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C273BB">
      <w:pPr>
        <w:pStyle w:val="37"/>
        <w:tabs>
          <w:tab w:val="left" w:pos="5527"/>
        </w:tabs>
        <w:spacing w:line="360" w:lineRule="auto"/>
        <w:jc w:val="both"/>
        <w:outlineLvl w:val="9"/>
        <w:rPr>
          <w:rFonts w:hint="eastAsia" w:ascii="宋体" w:hAnsi="宋体" w:eastAsia="宋体" w:cs="宋体"/>
          <w:b/>
          <w:color w:val="auto"/>
          <w:sz w:val="28"/>
          <w:szCs w:val="28"/>
          <w:highlight w:val="none"/>
        </w:rPr>
      </w:pPr>
    </w:p>
    <w:p w14:paraId="591350A9">
      <w:pPr>
        <w:pStyle w:val="37"/>
        <w:tabs>
          <w:tab w:val="left" w:pos="5527"/>
        </w:tabs>
        <w:spacing w:line="360" w:lineRule="auto"/>
        <w:jc w:val="both"/>
        <w:outlineLvl w:val="9"/>
        <w:rPr>
          <w:rFonts w:hint="eastAsia" w:ascii="宋体" w:hAnsi="宋体" w:eastAsia="宋体" w:cs="宋体"/>
          <w:b/>
          <w:color w:val="auto"/>
          <w:sz w:val="28"/>
          <w:szCs w:val="28"/>
          <w:highlight w:val="none"/>
        </w:rPr>
      </w:pPr>
    </w:p>
    <w:p w14:paraId="281B1A3F">
      <w:pPr>
        <w:pStyle w:val="37"/>
        <w:tabs>
          <w:tab w:val="left" w:pos="5527"/>
        </w:tabs>
        <w:spacing w:line="360" w:lineRule="auto"/>
        <w:jc w:val="center"/>
        <w:outlineLvl w:val="9"/>
        <w:rPr>
          <w:rFonts w:hint="eastAsia" w:ascii="宋体" w:hAnsi="宋体" w:eastAsia="宋体" w:cs="宋体"/>
          <w:b/>
          <w:bCs/>
          <w:color w:val="auto"/>
          <w:sz w:val="40"/>
          <w:szCs w:val="40"/>
          <w:highlight w:val="none"/>
          <w:lang w:eastAsia="zh-CN"/>
        </w:rPr>
      </w:pPr>
      <w:r>
        <w:rPr>
          <w:rFonts w:hint="eastAsia" w:ascii="宋体" w:hAnsi="宋体" w:cs="宋体"/>
          <w:b/>
          <w:bCs/>
          <w:color w:val="auto"/>
          <w:sz w:val="40"/>
          <w:szCs w:val="40"/>
          <w:highlight w:val="none"/>
          <w:lang w:eastAsia="zh-CN"/>
        </w:rPr>
        <w:t>焉耆县2025年义务教育薄弱环节改善与能力提升项目-购置理化生、音乐、体育教学仪器设备</w:t>
      </w:r>
    </w:p>
    <w:p w14:paraId="70F7A8DE">
      <w:pPr>
        <w:pStyle w:val="37"/>
        <w:tabs>
          <w:tab w:val="left" w:pos="5527"/>
        </w:tabs>
        <w:spacing w:line="360" w:lineRule="auto"/>
        <w:jc w:val="center"/>
        <w:outlineLvl w:val="9"/>
        <w:rPr>
          <w:rFonts w:hint="eastAsia" w:ascii="宋体" w:hAnsi="宋体" w:eastAsia="宋体" w:cs="宋体"/>
          <w:b/>
          <w:bCs/>
          <w:color w:val="auto"/>
          <w:sz w:val="96"/>
          <w:szCs w:val="96"/>
          <w:highlight w:val="none"/>
        </w:rPr>
      </w:pPr>
    </w:p>
    <w:p w14:paraId="17075746">
      <w:pPr>
        <w:pStyle w:val="37"/>
        <w:tabs>
          <w:tab w:val="left" w:pos="5527"/>
        </w:tabs>
        <w:spacing w:line="360" w:lineRule="auto"/>
        <w:jc w:val="center"/>
        <w:outlineLvl w:val="9"/>
        <w:rPr>
          <w:rFonts w:hint="eastAsia" w:ascii="宋体" w:hAnsi="宋体" w:eastAsia="宋体" w:cs="宋体"/>
          <w:b/>
          <w:bCs/>
          <w:color w:val="auto"/>
          <w:sz w:val="13"/>
          <w:szCs w:val="13"/>
          <w:highlight w:val="none"/>
        </w:rPr>
      </w:pPr>
    </w:p>
    <w:p w14:paraId="36936E69">
      <w:pPr>
        <w:pStyle w:val="37"/>
        <w:tabs>
          <w:tab w:val="left" w:pos="5527"/>
        </w:tabs>
        <w:spacing w:line="360" w:lineRule="auto"/>
        <w:jc w:val="center"/>
        <w:outlineLvl w:val="9"/>
        <w:rPr>
          <w:rFonts w:hint="eastAsia" w:ascii="宋体" w:hAnsi="宋体" w:eastAsia="宋体" w:cs="宋体"/>
          <w:b/>
          <w:bCs/>
          <w:color w:val="auto"/>
          <w:sz w:val="96"/>
          <w:szCs w:val="96"/>
          <w:highlight w:val="none"/>
        </w:rPr>
      </w:pPr>
      <w:r>
        <w:rPr>
          <w:rFonts w:hint="eastAsia" w:ascii="宋体" w:hAnsi="宋体" w:eastAsia="宋体" w:cs="宋体"/>
          <w:b/>
          <w:bCs/>
          <w:color w:val="auto"/>
          <w:sz w:val="96"/>
          <w:szCs w:val="96"/>
          <w:highlight w:val="none"/>
          <w:lang w:eastAsia="zh-CN"/>
        </w:rPr>
        <w:t>招</w:t>
      </w:r>
      <w:r>
        <w:rPr>
          <w:rFonts w:hint="eastAsia" w:ascii="宋体" w:hAnsi="宋体" w:eastAsia="宋体" w:cs="宋体"/>
          <w:b/>
          <w:bCs/>
          <w:color w:val="auto"/>
          <w:sz w:val="96"/>
          <w:szCs w:val="96"/>
          <w:highlight w:val="none"/>
          <w:lang w:val="en-US" w:eastAsia="zh-CN"/>
        </w:rPr>
        <w:t xml:space="preserve"> </w:t>
      </w:r>
      <w:r>
        <w:rPr>
          <w:rFonts w:hint="eastAsia" w:ascii="宋体" w:hAnsi="宋体" w:eastAsia="宋体" w:cs="宋体"/>
          <w:b/>
          <w:bCs/>
          <w:color w:val="auto"/>
          <w:sz w:val="96"/>
          <w:szCs w:val="96"/>
          <w:highlight w:val="none"/>
          <w:lang w:eastAsia="zh-CN"/>
        </w:rPr>
        <w:t>标</w:t>
      </w:r>
      <w:r>
        <w:rPr>
          <w:rFonts w:hint="eastAsia" w:ascii="宋体" w:hAnsi="宋体" w:eastAsia="宋体" w:cs="宋体"/>
          <w:b/>
          <w:bCs/>
          <w:color w:val="auto"/>
          <w:sz w:val="96"/>
          <w:szCs w:val="96"/>
          <w:highlight w:val="none"/>
          <w:lang w:val="en-US" w:eastAsia="zh-CN"/>
        </w:rPr>
        <w:t xml:space="preserve"> </w:t>
      </w:r>
      <w:r>
        <w:rPr>
          <w:rFonts w:hint="eastAsia" w:ascii="宋体" w:hAnsi="宋体" w:eastAsia="宋体" w:cs="宋体"/>
          <w:b/>
          <w:bCs/>
          <w:color w:val="auto"/>
          <w:sz w:val="96"/>
          <w:szCs w:val="96"/>
          <w:highlight w:val="none"/>
        </w:rPr>
        <w:t>文</w:t>
      </w:r>
      <w:r>
        <w:rPr>
          <w:rFonts w:hint="eastAsia" w:ascii="宋体" w:hAnsi="宋体" w:eastAsia="宋体" w:cs="宋体"/>
          <w:b/>
          <w:bCs/>
          <w:color w:val="auto"/>
          <w:sz w:val="96"/>
          <w:szCs w:val="96"/>
          <w:highlight w:val="none"/>
          <w:lang w:val="en-US" w:eastAsia="zh-CN"/>
        </w:rPr>
        <w:t xml:space="preserve"> </w:t>
      </w:r>
      <w:r>
        <w:rPr>
          <w:rFonts w:hint="eastAsia" w:ascii="宋体" w:hAnsi="宋体" w:eastAsia="宋体" w:cs="宋体"/>
          <w:b/>
          <w:bCs/>
          <w:color w:val="auto"/>
          <w:sz w:val="96"/>
          <w:szCs w:val="96"/>
          <w:highlight w:val="none"/>
        </w:rPr>
        <w:t>件</w:t>
      </w:r>
    </w:p>
    <w:p w14:paraId="4596BD0D">
      <w:pPr>
        <w:pStyle w:val="37"/>
        <w:tabs>
          <w:tab w:val="left" w:pos="5527"/>
        </w:tabs>
        <w:spacing w:line="360" w:lineRule="auto"/>
        <w:jc w:val="center"/>
        <w:outlineLvl w:val="9"/>
        <w:rPr>
          <w:rFonts w:hint="eastAsia" w:ascii="宋体" w:hAnsi="宋体" w:eastAsia="宋体" w:cs="宋体"/>
          <w:b/>
          <w:bCs/>
          <w:color w:val="auto"/>
          <w:sz w:val="36"/>
          <w:szCs w:val="36"/>
          <w:highlight w:val="none"/>
        </w:rPr>
      </w:pPr>
    </w:p>
    <w:p w14:paraId="65E55480">
      <w:pPr>
        <w:pStyle w:val="37"/>
        <w:tabs>
          <w:tab w:val="left" w:pos="5527"/>
        </w:tabs>
        <w:spacing w:line="360" w:lineRule="auto"/>
        <w:jc w:val="right"/>
        <w:outlineLvl w:val="9"/>
        <w:rPr>
          <w:rFonts w:hint="eastAsia" w:ascii="宋体" w:hAnsi="宋体" w:eastAsia="宋体" w:cs="宋体"/>
          <w:b/>
          <w:bCs/>
          <w:color w:val="auto"/>
          <w:sz w:val="28"/>
          <w:szCs w:val="28"/>
          <w:highlight w:val="none"/>
        </w:rPr>
      </w:pPr>
    </w:p>
    <w:p w14:paraId="49BF4BBC">
      <w:pPr>
        <w:pStyle w:val="37"/>
        <w:tabs>
          <w:tab w:val="left" w:pos="5527"/>
        </w:tabs>
        <w:spacing w:line="360" w:lineRule="auto"/>
        <w:jc w:val="center"/>
        <w:outlineLvl w:val="9"/>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rPr>
        <w:t>项目编号：</w:t>
      </w:r>
      <w:bookmarkStart w:id="0" w:name="OLE_LINK6"/>
      <w:r>
        <w:rPr>
          <w:rFonts w:hint="eastAsia" w:ascii="宋体" w:hAnsi="宋体" w:cs="宋体"/>
          <w:b/>
          <w:bCs/>
          <w:color w:val="auto"/>
          <w:sz w:val="32"/>
          <w:szCs w:val="32"/>
          <w:highlight w:val="none"/>
          <w:lang w:eastAsia="zh-CN"/>
        </w:rPr>
        <w:t>XJDTZFCG（GK）2024-</w:t>
      </w:r>
      <w:bookmarkEnd w:id="0"/>
      <w:r>
        <w:rPr>
          <w:rFonts w:hint="eastAsia" w:ascii="宋体" w:hAnsi="宋体" w:cs="宋体"/>
          <w:b/>
          <w:bCs/>
          <w:color w:val="auto"/>
          <w:sz w:val="32"/>
          <w:szCs w:val="32"/>
          <w:highlight w:val="none"/>
          <w:lang w:val="en-US" w:eastAsia="zh-CN"/>
        </w:rPr>
        <w:t>018</w:t>
      </w:r>
      <w:r>
        <w:rPr>
          <w:rFonts w:hint="eastAsia" w:ascii="宋体" w:hAnsi="宋体" w:cs="宋体"/>
          <w:b/>
          <w:bCs/>
          <w:color w:val="auto"/>
          <w:sz w:val="32"/>
          <w:szCs w:val="32"/>
          <w:highlight w:val="none"/>
          <w:lang w:eastAsia="zh-CN"/>
        </w:rPr>
        <w:t>号</w:t>
      </w:r>
    </w:p>
    <w:p w14:paraId="17F5AA96">
      <w:pPr>
        <w:pStyle w:val="37"/>
        <w:tabs>
          <w:tab w:val="left" w:pos="5527"/>
        </w:tabs>
        <w:spacing w:line="360" w:lineRule="auto"/>
        <w:jc w:val="both"/>
        <w:outlineLvl w:val="9"/>
        <w:rPr>
          <w:rFonts w:hint="eastAsia" w:ascii="宋体" w:hAnsi="宋体" w:eastAsia="宋体" w:cs="宋体"/>
          <w:b/>
          <w:bCs/>
          <w:color w:val="auto"/>
          <w:sz w:val="32"/>
          <w:szCs w:val="32"/>
          <w:highlight w:val="none"/>
        </w:rPr>
      </w:pPr>
    </w:p>
    <w:p w14:paraId="3AA28BA4">
      <w:pPr>
        <w:pStyle w:val="37"/>
        <w:tabs>
          <w:tab w:val="left" w:pos="5527"/>
        </w:tabs>
        <w:spacing w:line="360" w:lineRule="auto"/>
        <w:jc w:val="center"/>
        <w:outlineLvl w:val="9"/>
        <w:rPr>
          <w:rFonts w:hint="eastAsia" w:ascii="宋体" w:hAnsi="宋体" w:eastAsia="宋体" w:cs="宋体"/>
          <w:b/>
          <w:bCs/>
          <w:color w:val="auto"/>
          <w:sz w:val="32"/>
          <w:szCs w:val="32"/>
          <w:highlight w:val="none"/>
        </w:rPr>
      </w:pPr>
    </w:p>
    <w:p w14:paraId="351B143E">
      <w:pPr>
        <w:pStyle w:val="37"/>
        <w:tabs>
          <w:tab w:val="left" w:pos="5527"/>
        </w:tabs>
        <w:spacing w:line="360" w:lineRule="auto"/>
        <w:jc w:val="center"/>
        <w:outlineLvl w:val="9"/>
        <w:rPr>
          <w:rFonts w:hint="eastAsia" w:ascii="宋体" w:hAnsi="宋体" w:eastAsia="宋体" w:cs="宋体"/>
          <w:b/>
          <w:bCs/>
          <w:color w:val="auto"/>
          <w:sz w:val="32"/>
          <w:szCs w:val="32"/>
          <w:highlight w:val="none"/>
        </w:rPr>
      </w:pPr>
    </w:p>
    <w:p w14:paraId="1260DC62">
      <w:pPr>
        <w:pStyle w:val="13"/>
        <w:tabs>
          <w:tab w:val="left" w:pos="5527"/>
        </w:tabs>
        <w:spacing w:line="360" w:lineRule="auto"/>
        <w:ind w:firstLine="643" w:firstLineChars="200"/>
        <w:outlineLvl w:val="9"/>
        <w:rPr>
          <w:rFonts w:hint="eastAsia" w:ascii="宋体" w:hAnsi="宋体" w:eastAsia="宋体" w:cs="宋体"/>
          <w:b/>
          <w:color w:val="auto"/>
          <w:sz w:val="32"/>
          <w:szCs w:val="32"/>
          <w:highlight w:val="none"/>
          <w:lang w:val="en-US" w:eastAsia="zh-CN"/>
        </w:rPr>
      </w:pPr>
      <w:r>
        <w:rPr>
          <w:rFonts w:hint="eastAsia" w:ascii="宋体" w:hAnsi="宋体" w:eastAsia="宋体" w:cs="宋体"/>
          <w:b/>
          <w:color w:val="auto"/>
          <w:sz w:val="32"/>
          <w:szCs w:val="32"/>
          <w:highlight w:val="none"/>
        </w:rPr>
        <w:t>采购人：</w:t>
      </w:r>
      <w:r>
        <w:rPr>
          <w:rFonts w:hint="eastAsia" w:ascii="宋体" w:hAnsi="宋体" w:cs="宋体"/>
          <w:b/>
          <w:color w:val="auto"/>
          <w:sz w:val="32"/>
          <w:szCs w:val="32"/>
          <w:highlight w:val="none"/>
          <w:lang w:eastAsia="zh-CN"/>
        </w:rPr>
        <w:t xml:space="preserve">焉耆回族自治县教育和科学技术局     </w:t>
      </w:r>
    </w:p>
    <w:p w14:paraId="296E0804">
      <w:pPr>
        <w:pStyle w:val="13"/>
        <w:tabs>
          <w:tab w:val="left" w:pos="5527"/>
        </w:tabs>
        <w:spacing w:line="360" w:lineRule="auto"/>
        <w:outlineLvl w:val="9"/>
        <w:rPr>
          <w:rFonts w:hint="eastAsia" w:ascii="宋体" w:hAnsi="宋体" w:eastAsia="宋体" w:cs="宋体"/>
          <w:b/>
          <w:color w:val="auto"/>
          <w:sz w:val="32"/>
          <w:szCs w:val="32"/>
          <w:highlight w:val="none"/>
        </w:rPr>
      </w:pPr>
    </w:p>
    <w:p w14:paraId="38B69079">
      <w:pPr>
        <w:pStyle w:val="13"/>
        <w:tabs>
          <w:tab w:val="left" w:pos="5527"/>
        </w:tabs>
        <w:spacing w:line="360" w:lineRule="auto"/>
        <w:ind w:firstLine="643" w:firstLineChars="200"/>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采购代理机构：</w:t>
      </w:r>
      <w:r>
        <w:rPr>
          <w:rFonts w:hint="eastAsia" w:ascii="宋体" w:hAnsi="宋体" w:eastAsia="宋体" w:cs="宋体"/>
          <w:b/>
          <w:color w:val="auto"/>
          <w:sz w:val="32"/>
          <w:szCs w:val="32"/>
          <w:highlight w:val="none"/>
          <w:lang w:eastAsia="zh-CN"/>
        </w:rPr>
        <w:t>新疆德泰</w:t>
      </w:r>
      <w:r>
        <w:rPr>
          <w:rFonts w:hint="eastAsia" w:ascii="宋体" w:hAnsi="宋体" w:eastAsia="宋体" w:cs="宋体"/>
          <w:b/>
          <w:color w:val="auto"/>
          <w:sz w:val="32"/>
          <w:szCs w:val="32"/>
          <w:highlight w:val="none"/>
        </w:rPr>
        <w:t>工程项目管理服务有限公司</w:t>
      </w:r>
    </w:p>
    <w:p w14:paraId="4FE181C5">
      <w:pPr>
        <w:pStyle w:val="13"/>
        <w:tabs>
          <w:tab w:val="left" w:pos="5527"/>
        </w:tabs>
        <w:spacing w:line="360" w:lineRule="auto"/>
        <w:outlineLvl w:val="9"/>
        <w:rPr>
          <w:rFonts w:hint="eastAsia" w:ascii="宋体" w:hAnsi="宋体" w:eastAsia="宋体" w:cs="宋体"/>
          <w:b/>
          <w:color w:val="auto"/>
          <w:sz w:val="32"/>
          <w:szCs w:val="32"/>
          <w:highlight w:val="none"/>
        </w:rPr>
      </w:pPr>
    </w:p>
    <w:p w14:paraId="49E2D49B">
      <w:pPr>
        <w:tabs>
          <w:tab w:val="left" w:pos="5527"/>
        </w:tabs>
        <w:spacing w:line="520" w:lineRule="exact"/>
        <w:jc w:val="center"/>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日期：</w:t>
      </w:r>
      <w:r>
        <w:rPr>
          <w:rFonts w:hint="eastAsia" w:ascii="宋体" w:hAnsi="宋体" w:eastAsia="宋体" w:cs="宋体"/>
          <w:b/>
          <w:color w:val="auto"/>
          <w:sz w:val="32"/>
          <w:szCs w:val="32"/>
          <w:highlight w:val="none"/>
          <w:lang w:val="en-US" w:eastAsia="zh-CN"/>
        </w:rPr>
        <w:t>202</w:t>
      </w:r>
      <w:r>
        <w:rPr>
          <w:rFonts w:hint="eastAsia" w:ascii="宋体" w:hAnsi="宋体" w:cs="宋体"/>
          <w:b/>
          <w:color w:val="auto"/>
          <w:sz w:val="32"/>
          <w:szCs w:val="32"/>
          <w:highlight w:val="none"/>
          <w:lang w:val="en-US" w:eastAsia="zh-CN"/>
        </w:rPr>
        <w:t>5</w:t>
      </w:r>
      <w:r>
        <w:rPr>
          <w:rFonts w:hint="eastAsia" w:ascii="宋体" w:hAnsi="宋体" w:eastAsia="宋体" w:cs="宋体"/>
          <w:b/>
          <w:color w:val="auto"/>
          <w:sz w:val="32"/>
          <w:szCs w:val="32"/>
          <w:highlight w:val="none"/>
        </w:rPr>
        <w:t>年</w:t>
      </w:r>
      <w:r>
        <w:rPr>
          <w:rFonts w:hint="eastAsia" w:ascii="宋体" w:hAnsi="宋体" w:cs="宋体"/>
          <w:b/>
          <w:color w:val="auto"/>
          <w:sz w:val="32"/>
          <w:szCs w:val="32"/>
          <w:highlight w:val="none"/>
          <w:lang w:val="en-US" w:eastAsia="zh-CN"/>
        </w:rPr>
        <w:t>7</w:t>
      </w:r>
      <w:r>
        <w:rPr>
          <w:rFonts w:hint="eastAsia" w:ascii="宋体" w:hAnsi="宋体" w:eastAsia="宋体" w:cs="宋体"/>
          <w:b/>
          <w:color w:val="auto"/>
          <w:sz w:val="32"/>
          <w:szCs w:val="32"/>
          <w:highlight w:val="none"/>
        </w:rPr>
        <w:t>月</w:t>
      </w:r>
    </w:p>
    <w:p w14:paraId="36C6F09E">
      <w:pPr>
        <w:tabs>
          <w:tab w:val="left" w:pos="5527"/>
        </w:tabs>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br w:type="page"/>
      </w:r>
    </w:p>
    <w:p w14:paraId="132FDA74">
      <w:pPr>
        <w:rPr>
          <w:rFonts w:hint="eastAsia" w:ascii="宋体" w:hAnsi="宋体" w:eastAsia="宋体" w:cs="宋体"/>
          <w:b/>
          <w:bCs/>
          <w:color w:val="auto"/>
          <w:kern w:val="0"/>
          <w:sz w:val="44"/>
          <w:szCs w:val="44"/>
          <w:highlight w:val="none"/>
        </w:rPr>
      </w:pPr>
      <w:r>
        <w:rPr>
          <w:rFonts w:hint="eastAsia" w:ascii="宋体" w:hAnsi="宋体" w:eastAsia="宋体" w:cs="宋体"/>
          <w:b/>
          <w:bCs/>
          <w:color w:val="auto"/>
          <w:kern w:val="0"/>
          <w:sz w:val="44"/>
          <w:szCs w:val="44"/>
          <w:highlight w:val="none"/>
        </w:rPr>
        <w:br w:type="page"/>
      </w:r>
    </w:p>
    <w:p w14:paraId="0343CB4F">
      <w:pPr>
        <w:tabs>
          <w:tab w:val="left" w:pos="5527"/>
        </w:tabs>
        <w:spacing w:line="520" w:lineRule="exact"/>
        <w:jc w:val="center"/>
        <w:outlineLvl w:val="9"/>
        <w:rPr>
          <w:rFonts w:hint="eastAsia" w:ascii="宋体" w:hAnsi="宋体" w:eastAsia="宋体" w:cs="宋体"/>
          <w:b/>
          <w:bCs/>
          <w:color w:val="auto"/>
          <w:kern w:val="0"/>
          <w:sz w:val="44"/>
          <w:szCs w:val="44"/>
          <w:highlight w:val="none"/>
        </w:rPr>
      </w:pPr>
      <w:r>
        <w:rPr>
          <w:rFonts w:hint="eastAsia" w:ascii="宋体" w:hAnsi="宋体" w:eastAsia="宋体" w:cs="宋体"/>
          <w:b/>
          <w:bCs/>
          <w:color w:val="auto"/>
          <w:kern w:val="0"/>
          <w:sz w:val="44"/>
          <w:szCs w:val="44"/>
          <w:highlight w:val="none"/>
        </w:rPr>
        <w:t>目 录</w:t>
      </w:r>
    </w:p>
    <w:p w14:paraId="59B4F76E">
      <w:pPr>
        <w:pStyle w:val="21"/>
        <w:tabs>
          <w:tab w:val="right" w:leader="underscore" w:pos="8504"/>
        </w:tabs>
        <w:spacing w:line="480" w:lineRule="auto"/>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TOC \o "1-1" \h \u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_Toc24348 </w:instrText>
      </w:r>
      <w:r>
        <w:rPr>
          <w:rFonts w:hint="eastAsia" w:ascii="宋体" w:hAnsi="宋体" w:eastAsia="宋体" w:cs="宋体"/>
          <w:color w:val="auto"/>
          <w:highlight w:val="none"/>
        </w:rPr>
        <w:fldChar w:fldCharType="separate"/>
      </w:r>
      <w:r>
        <w:rPr>
          <w:rFonts w:hint="eastAsia" w:ascii="宋体" w:hAnsi="宋体" w:eastAsia="宋体" w:cs="宋体"/>
          <w:bCs/>
          <w:color w:val="auto"/>
          <w:szCs w:val="32"/>
          <w:highlight w:val="none"/>
        </w:rPr>
        <w:t>第一章</w:t>
      </w:r>
      <w:r>
        <w:rPr>
          <w:rFonts w:hint="eastAsia" w:ascii="宋体" w:hAnsi="宋体" w:eastAsia="宋体" w:cs="宋体"/>
          <w:bCs/>
          <w:color w:val="auto"/>
          <w:szCs w:val="32"/>
          <w:highlight w:val="none"/>
          <w:lang w:val="en-US" w:eastAsia="zh-CN"/>
        </w:rPr>
        <w:t xml:space="preserve"> 公开招标公告</w:t>
      </w:r>
      <w:r>
        <w:rPr>
          <w:color w:val="auto"/>
          <w:highlight w:val="none"/>
        </w:rPr>
        <w:tab/>
      </w:r>
      <w:r>
        <w:rPr>
          <w:color w:val="auto"/>
          <w:highlight w:val="none"/>
        </w:rPr>
        <w:fldChar w:fldCharType="begin"/>
      </w:r>
      <w:r>
        <w:rPr>
          <w:color w:val="auto"/>
          <w:highlight w:val="none"/>
        </w:rPr>
        <w:instrText xml:space="preserve"> PAGEREF _Toc24348 \h </w:instrText>
      </w:r>
      <w:r>
        <w:rPr>
          <w:color w:val="auto"/>
          <w:highlight w:val="none"/>
        </w:rPr>
        <w:fldChar w:fldCharType="separate"/>
      </w:r>
      <w:r>
        <w:rPr>
          <w:color w:val="auto"/>
          <w:highlight w:val="none"/>
        </w:rPr>
        <w:t>1</w:t>
      </w:r>
      <w:r>
        <w:rPr>
          <w:color w:val="auto"/>
          <w:highlight w:val="none"/>
        </w:rPr>
        <w:fldChar w:fldCharType="end"/>
      </w:r>
      <w:r>
        <w:rPr>
          <w:rFonts w:hint="eastAsia" w:ascii="宋体" w:hAnsi="宋体" w:eastAsia="宋体" w:cs="宋体"/>
          <w:color w:val="auto"/>
          <w:highlight w:val="none"/>
        </w:rPr>
        <w:fldChar w:fldCharType="end"/>
      </w:r>
    </w:p>
    <w:p w14:paraId="7B2B39A0">
      <w:pPr>
        <w:pStyle w:val="21"/>
        <w:tabs>
          <w:tab w:val="right" w:leader="underscore" w:pos="8504"/>
        </w:tabs>
        <w:spacing w:line="480" w:lineRule="auto"/>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_Toc3381 </w:instrText>
      </w:r>
      <w:r>
        <w:rPr>
          <w:rFonts w:hint="eastAsia" w:ascii="宋体" w:hAnsi="宋体" w:eastAsia="宋体" w:cs="宋体"/>
          <w:color w:val="auto"/>
          <w:highlight w:val="none"/>
        </w:rPr>
        <w:fldChar w:fldCharType="separate"/>
      </w:r>
      <w:r>
        <w:rPr>
          <w:rFonts w:hint="eastAsia" w:ascii="宋体" w:hAnsi="宋体" w:eastAsia="宋体" w:cs="宋体"/>
          <w:bCs/>
          <w:color w:val="auto"/>
          <w:szCs w:val="32"/>
          <w:highlight w:val="none"/>
        </w:rPr>
        <w:t>第二章 供应商须知</w:t>
      </w:r>
      <w:r>
        <w:rPr>
          <w:color w:val="auto"/>
          <w:highlight w:val="none"/>
        </w:rPr>
        <w:tab/>
      </w:r>
      <w:r>
        <w:rPr>
          <w:color w:val="auto"/>
          <w:highlight w:val="none"/>
        </w:rPr>
        <w:fldChar w:fldCharType="begin"/>
      </w:r>
      <w:r>
        <w:rPr>
          <w:color w:val="auto"/>
          <w:highlight w:val="none"/>
        </w:rPr>
        <w:instrText xml:space="preserve"> PAGEREF _Toc3381 \h </w:instrText>
      </w:r>
      <w:r>
        <w:rPr>
          <w:color w:val="auto"/>
          <w:highlight w:val="none"/>
        </w:rPr>
        <w:fldChar w:fldCharType="separate"/>
      </w:r>
      <w:r>
        <w:rPr>
          <w:color w:val="auto"/>
          <w:highlight w:val="none"/>
        </w:rPr>
        <w:t>4</w:t>
      </w:r>
      <w:r>
        <w:rPr>
          <w:color w:val="auto"/>
          <w:highlight w:val="none"/>
        </w:rPr>
        <w:fldChar w:fldCharType="end"/>
      </w:r>
      <w:r>
        <w:rPr>
          <w:rFonts w:hint="eastAsia" w:ascii="宋体" w:hAnsi="宋体" w:eastAsia="宋体" w:cs="宋体"/>
          <w:color w:val="auto"/>
          <w:highlight w:val="none"/>
        </w:rPr>
        <w:fldChar w:fldCharType="end"/>
      </w:r>
    </w:p>
    <w:p w14:paraId="69CD48A0">
      <w:pPr>
        <w:pStyle w:val="21"/>
        <w:tabs>
          <w:tab w:val="right" w:leader="underscore" w:pos="8504"/>
        </w:tabs>
        <w:spacing w:line="480" w:lineRule="auto"/>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_Toc6040 </w:instrText>
      </w:r>
      <w:r>
        <w:rPr>
          <w:rFonts w:hint="eastAsia" w:ascii="宋体" w:hAnsi="宋体" w:eastAsia="宋体" w:cs="宋体"/>
          <w:color w:val="auto"/>
          <w:highlight w:val="none"/>
        </w:rPr>
        <w:fldChar w:fldCharType="separate"/>
      </w:r>
      <w:r>
        <w:rPr>
          <w:rFonts w:hint="eastAsia" w:ascii="宋体" w:hAnsi="宋体" w:eastAsia="宋体" w:cs="宋体"/>
          <w:bCs/>
          <w:color w:val="auto"/>
          <w:highlight w:val="none"/>
          <w:lang w:val="en-US" w:eastAsia="zh-CN"/>
        </w:rPr>
        <w:t>供应商须知正文部分</w:t>
      </w:r>
      <w:r>
        <w:rPr>
          <w:color w:val="auto"/>
          <w:highlight w:val="none"/>
        </w:rPr>
        <w:tab/>
      </w:r>
      <w:r>
        <w:rPr>
          <w:color w:val="auto"/>
          <w:highlight w:val="none"/>
        </w:rPr>
        <w:fldChar w:fldCharType="begin"/>
      </w:r>
      <w:r>
        <w:rPr>
          <w:color w:val="auto"/>
          <w:highlight w:val="none"/>
        </w:rPr>
        <w:instrText xml:space="preserve"> PAGEREF _Toc6040 \h </w:instrText>
      </w:r>
      <w:r>
        <w:rPr>
          <w:color w:val="auto"/>
          <w:highlight w:val="none"/>
        </w:rPr>
        <w:fldChar w:fldCharType="separate"/>
      </w:r>
      <w:r>
        <w:rPr>
          <w:color w:val="auto"/>
          <w:highlight w:val="none"/>
        </w:rPr>
        <w:t>11</w:t>
      </w:r>
      <w:r>
        <w:rPr>
          <w:color w:val="auto"/>
          <w:highlight w:val="none"/>
        </w:rPr>
        <w:fldChar w:fldCharType="end"/>
      </w:r>
      <w:r>
        <w:rPr>
          <w:rFonts w:hint="eastAsia" w:ascii="宋体" w:hAnsi="宋体" w:eastAsia="宋体" w:cs="宋体"/>
          <w:color w:val="auto"/>
          <w:highlight w:val="none"/>
        </w:rPr>
        <w:fldChar w:fldCharType="end"/>
      </w:r>
    </w:p>
    <w:p w14:paraId="7C4CC408">
      <w:pPr>
        <w:pStyle w:val="21"/>
        <w:tabs>
          <w:tab w:val="right" w:leader="underscore" w:pos="8504"/>
        </w:tabs>
        <w:spacing w:line="480" w:lineRule="auto"/>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_Toc25941 </w:instrText>
      </w:r>
      <w:r>
        <w:rPr>
          <w:rFonts w:hint="eastAsia" w:ascii="宋体" w:hAnsi="宋体" w:eastAsia="宋体" w:cs="宋体"/>
          <w:color w:val="auto"/>
          <w:highlight w:val="none"/>
        </w:rPr>
        <w:fldChar w:fldCharType="separate"/>
      </w:r>
      <w:r>
        <w:rPr>
          <w:rFonts w:hint="eastAsia" w:ascii="宋体" w:hAnsi="宋体" w:eastAsia="宋体" w:cs="宋体"/>
          <w:bCs/>
          <w:color w:val="auto"/>
          <w:szCs w:val="32"/>
          <w:highlight w:val="none"/>
          <w:lang w:val="en-US" w:eastAsia="zh-CN"/>
        </w:rPr>
        <w:t>第三章 采购清单</w:t>
      </w:r>
      <w:r>
        <w:rPr>
          <w:color w:val="auto"/>
          <w:highlight w:val="none"/>
        </w:rPr>
        <w:tab/>
      </w:r>
      <w:r>
        <w:rPr>
          <w:color w:val="auto"/>
          <w:highlight w:val="none"/>
        </w:rPr>
        <w:fldChar w:fldCharType="begin"/>
      </w:r>
      <w:r>
        <w:rPr>
          <w:color w:val="auto"/>
          <w:highlight w:val="none"/>
        </w:rPr>
        <w:instrText xml:space="preserve"> PAGEREF _Toc25941 \h </w:instrText>
      </w:r>
      <w:r>
        <w:rPr>
          <w:color w:val="auto"/>
          <w:highlight w:val="none"/>
        </w:rPr>
        <w:fldChar w:fldCharType="separate"/>
      </w:r>
      <w:r>
        <w:rPr>
          <w:color w:val="auto"/>
          <w:highlight w:val="none"/>
        </w:rPr>
        <w:t>26</w:t>
      </w:r>
      <w:r>
        <w:rPr>
          <w:color w:val="auto"/>
          <w:highlight w:val="none"/>
        </w:rPr>
        <w:fldChar w:fldCharType="end"/>
      </w:r>
      <w:r>
        <w:rPr>
          <w:rFonts w:hint="eastAsia" w:ascii="宋体" w:hAnsi="宋体" w:eastAsia="宋体" w:cs="宋体"/>
          <w:color w:val="auto"/>
          <w:highlight w:val="none"/>
        </w:rPr>
        <w:fldChar w:fldCharType="end"/>
      </w:r>
    </w:p>
    <w:p w14:paraId="4FB26686">
      <w:pPr>
        <w:pStyle w:val="21"/>
        <w:tabs>
          <w:tab w:val="right" w:leader="underscore" w:pos="8504"/>
        </w:tabs>
        <w:spacing w:line="480" w:lineRule="auto"/>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_Toc29852 </w:instrText>
      </w:r>
      <w:r>
        <w:rPr>
          <w:rFonts w:hint="eastAsia" w:ascii="宋体" w:hAnsi="宋体" w:eastAsia="宋体" w:cs="宋体"/>
          <w:color w:val="auto"/>
          <w:highlight w:val="none"/>
        </w:rPr>
        <w:fldChar w:fldCharType="separate"/>
      </w:r>
      <w:r>
        <w:rPr>
          <w:rFonts w:hint="eastAsia" w:ascii="宋体" w:hAnsi="宋体" w:eastAsia="宋体" w:cs="宋体"/>
          <w:bCs/>
          <w:color w:val="auto"/>
          <w:kern w:val="2"/>
          <w:szCs w:val="32"/>
          <w:highlight w:val="none"/>
          <w:lang w:val="en-US" w:eastAsia="zh-CN"/>
        </w:rPr>
        <w:t>第四章 合同</w:t>
      </w:r>
      <w:r>
        <w:rPr>
          <w:rFonts w:hint="eastAsia" w:ascii="宋体" w:hAnsi="宋体" w:eastAsia="宋体" w:cs="宋体"/>
          <w:bCs/>
          <w:color w:val="auto"/>
          <w:szCs w:val="32"/>
          <w:highlight w:val="none"/>
          <w:lang w:val="zh-CN"/>
        </w:rPr>
        <w:t>（</w:t>
      </w:r>
      <w:r>
        <w:rPr>
          <w:rFonts w:hint="eastAsia" w:ascii="宋体" w:hAnsi="宋体" w:eastAsia="宋体" w:cs="宋体"/>
          <w:bCs/>
          <w:color w:val="auto"/>
          <w:szCs w:val="32"/>
          <w:highlight w:val="none"/>
        </w:rPr>
        <w:t>以最终签订合同为准</w:t>
      </w:r>
      <w:r>
        <w:rPr>
          <w:rFonts w:hint="eastAsia" w:ascii="宋体" w:hAnsi="宋体" w:eastAsia="宋体" w:cs="宋体"/>
          <w:bCs/>
          <w:color w:val="auto"/>
          <w:szCs w:val="32"/>
          <w:highlight w:val="none"/>
          <w:lang w:val="zh-CN"/>
        </w:rPr>
        <w:t>）</w:t>
      </w:r>
      <w:r>
        <w:rPr>
          <w:color w:val="auto"/>
          <w:highlight w:val="none"/>
        </w:rPr>
        <w:tab/>
      </w:r>
      <w:r>
        <w:rPr>
          <w:color w:val="auto"/>
          <w:highlight w:val="none"/>
        </w:rPr>
        <w:fldChar w:fldCharType="begin"/>
      </w:r>
      <w:r>
        <w:rPr>
          <w:color w:val="auto"/>
          <w:highlight w:val="none"/>
        </w:rPr>
        <w:instrText xml:space="preserve"> PAGEREF _Toc29852 \h </w:instrText>
      </w:r>
      <w:r>
        <w:rPr>
          <w:color w:val="auto"/>
          <w:highlight w:val="none"/>
        </w:rPr>
        <w:fldChar w:fldCharType="separate"/>
      </w:r>
      <w:r>
        <w:rPr>
          <w:color w:val="auto"/>
          <w:highlight w:val="none"/>
        </w:rPr>
        <w:t>225</w:t>
      </w:r>
      <w:r>
        <w:rPr>
          <w:color w:val="auto"/>
          <w:highlight w:val="none"/>
        </w:rPr>
        <w:fldChar w:fldCharType="end"/>
      </w:r>
      <w:r>
        <w:rPr>
          <w:rFonts w:hint="eastAsia" w:ascii="宋体" w:hAnsi="宋体" w:eastAsia="宋体" w:cs="宋体"/>
          <w:color w:val="auto"/>
          <w:highlight w:val="none"/>
        </w:rPr>
        <w:fldChar w:fldCharType="end"/>
      </w:r>
    </w:p>
    <w:p w14:paraId="0E8B890D">
      <w:pPr>
        <w:pStyle w:val="21"/>
        <w:tabs>
          <w:tab w:val="right" w:leader="underscore" w:pos="8504"/>
        </w:tabs>
        <w:spacing w:line="480" w:lineRule="auto"/>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_Toc24510 </w:instrText>
      </w:r>
      <w:r>
        <w:rPr>
          <w:rFonts w:hint="eastAsia" w:ascii="宋体" w:hAnsi="宋体" w:eastAsia="宋体" w:cs="宋体"/>
          <w:color w:val="auto"/>
          <w:highlight w:val="none"/>
        </w:rPr>
        <w:fldChar w:fldCharType="separate"/>
      </w:r>
      <w:r>
        <w:rPr>
          <w:rFonts w:hint="eastAsia" w:ascii="宋体" w:hAnsi="宋体" w:eastAsia="宋体" w:cs="宋体"/>
          <w:bCs/>
          <w:color w:val="auto"/>
          <w:szCs w:val="32"/>
          <w:highlight w:val="none"/>
          <w:lang w:val="en-US" w:eastAsia="zh-CN"/>
        </w:rPr>
        <w:t>第</w:t>
      </w:r>
      <w:r>
        <w:rPr>
          <w:rFonts w:hint="eastAsia" w:ascii="宋体" w:hAnsi="宋体" w:eastAsia="宋体" w:cs="宋体"/>
          <w:bCs/>
          <w:color w:val="auto"/>
          <w:szCs w:val="32"/>
          <w:highlight w:val="none"/>
          <w:lang w:eastAsia="zh-CN"/>
        </w:rPr>
        <w:t>五章</w:t>
      </w:r>
      <w:r>
        <w:rPr>
          <w:rFonts w:hint="eastAsia" w:ascii="宋体" w:hAnsi="宋体" w:eastAsia="宋体" w:cs="宋体"/>
          <w:bCs/>
          <w:color w:val="auto"/>
          <w:szCs w:val="32"/>
          <w:highlight w:val="none"/>
        </w:rPr>
        <w:t xml:space="preserve"> 主要</w:t>
      </w:r>
      <w:r>
        <w:rPr>
          <w:rFonts w:hint="eastAsia" w:ascii="宋体" w:hAnsi="宋体" w:eastAsia="宋体" w:cs="宋体"/>
          <w:bCs/>
          <w:color w:val="auto"/>
          <w:szCs w:val="32"/>
          <w:highlight w:val="none"/>
          <w:lang w:eastAsia="zh-CN"/>
        </w:rPr>
        <w:t>投标文件</w:t>
      </w:r>
      <w:r>
        <w:rPr>
          <w:rFonts w:hint="eastAsia" w:ascii="宋体" w:hAnsi="宋体" w:eastAsia="宋体" w:cs="宋体"/>
          <w:bCs/>
          <w:color w:val="auto"/>
          <w:szCs w:val="32"/>
          <w:highlight w:val="none"/>
        </w:rPr>
        <w:t>的格式及其内容</w:t>
      </w:r>
      <w:r>
        <w:rPr>
          <w:color w:val="auto"/>
          <w:highlight w:val="none"/>
        </w:rPr>
        <w:tab/>
      </w:r>
      <w:r>
        <w:rPr>
          <w:color w:val="auto"/>
          <w:highlight w:val="none"/>
        </w:rPr>
        <w:fldChar w:fldCharType="begin"/>
      </w:r>
      <w:r>
        <w:rPr>
          <w:color w:val="auto"/>
          <w:highlight w:val="none"/>
        </w:rPr>
        <w:instrText xml:space="preserve"> PAGEREF _Toc24510 \h </w:instrText>
      </w:r>
      <w:r>
        <w:rPr>
          <w:color w:val="auto"/>
          <w:highlight w:val="none"/>
        </w:rPr>
        <w:fldChar w:fldCharType="separate"/>
      </w:r>
      <w:r>
        <w:rPr>
          <w:color w:val="auto"/>
          <w:highlight w:val="none"/>
        </w:rPr>
        <w:t>228</w:t>
      </w:r>
      <w:r>
        <w:rPr>
          <w:color w:val="auto"/>
          <w:highlight w:val="none"/>
        </w:rPr>
        <w:fldChar w:fldCharType="end"/>
      </w:r>
      <w:r>
        <w:rPr>
          <w:rFonts w:hint="eastAsia" w:ascii="宋体" w:hAnsi="宋体" w:eastAsia="宋体" w:cs="宋体"/>
          <w:color w:val="auto"/>
          <w:highlight w:val="none"/>
        </w:rPr>
        <w:fldChar w:fldCharType="end"/>
      </w:r>
    </w:p>
    <w:p w14:paraId="2621C7D1">
      <w:pPr>
        <w:pStyle w:val="23"/>
        <w:spacing w:line="480" w:lineRule="auto"/>
        <w:outlineLvl w:val="9"/>
        <w:rPr>
          <w:rFonts w:hint="eastAsia" w:ascii="宋体" w:hAnsi="宋体" w:eastAsia="宋体" w:cs="宋体"/>
          <w:color w:val="auto"/>
          <w:highlight w:val="none"/>
        </w:rPr>
      </w:pPr>
      <w:r>
        <w:rPr>
          <w:rFonts w:hint="eastAsia" w:ascii="宋体" w:hAnsi="宋体" w:eastAsia="宋体" w:cs="宋体"/>
          <w:color w:val="auto"/>
          <w:highlight w:val="none"/>
        </w:rPr>
        <w:fldChar w:fldCharType="end"/>
      </w:r>
    </w:p>
    <w:p w14:paraId="78759850">
      <w:pPr>
        <w:rPr>
          <w:rFonts w:hint="eastAsia"/>
          <w:color w:val="auto"/>
          <w:highlight w:val="none"/>
        </w:rPr>
      </w:pPr>
      <w:bookmarkStart w:id="1" w:name="_Toc26663"/>
      <w:bookmarkStart w:id="2" w:name="_Toc8757"/>
      <w:bookmarkStart w:id="3" w:name="_Toc7471"/>
      <w:bookmarkStart w:id="4" w:name="_Toc8184"/>
      <w:bookmarkStart w:id="5" w:name="_Toc24631"/>
    </w:p>
    <w:p w14:paraId="76537561">
      <w:pPr>
        <w:tabs>
          <w:tab w:val="left" w:pos="5527"/>
        </w:tabs>
        <w:spacing w:line="360" w:lineRule="auto"/>
        <w:jc w:val="center"/>
        <w:outlineLvl w:val="9"/>
        <w:rPr>
          <w:rFonts w:hint="eastAsia" w:ascii="宋体" w:hAnsi="宋体" w:eastAsia="宋体" w:cs="宋体"/>
          <w:bCs/>
          <w:color w:val="auto"/>
          <w:szCs w:val="28"/>
          <w:highlight w:val="none"/>
        </w:rPr>
      </w:pPr>
    </w:p>
    <w:p w14:paraId="28FF07B8">
      <w:pPr>
        <w:tabs>
          <w:tab w:val="left" w:pos="5527"/>
        </w:tabs>
        <w:spacing w:line="360" w:lineRule="auto"/>
        <w:jc w:val="center"/>
        <w:outlineLvl w:val="9"/>
        <w:rPr>
          <w:rFonts w:hint="eastAsia" w:ascii="宋体" w:hAnsi="宋体" w:eastAsia="宋体" w:cs="宋体"/>
          <w:b/>
          <w:color w:val="auto"/>
          <w:sz w:val="32"/>
          <w:szCs w:val="32"/>
          <w:highlight w:val="none"/>
        </w:rPr>
      </w:pPr>
      <w:r>
        <w:rPr>
          <w:rFonts w:hint="eastAsia" w:ascii="宋体" w:hAnsi="宋体" w:eastAsia="宋体" w:cs="宋体"/>
          <w:bCs/>
          <w:color w:val="auto"/>
          <w:szCs w:val="28"/>
          <w:highlight w:val="none"/>
        </w:rPr>
        <w:br w:type="page"/>
      </w:r>
      <w:r>
        <w:rPr>
          <w:rFonts w:hint="eastAsia" w:ascii="宋体" w:hAnsi="宋体" w:eastAsia="宋体" w:cs="宋体"/>
          <w:b/>
          <w:color w:val="auto"/>
          <w:sz w:val="40"/>
          <w:szCs w:val="40"/>
          <w:highlight w:val="none"/>
        </w:rPr>
        <w:t>特 别 提 示</w:t>
      </w:r>
      <w:bookmarkEnd w:id="1"/>
      <w:bookmarkEnd w:id="2"/>
      <w:bookmarkEnd w:id="3"/>
      <w:bookmarkEnd w:id="4"/>
      <w:bookmarkEnd w:id="5"/>
    </w:p>
    <w:p w14:paraId="5C6F4B23">
      <w:pPr>
        <w:tabs>
          <w:tab w:val="left" w:pos="5527"/>
        </w:tabs>
        <w:bidi w:val="0"/>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各供应商：</w:t>
      </w:r>
    </w:p>
    <w:p w14:paraId="3864AC91">
      <w:pPr>
        <w:tabs>
          <w:tab w:val="left" w:pos="5527"/>
        </w:tabs>
        <w:bidi w:val="0"/>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 xml:space="preserve">    在参与本次采购项目投标时，请按</w:t>
      </w:r>
      <w:r>
        <w:rPr>
          <w:rFonts w:hint="eastAsia" w:ascii="宋体" w:hAnsi="宋体" w:eastAsia="宋体" w:cs="宋体"/>
          <w:b/>
          <w:bCs/>
          <w:color w:val="auto"/>
          <w:sz w:val="28"/>
          <w:szCs w:val="28"/>
          <w:highlight w:val="none"/>
          <w:lang w:eastAsia="zh-CN"/>
        </w:rPr>
        <w:t>公开招标文件</w:t>
      </w:r>
      <w:r>
        <w:rPr>
          <w:rFonts w:hint="eastAsia" w:ascii="宋体" w:hAnsi="宋体" w:eastAsia="宋体" w:cs="宋体"/>
          <w:b/>
          <w:bCs/>
          <w:color w:val="auto"/>
          <w:sz w:val="28"/>
          <w:szCs w:val="28"/>
          <w:highlight w:val="none"/>
        </w:rPr>
        <w:t>中规定的可能导致无效投标、废标、黑体字要求的内容逐条响应</w:t>
      </w:r>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rPr>
        <w:t>若不响应将导致投标失败。</w:t>
      </w:r>
      <w:bookmarkStart w:id="6" w:name="_Toc10095"/>
      <w:bookmarkStart w:id="7" w:name="_Toc16329"/>
      <w:bookmarkStart w:id="8" w:name="_Toc3329"/>
      <w:bookmarkStart w:id="9" w:name="_Toc22470"/>
    </w:p>
    <w:p w14:paraId="2586B049">
      <w:pPr>
        <w:tabs>
          <w:tab w:val="left" w:pos="5527"/>
        </w:tabs>
        <w:bidi w:val="0"/>
        <w:jc w:val="center"/>
        <w:outlineLvl w:val="9"/>
        <w:rPr>
          <w:rFonts w:hint="eastAsia" w:ascii="宋体" w:hAnsi="宋体" w:eastAsia="宋体" w:cs="宋体"/>
          <w:b/>
          <w:bCs/>
          <w:color w:val="auto"/>
          <w:sz w:val="32"/>
          <w:szCs w:val="21"/>
          <w:highlight w:val="none"/>
        </w:rPr>
        <w:sectPr>
          <w:headerReference r:id="rId4" w:type="first"/>
          <w:footerReference r:id="rId6" w:type="first"/>
          <w:headerReference r:id="rId3" w:type="default"/>
          <w:footerReference r:id="rId5" w:type="default"/>
          <w:pgSz w:w="11906" w:h="16838"/>
          <w:pgMar w:top="1418" w:right="1701" w:bottom="1418" w:left="1701"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p>
    <w:p w14:paraId="0B786C18">
      <w:pPr>
        <w:tabs>
          <w:tab w:val="left" w:pos="5527"/>
        </w:tabs>
        <w:spacing w:line="360" w:lineRule="auto"/>
        <w:jc w:val="center"/>
        <w:outlineLvl w:val="0"/>
        <w:rPr>
          <w:rStyle w:val="38"/>
          <w:rFonts w:hint="eastAsia" w:ascii="宋体" w:hAnsi="宋体" w:eastAsia="宋体" w:cs="宋体"/>
          <w:b/>
          <w:bCs/>
          <w:color w:val="auto"/>
          <w:sz w:val="32"/>
          <w:szCs w:val="32"/>
          <w:highlight w:val="none"/>
        </w:rPr>
      </w:pPr>
      <w:bookmarkStart w:id="10" w:name="_Toc26542"/>
      <w:bookmarkStart w:id="11" w:name="_Toc16301"/>
      <w:bookmarkStart w:id="12" w:name="_Toc29181"/>
      <w:bookmarkStart w:id="13" w:name="_Toc13079"/>
      <w:bookmarkStart w:id="14" w:name="_Toc24348"/>
      <w:bookmarkStart w:id="15" w:name="_Toc3476"/>
      <w:r>
        <w:rPr>
          <w:rStyle w:val="38"/>
          <w:rFonts w:hint="eastAsia" w:ascii="宋体" w:hAnsi="宋体" w:eastAsia="宋体" w:cs="宋体"/>
          <w:b/>
          <w:bCs/>
          <w:color w:val="auto"/>
          <w:sz w:val="32"/>
          <w:szCs w:val="32"/>
          <w:highlight w:val="none"/>
        </w:rPr>
        <w:t>第一章</w:t>
      </w:r>
      <w:r>
        <w:rPr>
          <w:rStyle w:val="38"/>
          <w:rFonts w:hint="eastAsia" w:ascii="宋体" w:hAnsi="宋体" w:eastAsia="宋体" w:cs="宋体"/>
          <w:b/>
          <w:bCs/>
          <w:color w:val="auto"/>
          <w:sz w:val="32"/>
          <w:szCs w:val="32"/>
          <w:highlight w:val="none"/>
          <w:lang w:val="en-US" w:eastAsia="zh-CN"/>
        </w:rPr>
        <w:t xml:space="preserve"> </w:t>
      </w:r>
      <w:bookmarkEnd w:id="6"/>
      <w:bookmarkEnd w:id="7"/>
      <w:bookmarkEnd w:id="8"/>
      <w:bookmarkEnd w:id="9"/>
      <w:r>
        <w:rPr>
          <w:rStyle w:val="38"/>
          <w:rFonts w:hint="eastAsia" w:ascii="宋体" w:hAnsi="宋体" w:eastAsia="宋体" w:cs="宋体"/>
          <w:b/>
          <w:bCs/>
          <w:color w:val="auto"/>
          <w:sz w:val="32"/>
          <w:szCs w:val="32"/>
          <w:highlight w:val="none"/>
          <w:lang w:val="en-US" w:eastAsia="zh-CN"/>
        </w:rPr>
        <w:t>公开招标公告</w:t>
      </w:r>
      <w:bookmarkEnd w:id="10"/>
      <w:bookmarkEnd w:id="11"/>
      <w:bookmarkEnd w:id="12"/>
      <w:bookmarkEnd w:id="13"/>
      <w:bookmarkEnd w:id="14"/>
    </w:p>
    <w:bookmarkEnd w:id="15"/>
    <w:p w14:paraId="0B7BD355">
      <w:pPr>
        <w:tabs>
          <w:tab w:val="left" w:pos="5527"/>
        </w:tabs>
        <w:bidi w:val="0"/>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项目概况</w:t>
      </w:r>
    </w:p>
    <w:p w14:paraId="358CF105">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焉耆县2025年义务教育薄弱环节改善与能力提升项目-购置理化生、音乐、体育教学仪器设备</w:t>
      </w:r>
      <w:r>
        <w:rPr>
          <w:rFonts w:hint="eastAsia" w:ascii="宋体" w:hAnsi="宋体" w:eastAsia="宋体" w:cs="宋体"/>
          <w:color w:val="auto"/>
          <w:spacing w:val="-6"/>
          <w:sz w:val="24"/>
          <w:szCs w:val="24"/>
          <w:highlight w:val="none"/>
        </w:rPr>
        <w:t>的潜在供应商应在政采云平台http://www.zcygov.cn/在线申请获取</w:t>
      </w:r>
      <w:r>
        <w:rPr>
          <w:rFonts w:hint="eastAsia" w:ascii="宋体" w:hAnsi="宋体" w:eastAsia="宋体" w:cs="宋体"/>
          <w:color w:val="auto"/>
          <w:spacing w:val="-6"/>
          <w:sz w:val="24"/>
          <w:szCs w:val="24"/>
          <w:highlight w:val="none"/>
          <w:lang w:eastAsia="zh-CN"/>
        </w:rPr>
        <w:t>公开招标</w:t>
      </w:r>
      <w:r>
        <w:rPr>
          <w:rFonts w:hint="eastAsia" w:ascii="宋体" w:hAnsi="宋体" w:eastAsia="宋体" w:cs="宋体"/>
          <w:color w:val="auto"/>
          <w:spacing w:val="-6"/>
          <w:sz w:val="24"/>
          <w:szCs w:val="24"/>
          <w:highlight w:val="none"/>
        </w:rPr>
        <w:t>文件，</w:t>
      </w:r>
      <w:r>
        <w:rPr>
          <w:rFonts w:hint="eastAsia" w:ascii="宋体" w:hAnsi="宋体" w:eastAsia="宋体" w:cs="宋体"/>
          <w:color w:val="auto"/>
          <w:sz w:val="24"/>
          <w:szCs w:val="24"/>
          <w:highlight w:val="none"/>
        </w:rPr>
        <w:t>并于</w:t>
      </w:r>
      <w:r>
        <w:rPr>
          <w:rFonts w:hint="eastAsia" w:ascii="宋体" w:hAnsi="宋体" w:cs="宋体"/>
          <w:b/>
          <w:bCs/>
          <w:color w:val="auto"/>
          <w:sz w:val="24"/>
          <w:szCs w:val="24"/>
          <w:highlight w:val="none"/>
          <w:u w:val="single"/>
          <w:lang w:eastAsia="zh-CN"/>
        </w:rPr>
        <w:t>2025年7月</w:t>
      </w:r>
      <w:r>
        <w:rPr>
          <w:rFonts w:hint="eastAsia" w:ascii="宋体" w:hAnsi="宋体" w:cs="宋体"/>
          <w:b/>
          <w:bCs/>
          <w:color w:val="auto"/>
          <w:sz w:val="24"/>
          <w:szCs w:val="24"/>
          <w:highlight w:val="none"/>
          <w:u w:val="single"/>
          <w:lang w:val="en-US" w:eastAsia="zh-CN"/>
        </w:rPr>
        <w:t>23</w:t>
      </w:r>
      <w:r>
        <w:rPr>
          <w:rFonts w:hint="eastAsia" w:ascii="宋体" w:hAnsi="宋体" w:cs="宋体"/>
          <w:b/>
          <w:bCs/>
          <w:color w:val="auto"/>
          <w:sz w:val="24"/>
          <w:szCs w:val="24"/>
          <w:highlight w:val="none"/>
          <w:u w:val="single"/>
          <w:lang w:eastAsia="zh-CN"/>
        </w:rPr>
        <w:t>日</w:t>
      </w:r>
      <w:r>
        <w:rPr>
          <w:rFonts w:hint="eastAsia" w:ascii="宋体" w:hAnsi="宋体" w:cs="宋体"/>
          <w:b/>
          <w:bCs/>
          <w:color w:val="auto"/>
          <w:sz w:val="24"/>
          <w:szCs w:val="24"/>
          <w:highlight w:val="none"/>
          <w:u w:val="single"/>
          <w:lang w:val="en-US" w:eastAsia="zh-CN"/>
        </w:rPr>
        <w:t>16时30分</w:t>
      </w:r>
      <w:r>
        <w:rPr>
          <w:rFonts w:hint="eastAsia" w:ascii="宋体" w:hAnsi="宋体" w:eastAsia="宋体" w:cs="宋体"/>
          <w:color w:val="auto"/>
          <w:sz w:val="24"/>
          <w:szCs w:val="24"/>
          <w:highlight w:val="none"/>
        </w:rPr>
        <w:t>（北京时间）前递交</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w:t>
      </w:r>
    </w:p>
    <w:p w14:paraId="0C33FDC4">
      <w:pPr>
        <w:keepNext w:val="0"/>
        <w:keepLines w:val="0"/>
        <w:pageBreakBefore w:val="0"/>
        <w:widowControl w:val="0"/>
        <w:numPr>
          <w:ilvl w:val="0"/>
          <w:numId w:val="6"/>
        </w:numPr>
        <w:tabs>
          <w:tab w:val="left" w:pos="5527"/>
        </w:tabs>
        <w:kinsoku/>
        <w:wordWrap/>
        <w:overflowPunct/>
        <w:topLinePunct w:val="0"/>
        <w:autoSpaceDE/>
        <w:autoSpaceDN/>
        <w:bidi w:val="0"/>
        <w:adjustRightInd/>
        <w:snapToGrid/>
        <w:spacing w:line="440" w:lineRule="exac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项目基本情况</w:t>
      </w:r>
    </w:p>
    <w:p w14:paraId="61190CA1">
      <w:pPr>
        <w:pStyle w:val="10"/>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4" w:firstLineChars="200"/>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项目编号：</w:t>
      </w:r>
      <w:r>
        <w:rPr>
          <w:rFonts w:hint="eastAsia" w:cs="宋体"/>
          <w:b/>
          <w:bCs/>
          <w:color w:val="auto"/>
          <w:sz w:val="24"/>
          <w:szCs w:val="24"/>
          <w:highlight w:val="none"/>
          <w:u w:val="none"/>
          <w:lang w:eastAsia="zh-CN"/>
        </w:rPr>
        <w:t>XJDTZFCG（GK）2024-0</w:t>
      </w:r>
      <w:r>
        <w:rPr>
          <w:rFonts w:hint="eastAsia" w:cs="宋体"/>
          <w:b/>
          <w:bCs/>
          <w:color w:val="auto"/>
          <w:sz w:val="24"/>
          <w:szCs w:val="24"/>
          <w:highlight w:val="none"/>
          <w:u w:val="none"/>
          <w:lang w:val="en-US" w:eastAsia="zh-CN"/>
        </w:rPr>
        <w:t>18</w:t>
      </w:r>
      <w:r>
        <w:rPr>
          <w:rFonts w:hint="eastAsia" w:cs="宋体"/>
          <w:b/>
          <w:bCs/>
          <w:color w:val="auto"/>
          <w:sz w:val="24"/>
          <w:szCs w:val="24"/>
          <w:highlight w:val="none"/>
          <w:u w:val="none"/>
          <w:lang w:eastAsia="zh-CN"/>
        </w:rPr>
        <w:t>号</w:t>
      </w:r>
    </w:p>
    <w:p w14:paraId="07E05B38">
      <w:pPr>
        <w:pStyle w:val="10"/>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4" w:firstLineChars="200"/>
        <w:textAlignment w:val="auto"/>
        <w:outlineLvl w:val="9"/>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rPr>
        <w:t>项目名称：</w:t>
      </w:r>
      <w:r>
        <w:rPr>
          <w:rFonts w:hint="eastAsia" w:cs="宋体"/>
          <w:b/>
          <w:bCs/>
          <w:color w:val="auto"/>
          <w:sz w:val="24"/>
          <w:szCs w:val="24"/>
          <w:highlight w:val="none"/>
          <w:lang w:val="en-US" w:eastAsia="zh-CN"/>
        </w:rPr>
        <w:t>焉耆县2025年义务教育薄弱环节改善与能力提升项目-购置理化生、音乐、体育教学仪器设备</w:t>
      </w:r>
    </w:p>
    <w:p w14:paraId="514B6FB2">
      <w:pPr>
        <w:pStyle w:val="10"/>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4" w:firstLineChars="200"/>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采购方式：</w:t>
      </w:r>
      <w:r>
        <w:rPr>
          <w:rFonts w:hint="eastAsia" w:ascii="宋体" w:hAnsi="宋体" w:eastAsia="宋体" w:cs="宋体"/>
          <w:b/>
          <w:bCs/>
          <w:color w:val="auto"/>
          <w:sz w:val="24"/>
          <w:szCs w:val="24"/>
          <w:highlight w:val="none"/>
          <w:lang w:eastAsia="zh-CN"/>
        </w:rPr>
        <w:t>公开招标</w:t>
      </w:r>
    </w:p>
    <w:p w14:paraId="2D64DD06">
      <w:pPr>
        <w:pStyle w:val="10"/>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4" w:firstLineChars="200"/>
        <w:textAlignment w:val="auto"/>
        <w:outlineLvl w:val="9"/>
        <w:rPr>
          <w:rFonts w:hint="eastAsia" w:cs="宋体"/>
          <w:b/>
          <w:bCs/>
          <w:color w:val="auto"/>
          <w:sz w:val="24"/>
          <w:szCs w:val="24"/>
          <w:highlight w:val="none"/>
          <w:u w:val="none"/>
          <w:lang w:val="en-US" w:eastAsia="zh-CN"/>
        </w:rPr>
      </w:pPr>
      <w:r>
        <w:rPr>
          <w:rFonts w:hint="eastAsia" w:ascii="宋体" w:hAnsi="宋体" w:eastAsia="宋体" w:cs="宋体"/>
          <w:b/>
          <w:bCs/>
          <w:color w:val="auto"/>
          <w:sz w:val="24"/>
          <w:szCs w:val="24"/>
          <w:highlight w:val="none"/>
          <w:lang w:val="en-US" w:eastAsia="zh-CN"/>
        </w:rPr>
        <w:t>预算金额</w:t>
      </w:r>
      <w:r>
        <w:rPr>
          <w:rFonts w:hint="eastAsia" w:ascii="宋体" w:hAnsi="宋体" w:eastAsia="宋体" w:cs="宋体"/>
          <w:b/>
          <w:bCs/>
          <w:color w:val="auto"/>
          <w:sz w:val="24"/>
          <w:szCs w:val="24"/>
          <w:highlight w:val="none"/>
          <w:u w:val="none"/>
          <w:lang w:val="en-US" w:eastAsia="zh-CN"/>
        </w:rPr>
        <w:t>：</w:t>
      </w:r>
      <w:r>
        <w:rPr>
          <w:rFonts w:hint="eastAsia" w:cs="宋体"/>
          <w:b/>
          <w:bCs/>
          <w:color w:val="auto"/>
          <w:sz w:val="24"/>
          <w:szCs w:val="24"/>
          <w:highlight w:val="none"/>
          <w:u w:val="none"/>
          <w:lang w:val="en-US" w:eastAsia="zh-CN"/>
        </w:rPr>
        <w:t>392.00万元</w:t>
      </w:r>
    </w:p>
    <w:p w14:paraId="49E15328">
      <w:pPr>
        <w:tabs>
          <w:tab w:val="left" w:pos="5527"/>
        </w:tabs>
        <w:spacing w:line="440" w:lineRule="exact"/>
        <w:ind w:firstLine="484" w:firstLineChars="200"/>
        <w:rPr>
          <w:rFonts w:ascii="宋体" w:hAnsi="宋体" w:cs="宋体"/>
          <w:b/>
          <w:bCs/>
          <w:color w:val="auto"/>
          <w:sz w:val="24"/>
          <w:szCs w:val="24"/>
          <w:highlight w:val="none"/>
        </w:rPr>
      </w:pPr>
      <w:r>
        <w:rPr>
          <w:rFonts w:hint="eastAsia" w:ascii="宋体" w:hAnsi="宋体" w:eastAsia="宋体" w:cs="宋体"/>
          <w:b/>
          <w:bCs/>
          <w:color w:val="auto"/>
          <w:sz w:val="24"/>
          <w:szCs w:val="24"/>
          <w:highlight w:val="none"/>
        </w:rPr>
        <w:t>采购需求：</w:t>
      </w:r>
      <w:r>
        <w:rPr>
          <w:rFonts w:hint="eastAsia" w:ascii="宋体" w:hAnsi="宋体" w:cs="宋体"/>
          <w:b/>
          <w:bCs/>
          <w:color w:val="auto"/>
          <w:sz w:val="24"/>
          <w:szCs w:val="24"/>
          <w:highlight w:val="none"/>
          <w:lang w:val="en-US" w:eastAsia="zh-CN"/>
        </w:rPr>
        <w:t>采购一批理化生、音乐、体育教学仪器安装调试并提供终端设备系统服务。</w:t>
      </w:r>
    </w:p>
    <w:p w14:paraId="5558AB10">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4" w:firstLineChars="200"/>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合同履行期限（供货期限）：</w:t>
      </w:r>
      <w:r>
        <w:rPr>
          <w:rFonts w:hint="eastAsia" w:ascii="宋体" w:hAnsi="宋体" w:cs="宋体"/>
          <w:b/>
          <w:bCs/>
          <w:color w:val="auto"/>
          <w:sz w:val="24"/>
          <w:szCs w:val="24"/>
          <w:highlight w:val="none"/>
          <w:lang w:val="en-US" w:eastAsia="zh-CN"/>
        </w:rPr>
        <w:t>合同签订后45日内供货并安装调试完毕。</w:t>
      </w:r>
    </w:p>
    <w:p w14:paraId="614B4984">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二、申请人的资格要求</w:t>
      </w:r>
    </w:p>
    <w:p w14:paraId="19A458D5">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4"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1、满足《中华人民共和国政府采购法》第二十二条规定</w:t>
      </w:r>
      <w:r>
        <w:rPr>
          <w:rFonts w:hint="eastAsia" w:ascii="宋体" w:hAnsi="宋体" w:eastAsia="宋体" w:cs="宋体"/>
          <w:color w:val="auto"/>
          <w:sz w:val="24"/>
          <w:szCs w:val="24"/>
          <w:highlight w:val="none"/>
          <w:lang w:eastAsia="zh-CN"/>
        </w:rPr>
        <w:t>。</w:t>
      </w:r>
    </w:p>
    <w:p w14:paraId="58869DF5">
      <w:pPr>
        <w:keepNext w:val="0"/>
        <w:keepLines w:val="0"/>
        <w:pageBreakBefore w:val="0"/>
        <w:widowControl w:val="0"/>
        <w:tabs>
          <w:tab w:val="left" w:pos="5527"/>
        </w:tabs>
        <w:kinsoku/>
        <w:wordWrap/>
        <w:overflowPunct/>
        <w:topLinePunct w:val="0"/>
        <w:autoSpaceDE/>
        <w:autoSpaceDN/>
        <w:bidi w:val="0"/>
        <w:adjustRightInd/>
        <w:snapToGrid/>
        <w:spacing w:line="500" w:lineRule="exact"/>
        <w:ind w:firstLine="484"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2、落实政府采购政策需满足的资格要求：</w:t>
      </w:r>
    </w:p>
    <w:p w14:paraId="63174ACB">
      <w:pPr>
        <w:keepNext w:val="0"/>
        <w:keepLines w:val="0"/>
        <w:pageBreakBefore w:val="0"/>
        <w:widowControl w:val="0"/>
        <w:tabs>
          <w:tab w:val="left" w:pos="5527"/>
        </w:tabs>
        <w:kinsoku/>
        <w:wordWrap/>
        <w:overflowPunct/>
        <w:topLinePunct w:val="0"/>
        <w:autoSpaceDE/>
        <w:autoSpaceDN/>
        <w:bidi w:val="0"/>
        <w:adjustRightInd/>
        <w:snapToGrid/>
        <w:spacing w:line="500" w:lineRule="exact"/>
        <w:ind w:firstLine="484" w:firstLineChars="200"/>
        <w:textAlignment w:val="auto"/>
        <w:outlineLvl w:val="9"/>
        <w:rPr>
          <w:rFonts w:hint="default" w:eastAsia="宋体"/>
          <w:color w:val="auto"/>
          <w:highlight w:val="none"/>
          <w:lang w:val="en-US" w:eastAsia="zh-CN"/>
        </w:rPr>
      </w:pPr>
      <w:bookmarkStart w:id="16" w:name="OLE_LINK4"/>
      <w:r>
        <w:rPr>
          <w:rFonts w:hint="eastAsia" w:ascii="宋体" w:hAnsi="宋体" w:cs="宋体"/>
          <w:b/>
          <w:bCs/>
          <w:color w:val="auto"/>
          <w:sz w:val="24"/>
          <w:szCs w:val="24"/>
          <w:highlight w:val="none"/>
          <w:lang w:val="en-US" w:eastAsia="zh-CN"/>
        </w:rPr>
        <w:t>本项目不专门面向中小企业。若投标供应商所提供的货物全部由符合政策要求的中小/小微企业制造，并按要求提交《中小企业声明函》，给予小型、微型企业享受价格10%扣除，用扣除后的价格参与评审</w:t>
      </w:r>
      <w:r>
        <w:rPr>
          <w:rFonts w:hint="eastAsia" w:ascii="宋体" w:hAnsi="宋体" w:eastAsia="宋体" w:cs="宋体"/>
          <w:b/>
          <w:bCs/>
          <w:color w:val="auto"/>
          <w:sz w:val="24"/>
          <w:szCs w:val="24"/>
          <w:highlight w:val="none"/>
          <w:lang w:val="en-US" w:eastAsia="zh-CN"/>
        </w:rPr>
        <w:t>。</w:t>
      </w:r>
    </w:p>
    <w:bookmarkEnd w:id="16"/>
    <w:p w14:paraId="103F8D83">
      <w:pPr>
        <w:keepNext w:val="0"/>
        <w:keepLines w:val="0"/>
        <w:pageBreakBefore w:val="0"/>
        <w:widowControl w:val="0"/>
        <w:tabs>
          <w:tab w:val="left" w:pos="5527"/>
        </w:tabs>
        <w:kinsoku/>
        <w:wordWrap/>
        <w:overflowPunct/>
        <w:topLinePunct w:val="0"/>
        <w:autoSpaceDE/>
        <w:autoSpaceDN/>
        <w:bidi w:val="0"/>
        <w:adjustRightInd/>
        <w:snapToGrid/>
        <w:spacing w:line="500" w:lineRule="exact"/>
        <w:ind w:firstLine="484"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3、本项目基本资格要求：</w:t>
      </w:r>
    </w:p>
    <w:p w14:paraId="341E4BD4">
      <w:pPr>
        <w:keepNext w:val="0"/>
        <w:keepLines w:val="0"/>
        <w:pageBreakBefore w:val="0"/>
        <w:widowControl w:val="0"/>
        <w:tabs>
          <w:tab w:val="left" w:pos="5527"/>
        </w:tabs>
        <w:kinsoku/>
        <w:wordWrap/>
        <w:overflowPunct/>
        <w:topLinePunct w:val="0"/>
        <w:autoSpaceDE/>
        <w:autoSpaceDN/>
        <w:bidi w:val="0"/>
        <w:adjustRightInd/>
        <w:snapToGrid/>
        <w:spacing w:line="500" w:lineRule="exact"/>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cs="宋体"/>
          <w:color w:val="auto"/>
          <w:sz w:val="24"/>
          <w:szCs w:val="24"/>
          <w:highlight w:val="none"/>
          <w:lang w:eastAsia="zh-CN"/>
        </w:rPr>
        <w:t>供应商必须是在中华人民共和国境内依法注册的、具有独立承担民事责任的能力，具备有效的营业执照</w:t>
      </w:r>
      <w:r>
        <w:rPr>
          <w:rFonts w:hint="eastAsia" w:ascii="宋体" w:hAnsi="宋体" w:eastAsia="宋体" w:cs="宋体"/>
          <w:color w:val="auto"/>
          <w:sz w:val="24"/>
          <w:szCs w:val="24"/>
          <w:highlight w:val="none"/>
          <w:lang w:eastAsia="zh-CN"/>
        </w:rPr>
        <w:t>；</w:t>
      </w:r>
    </w:p>
    <w:p w14:paraId="1350BF56">
      <w:pPr>
        <w:keepNext w:val="0"/>
        <w:keepLines w:val="0"/>
        <w:pageBreakBefore w:val="0"/>
        <w:widowControl w:val="0"/>
        <w:tabs>
          <w:tab w:val="left" w:pos="5527"/>
        </w:tabs>
        <w:kinsoku/>
        <w:wordWrap/>
        <w:overflowPunct/>
        <w:topLinePunct w:val="0"/>
        <w:autoSpaceDE/>
        <w:autoSpaceDN/>
        <w:bidi w:val="0"/>
        <w:adjustRightInd/>
        <w:snapToGrid/>
        <w:spacing w:line="500" w:lineRule="exact"/>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（2）法定代表人身份证或授权委托书及代理人身份证；</w:t>
      </w:r>
    </w:p>
    <w:p w14:paraId="0C1F731B">
      <w:pPr>
        <w:keepNext w:val="0"/>
        <w:keepLines w:val="0"/>
        <w:pageBreakBefore w:val="0"/>
        <w:widowControl w:val="0"/>
        <w:tabs>
          <w:tab w:val="left" w:pos="5527"/>
        </w:tabs>
        <w:kinsoku/>
        <w:wordWrap/>
        <w:overflowPunct/>
        <w:topLinePunct w:val="0"/>
        <w:autoSpaceDE/>
        <w:autoSpaceDN/>
        <w:bidi w:val="0"/>
        <w:adjustRightInd/>
        <w:snapToGrid/>
        <w:spacing w:line="500" w:lineRule="exact"/>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（3）未被“信用中国”（www.creditchina.gov.cn）、中国政府采购网（www.ccgp.gov.cn）列入失信被执行人、重大税收违法案件当事人名单、政府采购严重违法失信行为记录名单；</w:t>
      </w:r>
    </w:p>
    <w:p w14:paraId="6FB0F04B">
      <w:pPr>
        <w:keepNext w:val="0"/>
        <w:keepLines w:val="0"/>
        <w:pageBreakBefore w:val="0"/>
        <w:widowControl w:val="0"/>
        <w:tabs>
          <w:tab w:val="left" w:pos="5527"/>
        </w:tabs>
        <w:kinsoku/>
        <w:wordWrap/>
        <w:overflowPunct/>
        <w:topLinePunct w:val="0"/>
        <w:autoSpaceDE/>
        <w:autoSpaceDN/>
        <w:bidi w:val="0"/>
        <w:adjustRightInd/>
        <w:snapToGrid/>
        <w:spacing w:line="500" w:lineRule="exact"/>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（4）依法注册、具有合法资格，并在法律上、财务上与采购人和采购代理机构不发生关系；</w:t>
      </w:r>
    </w:p>
    <w:p w14:paraId="75B6CF45">
      <w:pPr>
        <w:keepNext w:val="0"/>
        <w:keepLines w:val="0"/>
        <w:pageBreakBefore w:val="0"/>
        <w:widowControl w:val="0"/>
        <w:tabs>
          <w:tab w:val="left" w:pos="5527"/>
        </w:tabs>
        <w:kinsoku/>
        <w:wordWrap/>
        <w:overflowPunct/>
        <w:topLinePunct w:val="0"/>
        <w:autoSpaceDE/>
        <w:autoSpaceDN/>
        <w:bidi w:val="0"/>
        <w:adjustRightInd/>
        <w:snapToGrid/>
        <w:spacing w:line="500" w:lineRule="exact"/>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（5）单位负责人为同一人或者存在直接控股、管理关系的不同供应商，不得参加同一合同项下的政府采购活动； </w:t>
      </w:r>
    </w:p>
    <w:p w14:paraId="3E34AF03">
      <w:pPr>
        <w:keepNext w:val="0"/>
        <w:keepLines w:val="0"/>
        <w:pageBreakBefore w:val="0"/>
        <w:widowControl w:val="0"/>
        <w:tabs>
          <w:tab w:val="left" w:pos="5527"/>
        </w:tabs>
        <w:kinsoku/>
        <w:wordWrap/>
        <w:overflowPunct/>
        <w:topLinePunct w:val="0"/>
        <w:autoSpaceDE/>
        <w:autoSpaceDN/>
        <w:bidi w:val="0"/>
        <w:adjustRightInd/>
        <w:snapToGrid/>
        <w:spacing w:line="500" w:lineRule="exact"/>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（6）符合国家有关法律法规的规定；</w:t>
      </w:r>
    </w:p>
    <w:p w14:paraId="77F5B932">
      <w:pPr>
        <w:keepNext w:val="0"/>
        <w:keepLines w:val="0"/>
        <w:pageBreakBefore w:val="0"/>
        <w:widowControl w:val="0"/>
        <w:tabs>
          <w:tab w:val="left" w:pos="5527"/>
        </w:tabs>
        <w:kinsoku/>
        <w:wordWrap/>
        <w:overflowPunct/>
        <w:topLinePunct w:val="0"/>
        <w:autoSpaceDE/>
        <w:autoSpaceDN/>
        <w:bidi w:val="0"/>
        <w:adjustRightInd/>
        <w:snapToGrid/>
        <w:spacing w:line="500" w:lineRule="exact"/>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（7）为充分保证完善的售后服务，本项目不接受联合体投标。</w:t>
      </w:r>
    </w:p>
    <w:p w14:paraId="1FA0727B">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4" w:firstLineChars="200"/>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4、</w:t>
      </w:r>
      <w:r>
        <w:rPr>
          <w:rFonts w:hint="eastAsia" w:ascii="宋体" w:hAnsi="宋体" w:eastAsia="宋体" w:cs="宋体"/>
          <w:b/>
          <w:bCs/>
          <w:color w:val="auto"/>
          <w:sz w:val="24"/>
          <w:szCs w:val="24"/>
          <w:highlight w:val="none"/>
        </w:rPr>
        <w:t>本项目的特定资格要求</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无</w:t>
      </w:r>
    </w:p>
    <w:p w14:paraId="5E0946CD">
      <w:pPr>
        <w:keepNext w:val="0"/>
        <w:keepLines w:val="0"/>
        <w:pageBreakBefore w:val="0"/>
        <w:widowControl w:val="0"/>
        <w:tabs>
          <w:tab w:val="left" w:pos="5527"/>
        </w:tabs>
        <w:kinsoku/>
        <w:wordWrap/>
        <w:overflowPunct/>
        <w:topLinePunct w:val="0"/>
        <w:autoSpaceDE/>
        <w:autoSpaceDN/>
        <w:bidi w:val="0"/>
        <w:adjustRightInd/>
        <w:snapToGrid/>
        <w:spacing w:line="440" w:lineRule="exact"/>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三、获取</w:t>
      </w:r>
      <w:r>
        <w:rPr>
          <w:rFonts w:hint="eastAsia" w:ascii="宋体" w:hAnsi="宋体" w:eastAsia="宋体" w:cs="宋体"/>
          <w:color w:val="auto"/>
          <w:sz w:val="24"/>
          <w:szCs w:val="24"/>
          <w:highlight w:val="none"/>
          <w:lang w:eastAsia="zh-CN"/>
        </w:rPr>
        <w:t>公开招标文件</w:t>
      </w:r>
    </w:p>
    <w:p w14:paraId="2D994272">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w:t>
      </w:r>
      <w:r>
        <w:rPr>
          <w:rFonts w:hint="eastAsia" w:ascii="宋体" w:hAnsi="宋体" w:eastAsia="宋体" w:cs="宋体"/>
          <w:b/>
          <w:bCs/>
          <w:color w:val="auto"/>
          <w:sz w:val="24"/>
          <w:szCs w:val="24"/>
          <w:highlight w:val="none"/>
          <w:u w:val="single"/>
        </w:rPr>
        <w:t>202</w:t>
      </w:r>
      <w:r>
        <w:rPr>
          <w:rFonts w:hint="eastAsia" w:ascii="宋体" w:hAnsi="宋体" w:cs="宋体"/>
          <w:b/>
          <w:bCs/>
          <w:color w:val="auto"/>
          <w:sz w:val="24"/>
          <w:szCs w:val="24"/>
          <w:highlight w:val="none"/>
          <w:u w:val="single"/>
          <w:lang w:val="en-US" w:eastAsia="zh-CN"/>
        </w:rPr>
        <w:t>5</w:t>
      </w:r>
      <w:r>
        <w:rPr>
          <w:rFonts w:hint="eastAsia" w:ascii="宋体" w:hAnsi="宋体" w:eastAsia="宋体" w:cs="宋体"/>
          <w:b/>
          <w:bCs/>
          <w:color w:val="auto"/>
          <w:sz w:val="24"/>
          <w:szCs w:val="24"/>
          <w:highlight w:val="none"/>
          <w:u w:val="single"/>
        </w:rPr>
        <w:t>年</w:t>
      </w:r>
      <w:r>
        <w:rPr>
          <w:rFonts w:hint="eastAsia" w:ascii="宋体" w:hAnsi="宋体" w:cs="宋体"/>
          <w:b/>
          <w:bCs/>
          <w:color w:val="auto"/>
          <w:sz w:val="24"/>
          <w:szCs w:val="24"/>
          <w:highlight w:val="none"/>
          <w:u w:val="single"/>
          <w:lang w:val="en-US" w:eastAsia="zh-CN"/>
        </w:rPr>
        <w:t>7</w:t>
      </w:r>
      <w:r>
        <w:rPr>
          <w:rFonts w:hint="eastAsia" w:ascii="宋体" w:hAnsi="宋体" w:eastAsia="宋体" w:cs="宋体"/>
          <w:b/>
          <w:bCs/>
          <w:color w:val="auto"/>
          <w:sz w:val="24"/>
          <w:szCs w:val="24"/>
          <w:highlight w:val="none"/>
          <w:u w:val="single"/>
        </w:rPr>
        <w:t>月</w:t>
      </w:r>
      <w:r>
        <w:rPr>
          <w:rFonts w:hint="eastAsia" w:ascii="宋体" w:hAnsi="宋体" w:cs="宋体"/>
          <w:b/>
          <w:bCs/>
          <w:color w:val="auto"/>
          <w:sz w:val="24"/>
          <w:szCs w:val="24"/>
          <w:highlight w:val="none"/>
          <w:u w:val="single"/>
          <w:lang w:val="en-US" w:eastAsia="zh-CN"/>
        </w:rPr>
        <w:t>2</w:t>
      </w:r>
      <w:bookmarkStart w:id="433" w:name="_GoBack"/>
      <w:bookmarkEnd w:id="433"/>
      <w:r>
        <w:rPr>
          <w:rFonts w:hint="eastAsia" w:ascii="宋体" w:hAnsi="宋体" w:cs="宋体"/>
          <w:b/>
          <w:bCs/>
          <w:color w:val="auto"/>
          <w:sz w:val="24"/>
          <w:szCs w:val="24"/>
          <w:highlight w:val="none"/>
          <w:u w:val="single"/>
          <w:lang w:val="en-US" w:eastAsia="zh-CN"/>
        </w:rPr>
        <w:t>日</w:t>
      </w:r>
      <w:r>
        <w:rPr>
          <w:rFonts w:hint="eastAsia" w:ascii="宋体" w:hAnsi="宋体" w:eastAsia="宋体" w:cs="宋体"/>
          <w:b/>
          <w:bCs/>
          <w:color w:val="auto"/>
          <w:sz w:val="24"/>
          <w:szCs w:val="24"/>
          <w:highlight w:val="none"/>
          <w:u w:val="single"/>
        </w:rPr>
        <w:t>至</w:t>
      </w:r>
      <w:r>
        <w:rPr>
          <w:rFonts w:hint="eastAsia" w:ascii="宋体" w:hAnsi="宋体" w:eastAsia="宋体" w:cs="宋体"/>
          <w:b/>
          <w:bCs/>
          <w:color w:val="auto"/>
          <w:sz w:val="24"/>
          <w:szCs w:val="24"/>
          <w:highlight w:val="none"/>
          <w:u w:val="single"/>
          <w:lang w:eastAsia="zh-CN"/>
        </w:rPr>
        <w:t>202</w:t>
      </w:r>
      <w:r>
        <w:rPr>
          <w:rFonts w:hint="eastAsia" w:ascii="宋体" w:hAnsi="宋体" w:cs="宋体"/>
          <w:b/>
          <w:bCs/>
          <w:color w:val="auto"/>
          <w:sz w:val="24"/>
          <w:szCs w:val="24"/>
          <w:highlight w:val="none"/>
          <w:u w:val="single"/>
          <w:lang w:val="en-US" w:eastAsia="zh-CN"/>
        </w:rPr>
        <w:t>5</w:t>
      </w:r>
      <w:r>
        <w:rPr>
          <w:rFonts w:hint="eastAsia" w:ascii="宋体" w:hAnsi="宋体" w:eastAsia="宋体" w:cs="宋体"/>
          <w:b/>
          <w:bCs/>
          <w:color w:val="auto"/>
          <w:sz w:val="24"/>
          <w:szCs w:val="24"/>
          <w:highlight w:val="none"/>
          <w:u w:val="single"/>
          <w:lang w:eastAsia="zh-CN"/>
        </w:rPr>
        <w:t>年</w:t>
      </w:r>
      <w:r>
        <w:rPr>
          <w:rFonts w:hint="eastAsia" w:ascii="宋体" w:hAnsi="宋体" w:cs="宋体"/>
          <w:b/>
          <w:bCs/>
          <w:color w:val="auto"/>
          <w:sz w:val="24"/>
          <w:szCs w:val="24"/>
          <w:highlight w:val="none"/>
          <w:u w:val="single"/>
          <w:lang w:val="en-US" w:eastAsia="zh-CN"/>
        </w:rPr>
        <w:t>7</w:t>
      </w:r>
      <w:r>
        <w:rPr>
          <w:rFonts w:hint="eastAsia" w:ascii="宋体" w:hAnsi="宋体" w:eastAsia="宋体" w:cs="宋体"/>
          <w:b/>
          <w:bCs/>
          <w:color w:val="auto"/>
          <w:sz w:val="24"/>
          <w:szCs w:val="24"/>
          <w:highlight w:val="none"/>
          <w:u w:val="single"/>
          <w:lang w:eastAsia="zh-CN"/>
        </w:rPr>
        <w:t>月</w:t>
      </w:r>
      <w:r>
        <w:rPr>
          <w:rFonts w:hint="eastAsia" w:ascii="宋体" w:hAnsi="宋体" w:cs="宋体"/>
          <w:b/>
          <w:bCs/>
          <w:color w:val="auto"/>
          <w:sz w:val="24"/>
          <w:szCs w:val="24"/>
          <w:highlight w:val="none"/>
          <w:u w:val="single"/>
          <w:lang w:val="en-US" w:eastAsia="zh-CN"/>
        </w:rPr>
        <w:t>10</w:t>
      </w:r>
      <w:r>
        <w:rPr>
          <w:rFonts w:hint="eastAsia" w:ascii="宋体" w:hAnsi="宋体" w:eastAsia="宋体" w:cs="宋体"/>
          <w:b/>
          <w:bCs/>
          <w:color w:val="auto"/>
          <w:sz w:val="24"/>
          <w:szCs w:val="24"/>
          <w:highlight w:val="none"/>
          <w:u w:val="single"/>
          <w:lang w:eastAsia="zh-CN"/>
        </w:rPr>
        <w:t>日</w:t>
      </w:r>
      <w:r>
        <w:rPr>
          <w:rFonts w:hint="eastAsia" w:ascii="宋体" w:hAnsi="宋体" w:eastAsia="宋体" w:cs="宋体"/>
          <w:b/>
          <w:bCs/>
          <w:color w:val="auto"/>
          <w:sz w:val="24"/>
          <w:szCs w:val="24"/>
          <w:highlight w:val="none"/>
        </w:rPr>
        <w:t>；每天上午10时00分至1</w:t>
      </w:r>
      <w:r>
        <w:rPr>
          <w:rFonts w:hint="eastAsia" w:ascii="宋体" w:hAnsi="宋体" w:eastAsia="宋体" w:cs="宋体"/>
          <w:b/>
          <w:bCs/>
          <w:color w:val="auto"/>
          <w:sz w:val="24"/>
          <w:szCs w:val="24"/>
          <w:highlight w:val="none"/>
          <w:lang w:val="en-US" w:eastAsia="zh-CN"/>
        </w:rPr>
        <w:t>4</w:t>
      </w:r>
      <w:r>
        <w:rPr>
          <w:rFonts w:hint="eastAsia" w:ascii="宋体" w:hAnsi="宋体" w:eastAsia="宋体" w:cs="宋体"/>
          <w:b/>
          <w:bCs/>
          <w:color w:val="auto"/>
          <w:sz w:val="24"/>
          <w:szCs w:val="24"/>
          <w:highlight w:val="none"/>
        </w:rPr>
        <w:t>时</w:t>
      </w:r>
      <w:r>
        <w:rPr>
          <w:rFonts w:hint="eastAsia" w:ascii="宋体" w:hAnsi="宋体" w:eastAsia="宋体" w:cs="宋体"/>
          <w:b/>
          <w:bCs/>
          <w:color w:val="auto"/>
          <w:sz w:val="24"/>
          <w:szCs w:val="24"/>
          <w:highlight w:val="none"/>
          <w:lang w:val="en-US" w:eastAsia="zh-CN"/>
        </w:rPr>
        <w:t>0</w:t>
      </w:r>
      <w:r>
        <w:rPr>
          <w:rFonts w:hint="eastAsia" w:ascii="宋体" w:hAnsi="宋体" w:eastAsia="宋体" w:cs="宋体"/>
          <w:b/>
          <w:bCs/>
          <w:color w:val="auto"/>
          <w:sz w:val="24"/>
          <w:szCs w:val="24"/>
          <w:highlight w:val="none"/>
        </w:rPr>
        <w:t>0分，下午1</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时00分至</w:t>
      </w:r>
      <w:r>
        <w:rPr>
          <w:rFonts w:hint="eastAsia" w:ascii="宋体" w:hAnsi="宋体" w:eastAsia="宋体" w:cs="宋体"/>
          <w:b/>
          <w:bCs/>
          <w:color w:val="auto"/>
          <w:sz w:val="24"/>
          <w:szCs w:val="24"/>
          <w:highlight w:val="none"/>
          <w:lang w:val="en-US" w:eastAsia="zh-CN"/>
        </w:rPr>
        <w:t>20</w:t>
      </w:r>
      <w:r>
        <w:rPr>
          <w:rFonts w:hint="eastAsia" w:ascii="宋体" w:hAnsi="宋体" w:eastAsia="宋体" w:cs="宋体"/>
          <w:b/>
          <w:bCs/>
          <w:color w:val="auto"/>
          <w:sz w:val="24"/>
          <w:szCs w:val="24"/>
          <w:highlight w:val="none"/>
        </w:rPr>
        <w:t>时</w:t>
      </w:r>
      <w:r>
        <w:rPr>
          <w:rFonts w:hint="eastAsia" w:ascii="宋体" w:hAnsi="宋体" w:eastAsia="宋体" w:cs="宋体"/>
          <w:b/>
          <w:bCs/>
          <w:color w:val="auto"/>
          <w:sz w:val="24"/>
          <w:szCs w:val="24"/>
          <w:highlight w:val="none"/>
          <w:lang w:val="en-US" w:eastAsia="zh-CN"/>
        </w:rPr>
        <w:t>00</w:t>
      </w:r>
      <w:r>
        <w:rPr>
          <w:rFonts w:hint="eastAsia" w:ascii="宋体" w:hAnsi="宋体" w:eastAsia="宋体" w:cs="宋体"/>
          <w:b/>
          <w:bCs/>
          <w:color w:val="auto"/>
          <w:sz w:val="24"/>
          <w:szCs w:val="24"/>
          <w:highlight w:val="none"/>
        </w:rPr>
        <w:t>分（北京时间，法定节假日除外）</w:t>
      </w:r>
    </w:p>
    <w:p w14:paraId="17F20DBB">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地点：政采云平台http://www.zcygov.cn/在线申请获取。</w:t>
      </w:r>
    </w:p>
    <w:p w14:paraId="00B8A5AE">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方式：供应商登录政采云平台https://www.zcygov.cn/在线申请获取采购文件（进入“项目采购”应用，在获取采购文件菜单中选择项目，申请获取采购文件）。</w:t>
      </w:r>
    </w:p>
    <w:p w14:paraId="5DAA46DF">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售价：免费获取</w:t>
      </w:r>
    </w:p>
    <w:p w14:paraId="432F5DFD">
      <w:pPr>
        <w:keepNext w:val="0"/>
        <w:keepLines w:val="0"/>
        <w:pageBreakBefore w:val="0"/>
        <w:widowControl w:val="0"/>
        <w:tabs>
          <w:tab w:val="left" w:pos="5527"/>
        </w:tabs>
        <w:kinsoku/>
        <w:wordWrap/>
        <w:overflowPunct/>
        <w:topLinePunct w:val="0"/>
        <w:autoSpaceDE/>
        <w:autoSpaceDN/>
        <w:bidi w:val="0"/>
        <w:adjustRightInd/>
        <w:snapToGrid/>
        <w:spacing w:line="440" w:lineRule="exact"/>
        <w:textAlignment w:val="auto"/>
        <w:outlineLvl w:val="9"/>
        <w:rPr>
          <w:rFonts w:hint="eastAsia" w:ascii="宋体" w:hAnsi="宋体" w:eastAsia="宋体" w:cs="宋体"/>
          <w:color w:val="auto"/>
          <w:sz w:val="24"/>
          <w:szCs w:val="24"/>
          <w:highlight w:val="none"/>
        </w:rPr>
      </w:pPr>
      <w:bookmarkStart w:id="17" w:name="_Toc28359005"/>
      <w:bookmarkStart w:id="18" w:name="_Toc28359082"/>
      <w:bookmarkStart w:id="19" w:name="_Toc35393624"/>
      <w:bookmarkStart w:id="20" w:name="_Toc35393793"/>
      <w:r>
        <w:rPr>
          <w:rFonts w:hint="eastAsia" w:ascii="宋体" w:hAnsi="宋体" w:eastAsia="宋体" w:cs="宋体"/>
          <w:color w:val="auto"/>
          <w:sz w:val="24"/>
          <w:szCs w:val="24"/>
          <w:highlight w:val="none"/>
        </w:rPr>
        <w:t>四、提交</w:t>
      </w:r>
      <w:bookmarkEnd w:id="17"/>
      <w:bookmarkEnd w:id="18"/>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截止时间、开标时间和地点</w:t>
      </w:r>
      <w:bookmarkEnd w:id="19"/>
      <w:bookmarkEnd w:id="20"/>
    </w:p>
    <w:p w14:paraId="542C7402">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4" w:firstLineChars="200"/>
        <w:textAlignment w:val="auto"/>
        <w:outlineLvl w:val="9"/>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rPr>
        <w:t>时间：</w:t>
      </w:r>
      <w:r>
        <w:rPr>
          <w:rFonts w:hint="eastAsia" w:ascii="宋体" w:hAnsi="宋体" w:cs="宋体"/>
          <w:b/>
          <w:bCs/>
          <w:color w:val="auto"/>
          <w:sz w:val="24"/>
          <w:szCs w:val="24"/>
          <w:highlight w:val="none"/>
          <w:u w:val="single"/>
          <w:lang w:eastAsia="zh-CN"/>
        </w:rPr>
        <w:t>2025年7月</w:t>
      </w:r>
      <w:r>
        <w:rPr>
          <w:rFonts w:hint="eastAsia" w:ascii="宋体" w:hAnsi="宋体" w:cs="宋体"/>
          <w:b/>
          <w:bCs/>
          <w:color w:val="auto"/>
          <w:sz w:val="24"/>
          <w:szCs w:val="24"/>
          <w:highlight w:val="none"/>
          <w:u w:val="single"/>
          <w:lang w:val="en-US" w:eastAsia="zh-CN"/>
        </w:rPr>
        <w:t>23</w:t>
      </w:r>
      <w:r>
        <w:rPr>
          <w:rFonts w:hint="eastAsia" w:ascii="宋体" w:hAnsi="宋体" w:cs="宋体"/>
          <w:b/>
          <w:bCs/>
          <w:color w:val="auto"/>
          <w:sz w:val="24"/>
          <w:szCs w:val="24"/>
          <w:highlight w:val="none"/>
          <w:u w:val="single"/>
          <w:lang w:eastAsia="zh-CN"/>
        </w:rPr>
        <w:t>日</w:t>
      </w:r>
      <w:r>
        <w:rPr>
          <w:rFonts w:hint="eastAsia" w:ascii="宋体" w:hAnsi="宋体" w:cs="宋体"/>
          <w:b/>
          <w:bCs/>
          <w:color w:val="auto"/>
          <w:sz w:val="24"/>
          <w:szCs w:val="24"/>
          <w:highlight w:val="none"/>
          <w:u w:val="single"/>
          <w:lang w:val="en-US" w:eastAsia="zh-CN"/>
        </w:rPr>
        <w:t>16时30分</w:t>
      </w:r>
      <w:r>
        <w:rPr>
          <w:rFonts w:hint="eastAsia" w:ascii="宋体" w:hAnsi="宋体" w:eastAsia="宋体" w:cs="宋体"/>
          <w:b/>
          <w:bCs/>
          <w:color w:val="auto"/>
          <w:sz w:val="24"/>
          <w:szCs w:val="24"/>
          <w:highlight w:val="none"/>
          <w:u w:val="single"/>
        </w:rPr>
        <w:t>（北京时间）</w:t>
      </w:r>
    </w:p>
    <w:p w14:paraId="31B2ED62">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4"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地点：政采云平台http://www.zcygov.cn/</w:t>
      </w:r>
    </w:p>
    <w:p w14:paraId="67C0FE02">
      <w:pPr>
        <w:keepNext w:val="0"/>
        <w:keepLines w:val="0"/>
        <w:pageBreakBefore w:val="0"/>
        <w:widowControl w:val="0"/>
        <w:tabs>
          <w:tab w:val="left" w:pos="5527"/>
        </w:tabs>
        <w:kinsoku/>
        <w:wordWrap/>
        <w:overflowPunct/>
        <w:topLinePunct w:val="0"/>
        <w:autoSpaceDE/>
        <w:autoSpaceDN/>
        <w:bidi w:val="0"/>
        <w:adjustRightInd/>
        <w:snapToGrid/>
        <w:spacing w:line="440" w:lineRule="exac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五、公告期限</w:t>
      </w:r>
    </w:p>
    <w:p w14:paraId="10EABA4E">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自本公告发布之日起</w:t>
      </w:r>
      <w:r>
        <w:rPr>
          <w:rFonts w:hint="eastAsia" w:ascii="宋体" w:hAnsi="宋体" w:eastAsia="宋体" w:cs="宋体"/>
          <w:color w:val="auto"/>
          <w:sz w:val="24"/>
          <w:szCs w:val="24"/>
          <w:highlight w:val="none"/>
          <w:u w:val="single"/>
        </w:rPr>
        <w:t>5</w:t>
      </w:r>
      <w:r>
        <w:rPr>
          <w:rFonts w:hint="eastAsia" w:ascii="宋体" w:hAnsi="宋体" w:eastAsia="宋体" w:cs="宋体"/>
          <w:color w:val="auto"/>
          <w:sz w:val="24"/>
          <w:szCs w:val="24"/>
          <w:highlight w:val="none"/>
        </w:rPr>
        <w:t>个工作日。</w:t>
      </w:r>
    </w:p>
    <w:p w14:paraId="07B4EE5B">
      <w:pPr>
        <w:keepNext w:val="0"/>
        <w:keepLines w:val="0"/>
        <w:pageBreakBefore w:val="0"/>
        <w:widowControl w:val="0"/>
        <w:tabs>
          <w:tab w:val="left" w:pos="5527"/>
        </w:tabs>
        <w:kinsoku/>
        <w:wordWrap/>
        <w:overflowPunct/>
        <w:topLinePunct w:val="0"/>
        <w:autoSpaceDE/>
        <w:autoSpaceDN/>
        <w:bidi w:val="0"/>
        <w:adjustRightInd/>
        <w:snapToGrid/>
        <w:spacing w:line="440" w:lineRule="exac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六、其他补充事宜</w:t>
      </w:r>
    </w:p>
    <w:p w14:paraId="22DCB96E">
      <w:pPr>
        <w:keepNext w:val="0"/>
        <w:keepLines w:val="0"/>
        <w:pageBreakBefore w:val="0"/>
        <w:widowControl w:val="0"/>
        <w:shd w:val="clear" w:color="auto" w:fill="auto"/>
        <w:kinsoku/>
        <w:wordWrap/>
        <w:overflowPunct/>
        <w:topLinePunct w:val="0"/>
        <w:autoSpaceDE/>
        <w:autoSpaceDN/>
        <w:bidi w:val="0"/>
        <w:adjustRightInd/>
        <w:snapToGrid/>
        <w:spacing w:line="351"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1、本项目实行网上投标，采用电子</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。若供应商参与</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，自行承担</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一切费用。</w:t>
      </w:r>
    </w:p>
    <w:p w14:paraId="44ABE47D">
      <w:pPr>
        <w:keepNext w:val="0"/>
        <w:keepLines w:val="0"/>
        <w:pageBreakBefore w:val="0"/>
        <w:widowControl w:val="0"/>
        <w:shd w:val="clear" w:color="auto" w:fill="auto"/>
        <w:kinsoku/>
        <w:wordWrap/>
        <w:overflowPunct/>
        <w:topLinePunct w:val="0"/>
        <w:autoSpaceDE/>
        <w:autoSpaceDN/>
        <w:bidi w:val="0"/>
        <w:adjustRightInd/>
        <w:snapToGrid/>
        <w:spacing w:line="351"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2、各供应商应在开标前应确保成为新疆维吾尔自治区政府采购网正式注册入库供应商，并完成CA数字证书申领。因未注册入库、未办理CA数字证书等原因造成无法投标或投标失败等后果由供应商自行承担。</w:t>
      </w:r>
    </w:p>
    <w:p w14:paraId="33F0BE34">
      <w:pPr>
        <w:keepNext w:val="0"/>
        <w:keepLines w:val="0"/>
        <w:pageBreakBefore w:val="0"/>
        <w:widowControl w:val="0"/>
        <w:shd w:val="clear" w:color="auto" w:fill="auto"/>
        <w:kinsoku/>
        <w:wordWrap/>
        <w:overflowPunct/>
        <w:topLinePunct w:val="0"/>
        <w:autoSpaceDE/>
        <w:autoSpaceDN/>
        <w:bidi w:val="0"/>
        <w:adjustRightInd/>
        <w:snapToGrid/>
        <w:spacing w:line="351"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3、供应商将政采云电子交易客户端下载、安装完成后，可通过账号密码或CA登录客户端进行</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制作。在使用政采云投标客户端时，建议使用WIN7及以上操作系统。客户端请至新疆政府采购网（http://www.ccgp-xinjiang.gov.cn/）下载专区查看，如有问题可拨打政采云客户服务热线95763进行咨询。</w:t>
      </w:r>
    </w:p>
    <w:p w14:paraId="0CA3172E">
      <w:pPr>
        <w:keepNext w:val="0"/>
        <w:keepLines w:val="0"/>
        <w:pageBreakBefore w:val="0"/>
        <w:widowControl w:val="0"/>
        <w:shd w:val="clear" w:color="auto" w:fill="auto"/>
        <w:kinsoku/>
        <w:wordWrap/>
        <w:overflowPunct/>
        <w:topLinePunct w:val="0"/>
        <w:autoSpaceDE/>
        <w:autoSpaceDN/>
        <w:bidi w:val="0"/>
        <w:adjustRightInd/>
        <w:snapToGrid/>
        <w:spacing w:line="351"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本项目通过“政府采购云平台（www.zcygov.cn）”实行在线投标响应（电子投标），供应商应先安装“政采云电子交易客户端”，并按照本招标文件和“政府采购云平台”的要求，通过“政采云电子交易客户端”编制并加密</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。供应商未按规定加密的</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，“政府采购云平台”将予以拒收。电子投标具体操作流程详见本公告附件《供应商项目采购-电子招投标操作指南》；通过“政府采购云平台”参与在线投标时如遇平台技术问题详询95763。</w:t>
      </w:r>
    </w:p>
    <w:p w14:paraId="163A6C52">
      <w:pPr>
        <w:keepNext w:val="0"/>
        <w:keepLines w:val="0"/>
        <w:pageBreakBefore w:val="0"/>
        <w:widowControl w:val="0"/>
        <w:shd w:val="clear" w:color="auto" w:fill="auto"/>
        <w:kinsoku/>
        <w:wordWrap/>
        <w:overflowPunct/>
        <w:topLinePunct w:val="0"/>
        <w:autoSpaceDE/>
        <w:autoSpaceDN/>
        <w:bidi w:val="0"/>
        <w:adjustRightInd/>
        <w:snapToGrid/>
        <w:spacing w:line="351"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为确保网上操作合法、有效和安全，投标供应商应当在投标截止时间前完成在“政府采购云平台”的身份认证，确保在电子投标过程中能够对相关数据电文进行加密和使用电子签章。使用“政采云电子交易客户端”需要提前申领CA数字证书；</w:t>
      </w:r>
    </w:p>
    <w:p w14:paraId="5C07F8A4">
      <w:pPr>
        <w:keepNext w:val="0"/>
        <w:keepLines w:val="0"/>
        <w:pageBreakBefore w:val="0"/>
        <w:widowControl w:val="0"/>
        <w:shd w:val="clear" w:color="auto" w:fill="auto"/>
        <w:kinsoku/>
        <w:wordWrap/>
        <w:overflowPunct/>
        <w:topLinePunct w:val="0"/>
        <w:autoSpaceDE/>
        <w:autoSpaceDN/>
        <w:bidi w:val="0"/>
        <w:adjustRightInd/>
        <w:snapToGrid/>
        <w:spacing w:line="351"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6、投标供应商应当在投标截止时间前，将生成的“电子加密</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”上传递交至“政府采购云平台”。投标截止时间以后上传递交的</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将被“政府采购云平台”拒收。</w:t>
      </w:r>
    </w:p>
    <w:p w14:paraId="61844787">
      <w:pPr>
        <w:keepNext w:val="0"/>
        <w:keepLines w:val="0"/>
        <w:pageBreakBefore w:val="0"/>
        <w:widowControl w:val="0"/>
        <w:tabs>
          <w:tab w:val="left" w:pos="5527"/>
        </w:tabs>
        <w:kinsoku/>
        <w:wordWrap/>
        <w:overflowPunct/>
        <w:topLinePunct w:val="0"/>
        <w:autoSpaceDE/>
        <w:autoSpaceDN/>
        <w:bidi w:val="0"/>
        <w:adjustRightInd/>
        <w:snapToGrid/>
        <w:spacing w:line="440" w:lineRule="exac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七、对本次采购提出询问，请按以下方式联系</w:t>
      </w:r>
    </w:p>
    <w:p w14:paraId="66D3BABF">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1.采购人信息</w:t>
      </w:r>
    </w:p>
    <w:p w14:paraId="21AC0D92">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4"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名  称：</w:t>
      </w:r>
      <w:r>
        <w:rPr>
          <w:rFonts w:hint="eastAsia" w:ascii="宋体" w:hAnsi="宋体" w:cs="宋体"/>
          <w:color w:val="auto"/>
          <w:sz w:val="24"/>
          <w:szCs w:val="24"/>
          <w:highlight w:val="none"/>
          <w:lang w:eastAsia="zh-CN"/>
        </w:rPr>
        <w:t xml:space="preserve">焉耆回族自治县教育和科学技术局     </w:t>
      </w:r>
    </w:p>
    <w:p w14:paraId="34177DA3">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联系人：</w:t>
      </w:r>
      <w:r>
        <w:rPr>
          <w:rFonts w:hint="eastAsia" w:ascii="宋体" w:hAnsi="宋体" w:cs="宋体"/>
          <w:color w:val="auto"/>
          <w:sz w:val="24"/>
          <w:szCs w:val="24"/>
          <w:highlight w:val="none"/>
          <w:lang w:val="en-US" w:eastAsia="zh-CN"/>
        </w:rPr>
        <w:t>赵义峰</w:t>
      </w:r>
    </w:p>
    <w:p w14:paraId="5F9DE8D3">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电  话：</w:t>
      </w:r>
      <w:r>
        <w:rPr>
          <w:rFonts w:hint="eastAsia" w:ascii="宋体" w:hAnsi="宋体" w:cs="宋体"/>
          <w:color w:val="auto"/>
          <w:sz w:val="24"/>
          <w:szCs w:val="24"/>
          <w:highlight w:val="none"/>
          <w:lang w:val="en-US" w:eastAsia="zh-CN"/>
        </w:rPr>
        <w:t>0996-8771059</w:t>
      </w:r>
    </w:p>
    <w:p w14:paraId="7FA23CCC">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采购代理机构信息</w:t>
      </w:r>
    </w:p>
    <w:p w14:paraId="0BAA334D">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称：</w:t>
      </w:r>
      <w:r>
        <w:rPr>
          <w:rFonts w:hint="eastAsia" w:ascii="宋体" w:hAnsi="宋体" w:eastAsia="宋体" w:cs="宋体"/>
          <w:color w:val="auto"/>
          <w:sz w:val="24"/>
          <w:szCs w:val="24"/>
          <w:highlight w:val="none"/>
          <w:lang w:eastAsia="zh-CN"/>
        </w:rPr>
        <w:t>新疆德泰</w:t>
      </w:r>
      <w:r>
        <w:rPr>
          <w:rFonts w:hint="eastAsia" w:ascii="宋体" w:hAnsi="宋体" w:eastAsia="宋体" w:cs="宋体"/>
          <w:color w:val="auto"/>
          <w:sz w:val="24"/>
          <w:szCs w:val="24"/>
          <w:highlight w:val="none"/>
        </w:rPr>
        <w:t>工程项目管理服务有限公司</w:t>
      </w:r>
    </w:p>
    <w:p w14:paraId="5D1D31A8">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地</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址：</w:t>
      </w:r>
      <w:r>
        <w:rPr>
          <w:rFonts w:hint="eastAsia" w:ascii="宋体" w:hAnsi="宋体" w:eastAsia="宋体" w:cs="宋体"/>
          <w:color w:val="auto"/>
          <w:sz w:val="24"/>
          <w:szCs w:val="24"/>
          <w:highlight w:val="none"/>
          <w:lang w:val="en-US" w:eastAsia="zh-CN"/>
        </w:rPr>
        <w:t>库尔勒市索克巴格路6号壹品千城商业街2栋3层8号</w:t>
      </w:r>
    </w:p>
    <w:p w14:paraId="12ECC118">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 系 人：</w:t>
      </w:r>
      <w:r>
        <w:rPr>
          <w:rFonts w:hint="eastAsia" w:ascii="宋体" w:hAnsi="宋体" w:cs="宋体"/>
          <w:color w:val="auto"/>
          <w:sz w:val="24"/>
          <w:szCs w:val="24"/>
          <w:highlight w:val="none"/>
          <w:lang w:val="en-US" w:eastAsia="zh-CN"/>
        </w:rPr>
        <w:t>王金玲</w:t>
      </w:r>
    </w:p>
    <w:p w14:paraId="44D49094">
      <w:pPr>
        <w:keepNext w:val="0"/>
        <w:keepLines w:val="0"/>
        <w:pageBreakBefore w:val="0"/>
        <w:widowControl w:val="0"/>
        <w:tabs>
          <w:tab w:val="left" w:pos="5527"/>
        </w:tabs>
        <w:kinsoku/>
        <w:wordWrap/>
        <w:overflowPunct/>
        <w:topLinePunct w:val="0"/>
        <w:autoSpaceDE/>
        <w:autoSpaceDN/>
        <w:bidi w:val="0"/>
        <w:adjustRightInd/>
        <w:snapToGrid/>
        <w:spacing w:line="440" w:lineRule="exact"/>
        <w:ind w:firstLine="484"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联系方式：</w:t>
      </w:r>
      <w:r>
        <w:rPr>
          <w:rFonts w:hint="eastAsia" w:ascii="宋体" w:hAnsi="宋体" w:cs="宋体"/>
          <w:color w:val="auto"/>
          <w:sz w:val="24"/>
          <w:szCs w:val="24"/>
          <w:highlight w:val="none"/>
          <w:lang w:eastAsia="zh-CN"/>
        </w:rPr>
        <w:t>19999465816</w:t>
      </w:r>
    </w:p>
    <w:p w14:paraId="70080929">
      <w:pPr>
        <w:tabs>
          <w:tab w:val="left" w:pos="5527"/>
        </w:tabs>
        <w:outlineLvl w:val="9"/>
        <w:rPr>
          <w:rStyle w:val="38"/>
          <w:rFonts w:hint="eastAsia" w:ascii="宋体" w:hAnsi="宋体" w:eastAsia="宋体" w:cs="宋体"/>
          <w:b/>
          <w:bCs/>
          <w:color w:val="auto"/>
          <w:sz w:val="32"/>
          <w:szCs w:val="32"/>
          <w:highlight w:val="none"/>
        </w:rPr>
      </w:pPr>
      <w:bookmarkStart w:id="21" w:name="_Toc21191"/>
      <w:bookmarkStart w:id="22" w:name="_Toc28183"/>
      <w:bookmarkStart w:id="23" w:name="_Toc31575"/>
      <w:bookmarkStart w:id="24" w:name="_Toc3183"/>
      <w:r>
        <w:rPr>
          <w:rStyle w:val="38"/>
          <w:rFonts w:hint="eastAsia" w:ascii="宋体" w:hAnsi="宋体" w:eastAsia="宋体" w:cs="宋体"/>
          <w:b/>
          <w:bCs/>
          <w:color w:val="auto"/>
          <w:sz w:val="32"/>
          <w:szCs w:val="32"/>
          <w:highlight w:val="none"/>
        </w:rPr>
        <w:br w:type="page"/>
      </w:r>
    </w:p>
    <w:p w14:paraId="57B5633F">
      <w:pPr>
        <w:tabs>
          <w:tab w:val="left" w:pos="5527"/>
        </w:tabs>
        <w:spacing w:line="360" w:lineRule="auto"/>
        <w:jc w:val="center"/>
        <w:outlineLvl w:val="0"/>
        <w:rPr>
          <w:rStyle w:val="38"/>
          <w:rFonts w:hint="eastAsia" w:ascii="宋体" w:hAnsi="宋体" w:eastAsia="宋体" w:cs="宋体"/>
          <w:b/>
          <w:bCs/>
          <w:color w:val="auto"/>
          <w:sz w:val="32"/>
          <w:szCs w:val="32"/>
          <w:highlight w:val="none"/>
        </w:rPr>
      </w:pPr>
      <w:bookmarkStart w:id="25" w:name="_Toc29724"/>
      <w:bookmarkStart w:id="26" w:name="_Toc5394"/>
      <w:bookmarkStart w:id="27" w:name="_Toc3381"/>
      <w:bookmarkStart w:id="28" w:name="_Toc25637"/>
      <w:bookmarkStart w:id="29" w:name="_Toc26779"/>
      <w:bookmarkStart w:id="30" w:name="_Toc11684"/>
      <w:r>
        <w:rPr>
          <w:rStyle w:val="38"/>
          <w:rFonts w:hint="eastAsia" w:ascii="宋体" w:hAnsi="宋体" w:eastAsia="宋体" w:cs="宋体"/>
          <w:b/>
          <w:bCs/>
          <w:color w:val="auto"/>
          <w:sz w:val="32"/>
          <w:szCs w:val="32"/>
          <w:highlight w:val="none"/>
        </w:rPr>
        <w:t>第二章 供应商须知</w:t>
      </w:r>
      <w:bookmarkEnd w:id="21"/>
      <w:bookmarkEnd w:id="22"/>
      <w:bookmarkEnd w:id="23"/>
      <w:bookmarkEnd w:id="24"/>
      <w:bookmarkEnd w:id="25"/>
      <w:bookmarkEnd w:id="26"/>
      <w:bookmarkEnd w:id="27"/>
      <w:bookmarkEnd w:id="28"/>
      <w:bookmarkEnd w:id="29"/>
    </w:p>
    <w:bookmarkEnd w:id="30"/>
    <w:p w14:paraId="6D355C4E">
      <w:pPr>
        <w:tabs>
          <w:tab w:val="left" w:pos="5527"/>
        </w:tabs>
        <w:bidi w:val="0"/>
        <w:jc w:val="center"/>
        <w:outlineLvl w:val="1"/>
        <w:rPr>
          <w:rFonts w:hint="eastAsia" w:ascii="宋体" w:hAnsi="宋体" w:eastAsia="宋体" w:cs="宋体"/>
          <w:b/>
          <w:bCs/>
          <w:color w:val="auto"/>
          <w:sz w:val="28"/>
          <w:szCs w:val="28"/>
          <w:highlight w:val="none"/>
        </w:rPr>
      </w:pPr>
      <w:bookmarkStart w:id="31" w:name="_Toc14932"/>
      <w:bookmarkStart w:id="32" w:name="_Toc22839"/>
      <w:bookmarkStart w:id="33" w:name="_Toc16059"/>
      <w:bookmarkStart w:id="34" w:name="_Toc32145"/>
      <w:bookmarkStart w:id="35" w:name="_Toc12802"/>
      <w:bookmarkStart w:id="36" w:name="_Toc12824"/>
      <w:r>
        <w:rPr>
          <w:rFonts w:hint="eastAsia" w:ascii="宋体" w:hAnsi="宋体" w:eastAsia="宋体" w:cs="宋体"/>
          <w:b/>
          <w:bCs/>
          <w:color w:val="auto"/>
          <w:sz w:val="28"/>
          <w:szCs w:val="28"/>
          <w:highlight w:val="none"/>
          <w:lang w:val="en-US" w:eastAsia="zh-CN"/>
        </w:rPr>
        <w:t>供应商</w:t>
      </w:r>
      <w:r>
        <w:rPr>
          <w:rFonts w:hint="eastAsia" w:ascii="宋体" w:hAnsi="宋体" w:eastAsia="宋体" w:cs="宋体"/>
          <w:b/>
          <w:bCs/>
          <w:color w:val="auto"/>
          <w:sz w:val="28"/>
          <w:szCs w:val="28"/>
          <w:highlight w:val="none"/>
        </w:rPr>
        <w:t>须知前附表</w:t>
      </w:r>
      <w:bookmarkEnd w:id="31"/>
      <w:bookmarkEnd w:id="32"/>
      <w:bookmarkEnd w:id="33"/>
      <w:bookmarkEnd w:id="34"/>
      <w:bookmarkEnd w:id="35"/>
      <w:bookmarkEnd w:id="36"/>
    </w:p>
    <w:tbl>
      <w:tblPr>
        <w:tblStyle w:val="27"/>
        <w:tblW w:w="10270" w:type="dxa"/>
        <w:jc w:val="center"/>
        <w:tblLayout w:type="fixed"/>
        <w:tblCellMar>
          <w:top w:w="0" w:type="dxa"/>
          <w:left w:w="108" w:type="dxa"/>
          <w:bottom w:w="0" w:type="dxa"/>
          <w:right w:w="108" w:type="dxa"/>
        </w:tblCellMar>
      </w:tblPr>
      <w:tblGrid>
        <w:gridCol w:w="997"/>
        <w:gridCol w:w="1880"/>
        <w:gridCol w:w="7393"/>
      </w:tblGrid>
      <w:tr w14:paraId="518A8945">
        <w:tblPrEx>
          <w:tblCellMar>
            <w:top w:w="0" w:type="dxa"/>
            <w:left w:w="108" w:type="dxa"/>
            <w:bottom w:w="0" w:type="dxa"/>
            <w:right w:w="108" w:type="dxa"/>
          </w:tblCellMar>
        </w:tblPrEx>
        <w:trPr>
          <w:trHeight w:val="448" w:hRule="atLeast"/>
          <w:jc w:val="center"/>
        </w:trPr>
        <w:tc>
          <w:tcPr>
            <w:tcW w:w="997" w:type="dxa"/>
            <w:tcBorders>
              <w:top w:val="single" w:color="auto" w:sz="4" w:space="0"/>
              <w:left w:val="single" w:color="auto" w:sz="4" w:space="0"/>
              <w:bottom w:val="single" w:color="auto" w:sz="4" w:space="0"/>
              <w:right w:val="single" w:color="auto" w:sz="4" w:space="0"/>
            </w:tcBorders>
            <w:vAlign w:val="center"/>
          </w:tcPr>
          <w:p w14:paraId="3E90922F">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w:t>
            </w:r>
          </w:p>
        </w:tc>
        <w:tc>
          <w:tcPr>
            <w:tcW w:w="1880" w:type="dxa"/>
            <w:tcBorders>
              <w:top w:val="single" w:color="auto" w:sz="4" w:space="0"/>
              <w:left w:val="single" w:color="auto" w:sz="4" w:space="0"/>
              <w:bottom w:val="single" w:color="auto" w:sz="4" w:space="0"/>
              <w:right w:val="single" w:color="auto" w:sz="4" w:space="0"/>
            </w:tcBorders>
            <w:vAlign w:val="center"/>
          </w:tcPr>
          <w:p w14:paraId="0D6B821A">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条款名称</w:t>
            </w:r>
          </w:p>
        </w:tc>
        <w:tc>
          <w:tcPr>
            <w:tcW w:w="7393" w:type="dxa"/>
            <w:tcBorders>
              <w:top w:val="single" w:color="auto" w:sz="4" w:space="0"/>
              <w:left w:val="single" w:color="auto" w:sz="4" w:space="0"/>
              <w:bottom w:val="single" w:color="auto" w:sz="4" w:space="0"/>
              <w:right w:val="single" w:color="auto" w:sz="4" w:space="0"/>
            </w:tcBorders>
            <w:vAlign w:val="center"/>
          </w:tcPr>
          <w:p w14:paraId="0E52E0AB">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编 列 内 容</w:t>
            </w:r>
          </w:p>
        </w:tc>
      </w:tr>
      <w:tr w14:paraId="28FCEDA8">
        <w:tblPrEx>
          <w:tblCellMar>
            <w:top w:w="0" w:type="dxa"/>
            <w:left w:w="108" w:type="dxa"/>
            <w:bottom w:w="0" w:type="dxa"/>
            <w:right w:w="108" w:type="dxa"/>
          </w:tblCellMar>
        </w:tblPrEx>
        <w:trPr>
          <w:trHeight w:val="737" w:hRule="atLeast"/>
          <w:jc w:val="center"/>
        </w:trPr>
        <w:tc>
          <w:tcPr>
            <w:tcW w:w="997" w:type="dxa"/>
            <w:tcBorders>
              <w:top w:val="single" w:color="auto" w:sz="4" w:space="0"/>
              <w:left w:val="single" w:color="auto" w:sz="4" w:space="0"/>
              <w:bottom w:val="single" w:color="auto" w:sz="4" w:space="0"/>
              <w:right w:val="single" w:color="auto" w:sz="4" w:space="0"/>
            </w:tcBorders>
            <w:vAlign w:val="center"/>
          </w:tcPr>
          <w:p w14:paraId="7BAC1556">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880" w:type="dxa"/>
            <w:tcBorders>
              <w:top w:val="single" w:color="auto" w:sz="4" w:space="0"/>
              <w:left w:val="single" w:color="auto" w:sz="4" w:space="0"/>
              <w:bottom w:val="single" w:color="auto" w:sz="4" w:space="0"/>
              <w:right w:val="single" w:color="auto" w:sz="4" w:space="0"/>
            </w:tcBorders>
            <w:vAlign w:val="center"/>
          </w:tcPr>
          <w:p w14:paraId="27D8BC75">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w:t>
            </w:r>
          </w:p>
        </w:tc>
        <w:tc>
          <w:tcPr>
            <w:tcW w:w="7393" w:type="dxa"/>
            <w:tcBorders>
              <w:top w:val="single" w:color="auto" w:sz="4" w:space="0"/>
              <w:left w:val="single" w:color="auto" w:sz="4" w:space="0"/>
              <w:bottom w:val="single" w:color="auto" w:sz="4" w:space="0"/>
              <w:right w:val="single" w:color="auto" w:sz="4" w:space="0"/>
            </w:tcBorders>
            <w:vAlign w:val="center"/>
          </w:tcPr>
          <w:p w14:paraId="32D54FE1">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名  称：</w:t>
            </w:r>
            <w:r>
              <w:rPr>
                <w:rFonts w:hint="eastAsia" w:ascii="宋体" w:hAnsi="宋体" w:cs="宋体"/>
                <w:color w:val="auto"/>
                <w:sz w:val="24"/>
                <w:szCs w:val="24"/>
                <w:highlight w:val="none"/>
                <w:lang w:eastAsia="zh-CN"/>
              </w:rPr>
              <w:t xml:space="preserve">焉耆回族自治县教育和科学技术局     </w:t>
            </w:r>
          </w:p>
          <w:p w14:paraId="79C0B134">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  址：</w:t>
            </w:r>
            <w:r>
              <w:rPr>
                <w:rFonts w:hint="eastAsia" w:ascii="宋体" w:hAnsi="宋体" w:cs="宋体"/>
                <w:color w:val="auto"/>
                <w:sz w:val="24"/>
                <w:szCs w:val="24"/>
                <w:highlight w:val="none"/>
                <w:lang w:eastAsia="zh-CN"/>
              </w:rPr>
              <w:t>焉耆县</w:t>
            </w:r>
          </w:p>
          <w:p w14:paraId="51FD9BC6">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联系人：</w:t>
            </w:r>
            <w:r>
              <w:rPr>
                <w:rFonts w:hint="eastAsia" w:ascii="宋体" w:hAnsi="宋体" w:cs="宋体"/>
                <w:color w:val="auto"/>
                <w:sz w:val="24"/>
                <w:szCs w:val="24"/>
                <w:highlight w:val="none"/>
                <w:lang w:val="en-US" w:eastAsia="zh-CN"/>
              </w:rPr>
              <w:t>赵义峰</w:t>
            </w:r>
          </w:p>
          <w:p w14:paraId="02F0F8F5">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电  话：</w:t>
            </w:r>
            <w:r>
              <w:rPr>
                <w:rFonts w:hint="eastAsia" w:ascii="宋体" w:hAnsi="宋体" w:cs="宋体"/>
                <w:color w:val="auto"/>
                <w:sz w:val="24"/>
                <w:szCs w:val="24"/>
                <w:highlight w:val="none"/>
                <w:lang w:val="en-US" w:eastAsia="zh-CN"/>
              </w:rPr>
              <w:t>0996-8771059</w:t>
            </w:r>
          </w:p>
        </w:tc>
      </w:tr>
      <w:tr w14:paraId="655D42B5">
        <w:tblPrEx>
          <w:tblCellMar>
            <w:top w:w="0" w:type="dxa"/>
            <w:left w:w="108" w:type="dxa"/>
            <w:bottom w:w="0" w:type="dxa"/>
            <w:right w:w="108" w:type="dxa"/>
          </w:tblCellMar>
        </w:tblPrEx>
        <w:trPr>
          <w:trHeight w:val="90" w:hRule="atLeast"/>
          <w:jc w:val="center"/>
        </w:trPr>
        <w:tc>
          <w:tcPr>
            <w:tcW w:w="997" w:type="dxa"/>
            <w:tcBorders>
              <w:top w:val="single" w:color="auto" w:sz="4" w:space="0"/>
              <w:left w:val="single" w:color="auto" w:sz="4" w:space="0"/>
              <w:bottom w:val="single" w:color="auto" w:sz="4" w:space="0"/>
              <w:right w:val="single" w:color="auto" w:sz="4" w:space="0"/>
            </w:tcBorders>
            <w:vAlign w:val="center"/>
          </w:tcPr>
          <w:p w14:paraId="5C190607">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880" w:type="dxa"/>
            <w:tcBorders>
              <w:top w:val="single" w:color="auto" w:sz="4" w:space="0"/>
              <w:left w:val="single" w:color="auto" w:sz="4" w:space="0"/>
              <w:bottom w:val="single" w:color="auto" w:sz="4" w:space="0"/>
              <w:right w:val="single" w:color="auto" w:sz="4" w:space="0"/>
            </w:tcBorders>
            <w:vAlign w:val="center"/>
          </w:tcPr>
          <w:p w14:paraId="4DDAFBCC">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采购代理机构</w:t>
            </w:r>
          </w:p>
        </w:tc>
        <w:tc>
          <w:tcPr>
            <w:tcW w:w="7393" w:type="dxa"/>
            <w:tcBorders>
              <w:top w:val="single" w:color="auto" w:sz="4" w:space="0"/>
              <w:left w:val="single" w:color="auto" w:sz="4" w:space="0"/>
              <w:bottom w:val="single" w:color="auto" w:sz="4" w:space="0"/>
              <w:right w:val="single" w:color="auto" w:sz="4" w:space="0"/>
            </w:tcBorders>
            <w:vAlign w:val="center"/>
          </w:tcPr>
          <w:p w14:paraId="15769C2E">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  称：</w:t>
            </w:r>
            <w:r>
              <w:rPr>
                <w:rFonts w:hint="eastAsia" w:ascii="宋体" w:hAnsi="宋体" w:eastAsia="宋体" w:cs="宋体"/>
                <w:color w:val="auto"/>
                <w:sz w:val="24"/>
                <w:szCs w:val="24"/>
                <w:highlight w:val="none"/>
                <w:lang w:eastAsia="zh-CN"/>
              </w:rPr>
              <w:t>新疆德泰</w:t>
            </w:r>
            <w:r>
              <w:rPr>
                <w:rFonts w:hint="eastAsia" w:ascii="宋体" w:hAnsi="宋体" w:eastAsia="宋体" w:cs="宋体"/>
                <w:color w:val="auto"/>
                <w:sz w:val="24"/>
                <w:szCs w:val="24"/>
                <w:highlight w:val="none"/>
              </w:rPr>
              <w:t>工程项目管理服务有限公司</w:t>
            </w:r>
          </w:p>
          <w:p w14:paraId="43FC2862">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968" w:right="0" w:hanging="968" w:hangingChars="4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地  址：库尔勒市索克巴格路6号壹品千城商业街2栋3层8号</w:t>
            </w:r>
          </w:p>
          <w:p w14:paraId="4C3D1C9D">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联系人：</w:t>
            </w:r>
            <w:r>
              <w:rPr>
                <w:rFonts w:hint="eastAsia" w:ascii="宋体" w:hAnsi="宋体" w:cs="宋体"/>
                <w:color w:val="auto"/>
                <w:sz w:val="24"/>
                <w:szCs w:val="24"/>
                <w:highlight w:val="none"/>
                <w:lang w:val="en-US" w:eastAsia="zh-CN"/>
              </w:rPr>
              <w:t>王金玲</w:t>
            </w:r>
          </w:p>
          <w:p w14:paraId="0280CA7A">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电  话：</w:t>
            </w:r>
            <w:r>
              <w:rPr>
                <w:rFonts w:hint="eastAsia" w:ascii="宋体" w:hAnsi="宋体" w:cs="宋体"/>
                <w:color w:val="auto"/>
                <w:sz w:val="24"/>
                <w:szCs w:val="24"/>
                <w:highlight w:val="none"/>
                <w:lang w:val="en-US" w:eastAsia="zh-CN"/>
              </w:rPr>
              <w:t>19999465816</w:t>
            </w:r>
          </w:p>
        </w:tc>
      </w:tr>
      <w:tr w14:paraId="66D4C5A8">
        <w:tblPrEx>
          <w:tblCellMar>
            <w:top w:w="0" w:type="dxa"/>
            <w:left w:w="108" w:type="dxa"/>
            <w:bottom w:w="0" w:type="dxa"/>
            <w:right w:w="108" w:type="dxa"/>
          </w:tblCellMar>
        </w:tblPrEx>
        <w:trPr>
          <w:trHeight w:val="604" w:hRule="atLeast"/>
          <w:jc w:val="center"/>
        </w:trPr>
        <w:tc>
          <w:tcPr>
            <w:tcW w:w="997" w:type="dxa"/>
            <w:tcBorders>
              <w:top w:val="single" w:color="auto" w:sz="4" w:space="0"/>
              <w:left w:val="single" w:color="auto" w:sz="4" w:space="0"/>
              <w:bottom w:val="single" w:color="auto" w:sz="4" w:space="0"/>
              <w:right w:val="single" w:color="auto" w:sz="4" w:space="0"/>
            </w:tcBorders>
            <w:vAlign w:val="center"/>
          </w:tcPr>
          <w:p w14:paraId="6139EEBC">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880" w:type="dxa"/>
            <w:tcBorders>
              <w:top w:val="single" w:color="auto" w:sz="4" w:space="0"/>
              <w:left w:val="single" w:color="auto" w:sz="4" w:space="0"/>
              <w:bottom w:val="single" w:color="auto" w:sz="4" w:space="0"/>
              <w:right w:val="single" w:color="auto" w:sz="4" w:space="0"/>
            </w:tcBorders>
            <w:vAlign w:val="center"/>
          </w:tcPr>
          <w:p w14:paraId="7AF30A0F">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tc>
        <w:tc>
          <w:tcPr>
            <w:tcW w:w="7393" w:type="dxa"/>
            <w:tcBorders>
              <w:top w:val="single" w:color="auto" w:sz="4" w:space="0"/>
              <w:left w:val="single" w:color="auto" w:sz="4" w:space="0"/>
              <w:bottom w:val="single" w:color="auto" w:sz="4" w:space="0"/>
              <w:right w:val="single" w:color="auto" w:sz="4" w:space="0"/>
            </w:tcBorders>
            <w:vAlign w:val="center"/>
          </w:tcPr>
          <w:p w14:paraId="628FFB15">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color w:val="auto"/>
                <w:sz w:val="24"/>
                <w:szCs w:val="24"/>
                <w:highlight w:val="none"/>
                <w:lang w:val="en-US"/>
              </w:rPr>
            </w:pPr>
            <w:r>
              <w:rPr>
                <w:rFonts w:hint="eastAsia" w:ascii="宋体" w:hAnsi="宋体" w:cs="宋体"/>
                <w:color w:val="auto"/>
                <w:sz w:val="24"/>
                <w:szCs w:val="24"/>
                <w:highlight w:val="none"/>
                <w:lang w:val="en-US" w:eastAsia="zh-CN"/>
              </w:rPr>
              <w:t>焉耆县2025年义务教育薄弱环节改善与能力提升项目-购置理化生、音乐、体育教学仪器设备</w:t>
            </w:r>
          </w:p>
        </w:tc>
      </w:tr>
      <w:tr w14:paraId="21FF1BC1">
        <w:tblPrEx>
          <w:tblCellMar>
            <w:top w:w="0" w:type="dxa"/>
            <w:left w:w="108" w:type="dxa"/>
            <w:bottom w:w="0" w:type="dxa"/>
            <w:right w:w="108" w:type="dxa"/>
          </w:tblCellMar>
        </w:tblPrEx>
        <w:trPr>
          <w:trHeight w:val="513" w:hRule="atLeast"/>
          <w:jc w:val="center"/>
        </w:trPr>
        <w:tc>
          <w:tcPr>
            <w:tcW w:w="997" w:type="dxa"/>
            <w:tcBorders>
              <w:top w:val="single" w:color="auto" w:sz="4" w:space="0"/>
              <w:left w:val="single" w:color="auto" w:sz="4" w:space="0"/>
              <w:bottom w:val="single" w:color="auto" w:sz="4" w:space="0"/>
              <w:right w:val="single" w:color="auto" w:sz="4" w:space="0"/>
            </w:tcBorders>
            <w:vAlign w:val="center"/>
          </w:tcPr>
          <w:p w14:paraId="6574BA82">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1880" w:type="dxa"/>
            <w:tcBorders>
              <w:top w:val="single" w:color="auto" w:sz="4" w:space="0"/>
              <w:left w:val="single" w:color="auto" w:sz="4" w:space="0"/>
              <w:bottom w:val="single" w:color="auto" w:sz="4" w:space="0"/>
              <w:right w:val="single" w:color="auto" w:sz="4" w:space="0"/>
            </w:tcBorders>
            <w:vAlign w:val="center"/>
          </w:tcPr>
          <w:p w14:paraId="38A646CC">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项目地点</w:t>
            </w:r>
          </w:p>
        </w:tc>
        <w:tc>
          <w:tcPr>
            <w:tcW w:w="7393" w:type="dxa"/>
            <w:tcBorders>
              <w:top w:val="single" w:color="auto" w:sz="4" w:space="0"/>
              <w:left w:val="single" w:color="auto" w:sz="4" w:space="0"/>
              <w:bottom w:val="single" w:color="auto" w:sz="4" w:space="0"/>
              <w:right w:val="single" w:color="auto" w:sz="4" w:space="0"/>
            </w:tcBorders>
            <w:vAlign w:val="center"/>
          </w:tcPr>
          <w:p w14:paraId="2AE54907">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焉耆县</w:t>
            </w:r>
          </w:p>
        </w:tc>
      </w:tr>
      <w:tr w14:paraId="0500D14F">
        <w:tblPrEx>
          <w:tblCellMar>
            <w:top w:w="0" w:type="dxa"/>
            <w:left w:w="108" w:type="dxa"/>
            <w:bottom w:w="0" w:type="dxa"/>
            <w:right w:w="108" w:type="dxa"/>
          </w:tblCellMar>
        </w:tblPrEx>
        <w:trPr>
          <w:trHeight w:val="737" w:hRule="atLeast"/>
          <w:jc w:val="center"/>
        </w:trPr>
        <w:tc>
          <w:tcPr>
            <w:tcW w:w="997" w:type="dxa"/>
            <w:tcBorders>
              <w:top w:val="single" w:color="auto" w:sz="4" w:space="0"/>
              <w:left w:val="single" w:color="auto" w:sz="4" w:space="0"/>
              <w:bottom w:val="single" w:color="auto" w:sz="4" w:space="0"/>
              <w:right w:val="single" w:color="auto" w:sz="4" w:space="0"/>
            </w:tcBorders>
            <w:vAlign w:val="center"/>
          </w:tcPr>
          <w:p w14:paraId="68193F35">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880" w:type="dxa"/>
            <w:tcBorders>
              <w:top w:val="single" w:color="auto" w:sz="4" w:space="0"/>
              <w:left w:val="single" w:color="auto" w:sz="4" w:space="0"/>
              <w:bottom w:val="single" w:color="auto" w:sz="4" w:space="0"/>
              <w:right w:val="single" w:color="auto" w:sz="4" w:space="0"/>
            </w:tcBorders>
            <w:vAlign w:val="center"/>
          </w:tcPr>
          <w:p w14:paraId="5D07F304">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资金来源</w:t>
            </w:r>
          </w:p>
        </w:tc>
        <w:tc>
          <w:tcPr>
            <w:tcW w:w="7393" w:type="dxa"/>
            <w:tcBorders>
              <w:top w:val="single" w:color="auto" w:sz="4" w:space="0"/>
              <w:left w:val="single" w:color="auto" w:sz="4" w:space="0"/>
              <w:bottom w:val="single" w:color="auto" w:sz="4" w:space="0"/>
              <w:right w:val="single" w:color="auto" w:sz="4" w:space="0"/>
            </w:tcBorders>
            <w:vAlign w:val="center"/>
          </w:tcPr>
          <w:p w14:paraId="69A24030">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rPr>
              <w:t>预算金额：</w:t>
            </w:r>
            <w:r>
              <w:rPr>
                <w:rFonts w:hint="eastAsia" w:ascii="宋体" w:hAnsi="宋体" w:cs="宋体"/>
                <w:color w:val="auto"/>
                <w:sz w:val="24"/>
                <w:szCs w:val="24"/>
                <w:highlight w:val="none"/>
                <w:u w:val="none"/>
                <w:lang w:val="en-US" w:eastAsia="zh-CN"/>
              </w:rPr>
              <w:t>392.00万元</w:t>
            </w:r>
          </w:p>
          <w:p w14:paraId="5AD4833E">
            <w:pPr>
              <w:keepNext w:val="0"/>
              <w:keepLines w:val="0"/>
              <w:pageBreakBefore w:val="0"/>
              <w:widowControl/>
              <w:suppressLineNumbers w:val="0"/>
              <w:tabs>
                <w:tab w:val="left" w:pos="5527"/>
              </w:tabs>
              <w:kinsoku/>
              <w:wordWrap/>
              <w:overflowPunct/>
              <w:topLinePunct w:val="0"/>
              <w:autoSpaceDE/>
              <w:autoSpaceDN/>
              <w:bidi w:val="0"/>
              <w:spacing w:before="0" w:beforeAutospacing="0" w:after="0" w:afterAutospacing="0" w:line="400" w:lineRule="exact"/>
              <w:ind w:left="0" w:right="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资金来源：</w:t>
            </w:r>
            <w:r>
              <w:rPr>
                <w:rFonts w:hint="eastAsia" w:ascii="宋体" w:hAnsi="宋体" w:eastAsia="宋体" w:cs="宋体"/>
                <w:color w:val="auto"/>
                <w:kern w:val="0"/>
                <w:sz w:val="24"/>
                <w:szCs w:val="24"/>
                <w:highlight w:val="none"/>
                <w:lang w:val="en-US" w:eastAsia="zh-CN" w:bidi="ar"/>
              </w:rPr>
              <w:t>财政资金</w:t>
            </w:r>
          </w:p>
        </w:tc>
      </w:tr>
      <w:tr w14:paraId="6D4F8A14">
        <w:tblPrEx>
          <w:tblCellMar>
            <w:top w:w="0" w:type="dxa"/>
            <w:left w:w="108" w:type="dxa"/>
            <w:bottom w:w="0" w:type="dxa"/>
            <w:right w:w="108" w:type="dxa"/>
          </w:tblCellMar>
        </w:tblPrEx>
        <w:trPr>
          <w:trHeight w:val="721" w:hRule="atLeast"/>
          <w:jc w:val="center"/>
        </w:trPr>
        <w:tc>
          <w:tcPr>
            <w:tcW w:w="997" w:type="dxa"/>
            <w:tcBorders>
              <w:top w:val="single" w:color="auto" w:sz="4" w:space="0"/>
              <w:left w:val="single" w:color="auto" w:sz="4" w:space="0"/>
              <w:bottom w:val="single" w:color="auto" w:sz="4" w:space="0"/>
              <w:right w:val="single" w:color="auto" w:sz="4" w:space="0"/>
            </w:tcBorders>
            <w:vAlign w:val="center"/>
          </w:tcPr>
          <w:p w14:paraId="360C59B2">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1880" w:type="dxa"/>
            <w:tcBorders>
              <w:top w:val="single" w:color="auto" w:sz="4" w:space="0"/>
              <w:left w:val="single" w:color="auto" w:sz="4" w:space="0"/>
              <w:bottom w:val="single" w:color="auto" w:sz="4" w:space="0"/>
              <w:right w:val="single" w:color="auto" w:sz="4" w:space="0"/>
            </w:tcBorders>
            <w:vAlign w:val="center"/>
          </w:tcPr>
          <w:p w14:paraId="3459B2FF">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rPr>
              <w:t>采购</w:t>
            </w:r>
            <w:r>
              <w:rPr>
                <w:rFonts w:hint="eastAsia" w:ascii="宋体" w:hAnsi="宋体" w:eastAsia="宋体" w:cs="宋体"/>
                <w:b/>
                <w:bCs/>
                <w:color w:val="auto"/>
                <w:sz w:val="24"/>
                <w:szCs w:val="24"/>
                <w:highlight w:val="none"/>
                <w:lang w:val="en-US" w:eastAsia="zh-CN"/>
              </w:rPr>
              <w:t>内容</w:t>
            </w:r>
          </w:p>
        </w:tc>
        <w:tc>
          <w:tcPr>
            <w:tcW w:w="7393" w:type="dxa"/>
            <w:tcBorders>
              <w:top w:val="single" w:color="auto" w:sz="4" w:space="0"/>
              <w:left w:val="single" w:color="auto" w:sz="4" w:space="0"/>
              <w:bottom w:val="single" w:color="auto" w:sz="4" w:space="0"/>
              <w:right w:val="single" w:color="auto" w:sz="4" w:space="0"/>
            </w:tcBorders>
            <w:vAlign w:val="center"/>
          </w:tcPr>
          <w:p w14:paraId="4D48EC7F">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采购一批理化生、音乐、体育教学仪器安装调试并提供终端设备系统服务</w:t>
            </w:r>
            <w:r>
              <w:rPr>
                <w:rFonts w:hint="eastAsia" w:ascii="宋体" w:hAnsi="宋体" w:eastAsia="宋体" w:cs="宋体"/>
                <w:b/>
                <w:bCs/>
                <w:color w:val="auto"/>
                <w:sz w:val="24"/>
                <w:szCs w:val="24"/>
                <w:highlight w:val="none"/>
                <w:lang w:val="en-US" w:eastAsia="zh-CN"/>
              </w:rPr>
              <w:t>。</w:t>
            </w:r>
          </w:p>
        </w:tc>
      </w:tr>
      <w:tr w14:paraId="13D97035">
        <w:tblPrEx>
          <w:tblCellMar>
            <w:top w:w="0" w:type="dxa"/>
            <w:left w:w="108" w:type="dxa"/>
            <w:bottom w:w="0" w:type="dxa"/>
            <w:right w:w="108" w:type="dxa"/>
          </w:tblCellMar>
        </w:tblPrEx>
        <w:trPr>
          <w:trHeight w:val="90" w:hRule="atLeast"/>
          <w:jc w:val="center"/>
        </w:trPr>
        <w:tc>
          <w:tcPr>
            <w:tcW w:w="997" w:type="dxa"/>
            <w:tcBorders>
              <w:top w:val="single" w:color="auto" w:sz="4" w:space="0"/>
              <w:left w:val="single" w:color="auto" w:sz="4" w:space="0"/>
              <w:bottom w:val="single" w:color="auto" w:sz="4" w:space="0"/>
              <w:right w:val="single" w:color="auto" w:sz="4" w:space="0"/>
            </w:tcBorders>
            <w:vAlign w:val="center"/>
          </w:tcPr>
          <w:p w14:paraId="016433F0">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1880" w:type="dxa"/>
            <w:tcBorders>
              <w:top w:val="single" w:color="auto" w:sz="4" w:space="0"/>
              <w:left w:val="single" w:color="auto" w:sz="4" w:space="0"/>
              <w:bottom w:val="single" w:color="auto" w:sz="4" w:space="0"/>
              <w:right w:val="single" w:color="auto" w:sz="4" w:space="0"/>
            </w:tcBorders>
            <w:vAlign w:val="center"/>
          </w:tcPr>
          <w:p w14:paraId="28883E86">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合同履行期限</w:t>
            </w:r>
          </w:p>
          <w:p w14:paraId="185615A3">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（供货期）</w:t>
            </w:r>
          </w:p>
        </w:tc>
        <w:tc>
          <w:tcPr>
            <w:tcW w:w="7393" w:type="dxa"/>
            <w:tcBorders>
              <w:top w:val="single" w:color="auto" w:sz="4" w:space="0"/>
              <w:left w:val="single" w:color="auto" w:sz="4" w:space="0"/>
              <w:bottom w:val="single" w:color="auto" w:sz="4" w:space="0"/>
              <w:right w:val="single" w:color="auto" w:sz="4" w:space="0"/>
            </w:tcBorders>
            <w:vAlign w:val="center"/>
          </w:tcPr>
          <w:p w14:paraId="06E7A0D0">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default" w:ascii="宋体" w:hAnsi="宋体" w:eastAsia="宋体" w:cs="宋体"/>
                <w:b/>
                <w:bCs/>
                <w:color w:val="auto"/>
                <w:sz w:val="24"/>
                <w:szCs w:val="24"/>
                <w:highlight w:val="none"/>
                <w:lang w:val="en-US" w:eastAsia="zh-CN"/>
              </w:rPr>
            </w:pPr>
            <w:bookmarkStart w:id="37" w:name="OLE_LINK2"/>
            <w:r>
              <w:rPr>
                <w:rFonts w:hint="eastAsia" w:ascii="宋体" w:hAnsi="宋体" w:cs="宋体"/>
                <w:b/>
                <w:bCs/>
                <w:color w:val="auto"/>
                <w:sz w:val="24"/>
                <w:szCs w:val="24"/>
                <w:highlight w:val="none"/>
                <w:lang w:val="en-US" w:eastAsia="zh-CN"/>
              </w:rPr>
              <w:t>合同签订后45日内供货并安装调试完毕。</w:t>
            </w:r>
            <w:bookmarkEnd w:id="37"/>
          </w:p>
        </w:tc>
      </w:tr>
      <w:tr w14:paraId="1D46C05E">
        <w:tblPrEx>
          <w:tblCellMar>
            <w:top w:w="0" w:type="dxa"/>
            <w:left w:w="108" w:type="dxa"/>
            <w:bottom w:w="0" w:type="dxa"/>
            <w:right w:w="108" w:type="dxa"/>
          </w:tblCellMar>
        </w:tblPrEx>
        <w:trPr>
          <w:trHeight w:val="778" w:hRule="atLeast"/>
          <w:jc w:val="center"/>
        </w:trPr>
        <w:tc>
          <w:tcPr>
            <w:tcW w:w="997" w:type="dxa"/>
            <w:tcBorders>
              <w:top w:val="single" w:color="auto" w:sz="4" w:space="0"/>
              <w:left w:val="single" w:color="auto" w:sz="4" w:space="0"/>
              <w:bottom w:val="single" w:color="auto" w:sz="4" w:space="0"/>
              <w:right w:val="single" w:color="auto" w:sz="4" w:space="0"/>
            </w:tcBorders>
            <w:vAlign w:val="center"/>
          </w:tcPr>
          <w:p w14:paraId="3E059556">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1880" w:type="dxa"/>
            <w:tcBorders>
              <w:top w:val="single" w:color="auto" w:sz="4" w:space="0"/>
              <w:left w:val="single" w:color="auto" w:sz="4" w:space="0"/>
              <w:bottom w:val="single" w:color="auto" w:sz="4" w:space="0"/>
              <w:right w:val="single" w:color="auto" w:sz="4" w:space="0"/>
            </w:tcBorders>
            <w:vAlign w:val="center"/>
          </w:tcPr>
          <w:p w14:paraId="28021846">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rPr>
              <w:t>质量要求</w:t>
            </w:r>
          </w:p>
        </w:tc>
        <w:tc>
          <w:tcPr>
            <w:tcW w:w="7393" w:type="dxa"/>
            <w:tcBorders>
              <w:top w:val="single" w:color="auto" w:sz="4" w:space="0"/>
              <w:left w:val="single" w:color="auto" w:sz="4" w:space="0"/>
              <w:bottom w:val="single" w:color="auto" w:sz="4" w:space="0"/>
              <w:right w:val="single" w:color="auto" w:sz="4" w:space="0"/>
            </w:tcBorders>
            <w:vAlign w:val="center"/>
          </w:tcPr>
          <w:p w14:paraId="4BD9BA49">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质保期:两年</w:t>
            </w:r>
          </w:p>
          <w:p w14:paraId="5D8216DA">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质量要求：</w:t>
            </w:r>
            <w:r>
              <w:rPr>
                <w:rFonts w:hint="eastAsia" w:ascii="宋体" w:hAnsi="宋体" w:eastAsia="宋体" w:cs="宋体"/>
                <w:b/>
                <w:bCs/>
                <w:color w:val="auto"/>
                <w:sz w:val="24"/>
                <w:szCs w:val="24"/>
                <w:highlight w:val="none"/>
              </w:rPr>
              <w:t>达到国家标准</w:t>
            </w:r>
            <w:r>
              <w:rPr>
                <w:rFonts w:hint="eastAsia" w:ascii="宋体" w:hAnsi="宋体" w:eastAsia="宋体" w:cs="宋体"/>
                <w:b/>
                <w:bCs/>
                <w:color w:val="auto"/>
                <w:sz w:val="24"/>
                <w:szCs w:val="24"/>
                <w:highlight w:val="none"/>
                <w:lang w:val="en-US" w:eastAsia="zh-CN"/>
              </w:rPr>
              <w:t>和采购清单标准</w:t>
            </w:r>
            <w:r>
              <w:rPr>
                <w:rFonts w:hint="eastAsia" w:ascii="宋体" w:hAnsi="宋体" w:eastAsia="宋体" w:cs="宋体"/>
                <w:b/>
                <w:bCs/>
                <w:color w:val="auto"/>
                <w:sz w:val="24"/>
                <w:szCs w:val="24"/>
                <w:highlight w:val="none"/>
                <w:lang w:eastAsia="zh-CN"/>
              </w:rPr>
              <w:t>，</w:t>
            </w:r>
            <w:bookmarkStart w:id="38" w:name="_Hlk71802632"/>
            <w:r>
              <w:rPr>
                <w:rFonts w:hint="eastAsia" w:ascii="宋体" w:hAnsi="宋体" w:eastAsia="宋体" w:cs="宋体"/>
                <w:b/>
                <w:bCs/>
                <w:color w:val="auto"/>
                <w:sz w:val="24"/>
                <w:szCs w:val="24"/>
                <w:highlight w:val="none"/>
                <w:lang w:val="en-US" w:eastAsia="zh-CN"/>
              </w:rPr>
              <w:t>一次性验收合格</w:t>
            </w:r>
            <w:r>
              <w:rPr>
                <w:rFonts w:hint="eastAsia" w:ascii="宋体" w:hAnsi="宋体" w:eastAsia="宋体" w:cs="宋体"/>
                <w:b/>
                <w:bCs/>
                <w:color w:val="auto"/>
                <w:sz w:val="24"/>
                <w:szCs w:val="24"/>
                <w:highlight w:val="none"/>
              </w:rPr>
              <w:t>。</w:t>
            </w:r>
            <w:bookmarkEnd w:id="38"/>
          </w:p>
        </w:tc>
      </w:tr>
      <w:tr w14:paraId="4A468051">
        <w:tblPrEx>
          <w:tblCellMar>
            <w:top w:w="0" w:type="dxa"/>
            <w:left w:w="108" w:type="dxa"/>
            <w:bottom w:w="0" w:type="dxa"/>
            <w:right w:w="108" w:type="dxa"/>
          </w:tblCellMar>
        </w:tblPrEx>
        <w:trPr>
          <w:trHeight w:val="492" w:hRule="atLeast"/>
          <w:jc w:val="center"/>
        </w:trPr>
        <w:tc>
          <w:tcPr>
            <w:tcW w:w="997" w:type="dxa"/>
            <w:tcBorders>
              <w:top w:val="single" w:color="auto" w:sz="4" w:space="0"/>
              <w:left w:val="single" w:color="auto" w:sz="4" w:space="0"/>
              <w:bottom w:val="single" w:color="auto" w:sz="4" w:space="0"/>
              <w:right w:val="single" w:color="auto" w:sz="4" w:space="0"/>
            </w:tcBorders>
            <w:vAlign w:val="center"/>
          </w:tcPr>
          <w:p w14:paraId="0215FA03">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1880" w:type="dxa"/>
            <w:tcBorders>
              <w:top w:val="single" w:color="auto" w:sz="4" w:space="0"/>
              <w:left w:val="single" w:color="auto" w:sz="4" w:space="0"/>
              <w:bottom w:val="single" w:color="auto" w:sz="4" w:space="0"/>
              <w:right w:val="single" w:color="auto" w:sz="4" w:space="0"/>
            </w:tcBorders>
            <w:vAlign w:val="center"/>
          </w:tcPr>
          <w:p w14:paraId="69808ACD">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rPr>
              <w:t>付款方式</w:t>
            </w:r>
          </w:p>
        </w:tc>
        <w:tc>
          <w:tcPr>
            <w:tcW w:w="7393" w:type="dxa"/>
            <w:tcBorders>
              <w:top w:val="single" w:color="auto" w:sz="4" w:space="0"/>
              <w:left w:val="single" w:color="auto" w:sz="4" w:space="0"/>
              <w:bottom w:val="single" w:color="auto" w:sz="4" w:space="0"/>
              <w:right w:val="single" w:color="auto" w:sz="4" w:space="0"/>
            </w:tcBorders>
            <w:vAlign w:val="center"/>
          </w:tcPr>
          <w:p w14:paraId="75521971">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cs="宋体"/>
                <w:b/>
                <w:bCs/>
                <w:color w:val="auto"/>
                <w:kern w:val="2"/>
                <w:sz w:val="24"/>
                <w:szCs w:val="24"/>
                <w:highlight w:val="none"/>
                <w:lang w:val="en-US" w:eastAsia="zh-CN" w:bidi="ar-SA"/>
              </w:rPr>
              <w:t>甲乙双方签订合同为准</w:t>
            </w:r>
          </w:p>
        </w:tc>
      </w:tr>
      <w:tr w14:paraId="09770E30">
        <w:tblPrEx>
          <w:tblCellMar>
            <w:top w:w="0" w:type="dxa"/>
            <w:left w:w="108" w:type="dxa"/>
            <w:bottom w:w="0" w:type="dxa"/>
            <w:right w:w="108" w:type="dxa"/>
          </w:tblCellMar>
        </w:tblPrEx>
        <w:trPr>
          <w:trHeight w:val="613" w:hRule="atLeast"/>
          <w:jc w:val="center"/>
        </w:trPr>
        <w:tc>
          <w:tcPr>
            <w:tcW w:w="997" w:type="dxa"/>
            <w:tcBorders>
              <w:top w:val="single" w:color="auto" w:sz="4" w:space="0"/>
              <w:left w:val="single" w:color="auto" w:sz="4" w:space="0"/>
              <w:bottom w:val="single" w:color="auto" w:sz="4" w:space="0"/>
              <w:right w:val="single" w:color="auto" w:sz="4" w:space="0"/>
            </w:tcBorders>
            <w:vAlign w:val="center"/>
          </w:tcPr>
          <w:p w14:paraId="7ECA96BF">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c>
          <w:tcPr>
            <w:tcW w:w="1880" w:type="dxa"/>
            <w:tcBorders>
              <w:top w:val="single" w:color="auto" w:sz="4" w:space="0"/>
              <w:left w:val="single" w:color="auto" w:sz="4" w:space="0"/>
              <w:bottom w:val="single" w:color="auto" w:sz="4" w:space="0"/>
              <w:right w:val="single" w:color="auto" w:sz="4" w:space="0"/>
            </w:tcBorders>
            <w:vAlign w:val="center"/>
          </w:tcPr>
          <w:p w14:paraId="0B851C70">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采购规格参数</w:t>
            </w:r>
          </w:p>
        </w:tc>
        <w:tc>
          <w:tcPr>
            <w:tcW w:w="7393" w:type="dxa"/>
            <w:tcBorders>
              <w:top w:val="single" w:color="auto" w:sz="4" w:space="0"/>
              <w:left w:val="single" w:color="auto" w:sz="4" w:space="0"/>
              <w:bottom w:val="single" w:color="auto" w:sz="4" w:space="0"/>
              <w:right w:val="single" w:color="auto" w:sz="4" w:space="0"/>
            </w:tcBorders>
            <w:vAlign w:val="center"/>
          </w:tcPr>
          <w:p w14:paraId="5732E151">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详见第三章</w:t>
            </w:r>
          </w:p>
        </w:tc>
      </w:tr>
      <w:tr w14:paraId="6CC9DCD8">
        <w:tblPrEx>
          <w:tblCellMar>
            <w:top w:w="0" w:type="dxa"/>
            <w:left w:w="108" w:type="dxa"/>
            <w:bottom w:w="0" w:type="dxa"/>
            <w:right w:w="108" w:type="dxa"/>
          </w:tblCellMar>
        </w:tblPrEx>
        <w:trPr>
          <w:trHeight w:val="618" w:hRule="atLeast"/>
          <w:jc w:val="center"/>
        </w:trPr>
        <w:tc>
          <w:tcPr>
            <w:tcW w:w="997" w:type="dxa"/>
            <w:tcBorders>
              <w:top w:val="single" w:color="auto" w:sz="4" w:space="0"/>
              <w:left w:val="single" w:color="auto" w:sz="4" w:space="0"/>
              <w:bottom w:val="single" w:color="auto" w:sz="4" w:space="0"/>
              <w:right w:val="single" w:color="auto" w:sz="4" w:space="0"/>
            </w:tcBorders>
            <w:vAlign w:val="center"/>
          </w:tcPr>
          <w:p w14:paraId="0D064B49">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p>
        </w:tc>
        <w:tc>
          <w:tcPr>
            <w:tcW w:w="1880" w:type="dxa"/>
            <w:tcBorders>
              <w:top w:val="single" w:color="auto" w:sz="4" w:space="0"/>
              <w:left w:val="single" w:color="auto" w:sz="4" w:space="0"/>
              <w:bottom w:val="single" w:color="auto" w:sz="4" w:space="0"/>
              <w:right w:val="single" w:color="auto" w:sz="4" w:space="0"/>
            </w:tcBorders>
            <w:vAlign w:val="center"/>
          </w:tcPr>
          <w:p w14:paraId="181D9C4D">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投标文件</w:t>
            </w:r>
            <w:r>
              <w:rPr>
                <w:rFonts w:hint="eastAsia" w:ascii="宋体" w:hAnsi="宋体" w:eastAsia="宋体" w:cs="宋体"/>
                <w:b/>
                <w:bCs/>
                <w:color w:val="auto"/>
                <w:sz w:val="24"/>
                <w:szCs w:val="24"/>
                <w:highlight w:val="none"/>
              </w:rPr>
              <w:t>有效期</w:t>
            </w:r>
          </w:p>
        </w:tc>
        <w:tc>
          <w:tcPr>
            <w:tcW w:w="7393" w:type="dxa"/>
            <w:tcBorders>
              <w:top w:val="single" w:color="auto" w:sz="4" w:space="0"/>
              <w:left w:val="single" w:color="auto" w:sz="4" w:space="0"/>
              <w:bottom w:val="single" w:color="auto" w:sz="4" w:space="0"/>
              <w:right w:val="single" w:color="auto" w:sz="4" w:space="0"/>
            </w:tcBorders>
            <w:vAlign w:val="center"/>
          </w:tcPr>
          <w:p w14:paraId="69F7BC82">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rPr>
              <w:t>提交</w:t>
            </w:r>
            <w:r>
              <w:rPr>
                <w:rFonts w:hint="eastAsia" w:ascii="宋体" w:hAnsi="宋体" w:eastAsia="宋体" w:cs="宋体"/>
                <w:b/>
                <w:bCs/>
                <w:color w:val="auto"/>
                <w:sz w:val="24"/>
                <w:szCs w:val="24"/>
                <w:highlight w:val="none"/>
                <w:lang w:val="en-US" w:eastAsia="zh-CN"/>
              </w:rPr>
              <w:t>投标文件</w:t>
            </w:r>
            <w:r>
              <w:rPr>
                <w:rFonts w:hint="eastAsia" w:ascii="宋体" w:hAnsi="宋体" w:eastAsia="宋体" w:cs="宋体"/>
                <w:b/>
                <w:bCs/>
                <w:color w:val="auto"/>
                <w:sz w:val="24"/>
                <w:szCs w:val="24"/>
                <w:highlight w:val="none"/>
              </w:rPr>
              <w:t>的截止之日起</w:t>
            </w:r>
            <w:r>
              <w:rPr>
                <w:rFonts w:hint="eastAsia" w:ascii="宋体" w:hAnsi="宋体" w:eastAsia="宋体" w:cs="宋体"/>
                <w:b/>
                <w:bCs/>
                <w:color w:val="auto"/>
                <w:sz w:val="24"/>
                <w:szCs w:val="24"/>
                <w:highlight w:val="none"/>
                <w:u w:val="single"/>
                <w:lang w:val="en-US" w:eastAsia="zh-CN"/>
              </w:rPr>
              <w:t>90</w:t>
            </w:r>
            <w:r>
              <w:rPr>
                <w:rFonts w:hint="eastAsia" w:ascii="宋体" w:hAnsi="宋体" w:eastAsia="宋体" w:cs="宋体"/>
                <w:b/>
                <w:bCs/>
                <w:color w:val="auto"/>
                <w:sz w:val="24"/>
                <w:szCs w:val="24"/>
                <w:highlight w:val="none"/>
                <w:lang w:eastAsia="zh-CN"/>
              </w:rPr>
              <w:t>天</w:t>
            </w:r>
          </w:p>
        </w:tc>
      </w:tr>
      <w:tr w14:paraId="64212108">
        <w:tblPrEx>
          <w:tblCellMar>
            <w:top w:w="0" w:type="dxa"/>
            <w:left w:w="108" w:type="dxa"/>
            <w:bottom w:w="0" w:type="dxa"/>
            <w:right w:w="108" w:type="dxa"/>
          </w:tblCellMar>
        </w:tblPrEx>
        <w:trPr>
          <w:trHeight w:val="618" w:hRule="atLeast"/>
          <w:jc w:val="center"/>
        </w:trPr>
        <w:tc>
          <w:tcPr>
            <w:tcW w:w="997" w:type="dxa"/>
            <w:tcBorders>
              <w:top w:val="single" w:color="auto" w:sz="4" w:space="0"/>
              <w:left w:val="single" w:color="auto" w:sz="4" w:space="0"/>
              <w:bottom w:val="single" w:color="auto" w:sz="4" w:space="0"/>
              <w:right w:val="single" w:color="auto" w:sz="4" w:space="0"/>
            </w:tcBorders>
            <w:vAlign w:val="center"/>
          </w:tcPr>
          <w:p w14:paraId="7F373D5A">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13</w:t>
            </w:r>
          </w:p>
        </w:tc>
        <w:tc>
          <w:tcPr>
            <w:tcW w:w="1880" w:type="dxa"/>
            <w:tcBorders>
              <w:top w:val="single" w:color="auto" w:sz="4" w:space="0"/>
              <w:left w:val="single" w:color="auto" w:sz="4" w:space="0"/>
              <w:bottom w:val="single" w:color="auto" w:sz="4" w:space="0"/>
              <w:right w:val="single" w:color="auto" w:sz="4" w:space="0"/>
            </w:tcBorders>
            <w:vAlign w:val="center"/>
          </w:tcPr>
          <w:p w14:paraId="69A7F7F7">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投标报价</w:t>
            </w:r>
          </w:p>
        </w:tc>
        <w:tc>
          <w:tcPr>
            <w:tcW w:w="7393" w:type="dxa"/>
            <w:tcBorders>
              <w:top w:val="single" w:color="auto" w:sz="4" w:space="0"/>
              <w:left w:val="single" w:color="auto" w:sz="4" w:space="0"/>
              <w:bottom w:val="single" w:color="auto" w:sz="4" w:space="0"/>
              <w:right w:val="single" w:color="auto" w:sz="4" w:space="0"/>
            </w:tcBorders>
            <w:vAlign w:val="center"/>
          </w:tcPr>
          <w:p w14:paraId="3EB5EC18">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textAlignment w:val="auto"/>
              <w:outlineLvl w:val="9"/>
              <w:rPr>
                <w:rFonts w:hint="eastAsia" w:ascii="宋体" w:hAnsi="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投标报价包括</w:t>
            </w:r>
            <w:r>
              <w:rPr>
                <w:rFonts w:hint="eastAsia" w:ascii="宋体" w:hAnsi="宋体" w:cs="宋体"/>
                <w:color w:val="auto"/>
                <w:sz w:val="24"/>
                <w:szCs w:val="24"/>
                <w:highlight w:val="none"/>
                <w:lang w:val="en-US" w:eastAsia="zh-CN"/>
              </w:rPr>
              <w:t>货物</w:t>
            </w:r>
            <w:r>
              <w:rPr>
                <w:rFonts w:hint="eastAsia" w:ascii="宋体" w:hAnsi="宋体" w:eastAsia="宋体" w:cs="宋体"/>
                <w:color w:val="auto"/>
                <w:sz w:val="24"/>
                <w:szCs w:val="24"/>
                <w:highlight w:val="none"/>
                <w:lang w:val="en-US" w:eastAsia="zh-CN"/>
              </w:rPr>
              <w:t>原价</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设备运杂费</w:t>
            </w:r>
            <w:r>
              <w:rPr>
                <w:rFonts w:hint="eastAsia" w:ascii="宋体" w:hAnsi="宋体" w:cs="宋体"/>
                <w:color w:val="auto"/>
                <w:sz w:val="24"/>
                <w:szCs w:val="24"/>
                <w:highlight w:val="none"/>
                <w:lang w:val="en-US" w:eastAsia="zh-CN"/>
              </w:rPr>
              <w:t>、安装费、</w:t>
            </w:r>
            <w:r>
              <w:rPr>
                <w:rFonts w:hint="eastAsia" w:ascii="宋体" w:hAnsi="宋体" w:eastAsia="宋体" w:cs="宋体"/>
                <w:color w:val="auto"/>
                <w:sz w:val="24"/>
                <w:szCs w:val="24"/>
                <w:highlight w:val="none"/>
                <w:lang w:val="en-US" w:eastAsia="zh-CN"/>
              </w:rPr>
              <w:t>人工费</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税</w:t>
            </w:r>
            <w:r>
              <w:rPr>
                <w:rFonts w:hint="eastAsia" w:ascii="宋体" w:hAnsi="宋体" w:cs="宋体"/>
                <w:color w:val="auto"/>
                <w:sz w:val="24"/>
                <w:szCs w:val="24"/>
                <w:highlight w:val="none"/>
                <w:lang w:val="en-US" w:eastAsia="zh-CN"/>
              </w:rPr>
              <w:t>费、</w:t>
            </w:r>
            <w:r>
              <w:rPr>
                <w:rFonts w:hint="eastAsia" w:ascii="宋体" w:hAnsi="宋体" w:eastAsia="宋体" w:cs="宋体"/>
                <w:color w:val="auto"/>
                <w:sz w:val="24"/>
                <w:szCs w:val="24"/>
                <w:highlight w:val="none"/>
                <w:lang w:val="en-US" w:eastAsia="zh-CN"/>
              </w:rPr>
              <w:t>实施或使用中涉及</w:t>
            </w:r>
            <w:r>
              <w:rPr>
                <w:rFonts w:hint="eastAsia" w:ascii="宋体" w:hAnsi="宋体" w:cs="宋体"/>
                <w:color w:val="auto"/>
                <w:sz w:val="24"/>
                <w:szCs w:val="24"/>
                <w:highlight w:val="none"/>
                <w:lang w:val="en-US" w:eastAsia="zh-CN"/>
              </w:rPr>
              <w:t>的一切</w:t>
            </w:r>
            <w:r>
              <w:rPr>
                <w:rFonts w:hint="eastAsia" w:ascii="宋体" w:hAnsi="宋体" w:eastAsia="宋体" w:cs="宋体"/>
                <w:color w:val="auto"/>
                <w:sz w:val="24"/>
                <w:szCs w:val="24"/>
                <w:highlight w:val="none"/>
                <w:lang w:val="en-US" w:eastAsia="zh-CN"/>
              </w:rPr>
              <w:t>相关费用</w:t>
            </w:r>
            <w:r>
              <w:rPr>
                <w:rFonts w:hint="eastAsia" w:ascii="宋体" w:hAnsi="宋体" w:cs="宋体"/>
                <w:color w:val="auto"/>
                <w:sz w:val="24"/>
                <w:szCs w:val="24"/>
                <w:highlight w:val="none"/>
                <w:lang w:val="en-US" w:eastAsia="zh-CN"/>
              </w:rPr>
              <w:t>。</w:t>
            </w:r>
          </w:p>
          <w:p w14:paraId="42CB6261">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textAlignment w:val="auto"/>
              <w:outlineLvl w:val="9"/>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供应商的投标报价应包含本项目相关服务的全部费用，采购人不再另行支付其他费用。</w:t>
            </w:r>
          </w:p>
        </w:tc>
      </w:tr>
      <w:tr w14:paraId="67FD1C3F">
        <w:tblPrEx>
          <w:tblCellMar>
            <w:top w:w="0" w:type="dxa"/>
            <w:left w:w="108" w:type="dxa"/>
            <w:bottom w:w="0" w:type="dxa"/>
            <w:right w:w="108" w:type="dxa"/>
          </w:tblCellMar>
        </w:tblPrEx>
        <w:trPr>
          <w:trHeight w:val="577" w:hRule="atLeast"/>
          <w:jc w:val="center"/>
        </w:trPr>
        <w:tc>
          <w:tcPr>
            <w:tcW w:w="997" w:type="dxa"/>
            <w:tcBorders>
              <w:top w:val="single" w:color="auto" w:sz="4" w:space="0"/>
              <w:left w:val="single" w:color="auto" w:sz="4" w:space="0"/>
              <w:bottom w:val="single" w:color="auto" w:sz="4" w:space="0"/>
              <w:right w:val="single" w:color="auto" w:sz="4" w:space="0"/>
            </w:tcBorders>
            <w:vAlign w:val="center"/>
          </w:tcPr>
          <w:p w14:paraId="666A9EDE">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14</w:t>
            </w:r>
          </w:p>
        </w:tc>
        <w:tc>
          <w:tcPr>
            <w:tcW w:w="1880" w:type="dxa"/>
            <w:tcBorders>
              <w:top w:val="single" w:color="auto" w:sz="4" w:space="0"/>
              <w:left w:val="single" w:color="auto" w:sz="4" w:space="0"/>
              <w:bottom w:val="single" w:color="auto" w:sz="4" w:space="0"/>
              <w:right w:val="single" w:color="auto" w:sz="4" w:space="0"/>
            </w:tcBorders>
            <w:vAlign w:val="center"/>
          </w:tcPr>
          <w:p w14:paraId="1757ADC6">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是否接受</w:t>
            </w:r>
          </w:p>
          <w:p w14:paraId="58B29FB4">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rPr>
              <w:t>联合体投标</w:t>
            </w:r>
          </w:p>
        </w:tc>
        <w:tc>
          <w:tcPr>
            <w:tcW w:w="7393" w:type="dxa"/>
            <w:tcBorders>
              <w:top w:val="single" w:color="auto" w:sz="4" w:space="0"/>
              <w:left w:val="single" w:color="auto" w:sz="4" w:space="0"/>
              <w:bottom w:val="single" w:color="auto" w:sz="4" w:space="0"/>
              <w:right w:val="single" w:color="auto" w:sz="4" w:space="0"/>
            </w:tcBorders>
            <w:vAlign w:val="center"/>
          </w:tcPr>
          <w:p w14:paraId="092B4AE3">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sym w:font="Wingdings 2" w:char="0052"/>
            </w:r>
            <w:r>
              <w:rPr>
                <w:rFonts w:hint="eastAsia" w:ascii="宋体" w:hAnsi="宋体" w:eastAsia="宋体" w:cs="宋体"/>
                <w:b/>
                <w:bCs/>
                <w:color w:val="auto"/>
                <w:sz w:val="24"/>
                <w:szCs w:val="24"/>
                <w:highlight w:val="none"/>
              </w:rPr>
              <w:t>不接受</w:t>
            </w:r>
          </w:p>
          <w:p w14:paraId="6D568201">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rPr>
              <w:sym w:font="Wingdings" w:char="00A8"/>
            </w:r>
            <w:r>
              <w:rPr>
                <w:rFonts w:hint="eastAsia" w:ascii="宋体" w:hAnsi="宋体" w:eastAsia="宋体" w:cs="宋体"/>
                <w:b/>
                <w:bCs/>
                <w:color w:val="auto"/>
                <w:sz w:val="24"/>
                <w:szCs w:val="24"/>
                <w:highlight w:val="none"/>
              </w:rPr>
              <w:t>接受</w:t>
            </w:r>
          </w:p>
        </w:tc>
      </w:tr>
      <w:tr w14:paraId="37607AA7">
        <w:tblPrEx>
          <w:tblCellMar>
            <w:top w:w="0" w:type="dxa"/>
            <w:left w:w="108" w:type="dxa"/>
            <w:bottom w:w="0" w:type="dxa"/>
            <w:right w:w="108" w:type="dxa"/>
          </w:tblCellMar>
        </w:tblPrEx>
        <w:trPr>
          <w:trHeight w:val="737" w:hRule="atLeast"/>
          <w:jc w:val="center"/>
        </w:trPr>
        <w:tc>
          <w:tcPr>
            <w:tcW w:w="997" w:type="dxa"/>
            <w:tcBorders>
              <w:top w:val="single" w:color="auto" w:sz="4" w:space="0"/>
              <w:left w:val="single" w:color="auto" w:sz="4" w:space="0"/>
              <w:bottom w:val="single" w:color="auto" w:sz="4" w:space="0"/>
              <w:right w:val="single" w:color="auto" w:sz="4" w:space="0"/>
            </w:tcBorders>
            <w:vAlign w:val="center"/>
          </w:tcPr>
          <w:p w14:paraId="0CCEB81D">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15</w:t>
            </w:r>
          </w:p>
        </w:tc>
        <w:tc>
          <w:tcPr>
            <w:tcW w:w="1880" w:type="dxa"/>
            <w:tcBorders>
              <w:top w:val="single" w:color="auto" w:sz="4" w:space="0"/>
              <w:left w:val="single" w:color="auto" w:sz="4" w:space="0"/>
              <w:bottom w:val="single" w:color="auto" w:sz="4" w:space="0"/>
              <w:right w:val="single" w:color="auto" w:sz="4" w:space="0"/>
            </w:tcBorders>
            <w:vAlign w:val="center"/>
          </w:tcPr>
          <w:p w14:paraId="2B5D0EE7">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供应商</w:t>
            </w:r>
          </w:p>
          <w:p w14:paraId="480C0EC4">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rPr>
              <w:t>资质条件</w:t>
            </w:r>
          </w:p>
        </w:tc>
        <w:tc>
          <w:tcPr>
            <w:tcW w:w="7393" w:type="dxa"/>
            <w:tcBorders>
              <w:top w:val="single" w:color="auto" w:sz="4" w:space="0"/>
              <w:left w:val="single" w:color="auto" w:sz="4" w:space="0"/>
              <w:bottom w:val="single" w:color="auto" w:sz="4" w:space="0"/>
              <w:right w:val="single" w:color="auto" w:sz="4" w:space="0"/>
            </w:tcBorders>
            <w:vAlign w:val="center"/>
          </w:tcPr>
          <w:p w14:paraId="15D7F545">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1、满足《中华人民共和国政府采购法》第二十二条规定。</w:t>
            </w:r>
          </w:p>
          <w:p w14:paraId="1AD50D3A">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500" w:lineRule="exact"/>
              <w:ind w:left="0" w:right="0"/>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2"/>
                <w:sz w:val="24"/>
                <w:szCs w:val="24"/>
                <w:highlight w:val="none"/>
                <w:lang w:val="en-US" w:eastAsia="zh-CN" w:bidi="ar-SA"/>
              </w:rPr>
              <w:t>2、落实政府采购政策需满足的资格要求：</w:t>
            </w:r>
            <w:r>
              <w:rPr>
                <w:rFonts w:hint="eastAsia" w:ascii="宋体" w:hAnsi="宋体" w:cs="宋体"/>
                <w:b/>
                <w:bCs/>
                <w:color w:val="auto"/>
                <w:sz w:val="24"/>
                <w:szCs w:val="24"/>
                <w:highlight w:val="none"/>
                <w:lang w:val="en-US" w:eastAsia="zh-CN"/>
              </w:rPr>
              <w:t>本项目不专门面向中小企业。若投标供应商所提供的货物全部由符合政策要求的中小/小微企业制造，并按要求提交《中小企业声明函》，给予小型、微型企业享受价格10%扣除，用扣除后的价格参与评审</w:t>
            </w:r>
            <w:r>
              <w:rPr>
                <w:rFonts w:hint="eastAsia" w:ascii="宋体" w:hAnsi="宋体" w:eastAsia="宋体" w:cs="宋体"/>
                <w:b/>
                <w:bCs/>
                <w:color w:val="auto"/>
                <w:sz w:val="24"/>
                <w:szCs w:val="24"/>
                <w:highlight w:val="none"/>
                <w:lang w:val="en-US" w:eastAsia="zh-CN"/>
              </w:rPr>
              <w:t>。</w:t>
            </w:r>
          </w:p>
          <w:p w14:paraId="58EF8DB0">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3、本项目基本资格要求：</w:t>
            </w:r>
          </w:p>
          <w:p w14:paraId="4BE7CAD8">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（1）</w:t>
            </w:r>
            <w:r>
              <w:rPr>
                <w:rFonts w:hint="eastAsia" w:ascii="宋体" w:hAnsi="宋体" w:cs="宋体"/>
                <w:b/>
                <w:bCs/>
                <w:color w:val="auto"/>
                <w:kern w:val="2"/>
                <w:sz w:val="24"/>
                <w:szCs w:val="24"/>
                <w:highlight w:val="none"/>
                <w:lang w:val="en-US" w:eastAsia="zh-CN" w:bidi="ar-SA"/>
              </w:rPr>
              <w:t>供应商必须是在中华人民共和国境内依法注册的、具有独立承担民事责任的能力，具备有效的营业执照</w:t>
            </w:r>
            <w:r>
              <w:rPr>
                <w:rFonts w:hint="eastAsia" w:ascii="宋体" w:hAnsi="宋体" w:eastAsia="宋体" w:cs="宋体"/>
                <w:b/>
                <w:bCs/>
                <w:color w:val="auto"/>
                <w:kern w:val="2"/>
                <w:sz w:val="24"/>
                <w:szCs w:val="24"/>
                <w:highlight w:val="none"/>
                <w:lang w:val="en-US" w:eastAsia="zh-CN" w:bidi="ar-SA"/>
              </w:rPr>
              <w:t>；</w:t>
            </w:r>
          </w:p>
          <w:p w14:paraId="04948B16">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（2）法定代表人身份证或授权委托书及代理人身份证；</w:t>
            </w:r>
          </w:p>
          <w:p w14:paraId="68DB4442">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（3）未被“信用中国”（www.creditchina.gov.cn）、中国政府采购网（www.ccgp.gov.cn）列入失信被执行人、重大税收违法案件当事人名单、政府采购严重违法失信行为记录名单；</w:t>
            </w:r>
          </w:p>
          <w:p w14:paraId="4866C97F">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（4）依法注册、具有合法资格，并在法律上、财务上与采购人和采购代理机构不发生关系；</w:t>
            </w:r>
          </w:p>
          <w:p w14:paraId="466AE754">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（5）单位负责人为同一人或者存在直接控股、管理关系的不同供应商，不得参加同一合同项下的政府采购活动；</w:t>
            </w:r>
          </w:p>
          <w:p w14:paraId="3A06B5A5">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（6）符合国家有关法律法规的规定；</w:t>
            </w:r>
          </w:p>
          <w:p w14:paraId="665FF452">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（7）为充分保证完善的售后服务，本项目不接受联合体投标。</w:t>
            </w:r>
          </w:p>
        </w:tc>
      </w:tr>
      <w:tr w14:paraId="219428EC">
        <w:tblPrEx>
          <w:tblCellMar>
            <w:top w:w="0" w:type="dxa"/>
            <w:left w:w="108" w:type="dxa"/>
            <w:bottom w:w="0" w:type="dxa"/>
            <w:right w:w="108" w:type="dxa"/>
          </w:tblCellMar>
        </w:tblPrEx>
        <w:trPr>
          <w:trHeight w:val="737" w:hRule="atLeast"/>
          <w:jc w:val="center"/>
        </w:trPr>
        <w:tc>
          <w:tcPr>
            <w:tcW w:w="997" w:type="dxa"/>
            <w:tcBorders>
              <w:top w:val="single" w:color="auto" w:sz="4" w:space="0"/>
              <w:left w:val="single" w:color="auto" w:sz="4" w:space="0"/>
              <w:bottom w:val="single" w:color="auto" w:sz="4" w:space="0"/>
              <w:right w:val="single" w:color="auto" w:sz="4" w:space="0"/>
            </w:tcBorders>
            <w:vAlign w:val="center"/>
          </w:tcPr>
          <w:p w14:paraId="67DF625D">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16</w:t>
            </w:r>
          </w:p>
        </w:tc>
        <w:tc>
          <w:tcPr>
            <w:tcW w:w="1880" w:type="dxa"/>
            <w:tcBorders>
              <w:top w:val="single" w:color="auto" w:sz="4" w:space="0"/>
              <w:left w:val="single" w:color="auto" w:sz="4" w:space="0"/>
              <w:bottom w:val="single" w:color="auto" w:sz="4" w:space="0"/>
              <w:right w:val="single" w:color="auto" w:sz="4" w:space="0"/>
            </w:tcBorders>
            <w:shd w:val="clear" w:color="auto" w:fill="auto"/>
            <w:vAlign w:val="center"/>
          </w:tcPr>
          <w:p w14:paraId="37AB7B09">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b/>
                <w:bCs/>
                <w:color w:val="auto"/>
                <w:sz w:val="24"/>
                <w:szCs w:val="24"/>
                <w:highlight w:val="none"/>
              </w:rPr>
              <w:t>履约保证金</w:t>
            </w:r>
          </w:p>
        </w:tc>
        <w:tc>
          <w:tcPr>
            <w:tcW w:w="7393" w:type="dxa"/>
            <w:tcBorders>
              <w:top w:val="single" w:color="auto" w:sz="4" w:space="0"/>
              <w:left w:val="single" w:color="auto" w:sz="4" w:space="0"/>
              <w:bottom w:val="single" w:color="auto" w:sz="4" w:space="0"/>
              <w:right w:val="single" w:color="auto" w:sz="4" w:space="0"/>
            </w:tcBorders>
            <w:shd w:val="clear" w:color="auto" w:fill="auto"/>
            <w:vAlign w:val="center"/>
          </w:tcPr>
          <w:p w14:paraId="05D7794B">
            <w:pPr>
              <w:keepNext w:val="0"/>
              <w:keepLines w:val="0"/>
              <w:pageBreakBefore w:val="0"/>
              <w:suppressLineNumbers w:val="0"/>
              <w:kinsoku/>
              <w:overflowPunct/>
              <w:bidi w:val="0"/>
              <w:spacing w:before="0" w:beforeAutospacing="0" w:after="0" w:afterAutospacing="0" w:line="360" w:lineRule="exact"/>
              <w:ind w:left="0" w:right="0"/>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履约担保的形式：中标单位</w:t>
            </w:r>
            <w:r>
              <w:rPr>
                <w:rFonts w:hint="eastAsia" w:ascii="宋体" w:hAnsi="宋体" w:cs="宋体"/>
                <w:b/>
                <w:bCs/>
                <w:color w:val="auto"/>
                <w:sz w:val="24"/>
                <w:szCs w:val="24"/>
                <w:highlight w:val="none"/>
                <w:lang w:val="en-US" w:eastAsia="zh-CN"/>
              </w:rPr>
              <w:t>以保函形式交纳</w:t>
            </w:r>
          </w:p>
          <w:p w14:paraId="51F3466C">
            <w:pPr>
              <w:keepNext w:val="0"/>
              <w:keepLines w:val="0"/>
              <w:pageBreakBefore w:val="0"/>
              <w:suppressLineNumbers w:val="0"/>
              <w:kinsoku/>
              <w:overflowPunct/>
              <w:bidi w:val="0"/>
              <w:spacing w:before="0" w:beforeAutospacing="0" w:after="0" w:afterAutospacing="0" w:line="360" w:lineRule="exact"/>
              <w:ind w:left="0" w:right="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履约担保的金额：</w:t>
            </w:r>
            <w:r>
              <w:rPr>
                <w:rFonts w:hint="eastAsia" w:ascii="宋体" w:hAnsi="宋体" w:cs="宋体"/>
                <w:b/>
                <w:bCs/>
                <w:color w:val="auto"/>
                <w:sz w:val="24"/>
                <w:szCs w:val="24"/>
                <w:highlight w:val="none"/>
                <w:lang w:val="en-US" w:eastAsia="zh-CN"/>
              </w:rPr>
              <w:t>合同金额的</w:t>
            </w:r>
            <w:r>
              <w:rPr>
                <w:rFonts w:hint="eastAsia" w:ascii="宋体" w:hAnsi="宋体" w:eastAsia="宋体" w:cs="宋体"/>
                <w:b/>
                <w:bCs/>
                <w:color w:val="auto"/>
                <w:sz w:val="24"/>
                <w:szCs w:val="24"/>
                <w:highlight w:val="none"/>
                <w:lang w:val="en-US" w:eastAsia="zh-CN"/>
              </w:rPr>
              <w:t>5%</w:t>
            </w:r>
          </w:p>
          <w:p w14:paraId="25186ED7">
            <w:pPr>
              <w:keepNext w:val="0"/>
              <w:keepLines w:val="0"/>
              <w:pageBreakBefore w:val="0"/>
              <w:suppressLineNumbers w:val="0"/>
              <w:kinsoku/>
              <w:overflowPunct/>
              <w:bidi w:val="0"/>
              <w:spacing w:before="0" w:beforeAutospacing="0" w:after="0" w:afterAutospacing="0" w:line="360" w:lineRule="exact"/>
              <w:ind w:left="0" w:right="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szCs w:val="24"/>
                <w:highlight w:val="none"/>
              </w:rPr>
              <w:t>履约保证金退还时间：履约合同期期满后退还（不计利息）</w:t>
            </w:r>
          </w:p>
        </w:tc>
      </w:tr>
      <w:tr w14:paraId="52DE4416">
        <w:tblPrEx>
          <w:tblCellMar>
            <w:top w:w="0" w:type="dxa"/>
            <w:left w:w="108" w:type="dxa"/>
            <w:bottom w:w="0" w:type="dxa"/>
            <w:right w:w="108" w:type="dxa"/>
          </w:tblCellMar>
        </w:tblPrEx>
        <w:trPr>
          <w:trHeight w:val="398" w:hRule="atLeast"/>
          <w:jc w:val="center"/>
        </w:trPr>
        <w:tc>
          <w:tcPr>
            <w:tcW w:w="997" w:type="dxa"/>
            <w:tcBorders>
              <w:top w:val="single" w:color="auto" w:sz="4" w:space="0"/>
              <w:left w:val="single" w:color="auto" w:sz="4" w:space="0"/>
              <w:bottom w:val="single" w:color="auto" w:sz="4" w:space="0"/>
              <w:right w:val="single" w:color="auto" w:sz="4" w:space="0"/>
            </w:tcBorders>
            <w:vAlign w:val="center"/>
          </w:tcPr>
          <w:p w14:paraId="2A9F3B2F">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17</w:t>
            </w:r>
          </w:p>
        </w:tc>
        <w:tc>
          <w:tcPr>
            <w:tcW w:w="1880" w:type="dxa"/>
            <w:tcBorders>
              <w:top w:val="single" w:color="auto" w:sz="4" w:space="0"/>
              <w:left w:val="single" w:color="auto" w:sz="4" w:space="0"/>
              <w:bottom w:val="single" w:color="auto" w:sz="4" w:space="0"/>
              <w:right w:val="single" w:color="auto" w:sz="4" w:space="0"/>
            </w:tcBorders>
            <w:vAlign w:val="center"/>
          </w:tcPr>
          <w:p w14:paraId="5088D5E3">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360" w:lineRule="auto"/>
              <w:ind w:left="0" w:right="0"/>
              <w:jc w:val="center"/>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lang w:eastAsia="zh-CN"/>
              </w:rPr>
              <w:t>招标</w:t>
            </w:r>
            <w:r>
              <w:rPr>
                <w:rFonts w:hint="eastAsia" w:ascii="宋体" w:hAnsi="宋体" w:eastAsia="宋体" w:cs="宋体"/>
                <w:b/>
                <w:bCs/>
                <w:color w:val="auto"/>
                <w:sz w:val="24"/>
                <w:szCs w:val="24"/>
                <w:highlight w:val="none"/>
              </w:rPr>
              <w:t>文件领取</w:t>
            </w:r>
          </w:p>
        </w:tc>
        <w:tc>
          <w:tcPr>
            <w:tcW w:w="7393" w:type="dxa"/>
            <w:tcBorders>
              <w:top w:val="single" w:color="auto" w:sz="4" w:space="0"/>
              <w:left w:val="single" w:color="auto" w:sz="4" w:space="0"/>
              <w:bottom w:val="single" w:color="auto" w:sz="4" w:space="0"/>
              <w:right w:val="single" w:color="auto" w:sz="4" w:space="0"/>
            </w:tcBorders>
            <w:vAlign w:val="center"/>
          </w:tcPr>
          <w:p w14:paraId="15157532">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288" w:lineRule="auto"/>
              <w:ind w:left="0" w:right="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rPr>
              <w:t>供应商登陆政采云平</w:t>
            </w:r>
            <w:r>
              <w:rPr>
                <w:rFonts w:hint="eastAsia" w:ascii="宋体" w:hAnsi="宋体" w:eastAsia="宋体" w:cs="宋体"/>
                <w:b/>
                <w:bCs/>
                <w:color w:val="auto"/>
                <w:sz w:val="24"/>
                <w:szCs w:val="24"/>
                <w:highlight w:val="none"/>
                <w:lang w:val="en-US" w:eastAsia="zh-CN"/>
              </w:rPr>
              <w:t>台</w:t>
            </w:r>
            <w:r>
              <w:rPr>
                <w:rFonts w:hint="eastAsia" w:ascii="宋体" w:hAnsi="宋体" w:eastAsia="宋体" w:cs="宋体"/>
                <w:b/>
                <w:bCs/>
                <w:color w:val="auto"/>
                <w:sz w:val="24"/>
                <w:szCs w:val="24"/>
                <w:highlight w:val="none"/>
              </w:rPr>
              <w:t>http://www.zcygov.cn/在线申请获取（登录政府采购云平台→项目采购→获取</w:t>
            </w:r>
            <w:r>
              <w:rPr>
                <w:rFonts w:hint="eastAsia" w:ascii="宋体" w:hAnsi="宋体" w:eastAsia="宋体" w:cs="宋体"/>
                <w:b/>
                <w:bCs/>
                <w:color w:val="auto"/>
                <w:sz w:val="24"/>
                <w:szCs w:val="24"/>
                <w:highlight w:val="none"/>
                <w:lang w:eastAsia="zh-CN"/>
              </w:rPr>
              <w:t>招标</w:t>
            </w:r>
            <w:r>
              <w:rPr>
                <w:rFonts w:hint="eastAsia" w:ascii="宋体" w:hAnsi="宋体" w:eastAsia="宋体" w:cs="宋体"/>
                <w:b/>
                <w:bCs/>
                <w:color w:val="auto"/>
                <w:sz w:val="24"/>
                <w:szCs w:val="24"/>
                <w:highlight w:val="none"/>
              </w:rPr>
              <w:t>文件→申请，审核通过后可下载</w:t>
            </w:r>
            <w:r>
              <w:rPr>
                <w:rFonts w:hint="eastAsia" w:ascii="宋体" w:hAnsi="宋体" w:eastAsia="宋体" w:cs="宋体"/>
                <w:b/>
                <w:bCs/>
                <w:color w:val="auto"/>
                <w:sz w:val="24"/>
                <w:szCs w:val="24"/>
                <w:highlight w:val="none"/>
                <w:lang w:eastAsia="zh-CN"/>
              </w:rPr>
              <w:t>招标</w:t>
            </w:r>
            <w:r>
              <w:rPr>
                <w:rFonts w:hint="eastAsia" w:ascii="宋体" w:hAnsi="宋体" w:eastAsia="宋体" w:cs="宋体"/>
                <w:b/>
                <w:bCs/>
                <w:color w:val="auto"/>
                <w:sz w:val="24"/>
                <w:szCs w:val="24"/>
                <w:highlight w:val="none"/>
              </w:rPr>
              <w:t>文件，如有操作性问题，可与政采云在线客服进行咨询，咨询电话：</w:t>
            </w:r>
            <w:r>
              <w:rPr>
                <w:rFonts w:hint="eastAsia" w:ascii="宋体" w:hAnsi="宋体" w:eastAsia="宋体" w:cs="宋体"/>
                <w:b/>
                <w:bCs/>
                <w:color w:val="auto"/>
                <w:sz w:val="24"/>
                <w:szCs w:val="24"/>
                <w:highlight w:val="none"/>
                <w:lang w:val="en-US" w:eastAsia="zh-CN"/>
              </w:rPr>
              <w:t>95763</w:t>
            </w:r>
            <w:r>
              <w:rPr>
                <w:rFonts w:hint="eastAsia" w:ascii="宋体" w:hAnsi="宋体" w:eastAsia="宋体" w:cs="宋体"/>
                <w:b/>
                <w:bCs/>
                <w:color w:val="auto"/>
                <w:sz w:val="24"/>
                <w:szCs w:val="24"/>
                <w:highlight w:val="none"/>
              </w:rPr>
              <w:t>。</w:t>
            </w:r>
          </w:p>
        </w:tc>
      </w:tr>
      <w:tr w14:paraId="6B22D430">
        <w:tblPrEx>
          <w:tblCellMar>
            <w:top w:w="0" w:type="dxa"/>
            <w:left w:w="108" w:type="dxa"/>
            <w:bottom w:w="0" w:type="dxa"/>
            <w:right w:w="108" w:type="dxa"/>
          </w:tblCellMar>
        </w:tblPrEx>
        <w:trPr>
          <w:trHeight w:val="737" w:hRule="atLeast"/>
          <w:jc w:val="center"/>
        </w:trPr>
        <w:tc>
          <w:tcPr>
            <w:tcW w:w="997" w:type="dxa"/>
            <w:tcBorders>
              <w:top w:val="single" w:color="auto" w:sz="4" w:space="0"/>
              <w:left w:val="single" w:color="auto" w:sz="4" w:space="0"/>
              <w:bottom w:val="single" w:color="auto" w:sz="4" w:space="0"/>
              <w:right w:val="single" w:color="auto" w:sz="4" w:space="0"/>
            </w:tcBorders>
            <w:vAlign w:val="center"/>
          </w:tcPr>
          <w:p w14:paraId="031E6465">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18</w:t>
            </w:r>
          </w:p>
        </w:tc>
        <w:tc>
          <w:tcPr>
            <w:tcW w:w="1880" w:type="dxa"/>
            <w:tcBorders>
              <w:top w:val="single" w:color="auto" w:sz="4" w:space="0"/>
              <w:left w:val="single" w:color="auto" w:sz="4" w:space="0"/>
              <w:bottom w:val="single" w:color="auto" w:sz="4" w:space="0"/>
              <w:right w:val="single" w:color="auto" w:sz="4" w:space="0"/>
            </w:tcBorders>
            <w:vAlign w:val="center"/>
          </w:tcPr>
          <w:p w14:paraId="6D02D551">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签字和（或）</w:t>
            </w:r>
          </w:p>
          <w:p w14:paraId="2F2F9956">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盖章要求</w:t>
            </w:r>
          </w:p>
        </w:tc>
        <w:tc>
          <w:tcPr>
            <w:tcW w:w="7393" w:type="dxa"/>
            <w:tcBorders>
              <w:top w:val="single" w:color="auto" w:sz="4" w:space="0"/>
              <w:left w:val="single" w:color="auto" w:sz="4" w:space="0"/>
              <w:bottom w:val="single" w:color="auto" w:sz="4" w:space="0"/>
              <w:right w:val="single" w:color="auto" w:sz="4" w:space="0"/>
            </w:tcBorders>
            <w:vAlign w:val="center"/>
          </w:tcPr>
          <w:p w14:paraId="4C738333">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企业公章、</w:t>
            </w:r>
            <w:r>
              <w:rPr>
                <w:rFonts w:hint="eastAsia" w:ascii="宋体" w:hAnsi="宋体" w:cs="宋体"/>
                <w:color w:val="auto"/>
                <w:sz w:val="24"/>
                <w:szCs w:val="24"/>
                <w:highlight w:val="none"/>
                <w:lang w:val="en-US" w:eastAsia="zh-CN"/>
              </w:rPr>
              <w:t>法定代表人</w:t>
            </w:r>
            <w:r>
              <w:rPr>
                <w:rFonts w:hint="eastAsia" w:ascii="宋体" w:hAnsi="宋体" w:eastAsia="宋体" w:cs="宋体"/>
                <w:color w:val="auto"/>
                <w:sz w:val="24"/>
                <w:szCs w:val="24"/>
                <w:highlight w:val="none"/>
              </w:rPr>
              <w:t>章</w:t>
            </w:r>
            <w:r>
              <w:rPr>
                <w:rFonts w:hint="eastAsia" w:ascii="宋体" w:hAnsi="宋体" w:cs="宋体"/>
                <w:color w:val="auto"/>
                <w:sz w:val="24"/>
                <w:szCs w:val="24"/>
                <w:highlight w:val="none"/>
                <w:lang w:val="en-US" w:eastAsia="zh-CN"/>
              </w:rPr>
              <w:t>或负责人章</w:t>
            </w:r>
            <w:r>
              <w:rPr>
                <w:rFonts w:hint="eastAsia" w:ascii="宋体" w:hAnsi="宋体" w:eastAsia="宋体" w:cs="宋体"/>
                <w:b/>
                <w:color w:val="auto"/>
                <w:sz w:val="24"/>
                <w:szCs w:val="24"/>
                <w:highlight w:val="none"/>
                <w:lang w:val="en-US" w:eastAsia="zh-CN"/>
              </w:rPr>
              <w:t>（</w:t>
            </w:r>
            <w:r>
              <w:rPr>
                <w:rFonts w:hint="eastAsia" w:ascii="宋体" w:hAnsi="宋体" w:cs="宋体"/>
                <w:b/>
                <w:color w:val="auto"/>
                <w:sz w:val="24"/>
                <w:szCs w:val="24"/>
                <w:highlight w:val="none"/>
                <w:lang w:val="en-US" w:eastAsia="zh-CN"/>
              </w:rPr>
              <w:t>负责人章</w:t>
            </w:r>
            <w:r>
              <w:rPr>
                <w:rFonts w:hint="eastAsia" w:ascii="宋体" w:hAnsi="宋体" w:eastAsia="宋体" w:cs="宋体"/>
                <w:b/>
                <w:color w:val="auto"/>
                <w:sz w:val="24"/>
                <w:szCs w:val="24"/>
                <w:highlight w:val="none"/>
                <w:lang w:val="en-US" w:eastAsia="zh-CN"/>
              </w:rPr>
              <w:t>仅限银行、保险、石油石化、电力、电信、邮政、铁路等特殊行业</w:t>
            </w:r>
            <w:r>
              <w:rPr>
                <w:rFonts w:hint="eastAsia" w:ascii="宋体" w:hAnsi="宋体" w:cs="宋体"/>
                <w:b/>
                <w:color w:val="auto"/>
                <w:sz w:val="24"/>
                <w:szCs w:val="24"/>
                <w:highlight w:val="none"/>
                <w:lang w:val="en-US" w:eastAsia="zh-CN"/>
              </w:rPr>
              <w:t>使用</w:t>
            </w:r>
            <w:r>
              <w:rPr>
                <w:rFonts w:hint="eastAsia" w:ascii="宋体" w:hAnsi="宋体" w:eastAsia="宋体" w:cs="宋体"/>
                <w:b/>
                <w:color w:val="auto"/>
                <w:sz w:val="24"/>
                <w:szCs w:val="24"/>
                <w:highlight w:val="none"/>
                <w:lang w:val="en-US" w:eastAsia="zh-CN"/>
              </w:rPr>
              <w:t>）</w:t>
            </w:r>
          </w:p>
          <w:p w14:paraId="3ACEE681">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企业法定代表人或其委托代理人签字</w:t>
            </w:r>
          </w:p>
        </w:tc>
      </w:tr>
      <w:tr w14:paraId="738D8D18">
        <w:tblPrEx>
          <w:tblCellMar>
            <w:top w:w="0" w:type="dxa"/>
            <w:left w:w="108" w:type="dxa"/>
            <w:bottom w:w="0" w:type="dxa"/>
            <w:right w:w="108" w:type="dxa"/>
          </w:tblCellMar>
        </w:tblPrEx>
        <w:trPr>
          <w:trHeight w:val="737" w:hRule="atLeast"/>
          <w:jc w:val="center"/>
        </w:trPr>
        <w:tc>
          <w:tcPr>
            <w:tcW w:w="997" w:type="dxa"/>
            <w:tcBorders>
              <w:top w:val="single" w:color="auto" w:sz="4" w:space="0"/>
              <w:left w:val="single" w:color="auto" w:sz="4" w:space="0"/>
              <w:bottom w:val="single" w:color="auto" w:sz="4" w:space="0"/>
              <w:right w:val="single" w:color="auto" w:sz="4" w:space="0"/>
            </w:tcBorders>
            <w:vAlign w:val="center"/>
          </w:tcPr>
          <w:p w14:paraId="6571F7CD">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19</w:t>
            </w:r>
          </w:p>
        </w:tc>
        <w:tc>
          <w:tcPr>
            <w:tcW w:w="1880" w:type="dxa"/>
            <w:tcBorders>
              <w:top w:val="single" w:color="auto" w:sz="4" w:space="0"/>
              <w:left w:val="single" w:color="auto" w:sz="4" w:space="0"/>
              <w:bottom w:val="single" w:color="auto" w:sz="4" w:space="0"/>
              <w:right w:val="single" w:color="auto" w:sz="4" w:space="0"/>
            </w:tcBorders>
            <w:vAlign w:val="center"/>
          </w:tcPr>
          <w:p w14:paraId="06DA2A3D">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说明</w:t>
            </w:r>
          </w:p>
        </w:tc>
        <w:tc>
          <w:tcPr>
            <w:tcW w:w="7393" w:type="dxa"/>
            <w:tcBorders>
              <w:top w:val="single" w:color="auto" w:sz="4" w:space="0"/>
              <w:left w:val="single" w:color="auto" w:sz="4" w:space="0"/>
              <w:bottom w:val="single" w:color="auto" w:sz="4" w:space="0"/>
              <w:right w:val="single" w:color="auto" w:sz="4" w:space="0"/>
            </w:tcBorders>
            <w:vAlign w:val="center"/>
          </w:tcPr>
          <w:p w14:paraId="0F29B9FC">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本</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技术指标是作为功能性说明</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不论任何情况，供应商在投标时必须达到或优于</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要求。</w:t>
            </w:r>
          </w:p>
        </w:tc>
      </w:tr>
      <w:tr w14:paraId="649AAD6F">
        <w:tblPrEx>
          <w:tblCellMar>
            <w:top w:w="0" w:type="dxa"/>
            <w:left w:w="108" w:type="dxa"/>
            <w:bottom w:w="0" w:type="dxa"/>
            <w:right w:w="108" w:type="dxa"/>
          </w:tblCellMar>
        </w:tblPrEx>
        <w:trPr>
          <w:trHeight w:val="737" w:hRule="atLeast"/>
          <w:jc w:val="center"/>
        </w:trPr>
        <w:tc>
          <w:tcPr>
            <w:tcW w:w="997" w:type="dxa"/>
            <w:tcBorders>
              <w:top w:val="single" w:color="auto" w:sz="4" w:space="0"/>
              <w:left w:val="single" w:color="auto" w:sz="4" w:space="0"/>
              <w:bottom w:val="single" w:color="auto" w:sz="4" w:space="0"/>
              <w:right w:val="single" w:color="auto" w:sz="4" w:space="0"/>
            </w:tcBorders>
            <w:vAlign w:val="center"/>
          </w:tcPr>
          <w:p w14:paraId="194FB8B0">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20</w:t>
            </w:r>
          </w:p>
        </w:tc>
        <w:tc>
          <w:tcPr>
            <w:tcW w:w="1880" w:type="dxa"/>
            <w:tcBorders>
              <w:top w:val="single" w:color="auto" w:sz="4" w:space="0"/>
              <w:left w:val="single" w:color="auto" w:sz="4" w:space="0"/>
              <w:bottom w:val="single" w:color="auto" w:sz="4" w:space="0"/>
              <w:right w:val="single" w:color="auto" w:sz="4" w:space="0"/>
            </w:tcBorders>
            <w:vAlign w:val="center"/>
          </w:tcPr>
          <w:p w14:paraId="757851F7">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rPr>
              <w:t>评标办法</w:t>
            </w:r>
          </w:p>
        </w:tc>
        <w:tc>
          <w:tcPr>
            <w:tcW w:w="7393" w:type="dxa"/>
            <w:tcBorders>
              <w:top w:val="single" w:color="auto" w:sz="4" w:space="0"/>
              <w:left w:val="single" w:color="auto" w:sz="4" w:space="0"/>
              <w:bottom w:val="single" w:color="auto" w:sz="4" w:space="0"/>
              <w:right w:val="single" w:color="auto" w:sz="4" w:space="0"/>
            </w:tcBorders>
            <w:vAlign w:val="center"/>
          </w:tcPr>
          <w:p w14:paraId="5861218B">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rPr>
              <w:t>综合评分法</w:t>
            </w:r>
          </w:p>
        </w:tc>
      </w:tr>
      <w:tr w14:paraId="4F8BFC45">
        <w:tblPrEx>
          <w:tblCellMar>
            <w:top w:w="0" w:type="dxa"/>
            <w:left w:w="108" w:type="dxa"/>
            <w:bottom w:w="0" w:type="dxa"/>
            <w:right w:w="108" w:type="dxa"/>
          </w:tblCellMar>
        </w:tblPrEx>
        <w:trPr>
          <w:trHeight w:val="737" w:hRule="atLeast"/>
          <w:jc w:val="center"/>
        </w:trPr>
        <w:tc>
          <w:tcPr>
            <w:tcW w:w="997" w:type="dxa"/>
            <w:tcBorders>
              <w:top w:val="single" w:color="auto" w:sz="4" w:space="0"/>
              <w:left w:val="single" w:color="auto" w:sz="4" w:space="0"/>
              <w:bottom w:val="single" w:color="auto" w:sz="4" w:space="0"/>
              <w:right w:val="single" w:color="auto" w:sz="4" w:space="0"/>
            </w:tcBorders>
            <w:vAlign w:val="center"/>
          </w:tcPr>
          <w:p w14:paraId="0E592996">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21</w:t>
            </w:r>
          </w:p>
        </w:tc>
        <w:tc>
          <w:tcPr>
            <w:tcW w:w="1880" w:type="dxa"/>
            <w:tcBorders>
              <w:top w:val="single" w:color="auto" w:sz="4" w:space="0"/>
              <w:left w:val="single" w:color="auto" w:sz="4" w:space="0"/>
              <w:bottom w:val="single" w:color="auto" w:sz="4" w:space="0"/>
              <w:right w:val="single" w:color="auto" w:sz="4" w:space="0"/>
            </w:tcBorders>
            <w:vAlign w:val="center"/>
          </w:tcPr>
          <w:p w14:paraId="4BE80837">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rPr>
              <w:t>投标保证金</w:t>
            </w:r>
          </w:p>
        </w:tc>
        <w:tc>
          <w:tcPr>
            <w:tcW w:w="7393" w:type="dxa"/>
            <w:tcBorders>
              <w:top w:val="single" w:color="auto" w:sz="4" w:space="0"/>
              <w:left w:val="single" w:color="auto" w:sz="4" w:space="0"/>
              <w:bottom w:val="single" w:color="auto" w:sz="4" w:space="0"/>
              <w:right w:val="single" w:color="auto" w:sz="4" w:space="0"/>
            </w:tcBorders>
            <w:vAlign w:val="center"/>
          </w:tcPr>
          <w:p w14:paraId="4CB078D9">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cs="宋体"/>
                <w:b/>
                <w:bCs/>
                <w:color w:val="auto"/>
                <w:kern w:val="2"/>
                <w:sz w:val="24"/>
                <w:szCs w:val="24"/>
                <w:highlight w:val="none"/>
                <w:lang w:val="en-US" w:eastAsia="zh-CN" w:bidi="ar-SA"/>
              </w:rPr>
            </w:pPr>
            <w:r>
              <w:rPr>
                <w:rFonts w:hint="eastAsia" w:ascii="宋体" w:hAnsi="宋体" w:cs="宋体"/>
                <w:b/>
                <w:bCs/>
                <w:color w:val="auto"/>
                <w:kern w:val="2"/>
                <w:sz w:val="24"/>
                <w:szCs w:val="24"/>
                <w:highlight w:val="none"/>
                <w:lang w:val="en-US" w:eastAsia="zh-CN" w:bidi="ar-SA"/>
              </w:rPr>
              <w:t>1.</w:t>
            </w:r>
            <w:r>
              <w:rPr>
                <w:rFonts w:hint="eastAsia" w:ascii="宋体" w:hAnsi="宋体" w:eastAsia="宋体" w:cs="宋体"/>
                <w:b/>
                <w:bCs/>
                <w:color w:val="auto"/>
                <w:kern w:val="2"/>
                <w:sz w:val="24"/>
                <w:szCs w:val="24"/>
                <w:highlight w:val="none"/>
                <w:lang w:val="en-US" w:eastAsia="zh-CN" w:bidi="ar-SA"/>
              </w:rPr>
              <w:t>投标保证金金额：</w:t>
            </w:r>
            <w:r>
              <w:rPr>
                <w:rFonts w:hint="eastAsia" w:ascii="宋体" w:hAnsi="宋体" w:cs="宋体"/>
                <w:b/>
                <w:bCs/>
                <w:color w:val="auto"/>
                <w:kern w:val="2"/>
                <w:sz w:val="24"/>
                <w:szCs w:val="24"/>
                <w:highlight w:val="none"/>
                <w:lang w:val="en-US" w:eastAsia="zh-CN" w:bidi="ar-SA"/>
              </w:rPr>
              <w:t>78000.00元（柒万捌仟元整）</w:t>
            </w:r>
          </w:p>
          <w:p w14:paraId="1ADDF0D9">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cs="宋体"/>
                <w:b/>
                <w:bCs/>
                <w:color w:val="auto"/>
                <w:kern w:val="2"/>
                <w:sz w:val="24"/>
                <w:szCs w:val="24"/>
                <w:highlight w:val="none"/>
                <w:lang w:val="en-US" w:eastAsia="zh-CN" w:bidi="ar-SA"/>
              </w:rPr>
              <w:t>2.</w:t>
            </w:r>
            <w:r>
              <w:rPr>
                <w:rFonts w:hint="eastAsia" w:ascii="宋体" w:hAnsi="宋体" w:eastAsia="宋体" w:cs="宋体"/>
                <w:b/>
                <w:bCs/>
                <w:color w:val="auto"/>
                <w:kern w:val="2"/>
                <w:sz w:val="24"/>
                <w:szCs w:val="24"/>
                <w:highlight w:val="none"/>
                <w:lang w:val="en-US" w:eastAsia="zh-CN" w:bidi="ar-SA"/>
              </w:rPr>
              <w:t>投标保证金的形式：投标保证金应当由供应商基本账户以网银转账或银行电汇或者金融机构、担保机构出具的保函或银行保函等非现金形式提交（必须由供应商单位基本账户开户银行开具、使用银行保函的，并提供保函的扫描件）。</w:t>
            </w:r>
          </w:p>
          <w:p w14:paraId="0E66D7CF">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开户银行及账号如下：</w:t>
            </w:r>
          </w:p>
          <w:p w14:paraId="09AD7BF2">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账户名称：新疆德泰工程项目管理服务有限公司</w:t>
            </w:r>
          </w:p>
          <w:p w14:paraId="04C643EE">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三证合一：91652801MA7756RNX2</w:t>
            </w:r>
          </w:p>
          <w:p w14:paraId="1817DA35">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账    号：736090100100131279</w:t>
            </w:r>
          </w:p>
          <w:p w14:paraId="6FC2039B">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开户行号：313888000101</w:t>
            </w:r>
          </w:p>
          <w:p w14:paraId="121D8275">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开 户 行：新疆银行股份有限公司库尔勒千城支行营业室</w:t>
            </w:r>
          </w:p>
          <w:p w14:paraId="2FF7E69D">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leftChars="0" w:right="0" w:rightChars="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投标保证金的递交截止时间：同开标时间（以银行记录确认到账为准），保证金汇款凭证用途栏应注明:项目编号或项目名称，未按以上要求递交投标保证金及提供保证金交纳凭证的视为无效，采购人将拒绝其投标。</w:t>
            </w:r>
          </w:p>
          <w:p w14:paraId="2C3660B4">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leftChars="0" w:right="0" w:rightChars="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3、以保函形式应按以下要求办理：</w:t>
            </w:r>
          </w:p>
          <w:p w14:paraId="7EF17244">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leftChars="0" w:right="0" w:rightChars="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（1）保函按照“一标项一保函”的原则；</w:t>
            </w:r>
          </w:p>
          <w:p w14:paraId="7EF4719F">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leftChars="0" w:right="0" w:rightChars="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（2）保函须在采购文件规定的投标截止时间前办理完成，并将对应的保函随响应文件一起上传到政采云平台；</w:t>
            </w:r>
          </w:p>
          <w:p w14:paraId="7021C310">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leftChars="0" w:right="0" w:rightChars="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（3）提供合法真实有效的保函作为本项目缴纳保证金的证明材料；</w:t>
            </w:r>
          </w:p>
          <w:p w14:paraId="5F4DA8C0">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（4）已开具的保函，供应商不可单方面提出退保、注销等要求。</w:t>
            </w:r>
          </w:p>
        </w:tc>
      </w:tr>
      <w:tr w14:paraId="5D80B61A">
        <w:tblPrEx>
          <w:tblCellMar>
            <w:top w:w="0" w:type="dxa"/>
            <w:left w:w="108" w:type="dxa"/>
            <w:bottom w:w="0" w:type="dxa"/>
            <w:right w:w="108" w:type="dxa"/>
          </w:tblCellMar>
        </w:tblPrEx>
        <w:trPr>
          <w:trHeight w:val="1182" w:hRule="atLeast"/>
          <w:jc w:val="center"/>
        </w:trPr>
        <w:tc>
          <w:tcPr>
            <w:tcW w:w="997" w:type="dxa"/>
            <w:vMerge w:val="restart"/>
            <w:tcBorders>
              <w:top w:val="single" w:color="auto" w:sz="4" w:space="0"/>
              <w:left w:val="single" w:color="auto" w:sz="4" w:space="0"/>
              <w:right w:val="single" w:color="auto" w:sz="4" w:space="0"/>
            </w:tcBorders>
            <w:vAlign w:val="center"/>
          </w:tcPr>
          <w:p w14:paraId="1EF0C80E">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22</w:t>
            </w:r>
          </w:p>
        </w:tc>
        <w:tc>
          <w:tcPr>
            <w:tcW w:w="1880" w:type="dxa"/>
            <w:vMerge w:val="restart"/>
            <w:tcBorders>
              <w:top w:val="single" w:color="auto" w:sz="4" w:space="0"/>
              <w:left w:val="single" w:color="auto" w:sz="4" w:space="0"/>
              <w:right w:val="single" w:color="auto" w:sz="4" w:space="0"/>
            </w:tcBorders>
            <w:vAlign w:val="center"/>
          </w:tcPr>
          <w:p w14:paraId="330CE36C">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投标</w:t>
            </w:r>
            <w:r>
              <w:rPr>
                <w:rFonts w:hint="eastAsia" w:ascii="宋体" w:hAnsi="宋体" w:eastAsia="宋体" w:cs="宋体"/>
                <w:b/>
                <w:bCs/>
                <w:color w:val="auto"/>
                <w:sz w:val="24"/>
                <w:szCs w:val="24"/>
                <w:highlight w:val="none"/>
              </w:rPr>
              <w:t>文件</w:t>
            </w:r>
          </w:p>
          <w:p w14:paraId="61C545BC">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提</w:t>
            </w:r>
            <w:r>
              <w:rPr>
                <w:rFonts w:hint="eastAsia" w:ascii="宋体" w:hAnsi="宋体" w:eastAsia="宋体" w:cs="宋体"/>
                <w:b/>
                <w:bCs/>
                <w:color w:val="auto"/>
                <w:sz w:val="24"/>
                <w:szCs w:val="24"/>
                <w:highlight w:val="none"/>
              </w:rPr>
              <w:t>交时间及地点</w:t>
            </w:r>
          </w:p>
        </w:tc>
        <w:tc>
          <w:tcPr>
            <w:tcW w:w="7393" w:type="dxa"/>
            <w:tcBorders>
              <w:top w:val="single" w:color="auto" w:sz="4" w:space="0"/>
              <w:left w:val="single" w:color="auto" w:sz="4" w:space="0"/>
              <w:bottom w:val="single" w:color="auto" w:sz="4" w:space="0"/>
              <w:right w:val="single" w:color="auto" w:sz="4" w:space="0"/>
            </w:tcBorders>
            <w:vAlign w:val="center"/>
          </w:tcPr>
          <w:p w14:paraId="03DF703C">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2" w:leftChars="0" w:right="0" w:firstLine="0" w:firstLineChars="0"/>
              <w:textAlignment w:val="auto"/>
              <w:outlineLvl w:val="9"/>
              <w:rPr>
                <w:rFonts w:hint="eastAsia" w:ascii="宋体" w:hAnsi="宋体" w:eastAsia="宋体" w:cs="宋体"/>
                <w:b/>
                <w:bCs/>
                <w:color w:val="auto"/>
                <w:sz w:val="24"/>
                <w:szCs w:val="24"/>
                <w:highlight w:val="none"/>
                <w:u w:val="none"/>
              </w:rPr>
            </w:pPr>
            <w:r>
              <w:rPr>
                <w:rFonts w:hint="eastAsia" w:ascii="宋体" w:hAnsi="宋体" w:eastAsia="宋体" w:cs="宋体"/>
                <w:b/>
                <w:bCs/>
                <w:color w:val="auto"/>
                <w:sz w:val="24"/>
                <w:szCs w:val="24"/>
                <w:highlight w:val="none"/>
              </w:rPr>
              <w:t>电子加密文件</w:t>
            </w:r>
            <w:r>
              <w:rPr>
                <w:rFonts w:hint="eastAsia" w:ascii="宋体" w:hAnsi="宋体" w:cs="宋体"/>
                <w:b/>
                <w:bCs/>
                <w:color w:val="auto"/>
                <w:sz w:val="24"/>
                <w:szCs w:val="24"/>
                <w:highlight w:val="none"/>
                <w:lang w:eastAsia="zh-CN"/>
              </w:rPr>
              <w:t>：</w:t>
            </w:r>
            <w:r>
              <w:rPr>
                <w:rFonts w:hint="eastAsia" w:ascii="宋体" w:hAnsi="宋体" w:eastAsia="宋体" w:cs="宋体"/>
                <w:b/>
                <w:bCs/>
                <w:color w:val="auto"/>
                <w:sz w:val="24"/>
                <w:szCs w:val="24"/>
                <w:highlight w:val="none"/>
              </w:rPr>
              <w:t>提交</w:t>
            </w:r>
            <w:r>
              <w:rPr>
                <w:rFonts w:hint="eastAsia" w:ascii="宋体" w:hAnsi="宋体" w:eastAsia="宋体" w:cs="宋体"/>
                <w:b/>
                <w:bCs/>
                <w:color w:val="auto"/>
                <w:sz w:val="24"/>
                <w:szCs w:val="24"/>
                <w:highlight w:val="none"/>
                <w:lang w:val="en-US" w:eastAsia="zh-CN"/>
              </w:rPr>
              <w:t>投标文件</w:t>
            </w:r>
            <w:r>
              <w:rPr>
                <w:rFonts w:hint="eastAsia" w:ascii="宋体" w:hAnsi="宋体" w:eastAsia="宋体" w:cs="宋体"/>
                <w:b/>
                <w:bCs/>
                <w:color w:val="auto"/>
                <w:sz w:val="24"/>
                <w:szCs w:val="24"/>
                <w:highlight w:val="none"/>
              </w:rPr>
              <w:t>截止时间及开标时间：</w:t>
            </w:r>
            <w:r>
              <w:rPr>
                <w:rFonts w:hint="eastAsia" w:ascii="宋体" w:hAnsi="宋体" w:cs="宋体"/>
                <w:b/>
                <w:bCs/>
                <w:color w:val="auto"/>
                <w:sz w:val="24"/>
                <w:szCs w:val="24"/>
                <w:highlight w:val="none"/>
                <w:u w:val="none"/>
                <w:lang w:eastAsia="zh-CN"/>
              </w:rPr>
              <w:t>2025年7月</w:t>
            </w:r>
            <w:r>
              <w:rPr>
                <w:rFonts w:hint="eastAsia" w:ascii="宋体" w:hAnsi="宋体" w:cs="宋体"/>
                <w:b/>
                <w:bCs/>
                <w:color w:val="auto"/>
                <w:sz w:val="24"/>
                <w:szCs w:val="24"/>
                <w:highlight w:val="none"/>
                <w:u w:val="none"/>
                <w:lang w:val="en-US" w:eastAsia="zh-CN"/>
              </w:rPr>
              <w:t>23</w:t>
            </w:r>
            <w:r>
              <w:rPr>
                <w:rFonts w:hint="eastAsia" w:ascii="宋体" w:hAnsi="宋体" w:cs="宋体"/>
                <w:b/>
                <w:bCs/>
                <w:color w:val="auto"/>
                <w:sz w:val="24"/>
                <w:szCs w:val="24"/>
                <w:highlight w:val="none"/>
                <w:u w:val="none"/>
                <w:lang w:eastAsia="zh-CN"/>
              </w:rPr>
              <w:t>日</w:t>
            </w:r>
            <w:r>
              <w:rPr>
                <w:rFonts w:hint="eastAsia" w:ascii="宋体" w:hAnsi="宋体" w:cs="宋体"/>
                <w:b/>
                <w:bCs/>
                <w:color w:val="auto"/>
                <w:sz w:val="24"/>
                <w:szCs w:val="24"/>
                <w:highlight w:val="none"/>
                <w:u w:val="none"/>
                <w:lang w:val="en-US" w:eastAsia="zh-CN"/>
              </w:rPr>
              <w:t>16时30分</w:t>
            </w:r>
            <w:r>
              <w:rPr>
                <w:rFonts w:hint="eastAsia" w:ascii="宋体" w:hAnsi="宋体" w:eastAsia="宋体" w:cs="宋体"/>
                <w:b/>
                <w:bCs/>
                <w:color w:val="auto"/>
                <w:sz w:val="24"/>
                <w:szCs w:val="24"/>
                <w:highlight w:val="none"/>
                <w:u w:val="none"/>
              </w:rPr>
              <w:t>（北京时间）</w:t>
            </w:r>
          </w:p>
          <w:p w14:paraId="0DBB7067">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2" w:leftChars="0" w:right="0" w:firstLine="0" w:firstLineChars="0"/>
              <w:textAlignment w:val="auto"/>
              <w:outlineLvl w:val="9"/>
              <w:rPr>
                <w:rFonts w:hint="eastAsia"/>
                <w:color w:val="auto"/>
                <w:szCs w:val="20"/>
                <w:highlight w:val="none"/>
                <w:lang w:val="en-US" w:eastAsia="zh-CN"/>
              </w:rPr>
            </w:pPr>
            <w:r>
              <w:rPr>
                <w:rFonts w:hint="eastAsia" w:ascii="宋体" w:hAnsi="宋体" w:eastAsia="宋体" w:cs="宋体"/>
                <w:b/>
                <w:bCs/>
                <w:color w:val="auto"/>
                <w:sz w:val="24"/>
                <w:szCs w:val="24"/>
                <w:highlight w:val="none"/>
                <w:lang w:val="en-US" w:eastAsia="zh-CN"/>
              </w:rPr>
              <w:t>投标地点及开标地点：</w:t>
            </w:r>
            <w:r>
              <w:rPr>
                <w:rFonts w:hint="eastAsia" w:ascii="宋体" w:hAnsi="宋体" w:eastAsia="宋体" w:cs="宋体"/>
                <w:b/>
                <w:bCs/>
                <w:color w:val="auto"/>
                <w:sz w:val="24"/>
                <w:szCs w:val="24"/>
                <w:highlight w:val="none"/>
                <w:lang w:val="en-US" w:eastAsia="zh-CN"/>
              </w:rPr>
              <w:fldChar w:fldCharType="begin"/>
            </w:r>
            <w:r>
              <w:rPr>
                <w:rFonts w:hint="eastAsia" w:ascii="宋体" w:hAnsi="宋体" w:eastAsia="宋体" w:cs="宋体"/>
                <w:b/>
                <w:bCs/>
                <w:color w:val="auto"/>
                <w:sz w:val="24"/>
                <w:szCs w:val="24"/>
                <w:highlight w:val="none"/>
                <w:lang w:val="en-US" w:eastAsia="zh-CN"/>
              </w:rPr>
              <w:instrText xml:space="preserve"> HYPERLINK "https://www.zcygov.cn" </w:instrText>
            </w:r>
            <w:r>
              <w:rPr>
                <w:rFonts w:hint="eastAsia" w:ascii="宋体" w:hAnsi="宋体" w:eastAsia="宋体" w:cs="宋体"/>
                <w:b/>
                <w:bCs/>
                <w:color w:val="auto"/>
                <w:sz w:val="24"/>
                <w:szCs w:val="24"/>
                <w:highlight w:val="none"/>
                <w:lang w:val="en-US" w:eastAsia="zh-CN"/>
              </w:rPr>
              <w:fldChar w:fldCharType="separate"/>
            </w:r>
            <w:r>
              <w:rPr>
                <w:rFonts w:hint="eastAsia" w:ascii="宋体" w:hAnsi="宋体" w:eastAsia="宋体" w:cs="宋体"/>
                <w:b/>
                <w:bCs/>
                <w:color w:val="auto"/>
                <w:sz w:val="24"/>
                <w:szCs w:val="24"/>
                <w:highlight w:val="none"/>
                <w:lang w:val="en-US" w:eastAsia="zh-CN"/>
              </w:rPr>
              <w:t>https://www.zcygov.cn</w:t>
            </w:r>
            <w:r>
              <w:rPr>
                <w:rFonts w:hint="eastAsia" w:ascii="宋体" w:hAnsi="宋体" w:eastAsia="宋体" w:cs="宋体"/>
                <w:b/>
                <w:bCs/>
                <w:color w:val="auto"/>
                <w:sz w:val="24"/>
                <w:szCs w:val="24"/>
                <w:highlight w:val="none"/>
                <w:lang w:val="en-US" w:eastAsia="zh-CN"/>
              </w:rPr>
              <w:fldChar w:fldCharType="end"/>
            </w:r>
          </w:p>
        </w:tc>
      </w:tr>
      <w:tr w14:paraId="53D5BDBB">
        <w:tblPrEx>
          <w:tblCellMar>
            <w:top w:w="0" w:type="dxa"/>
            <w:left w:w="108" w:type="dxa"/>
            <w:bottom w:w="0" w:type="dxa"/>
            <w:right w:w="108" w:type="dxa"/>
          </w:tblCellMar>
        </w:tblPrEx>
        <w:trPr>
          <w:trHeight w:val="90" w:hRule="atLeast"/>
          <w:jc w:val="center"/>
        </w:trPr>
        <w:tc>
          <w:tcPr>
            <w:tcW w:w="997" w:type="dxa"/>
            <w:vMerge w:val="continue"/>
            <w:tcBorders>
              <w:left w:val="single" w:color="auto" w:sz="4" w:space="0"/>
              <w:bottom w:val="single" w:color="auto" w:sz="4" w:space="0"/>
              <w:right w:val="single" w:color="auto" w:sz="4" w:space="0"/>
            </w:tcBorders>
            <w:vAlign w:val="center"/>
          </w:tcPr>
          <w:p w14:paraId="62D79C33">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p>
        </w:tc>
        <w:tc>
          <w:tcPr>
            <w:tcW w:w="1880" w:type="dxa"/>
            <w:vMerge w:val="continue"/>
            <w:tcBorders>
              <w:left w:val="single" w:color="auto" w:sz="4" w:space="0"/>
              <w:bottom w:val="single" w:color="auto" w:sz="4" w:space="0"/>
              <w:right w:val="single" w:color="auto" w:sz="4" w:space="0"/>
            </w:tcBorders>
            <w:vAlign w:val="center"/>
          </w:tcPr>
          <w:p w14:paraId="48A43D9D">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b/>
                <w:bCs/>
                <w:color w:val="auto"/>
                <w:sz w:val="24"/>
                <w:szCs w:val="24"/>
                <w:highlight w:val="none"/>
                <w:lang w:val="en-US" w:eastAsia="zh-CN"/>
              </w:rPr>
            </w:pPr>
          </w:p>
        </w:tc>
        <w:tc>
          <w:tcPr>
            <w:tcW w:w="7393" w:type="dxa"/>
            <w:tcBorders>
              <w:top w:val="single" w:color="auto" w:sz="4" w:space="0"/>
              <w:left w:val="single" w:color="auto" w:sz="4" w:space="0"/>
              <w:bottom w:val="single" w:color="auto" w:sz="4" w:space="0"/>
              <w:right w:val="single" w:color="auto" w:sz="4" w:space="0"/>
            </w:tcBorders>
            <w:vAlign w:val="center"/>
          </w:tcPr>
          <w:p w14:paraId="7D8B24A1">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2" w:leftChars="0" w:right="0" w:firstLine="0" w:firstLineChars="0"/>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纸质版文件包括：一份正本，一份副本。</w:t>
            </w:r>
          </w:p>
          <w:p w14:paraId="281A9BB8">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2" w:leftChars="0" w:right="0" w:firstLine="0" w:firstLineChars="0"/>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项目成交公示后三个工作日内，</w:t>
            </w:r>
            <w:r>
              <w:rPr>
                <w:rFonts w:hint="eastAsia" w:ascii="宋体" w:hAnsi="宋体" w:cs="宋体"/>
                <w:b/>
                <w:bCs/>
                <w:color w:val="auto"/>
                <w:sz w:val="24"/>
                <w:szCs w:val="24"/>
                <w:highlight w:val="none"/>
                <w:lang w:val="en-US" w:eastAsia="zh-CN"/>
              </w:rPr>
              <w:t>中标（</w:t>
            </w:r>
            <w:r>
              <w:rPr>
                <w:rFonts w:hint="eastAsia" w:ascii="宋体" w:hAnsi="宋体" w:eastAsia="宋体" w:cs="宋体"/>
                <w:b/>
                <w:bCs/>
                <w:color w:val="auto"/>
                <w:sz w:val="24"/>
                <w:szCs w:val="24"/>
                <w:highlight w:val="none"/>
                <w:lang w:val="en-US" w:eastAsia="zh-CN"/>
              </w:rPr>
              <w:t>成</w:t>
            </w:r>
            <w:r>
              <w:rPr>
                <w:rFonts w:hint="eastAsia" w:ascii="宋体" w:hAnsi="宋体" w:cs="宋体"/>
                <w:b/>
                <w:bCs/>
                <w:color w:val="auto"/>
                <w:sz w:val="24"/>
                <w:szCs w:val="24"/>
                <w:highlight w:val="none"/>
                <w:lang w:val="en-US" w:eastAsia="zh-CN"/>
              </w:rPr>
              <w:t>交）</w:t>
            </w:r>
            <w:r>
              <w:rPr>
                <w:rFonts w:hint="eastAsia" w:ascii="宋体" w:hAnsi="宋体" w:eastAsia="宋体" w:cs="宋体"/>
                <w:b/>
                <w:bCs/>
                <w:color w:val="auto"/>
                <w:sz w:val="24"/>
                <w:szCs w:val="24"/>
                <w:highlight w:val="none"/>
                <w:lang w:val="en-US" w:eastAsia="zh-CN"/>
              </w:rPr>
              <w:t>单位需提供两份纸质响应文件（必须与上传的电子版响应文件一致），双面打印、盖鲜章后递交至采购代理机构（可邮寄）；</w:t>
            </w:r>
          </w:p>
          <w:p w14:paraId="097B03BD">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2" w:leftChars="0" w:right="0" w:firstLine="0" w:firstLineChars="0"/>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递交地址：库尔勒市索克巴格路6号壹品千城商业街2栋3层8号</w:t>
            </w:r>
          </w:p>
          <w:p w14:paraId="432A2318">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2" w:leftChars="0" w:right="0" w:firstLine="0" w:firstLineChars="0"/>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采用死页胶装方式装订,装订应牢固、不易拆散和换页，不得采用活页装订。</w:t>
            </w:r>
          </w:p>
        </w:tc>
      </w:tr>
      <w:tr w14:paraId="7B57EADA">
        <w:tblPrEx>
          <w:tblCellMar>
            <w:top w:w="0" w:type="dxa"/>
            <w:left w:w="108" w:type="dxa"/>
            <w:bottom w:w="0" w:type="dxa"/>
            <w:right w:w="108" w:type="dxa"/>
          </w:tblCellMar>
        </w:tblPrEx>
        <w:trPr>
          <w:trHeight w:val="737" w:hRule="atLeast"/>
          <w:jc w:val="center"/>
        </w:trPr>
        <w:tc>
          <w:tcPr>
            <w:tcW w:w="997" w:type="dxa"/>
            <w:tcBorders>
              <w:top w:val="single" w:color="auto" w:sz="4" w:space="0"/>
              <w:left w:val="single" w:color="auto" w:sz="4" w:space="0"/>
              <w:bottom w:val="single" w:color="auto" w:sz="4" w:space="0"/>
              <w:right w:val="single" w:color="auto" w:sz="4" w:space="0"/>
            </w:tcBorders>
            <w:vAlign w:val="center"/>
          </w:tcPr>
          <w:p w14:paraId="35133EA0">
            <w:pPr>
              <w:keepNext w:val="0"/>
              <w:keepLines w:val="0"/>
              <w:pageBreakBefore w:val="0"/>
              <w:widowControl w:val="0"/>
              <w:suppressLineNumbers w:val="0"/>
              <w:tabs>
                <w:tab w:val="left" w:pos="5527"/>
              </w:tabs>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val="en-US" w:eastAsia="zh-CN"/>
              </w:rPr>
              <w:t>3</w:t>
            </w:r>
          </w:p>
        </w:tc>
        <w:tc>
          <w:tcPr>
            <w:tcW w:w="1880" w:type="dxa"/>
            <w:tcBorders>
              <w:top w:val="single" w:color="auto" w:sz="4" w:space="0"/>
              <w:left w:val="single" w:color="auto" w:sz="4" w:space="0"/>
              <w:bottom w:val="single" w:color="auto" w:sz="4" w:space="0"/>
              <w:right w:val="single" w:color="auto" w:sz="4" w:space="0"/>
            </w:tcBorders>
            <w:vAlign w:val="center"/>
          </w:tcPr>
          <w:p w14:paraId="79D1BA94">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最高限价</w:t>
            </w:r>
          </w:p>
        </w:tc>
        <w:tc>
          <w:tcPr>
            <w:tcW w:w="7393" w:type="dxa"/>
            <w:tcBorders>
              <w:top w:val="single" w:color="auto" w:sz="4" w:space="0"/>
              <w:left w:val="single" w:color="auto" w:sz="4" w:space="0"/>
              <w:bottom w:val="single" w:color="auto" w:sz="4" w:space="0"/>
              <w:right w:val="single" w:color="auto" w:sz="4" w:space="0"/>
            </w:tcBorders>
            <w:vAlign w:val="center"/>
          </w:tcPr>
          <w:p w14:paraId="325284FE">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2" w:leftChars="0" w:right="0" w:firstLine="0" w:firstLineChars="0"/>
              <w:textAlignment w:val="auto"/>
              <w:outlineLvl w:val="9"/>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最高限价：</w:t>
            </w:r>
            <w:r>
              <w:rPr>
                <w:rFonts w:hint="eastAsia" w:ascii="宋体" w:hAnsi="宋体" w:cs="宋体"/>
                <w:b/>
                <w:bCs/>
                <w:color w:val="auto"/>
                <w:sz w:val="24"/>
                <w:szCs w:val="24"/>
                <w:highlight w:val="none"/>
                <w:lang w:val="en-US" w:eastAsia="zh-CN"/>
              </w:rPr>
              <w:t>3920000.00元</w:t>
            </w:r>
          </w:p>
          <w:p w14:paraId="4BFC6BAE">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2" w:leftChars="0" w:right="0" w:firstLine="0" w:firstLineChars="0"/>
              <w:textAlignment w:val="auto"/>
              <w:outlineLvl w:val="9"/>
              <w:rPr>
                <w:rFonts w:hint="eastAsia"/>
                <w:color w:val="auto"/>
                <w:szCs w:val="20"/>
                <w:highlight w:val="none"/>
                <w:lang w:val="en-US" w:eastAsia="zh-CN"/>
              </w:rPr>
            </w:pPr>
            <w:r>
              <w:rPr>
                <w:rFonts w:hint="eastAsia" w:ascii="宋体" w:hAnsi="宋体" w:eastAsia="宋体" w:cs="宋体"/>
                <w:b/>
                <w:bCs/>
                <w:color w:val="auto"/>
                <w:sz w:val="24"/>
                <w:szCs w:val="24"/>
                <w:highlight w:val="none"/>
                <w:lang w:val="en-US" w:eastAsia="zh-CN"/>
              </w:rPr>
              <w:t>（投标报价不得高于最高限价，否则将按无效投标处理，报价金额保留后两位小数）</w:t>
            </w:r>
          </w:p>
        </w:tc>
      </w:tr>
      <w:tr w14:paraId="02F4E11E">
        <w:tblPrEx>
          <w:tblCellMar>
            <w:top w:w="0" w:type="dxa"/>
            <w:left w:w="108" w:type="dxa"/>
            <w:bottom w:w="0" w:type="dxa"/>
            <w:right w:w="108" w:type="dxa"/>
          </w:tblCellMar>
        </w:tblPrEx>
        <w:trPr>
          <w:trHeight w:val="737" w:hRule="atLeast"/>
          <w:jc w:val="center"/>
        </w:trPr>
        <w:tc>
          <w:tcPr>
            <w:tcW w:w="997" w:type="dxa"/>
            <w:tcBorders>
              <w:top w:val="single" w:color="auto" w:sz="4" w:space="0"/>
              <w:left w:val="single" w:color="auto" w:sz="4" w:space="0"/>
              <w:bottom w:val="single" w:color="auto" w:sz="4" w:space="0"/>
              <w:right w:val="single" w:color="auto" w:sz="4" w:space="0"/>
            </w:tcBorders>
            <w:vAlign w:val="center"/>
          </w:tcPr>
          <w:p w14:paraId="55BA619D">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4</w:t>
            </w:r>
          </w:p>
        </w:tc>
        <w:tc>
          <w:tcPr>
            <w:tcW w:w="1880" w:type="dxa"/>
            <w:tcBorders>
              <w:top w:val="single" w:color="auto" w:sz="4" w:space="0"/>
              <w:left w:val="single" w:color="auto" w:sz="4" w:space="0"/>
              <w:bottom w:val="single" w:color="auto" w:sz="4" w:space="0"/>
              <w:right w:val="single" w:color="auto" w:sz="4" w:space="0"/>
            </w:tcBorders>
            <w:vAlign w:val="center"/>
          </w:tcPr>
          <w:p w14:paraId="6DD00F16">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360" w:lineRule="auto"/>
              <w:ind w:left="0" w:right="0"/>
              <w:jc w:val="center"/>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rPr>
              <w:t>代理服务费</w:t>
            </w:r>
          </w:p>
        </w:tc>
        <w:tc>
          <w:tcPr>
            <w:tcW w:w="7393" w:type="dxa"/>
            <w:tcBorders>
              <w:top w:val="single" w:color="auto" w:sz="4" w:space="0"/>
              <w:left w:val="single" w:color="auto" w:sz="4" w:space="0"/>
              <w:bottom w:val="single" w:color="auto" w:sz="4" w:space="0"/>
              <w:right w:val="single" w:color="auto" w:sz="4" w:space="0"/>
            </w:tcBorders>
            <w:vAlign w:val="center"/>
          </w:tcPr>
          <w:p w14:paraId="3956C86C">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240" w:lineRule="auto"/>
              <w:ind w:left="0" w:right="0"/>
              <w:textAlignment w:val="auto"/>
              <w:outlineLvl w:val="9"/>
              <w:rPr>
                <w:rFonts w:hint="eastAsia" w:ascii="宋体" w:hAnsi="宋体" w:eastAsia="宋体" w:cs="宋体"/>
                <w:b/>
                <w:bCs/>
                <w:color w:val="auto"/>
                <w:sz w:val="24"/>
                <w:szCs w:val="24"/>
                <w:highlight w:val="none"/>
              </w:rPr>
            </w:pPr>
            <w:r>
              <w:rPr>
                <w:rFonts w:hint="eastAsia" w:ascii="宋体" w:hAnsi="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、代理报酬支付方式：由中标人支付。</w:t>
            </w:r>
          </w:p>
          <w:p w14:paraId="6706EE33">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240" w:lineRule="auto"/>
              <w:ind w:left="0" w:right="0"/>
              <w:textAlignment w:val="auto"/>
              <w:outlineLvl w:val="9"/>
              <w:rPr>
                <w:rFonts w:hint="eastAsia" w:ascii="宋体" w:hAnsi="宋体" w:eastAsia="宋体" w:cs="宋体"/>
                <w:b/>
                <w:bCs/>
                <w:color w:val="auto"/>
                <w:sz w:val="24"/>
                <w:szCs w:val="24"/>
                <w:highlight w:val="none"/>
              </w:rPr>
            </w:pPr>
            <w:r>
              <w:rPr>
                <w:rFonts w:hint="eastAsia" w:ascii="宋体" w:hAnsi="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、代理报酬的支付时间：由中标人领取中标通知书前支付。</w:t>
            </w:r>
          </w:p>
          <w:p w14:paraId="7C0BCA59">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240" w:lineRule="auto"/>
              <w:ind w:left="0" w:right="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szCs w:val="24"/>
                <w:highlight w:val="none"/>
              </w:rPr>
              <w:t>收取标准参照国计委计价格[2002]1980号文执行</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成交金额100万元以下的部分，</w:t>
            </w:r>
            <w:r>
              <w:rPr>
                <w:rFonts w:hint="eastAsia" w:ascii="宋体" w:hAnsi="宋体" w:cs="宋体"/>
                <w:b/>
                <w:bCs/>
                <w:color w:val="auto"/>
                <w:sz w:val="24"/>
                <w:szCs w:val="24"/>
                <w:highlight w:val="none"/>
                <w:lang w:val="en-US" w:eastAsia="zh-CN"/>
              </w:rPr>
              <w:t>货物类</w:t>
            </w:r>
            <w:r>
              <w:rPr>
                <w:rFonts w:hint="eastAsia" w:ascii="宋体" w:hAnsi="宋体" w:eastAsia="宋体" w:cs="宋体"/>
                <w:b/>
                <w:bCs/>
                <w:color w:val="auto"/>
                <w:sz w:val="24"/>
                <w:szCs w:val="24"/>
                <w:highlight w:val="none"/>
                <w:lang w:val="en-US" w:eastAsia="zh-CN"/>
              </w:rPr>
              <w:t>采购费率1.50%，成交金额100万元至500万元的部分，</w:t>
            </w:r>
            <w:r>
              <w:rPr>
                <w:rFonts w:hint="eastAsia" w:ascii="宋体" w:hAnsi="宋体" w:cs="宋体"/>
                <w:b/>
                <w:bCs/>
                <w:color w:val="auto"/>
                <w:sz w:val="24"/>
                <w:szCs w:val="24"/>
                <w:highlight w:val="none"/>
                <w:lang w:val="en-US" w:eastAsia="zh-CN"/>
              </w:rPr>
              <w:t>货物类</w:t>
            </w:r>
            <w:r>
              <w:rPr>
                <w:rFonts w:hint="eastAsia" w:ascii="宋体" w:hAnsi="宋体" w:eastAsia="宋体" w:cs="宋体"/>
                <w:b/>
                <w:bCs/>
                <w:color w:val="auto"/>
                <w:sz w:val="24"/>
                <w:szCs w:val="24"/>
                <w:highlight w:val="none"/>
                <w:lang w:val="en-US" w:eastAsia="zh-CN"/>
              </w:rPr>
              <w:t>采购费率1.10%，成交金额500万元至1000万元的部分，</w:t>
            </w:r>
            <w:r>
              <w:rPr>
                <w:rFonts w:hint="eastAsia" w:ascii="宋体" w:hAnsi="宋体" w:cs="宋体"/>
                <w:b/>
                <w:bCs/>
                <w:color w:val="auto"/>
                <w:sz w:val="24"/>
                <w:szCs w:val="24"/>
                <w:highlight w:val="none"/>
                <w:lang w:val="en-US" w:eastAsia="zh-CN"/>
              </w:rPr>
              <w:t>货物类</w:t>
            </w:r>
            <w:r>
              <w:rPr>
                <w:rFonts w:hint="eastAsia" w:ascii="宋体" w:hAnsi="宋体" w:eastAsia="宋体" w:cs="宋体"/>
                <w:b/>
                <w:bCs/>
                <w:color w:val="auto"/>
                <w:sz w:val="24"/>
                <w:szCs w:val="24"/>
                <w:highlight w:val="none"/>
                <w:lang w:val="en-US" w:eastAsia="zh-CN"/>
              </w:rPr>
              <w:t>采购费率0.80%，成交金额1000万元至5000万元的部分，</w:t>
            </w:r>
            <w:r>
              <w:rPr>
                <w:rFonts w:hint="eastAsia" w:ascii="宋体" w:hAnsi="宋体" w:cs="宋体"/>
                <w:b/>
                <w:bCs/>
                <w:color w:val="auto"/>
                <w:sz w:val="24"/>
                <w:szCs w:val="24"/>
                <w:highlight w:val="none"/>
                <w:lang w:val="en-US" w:eastAsia="zh-CN"/>
              </w:rPr>
              <w:t>货物</w:t>
            </w:r>
            <w:r>
              <w:rPr>
                <w:rFonts w:hint="eastAsia" w:ascii="宋体" w:hAnsi="宋体" w:eastAsia="宋体" w:cs="宋体"/>
                <w:b/>
                <w:bCs/>
                <w:color w:val="auto"/>
                <w:sz w:val="24"/>
                <w:szCs w:val="24"/>
                <w:highlight w:val="none"/>
                <w:lang w:val="en-US" w:eastAsia="zh-CN"/>
              </w:rPr>
              <w:t>率0.50%，成交金额5000万元至10000万元的部分，</w:t>
            </w:r>
            <w:r>
              <w:rPr>
                <w:rFonts w:hint="eastAsia" w:ascii="宋体" w:hAnsi="宋体" w:cs="宋体"/>
                <w:b/>
                <w:bCs/>
                <w:color w:val="auto"/>
                <w:sz w:val="24"/>
                <w:szCs w:val="24"/>
                <w:highlight w:val="none"/>
                <w:lang w:val="en-US" w:eastAsia="zh-CN"/>
              </w:rPr>
              <w:t>货物</w:t>
            </w:r>
            <w:r>
              <w:rPr>
                <w:rFonts w:hint="eastAsia" w:ascii="宋体" w:hAnsi="宋体" w:eastAsia="宋体" w:cs="宋体"/>
                <w:b/>
                <w:bCs/>
                <w:color w:val="auto"/>
                <w:sz w:val="24"/>
                <w:szCs w:val="24"/>
                <w:highlight w:val="none"/>
                <w:lang w:val="en-US" w:eastAsia="zh-CN"/>
              </w:rPr>
              <w:t>采购费率0.25%，成交金额10000万元至100000万元的部分，</w:t>
            </w:r>
            <w:r>
              <w:rPr>
                <w:rFonts w:hint="eastAsia" w:ascii="宋体" w:hAnsi="宋体" w:cs="宋体"/>
                <w:b/>
                <w:bCs/>
                <w:color w:val="auto"/>
                <w:sz w:val="24"/>
                <w:szCs w:val="24"/>
                <w:highlight w:val="none"/>
                <w:lang w:val="en-US" w:eastAsia="zh-CN"/>
              </w:rPr>
              <w:t>货物</w:t>
            </w:r>
            <w:r>
              <w:rPr>
                <w:rFonts w:hint="eastAsia" w:ascii="宋体" w:hAnsi="宋体" w:eastAsia="宋体" w:cs="宋体"/>
                <w:b/>
                <w:bCs/>
                <w:color w:val="auto"/>
                <w:sz w:val="24"/>
                <w:szCs w:val="24"/>
                <w:highlight w:val="none"/>
                <w:lang w:val="en-US" w:eastAsia="zh-CN"/>
              </w:rPr>
              <w:t>采购费率0.05%，成交金额1000000万元以上的部分，</w:t>
            </w:r>
            <w:r>
              <w:rPr>
                <w:rFonts w:hint="eastAsia" w:ascii="宋体" w:hAnsi="宋体" w:cs="宋体"/>
                <w:b/>
                <w:bCs/>
                <w:color w:val="auto"/>
                <w:sz w:val="24"/>
                <w:szCs w:val="24"/>
                <w:highlight w:val="none"/>
                <w:lang w:val="en-US" w:eastAsia="zh-CN"/>
              </w:rPr>
              <w:t>货物</w:t>
            </w:r>
            <w:r>
              <w:rPr>
                <w:rFonts w:hint="eastAsia" w:ascii="宋体" w:hAnsi="宋体" w:eastAsia="宋体" w:cs="宋体"/>
                <w:b/>
                <w:bCs/>
                <w:color w:val="auto"/>
                <w:sz w:val="24"/>
                <w:szCs w:val="24"/>
                <w:highlight w:val="none"/>
                <w:lang w:val="en-US" w:eastAsia="zh-CN"/>
              </w:rPr>
              <w:t>采购费率0.01%;</w:t>
            </w:r>
          </w:p>
        </w:tc>
      </w:tr>
      <w:tr w14:paraId="2768506A">
        <w:tblPrEx>
          <w:tblCellMar>
            <w:top w:w="0" w:type="dxa"/>
            <w:left w:w="108" w:type="dxa"/>
            <w:bottom w:w="0" w:type="dxa"/>
            <w:right w:w="108" w:type="dxa"/>
          </w:tblCellMar>
        </w:tblPrEx>
        <w:trPr>
          <w:trHeight w:val="90" w:hRule="atLeast"/>
          <w:jc w:val="center"/>
        </w:trPr>
        <w:tc>
          <w:tcPr>
            <w:tcW w:w="997" w:type="dxa"/>
            <w:tcBorders>
              <w:top w:val="single" w:color="auto" w:sz="4" w:space="0"/>
              <w:left w:val="single" w:color="auto" w:sz="4" w:space="0"/>
              <w:bottom w:val="single" w:color="auto" w:sz="4" w:space="0"/>
              <w:right w:val="single" w:color="auto" w:sz="4" w:space="0"/>
            </w:tcBorders>
            <w:vAlign w:val="center"/>
          </w:tcPr>
          <w:p w14:paraId="31A7B1A2">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p>
        </w:tc>
        <w:tc>
          <w:tcPr>
            <w:tcW w:w="1880" w:type="dxa"/>
            <w:tcBorders>
              <w:top w:val="single" w:color="auto" w:sz="4" w:space="0"/>
              <w:left w:val="single" w:color="auto" w:sz="4" w:space="0"/>
              <w:bottom w:val="single" w:color="auto" w:sz="4" w:space="0"/>
              <w:right w:val="single" w:color="auto" w:sz="4" w:space="0"/>
            </w:tcBorders>
            <w:vAlign w:val="center"/>
          </w:tcPr>
          <w:p w14:paraId="78280D55">
            <w:pPr>
              <w:pStyle w:val="16"/>
              <w:keepNext w:val="0"/>
              <w:keepLines w:val="0"/>
              <w:pageBreakBefore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评审专家劳务</w:t>
            </w:r>
          </w:p>
          <w:p w14:paraId="7FF94BA0">
            <w:pPr>
              <w:pStyle w:val="16"/>
              <w:keepNext w:val="0"/>
              <w:keepLines w:val="0"/>
              <w:pageBreakBefore w:val="0"/>
              <w:suppressLineNumbers w:val="0"/>
              <w:tabs>
                <w:tab w:val="left" w:pos="5527"/>
              </w:tabs>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报酬</w:t>
            </w:r>
          </w:p>
        </w:tc>
        <w:tc>
          <w:tcPr>
            <w:tcW w:w="7393" w:type="dxa"/>
            <w:tcBorders>
              <w:top w:val="single" w:color="auto" w:sz="4" w:space="0"/>
              <w:left w:val="single" w:color="auto" w:sz="4" w:space="0"/>
              <w:bottom w:val="single" w:color="auto" w:sz="4" w:space="0"/>
              <w:right w:val="single" w:color="auto" w:sz="4" w:space="0"/>
            </w:tcBorders>
            <w:vAlign w:val="center"/>
          </w:tcPr>
          <w:p w14:paraId="396D7D7A">
            <w:pPr>
              <w:pStyle w:val="24"/>
              <w:keepNext w:val="0"/>
              <w:keepLines w:val="0"/>
              <w:pageBreakBefore w:val="0"/>
              <w:suppressLineNumbers w:val="0"/>
              <w:tabs>
                <w:tab w:val="left" w:pos="5527"/>
              </w:tabs>
              <w:kinsoku/>
              <w:wordWrap/>
              <w:overflowPunct/>
              <w:topLinePunct w:val="0"/>
              <w:autoSpaceDE/>
              <w:autoSpaceDN/>
              <w:bidi w:val="0"/>
              <w:snapToGrid/>
              <w:spacing w:before="0" w:beforeAutospacing="0" w:after="0" w:afterAutospacing="0" w:line="400" w:lineRule="exact"/>
              <w:ind w:left="0" w:right="0"/>
              <w:textAlignment w:val="auto"/>
              <w:outlineLvl w:val="9"/>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val="0"/>
                <w:bCs/>
                <w:color w:val="auto"/>
                <w:sz w:val="24"/>
                <w:szCs w:val="24"/>
                <w:highlight w:val="none"/>
              </w:rPr>
              <w:t>计算方法及支付标准执行巴财购【2018】6号文《关于自治州政府采购专家评审费标准及支付方式的通知》。</w:t>
            </w:r>
          </w:p>
        </w:tc>
      </w:tr>
      <w:tr w14:paraId="1E3D011D">
        <w:tblPrEx>
          <w:tblCellMar>
            <w:top w:w="0" w:type="dxa"/>
            <w:left w:w="108" w:type="dxa"/>
            <w:bottom w:w="0" w:type="dxa"/>
            <w:right w:w="108" w:type="dxa"/>
          </w:tblCellMar>
        </w:tblPrEx>
        <w:trPr>
          <w:trHeight w:val="737" w:hRule="atLeast"/>
          <w:jc w:val="center"/>
        </w:trPr>
        <w:tc>
          <w:tcPr>
            <w:tcW w:w="997" w:type="dxa"/>
            <w:tcBorders>
              <w:top w:val="single" w:color="auto" w:sz="4" w:space="0"/>
              <w:left w:val="single" w:color="auto" w:sz="4" w:space="0"/>
              <w:bottom w:val="single" w:color="auto" w:sz="4" w:space="0"/>
              <w:right w:val="single" w:color="auto" w:sz="4" w:space="0"/>
            </w:tcBorders>
            <w:vAlign w:val="center"/>
          </w:tcPr>
          <w:p w14:paraId="747ACDC1">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leftChars="0" w:right="0" w:right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6</w:t>
            </w:r>
          </w:p>
        </w:tc>
        <w:tc>
          <w:tcPr>
            <w:tcW w:w="1880" w:type="dxa"/>
            <w:tcBorders>
              <w:top w:val="single" w:color="auto" w:sz="4" w:space="0"/>
              <w:left w:val="single" w:color="auto" w:sz="4" w:space="0"/>
              <w:bottom w:val="single" w:color="auto" w:sz="4" w:space="0"/>
              <w:right w:val="single" w:color="auto" w:sz="4" w:space="0"/>
            </w:tcBorders>
            <w:vAlign w:val="center"/>
          </w:tcPr>
          <w:p w14:paraId="107C1430">
            <w:pPr>
              <w:keepNext w:val="0"/>
              <w:keepLines w:val="0"/>
              <w:pageBreakBefore w:val="0"/>
              <w:widowControl w:val="0"/>
              <w:suppressLineNumbers w:val="0"/>
              <w:shd w:val="clear" w:color="auto" w:fill="auto"/>
              <w:kinsoku/>
              <w:wordWrap/>
              <w:overflowPunct/>
              <w:topLinePunct w:val="0"/>
              <w:autoSpaceDE/>
              <w:autoSpaceDN/>
              <w:bidi w:val="0"/>
              <w:spacing w:before="0" w:beforeAutospacing="0" w:after="0" w:afterAutospacing="0" w:line="360" w:lineRule="auto"/>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提出质疑</w:t>
            </w:r>
          </w:p>
          <w:p w14:paraId="3D2C0988">
            <w:pPr>
              <w:keepNext w:val="0"/>
              <w:keepLines w:val="0"/>
              <w:pageBreakBefore w:val="0"/>
              <w:widowControl w:val="0"/>
              <w:suppressLineNumbers w:val="0"/>
              <w:shd w:val="clear" w:color="auto" w:fill="auto"/>
              <w:kinsoku/>
              <w:wordWrap/>
              <w:overflowPunct/>
              <w:topLinePunct w:val="0"/>
              <w:autoSpaceDE/>
              <w:autoSpaceDN/>
              <w:bidi w:val="0"/>
              <w:spacing w:before="0" w:beforeAutospacing="0" w:after="0" w:afterAutospacing="0" w:line="360" w:lineRule="auto"/>
              <w:ind w:left="0" w:right="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的时间</w:t>
            </w:r>
          </w:p>
        </w:tc>
        <w:tc>
          <w:tcPr>
            <w:tcW w:w="7393" w:type="dxa"/>
            <w:tcBorders>
              <w:top w:val="single" w:color="auto" w:sz="4" w:space="0"/>
              <w:left w:val="single" w:color="auto" w:sz="4" w:space="0"/>
              <w:bottom w:val="single" w:color="auto" w:sz="4" w:space="0"/>
              <w:right w:val="single" w:color="auto" w:sz="4" w:space="0"/>
            </w:tcBorders>
            <w:vAlign w:val="center"/>
          </w:tcPr>
          <w:p w14:paraId="25CCB8A4">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88" w:lineRule="auto"/>
              <w:ind w:left="0" w:right="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1、对</w:t>
            </w:r>
            <w:r>
              <w:rPr>
                <w:rFonts w:hint="eastAsia" w:ascii="宋体" w:hAnsi="宋体" w:eastAsia="宋体" w:cs="宋体"/>
                <w:color w:val="auto"/>
                <w:sz w:val="24"/>
                <w:szCs w:val="24"/>
                <w:highlight w:val="none"/>
                <w:lang w:eastAsia="zh-CN"/>
              </w:rPr>
              <w:t>公开招标</w:t>
            </w:r>
            <w:r>
              <w:rPr>
                <w:rFonts w:hint="eastAsia" w:ascii="宋体" w:hAnsi="宋体" w:eastAsia="宋体" w:cs="宋体"/>
                <w:color w:val="auto"/>
                <w:sz w:val="24"/>
                <w:szCs w:val="24"/>
                <w:highlight w:val="none"/>
              </w:rPr>
              <w:t>文件提出质疑的，应当在获取</w:t>
            </w:r>
            <w:r>
              <w:rPr>
                <w:rFonts w:hint="eastAsia" w:ascii="宋体" w:hAnsi="宋体" w:eastAsia="宋体" w:cs="宋体"/>
                <w:color w:val="auto"/>
                <w:sz w:val="24"/>
                <w:szCs w:val="24"/>
                <w:highlight w:val="none"/>
                <w:lang w:eastAsia="zh-CN"/>
              </w:rPr>
              <w:t>公开招标</w:t>
            </w:r>
            <w:r>
              <w:rPr>
                <w:rFonts w:hint="eastAsia" w:ascii="宋体" w:hAnsi="宋体" w:eastAsia="宋体" w:cs="宋体"/>
                <w:color w:val="auto"/>
                <w:sz w:val="24"/>
                <w:szCs w:val="24"/>
                <w:highlight w:val="none"/>
              </w:rPr>
              <w:t>文件或者</w:t>
            </w:r>
            <w:r>
              <w:rPr>
                <w:rFonts w:hint="eastAsia" w:ascii="宋体" w:hAnsi="宋体" w:eastAsia="宋体" w:cs="宋体"/>
                <w:color w:val="auto"/>
                <w:sz w:val="24"/>
                <w:szCs w:val="24"/>
                <w:highlight w:val="none"/>
                <w:lang w:eastAsia="zh-CN"/>
              </w:rPr>
              <w:t>公开招标</w:t>
            </w:r>
            <w:r>
              <w:rPr>
                <w:rFonts w:hint="eastAsia" w:ascii="宋体" w:hAnsi="宋体" w:eastAsia="宋体" w:cs="宋体"/>
                <w:color w:val="auto"/>
                <w:sz w:val="24"/>
                <w:szCs w:val="24"/>
                <w:highlight w:val="none"/>
              </w:rPr>
              <w:t>公告期限届满之日起7个工作日内提出。</w:t>
            </w:r>
          </w:p>
          <w:p w14:paraId="4690B47F">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88" w:lineRule="auto"/>
              <w:ind w:left="0" w:right="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2、供应商认为</w:t>
            </w:r>
            <w:r>
              <w:rPr>
                <w:rFonts w:hint="eastAsia" w:ascii="宋体" w:hAnsi="宋体" w:eastAsia="宋体" w:cs="宋体"/>
                <w:color w:val="auto"/>
                <w:sz w:val="24"/>
                <w:szCs w:val="24"/>
                <w:highlight w:val="none"/>
                <w:lang w:eastAsia="zh-CN"/>
              </w:rPr>
              <w:t>公开招标</w:t>
            </w:r>
            <w:r>
              <w:rPr>
                <w:rFonts w:hint="eastAsia" w:ascii="宋体" w:hAnsi="宋体" w:eastAsia="宋体" w:cs="宋体"/>
                <w:color w:val="auto"/>
                <w:sz w:val="24"/>
                <w:szCs w:val="24"/>
                <w:highlight w:val="none"/>
              </w:rPr>
              <w:t>文件、采购过程、中标或者成交结果使自己的权益受到损害的，可以在知道或者应知其权益受到损害之日起7个工作日内，以书面形式向采购人、采购代理机构提出质疑。</w:t>
            </w:r>
          </w:p>
          <w:p w14:paraId="4EE072E1">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88" w:lineRule="auto"/>
              <w:ind w:left="0" w:right="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供应商在法定质疑期内应当一次性提出针对同一采购程序环节的质疑。</w:t>
            </w:r>
          </w:p>
        </w:tc>
      </w:tr>
      <w:tr w14:paraId="45C4C571">
        <w:tblPrEx>
          <w:tblCellMar>
            <w:top w:w="0" w:type="dxa"/>
            <w:left w:w="108" w:type="dxa"/>
            <w:bottom w:w="0" w:type="dxa"/>
            <w:right w:w="108" w:type="dxa"/>
          </w:tblCellMar>
        </w:tblPrEx>
        <w:trPr>
          <w:trHeight w:val="737" w:hRule="atLeast"/>
          <w:jc w:val="center"/>
        </w:trPr>
        <w:tc>
          <w:tcPr>
            <w:tcW w:w="997" w:type="dxa"/>
            <w:tcBorders>
              <w:top w:val="single" w:color="auto" w:sz="4" w:space="0"/>
              <w:left w:val="single" w:color="auto" w:sz="4" w:space="0"/>
              <w:bottom w:val="single" w:color="auto" w:sz="4" w:space="0"/>
              <w:right w:val="single" w:color="auto" w:sz="4" w:space="0"/>
            </w:tcBorders>
            <w:vAlign w:val="center"/>
          </w:tcPr>
          <w:p w14:paraId="5FD21E61">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leftChars="0" w:right="0" w:right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27</w:t>
            </w:r>
          </w:p>
        </w:tc>
        <w:tc>
          <w:tcPr>
            <w:tcW w:w="1880" w:type="dxa"/>
            <w:tcBorders>
              <w:top w:val="single" w:color="auto" w:sz="4" w:space="0"/>
              <w:left w:val="single" w:color="auto" w:sz="4" w:space="0"/>
              <w:bottom w:val="single" w:color="auto" w:sz="4" w:space="0"/>
              <w:right w:val="single" w:color="auto" w:sz="4" w:space="0"/>
            </w:tcBorders>
            <w:vAlign w:val="center"/>
          </w:tcPr>
          <w:p w14:paraId="3549C363">
            <w:pPr>
              <w:pStyle w:val="16"/>
              <w:keepNext w:val="0"/>
              <w:keepLines w:val="0"/>
              <w:suppressLineNumbers w:val="0"/>
              <w:spacing w:before="0" w:beforeAutospacing="0" w:after="0" w:afterAutospacing="0"/>
              <w:ind w:left="0" w:right="0"/>
              <w:jc w:val="center"/>
              <w:outlineLvl w:val="9"/>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投标</w:t>
            </w:r>
            <w:r>
              <w:rPr>
                <w:rFonts w:hint="eastAsia" w:ascii="宋体" w:hAnsi="宋体" w:eastAsia="宋体" w:cs="宋体"/>
                <w:color w:val="auto"/>
                <w:kern w:val="0"/>
                <w:sz w:val="24"/>
                <w:szCs w:val="24"/>
                <w:highlight w:val="none"/>
              </w:rPr>
              <w:t>保证金的退还</w:t>
            </w:r>
          </w:p>
        </w:tc>
        <w:tc>
          <w:tcPr>
            <w:tcW w:w="7393" w:type="dxa"/>
            <w:tcBorders>
              <w:top w:val="single" w:color="auto" w:sz="4" w:space="0"/>
              <w:left w:val="single" w:color="auto" w:sz="4" w:space="0"/>
              <w:bottom w:val="single" w:color="auto" w:sz="4" w:space="0"/>
              <w:right w:val="single" w:color="auto" w:sz="4" w:space="0"/>
            </w:tcBorders>
            <w:vAlign w:val="center"/>
          </w:tcPr>
          <w:p w14:paraId="72492635">
            <w:pPr>
              <w:pStyle w:val="16"/>
              <w:keepNext w:val="0"/>
              <w:keepLines w:val="0"/>
              <w:suppressLineNumbers w:val="0"/>
              <w:spacing w:before="0" w:beforeAutospacing="0" w:after="0" w:afterAutospacing="0"/>
              <w:ind w:left="0" w:right="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(1)未中标供应商，自中标通知书发出之日起5个工作日内原账户退还；</w:t>
            </w:r>
          </w:p>
          <w:p w14:paraId="1F47A7C4">
            <w:pPr>
              <w:pStyle w:val="16"/>
              <w:keepNext w:val="0"/>
              <w:keepLines w:val="0"/>
              <w:suppressLineNumbers w:val="0"/>
              <w:spacing w:before="0" w:beforeAutospacing="0" w:after="0" w:afterAutospacing="0"/>
              <w:ind w:left="0" w:right="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(2)中标供应商在合同签订</w:t>
            </w:r>
            <w:r>
              <w:rPr>
                <w:rFonts w:hint="eastAsia" w:cs="宋体"/>
                <w:color w:val="auto"/>
                <w:kern w:val="0"/>
                <w:sz w:val="24"/>
                <w:szCs w:val="24"/>
                <w:highlight w:val="none"/>
                <w:lang w:val="en-US" w:eastAsia="zh-CN"/>
              </w:rPr>
              <w:t>之日起5</w:t>
            </w:r>
            <w:r>
              <w:rPr>
                <w:rFonts w:hint="eastAsia" w:ascii="宋体" w:hAnsi="宋体" w:eastAsia="宋体" w:cs="宋体"/>
                <w:color w:val="auto"/>
                <w:kern w:val="0"/>
                <w:sz w:val="24"/>
                <w:szCs w:val="24"/>
                <w:highlight w:val="none"/>
              </w:rPr>
              <w:t>个工作日内予以退还。</w:t>
            </w:r>
          </w:p>
          <w:p w14:paraId="3995DDC2">
            <w:pPr>
              <w:pStyle w:val="16"/>
              <w:keepNext w:val="0"/>
              <w:keepLines w:val="0"/>
              <w:suppressLineNumbers w:val="0"/>
              <w:spacing w:before="0" w:beforeAutospacing="0" w:after="0" w:afterAutospacing="0"/>
              <w:ind w:left="0" w:right="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(3)因</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账户问题导致无法正常时间内退付的，采购人和采购代理机构不承担相应责任；</w:t>
            </w:r>
          </w:p>
          <w:p w14:paraId="5766F520">
            <w:pPr>
              <w:pStyle w:val="16"/>
              <w:keepNext w:val="0"/>
              <w:keepLines w:val="0"/>
              <w:suppressLineNumbers w:val="0"/>
              <w:spacing w:before="0" w:beforeAutospacing="0" w:after="0" w:afterAutospacing="0"/>
              <w:ind w:left="0" w:right="0"/>
              <w:outlineLvl w:val="9"/>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lang w:val="en-US" w:eastAsia="zh-CN"/>
              </w:rPr>
              <w:t>投标</w:t>
            </w:r>
            <w:r>
              <w:rPr>
                <w:rFonts w:hint="eastAsia" w:ascii="宋体" w:hAnsi="宋体" w:eastAsia="宋体" w:cs="宋体"/>
                <w:color w:val="auto"/>
                <w:kern w:val="0"/>
                <w:sz w:val="24"/>
                <w:szCs w:val="24"/>
                <w:highlight w:val="none"/>
              </w:rPr>
              <w:t>保证金退还不计付利息。</w:t>
            </w:r>
          </w:p>
        </w:tc>
      </w:tr>
      <w:tr w14:paraId="74D7C50C">
        <w:tblPrEx>
          <w:tblCellMar>
            <w:top w:w="0" w:type="dxa"/>
            <w:left w:w="108" w:type="dxa"/>
            <w:bottom w:w="0" w:type="dxa"/>
            <w:right w:w="108" w:type="dxa"/>
          </w:tblCellMar>
        </w:tblPrEx>
        <w:trPr>
          <w:trHeight w:val="737"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14:paraId="147A5638">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leftChars="0" w:right="0" w:right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28</w:t>
            </w:r>
          </w:p>
        </w:tc>
        <w:tc>
          <w:tcPr>
            <w:tcW w:w="1880" w:type="dxa"/>
            <w:tcBorders>
              <w:top w:val="single" w:color="auto" w:sz="4" w:space="0"/>
              <w:left w:val="single" w:color="auto" w:sz="4" w:space="0"/>
              <w:bottom w:val="single" w:color="auto" w:sz="4" w:space="0"/>
              <w:right w:val="single" w:color="auto" w:sz="4" w:space="0"/>
            </w:tcBorders>
            <w:shd w:val="clear" w:color="auto" w:fill="auto"/>
            <w:vAlign w:val="center"/>
          </w:tcPr>
          <w:p w14:paraId="0C25A044">
            <w:pPr>
              <w:keepNext w:val="0"/>
              <w:keepLines w:val="0"/>
              <w:suppressLineNumbers w:val="0"/>
              <w:spacing w:before="0" w:beforeAutospacing="0" w:after="0" w:afterAutospacing="0"/>
              <w:ind w:left="0" w:leftChars="0" w:right="0" w:rightChars="0"/>
              <w:jc w:val="center"/>
              <w:rPr>
                <w:rFonts w:hint="default" w:ascii="宋体" w:hAnsi="宋体" w:eastAsia="宋体" w:cs="宋体"/>
                <w:b/>
                <w:bCs/>
                <w:color w:val="auto"/>
                <w:kern w:val="2"/>
                <w:sz w:val="24"/>
                <w:szCs w:val="24"/>
                <w:highlight w:val="none"/>
                <w:lang w:val="en-US" w:eastAsia="zh-CN" w:bidi="ar-SA"/>
              </w:rPr>
            </w:pPr>
            <w:r>
              <w:rPr>
                <w:rFonts w:hint="eastAsia" w:ascii="宋体" w:hAnsi="宋体" w:cs="宋体"/>
                <w:b w:val="0"/>
                <w:bCs w:val="0"/>
                <w:color w:val="auto"/>
                <w:sz w:val="24"/>
                <w:szCs w:val="24"/>
                <w:highlight w:val="none"/>
                <w:lang w:val="en-US" w:eastAsia="zh-CN"/>
              </w:rPr>
              <w:t>合同签订</w:t>
            </w:r>
          </w:p>
        </w:tc>
        <w:tc>
          <w:tcPr>
            <w:tcW w:w="7393" w:type="dxa"/>
            <w:tcBorders>
              <w:top w:val="single" w:color="auto" w:sz="4" w:space="0"/>
              <w:left w:val="single" w:color="auto" w:sz="4" w:space="0"/>
              <w:bottom w:val="single" w:color="auto" w:sz="4" w:space="0"/>
              <w:right w:val="single" w:color="auto" w:sz="4" w:space="0"/>
            </w:tcBorders>
            <w:shd w:val="clear" w:color="auto" w:fill="auto"/>
            <w:vAlign w:val="center"/>
          </w:tcPr>
          <w:p w14:paraId="2D2AEAA3">
            <w:pPr>
              <w:keepNext w:val="0"/>
              <w:keepLines w:val="0"/>
              <w:suppressLineNumbers w:val="0"/>
              <w:spacing w:before="0" w:beforeAutospacing="0" w:after="0" w:afterAutospacing="0"/>
              <w:ind w:left="0" w:leftChars="0" w:right="0" w:rightChars="0"/>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中标单位应自收到中标通知书（成交通知书）之日起30日内与采购人签订合同，签订合同后请及时将合同扫描件(PDF版)发送至项目负责人邮箱663832124@qq.com。若因中标单位原因导致无法在规定时间(签订合同后2个工作日内)内将合同在新疆政府采购网公示，后果自负。</w:t>
            </w:r>
          </w:p>
        </w:tc>
      </w:tr>
      <w:tr w14:paraId="17B2D22E">
        <w:tblPrEx>
          <w:tblCellMar>
            <w:top w:w="0" w:type="dxa"/>
            <w:left w:w="108" w:type="dxa"/>
            <w:bottom w:w="0" w:type="dxa"/>
            <w:right w:w="108" w:type="dxa"/>
          </w:tblCellMar>
        </w:tblPrEx>
        <w:trPr>
          <w:trHeight w:val="737"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14:paraId="58D1DDE3">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leftChars="0" w:right="0" w:right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29</w:t>
            </w:r>
          </w:p>
        </w:tc>
        <w:tc>
          <w:tcPr>
            <w:tcW w:w="1880" w:type="dxa"/>
            <w:tcBorders>
              <w:top w:val="single" w:color="auto" w:sz="4" w:space="0"/>
              <w:left w:val="single" w:color="auto" w:sz="4" w:space="0"/>
              <w:bottom w:val="single" w:color="auto" w:sz="4" w:space="0"/>
              <w:right w:val="single" w:color="auto" w:sz="4" w:space="0"/>
            </w:tcBorders>
            <w:vAlign w:val="center"/>
          </w:tcPr>
          <w:p w14:paraId="64392136">
            <w:pPr>
              <w:pStyle w:val="16"/>
              <w:keepNext w:val="0"/>
              <w:keepLines w:val="0"/>
              <w:suppressLineNumbers w:val="0"/>
              <w:spacing w:before="0" w:beforeAutospacing="0" w:after="0" w:afterAutospacing="0" w:line="440" w:lineRule="exact"/>
              <w:ind w:left="0" w:right="0"/>
              <w:jc w:val="center"/>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标前准备及解密时间</w:t>
            </w:r>
          </w:p>
        </w:tc>
        <w:tc>
          <w:tcPr>
            <w:tcW w:w="7393" w:type="dxa"/>
            <w:tcBorders>
              <w:top w:val="single" w:color="auto" w:sz="4" w:space="0"/>
              <w:left w:val="single" w:color="auto" w:sz="4" w:space="0"/>
              <w:bottom w:val="single" w:color="auto" w:sz="4" w:space="0"/>
              <w:right w:val="single" w:color="auto" w:sz="4" w:space="0"/>
            </w:tcBorders>
            <w:vAlign w:val="center"/>
          </w:tcPr>
          <w:p w14:paraId="3B78DE98">
            <w:pPr>
              <w:pStyle w:val="16"/>
              <w:keepNext w:val="0"/>
              <w:keepLines w:val="0"/>
              <w:suppressLineNumbers w:val="0"/>
              <w:spacing w:before="0" w:beforeAutospacing="0" w:after="0" w:afterAutospacing="0"/>
              <w:ind w:left="0" w:right="0"/>
              <w:outlineLvl w:val="9"/>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标前准备：</w:t>
            </w:r>
          </w:p>
          <w:p w14:paraId="44E13EB4">
            <w:pPr>
              <w:pStyle w:val="16"/>
              <w:keepNext w:val="0"/>
              <w:keepLines w:val="0"/>
              <w:suppressLineNumbers w:val="0"/>
              <w:spacing w:before="0" w:beforeAutospacing="0" w:after="0" w:afterAutospacing="0"/>
              <w:ind w:left="0" w:right="0"/>
              <w:outlineLvl w:val="9"/>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1、本项目实行网上</w:t>
            </w:r>
            <w:r>
              <w:rPr>
                <w:rFonts w:hint="eastAsia" w:ascii="宋体" w:hAnsi="宋体" w:eastAsia="宋体" w:cs="宋体"/>
                <w:b w:val="0"/>
                <w:bCs w:val="0"/>
                <w:color w:val="auto"/>
                <w:kern w:val="0"/>
                <w:sz w:val="24"/>
                <w:szCs w:val="24"/>
                <w:highlight w:val="none"/>
                <w:lang w:val="en-US" w:eastAsia="zh-CN"/>
              </w:rPr>
              <w:t>投标</w:t>
            </w:r>
            <w:r>
              <w:rPr>
                <w:rFonts w:hint="eastAsia" w:ascii="宋体" w:hAnsi="宋体" w:eastAsia="宋体" w:cs="宋体"/>
                <w:b w:val="0"/>
                <w:bCs w:val="0"/>
                <w:color w:val="auto"/>
                <w:kern w:val="0"/>
                <w:sz w:val="24"/>
                <w:szCs w:val="24"/>
                <w:highlight w:val="none"/>
              </w:rPr>
              <w:t>，采用电子</w:t>
            </w:r>
            <w:r>
              <w:rPr>
                <w:rFonts w:hint="eastAsia" w:ascii="宋体" w:hAnsi="宋体" w:eastAsia="宋体" w:cs="宋体"/>
                <w:b w:val="0"/>
                <w:bCs w:val="0"/>
                <w:color w:val="auto"/>
                <w:kern w:val="0"/>
                <w:sz w:val="24"/>
                <w:szCs w:val="24"/>
                <w:highlight w:val="none"/>
                <w:lang w:eastAsia="zh-CN"/>
              </w:rPr>
              <w:t>响应文件</w:t>
            </w:r>
            <w:r>
              <w:rPr>
                <w:rFonts w:hint="eastAsia" w:ascii="宋体" w:hAnsi="宋体" w:eastAsia="宋体" w:cs="宋体"/>
                <w:b w:val="0"/>
                <w:bCs w:val="0"/>
                <w:color w:val="auto"/>
                <w:kern w:val="0"/>
                <w:sz w:val="24"/>
                <w:szCs w:val="24"/>
                <w:highlight w:val="none"/>
              </w:rPr>
              <w:t>。若供应商参与投标，自行承担投标一切费用。</w:t>
            </w:r>
          </w:p>
          <w:p w14:paraId="378C17A9">
            <w:pPr>
              <w:pStyle w:val="16"/>
              <w:keepNext w:val="0"/>
              <w:keepLines w:val="0"/>
              <w:suppressLineNumbers w:val="0"/>
              <w:spacing w:before="0" w:beforeAutospacing="0" w:after="0" w:afterAutospacing="0"/>
              <w:ind w:left="0" w:right="0"/>
              <w:outlineLvl w:val="9"/>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2、各供应商应在开标前应确保成为新疆维吾尔自治区政府采购网正式注册入库供应商，并完成CA数字证书申领。因未注册入库、未办理CA数字证书等原因造成无法投标或投标失败等后果由供应商自行承担。</w:t>
            </w:r>
          </w:p>
          <w:p w14:paraId="42994774">
            <w:pPr>
              <w:pStyle w:val="16"/>
              <w:keepNext w:val="0"/>
              <w:keepLines w:val="0"/>
              <w:suppressLineNumbers w:val="0"/>
              <w:spacing w:before="0" w:beforeAutospacing="0" w:after="0" w:afterAutospacing="0"/>
              <w:ind w:left="0" w:right="0"/>
              <w:outlineLvl w:val="9"/>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3、供应商将政采云电子交易客户端下载、安装完成后，可通过账号密码或CA登录客户端进行</w:t>
            </w:r>
            <w:r>
              <w:rPr>
                <w:rFonts w:hint="eastAsia" w:ascii="宋体" w:hAnsi="宋体" w:eastAsia="宋体" w:cs="宋体"/>
                <w:b w:val="0"/>
                <w:bCs w:val="0"/>
                <w:color w:val="auto"/>
                <w:kern w:val="0"/>
                <w:sz w:val="24"/>
                <w:szCs w:val="24"/>
                <w:highlight w:val="none"/>
                <w:lang w:eastAsia="zh-CN"/>
              </w:rPr>
              <w:t>响应文件</w:t>
            </w:r>
            <w:r>
              <w:rPr>
                <w:rFonts w:hint="eastAsia" w:ascii="宋体" w:hAnsi="宋体" w:eastAsia="宋体" w:cs="宋体"/>
                <w:b w:val="0"/>
                <w:bCs w:val="0"/>
                <w:color w:val="auto"/>
                <w:kern w:val="0"/>
                <w:sz w:val="24"/>
                <w:szCs w:val="24"/>
                <w:highlight w:val="none"/>
              </w:rPr>
              <w:t>制作。在使用政采云投标客户端时，建议使用WIN7及以上操作系统。客户端请至新疆政府采购网（</w:t>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"http://www.ccgp-xinjiang.gov.cn/"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kern w:val="0"/>
                <w:sz w:val="24"/>
                <w:szCs w:val="24"/>
                <w:highlight w:val="none"/>
              </w:rPr>
              <w:t>http://www.ccgp-xinjiang.gov.cn/</w:t>
            </w:r>
            <w:r>
              <w:rPr>
                <w:rFonts w:hint="eastAsia" w:ascii="宋体" w:hAnsi="宋体" w:eastAsia="宋体" w:cs="宋体"/>
                <w:b w:val="0"/>
                <w:bCs w:val="0"/>
                <w:color w:val="auto"/>
                <w:kern w:val="0"/>
                <w:sz w:val="24"/>
                <w:szCs w:val="24"/>
                <w:highlight w:val="none"/>
              </w:rPr>
              <w:fldChar w:fldCharType="end"/>
            </w:r>
            <w:r>
              <w:rPr>
                <w:rFonts w:hint="eastAsia" w:ascii="宋体" w:hAnsi="宋体" w:eastAsia="宋体" w:cs="宋体"/>
                <w:b w:val="0"/>
                <w:bCs w:val="0"/>
                <w:color w:val="auto"/>
                <w:kern w:val="0"/>
                <w:sz w:val="24"/>
                <w:szCs w:val="24"/>
                <w:highlight w:val="none"/>
              </w:rPr>
              <w:t>）下载专区查看，如有问题可拨打政采云客户服务热线95763进行咨询。</w:t>
            </w:r>
          </w:p>
          <w:p w14:paraId="73DDC3AB">
            <w:pPr>
              <w:pStyle w:val="16"/>
              <w:keepNext w:val="0"/>
              <w:keepLines w:val="0"/>
              <w:suppressLineNumbers w:val="0"/>
              <w:spacing w:before="0" w:beforeAutospacing="0" w:after="0" w:afterAutospacing="0"/>
              <w:ind w:left="0" w:right="0"/>
              <w:outlineLvl w:val="9"/>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4、本项目通过“政府采购云平台（www.zcygov.cn）”实行在线投标响应（电子投标），供应商应先安装“政采云电子交易客户端”，并按照本招标文件和“政府采购云平台”的要求，通过“政采云电子交易客户端”编制并加密</w:t>
            </w:r>
            <w:r>
              <w:rPr>
                <w:rFonts w:hint="eastAsia" w:ascii="宋体" w:hAnsi="宋体" w:eastAsia="宋体" w:cs="宋体"/>
                <w:b w:val="0"/>
                <w:bCs w:val="0"/>
                <w:color w:val="auto"/>
                <w:kern w:val="0"/>
                <w:sz w:val="24"/>
                <w:szCs w:val="24"/>
                <w:highlight w:val="none"/>
                <w:lang w:eastAsia="zh-CN"/>
              </w:rPr>
              <w:t>响应文件</w:t>
            </w:r>
            <w:r>
              <w:rPr>
                <w:rFonts w:hint="eastAsia" w:ascii="宋体" w:hAnsi="宋体" w:eastAsia="宋体" w:cs="宋体"/>
                <w:b w:val="0"/>
                <w:bCs w:val="0"/>
                <w:color w:val="auto"/>
                <w:kern w:val="0"/>
                <w:sz w:val="24"/>
                <w:szCs w:val="24"/>
                <w:highlight w:val="none"/>
              </w:rPr>
              <w:t>。供应商未按规定加密的</w:t>
            </w:r>
            <w:r>
              <w:rPr>
                <w:rFonts w:hint="eastAsia" w:ascii="宋体" w:hAnsi="宋体" w:eastAsia="宋体" w:cs="宋体"/>
                <w:b w:val="0"/>
                <w:bCs w:val="0"/>
                <w:color w:val="auto"/>
                <w:kern w:val="0"/>
                <w:sz w:val="24"/>
                <w:szCs w:val="24"/>
                <w:highlight w:val="none"/>
                <w:lang w:eastAsia="zh-CN"/>
              </w:rPr>
              <w:t>响应文件</w:t>
            </w:r>
            <w:r>
              <w:rPr>
                <w:rFonts w:hint="eastAsia" w:ascii="宋体" w:hAnsi="宋体" w:eastAsia="宋体" w:cs="宋体"/>
                <w:b w:val="0"/>
                <w:bCs w:val="0"/>
                <w:color w:val="auto"/>
                <w:kern w:val="0"/>
                <w:sz w:val="24"/>
                <w:szCs w:val="24"/>
                <w:highlight w:val="none"/>
              </w:rPr>
              <w:t>，“政府采购云平台”将予以拒收。电子投标具体操作流程详见本公告附件《供应商项目采购-电子招投标操作指南》；通过“政府采购云平台”参与在线投标时如遇平台技术问题详询95763。</w:t>
            </w:r>
          </w:p>
          <w:p w14:paraId="276E2710">
            <w:pPr>
              <w:pStyle w:val="16"/>
              <w:keepNext w:val="0"/>
              <w:keepLines w:val="0"/>
              <w:suppressLineNumbers w:val="0"/>
              <w:spacing w:before="0" w:beforeAutospacing="0" w:after="0" w:afterAutospacing="0"/>
              <w:ind w:left="0" w:right="0"/>
              <w:outlineLvl w:val="9"/>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5、为确保网上操作合法、有效和安全，投标供应商应当在投标截止时间前完成在“政府采购云平台”的身份认证，确保在电子投标过程中能够对相关数据电文进行加密和使用电子签章。使用“政采云电子交易客户端”需要提前申领CA数字证书；</w:t>
            </w:r>
          </w:p>
          <w:p w14:paraId="593F805A">
            <w:pPr>
              <w:pStyle w:val="16"/>
              <w:keepNext w:val="0"/>
              <w:keepLines w:val="0"/>
              <w:suppressLineNumbers w:val="0"/>
              <w:spacing w:before="0" w:beforeAutospacing="0" w:after="0" w:afterAutospacing="0"/>
              <w:ind w:left="0" w:right="0"/>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0"/>
                <w:sz w:val="24"/>
                <w:szCs w:val="24"/>
                <w:highlight w:val="none"/>
              </w:rPr>
              <w:t>6、投标供应商应当在投标截止时间前，将生成的“电子加密</w:t>
            </w:r>
            <w:r>
              <w:rPr>
                <w:rFonts w:hint="eastAsia" w:ascii="宋体" w:hAnsi="宋体" w:eastAsia="宋体" w:cs="宋体"/>
                <w:b w:val="0"/>
                <w:bCs w:val="0"/>
                <w:color w:val="auto"/>
                <w:kern w:val="0"/>
                <w:sz w:val="24"/>
                <w:szCs w:val="24"/>
                <w:highlight w:val="none"/>
                <w:lang w:eastAsia="zh-CN"/>
              </w:rPr>
              <w:t>响应文件</w:t>
            </w:r>
            <w:r>
              <w:rPr>
                <w:rFonts w:hint="eastAsia" w:ascii="宋体" w:hAnsi="宋体" w:eastAsia="宋体" w:cs="宋体"/>
                <w:b w:val="0"/>
                <w:bCs w:val="0"/>
                <w:color w:val="auto"/>
                <w:kern w:val="0"/>
                <w:sz w:val="24"/>
                <w:szCs w:val="24"/>
                <w:highlight w:val="none"/>
              </w:rPr>
              <w:t>”上传递交至“政府采购云平台”。投标截止时间以后上传递交的</w:t>
            </w:r>
            <w:r>
              <w:rPr>
                <w:rFonts w:hint="eastAsia" w:ascii="宋体" w:hAnsi="宋体" w:eastAsia="宋体" w:cs="宋体"/>
                <w:b w:val="0"/>
                <w:bCs w:val="0"/>
                <w:color w:val="auto"/>
                <w:kern w:val="0"/>
                <w:sz w:val="24"/>
                <w:szCs w:val="24"/>
                <w:highlight w:val="none"/>
                <w:lang w:eastAsia="zh-CN"/>
              </w:rPr>
              <w:t>响应文件</w:t>
            </w:r>
            <w:r>
              <w:rPr>
                <w:rFonts w:hint="eastAsia" w:ascii="宋体" w:hAnsi="宋体" w:eastAsia="宋体" w:cs="宋体"/>
                <w:b w:val="0"/>
                <w:bCs w:val="0"/>
                <w:color w:val="auto"/>
                <w:kern w:val="0"/>
                <w:sz w:val="24"/>
                <w:szCs w:val="24"/>
                <w:highlight w:val="none"/>
              </w:rPr>
              <w:t>将被“政府采购云平台”拒收。</w:t>
            </w:r>
          </w:p>
        </w:tc>
      </w:tr>
      <w:tr w14:paraId="13F774A7">
        <w:tblPrEx>
          <w:tblCellMar>
            <w:top w:w="0" w:type="dxa"/>
            <w:left w:w="108" w:type="dxa"/>
            <w:bottom w:w="0" w:type="dxa"/>
            <w:right w:w="108" w:type="dxa"/>
          </w:tblCellMar>
        </w:tblPrEx>
        <w:trPr>
          <w:trHeight w:val="337"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14:paraId="54E07983">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leftChars="0" w:right="0" w:rightChars="0"/>
              <w:jc w:val="center"/>
              <w:textAlignment w:val="auto"/>
              <w:outlineLvl w:val="9"/>
              <w:rPr>
                <w:rFonts w:hint="eastAsia" w:ascii="宋体" w:hAnsi="宋体" w:eastAsia="宋体" w:cs="宋体"/>
                <w:color w:val="auto"/>
                <w:kern w:val="2"/>
                <w:sz w:val="24"/>
                <w:szCs w:val="24"/>
                <w:highlight w:val="none"/>
                <w:lang w:val="en-US" w:eastAsia="zh-CN" w:bidi="ar-SA"/>
              </w:rPr>
            </w:pPr>
            <w:bookmarkStart w:id="39" w:name="OLE_LINK8" w:colFirst="2" w:colLast="2"/>
            <w:r>
              <w:rPr>
                <w:rFonts w:hint="eastAsia" w:ascii="宋体" w:hAnsi="宋体" w:eastAsia="宋体" w:cs="宋体"/>
                <w:color w:val="auto"/>
                <w:sz w:val="24"/>
                <w:szCs w:val="24"/>
                <w:highlight w:val="none"/>
              </w:rPr>
              <w:t>30</w:t>
            </w:r>
          </w:p>
        </w:tc>
        <w:tc>
          <w:tcPr>
            <w:tcW w:w="1880" w:type="dxa"/>
            <w:tcBorders>
              <w:top w:val="single" w:color="auto" w:sz="4" w:space="0"/>
              <w:left w:val="single" w:color="auto" w:sz="4" w:space="0"/>
              <w:bottom w:val="single" w:color="auto" w:sz="4" w:space="0"/>
              <w:right w:val="single" w:color="auto" w:sz="4" w:space="0"/>
            </w:tcBorders>
            <w:vAlign w:val="center"/>
          </w:tcPr>
          <w:p w14:paraId="03A54382">
            <w:pPr>
              <w:pStyle w:val="16"/>
              <w:keepNext w:val="0"/>
              <w:keepLines w:val="0"/>
              <w:suppressLineNumbers w:val="0"/>
              <w:spacing w:before="0" w:beforeAutospacing="0" w:after="0" w:afterAutospacing="0" w:line="440" w:lineRule="exact"/>
              <w:ind w:left="0" w:leftChars="0" w:right="0" w:rightChars="0"/>
              <w:jc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szCs w:val="24"/>
                <w:highlight w:val="none"/>
              </w:rPr>
              <w:t>废标和无效投标情形</w:t>
            </w:r>
          </w:p>
        </w:tc>
        <w:tc>
          <w:tcPr>
            <w:tcW w:w="7393" w:type="dxa"/>
            <w:tcBorders>
              <w:top w:val="single" w:color="auto" w:sz="4" w:space="0"/>
              <w:left w:val="single" w:color="auto" w:sz="4" w:space="0"/>
              <w:bottom w:val="single" w:color="auto" w:sz="4" w:space="0"/>
              <w:right w:val="single" w:color="auto" w:sz="4" w:space="0"/>
            </w:tcBorders>
            <w:vAlign w:val="center"/>
          </w:tcPr>
          <w:p w14:paraId="38D2B3C6">
            <w:pPr>
              <w:pStyle w:val="16"/>
              <w:keepNext w:val="0"/>
              <w:keepLines w:val="0"/>
              <w:suppressLineNumbers w:val="0"/>
              <w:spacing w:before="0" w:beforeAutospacing="0" w:after="0" w:afterAutospacing="0"/>
              <w:ind w:left="0" w:right="0"/>
              <w:outlineLvl w:val="9"/>
              <w:rPr>
                <w:rFonts w:hint="eastAsia" w:ascii="宋体" w:hAnsi="宋体" w:eastAsia="宋体" w:cs="宋体"/>
                <w:b/>
                <w:bCs/>
                <w:color w:val="auto"/>
                <w:kern w:val="0"/>
                <w:sz w:val="24"/>
                <w:szCs w:val="24"/>
                <w:highlight w:val="none"/>
              </w:rPr>
            </w:pPr>
            <w:r>
              <w:rPr>
                <w:rFonts w:hint="eastAsia" w:cs="宋体"/>
                <w:b/>
                <w:bCs/>
                <w:color w:val="auto"/>
                <w:kern w:val="0"/>
                <w:sz w:val="24"/>
                <w:szCs w:val="24"/>
                <w:highlight w:val="none"/>
                <w:lang w:val="en-US" w:eastAsia="zh-CN"/>
              </w:rPr>
              <w:t>1.</w:t>
            </w:r>
            <w:r>
              <w:rPr>
                <w:rFonts w:hint="eastAsia" w:ascii="宋体" w:hAnsi="宋体" w:eastAsia="宋体" w:cs="宋体"/>
                <w:b/>
                <w:bCs/>
                <w:color w:val="auto"/>
                <w:kern w:val="0"/>
                <w:sz w:val="24"/>
                <w:szCs w:val="24"/>
                <w:highlight w:val="none"/>
              </w:rPr>
              <w:t xml:space="preserve">开标过程中的废标情形  </w:t>
            </w:r>
          </w:p>
          <w:p w14:paraId="56DBE51F">
            <w:pPr>
              <w:pStyle w:val="16"/>
              <w:keepNext w:val="0"/>
              <w:keepLines w:val="0"/>
              <w:suppressLineNumbers w:val="0"/>
              <w:spacing w:before="0" w:beforeAutospacing="0" w:after="0" w:afterAutospacing="0"/>
              <w:ind w:left="0" w:right="0" w:firstLine="242" w:firstLineChars="100"/>
              <w:outlineLvl w:val="9"/>
              <w:rPr>
                <w:rFonts w:hint="eastAsia" w:ascii="宋体" w:hAnsi="宋体" w:eastAsia="宋体" w:cs="宋体"/>
                <w:b/>
                <w:bCs/>
                <w:color w:val="auto"/>
                <w:kern w:val="0"/>
                <w:sz w:val="24"/>
                <w:szCs w:val="24"/>
                <w:highlight w:val="none"/>
              </w:rPr>
            </w:pPr>
            <w:r>
              <w:rPr>
                <w:rFonts w:hint="eastAsia" w:cs="宋体"/>
                <w:b/>
                <w:bCs/>
                <w:color w:val="auto"/>
                <w:kern w:val="0"/>
                <w:sz w:val="24"/>
                <w:szCs w:val="24"/>
                <w:highlight w:val="none"/>
                <w:lang w:eastAsia="zh-CN"/>
              </w:rPr>
              <w:t>（</w:t>
            </w:r>
            <w:r>
              <w:rPr>
                <w:rFonts w:hint="eastAsia" w:cs="宋体"/>
                <w:b/>
                <w:bCs/>
                <w:color w:val="auto"/>
                <w:kern w:val="0"/>
                <w:sz w:val="24"/>
                <w:szCs w:val="24"/>
                <w:highlight w:val="none"/>
                <w:lang w:val="en-US" w:eastAsia="zh-CN"/>
              </w:rPr>
              <w:t>1</w:t>
            </w:r>
            <w:r>
              <w:rPr>
                <w:rFonts w:hint="eastAsia" w:cs="宋体"/>
                <w:b/>
                <w:bCs/>
                <w:color w:val="auto"/>
                <w:kern w:val="0"/>
                <w:sz w:val="24"/>
                <w:szCs w:val="24"/>
                <w:highlight w:val="none"/>
                <w:lang w:eastAsia="zh-CN"/>
              </w:rPr>
              <w:t>）</w:t>
            </w:r>
            <w:r>
              <w:rPr>
                <w:rFonts w:hint="eastAsia" w:ascii="宋体" w:hAnsi="宋体" w:eastAsia="宋体" w:cs="宋体"/>
                <w:b/>
                <w:bCs/>
                <w:color w:val="auto"/>
                <w:kern w:val="0"/>
                <w:sz w:val="24"/>
                <w:szCs w:val="24"/>
                <w:highlight w:val="none"/>
              </w:rPr>
              <w:t>符合专业条件的供应商或者对招标文件作实质响应的供应商不足三家的；</w:t>
            </w:r>
          </w:p>
          <w:p w14:paraId="143BE053">
            <w:pPr>
              <w:pStyle w:val="16"/>
              <w:keepNext w:val="0"/>
              <w:keepLines w:val="0"/>
              <w:suppressLineNumbers w:val="0"/>
              <w:spacing w:before="0" w:beforeAutospacing="0" w:after="0" w:afterAutospacing="0"/>
              <w:ind w:left="0" w:right="0" w:firstLine="242" w:firstLineChars="100"/>
              <w:outlineLvl w:val="9"/>
              <w:rPr>
                <w:rFonts w:hint="eastAsia" w:ascii="宋体" w:hAnsi="宋体" w:eastAsia="宋体" w:cs="宋体"/>
                <w:b/>
                <w:bCs/>
                <w:color w:val="auto"/>
                <w:kern w:val="0"/>
                <w:sz w:val="24"/>
                <w:szCs w:val="24"/>
                <w:highlight w:val="none"/>
              </w:rPr>
            </w:pPr>
            <w:r>
              <w:rPr>
                <w:rFonts w:hint="eastAsia" w:cs="宋体"/>
                <w:b/>
                <w:bCs/>
                <w:color w:val="auto"/>
                <w:kern w:val="0"/>
                <w:sz w:val="24"/>
                <w:szCs w:val="24"/>
                <w:highlight w:val="none"/>
                <w:lang w:val="en-US" w:eastAsia="zh-CN"/>
              </w:rPr>
              <w:t>（2）</w:t>
            </w:r>
            <w:r>
              <w:rPr>
                <w:rFonts w:hint="eastAsia" w:ascii="宋体" w:hAnsi="宋体" w:eastAsia="宋体" w:cs="宋体"/>
                <w:b/>
                <w:bCs/>
                <w:color w:val="auto"/>
                <w:kern w:val="0"/>
                <w:sz w:val="24"/>
                <w:szCs w:val="24"/>
                <w:highlight w:val="none"/>
              </w:rPr>
              <w:t>出现影响采购公正的违法、违规行为的；</w:t>
            </w:r>
          </w:p>
          <w:p w14:paraId="174F6F37">
            <w:pPr>
              <w:pStyle w:val="16"/>
              <w:keepNext w:val="0"/>
              <w:keepLines w:val="0"/>
              <w:suppressLineNumbers w:val="0"/>
              <w:spacing w:before="0" w:beforeAutospacing="0" w:after="0" w:afterAutospacing="0"/>
              <w:ind w:left="0" w:right="0" w:firstLine="242" w:firstLineChars="100"/>
              <w:outlineLvl w:val="9"/>
              <w:rPr>
                <w:rFonts w:hint="eastAsia" w:ascii="宋体" w:hAnsi="宋体" w:eastAsia="宋体" w:cs="宋体"/>
                <w:b/>
                <w:bCs/>
                <w:color w:val="auto"/>
                <w:kern w:val="0"/>
                <w:sz w:val="24"/>
                <w:szCs w:val="24"/>
                <w:highlight w:val="none"/>
              </w:rPr>
            </w:pPr>
            <w:r>
              <w:rPr>
                <w:rFonts w:hint="eastAsia" w:cs="宋体"/>
                <w:b/>
                <w:bCs/>
                <w:color w:val="auto"/>
                <w:kern w:val="0"/>
                <w:sz w:val="24"/>
                <w:szCs w:val="24"/>
                <w:highlight w:val="none"/>
                <w:lang w:val="en-US" w:eastAsia="zh-CN"/>
              </w:rPr>
              <w:t>（3）</w:t>
            </w:r>
            <w:r>
              <w:rPr>
                <w:rFonts w:hint="eastAsia" w:ascii="宋体" w:hAnsi="宋体" w:eastAsia="宋体" w:cs="宋体"/>
                <w:b/>
                <w:bCs/>
                <w:color w:val="auto"/>
                <w:kern w:val="0"/>
                <w:sz w:val="24"/>
                <w:szCs w:val="24"/>
                <w:highlight w:val="none"/>
              </w:rPr>
              <w:t>投标人的报价均超过了采购预算，采购人不能支付的；</w:t>
            </w:r>
          </w:p>
          <w:p w14:paraId="3DDB6468">
            <w:pPr>
              <w:pStyle w:val="16"/>
              <w:keepNext w:val="0"/>
              <w:keepLines w:val="0"/>
              <w:suppressLineNumbers w:val="0"/>
              <w:spacing w:before="0" w:beforeAutospacing="0" w:after="0" w:afterAutospacing="0"/>
              <w:ind w:left="0" w:right="0" w:firstLine="242" w:firstLineChars="100"/>
              <w:outlineLvl w:val="9"/>
              <w:rPr>
                <w:rFonts w:hint="eastAsia" w:ascii="宋体" w:hAnsi="宋体" w:eastAsia="宋体" w:cs="宋体"/>
                <w:b/>
                <w:bCs/>
                <w:color w:val="auto"/>
                <w:kern w:val="0"/>
                <w:sz w:val="24"/>
                <w:szCs w:val="24"/>
                <w:highlight w:val="none"/>
              </w:rPr>
            </w:pPr>
            <w:r>
              <w:rPr>
                <w:rFonts w:hint="eastAsia" w:cs="宋体"/>
                <w:b/>
                <w:bCs/>
                <w:color w:val="auto"/>
                <w:kern w:val="0"/>
                <w:sz w:val="24"/>
                <w:szCs w:val="24"/>
                <w:highlight w:val="none"/>
                <w:lang w:val="en-US" w:eastAsia="zh-CN"/>
              </w:rPr>
              <w:t>（4）</w:t>
            </w:r>
            <w:r>
              <w:rPr>
                <w:rFonts w:hint="eastAsia" w:ascii="宋体" w:hAnsi="宋体" w:eastAsia="宋体" w:cs="宋体"/>
                <w:b/>
                <w:bCs/>
                <w:color w:val="auto"/>
                <w:kern w:val="0"/>
                <w:sz w:val="24"/>
                <w:szCs w:val="24"/>
                <w:highlight w:val="none"/>
              </w:rPr>
              <w:t>因重大变故，采购任务取消的。</w:t>
            </w:r>
          </w:p>
          <w:p w14:paraId="0044F214">
            <w:pPr>
              <w:pStyle w:val="16"/>
              <w:keepNext w:val="0"/>
              <w:keepLines w:val="0"/>
              <w:suppressLineNumbers w:val="0"/>
              <w:spacing w:before="0" w:beforeAutospacing="0" w:after="0" w:afterAutospacing="0"/>
              <w:ind w:left="0" w:right="0"/>
              <w:outlineLvl w:val="9"/>
              <w:rPr>
                <w:rFonts w:hint="eastAsia" w:ascii="宋体" w:hAnsi="宋体" w:eastAsia="宋体" w:cs="宋体"/>
                <w:b/>
                <w:bCs/>
                <w:color w:val="auto"/>
                <w:kern w:val="0"/>
                <w:sz w:val="24"/>
                <w:szCs w:val="24"/>
                <w:highlight w:val="none"/>
              </w:rPr>
            </w:pPr>
            <w:r>
              <w:rPr>
                <w:rFonts w:hint="eastAsia" w:cs="宋体"/>
                <w:b/>
                <w:bCs/>
                <w:color w:val="auto"/>
                <w:kern w:val="0"/>
                <w:sz w:val="24"/>
                <w:szCs w:val="24"/>
                <w:highlight w:val="none"/>
                <w:lang w:val="en-US" w:eastAsia="zh-CN"/>
              </w:rPr>
              <w:t>2.</w:t>
            </w:r>
            <w:r>
              <w:rPr>
                <w:rFonts w:hint="eastAsia" w:ascii="宋体" w:hAnsi="宋体" w:eastAsia="宋体" w:cs="宋体"/>
                <w:b/>
                <w:bCs/>
                <w:color w:val="auto"/>
                <w:kern w:val="0"/>
                <w:sz w:val="24"/>
                <w:szCs w:val="24"/>
                <w:highlight w:val="none"/>
              </w:rPr>
              <w:t xml:space="preserve">开标过程中的无效投标情形 </w:t>
            </w:r>
          </w:p>
          <w:p w14:paraId="77AC0861">
            <w:pPr>
              <w:pStyle w:val="16"/>
              <w:keepNext w:val="0"/>
              <w:keepLines w:val="0"/>
              <w:suppressLineNumbers w:val="0"/>
              <w:spacing w:before="0" w:beforeAutospacing="0" w:after="0" w:afterAutospacing="0"/>
              <w:ind w:left="0" w:right="0" w:firstLine="242" w:firstLineChars="100"/>
              <w:outlineLvl w:val="9"/>
              <w:rPr>
                <w:rFonts w:hint="eastAsia" w:ascii="宋体" w:hAnsi="宋体" w:eastAsia="宋体" w:cs="宋体"/>
                <w:b/>
                <w:bCs/>
                <w:color w:val="auto"/>
                <w:kern w:val="0"/>
                <w:sz w:val="24"/>
                <w:szCs w:val="24"/>
                <w:highlight w:val="none"/>
              </w:rPr>
            </w:pPr>
            <w:r>
              <w:rPr>
                <w:rFonts w:hint="eastAsia" w:cs="宋体"/>
                <w:b/>
                <w:bCs/>
                <w:color w:val="auto"/>
                <w:kern w:val="0"/>
                <w:sz w:val="24"/>
                <w:szCs w:val="24"/>
                <w:highlight w:val="none"/>
                <w:lang w:val="en-US" w:eastAsia="zh-CN"/>
              </w:rPr>
              <w:t>（1）</w:t>
            </w:r>
            <w:r>
              <w:rPr>
                <w:rFonts w:hint="eastAsia" w:ascii="宋体" w:hAnsi="宋体" w:eastAsia="宋体" w:cs="宋体"/>
                <w:b/>
                <w:bCs/>
                <w:color w:val="auto"/>
                <w:kern w:val="0"/>
                <w:sz w:val="24"/>
                <w:szCs w:val="24"/>
                <w:highlight w:val="none"/>
              </w:rPr>
              <w:t>未按照招标文件的规定缴纳</w:t>
            </w:r>
            <w:r>
              <w:rPr>
                <w:rFonts w:hint="eastAsia" w:ascii="宋体" w:hAnsi="宋体" w:eastAsia="宋体" w:cs="宋体"/>
                <w:b/>
                <w:bCs/>
                <w:color w:val="auto"/>
                <w:kern w:val="0"/>
                <w:sz w:val="24"/>
                <w:szCs w:val="24"/>
                <w:highlight w:val="none"/>
                <w:lang w:val="en-US" w:eastAsia="zh-CN"/>
              </w:rPr>
              <w:t>投标</w:t>
            </w:r>
            <w:r>
              <w:rPr>
                <w:rFonts w:hint="eastAsia" w:ascii="宋体" w:hAnsi="宋体" w:eastAsia="宋体" w:cs="宋体"/>
                <w:b/>
                <w:bCs/>
                <w:color w:val="auto"/>
                <w:kern w:val="0"/>
                <w:sz w:val="24"/>
                <w:szCs w:val="24"/>
                <w:highlight w:val="none"/>
              </w:rPr>
              <w:t>保证金的；</w:t>
            </w:r>
          </w:p>
          <w:p w14:paraId="2C8453A0">
            <w:pPr>
              <w:pStyle w:val="16"/>
              <w:keepNext w:val="0"/>
              <w:keepLines w:val="0"/>
              <w:suppressLineNumbers w:val="0"/>
              <w:spacing w:before="0" w:beforeAutospacing="0" w:after="0" w:afterAutospacing="0"/>
              <w:ind w:left="0" w:right="0" w:firstLine="242" w:firstLineChars="100"/>
              <w:outlineLvl w:val="9"/>
              <w:rPr>
                <w:rFonts w:hint="eastAsia" w:ascii="宋体" w:hAnsi="宋体" w:eastAsia="宋体" w:cs="宋体"/>
                <w:b/>
                <w:bCs/>
                <w:color w:val="auto"/>
                <w:kern w:val="0"/>
                <w:sz w:val="24"/>
                <w:szCs w:val="24"/>
                <w:highlight w:val="none"/>
              </w:rPr>
            </w:pPr>
            <w:r>
              <w:rPr>
                <w:rFonts w:hint="eastAsia" w:cs="宋体"/>
                <w:b/>
                <w:bCs/>
                <w:color w:val="auto"/>
                <w:kern w:val="0"/>
                <w:sz w:val="24"/>
                <w:szCs w:val="24"/>
                <w:highlight w:val="none"/>
                <w:lang w:val="en-US" w:eastAsia="zh-CN"/>
              </w:rPr>
              <w:t>（2）</w:t>
            </w:r>
            <w:r>
              <w:rPr>
                <w:rFonts w:hint="eastAsia" w:ascii="宋体" w:hAnsi="宋体" w:eastAsia="宋体" w:cs="宋体"/>
                <w:b/>
                <w:bCs/>
                <w:color w:val="auto"/>
                <w:kern w:val="0"/>
                <w:sz w:val="24"/>
                <w:szCs w:val="24"/>
                <w:highlight w:val="none"/>
                <w:lang w:eastAsia="zh-CN"/>
              </w:rPr>
              <w:t>响应文件</w:t>
            </w:r>
            <w:r>
              <w:rPr>
                <w:rFonts w:hint="eastAsia" w:ascii="宋体" w:hAnsi="宋体" w:eastAsia="宋体" w:cs="宋体"/>
                <w:b/>
                <w:bCs/>
                <w:color w:val="auto"/>
                <w:kern w:val="0"/>
                <w:sz w:val="24"/>
                <w:szCs w:val="24"/>
                <w:highlight w:val="none"/>
              </w:rPr>
              <w:t>超过规定的时间送达的；</w:t>
            </w:r>
          </w:p>
          <w:p w14:paraId="53BEE808">
            <w:pPr>
              <w:pStyle w:val="16"/>
              <w:keepNext w:val="0"/>
              <w:keepLines w:val="0"/>
              <w:suppressLineNumbers w:val="0"/>
              <w:spacing w:before="0" w:beforeAutospacing="0" w:after="0" w:afterAutospacing="0"/>
              <w:ind w:left="0" w:leftChars="0" w:right="0" w:rightChars="0"/>
              <w:outlineLvl w:val="9"/>
              <w:rPr>
                <w:rFonts w:hint="eastAsia" w:ascii="宋体" w:hAnsi="宋体" w:eastAsia="宋体" w:cs="宋体"/>
                <w:b/>
                <w:bCs/>
                <w:color w:val="auto"/>
                <w:kern w:val="0"/>
                <w:sz w:val="24"/>
                <w:szCs w:val="24"/>
                <w:highlight w:val="none"/>
              </w:rPr>
            </w:pPr>
            <w:r>
              <w:rPr>
                <w:rFonts w:hint="eastAsia" w:cs="宋体"/>
                <w:b/>
                <w:bCs/>
                <w:color w:val="auto"/>
                <w:kern w:val="0"/>
                <w:sz w:val="24"/>
                <w:szCs w:val="24"/>
                <w:highlight w:val="none"/>
                <w:lang w:val="en-US" w:eastAsia="zh-CN"/>
              </w:rPr>
              <w:t>3.</w:t>
            </w:r>
            <w:r>
              <w:rPr>
                <w:rFonts w:hint="eastAsia" w:ascii="宋体" w:hAnsi="宋体" w:eastAsia="宋体" w:cs="宋体"/>
                <w:b/>
                <w:bCs/>
                <w:color w:val="auto"/>
                <w:kern w:val="0"/>
                <w:sz w:val="24"/>
                <w:szCs w:val="24"/>
                <w:highlight w:val="none"/>
              </w:rPr>
              <w:t>投标文件存在下列情况之一的，投标无效：</w:t>
            </w:r>
          </w:p>
          <w:p w14:paraId="65B6DD27">
            <w:pPr>
              <w:pStyle w:val="16"/>
              <w:keepNext w:val="0"/>
              <w:keepLines w:val="0"/>
              <w:suppressLineNumbers w:val="0"/>
              <w:spacing w:before="0" w:beforeAutospacing="0" w:after="0" w:afterAutospacing="0"/>
              <w:ind w:left="0" w:leftChars="0" w:right="0" w:rightChars="0" w:firstLine="242" w:firstLineChars="100"/>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（1）不符合招标文件中规定的资格要求的；</w:t>
            </w:r>
          </w:p>
          <w:p w14:paraId="7D693C81">
            <w:pPr>
              <w:pStyle w:val="16"/>
              <w:keepNext w:val="0"/>
              <w:keepLines w:val="0"/>
              <w:suppressLineNumbers w:val="0"/>
              <w:spacing w:before="0" w:beforeAutospacing="0" w:after="0" w:afterAutospacing="0"/>
              <w:ind w:left="0" w:leftChars="0" w:right="0" w:rightChars="0" w:firstLine="242" w:firstLineChars="100"/>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（2）不符合招标文件中规定的实质性要求的；</w:t>
            </w:r>
          </w:p>
          <w:p w14:paraId="276DAF05">
            <w:pPr>
              <w:pStyle w:val="16"/>
              <w:keepNext w:val="0"/>
              <w:keepLines w:val="0"/>
              <w:suppressLineNumbers w:val="0"/>
              <w:spacing w:before="0" w:beforeAutospacing="0" w:after="0" w:afterAutospacing="0"/>
              <w:ind w:left="0" w:leftChars="0" w:right="0" w:rightChars="0" w:firstLine="242" w:firstLineChars="100"/>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（3）未按照招标文件的规定提交投标保证金的（仅限投标人须知前附表要求投标人提交投标保证金的）；</w:t>
            </w:r>
          </w:p>
          <w:p w14:paraId="46879CB3">
            <w:pPr>
              <w:pStyle w:val="16"/>
              <w:keepNext w:val="0"/>
              <w:keepLines w:val="0"/>
              <w:suppressLineNumbers w:val="0"/>
              <w:spacing w:before="0" w:beforeAutospacing="0" w:after="0" w:afterAutospacing="0"/>
              <w:ind w:left="0" w:leftChars="0" w:right="0" w:rightChars="0" w:firstLine="242" w:firstLineChars="100"/>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（4）投标文件未按照招标文件要求签署、盖章的；</w:t>
            </w:r>
          </w:p>
          <w:p w14:paraId="48D2BF50">
            <w:pPr>
              <w:pStyle w:val="16"/>
              <w:keepNext w:val="0"/>
              <w:keepLines w:val="0"/>
              <w:suppressLineNumbers w:val="0"/>
              <w:spacing w:before="0" w:beforeAutospacing="0" w:after="0" w:afterAutospacing="0"/>
              <w:ind w:left="0" w:leftChars="0" w:right="0" w:rightChars="0" w:firstLine="242" w:firstLineChars="100"/>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（5）投标报价超过了招标文件中规定的预算金额或者最高限价的；</w:t>
            </w:r>
          </w:p>
          <w:p w14:paraId="67E7EE05">
            <w:pPr>
              <w:pStyle w:val="16"/>
              <w:keepNext w:val="0"/>
              <w:keepLines w:val="0"/>
              <w:suppressLineNumbers w:val="0"/>
              <w:spacing w:before="0" w:beforeAutospacing="0" w:after="0" w:afterAutospacing="0"/>
              <w:ind w:left="0" w:leftChars="0" w:right="0" w:rightChars="0" w:firstLine="242" w:firstLineChars="100"/>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（6）投标文件中含有采购人不能接受的附加条件的；</w:t>
            </w:r>
          </w:p>
          <w:p w14:paraId="4D70E689">
            <w:pPr>
              <w:pStyle w:val="16"/>
              <w:keepNext w:val="0"/>
              <w:keepLines w:val="0"/>
              <w:suppressLineNumbers w:val="0"/>
              <w:spacing w:before="0" w:beforeAutospacing="0" w:after="0" w:afterAutospacing="0"/>
              <w:ind w:left="0" w:leftChars="0" w:right="0" w:rightChars="0" w:firstLine="242" w:firstLineChars="100"/>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（7）投标产品不符合强制执行的国家标准、行业标准的（如有）；</w:t>
            </w:r>
          </w:p>
          <w:p w14:paraId="3EC881DC">
            <w:pPr>
              <w:pStyle w:val="16"/>
              <w:keepNext w:val="0"/>
              <w:keepLines w:val="0"/>
              <w:suppressLineNumbers w:val="0"/>
              <w:spacing w:before="0" w:beforeAutospacing="0" w:after="0" w:afterAutospacing="0"/>
              <w:ind w:left="0" w:leftChars="0" w:right="0" w:rightChars="0" w:firstLine="242" w:firstLineChars="100"/>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（8）投标产品不是国家强制节能产品品目清单中的产品（如有）；</w:t>
            </w:r>
          </w:p>
          <w:p w14:paraId="5E8C639E">
            <w:pPr>
              <w:pStyle w:val="16"/>
              <w:keepNext w:val="0"/>
              <w:keepLines w:val="0"/>
              <w:suppressLineNumbers w:val="0"/>
              <w:spacing w:before="0" w:beforeAutospacing="0" w:after="0" w:afterAutospacing="0"/>
              <w:ind w:left="0" w:leftChars="0" w:right="0" w:rightChars="0" w:firstLine="242" w:firstLineChars="100"/>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（9）投标产品属于强制性认证产品的未提供强制性产品认证证书复印件的（如有）；</w:t>
            </w:r>
          </w:p>
          <w:p w14:paraId="1EB870FE">
            <w:pPr>
              <w:pStyle w:val="16"/>
              <w:keepNext w:val="0"/>
              <w:keepLines w:val="0"/>
              <w:suppressLineNumbers w:val="0"/>
              <w:spacing w:before="0" w:beforeAutospacing="0" w:after="0" w:afterAutospacing="0"/>
              <w:ind w:left="0" w:leftChars="0" w:right="0" w:rightChars="0" w:firstLine="242" w:firstLineChars="100"/>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（10）法律、行政法规和招标文件规定的其他无效情形。</w:t>
            </w:r>
          </w:p>
          <w:p w14:paraId="79802EEA">
            <w:pPr>
              <w:pStyle w:val="16"/>
              <w:keepNext w:val="0"/>
              <w:keepLines w:val="0"/>
              <w:suppressLineNumbers w:val="0"/>
              <w:spacing w:before="0" w:beforeAutospacing="0" w:after="0" w:afterAutospacing="0"/>
              <w:ind w:left="0" w:leftChars="0" w:right="0" w:rightChars="0"/>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kern w:val="0"/>
                <w:sz w:val="24"/>
                <w:szCs w:val="24"/>
                <w:highlight w:val="none"/>
              </w:rPr>
              <w:t>投标文件存在以上情况（1）（3）的，由资格审查小组认定，其余情况由评标委员会认定。</w:t>
            </w:r>
          </w:p>
        </w:tc>
      </w:tr>
      <w:bookmarkEnd w:id="39"/>
      <w:tr w14:paraId="773F5B63">
        <w:tblPrEx>
          <w:tblCellMar>
            <w:top w:w="0" w:type="dxa"/>
            <w:left w:w="108" w:type="dxa"/>
            <w:bottom w:w="0" w:type="dxa"/>
            <w:right w:w="108" w:type="dxa"/>
          </w:tblCellMar>
        </w:tblPrEx>
        <w:trPr>
          <w:trHeight w:val="424"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14:paraId="2EAD42DC">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leftChars="0" w:right="0" w:right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31</w:t>
            </w:r>
          </w:p>
        </w:tc>
        <w:tc>
          <w:tcPr>
            <w:tcW w:w="1880" w:type="dxa"/>
            <w:tcBorders>
              <w:top w:val="single" w:color="auto" w:sz="4" w:space="0"/>
              <w:left w:val="single" w:color="auto" w:sz="4" w:space="0"/>
              <w:bottom w:val="single" w:color="auto" w:sz="4" w:space="0"/>
              <w:right w:val="single" w:color="auto" w:sz="4" w:space="0"/>
            </w:tcBorders>
            <w:vAlign w:val="center"/>
          </w:tcPr>
          <w:p w14:paraId="33D7EDA2">
            <w:pPr>
              <w:pStyle w:val="16"/>
              <w:keepNext w:val="0"/>
              <w:keepLines w:val="0"/>
              <w:suppressLineNumbers w:val="0"/>
              <w:spacing w:before="0" w:beforeAutospacing="0" w:after="0" w:afterAutospacing="0" w:line="440" w:lineRule="exact"/>
              <w:ind w:left="0" w:right="0"/>
              <w:jc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rPr>
              <w:t>政府采购政策支持</w:t>
            </w:r>
          </w:p>
        </w:tc>
        <w:tc>
          <w:tcPr>
            <w:tcW w:w="7393" w:type="dxa"/>
            <w:tcBorders>
              <w:top w:val="single" w:color="auto" w:sz="4" w:space="0"/>
              <w:left w:val="single" w:color="auto" w:sz="4" w:space="0"/>
              <w:bottom w:val="single" w:color="auto" w:sz="4" w:space="0"/>
              <w:right w:val="single" w:color="auto" w:sz="4" w:space="0"/>
            </w:tcBorders>
            <w:vAlign w:val="center"/>
          </w:tcPr>
          <w:p w14:paraId="5D6B4740">
            <w:pPr>
              <w:pStyle w:val="5"/>
              <w:keepNext w:val="0"/>
              <w:keepLines w:val="0"/>
              <w:suppressLineNumbers w:val="0"/>
              <w:spacing w:before="0" w:beforeAutospacing="0" w:after="0" w:afterAutospacing="0"/>
              <w:ind w:left="0" w:leftChars="0" w:right="0" w:firstLine="0" w:firstLineChars="0"/>
              <w:outlineLvl w:val="9"/>
              <w:rPr>
                <w:rFonts w:hint="eastAsia" w:ascii="宋体" w:hAnsi="宋体" w:cs="宋体"/>
                <w:b/>
                <w:bCs w:val="0"/>
                <w:color w:val="auto"/>
                <w:kern w:val="2"/>
                <w:sz w:val="24"/>
                <w:szCs w:val="24"/>
                <w:highlight w:val="none"/>
                <w:u w:val="none"/>
                <w:lang w:val="en-US" w:eastAsia="zh-CN" w:bidi="ar-SA"/>
              </w:rPr>
            </w:pPr>
            <w:r>
              <w:rPr>
                <w:rFonts w:hint="eastAsia" w:ascii="宋体" w:hAnsi="宋体" w:cs="宋体"/>
                <w:b/>
                <w:bCs/>
                <w:color w:val="auto"/>
                <w:sz w:val="24"/>
                <w:szCs w:val="24"/>
                <w:highlight w:val="none"/>
                <w:lang w:val="en-US" w:eastAsia="zh-CN"/>
              </w:rPr>
              <w:t>本项目不专门面向中小企业。若投标供应商所提供的货物全部由符合政策要求的中小/小微企业制造，并按要求提交《中小企业声明函》，给予小型、微型企业享受价格10%扣除，用扣除后的价格参与评审</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bCs w:val="0"/>
                <w:color w:val="auto"/>
                <w:kern w:val="2"/>
                <w:sz w:val="24"/>
                <w:szCs w:val="24"/>
                <w:highlight w:val="none"/>
                <w:lang w:val="en-US" w:eastAsia="zh-CN" w:bidi="ar-SA"/>
              </w:rPr>
              <w:t>项目属性：</w:t>
            </w:r>
            <w:r>
              <w:rPr>
                <w:rFonts w:hint="eastAsia" w:ascii="宋体" w:hAnsi="宋体" w:eastAsia="宋体" w:cs="宋体"/>
                <w:b/>
                <w:bCs w:val="0"/>
                <w:color w:val="auto"/>
                <w:kern w:val="2"/>
                <w:sz w:val="24"/>
                <w:szCs w:val="24"/>
                <w:highlight w:val="none"/>
                <w:u w:val="single"/>
                <w:lang w:val="en-US" w:eastAsia="zh-CN" w:bidi="ar-SA"/>
              </w:rPr>
              <w:t xml:space="preserve"> 货物</w:t>
            </w:r>
            <w:r>
              <w:rPr>
                <w:rFonts w:hint="eastAsia" w:ascii="宋体" w:hAnsi="宋体" w:eastAsia="宋体" w:cs="宋体"/>
                <w:b/>
                <w:bCs w:val="0"/>
                <w:color w:val="auto"/>
                <w:kern w:val="2"/>
                <w:sz w:val="24"/>
                <w:szCs w:val="24"/>
                <w:highlight w:val="none"/>
                <w:u w:val="none"/>
                <w:lang w:val="en-US" w:eastAsia="zh-CN" w:bidi="ar-SA"/>
              </w:rPr>
              <w:t xml:space="preserve"> </w:t>
            </w:r>
            <w:bookmarkStart w:id="40" w:name="OLE_LINK5"/>
            <w:r>
              <w:rPr>
                <w:rFonts w:hint="eastAsia" w:ascii="宋体" w:hAnsi="宋体" w:cs="宋体"/>
                <w:b/>
                <w:bCs w:val="0"/>
                <w:color w:val="auto"/>
                <w:kern w:val="2"/>
                <w:sz w:val="24"/>
                <w:szCs w:val="24"/>
                <w:highlight w:val="none"/>
                <w:u w:val="none"/>
                <w:lang w:val="en-US" w:eastAsia="zh-CN" w:bidi="ar-SA"/>
              </w:rPr>
              <w:t>（注：(1)在货物采购项目中，货物由中小企业制造，即货物由中小企业生产且使用该中小企业商号或者注册商标，不对其中涉及的工程承建商和服务的承接商作出要求；</w:t>
            </w:r>
            <w:r>
              <w:rPr>
                <w:rFonts w:hint="eastAsia" w:ascii="宋体" w:hAnsi="宋体" w:cs="宋体"/>
                <w:b w:val="0"/>
                <w:bCs/>
                <w:color w:val="auto"/>
                <w:kern w:val="2"/>
                <w:sz w:val="24"/>
                <w:szCs w:val="24"/>
                <w:highlight w:val="none"/>
                <w:u w:val="none"/>
                <w:lang w:val="en-US" w:eastAsia="zh-CN" w:bidi="ar-SA"/>
              </w:rPr>
              <w:t>(2)在工程采购项目中，工程由中小企业承建，即工程施工单位为中小企业，不对其中涉及的货物的制造商和服务的承接商作出要求；(3)在服务采购项目中，服务由中小企业承接，即提供服务的人员为中小企业依照《中华人民共和国劳动合同法》订立劳动合同的从业人员，不对其中涉及的货物的制造商和工程承建商作出要求。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依据本招标文件规定享受扶持政策获得政府采购合同的，小微企业不得将合同分包给大中型企业，中型企业不得将合同分包给大型企业。</w:t>
            </w:r>
          </w:p>
          <w:bookmarkEnd w:id="40"/>
          <w:p w14:paraId="5DF03845">
            <w:pPr>
              <w:pStyle w:val="5"/>
              <w:keepNext w:val="0"/>
              <w:keepLines w:val="0"/>
              <w:suppressLineNumbers w:val="0"/>
              <w:spacing w:before="0" w:beforeAutospacing="0" w:after="0" w:afterAutospacing="0"/>
              <w:ind w:left="0" w:leftChars="0" w:right="0" w:firstLine="0" w:firstLineChars="0"/>
              <w:outlineLvl w:val="9"/>
              <w:rPr>
                <w:rFonts w:hint="eastAsia" w:ascii="宋体" w:hAnsi="宋体" w:eastAsia="宋体" w:cs="宋体"/>
                <w:b/>
                <w:bCs w:val="0"/>
                <w:color w:val="auto"/>
                <w:kern w:val="2"/>
                <w:sz w:val="24"/>
                <w:szCs w:val="24"/>
                <w:highlight w:val="none"/>
                <w:u w:val="none"/>
                <w:lang w:val="en-US" w:eastAsia="zh-CN" w:bidi="ar-SA"/>
              </w:rPr>
            </w:pPr>
            <w:bookmarkStart w:id="41" w:name="OLE_LINK7"/>
            <w:r>
              <w:rPr>
                <w:rFonts w:hint="eastAsia" w:ascii="宋体" w:hAnsi="宋体" w:cs="宋体"/>
                <w:b/>
                <w:bCs w:val="0"/>
                <w:color w:val="auto"/>
                <w:kern w:val="2"/>
                <w:sz w:val="24"/>
                <w:szCs w:val="24"/>
                <w:highlight w:val="none"/>
                <w:u w:val="none"/>
                <w:lang w:val="en-US" w:eastAsia="zh-CN" w:bidi="ar-SA"/>
              </w:rPr>
              <w:t>（4）本项目以货物类为主，采购清单中标的物为货物类须在中小企业声明函中列明）</w:t>
            </w:r>
          </w:p>
          <w:p w14:paraId="72CCC845">
            <w:pPr>
              <w:pStyle w:val="13"/>
              <w:keepNext w:val="0"/>
              <w:keepLines w:val="0"/>
              <w:suppressLineNumbers w:val="0"/>
              <w:spacing w:before="0" w:beforeAutospacing="0" w:afterAutospacing="0"/>
              <w:ind w:left="0" w:right="0"/>
              <w:outlineLvl w:val="9"/>
              <w:rPr>
                <w:rFonts w:hint="eastAsia" w:ascii="宋体" w:hAnsi="宋体" w:eastAsia="宋体" w:cs="宋体"/>
                <w:b/>
                <w:bCs/>
                <w:color w:val="auto"/>
                <w:sz w:val="24"/>
                <w:szCs w:val="24"/>
                <w:highlight w:val="none"/>
                <w:u w:val="none"/>
                <w:lang w:val="en-US" w:eastAsia="zh-CN"/>
              </w:rPr>
            </w:pPr>
            <w:r>
              <w:rPr>
                <w:rFonts w:hint="eastAsia" w:ascii="宋体" w:hAnsi="宋体" w:eastAsia="宋体" w:cs="宋体"/>
                <w:b/>
                <w:bCs w:val="0"/>
                <w:color w:val="auto"/>
                <w:sz w:val="24"/>
                <w:szCs w:val="24"/>
                <w:highlight w:val="none"/>
                <w:lang w:eastAsia="zh-CN"/>
              </w:rPr>
              <w:t>根据《中小企业划型标准规定》对应中小企业划分标准所属行业为</w:t>
            </w:r>
            <w:r>
              <w:rPr>
                <w:rFonts w:hint="eastAsia" w:ascii="宋体" w:hAnsi="宋体" w:eastAsia="宋体" w:cs="宋体"/>
                <w:b/>
                <w:bCs w:val="0"/>
                <w:color w:val="auto"/>
                <w:sz w:val="24"/>
                <w:szCs w:val="24"/>
                <w:highlight w:val="none"/>
                <w:u w:val="single"/>
                <w:lang w:val="en-US" w:eastAsia="zh-CN"/>
              </w:rPr>
              <w:t xml:space="preserve"> </w:t>
            </w:r>
            <w:r>
              <w:rPr>
                <w:rFonts w:hint="eastAsia" w:ascii="宋体" w:hAnsi="宋体" w:cs="宋体"/>
                <w:b/>
                <w:bCs w:val="0"/>
                <w:color w:val="auto"/>
                <w:sz w:val="24"/>
                <w:szCs w:val="24"/>
                <w:highlight w:val="none"/>
                <w:u w:val="single"/>
                <w:lang w:val="en-US" w:eastAsia="zh-CN"/>
              </w:rPr>
              <w:t>零售业</w:t>
            </w:r>
            <w:r>
              <w:rPr>
                <w:rFonts w:hint="eastAsia" w:ascii="宋体" w:hAnsi="宋体" w:eastAsia="宋体" w:cs="宋体"/>
                <w:b/>
                <w:bCs/>
                <w:color w:val="auto"/>
                <w:sz w:val="24"/>
                <w:szCs w:val="24"/>
                <w:highlight w:val="none"/>
                <w:u w:val="none"/>
                <w:lang w:val="en-US" w:eastAsia="zh-CN"/>
              </w:rPr>
              <w:t>。</w:t>
            </w:r>
          </w:p>
          <w:p w14:paraId="4AECADB3">
            <w:pPr>
              <w:keepNext w:val="0"/>
              <w:keepLines w:val="0"/>
              <w:suppressLineNumbers w:val="0"/>
              <w:spacing w:before="0" w:beforeAutospacing="0" w:after="0" w:afterAutospacing="0" w:line="300" w:lineRule="exact"/>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（1）中小企业（含中型、小型、微型企业），根据《政府采购促进中小企业发展管理办法》（财库[2020]46号）的规定、《关于进一步加大政府采购支持中小企业力度的通知》财库〔2022〕19号的规定；</w:t>
            </w:r>
          </w:p>
          <w:p w14:paraId="07A3CAF1">
            <w:pPr>
              <w:keepNext w:val="0"/>
              <w:keepLines w:val="0"/>
              <w:suppressLineNumbers w:val="0"/>
              <w:spacing w:before="0" w:beforeAutospacing="0" w:after="0" w:afterAutospacing="0" w:line="300" w:lineRule="exact"/>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（2）《财政部、司法部关于政府采购支持监狱企业发展有关问题的通知》（财库[2014]68号）；</w:t>
            </w:r>
          </w:p>
          <w:p w14:paraId="252CF973">
            <w:pPr>
              <w:keepNext w:val="0"/>
              <w:keepLines w:val="0"/>
              <w:suppressLineNumbers w:val="0"/>
              <w:spacing w:before="0" w:beforeAutospacing="0" w:after="0" w:afterAutospacing="0" w:line="300" w:lineRule="exact"/>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（3）财政部 生态环境部关于印发环境标志产品政府采购品目清单的通知（财库[2019]18号）；</w:t>
            </w:r>
          </w:p>
          <w:p w14:paraId="4F036413">
            <w:pPr>
              <w:keepNext w:val="0"/>
              <w:keepLines w:val="0"/>
              <w:suppressLineNumbers w:val="0"/>
              <w:spacing w:before="0" w:beforeAutospacing="0" w:after="0" w:afterAutospacing="0" w:line="300" w:lineRule="exact"/>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（4）《财政部 民政部 中国残疾人联合会关于促进残疾人就业政府采购政策的通知》财库[2017]141号；</w:t>
            </w:r>
          </w:p>
          <w:p w14:paraId="28070EE5">
            <w:pPr>
              <w:keepNext w:val="0"/>
              <w:keepLines w:val="0"/>
              <w:suppressLineNumbers w:val="0"/>
              <w:spacing w:before="0" w:beforeAutospacing="0" w:after="0" w:afterAutospacing="0" w:line="300" w:lineRule="exact"/>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（5）《财政部 发展改革委 生态环境部 市场监管总局关于调整优化节能产品 环境标志产品政府采购执行机制的通知》（财库〔2019〕9号），投标产品遵照《关于印发节能产品政府采购品目清单的通知》（财库〔2019〕19号）相关规定执行。</w:t>
            </w:r>
          </w:p>
          <w:p w14:paraId="5AE3E438">
            <w:pPr>
              <w:keepNext w:val="0"/>
              <w:keepLines w:val="0"/>
              <w:suppressLineNumbers w:val="0"/>
              <w:spacing w:before="0" w:beforeAutospacing="0" w:after="0" w:afterAutospacing="0" w:line="300" w:lineRule="exact"/>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（6）《关于运用政府采购政策支持脱贫攻坚的通知》（财库【2019】27号文）</w:t>
            </w:r>
          </w:p>
          <w:p w14:paraId="05C83F98">
            <w:pPr>
              <w:pStyle w:val="16"/>
              <w:keepNext w:val="0"/>
              <w:keepLines w:val="0"/>
              <w:suppressLineNumbers w:val="0"/>
              <w:spacing w:before="0" w:beforeAutospacing="0" w:after="0" w:afterAutospacing="0"/>
              <w:ind w:left="0" w:right="0"/>
              <w:outlineLvl w:val="9"/>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rPr>
              <w:t>特别提示：供应商须保证所提交资料真实、完整、有效、一致，否则自行承担由此导致的与本项目有关的任何损失。</w:t>
            </w:r>
            <w:bookmarkEnd w:id="41"/>
          </w:p>
        </w:tc>
      </w:tr>
      <w:tr w14:paraId="04C264F0">
        <w:tblPrEx>
          <w:tblCellMar>
            <w:top w:w="0" w:type="dxa"/>
            <w:left w:w="108" w:type="dxa"/>
            <w:bottom w:w="0" w:type="dxa"/>
            <w:right w:w="108" w:type="dxa"/>
          </w:tblCellMar>
        </w:tblPrEx>
        <w:trPr>
          <w:trHeight w:val="737"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14:paraId="13CCB49A">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leftChars="0" w:right="0" w:rightChars="0"/>
              <w:jc w:val="center"/>
              <w:textAlignment w:val="auto"/>
              <w:outlineLvl w:val="9"/>
              <w:rPr>
                <w:rFonts w:hint="eastAsia" w:ascii="宋体" w:hAnsi="宋体" w:eastAsia="宋体" w:cs="宋体"/>
                <w:color w:val="auto"/>
                <w:kern w:val="2"/>
                <w:sz w:val="24"/>
                <w:szCs w:val="24"/>
                <w:highlight w:val="none"/>
                <w:lang w:val="en-US" w:eastAsia="zh-CN" w:bidi="ar-SA"/>
              </w:rPr>
            </w:pPr>
            <w:bookmarkStart w:id="42" w:name="_Toc13093"/>
            <w:r>
              <w:rPr>
                <w:rFonts w:hint="eastAsia" w:ascii="宋体" w:hAnsi="宋体" w:cs="宋体"/>
                <w:color w:val="auto"/>
                <w:sz w:val="24"/>
                <w:szCs w:val="24"/>
                <w:highlight w:val="none"/>
                <w:lang w:val="en-US" w:eastAsia="zh-CN"/>
              </w:rPr>
              <w:t>32</w:t>
            </w:r>
          </w:p>
        </w:tc>
        <w:tc>
          <w:tcPr>
            <w:tcW w:w="1880" w:type="dxa"/>
            <w:tcBorders>
              <w:top w:val="single" w:color="auto" w:sz="4" w:space="0"/>
              <w:left w:val="single" w:color="auto" w:sz="4" w:space="0"/>
              <w:bottom w:val="single" w:color="auto" w:sz="4" w:space="0"/>
              <w:right w:val="single" w:color="auto" w:sz="4" w:space="0"/>
            </w:tcBorders>
            <w:vAlign w:val="center"/>
          </w:tcPr>
          <w:p w14:paraId="11977D44">
            <w:pPr>
              <w:pStyle w:val="16"/>
              <w:keepNext w:val="0"/>
              <w:keepLines w:val="0"/>
              <w:suppressLineNumbers w:val="0"/>
              <w:spacing w:before="0" w:beforeAutospacing="0" w:after="0" w:afterAutospacing="0" w:line="440" w:lineRule="exact"/>
              <w:ind w:left="0" w:right="0"/>
              <w:jc w:val="center"/>
              <w:outlineLvl w:val="9"/>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rPr>
              <w:t>说明</w:t>
            </w:r>
          </w:p>
        </w:tc>
        <w:tc>
          <w:tcPr>
            <w:tcW w:w="7393" w:type="dxa"/>
            <w:tcBorders>
              <w:top w:val="single" w:color="auto" w:sz="4" w:space="0"/>
              <w:left w:val="single" w:color="auto" w:sz="4" w:space="0"/>
              <w:bottom w:val="single" w:color="auto" w:sz="4" w:space="0"/>
              <w:right w:val="single" w:color="auto" w:sz="4" w:space="0"/>
            </w:tcBorders>
            <w:vAlign w:val="center"/>
          </w:tcPr>
          <w:p w14:paraId="1FEC01AE">
            <w:pPr>
              <w:keepNext w:val="0"/>
              <w:keepLines w:val="0"/>
              <w:numPr>
                <w:ilvl w:val="0"/>
                <w:numId w:val="0"/>
              </w:numPr>
              <w:suppressLineNumbers w:val="0"/>
              <w:spacing w:before="0" w:beforeAutospacing="0" w:after="0" w:afterAutospacing="0" w:line="312" w:lineRule="auto"/>
              <w:ind w:left="0" w:right="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w:t>
            </w:r>
            <w:r>
              <w:rPr>
                <w:rFonts w:hint="eastAsia" w:ascii="宋体" w:hAnsi="宋体" w:eastAsia="宋体" w:cs="宋体"/>
                <w:color w:val="auto"/>
                <w:sz w:val="24"/>
                <w:szCs w:val="24"/>
                <w:highlight w:val="none"/>
                <w:lang w:eastAsia="zh-CN"/>
              </w:rPr>
              <w:t>公开招标</w:t>
            </w:r>
            <w:r>
              <w:rPr>
                <w:rFonts w:hint="eastAsia" w:ascii="宋体" w:hAnsi="宋体" w:eastAsia="宋体" w:cs="宋体"/>
                <w:color w:val="auto"/>
                <w:sz w:val="24"/>
                <w:szCs w:val="24"/>
                <w:highlight w:val="none"/>
              </w:rPr>
              <w:t>文件技术指标是作为功能性说明，不论任何情况，供应商在</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时必须达到或优于</w:t>
            </w:r>
            <w:r>
              <w:rPr>
                <w:rFonts w:hint="eastAsia" w:ascii="宋体" w:hAnsi="宋体" w:eastAsia="宋体" w:cs="宋体"/>
                <w:color w:val="auto"/>
                <w:sz w:val="24"/>
                <w:szCs w:val="24"/>
                <w:highlight w:val="none"/>
                <w:lang w:eastAsia="zh-CN"/>
              </w:rPr>
              <w:t>公开招标</w:t>
            </w:r>
            <w:r>
              <w:rPr>
                <w:rFonts w:hint="eastAsia" w:ascii="宋体" w:hAnsi="宋体" w:eastAsia="宋体" w:cs="宋体"/>
                <w:color w:val="auto"/>
                <w:sz w:val="24"/>
                <w:szCs w:val="24"/>
                <w:highlight w:val="none"/>
              </w:rPr>
              <w:t>文件要求。</w:t>
            </w:r>
          </w:p>
          <w:p w14:paraId="10FB20C9">
            <w:pPr>
              <w:keepNext w:val="0"/>
              <w:keepLines w:val="0"/>
              <w:numPr>
                <w:ilvl w:val="0"/>
                <w:numId w:val="0"/>
              </w:numPr>
              <w:suppressLineNumbers w:val="0"/>
              <w:spacing w:before="0" w:beforeAutospacing="0" w:after="0" w:afterAutospacing="0" w:line="312" w:lineRule="auto"/>
              <w:ind w:left="0" w:right="0"/>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供应商</w:t>
            </w:r>
            <w:r>
              <w:rPr>
                <w:rFonts w:hint="eastAsia" w:ascii="宋体" w:hAnsi="宋体" w:eastAsia="宋体" w:cs="宋体"/>
                <w:b/>
                <w:color w:val="auto"/>
                <w:sz w:val="24"/>
                <w:szCs w:val="24"/>
                <w:highlight w:val="none"/>
              </w:rPr>
              <w:t>应保证在本项目使用的任何产品和服务（包括部分使用）时，不会产生因第三方提出侵犯其专利权、商标权或其它知识产权而引起的法律和经济纠纷，如因专利权、商标权或其它知识产权而引起法律和经济纠纷，由</w:t>
            </w:r>
            <w:r>
              <w:rPr>
                <w:rFonts w:hint="eastAsia" w:ascii="宋体" w:hAnsi="宋体" w:eastAsia="宋体" w:cs="宋体"/>
                <w:b/>
                <w:color w:val="auto"/>
                <w:sz w:val="24"/>
                <w:szCs w:val="24"/>
                <w:highlight w:val="none"/>
                <w:lang w:eastAsia="zh-CN"/>
              </w:rPr>
              <w:t>供应商</w:t>
            </w:r>
            <w:r>
              <w:rPr>
                <w:rFonts w:hint="eastAsia" w:ascii="宋体" w:hAnsi="宋体" w:eastAsia="宋体" w:cs="宋体"/>
                <w:b/>
                <w:color w:val="auto"/>
                <w:sz w:val="24"/>
                <w:szCs w:val="24"/>
                <w:highlight w:val="none"/>
              </w:rPr>
              <w:t>承担所有相关责任的同时不得耽误本项目供货。</w:t>
            </w:r>
          </w:p>
          <w:p w14:paraId="1CD559BD">
            <w:pPr>
              <w:pStyle w:val="16"/>
              <w:keepNext w:val="0"/>
              <w:keepLines w:val="0"/>
              <w:suppressLineNumbers w:val="0"/>
              <w:spacing w:before="0" w:beforeAutospacing="0" w:after="0" w:afterAutospacing="0"/>
              <w:ind w:left="0" w:right="0"/>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color w:val="auto"/>
                <w:kern w:val="0"/>
                <w:sz w:val="24"/>
                <w:szCs w:val="24"/>
                <w:highlight w:val="none"/>
                <w:lang w:val="en-US" w:eastAsia="zh-CN" w:bidi="ar-SA"/>
              </w:rPr>
              <w:t>本项目公开招标文件最终解释权归采购人所有。</w:t>
            </w:r>
          </w:p>
        </w:tc>
      </w:tr>
      <w:tr w14:paraId="72CBFDE8">
        <w:tblPrEx>
          <w:tblCellMar>
            <w:top w:w="0" w:type="dxa"/>
            <w:left w:w="108" w:type="dxa"/>
            <w:bottom w:w="0" w:type="dxa"/>
            <w:right w:w="108" w:type="dxa"/>
          </w:tblCellMar>
        </w:tblPrEx>
        <w:trPr>
          <w:trHeight w:val="737" w:hRule="atLeast"/>
          <w:jc w:val="center"/>
        </w:trPr>
        <w:tc>
          <w:tcPr>
            <w:tcW w:w="997" w:type="dxa"/>
            <w:tcBorders>
              <w:top w:val="single" w:color="auto" w:sz="4" w:space="0"/>
              <w:left w:val="single" w:color="auto" w:sz="4" w:space="0"/>
              <w:bottom w:val="single" w:color="auto" w:sz="4" w:space="0"/>
              <w:right w:val="single" w:color="auto" w:sz="4" w:space="0"/>
            </w:tcBorders>
            <w:vAlign w:val="center"/>
          </w:tcPr>
          <w:p w14:paraId="0F2C8280">
            <w:pPr>
              <w:keepNext w:val="0"/>
              <w:keepLines w:val="0"/>
              <w:pageBreakBefore w:val="0"/>
              <w:widowControl w:val="0"/>
              <w:suppressLineNumbers w:val="0"/>
              <w:tabs>
                <w:tab w:val="left" w:pos="5527"/>
              </w:tabs>
              <w:kinsoku/>
              <w:wordWrap/>
              <w:overflowPunct/>
              <w:topLinePunct w:val="0"/>
              <w:autoSpaceDE/>
              <w:autoSpaceDN/>
              <w:bidi w:val="0"/>
              <w:spacing w:before="0" w:beforeAutospacing="0" w:after="0" w:afterAutospacing="0" w:line="400" w:lineRule="exact"/>
              <w:ind w:left="0" w:leftChars="0" w:right="0" w:rightChars="0"/>
              <w:jc w:val="center"/>
              <w:textAlignment w:val="auto"/>
              <w:outlineLvl w:val="9"/>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33</w:t>
            </w:r>
          </w:p>
        </w:tc>
        <w:tc>
          <w:tcPr>
            <w:tcW w:w="1880" w:type="dxa"/>
            <w:tcBorders>
              <w:top w:val="single" w:color="auto" w:sz="4" w:space="0"/>
              <w:left w:val="single" w:color="auto" w:sz="4" w:space="0"/>
              <w:bottom w:val="single" w:color="auto" w:sz="4" w:space="0"/>
              <w:right w:val="single" w:color="auto" w:sz="4" w:space="0"/>
            </w:tcBorders>
            <w:shd w:val="clear" w:color="auto" w:fill="auto"/>
            <w:vAlign w:val="center"/>
          </w:tcPr>
          <w:p w14:paraId="310CAC52">
            <w:pPr>
              <w:keepNext w:val="0"/>
              <w:keepLines w:val="0"/>
              <w:suppressLineNumbers w:val="0"/>
              <w:spacing w:before="0" w:beforeAutospacing="0" w:after="0" w:afterAutospacing="0"/>
              <w:ind w:left="0" w:leftChars="0" w:right="0" w:rightChars="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rPr>
              <w:t>备注</w:t>
            </w:r>
          </w:p>
        </w:tc>
        <w:tc>
          <w:tcPr>
            <w:tcW w:w="7393" w:type="dxa"/>
            <w:tcBorders>
              <w:top w:val="single" w:color="auto" w:sz="4" w:space="0"/>
              <w:left w:val="single" w:color="auto" w:sz="4" w:space="0"/>
              <w:bottom w:val="single" w:color="auto" w:sz="4" w:space="0"/>
              <w:right w:val="single" w:color="auto" w:sz="4" w:space="0"/>
            </w:tcBorders>
            <w:shd w:val="clear" w:color="auto" w:fill="auto"/>
            <w:vAlign w:val="center"/>
          </w:tcPr>
          <w:p w14:paraId="39B61124">
            <w:pPr>
              <w:keepNext w:val="0"/>
              <w:keepLines w:val="0"/>
              <w:widowControl/>
              <w:suppressLineNumbers w:val="0"/>
              <w:spacing w:before="0" w:beforeAutospacing="0" w:after="0" w:afterAutospacing="0"/>
              <w:ind w:left="0" w:right="0"/>
              <w:jc w:val="left"/>
              <w:rPr>
                <w:rFonts w:hint="default"/>
                <w:color w:val="auto"/>
                <w:szCs w:val="20"/>
                <w:highlight w:val="none"/>
              </w:rPr>
            </w:pPr>
            <w:r>
              <w:rPr>
                <w:rFonts w:hint="eastAsia" w:ascii="宋体" w:hAnsi="宋体" w:eastAsia="宋体" w:cs="宋体"/>
                <w:color w:val="auto"/>
                <w:kern w:val="0"/>
                <w:sz w:val="24"/>
                <w:szCs w:val="24"/>
                <w:highlight w:val="none"/>
                <w:lang w:val="en-US" w:eastAsia="zh-CN" w:bidi="ar"/>
              </w:rPr>
              <w:t>1、招标文件中部分加粗、加下划线、废标、无效标、投标被拒绝字</w:t>
            </w:r>
          </w:p>
          <w:p w14:paraId="5ECF2805">
            <w:pPr>
              <w:keepNext w:val="0"/>
              <w:keepLines w:val="0"/>
              <w:widowControl/>
              <w:suppressLineNumbers w:val="0"/>
              <w:spacing w:before="0" w:beforeAutospacing="0" w:after="0" w:afterAutospacing="0"/>
              <w:ind w:left="0" w:right="0"/>
              <w:jc w:val="left"/>
              <w:rPr>
                <w:rFonts w:hint="default"/>
                <w:color w:val="auto"/>
                <w:szCs w:val="20"/>
                <w:highlight w:val="none"/>
              </w:rPr>
            </w:pPr>
            <w:r>
              <w:rPr>
                <w:rFonts w:hint="eastAsia" w:ascii="宋体" w:hAnsi="宋体" w:eastAsia="宋体" w:cs="宋体"/>
                <w:color w:val="auto"/>
                <w:kern w:val="0"/>
                <w:sz w:val="24"/>
                <w:szCs w:val="24"/>
                <w:highlight w:val="none"/>
                <w:lang w:val="en-US" w:eastAsia="zh-CN" w:bidi="ar"/>
              </w:rPr>
              <w:t>样的条款，为招标的实质性要求和条件，着重提醒各投标人注意，并认 真查看招标文件中的每一个条款及要求，因误读招标文件而造成的后果，</w:t>
            </w:r>
            <w:r>
              <w:rPr>
                <w:rFonts w:hint="eastAsia" w:ascii="宋体" w:hAnsi="宋体" w:cs="宋体"/>
                <w:color w:val="auto"/>
                <w:kern w:val="0"/>
                <w:sz w:val="24"/>
                <w:szCs w:val="24"/>
                <w:highlight w:val="none"/>
                <w:lang w:val="en-US" w:eastAsia="zh-CN" w:bidi="ar"/>
              </w:rPr>
              <w:t>采购人</w:t>
            </w:r>
            <w:r>
              <w:rPr>
                <w:rFonts w:hint="eastAsia" w:ascii="宋体" w:hAnsi="宋体" w:eastAsia="宋体" w:cs="宋体"/>
                <w:color w:val="auto"/>
                <w:kern w:val="0"/>
                <w:sz w:val="24"/>
                <w:szCs w:val="24"/>
                <w:highlight w:val="none"/>
                <w:lang w:val="en-US" w:eastAsia="zh-CN" w:bidi="ar"/>
              </w:rPr>
              <w:t xml:space="preserve">概不负责。 </w:t>
            </w:r>
          </w:p>
          <w:p w14:paraId="5235EA05">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2、因供应商自身原因导致解密失败的，将导致其投标被</w:t>
            </w:r>
            <w:r>
              <w:rPr>
                <w:rFonts w:hint="eastAsia" w:ascii="宋体" w:hAnsi="宋体" w:eastAsia="宋体" w:cs="宋体"/>
                <w:b/>
                <w:bCs/>
                <w:color w:val="auto"/>
                <w:kern w:val="0"/>
                <w:sz w:val="24"/>
                <w:szCs w:val="24"/>
                <w:highlight w:val="none"/>
                <w:lang w:val="en-US" w:eastAsia="zh-CN" w:bidi="ar"/>
              </w:rPr>
              <w:t>拒绝</w:t>
            </w:r>
            <w:r>
              <w:rPr>
                <w:rFonts w:hint="eastAsia" w:ascii="宋体" w:hAnsi="宋体" w:eastAsia="宋体" w:cs="宋体"/>
                <w:color w:val="auto"/>
                <w:kern w:val="0"/>
                <w:sz w:val="24"/>
                <w:szCs w:val="24"/>
                <w:highlight w:val="none"/>
                <w:lang w:val="en-US" w:eastAsia="zh-CN" w:bidi="ar"/>
              </w:rPr>
              <w:t>且响应文件被退回；但因网上招标系统故障导致所有供应商均解密失败时，使用供应商未加密的电子响应文件进行开评标或者相应的延长项目的解密时间</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未发送未加密电子响应文件导致解密失败的，由供应商自行承担责任，将被视为无效投标</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默认解密时长为：30分钟</w:t>
            </w:r>
            <w:r>
              <w:rPr>
                <w:rFonts w:hint="eastAsia" w:ascii="宋体" w:hAnsi="宋体" w:cs="宋体"/>
                <w:color w:val="auto"/>
                <w:kern w:val="0"/>
                <w:sz w:val="24"/>
                <w:szCs w:val="24"/>
                <w:highlight w:val="none"/>
                <w:lang w:val="en-US" w:eastAsia="zh-CN" w:bidi="ar"/>
              </w:rPr>
              <w:t>（解密与加密投标文件须使用同一个CA）</w:t>
            </w:r>
          </w:p>
          <w:p w14:paraId="32C0B00B">
            <w:pPr>
              <w:keepNext w:val="0"/>
              <w:keepLines w:val="0"/>
              <w:widowControl/>
              <w:suppressLineNumbers w:val="0"/>
              <w:spacing w:before="0" w:beforeAutospacing="0" w:after="0" w:afterAutospacing="0"/>
              <w:ind w:left="0" w:right="0"/>
              <w:jc w:val="left"/>
              <w:rPr>
                <w:rFonts w:hint="default"/>
                <w:color w:val="auto"/>
                <w:szCs w:val="20"/>
                <w:highlight w:val="none"/>
              </w:rPr>
            </w:pPr>
            <w:r>
              <w:rPr>
                <w:rFonts w:hint="eastAsia" w:ascii="宋体" w:hAnsi="宋体" w:cs="宋体"/>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投标文件中有弄虚作假的内容，其投标文件作废。（如假证书、</w:t>
            </w:r>
          </w:p>
          <w:p w14:paraId="07E8D7DB">
            <w:pPr>
              <w:keepNext w:val="0"/>
              <w:keepLines w:val="0"/>
              <w:widowControl/>
              <w:suppressLineNumbers w:val="0"/>
              <w:spacing w:before="0" w:beforeAutospacing="0" w:after="0" w:afterAutospacing="0"/>
              <w:ind w:left="0" w:right="0"/>
              <w:jc w:val="left"/>
              <w:rPr>
                <w:rFonts w:hint="default"/>
                <w:color w:val="auto"/>
                <w:szCs w:val="20"/>
                <w:highlight w:val="none"/>
              </w:rPr>
            </w:pPr>
            <w:r>
              <w:rPr>
                <w:rFonts w:hint="eastAsia" w:ascii="宋体" w:hAnsi="宋体" w:eastAsia="宋体" w:cs="宋体"/>
                <w:color w:val="auto"/>
                <w:kern w:val="0"/>
                <w:sz w:val="24"/>
                <w:szCs w:val="24"/>
                <w:highlight w:val="none"/>
                <w:lang w:val="en-US" w:eastAsia="zh-CN" w:bidi="ar"/>
              </w:rPr>
              <w:t>假业绩、隐瞒不良行为记录、夸大荣誉、使用非本单位在职员工的相关证件及不符合招标文件规定的条款等）；在签订合同之前，</w:t>
            </w:r>
            <w:r>
              <w:rPr>
                <w:rFonts w:hint="eastAsia" w:ascii="宋体" w:hAnsi="宋体" w:cs="宋体"/>
                <w:color w:val="auto"/>
                <w:kern w:val="0"/>
                <w:sz w:val="24"/>
                <w:szCs w:val="24"/>
                <w:highlight w:val="none"/>
                <w:lang w:val="en-US" w:eastAsia="zh-CN" w:bidi="ar"/>
              </w:rPr>
              <w:t>采购人</w:t>
            </w:r>
            <w:r>
              <w:rPr>
                <w:rFonts w:hint="eastAsia" w:ascii="宋体" w:hAnsi="宋体" w:eastAsia="宋体" w:cs="宋体"/>
                <w:color w:val="auto"/>
                <w:kern w:val="0"/>
                <w:sz w:val="24"/>
                <w:szCs w:val="24"/>
                <w:highlight w:val="none"/>
                <w:lang w:val="en-US" w:eastAsia="zh-CN" w:bidi="ar"/>
              </w:rPr>
              <w:t>如发现投标人的投标文件有弄虚作假内容，</w:t>
            </w:r>
            <w:r>
              <w:rPr>
                <w:rFonts w:hint="eastAsia" w:ascii="宋体" w:hAnsi="宋体" w:cs="宋体"/>
                <w:color w:val="auto"/>
                <w:kern w:val="0"/>
                <w:sz w:val="24"/>
                <w:szCs w:val="24"/>
                <w:highlight w:val="none"/>
                <w:lang w:val="en-US" w:eastAsia="zh-CN" w:bidi="ar"/>
              </w:rPr>
              <w:t>采购人</w:t>
            </w:r>
            <w:r>
              <w:rPr>
                <w:rFonts w:hint="eastAsia" w:ascii="宋体" w:hAnsi="宋体" w:eastAsia="宋体" w:cs="宋体"/>
                <w:color w:val="auto"/>
                <w:kern w:val="0"/>
                <w:sz w:val="24"/>
                <w:szCs w:val="24"/>
                <w:highlight w:val="none"/>
                <w:lang w:val="en-US" w:eastAsia="zh-CN" w:bidi="ar"/>
              </w:rPr>
              <w:t>可</w:t>
            </w:r>
            <w:r>
              <w:rPr>
                <w:rFonts w:hint="eastAsia" w:ascii="宋体" w:hAnsi="宋体" w:eastAsia="宋体" w:cs="宋体"/>
                <w:b/>
                <w:bCs/>
                <w:color w:val="auto"/>
                <w:kern w:val="0"/>
                <w:sz w:val="24"/>
                <w:szCs w:val="24"/>
                <w:highlight w:val="none"/>
                <w:lang w:val="en-US" w:eastAsia="zh-CN" w:bidi="ar"/>
              </w:rPr>
              <w:t>拒绝</w:t>
            </w:r>
            <w:r>
              <w:rPr>
                <w:rFonts w:hint="eastAsia" w:ascii="宋体" w:hAnsi="宋体" w:eastAsia="宋体" w:cs="宋体"/>
                <w:color w:val="auto"/>
                <w:kern w:val="0"/>
                <w:sz w:val="24"/>
                <w:szCs w:val="24"/>
                <w:highlight w:val="none"/>
                <w:lang w:val="en-US" w:eastAsia="zh-CN" w:bidi="ar"/>
              </w:rPr>
              <w:t xml:space="preserve">与其签订合同，并将其列入政府采购黑名单。 </w:t>
            </w:r>
          </w:p>
          <w:p w14:paraId="1D6A530F">
            <w:pPr>
              <w:keepNext w:val="0"/>
              <w:keepLines w:val="0"/>
              <w:widowControl/>
              <w:suppressLineNumbers w:val="0"/>
              <w:spacing w:before="0" w:beforeAutospacing="0" w:after="0" w:afterAutospacing="0"/>
              <w:ind w:left="0" w:right="0"/>
              <w:jc w:val="left"/>
              <w:rPr>
                <w:rFonts w:hint="default"/>
                <w:color w:val="auto"/>
                <w:szCs w:val="20"/>
                <w:highlight w:val="none"/>
              </w:rPr>
            </w:pPr>
            <w:r>
              <w:rPr>
                <w:rFonts w:hint="eastAsia" w:ascii="宋体" w:hAnsi="宋体" w:cs="宋体"/>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val="en-US" w:eastAsia="zh-CN" w:bidi="ar"/>
              </w:rPr>
              <w:t>、在评标过程中，评标委员会认为投标人的报价明显低于其他通过</w:t>
            </w:r>
          </w:p>
          <w:p w14:paraId="16EE62CC">
            <w:pPr>
              <w:keepNext w:val="0"/>
              <w:keepLines w:val="0"/>
              <w:widowControl/>
              <w:suppressLineNumbers w:val="0"/>
              <w:spacing w:before="0" w:beforeAutospacing="0" w:after="0" w:afterAutospacing="0"/>
              <w:ind w:left="0" w:right="0"/>
              <w:jc w:val="left"/>
              <w:rPr>
                <w:rFonts w:hint="default"/>
                <w:color w:val="auto"/>
                <w:szCs w:val="20"/>
                <w:highlight w:val="none"/>
              </w:rPr>
            </w:pPr>
            <w:r>
              <w:rPr>
                <w:rFonts w:hint="eastAsia" w:ascii="宋体" w:hAnsi="宋体" w:eastAsia="宋体" w:cs="宋体"/>
                <w:color w:val="auto"/>
                <w:kern w:val="0"/>
                <w:sz w:val="24"/>
                <w:szCs w:val="24"/>
                <w:highlight w:val="none"/>
                <w:lang w:val="en-US" w:eastAsia="zh-CN" w:bidi="ar"/>
              </w:rPr>
              <w:t xml:space="preserve">符合性审查投标人的报价，有可能影响产品质量或者不能诚信履约的， </w:t>
            </w:r>
          </w:p>
          <w:p w14:paraId="7EC3E7FE">
            <w:pPr>
              <w:keepNext w:val="0"/>
              <w:keepLines w:val="0"/>
              <w:widowControl/>
              <w:suppressLineNumbers w:val="0"/>
              <w:spacing w:before="0" w:beforeAutospacing="0" w:after="0" w:afterAutospacing="0"/>
              <w:ind w:left="0" w:right="0"/>
              <w:jc w:val="left"/>
              <w:rPr>
                <w:rFonts w:hint="default"/>
                <w:color w:val="auto"/>
                <w:szCs w:val="20"/>
                <w:highlight w:val="none"/>
              </w:rPr>
            </w:pPr>
            <w:r>
              <w:rPr>
                <w:rFonts w:hint="eastAsia" w:ascii="宋体" w:hAnsi="宋体" w:eastAsia="宋体" w:cs="宋体"/>
                <w:color w:val="auto"/>
                <w:kern w:val="0"/>
                <w:sz w:val="24"/>
                <w:szCs w:val="24"/>
                <w:highlight w:val="none"/>
                <w:lang w:val="en-US" w:eastAsia="zh-CN" w:bidi="ar"/>
              </w:rPr>
              <w:t xml:space="preserve">评标委员会应当要求其在评标现场合理的时间内提供成本构成书面说 </w:t>
            </w:r>
          </w:p>
          <w:p w14:paraId="16B2F0A4">
            <w:pPr>
              <w:keepNext w:val="0"/>
              <w:keepLines w:val="0"/>
              <w:widowControl/>
              <w:suppressLineNumbers w:val="0"/>
              <w:spacing w:before="0" w:beforeAutospacing="0" w:after="0" w:afterAutospacing="0"/>
              <w:ind w:left="0" w:right="0"/>
              <w:jc w:val="left"/>
              <w:rPr>
                <w:rFonts w:hint="default"/>
                <w:color w:val="auto"/>
                <w:szCs w:val="20"/>
                <w:highlight w:val="none"/>
              </w:rPr>
            </w:pPr>
            <w:r>
              <w:rPr>
                <w:rFonts w:hint="eastAsia" w:ascii="宋体" w:hAnsi="宋体" w:eastAsia="宋体" w:cs="宋体"/>
                <w:color w:val="auto"/>
                <w:kern w:val="0"/>
                <w:sz w:val="24"/>
                <w:szCs w:val="24"/>
                <w:highlight w:val="none"/>
                <w:lang w:val="en-US" w:eastAsia="zh-CN" w:bidi="ar"/>
              </w:rPr>
              <w:t>明，并提交相关证明材料。供应商书面说明应当按照国家财务会计制度的规定要求，逐项就供应商提供的货物、工程和服务的成本（应根据供应商企业类型予以区别）、税金及附加、销售费用、管理费用、财务费用等成本构成事项详细陈述。</w:t>
            </w:r>
          </w:p>
          <w:p w14:paraId="15230FF0">
            <w:pPr>
              <w:keepNext w:val="0"/>
              <w:keepLines w:val="0"/>
              <w:widowControl/>
              <w:suppressLineNumbers w:val="0"/>
              <w:spacing w:before="0" w:beforeAutospacing="0" w:after="0" w:afterAutospacing="0"/>
              <w:ind w:left="0" w:right="0"/>
              <w:jc w:val="left"/>
              <w:rPr>
                <w:rFonts w:hint="default"/>
                <w:color w:val="auto"/>
                <w:szCs w:val="20"/>
                <w:highlight w:val="none"/>
              </w:rPr>
            </w:pPr>
            <w:r>
              <w:rPr>
                <w:rFonts w:hint="eastAsia" w:ascii="宋体" w:hAnsi="宋体" w:cs="宋体"/>
                <w:color w:val="auto"/>
                <w:kern w:val="0"/>
                <w:sz w:val="24"/>
                <w:szCs w:val="24"/>
                <w:highlight w:val="none"/>
                <w:lang w:val="en-US" w:eastAsia="zh-CN" w:bidi="ar"/>
              </w:rPr>
              <w:t>5</w:t>
            </w:r>
            <w:r>
              <w:rPr>
                <w:rFonts w:hint="eastAsia" w:ascii="宋体" w:hAnsi="宋体" w:eastAsia="宋体" w:cs="宋体"/>
                <w:color w:val="auto"/>
                <w:kern w:val="0"/>
                <w:sz w:val="24"/>
                <w:szCs w:val="24"/>
                <w:highlight w:val="none"/>
                <w:lang w:val="en-US" w:eastAsia="zh-CN" w:bidi="ar"/>
              </w:rPr>
              <w:t xml:space="preserve">、供应商书面说明应当签字确认或者加盖公章，否则无效。书面说 </w:t>
            </w:r>
          </w:p>
          <w:p w14:paraId="35EEFBE6">
            <w:pPr>
              <w:keepNext w:val="0"/>
              <w:keepLines w:val="0"/>
              <w:widowControl/>
              <w:suppressLineNumbers w:val="0"/>
              <w:spacing w:before="0" w:beforeAutospacing="0" w:after="0" w:afterAutospacing="0"/>
              <w:ind w:left="0" w:right="0"/>
              <w:jc w:val="left"/>
              <w:rPr>
                <w:rFonts w:hint="default"/>
                <w:color w:val="auto"/>
                <w:szCs w:val="20"/>
                <w:highlight w:val="none"/>
              </w:rPr>
            </w:pPr>
            <w:r>
              <w:rPr>
                <w:rFonts w:hint="eastAsia" w:ascii="宋体" w:hAnsi="宋体" w:eastAsia="宋体" w:cs="宋体"/>
                <w:color w:val="auto"/>
                <w:kern w:val="0"/>
                <w:sz w:val="24"/>
                <w:szCs w:val="24"/>
                <w:highlight w:val="none"/>
                <w:lang w:val="en-US" w:eastAsia="zh-CN" w:bidi="ar"/>
              </w:rPr>
              <w:t>明的签字确认，供应商为法人的，由其法定代表人或者代理人签字确认；供应商为其他组织的，由其主要负责人或者代理人签字确认；供应商为自然人的，由其本人或者代理人签字确认。</w:t>
            </w:r>
          </w:p>
          <w:p w14:paraId="73BA58C5">
            <w:pPr>
              <w:keepNext w:val="0"/>
              <w:keepLines w:val="0"/>
              <w:widowControl/>
              <w:suppressLineNumbers w:val="0"/>
              <w:spacing w:before="0" w:beforeAutospacing="0" w:after="0" w:afterAutospacing="0"/>
              <w:ind w:left="0" w:right="0"/>
              <w:jc w:val="left"/>
              <w:rPr>
                <w:rFonts w:hint="default"/>
                <w:color w:val="auto"/>
                <w:szCs w:val="20"/>
                <w:highlight w:val="none"/>
              </w:rPr>
            </w:pPr>
            <w:r>
              <w:rPr>
                <w:rFonts w:hint="eastAsia" w:ascii="宋体" w:hAnsi="宋体" w:cs="宋体"/>
                <w:color w:val="auto"/>
                <w:kern w:val="0"/>
                <w:sz w:val="24"/>
                <w:szCs w:val="24"/>
                <w:highlight w:val="none"/>
                <w:lang w:val="en-US" w:eastAsia="zh-CN" w:bidi="ar"/>
              </w:rPr>
              <w:t>6</w:t>
            </w:r>
            <w:r>
              <w:rPr>
                <w:rFonts w:hint="eastAsia" w:ascii="宋体" w:hAnsi="宋体" w:eastAsia="宋体" w:cs="宋体"/>
                <w:color w:val="auto"/>
                <w:kern w:val="0"/>
                <w:sz w:val="24"/>
                <w:szCs w:val="24"/>
                <w:highlight w:val="none"/>
                <w:lang w:val="en-US" w:eastAsia="zh-CN" w:bidi="ar"/>
              </w:rPr>
              <w:t xml:space="preserve">、供应商提供书面说明后，评标委员会应当结合采购项目采购需求、 </w:t>
            </w:r>
          </w:p>
          <w:p w14:paraId="6CCEE970">
            <w:pPr>
              <w:keepNext w:val="0"/>
              <w:keepLines w:val="0"/>
              <w:widowControl/>
              <w:suppressLineNumbers w:val="0"/>
              <w:spacing w:before="0" w:beforeAutospacing="0" w:after="0" w:afterAutospacing="0"/>
              <w:ind w:left="0" w:leftChars="0" w:right="0" w:rightChars="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专业实际情况、供应商提供的书面材料等就供应商书面说明进行审查评价。供应商</w:t>
            </w:r>
            <w:r>
              <w:rPr>
                <w:rFonts w:hint="eastAsia" w:ascii="宋体" w:hAnsi="宋体" w:eastAsia="宋体" w:cs="宋体"/>
                <w:b w:val="0"/>
                <w:bCs w:val="0"/>
                <w:color w:val="auto"/>
                <w:kern w:val="0"/>
                <w:sz w:val="24"/>
                <w:szCs w:val="24"/>
                <w:highlight w:val="none"/>
                <w:lang w:val="en-US" w:eastAsia="zh-CN" w:bidi="ar"/>
              </w:rPr>
              <w:t>拒绝</w:t>
            </w:r>
            <w:r>
              <w:rPr>
                <w:rFonts w:hint="eastAsia" w:ascii="宋体" w:hAnsi="宋体" w:eastAsia="宋体" w:cs="宋体"/>
                <w:color w:val="auto"/>
                <w:kern w:val="0"/>
                <w:sz w:val="24"/>
                <w:szCs w:val="24"/>
                <w:highlight w:val="none"/>
                <w:lang w:val="en-US" w:eastAsia="zh-CN" w:bidi="ar"/>
              </w:rPr>
              <w:t>或者变相拒绝提供有效书面说明或者书面说明不能证明其报价合理性的，评标委员会应当将其投标文件作为</w:t>
            </w:r>
            <w:r>
              <w:rPr>
                <w:rFonts w:hint="eastAsia" w:ascii="宋体" w:hAnsi="宋体" w:eastAsia="宋体" w:cs="宋体"/>
                <w:b/>
                <w:bCs/>
                <w:color w:val="auto"/>
                <w:kern w:val="0"/>
                <w:sz w:val="24"/>
                <w:szCs w:val="24"/>
                <w:highlight w:val="none"/>
                <w:lang w:val="en-US" w:eastAsia="zh-CN" w:bidi="ar"/>
              </w:rPr>
              <w:t>无效处理</w:t>
            </w:r>
            <w:r>
              <w:rPr>
                <w:rFonts w:hint="eastAsia" w:ascii="宋体" w:hAnsi="宋体" w:eastAsia="宋体" w:cs="宋体"/>
                <w:color w:val="auto"/>
                <w:kern w:val="0"/>
                <w:sz w:val="24"/>
                <w:szCs w:val="24"/>
                <w:highlight w:val="none"/>
                <w:lang w:val="en-US" w:eastAsia="zh-CN" w:bidi="ar"/>
              </w:rPr>
              <w:t>。</w:t>
            </w:r>
          </w:p>
          <w:p w14:paraId="24A4E22A">
            <w:pPr>
              <w:keepNext w:val="0"/>
              <w:keepLines w:val="0"/>
              <w:suppressLineNumbers w:val="0"/>
              <w:spacing w:before="0" w:beforeAutospacing="0" w:after="0" w:afterAutospacing="0"/>
              <w:ind w:left="0" w:right="0"/>
              <w:rPr>
                <w:rFonts w:hint="default"/>
                <w:color w:val="auto"/>
                <w:szCs w:val="20"/>
                <w:highlight w:val="none"/>
                <w:lang w:val="en-US" w:eastAsia="zh-CN"/>
              </w:rPr>
            </w:pPr>
            <w:r>
              <w:rPr>
                <w:rFonts w:hint="eastAsia" w:ascii="宋体" w:hAnsi="宋体" w:cs="宋体"/>
                <w:color w:val="auto"/>
                <w:kern w:val="0"/>
                <w:sz w:val="24"/>
                <w:szCs w:val="24"/>
                <w:highlight w:val="none"/>
                <w:lang w:val="en-US" w:eastAsia="zh-CN" w:bidi="ar"/>
              </w:rPr>
              <w:t>7、供应商参与本项目过程中应自行关注新疆政府采购网，项目澄清、更正、投标文件解密、报价确认和询标函等政采云系统会发送提示短信，因自身原因未收到短信未及时回复的</w:t>
            </w:r>
            <w:r>
              <w:rPr>
                <w:rFonts w:hint="eastAsia" w:ascii="宋体" w:hAnsi="宋体" w:eastAsia="宋体" w:cs="宋体"/>
                <w:b w:val="0"/>
                <w:bCs w:val="0"/>
                <w:color w:val="auto"/>
                <w:kern w:val="0"/>
                <w:sz w:val="24"/>
                <w:szCs w:val="24"/>
                <w:highlight w:val="none"/>
              </w:rPr>
              <w:t>造成</w:t>
            </w:r>
            <w:r>
              <w:rPr>
                <w:rFonts w:hint="eastAsia" w:ascii="宋体" w:hAnsi="宋体" w:eastAsia="宋体" w:cs="宋体"/>
                <w:color w:val="auto"/>
                <w:kern w:val="0"/>
                <w:sz w:val="24"/>
                <w:szCs w:val="24"/>
                <w:highlight w:val="none"/>
                <w:lang w:val="en-US" w:eastAsia="zh-CN" w:bidi="ar"/>
              </w:rPr>
              <w:t>其投标被</w:t>
            </w:r>
            <w:r>
              <w:rPr>
                <w:rFonts w:hint="eastAsia" w:ascii="宋体" w:hAnsi="宋体" w:eastAsia="宋体" w:cs="宋体"/>
                <w:b/>
                <w:bCs/>
                <w:color w:val="auto"/>
                <w:kern w:val="0"/>
                <w:sz w:val="24"/>
                <w:szCs w:val="24"/>
                <w:highlight w:val="none"/>
                <w:lang w:val="en-US" w:eastAsia="zh-CN" w:bidi="ar"/>
              </w:rPr>
              <w:t>拒绝</w:t>
            </w:r>
            <w:r>
              <w:rPr>
                <w:rFonts w:hint="eastAsia" w:ascii="宋体" w:hAnsi="宋体" w:eastAsia="宋体" w:cs="宋体"/>
                <w:b w:val="0"/>
                <w:bCs w:val="0"/>
                <w:color w:val="auto"/>
                <w:kern w:val="0"/>
                <w:sz w:val="24"/>
                <w:szCs w:val="24"/>
                <w:highlight w:val="none"/>
              </w:rPr>
              <w:t>等后果由供应商自行承担。</w:t>
            </w:r>
          </w:p>
        </w:tc>
      </w:tr>
    </w:tbl>
    <w:p w14:paraId="5B191576">
      <w:pPr>
        <w:tabs>
          <w:tab w:val="left" w:pos="5527"/>
        </w:tabs>
        <w:outlineLvl w:val="9"/>
        <w:rPr>
          <w:rStyle w:val="40"/>
          <w:rFonts w:hint="eastAsia" w:ascii="宋体" w:hAnsi="宋体" w:eastAsia="宋体" w:cs="宋体"/>
          <w:b/>
          <w:bCs/>
          <w:color w:val="auto"/>
          <w:highlight w:val="none"/>
          <w:lang w:val="en-US" w:eastAsia="zh-CN"/>
        </w:rPr>
      </w:pPr>
      <w:r>
        <w:rPr>
          <w:rStyle w:val="40"/>
          <w:rFonts w:hint="eastAsia" w:ascii="宋体" w:hAnsi="宋体" w:eastAsia="宋体" w:cs="宋体"/>
          <w:b/>
          <w:bCs/>
          <w:color w:val="auto"/>
          <w:highlight w:val="none"/>
          <w:lang w:val="en-US" w:eastAsia="zh-CN"/>
        </w:rPr>
        <w:br w:type="page"/>
      </w:r>
    </w:p>
    <w:p w14:paraId="3AB61A84">
      <w:pPr>
        <w:pStyle w:val="37"/>
        <w:tabs>
          <w:tab w:val="left" w:pos="5527"/>
        </w:tabs>
        <w:spacing w:line="360" w:lineRule="auto"/>
        <w:jc w:val="center"/>
        <w:outlineLvl w:val="1"/>
        <w:rPr>
          <w:rStyle w:val="41"/>
          <w:rFonts w:hint="eastAsia" w:ascii="宋体" w:hAnsi="宋体" w:eastAsia="宋体" w:cs="宋体"/>
          <w:color w:val="auto"/>
          <w:sz w:val="28"/>
          <w:szCs w:val="28"/>
          <w:highlight w:val="none"/>
        </w:rPr>
      </w:pPr>
      <w:bookmarkStart w:id="43" w:name="_Toc2418"/>
      <w:bookmarkStart w:id="44" w:name="_Toc1128"/>
      <w:bookmarkStart w:id="45" w:name="_Toc5318"/>
      <w:bookmarkStart w:id="46" w:name="_Toc6040"/>
      <w:bookmarkStart w:id="47" w:name="_Toc19901"/>
      <w:bookmarkStart w:id="48" w:name="_Toc28762"/>
      <w:r>
        <w:rPr>
          <w:rStyle w:val="40"/>
          <w:rFonts w:hint="eastAsia" w:ascii="宋体" w:hAnsi="宋体" w:eastAsia="宋体" w:cs="宋体"/>
          <w:b/>
          <w:bCs/>
          <w:color w:val="auto"/>
          <w:highlight w:val="none"/>
          <w:lang w:val="en-US" w:eastAsia="zh-CN"/>
        </w:rPr>
        <w:t>供应商须知正文部分</w:t>
      </w:r>
      <w:bookmarkEnd w:id="42"/>
      <w:bookmarkEnd w:id="43"/>
      <w:bookmarkEnd w:id="44"/>
      <w:bookmarkEnd w:id="45"/>
      <w:bookmarkEnd w:id="46"/>
      <w:bookmarkEnd w:id="47"/>
      <w:bookmarkEnd w:id="48"/>
    </w:p>
    <w:p w14:paraId="0C074FBA">
      <w:pPr>
        <w:numPr>
          <w:ilvl w:val="0"/>
          <w:numId w:val="7"/>
        </w:numPr>
        <w:tabs>
          <w:tab w:val="left" w:pos="5527"/>
        </w:tabs>
        <w:bidi w:val="0"/>
        <w:jc w:val="center"/>
        <w:outlineLvl w:val="2"/>
        <w:rPr>
          <w:rFonts w:hint="eastAsia" w:ascii="宋体" w:hAnsi="宋体" w:eastAsia="宋体" w:cs="宋体"/>
          <w:b/>
          <w:bCs/>
          <w:color w:val="auto"/>
          <w:sz w:val="24"/>
          <w:szCs w:val="24"/>
          <w:highlight w:val="none"/>
        </w:rPr>
      </w:pPr>
      <w:bookmarkStart w:id="49" w:name="_Toc21821"/>
      <w:bookmarkStart w:id="50" w:name="_Toc18439"/>
      <w:bookmarkStart w:id="51" w:name="_Toc15356"/>
      <w:bookmarkStart w:id="52" w:name="_Toc27410"/>
      <w:bookmarkStart w:id="53" w:name="_Toc6529"/>
      <w:bookmarkStart w:id="54" w:name="_Toc12052"/>
      <w:bookmarkStart w:id="55" w:name="_Toc19272"/>
      <w:bookmarkStart w:id="56" w:name="_Toc7140"/>
      <w:bookmarkStart w:id="57" w:name="_Toc1706"/>
      <w:bookmarkStart w:id="58" w:name="_Toc23291"/>
      <w:r>
        <w:rPr>
          <w:rFonts w:hint="eastAsia" w:ascii="宋体" w:hAnsi="宋体" w:eastAsia="宋体" w:cs="宋体"/>
          <w:b/>
          <w:bCs/>
          <w:color w:val="auto"/>
          <w:sz w:val="24"/>
          <w:szCs w:val="24"/>
          <w:highlight w:val="none"/>
        </w:rPr>
        <w:t>总  则</w:t>
      </w:r>
      <w:bookmarkEnd w:id="49"/>
      <w:bookmarkEnd w:id="50"/>
      <w:bookmarkEnd w:id="51"/>
      <w:bookmarkEnd w:id="52"/>
      <w:bookmarkEnd w:id="53"/>
      <w:bookmarkEnd w:id="54"/>
      <w:bookmarkEnd w:id="55"/>
      <w:bookmarkEnd w:id="56"/>
      <w:bookmarkEnd w:id="57"/>
      <w:bookmarkEnd w:id="58"/>
    </w:p>
    <w:p w14:paraId="76F93D96">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bookmarkStart w:id="59" w:name="_Toc2677"/>
      <w:bookmarkStart w:id="60" w:name="_Toc20661"/>
      <w:bookmarkStart w:id="61" w:name="_Toc15894"/>
      <w:r>
        <w:rPr>
          <w:rFonts w:hint="eastAsia" w:ascii="宋体" w:hAnsi="宋体" w:eastAsia="宋体" w:cs="宋体"/>
          <w:b/>
          <w:bCs/>
          <w:color w:val="auto"/>
          <w:sz w:val="24"/>
          <w:szCs w:val="24"/>
          <w:highlight w:val="none"/>
        </w:rPr>
        <w:t>1  合格的供应商</w:t>
      </w:r>
      <w:bookmarkEnd w:id="59"/>
      <w:bookmarkEnd w:id="60"/>
      <w:bookmarkEnd w:id="61"/>
    </w:p>
    <w:p w14:paraId="771C1F14">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 供应商参加政府采购活动应当具备下列条件：</w:t>
      </w:r>
    </w:p>
    <w:p w14:paraId="4BE0ED2B">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（一）具有独立承担民事责任的能力；</w:t>
      </w:r>
    </w:p>
    <w:p w14:paraId="4E95DDFA">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（二）具有良好的商业信誉和健全的财务会计制度；</w:t>
      </w:r>
    </w:p>
    <w:p w14:paraId="26CEFFB7">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（三）具有履行合同所必需的设备和专业技术能力；</w:t>
      </w:r>
    </w:p>
    <w:p w14:paraId="33A16D59">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（四）有依法缴纳税收和社会保障资金的良好记录；</w:t>
      </w:r>
    </w:p>
    <w:p w14:paraId="3A227654">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（五）参加政府采购活动前三年内，在经营活动中没有重大违法记录；</w:t>
      </w:r>
    </w:p>
    <w:p w14:paraId="2A3E8E81">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（六）法律、行政法规规定的其他条件。</w:t>
      </w:r>
    </w:p>
    <w:p w14:paraId="7F99C39F">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 凡参加投标的供应商必须具有履行本</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规定的有关要求的能力，信誉良好。</w:t>
      </w:r>
    </w:p>
    <w:p w14:paraId="74741E7C">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 若采购人员及相关人员与供应商有下列利害关系之一的，应当回避：</w:t>
      </w:r>
    </w:p>
    <w:p w14:paraId="188F5A25">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1.3.1 参加采购活动前3年内与供应商存在劳动关系；</w:t>
      </w:r>
    </w:p>
    <w:p w14:paraId="3CAF453C">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1.3.2 参加采购活动前3年内担任供应商的董事、监事；</w:t>
      </w:r>
    </w:p>
    <w:p w14:paraId="3607D3D6">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1.3.3 参加采购活动前3年内是供应商的控股股东或者实际控制人；</w:t>
      </w:r>
    </w:p>
    <w:p w14:paraId="19E7D6EC">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1.3.4 与供应商的法定代表人或者负责人有夫妻、直系血亲、三代以内旁系血亲或者近姻亲关系；</w:t>
      </w:r>
    </w:p>
    <w:p w14:paraId="79A547DB">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1.3.5 与供应商有其他可能影响政府采购活动公平、公正进行的关系。</w:t>
      </w:r>
    </w:p>
    <w:p w14:paraId="19E83208">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1.3.6 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65512D39">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 采购人或者采购代理机构有下列情形之一的，属于以不合理的条件对供应商实行差别待遇或者歧视待遇：</w:t>
      </w:r>
    </w:p>
    <w:p w14:paraId="37144B9B">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1.4.1 就同一采购项目向供应商提供有差别的项目信息；</w:t>
      </w:r>
    </w:p>
    <w:p w14:paraId="75C6A20E">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1.4.2 设定的资格、技术、商务条件与采购项目的具体特点和实际需要不相适应或者与合同履行无关；</w:t>
      </w:r>
    </w:p>
    <w:p w14:paraId="7B58970B">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1.4.3 采购需求中的技术、服务等要求指向特定供应商、特定产品；</w:t>
      </w:r>
    </w:p>
    <w:p w14:paraId="2924D196">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1.4.4 以特定行政区域或者特定行业的业绩、奖项作为中标</w:t>
      </w:r>
      <w:r>
        <w:rPr>
          <w:rFonts w:hint="eastAsia" w:ascii="宋体" w:hAnsi="宋体" w:eastAsia="宋体" w:cs="宋体"/>
          <w:color w:val="auto"/>
          <w:sz w:val="24"/>
          <w:szCs w:val="24"/>
          <w:highlight w:val="none"/>
          <w:lang w:val="en-US" w:eastAsia="zh-CN"/>
        </w:rPr>
        <w:t>和</w:t>
      </w:r>
      <w:r>
        <w:rPr>
          <w:rFonts w:hint="eastAsia" w:ascii="宋体" w:hAnsi="宋体" w:eastAsia="宋体" w:cs="宋体"/>
          <w:color w:val="auto"/>
          <w:sz w:val="24"/>
          <w:szCs w:val="24"/>
          <w:highlight w:val="none"/>
        </w:rPr>
        <w:t>成交条件；</w:t>
      </w:r>
    </w:p>
    <w:p w14:paraId="5BB3EB80">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1.4.5 对供应商采取不同的资格审查或者评审标准；</w:t>
      </w:r>
    </w:p>
    <w:p w14:paraId="0CDB8444">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1.4.6 限定或者指定特定的专利、商标、品牌或者供应商；</w:t>
      </w:r>
    </w:p>
    <w:p w14:paraId="11CE4B66">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1.4.7 非法限定供应商的所有制形式、组织形式或者所在地；</w:t>
      </w:r>
    </w:p>
    <w:p w14:paraId="1507DF33">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1.4.8 以其他不合理条件限制或者排斥潜在供应商。</w:t>
      </w:r>
    </w:p>
    <w:p w14:paraId="2EB6E788">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 有下列情形之一的，视为供应商串通投标，其投标无效：</w:t>
      </w:r>
    </w:p>
    <w:p w14:paraId="60B67C08">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1.5.1不同供应商的投标文件由同一单位或者个人编制；</w:t>
      </w:r>
    </w:p>
    <w:p w14:paraId="2618FC6C">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1.5.2不同供应商委托同一单位或者个人办理投标事宜；</w:t>
      </w:r>
    </w:p>
    <w:p w14:paraId="2DBA292B">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1.5.3不同供应商的投标文件载明的项目管理成员或者联系人员为同一人；</w:t>
      </w:r>
    </w:p>
    <w:p w14:paraId="151695DC">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1.5.4不同供应商的投标文件异常一致或者投标报价呈规律性差异；</w:t>
      </w:r>
    </w:p>
    <w:p w14:paraId="3510AC61">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1.5.5不同供应商的投标文件相互混装；</w:t>
      </w:r>
    </w:p>
    <w:p w14:paraId="2FE4BDBF">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1.5.6不同供应商的投标保证金从同一单位或者个人的账户转出。</w:t>
      </w:r>
    </w:p>
    <w:p w14:paraId="76004F38">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 xml:space="preserve"> 供应商在本次采购活动中，必须遵循《中华人民共和国政府采购法实施条例》等相关</w:t>
      </w:r>
      <w:r>
        <w:rPr>
          <w:rFonts w:hint="eastAsia" w:ascii="宋体" w:hAnsi="宋体" w:eastAsia="宋体" w:cs="宋体"/>
          <w:color w:val="auto"/>
          <w:sz w:val="24"/>
          <w:szCs w:val="24"/>
          <w:highlight w:val="none"/>
          <w:lang w:eastAsia="zh-CN"/>
        </w:rPr>
        <w:t>法律</w:t>
      </w:r>
      <w:r>
        <w:rPr>
          <w:rFonts w:hint="eastAsia" w:ascii="宋体" w:hAnsi="宋体" w:eastAsia="宋体" w:cs="宋体"/>
          <w:color w:val="auto"/>
          <w:sz w:val="24"/>
          <w:szCs w:val="24"/>
          <w:highlight w:val="none"/>
        </w:rPr>
        <w:t>、法规的规定。</w:t>
      </w:r>
    </w:p>
    <w:p w14:paraId="760B5625">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bookmarkStart w:id="62" w:name="_Toc13508"/>
      <w:bookmarkStart w:id="63" w:name="_Toc21311"/>
      <w:bookmarkStart w:id="64" w:name="_Toc21361"/>
      <w:r>
        <w:rPr>
          <w:rFonts w:hint="eastAsia" w:ascii="宋体" w:hAnsi="宋体" w:eastAsia="宋体" w:cs="宋体"/>
          <w:b/>
          <w:bCs/>
          <w:color w:val="auto"/>
          <w:sz w:val="24"/>
          <w:szCs w:val="24"/>
          <w:highlight w:val="none"/>
        </w:rPr>
        <w:t>2  定义</w:t>
      </w:r>
      <w:bookmarkEnd w:id="62"/>
      <w:bookmarkEnd w:id="63"/>
      <w:bookmarkEnd w:id="64"/>
    </w:p>
    <w:p w14:paraId="601946FE">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2.1“采购人”系指依法进行政府采购的国家机关、事业单位、团体组织。</w:t>
      </w:r>
    </w:p>
    <w:p w14:paraId="0914BA2B">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2.2“采购代理机构”系指具备一定条件，经政府有关部门批准而依法拥有政府采购代理资格的社会中介机构。</w:t>
      </w:r>
    </w:p>
    <w:p w14:paraId="23768F75">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2.3“供应商”系指参加政府采购市场的合法供应</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"https://baike.baidu.com/item/%E4%B8%BB%E4%BD%93/2888766" \t "https://baike.baidu.com/item/%E6%94%BF%E5%BA%9C%E9%87%87%E8%B4%AD%E4%BE%9B%E5%BA%94%E5%95%86/_blank"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主体</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，具体是指向采购人提供货物、工程或者服务的法人、其他组织或者</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"https://baike.baidu.com/item/%E8%87%AA%E7%84%B6%E4%BA%BA/1465" \t "https://baike.baidu.com/item/%E6%94%BF%E5%BA%9C%E9%87%87%E8%B4%AD%E4%BE%9B%E5%BA%94%E5%95%86/_blank"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自然人</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w:t>
      </w:r>
    </w:p>
    <w:p w14:paraId="4F02D362">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2.4</w:t>
      </w:r>
      <w:r>
        <w:rPr>
          <w:rFonts w:hint="eastAsia" w:ascii="宋体" w:hAnsi="宋体" w:eastAsia="宋体" w:cs="宋体"/>
          <w:color w:val="auto"/>
          <w:sz w:val="24"/>
          <w:szCs w:val="24"/>
          <w:highlight w:val="none"/>
          <w:lang w:val="en-US" w:eastAsia="zh-CN"/>
        </w:rPr>
        <w:t>“采购”是指以合同方式有偿取得货物、工程或者服务的行为，包括购买、租赁、委托、雇佣等。</w:t>
      </w:r>
    </w:p>
    <w:p w14:paraId="41C6BA40">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2.5“货物”是指各种形态和种类的物品，包括原材料、燃料、设备、产品等。</w:t>
      </w:r>
    </w:p>
    <w:p w14:paraId="0D7B7E37">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2.6“工程”是指建设工程，包括建筑物和构筑物的新建、改建、扩建、装修、拆除、修缮等。</w:t>
      </w:r>
    </w:p>
    <w:p w14:paraId="0B672A42">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2.7“服务”是指除货物和工程以外的其他政府采购对象，包括政府自身需要的服务和政府向社会公众提供的公共服务。</w:t>
      </w:r>
    </w:p>
    <w:p w14:paraId="6826843D">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公开招标</w:t>
      </w:r>
      <w:r>
        <w:rPr>
          <w:rFonts w:hint="eastAsia" w:ascii="宋体" w:hAnsi="宋体" w:eastAsia="宋体" w:cs="宋体"/>
          <w:color w:val="auto"/>
          <w:sz w:val="24"/>
          <w:szCs w:val="24"/>
          <w:highlight w:val="none"/>
        </w:rPr>
        <w:t>文件”系指由采购人向供应商发出的本采购项目的全部文件（包括修改文件、补充文件、答疑纪要、各种通知和附件等）。</w:t>
      </w:r>
    </w:p>
    <w:p w14:paraId="61B35950">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”系指供应商根据</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提交的所有文件。</w:t>
      </w:r>
    </w:p>
    <w:p w14:paraId="452749E2">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bookmarkStart w:id="65" w:name="_Toc26674"/>
      <w:bookmarkStart w:id="66" w:name="_Toc12273"/>
      <w:bookmarkStart w:id="67" w:name="_Toc9236"/>
      <w:bookmarkStart w:id="68" w:name="_Toc17382"/>
      <w:bookmarkStart w:id="69" w:name="_Toc18640"/>
      <w:bookmarkStart w:id="70" w:name="_Toc4128"/>
      <w:bookmarkStart w:id="71" w:name="_Toc6626"/>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rPr>
        <w:t xml:space="preserve">  采购内容</w:t>
      </w:r>
      <w:bookmarkEnd w:id="65"/>
      <w:bookmarkEnd w:id="66"/>
      <w:bookmarkEnd w:id="67"/>
    </w:p>
    <w:p w14:paraId="3EB4B8F1">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 采购内容</w:t>
      </w:r>
      <w:r>
        <w:rPr>
          <w:rFonts w:hint="eastAsia" w:ascii="宋体" w:hAnsi="宋体" w:eastAsia="宋体" w:cs="宋体"/>
          <w:color w:val="auto"/>
          <w:sz w:val="24"/>
          <w:szCs w:val="24"/>
          <w:highlight w:val="none"/>
          <w:lang w:val="en-US" w:eastAsia="zh-CN"/>
        </w:rPr>
        <w:t>：详见供应商须知前附表。</w:t>
      </w:r>
    </w:p>
    <w:p w14:paraId="68974259">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3.2 </w:t>
      </w:r>
      <w:r>
        <w:rPr>
          <w:rFonts w:hint="eastAsia" w:ascii="宋体" w:hAnsi="宋体" w:eastAsia="宋体" w:cs="宋体"/>
          <w:color w:val="auto"/>
          <w:sz w:val="24"/>
          <w:szCs w:val="24"/>
          <w:highlight w:val="none"/>
        </w:rPr>
        <w:t>采购项目名称、数量、技术规格要求详见第三章；</w:t>
      </w:r>
    </w:p>
    <w:p w14:paraId="08BA1EE0">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 xml:space="preserve"> 在采购活动中的标准按国家现行规定（国际标准、国家标准、部标或行业标准）执行。</w:t>
      </w:r>
    </w:p>
    <w:p w14:paraId="794BE1D4">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4</w:t>
      </w:r>
      <w:r>
        <w:rPr>
          <w:rFonts w:hint="eastAsia" w:ascii="宋体" w:hAnsi="宋体" w:eastAsia="宋体" w:cs="宋体"/>
          <w:b/>
          <w:bCs/>
          <w:color w:val="auto"/>
          <w:sz w:val="24"/>
          <w:szCs w:val="24"/>
          <w:highlight w:val="none"/>
        </w:rPr>
        <w:t xml:space="preserve">  有关说明</w:t>
      </w:r>
    </w:p>
    <w:p w14:paraId="094ED4C8">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规范要求和实际需要的内容，在</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中有漏项，务请在</w:t>
      </w: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中指出，并提供解决方案</w:t>
      </w:r>
      <w:r>
        <w:rPr>
          <w:rFonts w:hint="eastAsia" w:ascii="宋体" w:hAnsi="宋体" w:eastAsia="宋体" w:cs="宋体"/>
          <w:color w:val="auto"/>
          <w:sz w:val="24"/>
          <w:szCs w:val="24"/>
          <w:highlight w:val="none"/>
          <w:lang w:eastAsia="zh-CN"/>
        </w:rPr>
        <w:t>做</w:t>
      </w:r>
      <w:r>
        <w:rPr>
          <w:rFonts w:hint="eastAsia" w:ascii="宋体" w:hAnsi="宋体" w:eastAsia="宋体" w:cs="宋体"/>
          <w:color w:val="auto"/>
          <w:sz w:val="24"/>
          <w:szCs w:val="24"/>
          <w:highlight w:val="none"/>
        </w:rPr>
        <w:t>实质性响应。</w:t>
      </w:r>
    </w:p>
    <w:p w14:paraId="7BFD6B4F">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供应商根据招标文件载明的标的采购项目实际情况，拟在中标后将中标项目的非主体、非关键性工作交由他人完成的，应当在投标文件中载明。</w:t>
      </w:r>
    </w:p>
    <w:p w14:paraId="4DA0FBD2">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 xml:space="preserve"> 供应商应提供该项目技术支持和服务承诺书。</w:t>
      </w:r>
    </w:p>
    <w:p w14:paraId="2F89FB7F">
      <w:pPr>
        <w:keepNext w:val="0"/>
        <w:keepLines w:val="0"/>
        <w:pageBreakBefore w:val="0"/>
        <w:widowControl w:val="0"/>
        <w:tabs>
          <w:tab w:val="left" w:pos="5527"/>
        </w:tabs>
        <w:kinsoku/>
        <w:wordWrap/>
        <w:overflowPunct/>
        <w:topLinePunct w:val="0"/>
        <w:bidi w:val="0"/>
        <w:spacing w:line="348" w:lineRule="auto"/>
        <w:jc w:val="center"/>
        <w:textAlignment w:val="auto"/>
        <w:outlineLvl w:val="2"/>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二、</w:t>
      </w:r>
      <w:bookmarkEnd w:id="68"/>
      <w:bookmarkEnd w:id="69"/>
      <w:bookmarkEnd w:id="70"/>
      <w:bookmarkEnd w:id="71"/>
      <w:r>
        <w:rPr>
          <w:rFonts w:hint="eastAsia" w:ascii="宋体" w:hAnsi="宋体" w:eastAsia="宋体" w:cs="宋体"/>
          <w:b/>
          <w:bCs/>
          <w:color w:val="auto"/>
          <w:sz w:val="24"/>
          <w:szCs w:val="24"/>
          <w:highlight w:val="none"/>
          <w:lang w:eastAsia="zh-CN"/>
        </w:rPr>
        <w:t>公开招标文件</w:t>
      </w:r>
    </w:p>
    <w:p w14:paraId="77B5A6CA">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z w:val="24"/>
          <w:szCs w:val="24"/>
          <w:highlight w:val="none"/>
          <w:lang w:eastAsia="zh-CN"/>
        </w:rPr>
        <w:t>公开招标文件</w:t>
      </w:r>
    </w:p>
    <w:p w14:paraId="34E3A092">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 xml:space="preserve">.1 </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用以阐明所需</w:t>
      </w:r>
      <w:r>
        <w:rPr>
          <w:rFonts w:hint="eastAsia" w:ascii="宋体" w:hAnsi="宋体" w:eastAsia="宋体" w:cs="宋体"/>
          <w:color w:val="auto"/>
          <w:sz w:val="24"/>
          <w:szCs w:val="24"/>
          <w:highlight w:val="none"/>
          <w:lang w:val="en-US" w:eastAsia="zh-CN"/>
        </w:rPr>
        <w:t>货物、工程或者服务</w:t>
      </w:r>
      <w:r>
        <w:rPr>
          <w:rFonts w:hint="eastAsia" w:ascii="宋体" w:hAnsi="宋体" w:eastAsia="宋体" w:cs="宋体"/>
          <w:color w:val="auto"/>
          <w:sz w:val="24"/>
          <w:szCs w:val="24"/>
          <w:highlight w:val="none"/>
        </w:rPr>
        <w:t>采购程序和商务合同主要条款，包括：</w:t>
      </w:r>
    </w:p>
    <w:p w14:paraId="1E5BAEE0">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 xml:space="preserve">第一章 </w:t>
      </w:r>
      <w:r>
        <w:rPr>
          <w:rFonts w:hint="eastAsia" w:ascii="宋体" w:hAnsi="宋体" w:eastAsia="宋体" w:cs="宋体"/>
          <w:b/>
          <w:bCs/>
          <w:color w:val="auto"/>
          <w:sz w:val="24"/>
          <w:szCs w:val="24"/>
          <w:highlight w:val="none"/>
          <w:lang w:eastAsia="zh-CN"/>
        </w:rPr>
        <w:t>公开招标公告</w:t>
      </w:r>
    </w:p>
    <w:p w14:paraId="117B45FE">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第二章 供应商须知</w:t>
      </w:r>
    </w:p>
    <w:p w14:paraId="0BFA2B6B">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供应商须知前附表</w:t>
      </w:r>
    </w:p>
    <w:p w14:paraId="0FF69450">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供应商须知正文部分</w:t>
      </w:r>
    </w:p>
    <w:p w14:paraId="1E1F8AA5">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 xml:space="preserve">第三章 </w:t>
      </w:r>
      <w:r>
        <w:rPr>
          <w:rFonts w:hint="eastAsia" w:ascii="宋体" w:hAnsi="宋体" w:eastAsia="宋体" w:cs="宋体"/>
          <w:b/>
          <w:bCs/>
          <w:color w:val="auto"/>
          <w:sz w:val="24"/>
          <w:szCs w:val="24"/>
          <w:highlight w:val="none"/>
          <w:lang w:val="en-US" w:eastAsia="zh-CN"/>
        </w:rPr>
        <w:t>采购清单</w:t>
      </w:r>
    </w:p>
    <w:p w14:paraId="7F08655D">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第四章</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z w:val="24"/>
          <w:szCs w:val="24"/>
          <w:highlight w:val="none"/>
          <w:lang w:eastAsia="zh-CN"/>
        </w:rPr>
        <w:t>合同（以最终签订合同为准）</w:t>
      </w:r>
    </w:p>
    <w:p w14:paraId="514DD591">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第五章</w:t>
      </w:r>
      <w:r>
        <w:rPr>
          <w:rFonts w:hint="eastAsia" w:ascii="宋体" w:hAnsi="宋体" w:eastAsia="宋体" w:cs="宋体"/>
          <w:b/>
          <w:bCs/>
          <w:color w:val="auto"/>
          <w:sz w:val="24"/>
          <w:szCs w:val="24"/>
          <w:highlight w:val="none"/>
        </w:rPr>
        <w:t xml:space="preserve"> 主要</w:t>
      </w:r>
      <w:r>
        <w:rPr>
          <w:rFonts w:hint="eastAsia" w:ascii="宋体" w:hAnsi="宋体" w:eastAsia="宋体" w:cs="宋体"/>
          <w:b/>
          <w:bCs/>
          <w:color w:val="auto"/>
          <w:sz w:val="24"/>
          <w:szCs w:val="24"/>
          <w:highlight w:val="none"/>
          <w:lang w:val="en-US" w:eastAsia="zh-CN"/>
        </w:rPr>
        <w:t>投标文件</w:t>
      </w:r>
      <w:r>
        <w:rPr>
          <w:rFonts w:hint="eastAsia" w:ascii="宋体" w:hAnsi="宋体" w:eastAsia="宋体" w:cs="宋体"/>
          <w:b/>
          <w:bCs/>
          <w:color w:val="auto"/>
          <w:sz w:val="24"/>
          <w:szCs w:val="24"/>
          <w:highlight w:val="none"/>
        </w:rPr>
        <w:t>的格式及其内容</w:t>
      </w:r>
    </w:p>
    <w:p w14:paraId="77BF5633">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供应商应认真阅读</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中所有的事项、格式、条款和规范等要求。如果没有按照</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要求提交全部资料或者</w:t>
      </w: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没有对</w:t>
      </w:r>
      <w:r>
        <w:rPr>
          <w:rFonts w:hint="eastAsia" w:ascii="宋体" w:hAnsi="宋体" w:eastAsia="宋体" w:cs="宋体"/>
          <w:color w:val="auto"/>
          <w:sz w:val="24"/>
          <w:szCs w:val="24"/>
          <w:highlight w:val="none"/>
          <w:lang w:eastAsia="zh-CN"/>
        </w:rPr>
        <w:t>公开招标文件作出</w:t>
      </w:r>
      <w:r>
        <w:rPr>
          <w:rFonts w:hint="eastAsia" w:ascii="宋体" w:hAnsi="宋体" w:eastAsia="宋体" w:cs="宋体"/>
          <w:color w:val="auto"/>
          <w:sz w:val="24"/>
          <w:szCs w:val="24"/>
          <w:highlight w:val="none"/>
        </w:rPr>
        <w:t>实质性响应，其</w:t>
      </w: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可能被拒绝。</w:t>
      </w:r>
    </w:p>
    <w:p w14:paraId="59DD5C63">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bookmarkStart w:id="72" w:name="_Toc4140"/>
      <w:bookmarkStart w:id="73" w:name="_Toc8777"/>
      <w:bookmarkStart w:id="74" w:name="_Toc29841"/>
      <w:bookmarkStart w:id="75" w:name="_Toc4805"/>
      <w:bookmarkStart w:id="76" w:name="_Toc7406"/>
      <w:bookmarkStart w:id="77" w:name="_Toc13169"/>
      <w:bookmarkStart w:id="78" w:name="_Toc3540"/>
      <w:bookmarkStart w:id="79" w:name="_Toc32526"/>
      <w:bookmarkStart w:id="80" w:name="_Toc26361"/>
      <w:bookmarkStart w:id="81" w:name="_Toc5967"/>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z w:val="24"/>
          <w:szCs w:val="24"/>
          <w:highlight w:val="none"/>
          <w:lang w:eastAsia="zh-CN"/>
        </w:rPr>
        <w:t>公开招标文件</w:t>
      </w:r>
      <w:r>
        <w:rPr>
          <w:rFonts w:hint="eastAsia" w:ascii="宋体" w:hAnsi="宋体" w:eastAsia="宋体" w:cs="宋体"/>
          <w:b/>
          <w:bCs/>
          <w:color w:val="auto"/>
          <w:sz w:val="24"/>
          <w:szCs w:val="24"/>
          <w:highlight w:val="none"/>
        </w:rPr>
        <w:t>的澄清</w:t>
      </w:r>
    </w:p>
    <w:p w14:paraId="6B1E5982">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.1 采购人或者采购代理机构可以对已发出的</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资格预审文件、投标邀请书</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进行必要的澄清或者修改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但不得改变采购标的和资格条件。澄清或者修改应当在原公告发布媒体上发布澄清公告。澄清或者修改的内容为</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资格预审文件、投标邀请书</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的组成部分。</w:t>
      </w:r>
    </w:p>
    <w:p w14:paraId="0E35BAC8">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注意：《招标文件》的澄清或修改将以发布澄清或变更公告为准（同招标公告发布网站），所有投标供应商应关注网站及时查看，采购人或采购代理机构不再进行书面或其他形式通知，未及时查看变更或澄清公告并由此导致的一切后果均由投标供应商自行承担，采购人、采购代理机构不承担任何责任。</w:t>
      </w:r>
    </w:p>
    <w:p w14:paraId="4B5D5367">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p>
    <w:p w14:paraId="14720DA8">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6.2 </w:t>
      </w:r>
      <w:r>
        <w:rPr>
          <w:rFonts w:hint="eastAsia" w:ascii="宋体" w:hAnsi="宋体" w:eastAsia="宋体" w:cs="宋体"/>
          <w:color w:val="auto"/>
          <w:sz w:val="24"/>
          <w:szCs w:val="24"/>
          <w:highlight w:val="none"/>
        </w:rPr>
        <w:t>澄清或者修改的内容可能影响</w:t>
      </w: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编制的，采购人或者采购代理机构应当在投标截止时间至少</w:t>
      </w:r>
      <w:r>
        <w:rPr>
          <w:rFonts w:hint="eastAsia" w:ascii="宋体" w:hAnsi="宋体" w:cs="宋体"/>
          <w:color w:val="auto"/>
          <w:sz w:val="24"/>
          <w:szCs w:val="24"/>
          <w:highlight w:val="none"/>
          <w:lang w:val="en-US" w:eastAsia="zh-CN"/>
        </w:rPr>
        <w:t>15</w:t>
      </w:r>
      <w:r>
        <w:rPr>
          <w:rFonts w:hint="eastAsia" w:ascii="宋体" w:hAnsi="宋体" w:eastAsia="宋体" w:cs="宋体"/>
          <w:color w:val="auto"/>
          <w:sz w:val="24"/>
          <w:szCs w:val="24"/>
          <w:highlight w:val="none"/>
        </w:rPr>
        <w:t>日前，以书面形式通知所有获取</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的潜在供应商；不</w:t>
      </w:r>
      <w:r>
        <w:rPr>
          <w:rFonts w:hint="eastAsia" w:ascii="宋体" w:hAnsi="宋体" w:cs="宋体"/>
          <w:color w:val="auto"/>
          <w:sz w:val="24"/>
          <w:szCs w:val="24"/>
          <w:highlight w:val="none"/>
          <w:lang w:val="en-US" w:eastAsia="zh-CN"/>
        </w:rPr>
        <w:t>15</w:t>
      </w:r>
      <w:r>
        <w:rPr>
          <w:rFonts w:hint="eastAsia" w:ascii="宋体" w:hAnsi="宋体" w:eastAsia="宋体" w:cs="宋体"/>
          <w:color w:val="auto"/>
          <w:sz w:val="24"/>
          <w:szCs w:val="24"/>
          <w:highlight w:val="none"/>
        </w:rPr>
        <w:t>日的，采购人或者采购代理机构可顺延提交</w:t>
      </w: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的截止时间。</w:t>
      </w:r>
    </w:p>
    <w:p w14:paraId="1F91AC6B">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6.3请投标供应商严格执行《政府采购质疑和投诉办法》—财政部令第94号第十条规定、第十一条规定，投标供应商如未按法定时间对《招标文件》（含《招标文件》附件、答疑及其他资料等）提交书面质疑的，视为完全接受和理解《招标文件》（含《招标文件》附件、答疑及其他资料等）所有内容，项目开标后投标供应商对《招标文件》（含《招标文件》附件、答疑及其他资料等）所有内容，提出质疑、异议的，采购人及采购代理机构不予接受、不予解释及回复。</w:t>
      </w:r>
    </w:p>
    <w:p w14:paraId="2B522DE4">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7</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z w:val="24"/>
          <w:szCs w:val="24"/>
          <w:highlight w:val="none"/>
          <w:lang w:eastAsia="zh-CN"/>
        </w:rPr>
        <w:t>公开招标文件</w:t>
      </w:r>
      <w:r>
        <w:rPr>
          <w:rFonts w:hint="eastAsia" w:ascii="宋体" w:hAnsi="宋体" w:eastAsia="宋体" w:cs="宋体"/>
          <w:b/>
          <w:bCs/>
          <w:color w:val="auto"/>
          <w:sz w:val="24"/>
          <w:szCs w:val="24"/>
          <w:highlight w:val="none"/>
        </w:rPr>
        <w:t>的修改</w:t>
      </w:r>
    </w:p>
    <w:p w14:paraId="2BCEE812">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.1 采购人可以视采购具体情况，延长投标截止时间和开标时间，但至少应当在</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要求提交</w:t>
      </w: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的截止时间</w:t>
      </w:r>
      <w:r>
        <w:rPr>
          <w:rFonts w:hint="eastAsia" w:ascii="宋体" w:hAnsi="宋体" w:cs="宋体"/>
          <w:color w:val="auto"/>
          <w:sz w:val="24"/>
          <w:szCs w:val="24"/>
          <w:highlight w:val="none"/>
          <w:lang w:val="en-US" w:eastAsia="zh-CN"/>
        </w:rPr>
        <w:t>15</w:t>
      </w:r>
      <w:r>
        <w:rPr>
          <w:rFonts w:hint="eastAsia" w:ascii="宋体" w:hAnsi="宋体" w:eastAsia="宋体" w:cs="宋体"/>
          <w:color w:val="auto"/>
          <w:sz w:val="24"/>
          <w:szCs w:val="24"/>
          <w:highlight w:val="none"/>
        </w:rPr>
        <w:t>日前，将变更时间书面通知所有</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收受人，并在财政部门指定的政府采购信息发布媒体上发布变更公告。</w:t>
      </w:r>
    </w:p>
    <w:p w14:paraId="571B7153">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 xml:space="preserve">.2 </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的修改将以书面通知所有</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收受人，并对供应商具有约束力。</w:t>
      </w:r>
    </w:p>
    <w:p w14:paraId="72DEBE4C">
      <w:pPr>
        <w:keepNext w:val="0"/>
        <w:keepLines w:val="0"/>
        <w:pageBreakBefore w:val="0"/>
        <w:widowControl w:val="0"/>
        <w:tabs>
          <w:tab w:val="left" w:pos="5527"/>
        </w:tabs>
        <w:kinsoku/>
        <w:wordWrap/>
        <w:overflowPunct/>
        <w:topLinePunct w:val="0"/>
        <w:bidi w:val="0"/>
        <w:spacing w:line="348" w:lineRule="auto"/>
        <w:jc w:val="center"/>
        <w:textAlignment w:val="auto"/>
        <w:outlineLvl w:val="2"/>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三、 </w:t>
      </w:r>
      <w:bookmarkEnd w:id="72"/>
      <w:bookmarkEnd w:id="73"/>
      <w:bookmarkEnd w:id="74"/>
      <w:bookmarkEnd w:id="75"/>
      <w:bookmarkEnd w:id="76"/>
      <w:bookmarkEnd w:id="77"/>
      <w:r>
        <w:rPr>
          <w:rFonts w:hint="eastAsia" w:ascii="宋体" w:hAnsi="宋体" w:eastAsia="宋体" w:cs="宋体"/>
          <w:b/>
          <w:bCs/>
          <w:color w:val="auto"/>
          <w:sz w:val="24"/>
          <w:szCs w:val="24"/>
          <w:highlight w:val="none"/>
          <w:lang w:val="en-US" w:eastAsia="zh-CN"/>
        </w:rPr>
        <w:t>投标</w:t>
      </w:r>
      <w:r>
        <w:rPr>
          <w:rFonts w:hint="eastAsia" w:ascii="宋体" w:hAnsi="宋体" w:eastAsia="宋体" w:cs="宋体"/>
          <w:b/>
          <w:bCs/>
          <w:color w:val="auto"/>
          <w:sz w:val="24"/>
          <w:szCs w:val="24"/>
          <w:highlight w:val="none"/>
        </w:rPr>
        <w:t>文件的编制</w:t>
      </w:r>
      <w:bookmarkEnd w:id="78"/>
      <w:bookmarkEnd w:id="79"/>
      <w:bookmarkEnd w:id="80"/>
      <w:bookmarkEnd w:id="81"/>
    </w:p>
    <w:p w14:paraId="3A5DD73F">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8</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z w:val="24"/>
          <w:szCs w:val="24"/>
          <w:highlight w:val="none"/>
          <w:lang w:val="en-US" w:eastAsia="zh-CN"/>
        </w:rPr>
        <w:t>投标文件</w:t>
      </w:r>
      <w:r>
        <w:rPr>
          <w:rFonts w:hint="eastAsia" w:ascii="宋体" w:hAnsi="宋体" w:eastAsia="宋体" w:cs="宋体"/>
          <w:b/>
          <w:bCs/>
          <w:color w:val="auto"/>
          <w:sz w:val="24"/>
          <w:szCs w:val="24"/>
          <w:highlight w:val="none"/>
        </w:rPr>
        <w:t>的编写</w:t>
      </w:r>
    </w:p>
    <w:p w14:paraId="6017718E">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.1 供应商应仔细阅读</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了解</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的要求。在充分理解</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、技术规范及标准、项目采购需求、合同文本（主要内容）后编制</w:t>
      </w: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w:t>
      </w:r>
    </w:p>
    <w:p w14:paraId="1A3EDB2B">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.2 投标供应商编制电子</w:t>
      </w: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可参考《政府采购项目电子交易管理操作指南</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供应商》，在政采云《帮助文档》下载。</w:t>
      </w:r>
    </w:p>
    <w:p w14:paraId="5E4DBAD7">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 xml:space="preserve">.3 </w:t>
      </w: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中需要分别对资格审查要求、符合性审查要求、开标一览表、</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逐一关联响应。</w:t>
      </w:r>
    </w:p>
    <w:p w14:paraId="7DDD3245">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9</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z w:val="24"/>
          <w:szCs w:val="24"/>
          <w:highlight w:val="none"/>
          <w:lang w:eastAsia="zh-CN"/>
        </w:rPr>
        <w:t>投标文件</w:t>
      </w:r>
      <w:r>
        <w:rPr>
          <w:rFonts w:hint="eastAsia" w:ascii="宋体" w:hAnsi="宋体" w:eastAsia="宋体" w:cs="宋体"/>
          <w:b/>
          <w:bCs/>
          <w:color w:val="auto"/>
          <w:sz w:val="24"/>
          <w:szCs w:val="24"/>
          <w:highlight w:val="none"/>
        </w:rPr>
        <w:t>的语言及计量单位</w:t>
      </w:r>
    </w:p>
    <w:p w14:paraId="01669C1E">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 xml:space="preserve">.1 </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以及供应商和采购人及采购代理机构就有关采购活动的所有文件和来往函件，应以中文书写。供应商可以提交用其他语言（原文）打印的资料，但必须翻译成中文，当原文和译文（中文）之间存有差异和/或矛盾时，以中文为准。</w:t>
      </w:r>
    </w:p>
    <w:p w14:paraId="077F763C">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 xml:space="preserve">.2 </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中所使用的计量单位除</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中有特殊规定外，一律使用法定计量单位。</w:t>
      </w:r>
    </w:p>
    <w:p w14:paraId="4AA08064">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0</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z w:val="24"/>
          <w:szCs w:val="24"/>
          <w:highlight w:val="none"/>
          <w:lang w:eastAsia="zh-CN"/>
        </w:rPr>
        <w:t>投标文件</w:t>
      </w:r>
      <w:r>
        <w:rPr>
          <w:rFonts w:hint="eastAsia" w:ascii="宋体" w:hAnsi="宋体" w:eastAsia="宋体" w:cs="宋体"/>
          <w:b/>
          <w:bCs/>
          <w:color w:val="auto"/>
          <w:sz w:val="24"/>
          <w:szCs w:val="24"/>
          <w:highlight w:val="none"/>
        </w:rPr>
        <w:t>构成</w:t>
      </w:r>
    </w:p>
    <w:p w14:paraId="1298BFFD">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供应商编写的</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应按下列顺序及内容提供:</w:t>
      </w:r>
    </w:p>
    <w:p w14:paraId="1A465EC5">
      <w:pPr>
        <w:keepNext w:val="0"/>
        <w:keepLines w:val="0"/>
        <w:pageBreakBefore w:val="0"/>
        <w:widowControl w:val="0"/>
        <w:tabs>
          <w:tab w:val="left" w:pos="5527"/>
        </w:tabs>
        <w:kinsoku/>
        <w:wordWrap/>
        <w:overflowPunct/>
        <w:topLinePunct w:val="0"/>
        <w:autoSpaceDE/>
        <w:autoSpaceDN/>
        <w:bidi w:val="0"/>
        <w:adjustRightInd/>
        <w:snapToGrid/>
        <w:spacing w:line="360" w:lineRule="auto"/>
        <w:ind w:leftChars="0" w:firstLine="0" w:firstLineChars="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（1）投标函（详见</w:t>
      </w:r>
      <w:r>
        <w:rPr>
          <w:rFonts w:hint="eastAsia" w:ascii="宋体" w:hAnsi="宋体" w:eastAsia="宋体" w:cs="宋体"/>
          <w:b/>
          <w:bCs/>
          <w:color w:val="auto"/>
          <w:sz w:val="24"/>
          <w:szCs w:val="24"/>
          <w:highlight w:val="none"/>
          <w:lang w:val="en-US" w:eastAsia="zh-CN"/>
        </w:rPr>
        <w:t>附件</w:t>
      </w:r>
      <w:r>
        <w:rPr>
          <w:rFonts w:hint="eastAsia" w:ascii="宋体" w:hAnsi="宋体" w:eastAsia="宋体" w:cs="宋体"/>
          <w:b/>
          <w:bCs/>
          <w:color w:val="auto"/>
          <w:sz w:val="24"/>
          <w:szCs w:val="24"/>
          <w:highlight w:val="none"/>
        </w:rPr>
        <w:t>1）；</w:t>
      </w:r>
    </w:p>
    <w:p w14:paraId="29231F88">
      <w:pPr>
        <w:keepNext w:val="0"/>
        <w:keepLines w:val="0"/>
        <w:pageBreakBefore w:val="0"/>
        <w:widowControl w:val="0"/>
        <w:tabs>
          <w:tab w:val="left" w:pos="5527"/>
        </w:tabs>
        <w:kinsoku/>
        <w:wordWrap/>
        <w:overflowPunct/>
        <w:topLinePunct w:val="0"/>
        <w:autoSpaceDE/>
        <w:autoSpaceDN/>
        <w:bidi w:val="0"/>
        <w:adjustRightInd/>
        <w:snapToGrid/>
        <w:spacing w:line="360" w:lineRule="auto"/>
        <w:ind w:leftChars="0" w:firstLine="0" w:firstLineChars="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（2）法定代表人资格证明及授权委托书（详见</w:t>
      </w:r>
      <w:r>
        <w:rPr>
          <w:rFonts w:hint="eastAsia" w:ascii="宋体" w:hAnsi="宋体" w:eastAsia="宋体" w:cs="宋体"/>
          <w:b/>
          <w:bCs/>
          <w:color w:val="auto"/>
          <w:sz w:val="24"/>
          <w:szCs w:val="24"/>
          <w:highlight w:val="none"/>
          <w:lang w:val="en-US" w:eastAsia="zh-CN"/>
        </w:rPr>
        <w:t>附件</w:t>
      </w:r>
      <w:r>
        <w:rPr>
          <w:rFonts w:hint="eastAsia" w:ascii="宋体" w:hAnsi="宋体" w:eastAsia="宋体" w:cs="宋体"/>
          <w:b/>
          <w:bCs/>
          <w:color w:val="auto"/>
          <w:sz w:val="24"/>
          <w:szCs w:val="24"/>
          <w:highlight w:val="none"/>
        </w:rPr>
        <w:t>2）；</w:t>
      </w:r>
    </w:p>
    <w:p w14:paraId="21187D0F">
      <w:pPr>
        <w:keepNext w:val="0"/>
        <w:keepLines w:val="0"/>
        <w:pageBreakBefore w:val="0"/>
        <w:widowControl w:val="0"/>
        <w:tabs>
          <w:tab w:val="left" w:pos="5527"/>
        </w:tabs>
        <w:kinsoku/>
        <w:wordWrap/>
        <w:overflowPunct/>
        <w:topLinePunct w:val="0"/>
        <w:autoSpaceDE/>
        <w:autoSpaceDN/>
        <w:bidi w:val="0"/>
        <w:adjustRightInd/>
        <w:snapToGrid/>
        <w:spacing w:line="360" w:lineRule="auto"/>
        <w:ind w:leftChars="0" w:firstLine="0" w:firstLineChars="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（3）报价</w:t>
      </w:r>
      <w:r>
        <w:rPr>
          <w:rFonts w:hint="eastAsia" w:ascii="宋体" w:hAnsi="宋体" w:eastAsia="宋体" w:cs="宋体"/>
          <w:b/>
          <w:bCs/>
          <w:color w:val="auto"/>
          <w:sz w:val="24"/>
          <w:szCs w:val="24"/>
          <w:highlight w:val="none"/>
          <w:lang w:eastAsia="zh-CN"/>
        </w:rPr>
        <w:t>一览表</w:t>
      </w:r>
      <w:r>
        <w:rPr>
          <w:rFonts w:hint="eastAsia" w:ascii="宋体" w:hAnsi="宋体" w:eastAsia="宋体" w:cs="宋体"/>
          <w:b/>
          <w:bCs/>
          <w:color w:val="auto"/>
          <w:sz w:val="24"/>
          <w:szCs w:val="24"/>
          <w:highlight w:val="none"/>
        </w:rPr>
        <w:t>（详见</w:t>
      </w:r>
      <w:r>
        <w:rPr>
          <w:rFonts w:hint="eastAsia" w:ascii="宋体" w:hAnsi="宋体" w:eastAsia="宋体" w:cs="宋体"/>
          <w:b/>
          <w:bCs/>
          <w:color w:val="auto"/>
          <w:sz w:val="24"/>
          <w:szCs w:val="24"/>
          <w:highlight w:val="none"/>
          <w:lang w:val="en-US" w:eastAsia="zh-CN"/>
        </w:rPr>
        <w:t>附件</w:t>
      </w:r>
      <w:r>
        <w:rPr>
          <w:rFonts w:hint="eastAsia" w:ascii="宋体" w:hAnsi="宋体" w:eastAsia="宋体" w:cs="宋体"/>
          <w:b/>
          <w:bCs/>
          <w:color w:val="auto"/>
          <w:sz w:val="24"/>
          <w:szCs w:val="24"/>
          <w:highlight w:val="none"/>
        </w:rPr>
        <w:t>3）；</w:t>
      </w:r>
    </w:p>
    <w:p w14:paraId="2F54F714">
      <w:pPr>
        <w:keepNext w:val="0"/>
        <w:keepLines w:val="0"/>
        <w:pageBreakBefore w:val="0"/>
        <w:widowControl w:val="0"/>
        <w:tabs>
          <w:tab w:val="left" w:pos="5527"/>
        </w:tabs>
        <w:kinsoku/>
        <w:wordWrap/>
        <w:overflowPunct/>
        <w:topLinePunct w:val="0"/>
        <w:autoSpaceDE/>
        <w:autoSpaceDN/>
        <w:bidi w:val="0"/>
        <w:adjustRightInd/>
        <w:snapToGrid/>
        <w:spacing w:line="360" w:lineRule="auto"/>
        <w:ind w:leftChars="0" w:firstLine="0" w:firstLineChars="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（4）供应商概况表（详见附件4）；</w:t>
      </w:r>
    </w:p>
    <w:p w14:paraId="1A118D05">
      <w:pPr>
        <w:pStyle w:val="14"/>
        <w:keepNext w:val="0"/>
        <w:keepLines w:val="0"/>
        <w:pageBreakBefore w:val="0"/>
        <w:widowControl w:val="0"/>
        <w:tabs>
          <w:tab w:val="left" w:pos="5527"/>
        </w:tabs>
        <w:kinsoku/>
        <w:wordWrap/>
        <w:overflowPunct/>
        <w:topLinePunct w:val="0"/>
        <w:autoSpaceDE/>
        <w:autoSpaceDN/>
        <w:bidi w:val="0"/>
        <w:adjustRightInd/>
        <w:snapToGrid/>
        <w:spacing w:after="0" w:afterLines="0" w:line="360" w:lineRule="auto"/>
        <w:ind w:leftChars="0" w:firstLine="0" w:firstLineChars="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w:t>
      </w:r>
      <w:r>
        <w:rPr>
          <w:rFonts w:hint="eastAsia" w:ascii="宋体" w:hAnsi="宋体" w:eastAsia="宋体" w:cs="宋体"/>
          <w:b/>
          <w:bCs/>
          <w:color w:val="auto"/>
          <w:sz w:val="24"/>
          <w:szCs w:val="24"/>
          <w:highlight w:val="none"/>
          <w:lang w:val="en-US" w:eastAsia="zh-CN"/>
        </w:rPr>
        <w:t>资格证明文件</w:t>
      </w:r>
      <w:r>
        <w:rPr>
          <w:rFonts w:hint="eastAsia" w:ascii="宋体" w:hAnsi="宋体" w:eastAsia="宋体" w:cs="宋体"/>
          <w:b/>
          <w:bCs/>
          <w:color w:val="auto"/>
          <w:sz w:val="24"/>
          <w:szCs w:val="24"/>
          <w:highlight w:val="none"/>
        </w:rPr>
        <w:t>（详见附件</w:t>
      </w: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rPr>
        <w:t>）</w:t>
      </w:r>
    </w:p>
    <w:p w14:paraId="184AC958">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968" w:firstLineChars="400"/>
        <w:jc w:val="left"/>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①有效的的营业执照原件扫描件；</w:t>
      </w:r>
    </w:p>
    <w:p w14:paraId="5050116D">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968" w:firstLineChars="400"/>
        <w:jc w:val="left"/>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②诚信声明（附件5.1）</w:t>
      </w:r>
    </w:p>
    <w:p w14:paraId="6B5FBC7A">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968" w:firstLineChars="400"/>
        <w:jc w:val="left"/>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③财务状况报告，依法缴纳税收和社会保障资金的相关材料（详见附件5.2）</w:t>
      </w:r>
    </w:p>
    <w:p w14:paraId="20156E78">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968" w:firstLineChars="400"/>
        <w:jc w:val="left"/>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④须提供具备履行合同所必需的设备和专业技术能力的证明材料或书面声明；（格式自拟）</w:t>
      </w:r>
    </w:p>
    <w:p w14:paraId="07CEFB1F">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968" w:firstLineChars="400"/>
        <w:jc w:val="left"/>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⑤无重大违法记录的书面声明（详见附件5.3）</w:t>
      </w:r>
    </w:p>
    <w:p w14:paraId="0662ADC5">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968" w:firstLineChars="400"/>
        <w:jc w:val="left"/>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⑥“信用中国”、“中国政府采购网”查询截图</w:t>
      </w:r>
    </w:p>
    <w:p w14:paraId="5B44C6CE">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968" w:firstLineChars="400"/>
        <w:jc w:val="left"/>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⑦投标保证金缴纳证明（详见附件5.4）</w:t>
      </w:r>
    </w:p>
    <w:p w14:paraId="7120B59F">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968" w:firstLineChars="400"/>
        <w:jc w:val="left"/>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⑧主要股东或出资人信息（详见附件5.5）</w:t>
      </w:r>
    </w:p>
    <w:p w14:paraId="51A9E08B">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968" w:firstLineChars="400"/>
        <w:jc w:val="left"/>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⑨其它应提供的资料</w:t>
      </w:r>
    </w:p>
    <w:p w14:paraId="031C672F">
      <w:pPr>
        <w:keepNext w:val="0"/>
        <w:keepLines w:val="0"/>
        <w:pageBreakBefore w:val="0"/>
        <w:widowControl w:val="0"/>
        <w:tabs>
          <w:tab w:val="left" w:pos="5527"/>
        </w:tabs>
        <w:kinsoku/>
        <w:wordWrap/>
        <w:overflowPunct/>
        <w:topLinePunct w:val="0"/>
        <w:autoSpaceDE/>
        <w:autoSpaceDN/>
        <w:bidi w:val="0"/>
        <w:adjustRightInd/>
        <w:snapToGrid/>
        <w:spacing w:line="336" w:lineRule="auto"/>
        <w:jc w:val="left"/>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“重法纪、讲诚信”承诺书</w:t>
      </w:r>
      <w:r>
        <w:rPr>
          <w:rFonts w:hint="eastAsia" w:ascii="宋体" w:hAnsi="宋体" w:eastAsia="宋体" w:cs="宋体"/>
          <w:b/>
          <w:bCs/>
          <w:color w:val="auto"/>
          <w:sz w:val="24"/>
          <w:szCs w:val="24"/>
          <w:highlight w:val="none"/>
        </w:rPr>
        <w:t>（详见附件</w:t>
      </w:r>
      <w:r>
        <w:rPr>
          <w:rFonts w:hint="eastAsia" w:ascii="宋体" w:hAnsi="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w:t>
      </w:r>
    </w:p>
    <w:p w14:paraId="557B0913">
      <w:pPr>
        <w:pStyle w:val="14"/>
        <w:keepNext w:val="0"/>
        <w:keepLines w:val="0"/>
        <w:pageBreakBefore w:val="0"/>
        <w:widowControl w:val="0"/>
        <w:tabs>
          <w:tab w:val="left" w:pos="5527"/>
        </w:tabs>
        <w:kinsoku/>
        <w:wordWrap/>
        <w:overflowPunct/>
        <w:topLinePunct w:val="0"/>
        <w:autoSpaceDE/>
        <w:autoSpaceDN/>
        <w:bidi w:val="0"/>
        <w:adjustRightInd/>
        <w:snapToGrid/>
        <w:spacing w:after="0" w:afterLines="0" w:line="360" w:lineRule="auto"/>
        <w:ind w:leftChars="0" w:firstLine="0" w:firstLineChars="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eastAsia="zh-CN"/>
        </w:rPr>
        <w:t>（</w:t>
      </w:r>
      <w:r>
        <w:rPr>
          <w:rFonts w:hint="eastAsia" w:ascii="宋体" w:hAnsi="宋体" w:cs="宋体"/>
          <w:b/>
          <w:bCs/>
          <w:color w:val="auto"/>
          <w:sz w:val="24"/>
          <w:szCs w:val="24"/>
          <w:highlight w:val="none"/>
          <w:lang w:val="en-US" w:eastAsia="zh-CN"/>
        </w:rPr>
        <w:t>7</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反商业贿赂承诺书</w:t>
      </w:r>
      <w:r>
        <w:rPr>
          <w:rFonts w:hint="eastAsia" w:ascii="宋体" w:hAnsi="宋体" w:eastAsia="宋体" w:cs="宋体"/>
          <w:b/>
          <w:bCs/>
          <w:color w:val="auto"/>
          <w:sz w:val="24"/>
          <w:szCs w:val="24"/>
          <w:highlight w:val="none"/>
        </w:rPr>
        <w:t>（详见附件</w:t>
      </w:r>
      <w:r>
        <w:rPr>
          <w:rFonts w:hint="eastAsia" w:ascii="宋体" w:hAnsi="宋体" w:cs="宋体"/>
          <w:b/>
          <w:bCs/>
          <w:color w:val="auto"/>
          <w:sz w:val="24"/>
          <w:szCs w:val="24"/>
          <w:highlight w:val="none"/>
          <w:lang w:val="en-US" w:eastAsia="zh-CN"/>
        </w:rPr>
        <w:t>7</w:t>
      </w:r>
      <w:r>
        <w:rPr>
          <w:rFonts w:hint="eastAsia" w:ascii="宋体" w:hAnsi="宋体" w:eastAsia="宋体" w:cs="宋体"/>
          <w:b/>
          <w:bCs/>
          <w:color w:val="auto"/>
          <w:sz w:val="24"/>
          <w:szCs w:val="24"/>
          <w:highlight w:val="none"/>
        </w:rPr>
        <w:t>）</w:t>
      </w:r>
    </w:p>
    <w:p w14:paraId="167971CC">
      <w:pPr>
        <w:pStyle w:val="14"/>
        <w:keepNext w:val="0"/>
        <w:keepLines w:val="0"/>
        <w:pageBreakBefore w:val="0"/>
        <w:widowControl w:val="0"/>
        <w:tabs>
          <w:tab w:val="left" w:pos="5527"/>
        </w:tabs>
        <w:kinsoku/>
        <w:wordWrap/>
        <w:overflowPunct/>
        <w:topLinePunct w:val="0"/>
        <w:autoSpaceDE/>
        <w:autoSpaceDN/>
        <w:bidi w:val="0"/>
        <w:adjustRightInd/>
        <w:snapToGrid/>
        <w:spacing w:after="0" w:afterLines="0" w:line="360" w:lineRule="auto"/>
        <w:ind w:leftChars="0" w:firstLine="0" w:firstLineChars="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eastAsia="zh-CN"/>
        </w:rPr>
        <w:t>（</w:t>
      </w:r>
      <w:r>
        <w:rPr>
          <w:rFonts w:hint="eastAsia" w:ascii="宋体" w:hAnsi="宋体" w:cs="宋体"/>
          <w:b/>
          <w:bCs/>
          <w:color w:val="auto"/>
          <w:sz w:val="24"/>
          <w:szCs w:val="24"/>
          <w:highlight w:val="none"/>
          <w:lang w:val="en-US" w:eastAsia="zh-CN"/>
        </w:rPr>
        <w:t>8</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商务条款偏离表</w:t>
      </w:r>
      <w:r>
        <w:rPr>
          <w:rFonts w:hint="eastAsia" w:ascii="宋体" w:hAnsi="宋体" w:eastAsia="宋体" w:cs="宋体"/>
          <w:b/>
          <w:bCs/>
          <w:color w:val="auto"/>
          <w:sz w:val="24"/>
          <w:szCs w:val="24"/>
          <w:highlight w:val="none"/>
        </w:rPr>
        <w:t>（详见附件</w:t>
      </w:r>
      <w:r>
        <w:rPr>
          <w:rFonts w:hint="eastAsia" w:ascii="宋体" w:hAnsi="宋体" w:cs="宋体"/>
          <w:b/>
          <w:bCs/>
          <w:color w:val="auto"/>
          <w:sz w:val="24"/>
          <w:szCs w:val="24"/>
          <w:highlight w:val="none"/>
          <w:lang w:val="en-US" w:eastAsia="zh-CN"/>
        </w:rPr>
        <w:t>8</w:t>
      </w:r>
      <w:r>
        <w:rPr>
          <w:rFonts w:hint="eastAsia" w:ascii="宋体" w:hAnsi="宋体" w:eastAsia="宋体" w:cs="宋体"/>
          <w:b/>
          <w:bCs/>
          <w:color w:val="auto"/>
          <w:sz w:val="24"/>
          <w:szCs w:val="24"/>
          <w:highlight w:val="none"/>
        </w:rPr>
        <w:t>）</w:t>
      </w:r>
    </w:p>
    <w:p w14:paraId="4201ACF6">
      <w:pPr>
        <w:pStyle w:val="14"/>
        <w:keepNext w:val="0"/>
        <w:keepLines w:val="0"/>
        <w:pageBreakBefore w:val="0"/>
        <w:widowControl w:val="0"/>
        <w:tabs>
          <w:tab w:val="left" w:pos="5527"/>
        </w:tabs>
        <w:kinsoku/>
        <w:wordWrap/>
        <w:overflowPunct/>
        <w:topLinePunct w:val="0"/>
        <w:autoSpaceDE/>
        <w:autoSpaceDN/>
        <w:bidi w:val="0"/>
        <w:adjustRightInd/>
        <w:snapToGrid/>
        <w:spacing w:after="0" w:afterLines="0" w:line="360" w:lineRule="auto"/>
        <w:ind w:leftChars="0" w:firstLine="0" w:firstLineChars="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eastAsia="zh-CN"/>
        </w:rPr>
        <w:t>（</w:t>
      </w:r>
      <w:r>
        <w:rPr>
          <w:rFonts w:hint="eastAsia" w:ascii="宋体" w:hAnsi="宋体" w:cs="宋体"/>
          <w:b/>
          <w:bCs/>
          <w:color w:val="auto"/>
          <w:sz w:val="24"/>
          <w:szCs w:val="24"/>
          <w:highlight w:val="none"/>
          <w:lang w:val="en-US" w:eastAsia="zh-CN"/>
        </w:rPr>
        <w:t>9</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技术规格偏离表</w:t>
      </w:r>
      <w:r>
        <w:rPr>
          <w:rFonts w:hint="eastAsia" w:ascii="宋体" w:hAnsi="宋体" w:eastAsia="宋体" w:cs="宋体"/>
          <w:b/>
          <w:bCs/>
          <w:color w:val="auto"/>
          <w:sz w:val="24"/>
          <w:szCs w:val="24"/>
          <w:highlight w:val="none"/>
        </w:rPr>
        <w:t>（详见附件</w:t>
      </w:r>
      <w:r>
        <w:rPr>
          <w:rFonts w:hint="eastAsia" w:ascii="宋体" w:hAnsi="宋体" w:eastAsia="宋体" w:cs="宋体"/>
          <w:b/>
          <w:bCs/>
          <w:color w:val="auto"/>
          <w:sz w:val="24"/>
          <w:szCs w:val="24"/>
          <w:highlight w:val="none"/>
          <w:lang w:val="en-US" w:eastAsia="zh-CN"/>
        </w:rPr>
        <w:t>9</w:t>
      </w:r>
      <w:r>
        <w:rPr>
          <w:rFonts w:hint="eastAsia" w:ascii="宋体" w:hAnsi="宋体" w:eastAsia="宋体" w:cs="宋体"/>
          <w:b/>
          <w:bCs/>
          <w:color w:val="auto"/>
          <w:sz w:val="24"/>
          <w:szCs w:val="24"/>
          <w:highlight w:val="none"/>
        </w:rPr>
        <w:t>）</w:t>
      </w:r>
    </w:p>
    <w:p w14:paraId="37E8DC70">
      <w:pPr>
        <w:pStyle w:val="14"/>
        <w:keepNext w:val="0"/>
        <w:keepLines w:val="0"/>
        <w:pageBreakBefore w:val="0"/>
        <w:widowControl w:val="0"/>
        <w:tabs>
          <w:tab w:val="left" w:pos="5527"/>
        </w:tabs>
        <w:kinsoku/>
        <w:wordWrap/>
        <w:overflowPunct/>
        <w:topLinePunct w:val="0"/>
        <w:autoSpaceDE/>
        <w:autoSpaceDN/>
        <w:bidi w:val="0"/>
        <w:adjustRightInd/>
        <w:snapToGrid/>
        <w:spacing w:after="0" w:afterLines="0" w:line="360" w:lineRule="auto"/>
        <w:ind w:leftChars="0" w:firstLine="0" w:firstLineChars="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1</w:t>
      </w:r>
      <w:r>
        <w:rPr>
          <w:rFonts w:hint="eastAsia" w:ascii="宋体" w:hAnsi="宋体" w:cs="宋体"/>
          <w:b/>
          <w:bCs/>
          <w:color w:val="auto"/>
          <w:sz w:val="24"/>
          <w:szCs w:val="24"/>
          <w:highlight w:val="none"/>
          <w:lang w:val="en-US" w:eastAsia="zh-CN"/>
        </w:rPr>
        <w:t>0</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近三年业绩表</w:t>
      </w:r>
      <w:r>
        <w:rPr>
          <w:rFonts w:hint="eastAsia" w:ascii="宋体" w:hAnsi="宋体" w:eastAsia="宋体" w:cs="宋体"/>
          <w:b/>
          <w:bCs/>
          <w:color w:val="auto"/>
          <w:sz w:val="24"/>
          <w:szCs w:val="24"/>
          <w:highlight w:val="none"/>
        </w:rPr>
        <w:t>（详见附件</w:t>
      </w:r>
      <w:r>
        <w:rPr>
          <w:rFonts w:hint="eastAsia" w:ascii="宋体" w:hAnsi="宋体" w:eastAsia="宋体" w:cs="宋体"/>
          <w:b/>
          <w:bCs/>
          <w:color w:val="auto"/>
          <w:sz w:val="24"/>
          <w:szCs w:val="24"/>
          <w:highlight w:val="none"/>
          <w:lang w:val="en-US" w:eastAsia="zh-CN"/>
        </w:rPr>
        <w:t>10</w:t>
      </w:r>
      <w:r>
        <w:rPr>
          <w:rFonts w:hint="eastAsia" w:ascii="宋体" w:hAnsi="宋体" w:eastAsia="宋体" w:cs="宋体"/>
          <w:b/>
          <w:bCs/>
          <w:color w:val="auto"/>
          <w:sz w:val="24"/>
          <w:szCs w:val="24"/>
          <w:highlight w:val="none"/>
        </w:rPr>
        <w:t>）</w:t>
      </w:r>
    </w:p>
    <w:p w14:paraId="282C4355">
      <w:pPr>
        <w:pStyle w:val="14"/>
        <w:keepNext w:val="0"/>
        <w:keepLines w:val="0"/>
        <w:pageBreakBefore w:val="0"/>
        <w:widowControl w:val="0"/>
        <w:tabs>
          <w:tab w:val="left" w:pos="5527"/>
        </w:tabs>
        <w:kinsoku/>
        <w:wordWrap/>
        <w:overflowPunct/>
        <w:topLinePunct w:val="0"/>
        <w:autoSpaceDE/>
        <w:autoSpaceDN/>
        <w:bidi w:val="0"/>
        <w:adjustRightInd/>
        <w:snapToGrid/>
        <w:spacing w:after="0" w:afterLines="0" w:line="360" w:lineRule="auto"/>
        <w:ind w:leftChars="0" w:firstLine="0" w:firstLineChars="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1</w:t>
      </w:r>
      <w:r>
        <w:rPr>
          <w:rFonts w:hint="eastAsia" w:ascii="宋体" w:hAnsi="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eastAsia="zh-CN"/>
        </w:rPr>
        <w:t>）拟派项目负责人简历表</w:t>
      </w:r>
      <w:r>
        <w:rPr>
          <w:rFonts w:hint="eastAsia" w:ascii="宋体" w:hAnsi="宋体" w:eastAsia="宋体" w:cs="宋体"/>
          <w:b/>
          <w:bCs/>
          <w:color w:val="auto"/>
          <w:sz w:val="24"/>
          <w:szCs w:val="24"/>
          <w:highlight w:val="none"/>
        </w:rPr>
        <w:t>（详见附件</w:t>
      </w:r>
      <w:r>
        <w:rPr>
          <w:rFonts w:hint="eastAsia" w:ascii="宋体" w:hAnsi="宋体" w:eastAsia="宋体" w:cs="宋体"/>
          <w:b/>
          <w:bCs/>
          <w:color w:val="auto"/>
          <w:sz w:val="24"/>
          <w:szCs w:val="24"/>
          <w:highlight w:val="none"/>
          <w:lang w:val="en-US" w:eastAsia="zh-CN"/>
        </w:rPr>
        <w:t>1</w:t>
      </w:r>
      <w:r>
        <w:rPr>
          <w:rFonts w:hint="eastAsia" w:ascii="宋体" w:hAnsi="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w:t>
      </w:r>
    </w:p>
    <w:p w14:paraId="475C561E">
      <w:pPr>
        <w:pStyle w:val="14"/>
        <w:keepNext w:val="0"/>
        <w:keepLines w:val="0"/>
        <w:pageBreakBefore w:val="0"/>
        <w:widowControl w:val="0"/>
        <w:tabs>
          <w:tab w:val="left" w:pos="5527"/>
        </w:tabs>
        <w:kinsoku/>
        <w:wordWrap/>
        <w:overflowPunct/>
        <w:topLinePunct w:val="0"/>
        <w:autoSpaceDE/>
        <w:autoSpaceDN/>
        <w:bidi w:val="0"/>
        <w:adjustRightInd/>
        <w:snapToGrid/>
        <w:spacing w:after="0" w:afterLines="0" w:line="360" w:lineRule="auto"/>
        <w:ind w:leftChars="0" w:firstLine="0" w:firstLineChars="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1</w:t>
      </w:r>
      <w:r>
        <w:rPr>
          <w:rFonts w:hint="eastAsia" w:ascii="宋体" w:hAnsi="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拟投入人员配置情况表</w:t>
      </w:r>
      <w:r>
        <w:rPr>
          <w:rFonts w:hint="eastAsia" w:ascii="宋体" w:hAnsi="宋体" w:eastAsia="宋体" w:cs="宋体"/>
          <w:b/>
          <w:bCs/>
          <w:color w:val="auto"/>
          <w:sz w:val="24"/>
          <w:szCs w:val="24"/>
          <w:highlight w:val="none"/>
        </w:rPr>
        <w:t>（详见附件</w:t>
      </w:r>
      <w:r>
        <w:rPr>
          <w:rFonts w:hint="eastAsia" w:ascii="宋体" w:hAnsi="宋体" w:eastAsia="宋体" w:cs="宋体"/>
          <w:b/>
          <w:bCs/>
          <w:color w:val="auto"/>
          <w:sz w:val="24"/>
          <w:szCs w:val="24"/>
          <w:highlight w:val="none"/>
          <w:lang w:val="en-US" w:eastAsia="zh-CN"/>
        </w:rPr>
        <w:t>1</w:t>
      </w:r>
      <w:r>
        <w:rPr>
          <w:rFonts w:hint="eastAsia" w:ascii="宋体" w:hAnsi="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w:t>
      </w:r>
    </w:p>
    <w:p w14:paraId="544F357B">
      <w:pPr>
        <w:pStyle w:val="14"/>
        <w:keepNext w:val="0"/>
        <w:keepLines w:val="0"/>
        <w:pageBreakBefore w:val="0"/>
        <w:widowControl w:val="0"/>
        <w:tabs>
          <w:tab w:val="left" w:pos="5527"/>
        </w:tabs>
        <w:kinsoku/>
        <w:wordWrap/>
        <w:overflowPunct/>
        <w:topLinePunct w:val="0"/>
        <w:autoSpaceDE/>
        <w:autoSpaceDN/>
        <w:bidi w:val="0"/>
        <w:adjustRightInd/>
        <w:snapToGrid/>
        <w:spacing w:after="0" w:afterLines="0" w:line="360" w:lineRule="auto"/>
        <w:ind w:leftChars="0" w:firstLine="0" w:firstLineChars="0"/>
        <w:textAlignment w:val="auto"/>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1</w:t>
      </w:r>
      <w:r>
        <w:rPr>
          <w:rFonts w:hint="eastAsia" w:ascii="宋体" w:hAnsi="宋体" w:cs="宋体"/>
          <w:b/>
          <w:bCs/>
          <w:color w:val="auto"/>
          <w:sz w:val="24"/>
          <w:szCs w:val="24"/>
          <w:highlight w:val="none"/>
          <w:lang w:val="en-US" w:eastAsia="zh-CN"/>
        </w:rPr>
        <w:t>3</w:t>
      </w:r>
      <w:r>
        <w:rPr>
          <w:rFonts w:hint="eastAsia" w:ascii="宋体" w:hAnsi="宋体" w:eastAsia="宋体" w:cs="宋体"/>
          <w:b/>
          <w:bCs/>
          <w:color w:val="auto"/>
          <w:sz w:val="24"/>
          <w:szCs w:val="24"/>
          <w:highlight w:val="none"/>
          <w:lang w:eastAsia="zh-CN"/>
        </w:rPr>
        <w:t>）</w:t>
      </w:r>
      <w:r>
        <w:rPr>
          <w:rFonts w:hint="eastAsia" w:ascii="宋体" w:hAnsi="宋体" w:cs="宋体"/>
          <w:b/>
          <w:bCs/>
          <w:color w:val="auto"/>
          <w:sz w:val="24"/>
          <w:szCs w:val="24"/>
          <w:highlight w:val="none"/>
          <w:lang w:val="en-US" w:eastAsia="zh-CN"/>
        </w:rPr>
        <w:t>供货方案</w:t>
      </w:r>
      <w:r>
        <w:rPr>
          <w:rFonts w:hint="eastAsia" w:ascii="宋体" w:hAnsi="宋体" w:eastAsia="宋体" w:cs="宋体"/>
          <w:b/>
          <w:bCs/>
          <w:color w:val="auto"/>
          <w:sz w:val="24"/>
          <w:szCs w:val="24"/>
          <w:highlight w:val="none"/>
          <w:lang w:val="en-US" w:eastAsia="zh-CN"/>
        </w:rPr>
        <w:t>（详见附件1</w:t>
      </w:r>
      <w:r>
        <w:rPr>
          <w:rFonts w:hint="eastAsia" w:ascii="宋体" w:hAnsi="宋体" w:cs="宋体"/>
          <w:b/>
          <w:bCs/>
          <w:color w:val="auto"/>
          <w:sz w:val="24"/>
          <w:szCs w:val="24"/>
          <w:highlight w:val="none"/>
          <w:lang w:val="en-US" w:eastAsia="zh-CN"/>
        </w:rPr>
        <w:t>3</w:t>
      </w:r>
      <w:r>
        <w:rPr>
          <w:rFonts w:hint="eastAsia" w:ascii="宋体" w:hAnsi="宋体" w:eastAsia="宋体" w:cs="宋体"/>
          <w:b/>
          <w:bCs/>
          <w:color w:val="auto"/>
          <w:sz w:val="24"/>
          <w:szCs w:val="24"/>
          <w:highlight w:val="none"/>
          <w:lang w:val="en-US" w:eastAsia="zh-CN"/>
        </w:rPr>
        <w:t>）</w:t>
      </w:r>
    </w:p>
    <w:p w14:paraId="79FC1370">
      <w:pPr>
        <w:pStyle w:val="14"/>
        <w:keepNext w:val="0"/>
        <w:keepLines w:val="0"/>
        <w:pageBreakBefore w:val="0"/>
        <w:widowControl w:val="0"/>
        <w:tabs>
          <w:tab w:val="left" w:pos="5527"/>
        </w:tabs>
        <w:kinsoku/>
        <w:wordWrap/>
        <w:overflowPunct/>
        <w:topLinePunct w:val="0"/>
        <w:autoSpaceDE/>
        <w:autoSpaceDN/>
        <w:bidi w:val="0"/>
        <w:adjustRightInd/>
        <w:snapToGrid/>
        <w:spacing w:after="0" w:afterLines="0" w:line="360" w:lineRule="auto"/>
        <w:ind w:leftChars="0" w:firstLine="0" w:firstLineChars="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1</w:t>
      </w:r>
      <w:r>
        <w:rPr>
          <w:rFonts w:hint="eastAsia" w:ascii="宋体" w:hAnsi="宋体" w:cs="宋体"/>
          <w:b/>
          <w:bCs/>
          <w:color w:val="auto"/>
          <w:sz w:val="24"/>
          <w:szCs w:val="24"/>
          <w:highlight w:val="none"/>
          <w:lang w:val="en-US" w:eastAsia="zh-CN"/>
        </w:rPr>
        <w:t>4</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中小企业声明函</w:t>
      </w:r>
      <w:r>
        <w:rPr>
          <w:rFonts w:hint="eastAsia" w:ascii="宋体" w:hAnsi="宋体" w:eastAsia="宋体" w:cs="宋体"/>
          <w:b/>
          <w:bCs/>
          <w:color w:val="auto"/>
          <w:sz w:val="24"/>
          <w:szCs w:val="24"/>
          <w:highlight w:val="none"/>
        </w:rPr>
        <w:t>（详见附件</w:t>
      </w:r>
      <w:r>
        <w:rPr>
          <w:rFonts w:hint="eastAsia" w:ascii="宋体" w:hAnsi="宋体" w:eastAsia="宋体" w:cs="宋体"/>
          <w:b/>
          <w:bCs/>
          <w:color w:val="auto"/>
          <w:sz w:val="24"/>
          <w:szCs w:val="24"/>
          <w:highlight w:val="none"/>
          <w:lang w:val="en-US" w:eastAsia="zh-CN"/>
        </w:rPr>
        <w:t>1</w:t>
      </w:r>
      <w:r>
        <w:rPr>
          <w:rFonts w:hint="eastAsia" w:ascii="宋体" w:hAnsi="宋体" w:cs="宋体"/>
          <w:b/>
          <w:bCs/>
          <w:color w:val="auto"/>
          <w:sz w:val="24"/>
          <w:szCs w:val="24"/>
          <w:highlight w:val="none"/>
          <w:lang w:val="en-US" w:eastAsia="zh-CN"/>
        </w:rPr>
        <w:t>4</w:t>
      </w:r>
      <w:r>
        <w:rPr>
          <w:rFonts w:hint="eastAsia" w:ascii="宋体" w:hAnsi="宋体" w:eastAsia="宋体" w:cs="宋体"/>
          <w:b/>
          <w:bCs/>
          <w:color w:val="auto"/>
          <w:sz w:val="24"/>
          <w:szCs w:val="24"/>
          <w:highlight w:val="none"/>
        </w:rPr>
        <w:t>）</w:t>
      </w:r>
    </w:p>
    <w:p w14:paraId="61CEC172">
      <w:pPr>
        <w:keepNext w:val="0"/>
        <w:keepLines w:val="0"/>
        <w:pageBreakBefore w:val="0"/>
        <w:widowControl w:val="0"/>
        <w:tabs>
          <w:tab w:val="left" w:pos="5527"/>
        </w:tabs>
        <w:kinsoku/>
        <w:wordWrap/>
        <w:overflowPunct/>
        <w:topLinePunct w:val="0"/>
        <w:bidi w:val="0"/>
        <w:spacing w:line="360"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1</w:t>
      </w:r>
      <w:r>
        <w:rPr>
          <w:rFonts w:hint="eastAsia" w:ascii="宋体" w:hAnsi="宋体" w:cs="宋体"/>
          <w:b/>
          <w:bCs/>
          <w:color w:val="auto"/>
          <w:sz w:val="24"/>
          <w:szCs w:val="24"/>
          <w:highlight w:val="none"/>
          <w:lang w:val="en-US" w:eastAsia="zh-CN"/>
        </w:rPr>
        <w:t>5</w:t>
      </w:r>
      <w:r>
        <w:rPr>
          <w:rFonts w:hint="eastAsia" w:ascii="宋体" w:hAnsi="宋体" w:eastAsia="宋体" w:cs="宋体"/>
          <w:b/>
          <w:bCs/>
          <w:color w:val="auto"/>
          <w:sz w:val="24"/>
          <w:szCs w:val="24"/>
          <w:highlight w:val="none"/>
          <w:lang w:eastAsia="zh-CN"/>
        </w:rPr>
        <w:t>）要求提供的其它材料以及供应商认为需要提交的材料</w:t>
      </w:r>
      <w:r>
        <w:rPr>
          <w:rFonts w:hint="eastAsia" w:ascii="宋体" w:hAnsi="宋体" w:eastAsia="宋体" w:cs="宋体"/>
          <w:b/>
          <w:bCs/>
          <w:color w:val="auto"/>
          <w:sz w:val="24"/>
          <w:szCs w:val="24"/>
          <w:highlight w:val="none"/>
        </w:rPr>
        <w:t>（详见附件</w:t>
      </w:r>
      <w:r>
        <w:rPr>
          <w:rFonts w:hint="eastAsia" w:ascii="宋体" w:hAnsi="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rPr>
        <w:t>）</w:t>
      </w:r>
    </w:p>
    <w:p w14:paraId="77CAE8E2">
      <w:pPr>
        <w:keepNext w:val="0"/>
        <w:keepLines w:val="0"/>
        <w:pageBreakBefore w:val="0"/>
        <w:widowControl w:val="0"/>
        <w:tabs>
          <w:tab w:val="left" w:pos="5527"/>
        </w:tabs>
        <w:kinsoku/>
        <w:wordWrap/>
        <w:overflowPunct/>
        <w:topLinePunct w:val="0"/>
        <w:bidi w:val="0"/>
        <w:spacing w:line="360" w:lineRule="auto"/>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cs="宋体"/>
          <w:b/>
          <w:bCs/>
          <w:color w:val="auto"/>
          <w:sz w:val="24"/>
          <w:szCs w:val="24"/>
          <w:highlight w:val="none"/>
          <w:lang w:eastAsia="zh-CN"/>
        </w:rPr>
        <w:t>（</w:t>
      </w:r>
      <w:r>
        <w:rPr>
          <w:rFonts w:hint="eastAsia" w:ascii="宋体" w:hAnsi="宋体" w:cs="宋体"/>
          <w:b/>
          <w:bCs/>
          <w:color w:val="auto"/>
          <w:sz w:val="24"/>
          <w:szCs w:val="24"/>
          <w:highlight w:val="none"/>
          <w:lang w:val="en-US" w:eastAsia="zh-CN"/>
        </w:rPr>
        <w:t>16）政府采购活动现场确认声明书</w:t>
      </w:r>
    </w:p>
    <w:p w14:paraId="6A34AF73">
      <w:pPr>
        <w:keepNext w:val="0"/>
        <w:keepLines w:val="0"/>
        <w:pageBreakBefore w:val="0"/>
        <w:widowControl w:val="0"/>
        <w:tabs>
          <w:tab w:val="left" w:pos="5527"/>
        </w:tabs>
        <w:kinsoku/>
        <w:wordWrap/>
        <w:overflowPunct/>
        <w:topLinePunct w:val="0"/>
        <w:bidi w:val="0"/>
        <w:spacing w:line="360" w:lineRule="auto"/>
        <w:textAlignment w:val="auto"/>
        <w:outlineLvl w:val="9"/>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注：本项目资格审查文件也应附在投标文件中。</w:t>
      </w:r>
    </w:p>
    <w:p w14:paraId="32A9ADFC">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z w:val="24"/>
          <w:szCs w:val="24"/>
          <w:highlight w:val="none"/>
          <w:lang w:eastAsia="zh-CN"/>
        </w:rPr>
        <w:t>投标文件</w:t>
      </w:r>
      <w:r>
        <w:rPr>
          <w:rFonts w:hint="eastAsia" w:ascii="宋体" w:hAnsi="宋体" w:eastAsia="宋体" w:cs="宋体"/>
          <w:b/>
          <w:bCs/>
          <w:color w:val="auto"/>
          <w:sz w:val="24"/>
          <w:szCs w:val="24"/>
          <w:highlight w:val="none"/>
        </w:rPr>
        <w:t>的格式</w:t>
      </w:r>
    </w:p>
    <w:p w14:paraId="0138FD5C">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.1 </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附件及</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各章节提供了一部分用于编制</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时必要的格式，供应商应按此格式编制</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w:t>
      </w:r>
    </w:p>
    <w:p w14:paraId="468C5E8B">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.2 </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中未提供格式的部分由供应商自行编制。</w:t>
      </w:r>
    </w:p>
    <w:p w14:paraId="469D77D2">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 xml:space="preserve">  投标报价</w:t>
      </w:r>
    </w:p>
    <w:p w14:paraId="6FC11803">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.1 除本</w:t>
      </w:r>
      <w:r>
        <w:rPr>
          <w:rFonts w:hint="eastAsia" w:ascii="宋体" w:hAnsi="宋体" w:eastAsia="宋体" w:cs="宋体"/>
          <w:b/>
          <w:bCs/>
          <w:color w:val="auto"/>
          <w:sz w:val="24"/>
          <w:szCs w:val="24"/>
          <w:highlight w:val="none"/>
          <w:lang w:eastAsia="zh-CN"/>
        </w:rPr>
        <w:t>公开招标文件</w:t>
      </w:r>
      <w:r>
        <w:rPr>
          <w:rFonts w:hint="eastAsia" w:ascii="宋体" w:hAnsi="宋体" w:eastAsia="宋体" w:cs="宋体"/>
          <w:b/>
          <w:bCs/>
          <w:color w:val="auto"/>
          <w:sz w:val="24"/>
          <w:szCs w:val="24"/>
          <w:highlight w:val="none"/>
        </w:rPr>
        <w:t>另有规定外，供应商应按</w:t>
      </w:r>
      <w:r>
        <w:rPr>
          <w:rFonts w:hint="eastAsia" w:ascii="宋体" w:hAnsi="宋体" w:eastAsia="宋体" w:cs="宋体"/>
          <w:b/>
          <w:bCs/>
          <w:color w:val="auto"/>
          <w:sz w:val="24"/>
          <w:szCs w:val="24"/>
          <w:highlight w:val="none"/>
          <w:lang w:eastAsia="zh-CN"/>
        </w:rPr>
        <w:t>公开招标文件</w:t>
      </w:r>
      <w:r>
        <w:rPr>
          <w:rFonts w:hint="eastAsia" w:ascii="宋体" w:hAnsi="宋体" w:eastAsia="宋体" w:cs="宋体"/>
          <w:b/>
          <w:bCs/>
          <w:color w:val="auto"/>
          <w:sz w:val="24"/>
          <w:szCs w:val="24"/>
          <w:highlight w:val="none"/>
        </w:rPr>
        <w:t>所附相应的投标一览表格式标明</w:t>
      </w:r>
      <w:r>
        <w:rPr>
          <w:rFonts w:hint="eastAsia" w:ascii="宋体" w:hAnsi="宋体" w:eastAsia="宋体" w:cs="宋体"/>
          <w:b/>
          <w:bCs/>
          <w:color w:val="auto"/>
          <w:sz w:val="24"/>
          <w:szCs w:val="24"/>
          <w:highlight w:val="none"/>
          <w:lang w:val="en-US" w:eastAsia="zh-CN"/>
        </w:rPr>
        <w:t>投标报</w:t>
      </w:r>
      <w:r>
        <w:rPr>
          <w:rFonts w:hint="eastAsia" w:ascii="宋体" w:hAnsi="宋体" w:eastAsia="宋体" w:cs="宋体"/>
          <w:b/>
          <w:bCs/>
          <w:color w:val="auto"/>
          <w:sz w:val="24"/>
          <w:szCs w:val="24"/>
          <w:highlight w:val="none"/>
        </w:rPr>
        <w:t>价等内容。报价以人民币报价。</w:t>
      </w:r>
    </w:p>
    <w:p w14:paraId="35E067A8">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2 任何有选择性的报价将不予接受。</w:t>
      </w:r>
    </w:p>
    <w:p w14:paraId="2CEFD33A">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.3 供应商须充分注意并重视第三章“</w:t>
      </w:r>
      <w:r>
        <w:rPr>
          <w:rFonts w:hint="eastAsia" w:ascii="宋体" w:hAnsi="宋体" w:eastAsia="宋体" w:cs="宋体"/>
          <w:color w:val="auto"/>
          <w:sz w:val="24"/>
          <w:szCs w:val="24"/>
          <w:highlight w:val="none"/>
          <w:lang w:val="en-US" w:eastAsia="zh-CN"/>
        </w:rPr>
        <w:t>采购清单</w:t>
      </w:r>
      <w:r>
        <w:rPr>
          <w:rFonts w:hint="eastAsia" w:ascii="宋体" w:hAnsi="宋体" w:eastAsia="宋体" w:cs="宋体"/>
          <w:color w:val="auto"/>
          <w:sz w:val="24"/>
          <w:szCs w:val="24"/>
          <w:highlight w:val="none"/>
        </w:rPr>
        <w:t>”的内容，并严格按该章的有关内容做出实质性响应。</w:t>
      </w:r>
    </w:p>
    <w:p w14:paraId="01F17D41">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.4 供应商可按</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第三章“</w:t>
      </w:r>
      <w:r>
        <w:rPr>
          <w:rFonts w:hint="eastAsia" w:ascii="宋体" w:hAnsi="宋体" w:eastAsia="宋体" w:cs="宋体"/>
          <w:color w:val="auto"/>
          <w:sz w:val="24"/>
          <w:szCs w:val="24"/>
          <w:highlight w:val="none"/>
          <w:lang w:val="en-US" w:eastAsia="zh-CN"/>
        </w:rPr>
        <w:t>采购清单</w:t>
      </w:r>
      <w:r>
        <w:rPr>
          <w:rFonts w:hint="eastAsia" w:ascii="宋体" w:hAnsi="宋体" w:eastAsia="宋体" w:cs="宋体"/>
          <w:color w:val="auto"/>
          <w:sz w:val="24"/>
          <w:szCs w:val="24"/>
          <w:highlight w:val="none"/>
        </w:rPr>
        <w:t>”的内容</w:t>
      </w:r>
      <w:r>
        <w:rPr>
          <w:rFonts w:hint="eastAsia" w:ascii="宋体" w:hAnsi="宋体" w:eastAsia="宋体" w:cs="宋体"/>
          <w:color w:val="auto"/>
          <w:sz w:val="24"/>
          <w:szCs w:val="24"/>
          <w:highlight w:val="none"/>
          <w:lang w:val="en-US" w:eastAsia="zh-CN"/>
        </w:rPr>
        <w:t>进行</w:t>
      </w:r>
      <w:r>
        <w:rPr>
          <w:rFonts w:hint="eastAsia" w:ascii="宋体" w:hAnsi="宋体" w:eastAsia="宋体" w:cs="宋体"/>
          <w:color w:val="auto"/>
          <w:sz w:val="24"/>
          <w:szCs w:val="24"/>
          <w:highlight w:val="none"/>
        </w:rPr>
        <w:t>报价，投标报价</w:t>
      </w:r>
      <w:r>
        <w:rPr>
          <w:rFonts w:hint="eastAsia" w:ascii="宋体" w:hAnsi="宋体" w:eastAsia="宋体" w:cs="宋体"/>
          <w:color w:val="auto"/>
          <w:sz w:val="24"/>
          <w:szCs w:val="24"/>
          <w:highlight w:val="none"/>
          <w:lang w:val="en-US" w:eastAsia="zh-CN"/>
        </w:rPr>
        <w:t>应</w:t>
      </w:r>
      <w:r>
        <w:rPr>
          <w:rFonts w:hint="eastAsia" w:ascii="宋体" w:hAnsi="宋体" w:eastAsia="宋体" w:cs="宋体"/>
          <w:color w:val="auto"/>
          <w:sz w:val="24"/>
          <w:szCs w:val="24"/>
          <w:highlight w:val="none"/>
        </w:rPr>
        <w:t>包</w:t>
      </w:r>
      <w:r>
        <w:rPr>
          <w:rFonts w:hint="eastAsia" w:ascii="宋体" w:hAnsi="宋体" w:eastAsia="宋体" w:cs="宋体"/>
          <w:color w:val="auto"/>
          <w:sz w:val="24"/>
          <w:szCs w:val="24"/>
          <w:highlight w:val="none"/>
          <w:lang w:val="en-US" w:eastAsia="zh-CN"/>
        </w:rPr>
        <w:t>含</w:t>
      </w:r>
      <w:r>
        <w:rPr>
          <w:rFonts w:hint="eastAsia" w:ascii="宋体" w:hAnsi="宋体" w:eastAsia="宋体" w:cs="宋体"/>
          <w:color w:val="auto"/>
          <w:sz w:val="24"/>
          <w:szCs w:val="24"/>
          <w:highlight w:val="none"/>
        </w:rPr>
        <w:t>税金及本</w:t>
      </w:r>
      <w:r>
        <w:rPr>
          <w:rFonts w:hint="eastAsia" w:ascii="宋体" w:hAnsi="宋体" w:eastAsia="宋体" w:cs="宋体"/>
          <w:color w:val="auto"/>
          <w:sz w:val="24"/>
          <w:szCs w:val="24"/>
          <w:highlight w:val="none"/>
          <w:lang w:val="en-US" w:eastAsia="zh-CN"/>
        </w:rPr>
        <w:t>项目</w:t>
      </w:r>
      <w:r>
        <w:rPr>
          <w:rFonts w:hint="eastAsia" w:ascii="宋体" w:hAnsi="宋体" w:eastAsia="宋体" w:cs="宋体"/>
          <w:color w:val="auto"/>
          <w:sz w:val="24"/>
          <w:szCs w:val="24"/>
          <w:highlight w:val="none"/>
        </w:rPr>
        <w:t>所</w:t>
      </w:r>
      <w:r>
        <w:rPr>
          <w:rFonts w:hint="eastAsia" w:ascii="宋体" w:hAnsi="宋体" w:eastAsia="宋体" w:cs="宋体"/>
          <w:color w:val="auto"/>
          <w:sz w:val="24"/>
          <w:szCs w:val="24"/>
          <w:highlight w:val="none"/>
          <w:lang w:val="en-US" w:eastAsia="zh-CN"/>
        </w:rPr>
        <w:t>产生</w:t>
      </w:r>
      <w:r>
        <w:rPr>
          <w:rFonts w:hint="eastAsia" w:ascii="宋体" w:hAnsi="宋体" w:eastAsia="宋体" w:cs="宋体"/>
          <w:color w:val="auto"/>
          <w:sz w:val="24"/>
          <w:szCs w:val="24"/>
          <w:highlight w:val="none"/>
        </w:rPr>
        <w:t>的全部费用，</w:t>
      </w:r>
      <w:r>
        <w:rPr>
          <w:rFonts w:hint="eastAsia" w:ascii="宋体" w:hAnsi="宋体" w:eastAsia="宋体" w:cs="宋体"/>
          <w:b/>
          <w:bCs/>
          <w:color w:val="auto"/>
          <w:sz w:val="24"/>
          <w:szCs w:val="24"/>
          <w:highlight w:val="none"/>
        </w:rPr>
        <w:t>且投标报价不得</w:t>
      </w:r>
      <w:r>
        <w:rPr>
          <w:rFonts w:hint="eastAsia" w:ascii="宋体" w:hAnsi="宋体" w:eastAsia="宋体" w:cs="宋体"/>
          <w:b/>
          <w:bCs/>
          <w:color w:val="auto"/>
          <w:sz w:val="24"/>
          <w:szCs w:val="24"/>
          <w:highlight w:val="none"/>
          <w:lang w:val="en-US" w:eastAsia="zh-CN"/>
        </w:rPr>
        <w:t>高于</w:t>
      </w:r>
      <w:r>
        <w:rPr>
          <w:rFonts w:hint="eastAsia" w:ascii="宋体" w:hAnsi="宋体" w:eastAsia="宋体" w:cs="宋体"/>
          <w:b/>
          <w:bCs/>
          <w:color w:val="auto"/>
          <w:sz w:val="24"/>
          <w:szCs w:val="24"/>
          <w:highlight w:val="none"/>
        </w:rPr>
        <w:t>最高限价金额，否则将按无效投标处理。</w:t>
      </w:r>
    </w:p>
    <w:p w14:paraId="108FBE1E">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12.5</w:t>
      </w:r>
      <w:r>
        <w:rPr>
          <w:rFonts w:hint="eastAsia" w:ascii="宋体" w:hAnsi="宋体" w:eastAsia="宋体" w:cs="宋体"/>
          <w:color w:val="auto"/>
          <w:sz w:val="24"/>
          <w:szCs w:val="24"/>
          <w:highlight w:val="none"/>
        </w:rPr>
        <w:t xml:space="preserve"> 供应商的报价在中标后的合同实施期间应保持不变，即不因市场价格或政策性价格的调整而增减。</w:t>
      </w:r>
    </w:p>
    <w:p w14:paraId="4B97A867">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rPr>
        <w:t xml:space="preserve">  证明供应商合格</w:t>
      </w:r>
      <w:r>
        <w:rPr>
          <w:rFonts w:hint="eastAsia" w:ascii="宋体" w:hAnsi="宋体" w:eastAsia="宋体" w:cs="宋体"/>
          <w:b/>
          <w:bCs/>
          <w:color w:val="auto"/>
          <w:sz w:val="24"/>
          <w:szCs w:val="24"/>
          <w:highlight w:val="none"/>
          <w:lang w:val="en-US" w:eastAsia="zh-CN"/>
        </w:rPr>
        <w:t>的</w:t>
      </w:r>
      <w:r>
        <w:rPr>
          <w:rFonts w:hint="eastAsia" w:ascii="宋体" w:hAnsi="宋体" w:eastAsia="宋体" w:cs="宋体"/>
          <w:b/>
          <w:bCs/>
          <w:color w:val="auto"/>
          <w:sz w:val="24"/>
          <w:szCs w:val="24"/>
          <w:highlight w:val="none"/>
        </w:rPr>
        <w:t>资格</w:t>
      </w:r>
      <w:r>
        <w:rPr>
          <w:rFonts w:hint="eastAsia" w:ascii="宋体" w:hAnsi="宋体" w:eastAsia="宋体" w:cs="宋体"/>
          <w:b/>
          <w:bCs/>
          <w:color w:val="auto"/>
          <w:sz w:val="24"/>
          <w:szCs w:val="24"/>
          <w:highlight w:val="none"/>
          <w:lang w:val="en-US" w:eastAsia="zh-CN"/>
        </w:rPr>
        <w:t>证明</w:t>
      </w:r>
      <w:r>
        <w:rPr>
          <w:rFonts w:hint="eastAsia" w:ascii="宋体" w:hAnsi="宋体" w:eastAsia="宋体" w:cs="宋体"/>
          <w:b/>
          <w:bCs/>
          <w:color w:val="auto"/>
          <w:sz w:val="24"/>
          <w:szCs w:val="24"/>
          <w:highlight w:val="none"/>
        </w:rPr>
        <w:t>文件</w:t>
      </w:r>
    </w:p>
    <w:p w14:paraId="322DDB23">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按照供应商须知前附表规定，供应商应提交</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所要求的资格证明文件。</w:t>
      </w:r>
    </w:p>
    <w:p w14:paraId="37B7442E">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4</w:t>
      </w:r>
      <w:r>
        <w:rPr>
          <w:rFonts w:hint="eastAsia" w:ascii="宋体" w:hAnsi="宋体" w:eastAsia="宋体" w:cs="宋体"/>
          <w:b/>
          <w:bCs/>
          <w:color w:val="auto"/>
          <w:sz w:val="24"/>
          <w:szCs w:val="24"/>
          <w:highlight w:val="none"/>
        </w:rPr>
        <w:t xml:space="preserve">  证明符合</w:t>
      </w:r>
      <w:r>
        <w:rPr>
          <w:rFonts w:hint="eastAsia" w:ascii="宋体" w:hAnsi="宋体" w:eastAsia="宋体" w:cs="宋体"/>
          <w:b/>
          <w:bCs/>
          <w:color w:val="auto"/>
          <w:sz w:val="24"/>
          <w:szCs w:val="24"/>
          <w:highlight w:val="none"/>
          <w:lang w:eastAsia="zh-CN"/>
        </w:rPr>
        <w:t>公开招标文件</w:t>
      </w:r>
      <w:r>
        <w:rPr>
          <w:rFonts w:hint="eastAsia" w:ascii="宋体" w:hAnsi="宋体" w:eastAsia="宋体" w:cs="宋体"/>
          <w:b/>
          <w:bCs/>
          <w:color w:val="auto"/>
          <w:sz w:val="24"/>
          <w:szCs w:val="24"/>
          <w:highlight w:val="none"/>
        </w:rPr>
        <w:t>规定的文件</w:t>
      </w:r>
    </w:p>
    <w:p w14:paraId="7D2AC9F3">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供应商应逐条对</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要求的</w:t>
      </w:r>
      <w:r>
        <w:rPr>
          <w:rFonts w:hint="eastAsia" w:ascii="宋体" w:hAnsi="宋体" w:eastAsia="宋体" w:cs="宋体"/>
          <w:color w:val="auto"/>
          <w:sz w:val="24"/>
          <w:szCs w:val="24"/>
          <w:highlight w:val="none"/>
          <w:lang w:val="en-US" w:eastAsia="zh-CN"/>
        </w:rPr>
        <w:t>内容</w:t>
      </w:r>
      <w:r>
        <w:rPr>
          <w:rFonts w:hint="eastAsia" w:ascii="宋体" w:hAnsi="宋体" w:eastAsia="宋体" w:cs="宋体"/>
          <w:color w:val="auto"/>
          <w:sz w:val="24"/>
          <w:szCs w:val="24"/>
          <w:highlight w:val="none"/>
        </w:rPr>
        <w:t>做出实质性</w:t>
      </w:r>
      <w:r>
        <w:rPr>
          <w:rFonts w:hint="eastAsia" w:ascii="宋体" w:hAnsi="宋体" w:eastAsia="宋体" w:cs="宋体"/>
          <w:color w:val="auto"/>
          <w:sz w:val="24"/>
          <w:szCs w:val="24"/>
          <w:highlight w:val="none"/>
          <w:lang w:val="en-US" w:eastAsia="zh-CN"/>
        </w:rPr>
        <w:t>响</w:t>
      </w:r>
      <w:r>
        <w:rPr>
          <w:rFonts w:hint="eastAsia" w:ascii="宋体" w:hAnsi="宋体" w:eastAsia="宋体" w:cs="宋体"/>
          <w:color w:val="auto"/>
          <w:sz w:val="24"/>
          <w:szCs w:val="24"/>
          <w:highlight w:val="none"/>
        </w:rPr>
        <w:t>应，认真填写</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所附的“商务条款偏离表”、“技术规格偏离表”。</w:t>
      </w:r>
      <w:r>
        <w:rPr>
          <w:rFonts w:hint="eastAsia" w:ascii="宋体" w:hAnsi="宋体" w:eastAsia="宋体" w:cs="宋体"/>
          <w:b/>
          <w:bCs/>
          <w:color w:val="auto"/>
          <w:sz w:val="24"/>
          <w:szCs w:val="24"/>
          <w:highlight w:val="none"/>
        </w:rPr>
        <w:t>若有偏离</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请将具体偏离条款在“偏离”一栏中详细说明</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若无偏离</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请在“偏离”一栏中标注“无”字样。如不填写将视为不响应</w:t>
      </w:r>
      <w:r>
        <w:rPr>
          <w:rFonts w:hint="eastAsia" w:ascii="宋体" w:hAnsi="宋体" w:eastAsia="宋体" w:cs="宋体"/>
          <w:b/>
          <w:bCs/>
          <w:color w:val="auto"/>
          <w:sz w:val="24"/>
          <w:szCs w:val="24"/>
          <w:highlight w:val="none"/>
          <w:lang w:eastAsia="zh-CN"/>
        </w:rPr>
        <w:t>公开招标文件</w:t>
      </w:r>
      <w:r>
        <w:rPr>
          <w:rFonts w:hint="eastAsia" w:ascii="宋体" w:hAnsi="宋体" w:eastAsia="宋体" w:cs="宋体"/>
          <w:b/>
          <w:bCs/>
          <w:color w:val="auto"/>
          <w:sz w:val="24"/>
          <w:szCs w:val="24"/>
          <w:highlight w:val="none"/>
        </w:rPr>
        <w:t>要求。</w:t>
      </w:r>
    </w:p>
    <w:p w14:paraId="2B7F8957">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rPr>
        <w:t xml:space="preserve">  电子</w:t>
      </w:r>
      <w:r>
        <w:rPr>
          <w:rFonts w:hint="eastAsia" w:ascii="宋体" w:hAnsi="宋体" w:eastAsia="宋体" w:cs="宋体"/>
          <w:b/>
          <w:bCs/>
          <w:color w:val="auto"/>
          <w:sz w:val="24"/>
          <w:szCs w:val="24"/>
          <w:highlight w:val="none"/>
          <w:lang w:eastAsia="zh-CN"/>
        </w:rPr>
        <w:t>投标文件</w:t>
      </w:r>
      <w:r>
        <w:rPr>
          <w:rFonts w:hint="eastAsia" w:ascii="宋体" w:hAnsi="宋体" w:eastAsia="宋体" w:cs="宋体"/>
          <w:b/>
          <w:bCs/>
          <w:color w:val="auto"/>
          <w:sz w:val="24"/>
          <w:szCs w:val="24"/>
          <w:highlight w:val="none"/>
        </w:rPr>
        <w:t>的有效期</w:t>
      </w:r>
    </w:p>
    <w:p w14:paraId="2B332D15">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 xml:space="preserve">.1 </w:t>
      </w:r>
      <w:r>
        <w:rPr>
          <w:rFonts w:hint="eastAsia" w:ascii="宋体" w:hAnsi="宋体" w:eastAsia="宋体" w:cs="宋体"/>
          <w:b/>
          <w:bCs/>
          <w:color w:val="auto"/>
          <w:sz w:val="24"/>
          <w:szCs w:val="24"/>
          <w:highlight w:val="none"/>
          <w:lang w:eastAsia="zh-CN"/>
        </w:rPr>
        <w:t>投标文件</w:t>
      </w:r>
      <w:r>
        <w:rPr>
          <w:rFonts w:hint="eastAsia" w:ascii="宋体" w:hAnsi="宋体" w:eastAsia="宋体" w:cs="宋体"/>
          <w:b/>
          <w:bCs/>
          <w:color w:val="auto"/>
          <w:sz w:val="24"/>
          <w:szCs w:val="24"/>
          <w:highlight w:val="none"/>
        </w:rPr>
        <w:t>有效期</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详见供应商须知前附表</w:t>
      </w:r>
      <w:r>
        <w:rPr>
          <w:rFonts w:hint="eastAsia" w:ascii="宋体" w:hAnsi="宋体" w:eastAsia="宋体" w:cs="宋体"/>
          <w:b/>
          <w:bCs/>
          <w:color w:val="auto"/>
          <w:sz w:val="24"/>
          <w:szCs w:val="24"/>
          <w:highlight w:val="none"/>
        </w:rPr>
        <w:t>。</w:t>
      </w:r>
    </w:p>
    <w:p w14:paraId="5B050162">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 在特殊情况下</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 在原</w:t>
      </w: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有效期届满之前，采购人可与供应商协商延长</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的有效期，并经供应商确认。</w:t>
      </w:r>
    </w:p>
    <w:p w14:paraId="0F082835">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 xml:space="preserve">  电子</w:t>
      </w:r>
      <w:r>
        <w:rPr>
          <w:rFonts w:hint="eastAsia" w:ascii="宋体" w:hAnsi="宋体" w:eastAsia="宋体" w:cs="宋体"/>
          <w:b/>
          <w:bCs/>
          <w:color w:val="auto"/>
          <w:sz w:val="24"/>
          <w:szCs w:val="24"/>
          <w:highlight w:val="none"/>
          <w:lang w:eastAsia="zh-CN"/>
        </w:rPr>
        <w:t>投标文件</w:t>
      </w:r>
      <w:r>
        <w:rPr>
          <w:rFonts w:hint="eastAsia" w:ascii="宋体" w:hAnsi="宋体" w:eastAsia="宋体" w:cs="宋体"/>
          <w:b/>
          <w:bCs/>
          <w:color w:val="auto"/>
          <w:sz w:val="24"/>
          <w:szCs w:val="24"/>
          <w:highlight w:val="none"/>
        </w:rPr>
        <w:t>的</w:t>
      </w:r>
      <w:r>
        <w:rPr>
          <w:rFonts w:hint="eastAsia" w:ascii="宋体" w:hAnsi="宋体" w:eastAsia="宋体" w:cs="宋体"/>
          <w:b/>
          <w:bCs/>
          <w:color w:val="auto"/>
          <w:sz w:val="24"/>
          <w:szCs w:val="24"/>
          <w:highlight w:val="none"/>
          <w:lang w:val="en-US" w:eastAsia="zh-CN"/>
        </w:rPr>
        <w:t>格式</w:t>
      </w:r>
      <w:r>
        <w:rPr>
          <w:rFonts w:hint="eastAsia" w:ascii="宋体" w:hAnsi="宋体" w:eastAsia="宋体" w:cs="宋体"/>
          <w:b/>
          <w:bCs/>
          <w:color w:val="auto"/>
          <w:sz w:val="24"/>
          <w:szCs w:val="24"/>
          <w:highlight w:val="none"/>
        </w:rPr>
        <w:t>要求及签署</w:t>
      </w:r>
    </w:p>
    <w:p w14:paraId="4EB1116A">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 xml:space="preserve">.1 </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lang w:val="en-US" w:eastAsia="zh-CN"/>
        </w:rPr>
        <w:t>格式</w:t>
      </w:r>
      <w:r>
        <w:rPr>
          <w:rFonts w:hint="eastAsia" w:ascii="宋体" w:hAnsi="宋体" w:eastAsia="宋体" w:cs="宋体"/>
          <w:color w:val="auto"/>
          <w:sz w:val="24"/>
          <w:szCs w:val="24"/>
          <w:highlight w:val="none"/>
        </w:rPr>
        <w:t>应清楚工整</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未实质性响应</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、字迹潦草、表达不清、未按要求填写或可能导致非唯一理解的</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将按无效投标处理。</w:t>
      </w:r>
    </w:p>
    <w:p w14:paraId="29226279">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应由供应商法</w:t>
      </w:r>
      <w:r>
        <w:rPr>
          <w:rFonts w:hint="eastAsia" w:ascii="宋体" w:hAnsi="宋体" w:eastAsia="宋体" w:cs="宋体"/>
          <w:color w:val="auto"/>
          <w:sz w:val="24"/>
          <w:szCs w:val="24"/>
          <w:highlight w:val="none"/>
          <w:lang w:val="en-US" w:eastAsia="zh-CN"/>
        </w:rPr>
        <w:t>定代表人</w:t>
      </w:r>
      <w:r>
        <w:rPr>
          <w:rFonts w:hint="eastAsia" w:ascii="宋体" w:hAnsi="宋体" w:eastAsia="宋体" w:cs="宋体"/>
          <w:color w:val="auto"/>
          <w:sz w:val="24"/>
          <w:szCs w:val="24"/>
          <w:highlight w:val="none"/>
        </w:rPr>
        <w:t>或委托代理人在规定签章处逐一签署及加盖供应商的公章。</w:t>
      </w:r>
    </w:p>
    <w:p w14:paraId="4E4B3CB5">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bookmarkStart w:id="82" w:name="_Toc15133"/>
      <w:bookmarkStart w:id="83" w:name="_Toc5423"/>
      <w:bookmarkStart w:id="84" w:name="_Toc5633"/>
      <w:bookmarkStart w:id="85" w:name="_Toc20192"/>
      <w:bookmarkStart w:id="86" w:name="_Toc19171"/>
      <w:bookmarkStart w:id="87" w:name="_Toc28814"/>
      <w:bookmarkStart w:id="88" w:name="_Toc167"/>
      <w:bookmarkStart w:id="89" w:name="_Toc20072"/>
      <w:bookmarkStart w:id="90" w:name="_Toc10478"/>
      <w:bookmarkStart w:id="91" w:name="_Toc30175"/>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7</w:t>
      </w:r>
      <w:r>
        <w:rPr>
          <w:rFonts w:hint="eastAsia" w:ascii="宋体" w:hAnsi="宋体" w:eastAsia="宋体" w:cs="宋体"/>
          <w:b/>
          <w:bCs/>
          <w:color w:val="auto"/>
          <w:sz w:val="24"/>
          <w:szCs w:val="24"/>
          <w:highlight w:val="none"/>
        </w:rPr>
        <w:t xml:space="preserve">  投标保证金</w:t>
      </w:r>
    </w:p>
    <w:p w14:paraId="69B82272">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.1 投标保证金金额为前附表要求金额，各供应商必须在投标截止时间前</w:t>
      </w:r>
      <w:r>
        <w:rPr>
          <w:rFonts w:hint="eastAsia" w:ascii="宋体" w:hAnsi="宋体" w:eastAsia="宋体" w:cs="宋体"/>
          <w:color w:val="auto"/>
          <w:sz w:val="24"/>
          <w:szCs w:val="24"/>
          <w:highlight w:val="none"/>
          <w:lang w:val="en-US" w:eastAsia="zh-CN"/>
        </w:rPr>
        <w:t>提</w:t>
      </w:r>
      <w:r>
        <w:rPr>
          <w:rFonts w:hint="eastAsia" w:ascii="宋体" w:hAnsi="宋体" w:eastAsia="宋体" w:cs="宋体"/>
          <w:color w:val="auto"/>
          <w:sz w:val="24"/>
          <w:szCs w:val="24"/>
          <w:highlight w:val="none"/>
        </w:rPr>
        <w:t>交。</w:t>
      </w:r>
    </w:p>
    <w:p w14:paraId="26C71AB0">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.2 投标保证金用于保护本次招标免受供应商的违规、违约行为而引起的风险。</w:t>
      </w:r>
    </w:p>
    <w:p w14:paraId="022AB9AC">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.3 发生以下情况投标保证金不予退还：</w:t>
      </w:r>
    </w:p>
    <w:p w14:paraId="60EF484C">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.3.1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如果供应商在投标有效期内撤回</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w:t>
      </w:r>
    </w:p>
    <w:p w14:paraId="598B825E">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.3.2</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中标供应商有下列情形之一的，投标保证金不予退还</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情节严重的，由</w:t>
      </w:r>
      <w:r>
        <w:rPr>
          <w:rFonts w:hint="eastAsia" w:ascii="宋体" w:hAnsi="宋体" w:eastAsia="宋体" w:cs="宋体"/>
          <w:color w:val="auto"/>
          <w:sz w:val="24"/>
          <w:szCs w:val="24"/>
          <w:highlight w:val="none"/>
          <w:lang w:val="en-US" w:eastAsia="zh-CN"/>
        </w:rPr>
        <w:t>财政</w:t>
      </w:r>
      <w:r>
        <w:rPr>
          <w:rFonts w:hint="eastAsia" w:ascii="宋体" w:hAnsi="宋体" w:eastAsia="宋体" w:cs="宋体"/>
          <w:color w:val="auto"/>
          <w:sz w:val="24"/>
          <w:szCs w:val="24"/>
          <w:highlight w:val="none"/>
        </w:rPr>
        <w:t>部门将其列入不良行为记录名单，在一至三年内禁止参加政府采购活动，并予以通报：</w:t>
      </w:r>
    </w:p>
    <w:p w14:paraId="1370BF0A">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中标后无正当理由不与采购人签订合同的；</w:t>
      </w:r>
    </w:p>
    <w:p w14:paraId="17E6B210">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（二）未经采购人同意将中标项目转让给他人，或者将中标项目分包给他人的；</w:t>
      </w:r>
    </w:p>
    <w:p w14:paraId="6DC44202">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（三）拒绝履行合同义务的。</w:t>
      </w:r>
    </w:p>
    <w:p w14:paraId="4EE3577E">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.3.3 如果中标供应商放弃中标项目的，无正当理由不与采购人签订合同的，在签订合同时向采购人提出附加条件或者更改合同实质性内容的，或者拒不提交所要求的履约保证金的。</w:t>
      </w:r>
    </w:p>
    <w:p w14:paraId="44CFED34">
      <w:pPr>
        <w:keepNext w:val="0"/>
        <w:keepLines w:val="0"/>
        <w:pageBreakBefore w:val="0"/>
        <w:widowControl w:val="0"/>
        <w:tabs>
          <w:tab w:val="left" w:pos="5527"/>
        </w:tabs>
        <w:kinsoku/>
        <w:wordWrap/>
        <w:overflowPunct/>
        <w:topLinePunct w:val="0"/>
        <w:bidi w:val="0"/>
        <w:spacing w:line="348" w:lineRule="auto"/>
        <w:jc w:val="center"/>
        <w:textAlignment w:val="auto"/>
        <w:outlineLvl w:val="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四、 </w:t>
      </w:r>
      <w:r>
        <w:rPr>
          <w:rFonts w:hint="eastAsia" w:ascii="宋体" w:hAnsi="宋体" w:eastAsia="宋体" w:cs="宋体"/>
          <w:b/>
          <w:bCs/>
          <w:color w:val="auto"/>
          <w:sz w:val="24"/>
          <w:szCs w:val="24"/>
          <w:highlight w:val="none"/>
          <w:lang w:eastAsia="zh-CN"/>
        </w:rPr>
        <w:t>投标文件</w:t>
      </w:r>
      <w:r>
        <w:rPr>
          <w:rFonts w:hint="eastAsia" w:ascii="宋体" w:hAnsi="宋体" w:eastAsia="宋体" w:cs="宋体"/>
          <w:b/>
          <w:bCs/>
          <w:color w:val="auto"/>
          <w:sz w:val="24"/>
          <w:szCs w:val="24"/>
          <w:highlight w:val="none"/>
        </w:rPr>
        <w:t>的</w:t>
      </w:r>
      <w:r>
        <w:rPr>
          <w:rFonts w:hint="eastAsia" w:ascii="宋体" w:hAnsi="宋体" w:eastAsia="宋体" w:cs="宋体"/>
          <w:b/>
          <w:bCs/>
          <w:color w:val="auto"/>
          <w:sz w:val="24"/>
          <w:szCs w:val="24"/>
          <w:highlight w:val="none"/>
          <w:lang w:val="en-US" w:eastAsia="zh-CN"/>
        </w:rPr>
        <w:t>提</w:t>
      </w:r>
      <w:r>
        <w:rPr>
          <w:rFonts w:hint="eastAsia" w:ascii="宋体" w:hAnsi="宋体" w:eastAsia="宋体" w:cs="宋体"/>
          <w:b/>
          <w:bCs/>
          <w:color w:val="auto"/>
          <w:sz w:val="24"/>
          <w:szCs w:val="24"/>
          <w:highlight w:val="none"/>
        </w:rPr>
        <w:t>交</w:t>
      </w:r>
      <w:bookmarkEnd w:id="82"/>
      <w:bookmarkEnd w:id="83"/>
      <w:bookmarkEnd w:id="84"/>
      <w:bookmarkEnd w:id="85"/>
      <w:bookmarkEnd w:id="86"/>
      <w:bookmarkEnd w:id="87"/>
      <w:bookmarkEnd w:id="88"/>
      <w:bookmarkEnd w:id="89"/>
      <w:bookmarkEnd w:id="90"/>
      <w:bookmarkEnd w:id="91"/>
    </w:p>
    <w:p w14:paraId="56FC34B6">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bookmarkStart w:id="92" w:name="_Toc30259"/>
      <w:bookmarkStart w:id="93" w:name="_Toc8730"/>
      <w:bookmarkStart w:id="94" w:name="_Toc14795"/>
      <w:bookmarkStart w:id="95" w:name="_Toc10256"/>
      <w:bookmarkStart w:id="96" w:name="_Toc25534"/>
      <w:bookmarkStart w:id="97" w:name="_Toc26952"/>
      <w:bookmarkStart w:id="98" w:name="_Toc24323"/>
      <w:bookmarkStart w:id="99" w:name="_Toc18583"/>
      <w:bookmarkStart w:id="100" w:name="_Toc11186"/>
      <w:bookmarkStart w:id="101" w:name="_Toc21719"/>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8</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z w:val="24"/>
          <w:szCs w:val="24"/>
          <w:highlight w:val="none"/>
          <w:lang w:eastAsia="zh-CN"/>
        </w:rPr>
        <w:t>投标文件</w:t>
      </w:r>
      <w:r>
        <w:rPr>
          <w:rFonts w:hint="eastAsia" w:ascii="宋体" w:hAnsi="宋体" w:eastAsia="宋体" w:cs="宋体"/>
          <w:b/>
          <w:bCs/>
          <w:color w:val="auto"/>
          <w:sz w:val="24"/>
          <w:szCs w:val="24"/>
          <w:highlight w:val="none"/>
        </w:rPr>
        <w:t>的</w:t>
      </w:r>
      <w:r>
        <w:rPr>
          <w:rFonts w:hint="eastAsia" w:ascii="宋体" w:hAnsi="宋体" w:eastAsia="宋体" w:cs="宋体"/>
          <w:b/>
          <w:bCs/>
          <w:color w:val="auto"/>
          <w:sz w:val="24"/>
          <w:szCs w:val="24"/>
          <w:highlight w:val="none"/>
          <w:lang w:val="en-US" w:eastAsia="zh-CN"/>
        </w:rPr>
        <w:t>提</w:t>
      </w:r>
      <w:r>
        <w:rPr>
          <w:rFonts w:hint="eastAsia" w:ascii="宋体" w:hAnsi="宋体" w:eastAsia="宋体" w:cs="宋体"/>
          <w:b/>
          <w:bCs/>
          <w:color w:val="auto"/>
          <w:sz w:val="24"/>
          <w:szCs w:val="24"/>
          <w:highlight w:val="none"/>
        </w:rPr>
        <w:t>交详见供应商须知</w:t>
      </w:r>
      <w:r>
        <w:rPr>
          <w:rFonts w:hint="eastAsia" w:ascii="宋体" w:hAnsi="宋体" w:eastAsia="宋体" w:cs="宋体"/>
          <w:b/>
          <w:bCs/>
          <w:color w:val="auto"/>
          <w:sz w:val="24"/>
          <w:szCs w:val="24"/>
          <w:highlight w:val="none"/>
          <w:lang w:val="en-US" w:eastAsia="zh-CN"/>
        </w:rPr>
        <w:t>前附表</w:t>
      </w:r>
      <w:r>
        <w:rPr>
          <w:rFonts w:hint="eastAsia" w:ascii="宋体" w:hAnsi="宋体" w:eastAsia="宋体" w:cs="宋体"/>
          <w:b/>
          <w:bCs/>
          <w:color w:val="auto"/>
          <w:sz w:val="24"/>
          <w:szCs w:val="24"/>
          <w:highlight w:val="none"/>
        </w:rPr>
        <w:t>。</w:t>
      </w:r>
    </w:p>
    <w:p w14:paraId="3260688E">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19</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z w:val="24"/>
          <w:szCs w:val="24"/>
          <w:highlight w:val="none"/>
          <w:lang w:eastAsia="zh-CN"/>
        </w:rPr>
        <w:t>投标文件</w:t>
      </w:r>
      <w:r>
        <w:rPr>
          <w:rFonts w:hint="eastAsia" w:ascii="宋体" w:hAnsi="宋体" w:eastAsia="宋体" w:cs="宋体"/>
          <w:b/>
          <w:bCs/>
          <w:color w:val="auto"/>
          <w:sz w:val="24"/>
          <w:szCs w:val="24"/>
          <w:highlight w:val="none"/>
          <w:lang w:val="en-US" w:eastAsia="zh-CN"/>
        </w:rPr>
        <w:t>递交</w:t>
      </w:r>
      <w:r>
        <w:rPr>
          <w:rFonts w:hint="eastAsia" w:ascii="宋体" w:hAnsi="宋体" w:eastAsia="宋体" w:cs="宋体"/>
          <w:b/>
          <w:bCs/>
          <w:color w:val="auto"/>
          <w:sz w:val="24"/>
          <w:szCs w:val="24"/>
          <w:highlight w:val="none"/>
        </w:rPr>
        <w:t>的截止时间</w:t>
      </w:r>
    </w:p>
    <w:p w14:paraId="23445A52">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.1 供应商必须在</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要求</w:t>
      </w:r>
      <w:r>
        <w:rPr>
          <w:rFonts w:hint="eastAsia" w:ascii="宋体" w:hAnsi="宋体" w:eastAsia="宋体" w:cs="宋体"/>
          <w:color w:val="auto"/>
          <w:sz w:val="24"/>
          <w:szCs w:val="24"/>
          <w:highlight w:val="none"/>
          <w:lang w:val="en-US" w:eastAsia="zh-CN"/>
        </w:rPr>
        <w:t>递交</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的截止时间前</w:t>
      </w:r>
      <w:r>
        <w:rPr>
          <w:rFonts w:hint="eastAsia" w:ascii="宋体" w:hAnsi="宋体" w:eastAsia="宋体" w:cs="宋体"/>
          <w:color w:val="auto"/>
          <w:sz w:val="24"/>
          <w:szCs w:val="24"/>
          <w:highlight w:val="none"/>
          <w:lang w:val="en-US" w:eastAsia="zh-CN"/>
        </w:rPr>
        <w:t>提</w:t>
      </w:r>
      <w:r>
        <w:rPr>
          <w:rFonts w:hint="eastAsia" w:ascii="宋体" w:hAnsi="宋体" w:eastAsia="宋体" w:cs="宋体"/>
          <w:color w:val="auto"/>
          <w:sz w:val="24"/>
          <w:szCs w:val="24"/>
          <w:highlight w:val="none"/>
        </w:rPr>
        <w:t>交。</w:t>
      </w:r>
    </w:p>
    <w:p w14:paraId="404D7405">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.2 在</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要求</w:t>
      </w:r>
      <w:r>
        <w:rPr>
          <w:rFonts w:hint="eastAsia" w:ascii="宋体" w:hAnsi="宋体" w:eastAsia="宋体" w:cs="宋体"/>
          <w:color w:val="auto"/>
          <w:sz w:val="24"/>
          <w:szCs w:val="24"/>
          <w:highlight w:val="none"/>
          <w:lang w:val="en-US" w:eastAsia="zh-CN"/>
        </w:rPr>
        <w:t>递</w:t>
      </w:r>
      <w:r>
        <w:rPr>
          <w:rFonts w:hint="eastAsia" w:ascii="宋体" w:hAnsi="宋体" w:eastAsia="宋体" w:cs="宋体"/>
          <w:color w:val="auto"/>
          <w:sz w:val="24"/>
          <w:szCs w:val="24"/>
          <w:highlight w:val="none"/>
        </w:rPr>
        <w:t>交</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的截止时间之后送达的</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，为无效</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，采购人将不予接收。</w:t>
      </w:r>
    </w:p>
    <w:p w14:paraId="548052DB">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val="en-US" w:eastAsia="zh-CN"/>
        </w:rPr>
        <w:t>0</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z w:val="24"/>
          <w:szCs w:val="24"/>
          <w:highlight w:val="none"/>
          <w:lang w:eastAsia="zh-CN"/>
        </w:rPr>
        <w:t>投标文件</w:t>
      </w:r>
      <w:r>
        <w:rPr>
          <w:rFonts w:hint="eastAsia" w:ascii="宋体" w:hAnsi="宋体" w:eastAsia="宋体" w:cs="宋体"/>
          <w:b/>
          <w:bCs/>
          <w:color w:val="auto"/>
          <w:sz w:val="24"/>
          <w:szCs w:val="24"/>
          <w:highlight w:val="none"/>
        </w:rPr>
        <w:t>的修改和撤回</w:t>
      </w:r>
    </w:p>
    <w:p w14:paraId="12A2FC97">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.1 供应商在投标截止时间前，可以对所</w:t>
      </w:r>
      <w:r>
        <w:rPr>
          <w:rFonts w:hint="eastAsia" w:ascii="宋体" w:hAnsi="宋体" w:eastAsia="宋体" w:cs="宋体"/>
          <w:color w:val="auto"/>
          <w:sz w:val="24"/>
          <w:szCs w:val="24"/>
          <w:highlight w:val="none"/>
          <w:lang w:val="en-US" w:eastAsia="zh-CN"/>
        </w:rPr>
        <w:t>提</w:t>
      </w:r>
      <w:r>
        <w:rPr>
          <w:rFonts w:hint="eastAsia" w:ascii="宋体" w:hAnsi="宋体" w:eastAsia="宋体" w:cs="宋体"/>
          <w:color w:val="auto"/>
          <w:sz w:val="24"/>
          <w:szCs w:val="24"/>
          <w:highlight w:val="none"/>
        </w:rPr>
        <w:t>交的</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进行补充、修改或者撤回。补充、修改的内容应当按</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要求签署、盖章，并作为</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的组成部分。供应商对其</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进行的修改或撤回应在</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规定的投标截止时间前送达。</w:t>
      </w:r>
    </w:p>
    <w:p w14:paraId="423F2CB7">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.2 供应商根据</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载明采购项目的实际情况，拟在中标后将中标项目的非主体、非关键性工作交由他人完成的，应当在</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中载明。</w:t>
      </w:r>
    </w:p>
    <w:p w14:paraId="6CDF9168">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.3 投标截止时间后不得修改</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w:t>
      </w:r>
    </w:p>
    <w:p w14:paraId="5BC7EE75">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.4 供应商不得在投标有效期</w:t>
      </w:r>
      <w:r>
        <w:rPr>
          <w:rFonts w:hint="eastAsia" w:ascii="宋体" w:hAnsi="宋体" w:eastAsia="宋体" w:cs="宋体"/>
          <w:color w:val="auto"/>
          <w:sz w:val="24"/>
          <w:szCs w:val="24"/>
          <w:highlight w:val="none"/>
          <w:lang w:val="en-US" w:eastAsia="zh-CN"/>
        </w:rPr>
        <w:t>内</w:t>
      </w:r>
      <w:r>
        <w:rPr>
          <w:rFonts w:hint="eastAsia" w:ascii="宋体" w:hAnsi="宋体" w:eastAsia="宋体" w:cs="宋体"/>
          <w:color w:val="auto"/>
          <w:sz w:val="24"/>
          <w:szCs w:val="24"/>
          <w:highlight w:val="none"/>
        </w:rPr>
        <w:t>撤销</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，否则采购人将不予退还其投标保证金。</w:t>
      </w:r>
    </w:p>
    <w:p w14:paraId="05D933BC">
      <w:pPr>
        <w:keepNext w:val="0"/>
        <w:keepLines w:val="0"/>
        <w:pageBreakBefore w:val="0"/>
        <w:widowControl w:val="0"/>
        <w:tabs>
          <w:tab w:val="left" w:pos="5527"/>
        </w:tabs>
        <w:kinsoku/>
        <w:wordWrap/>
        <w:overflowPunct/>
        <w:topLinePunct w:val="0"/>
        <w:bidi w:val="0"/>
        <w:spacing w:line="348" w:lineRule="auto"/>
        <w:jc w:val="center"/>
        <w:textAlignment w:val="auto"/>
        <w:outlineLvl w:val="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五、开   标</w:t>
      </w:r>
      <w:bookmarkEnd w:id="92"/>
      <w:bookmarkEnd w:id="93"/>
      <w:bookmarkEnd w:id="94"/>
      <w:bookmarkEnd w:id="95"/>
      <w:bookmarkEnd w:id="96"/>
      <w:bookmarkEnd w:id="97"/>
      <w:bookmarkEnd w:id="98"/>
      <w:bookmarkEnd w:id="99"/>
      <w:bookmarkEnd w:id="100"/>
      <w:bookmarkEnd w:id="101"/>
    </w:p>
    <w:p w14:paraId="273CC514">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 xml:space="preserve">  开标</w:t>
      </w:r>
    </w:p>
    <w:p w14:paraId="7DE06999">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 开标</w:t>
      </w:r>
      <w:r>
        <w:rPr>
          <w:rFonts w:hint="eastAsia" w:ascii="宋体" w:hAnsi="宋体" w:eastAsia="宋体" w:cs="宋体"/>
          <w:color w:val="auto"/>
          <w:sz w:val="24"/>
          <w:szCs w:val="24"/>
          <w:highlight w:val="none"/>
          <w:lang w:val="en-US" w:eastAsia="zh-CN"/>
        </w:rPr>
        <w:t>时间</w:t>
      </w:r>
      <w:r>
        <w:rPr>
          <w:rFonts w:hint="eastAsia" w:ascii="宋体" w:hAnsi="宋体" w:eastAsia="宋体" w:cs="宋体"/>
          <w:color w:val="auto"/>
          <w:sz w:val="24"/>
          <w:szCs w:val="24"/>
          <w:highlight w:val="none"/>
        </w:rPr>
        <w:t>为</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lang w:val="en-US" w:eastAsia="zh-CN"/>
        </w:rPr>
        <w:t>中</w:t>
      </w:r>
      <w:r>
        <w:rPr>
          <w:rFonts w:hint="eastAsia" w:ascii="宋体" w:hAnsi="宋体" w:eastAsia="宋体" w:cs="宋体"/>
          <w:color w:val="auto"/>
          <w:sz w:val="24"/>
          <w:szCs w:val="24"/>
          <w:highlight w:val="none"/>
        </w:rPr>
        <w:t>提交</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截止时间；开标地点为</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中预先确定的地点。</w:t>
      </w:r>
    </w:p>
    <w:p w14:paraId="197A7B17">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.2 采购代理机构主持，采购人、供应商和有关方面代表参加。投标供应商不足3家的，不得开标。</w:t>
      </w:r>
    </w:p>
    <w:p w14:paraId="17C55B88">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.3 开标方式：电子开评标</w:t>
      </w:r>
    </w:p>
    <w:p w14:paraId="31652DE8">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.3.1开标时间到达后，主持人</w:t>
      </w:r>
      <w:r>
        <w:rPr>
          <w:rFonts w:hint="eastAsia" w:ascii="宋体" w:hAnsi="宋体" w:eastAsia="宋体" w:cs="宋体"/>
          <w:color w:val="auto"/>
          <w:sz w:val="24"/>
          <w:szCs w:val="24"/>
          <w:highlight w:val="none"/>
          <w:lang w:val="en-US" w:eastAsia="zh-CN"/>
        </w:rPr>
        <w:t>开启解密标书后，供应商点击【CA解密】进行解密，超过解密时限，默认供应商自动放弃。解密成功的</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可继续进行开标。</w:t>
      </w:r>
    </w:p>
    <w:p w14:paraId="1BDE0C97">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.3.2 若</w:t>
      </w:r>
      <w:r>
        <w:rPr>
          <w:rFonts w:hint="eastAsia" w:ascii="宋体" w:hAnsi="宋体" w:eastAsia="宋体" w:cs="宋体"/>
          <w:color w:val="auto"/>
          <w:sz w:val="24"/>
          <w:szCs w:val="24"/>
          <w:highlight w:val="none"/>
          <w:lang w:val="en-US" w:eastAsia="zh-CN"/>
        </w:rPr>
        <w:t>提交</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家数少于三家或者开标后成功解密的家数少于三家的，将终止该</w:t>
      </w:r>
      <w:r>
        <w:rPr>
          <w:rFonts w:hint="eastAsia" w:ascii="宋体" w:hAnsi="宋体" w:eastAsia="宋体" w:cs="宋体"/>
          <w:color w:val="auto"/>
          <w:sz w:val="24"/>
          <w:szCs w:val="24"/>
          <w:highlight w:val="none"/>
          <w:lang w:val="en-US" w:eastAsia="zh-CN"/>
        </w:rPr>
        <w:t>项目（标项）</w:t>
      </w:r>
      <w:r>
        <w:rPr>
          <w:rFonts w:hint="eastAsia" w:ascii="宋体" w:hAnsi="宋体" w:eastAsia="宋体" w:cs="宋体"/>
          <w:color w:val="auto"/>
          <w:sz w:val="24"/>
          <w:szCs w:val="24"/>
          <w:highlight w:val="none"/>
        </w:rPr>
        <w:t xml:space="preserve">的开标。 </w:t>
      </w:r>
    </w:p>
    <w:p w14:paraId="60489B8A">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.4 </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报价出现前后不一致的，除</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另有规定外，按照下列规定修正：</w:t>
      </w:r>
    </w:p>
    <w:p w14:paraId="636FB9A7">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21.4.1</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中开标一览表（报价</w:t>
      </w:r>
      <w:r>
        <w:rPr>
          <w:rFonts w:hint="eastAsia" w:ascii="宋体" w:hAnsi="宋体" w:eastAsia="宋体" w:cs="宋体"/>
          <w:color w:val="auto"/>
          <w:sz w:val="24"/>
          <w:szCs w:val="24"/>
          <w:highlight w:val="none"/>
          <w:lang w:val="en-US" w:eastAsia="zh-CN"/>
        </w:rPr>
        <w:t>一览</w:t>
      </w:r>
      <w:r>
        <w:rPr>
          <w:rFonts w:hint="eastAsia" w:ascii="宋体" w:hAnsi="宋体" w:eastAsia="宋体" w:cs="宋体"/>
          <w:color w:val="auto"/>
          <w:sz w:val="24"/>
          <w:szCs w:val="24"/>
          <w:highlight w:val="none"/>
        </w:rPr>
        <w:t>表）内容与</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中相应内容不一致的，以开标一览表（报价</w:t>
      </w:r>
      <w:r>
        <w:rPr>
          <w:rFonts w:hint="eastAsia" w:ascii="宋体" w:hAnsi="宋体" w:eastAsia="宋体" w:cs="宋体"/>
          <w:color w:val="auto"/>
          <w:sz w:val="24"/>
          <w:szCs w:val="24"/>
          <w:highlight w:val="none"/>
          <w:lang w:val="en-US" w:eastAsia="zh-CN"/>
        </w:rPr>
        <w:t>一览</w:t>
      </w:r>
      <w:r>
        <w:rPr>
          <w:rFonts w:hint="eastAsia" w:ascii="宋体" w:hAnsi="宋体" w:eastAsia="宋体" w:cs="宋体"/>
          <w:color w:val="auto"/>
          <w:sz w:val="24"/>
          <w:szCs w:val="24"/>
          <w:highlight w:val="none"/>
        </w:rPr>
        <w:t>表）为准；</w:t>
      </w:r>
    </w:p>
    <w:p w14:paraId="0F22CBF2">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21.4.2</w:t>
      </w:r>
      <w:r>
        <w:rPr>
          <w:rFonts w:hint="eastAsia" w:ascii="宋体" w:hAnsi="宋体" w:eastAsia="宋体" w:cs="宋体"/>
          <w:color w:val="auto"/>
          <w:sz w:val="24"/>
          <w:szCs w:val="24"/>
          <w:highlight w:val="none"/>
        </w:rPr>
        <w:t>大写金额和小写金额不一致的，以大写金额为准；</w:t>
      </w:r>
    </w:p>
    <w:p w14:paraId="3643F724">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21.4.3</w:t>
      </w:r>
      <w:r>
        <w:rPr>
          <w:rFonts w:hint="eastAsia" w:ascii="宋体" w:hAnsi="宋体" w:eastAsia="宋体" w:cs="宋体"/>
          <w:color w:val="auto"/>
          <w:sz w:val="24"/>
          <w:szCs w:val="24"/>
          <w:highlight w:val="none"/>
        </w:rPr>
        <w:t>单价金额小数点或者百分比有明显错位的，以开标一览表（报价</w:t>
      </w:r>
      <w:r>
        <w:rPr>
          <w:rFonts w:hint="eastAsia" w:ascii="宋体" w:hAnsi="宋体" w:eastAsia="宋体" w:cs="宋体"/>
          <w:color w:val="auto"/>
          <w:sz w:val="24"/>
          <w:szCs w:val="24"/>
          <w:highlight w:val="none"/>
          <w:lang w:val="en-US" w:eastAsia="zh-CN"/>
        </w:rPr>
        <w:t>一览</w:t>
      </w:r>
      <w:r>
        <w:rPr>
          <w:rFonts w:hint="eastAsia" w:ascii="宋体" w:hAnsi="宋体" w:eastAsia="宋体" w:cs="宋体"/>
          <w:color w:val="auto"/>
          <w:sz w:val="24"/>
          <w:szCs w:val="24"/>
          <w:highlight w:val="none"/>
        </w:rPr>
        <w:t>表）的总价为准，并修改单价；</w:t>
      </w:r>
    </w:p>
    <w:p w14:paraId="453B5E92">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21.4.4</w:t>
      </w:r>
      <w:r>
        <w:rPr>
          <w:rFonts w:hint="eastAsia" w:ascii="宋体" w:hAnsi="宋体" w:eastAsia="宋体" w:cs="宋体"/>
          <w:color w:val="auto"/>
          <w:sz w:val="24"/>
          <w:szCs w:val="24"/>
          <w:highlight w:val="none"/>
        </w:rPr>
        <w:t>总价金额与按单价汇总金额不一致的，以单价金额计算结果为准。</w:t>
      </w:r>
    </w:p>
    <w:p w14:paraId="7845F1C4">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21.4.5</w:t>
      </w:r>
      <w:r>
        <w:rPr>
          <w:rFonts w:hint="eastAsia" w:ascii="宋体" w:hAnsi="宋体" w:eastAsia="宋体" w:cs="宋体"/>
          <w:color w:val="auto"/>
          <w:sz w:val="24"/>
          <w:szCs w:val="24"/>
          <w:highlight w:val="none"/>
        </w:rPr>
        <w:t>对不同文字文本</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的解释发生异议的，以中文文本为准。</w:t>
      </w:r>
    </w:p>
    <w:p w14:paraId="18D18E70">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.5 对未按照本</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要求进行投标及资格审查不合格的供应商，其</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将按无效投标处理。</w:t>
      </w:r>
    </w:p>
    <w:p w14:paraId="7593948B">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.6 供应商之间不得相互串通投标报价，不得妨碍其他供应商的公平竞争，不得损害采购人或者其他供应商的合法权益。</w:t>
      </w:r>
    </w:p>
    <w:p w14:paraId="2CB9511B">
      <w:pPr>
        <w:keepNext w:val="0"/>
        <w:keepLines w:val="0"/>
        <w:pageBreakBefore w:val="0"/>
        <w:widowControl w:val="0"/>
        <w:tabs>
          <w:tab w:val="left" w:pos="5527"/>
        </w:tabs>
        <w:kinsoku/>
        <w:wordWrap/>
        <w:overflowPunct/>
        <w:topLinePunct w:val="0"/>
        <w:autoSpaceDE/>
        <w:autoSpaceDN/>
        <w:bidi w:val="0"/>
        <w:adjustRightInd/>
        <w:snapToGrid/>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.7</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供应商不得向采购人、</w:t>
      </w:r>
      <w:r>
        <w:rPr>
          <w:rFonts w:hint="eastAsia" w:ascii="宋体" w:hAnsi="宋体" w:eastAsia="宋体" w:cs="宋体"/>
          <w:color w:val="auto"/>
          <w:sz w:val="24"/>
          <w:szCs w:val="24"/>
          <w:highlight w:val="none"/>
          <w:lang w:eastAsia="zh-CN"/>
        </w:rPr>
        <w:t>评标小组</w:t>
      </w:r>
      <w:r>
        <w:rPr>
          <w:rFonts w:hint="eastAsia" w:ascii="宋体" w:hAnsi="宋体" w:eastAsia="宋体" w:cs="宋体"/>
          <w:color w:val="auto"/>
          <w:sz w:val="24"/>
          <w:szCs w:val="24"/>
          <w:highlight w:val="none"/>
        </w:rPr>
        <w:t>成员行贿或者采取其他不正当手段谋取中标。</w:t>
      </w:r>
    </w:p>
    <w:p w14:paraId="20ED5824">
      <w:pPr>
        <w:keepNext w:val="0"/>
        <w:keepLines w:val="0"/>
        <w:pageBreakBefore w:val="0"/>
        <w:widowControl w:val="0"/>
        <w:tabs>
          <w:tab w:val="left" w:pos="5527"/>
        </w:tabs>
        <w:kinsoku/>
        <w:wordWrap/>
        <w:overflowPunct/>
        <w:topLinePunct w:val="0"/>
        <w:bidi w:val="0"/>
        <w:spacing w:line="348" w:lineRule="auto"/>
        <w:jc w:val="center"/>
        <w:textAlignment w:val="auto"/>
        <w:outlineLvl w:val="2"/>
        <w:rPr>
          <w:rFonts w:hint="eastAsia" w:ascii="宋体" w:hAnsi="宋体" w:eastAsia="宋体" w:cs="宋体"/>
          <w:b/>
          <w:bCs/>
          <w:color w:val="auto"/>
          <w:sz w:val="24"/>
          <w:szCs w:val="24"/>
          <w:highlight w:val="none"/>
        </w:rPr>
      </w:pPr>
      <w:bookmarkStart w:id="102" w:name="_Toc17564"/>
      <w:bookmarkStart w:id="103" w:name="_Toc4557"/>
      <w:bookmarkStart w:id="104" w:name="_Toc16901"/>
      <w:bookmarkStart w:id="105" w:name="_Toc12203"/>
      <w:bookmarkStart w:id="106" w:name="_Toc16195"/>
      <w:bookmarkStart w:id="107" w:name="_Toc24841"/>
      <w:bookmarkStart w:id="108" w:name="_Toc27665"/>
      <w:bookmarkStart w:id="109" w:name="_Toc32611"/>
      <w:bookmarkStart w:id="110" w:name="_Toc6415"/>
      <w:bookmarkStart w:id="111" w:name="_Toc29037"/>
      <w:r>
        <w:rPr>
          <w:rFonts w:hint="eastAsia" w:ascii="宋体" w:hAnsi="宋体" w:eastAsia="宋体" w:cs="宋体"/>
          <w:b/>
          <w:bCs/>
          <w:color w:val="auto"/>
          <w:sz w:val="24"/>
          <w:szCs w:val="24"/>
          <w:highlight w:val="none"/>
        </w:rPr>
        <w:t>六、 评标、定标</w:t>
      </w:r>
      <w:bookmarkEnd w:id="102"/>
      <w:bookmarkEnd w:id="103"/>
      <w:bookmarkEnd w:id="104"/>
      <w:bookmarkEnd w:id="105"/>
      <w:bookmarkEnd w:id="106"/>
      <w:bookmarkEnd w:id="107"/>
      <w:bookmarkEnd w:id="108"/>
      <w:bookmarkEnd w:id="109"/>
      <w:bookmarkEnd w:id="110"/>
      <w:bookmarkEnd w:id="111"/>
    </w:p>
    <w:p w14:paraId="080A6801">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bookmarkStart w:id="112" w:name="OLE_LINK1"/>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 xml:space="preserve">  评标</w:t>
      </w:r>
    </w:p>
    <w:p w14:paraId="2B435BAB">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.1评标</w:t>
      </w:r>
      <w:r>
        <w:rPr>
          <w:rFonts w:hint="eastAsia" w:ascii="宋体" w:hAnsi="宋体" w:eastAsia="宋体" w:cs="宋体"/>
          <w:color w:val="auto"/>
          <w:sz w:val="24"/>
          <w:szCs w:val="24"/>
          <w:highlight w:val="none"/>
          <w:lang w:eastAsia="zh-CN"/>
        </w:rPr>
        <w:t>小组</w:t>
      </w:r>
    </w:p>
    <w:p w14:paraId="3FB77608">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评标</w:t>
      </w:r>
      <w:r>
        <w:rPr>
          <w:rFonts w:hint="eastAsia" w:ascii="宋体" w:hAnsi="宋体" w:eastAsia="宋体" w:cs="宋体"/>
          <w:color w:val="auto"/>
          <w:sz w:val="24"/>
          <w:szCs w:val="24"/>
          <w:highlight w:val="none"/>
          <w:lang w:eastAsia="zh-CN"/>
        </w:rPr>
        <w:t>小组由采购人代表和评审专家组成，成员人数应当为</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人以上单数，其中评审专家不得少于成员总数的三分之二。采购预算金额在1000万元以上、技术复杂、社会影响较大</w:t>
      </w:r>
      <w:r>
        <w:rPr>
          <w:rFonts w:hint="eastAsia" w:ascii="宋体" w:hAnsi="宋体" w:eastAsia="宋体" w:cs="宋体"/>
          <w:color w:val="auto"/>
          <w:sz w:val="24"/>
          <w:szCs w:val="24"/>
          <w:highlight w:val="none"/>
          <w:lang w:val="en-US" w:eastAsia="zh-CN"/>
        </w:rPr>
        <w:t>的采购项目</w:t>
      </w:r>
      <w:r>
        <w:rPr>
          <w:rFonts w:hint="eastAsia" w:ascii="宋体" w:hAnsi="宋体" w:eastAsia="宋体" w:cs="宋体"/>
          <w:color w:val="auto"/>
          <w:sz w:val="24"/>
          <w:szCs w:val="24"/>
          <w:highlight w:val="none"/>
          <w:lang w:eastAsia="zh-CN"/>
        </w:rPr>
        <w:t>，评标委员会成员人数应当为7人以上单数。</w:t>
      </w:r>
    </w:p>
    <w:p w14:paraId="3961B19A">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.1.2 评审专家对本单位的采购项目只能作为采购人代表参与评标，采购代理机构工作人员不得参加由本机构代理的政府采购项目的评标。</w:t>
      </w:r>
    </w:p>
    <w:p w14:paraId="3BD8DE20">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 xml:space="preserve">3 </w:t>
      </w:r>
      <w:r>
        <w:rPr>
          <w:rFonts w:hint="eastAsia" w:ascii="宋体" w:hAnsi="宋体" w:eastAsia="宋体" w:cs="宋体"/>
          <w:color w:val="auto"/>
          <w:sz w:val="24"/>
          <w:szCs w:val="24"/>
          <w:highlight w:val="none"/>
        </w:rPr>
        <w:t>采购人就</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征询过意见的专家，不得再作为评</w:t>
      </w:r>
      <w:r>
        <w:rPr>
          <w:rFonts w:hint="eastAsia" w:ascii="宋体" w:hAnsi="宋体" w:eastAsia="宋体" w:cs="宋体"/>
          <w:color w:val="auto"/>
          <w:sz w:val="24"/>
          <w:szCs w:val="24"/>
          <w:highlight w:val="none"/>
          <w:lang w:val="en-US" w:eastAsia="zh-CN"/>
        </w:rPr>
        <w:t>审</w:t>
      </w:r>
      <w:r>
        <w:rPr>
          <w:rFonts w:hint="eastAsia" w:ascii="宋体" w:hAnsi="宋体" w:eastAsia="宋体" w:cs="宋体"/>
          <w:color w:val="auto"/>
          <w:sz w:val="24"/>
          <w:szCs w:val="24"/>
          <w:highlight w:val="none"/>
        </w:rPr>
        <w:t>专家参加评标。采购代理机构工作人员不得参加由本机构代理的政府采购项目的评标。</w:t>
      </w:r>
    </w:p>
    <w:p w14:paraId="12950E97">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4</w:t>
      </w:r>
      <w:r>
        <w:rPr>
          <w:rFonts w:hint="eastAsia" w:ascii="宋体" w:hAnsi="宋体" w:eastAsia="宋体" w:cs="宋体"/>
          <w:b/>
          <w:bCs/>
          <w:color w:val="auto"/>
          <w:sz w:val="24"/>
          <w:szCs w:val="24"/>
          <w:highlight w:val="none"/>
        </w:rPr>
        <w:t xml:space="preserve"> 采购人委托代表参加</w:t>
      </w:r>
      <w:r>
        <w:rPr>
          <w:rFonts w:hint="eastAsia" w:ascii="宋体" w:hAnsi="宋体" w:eastAsia="宋体" w:cs="宋体"/>
          <w:b/>
          <w:bCs/>
          <w:color w:val="auto"/>
          <w:sz w:val="24"/>
          <w:szCs w:val="24"/>
          <w:highlight w:val="none"/>
          <w:lang w:val="en-US" w:eastAsia="zh-CN"/>
        </w:rPr>
        <w:t>评审的</w:t>
      </w:r>
      <w:r>
        <w:rPr>
          <w:rFonts w:hint="eastAsia" w:ascii="宋体" w:hAnsi="宋体" w:eastAsia="宋体" w:cs="宋体"/>
          <w:b/>
          <w:bCs/>
          <w:color w:val="auto"/>
          <w:sz w:val="24"/>
          <w:szCs w:val="24"/>
          <w:highlight w:val="none"/>
        </w:rPr>
        <w:t>，向采购代理机构出具授权</w:t>
      </w:r>
      <w:r>
        <w:rPr>
          <w:rFonts w:hint="eastAsia" w:ascii="宋体" w:hAnsi="宋体" w:eastAsia="宋体" w:cs="宋体"/>
          <w:b/>
          <w:bCs/>
          <w:color w:val="auto"/>
          <w:sz w:val="24"/>
          <w:szCs w:val="24"/>
          <w:highlight w:val="none"/>
          <w:lang w:val="en-US" w:eastAsia="zh-CN"/>
        </w:rPr>
        <w:t>函</w:t>
      </w:r>
      <w:r>
        <w:rPr>
          <w:rFonts w:hint="eastAsia" w:ascii="宋体" w:hAnsi="宋体" w:eastAsia="宋体" w:cs="宋体"/>
          <w:b/>
          <w:bCs/>
          <w:color w:val="auto"/>
          <w:sz w:val="24"/>
          <w:szCs w:val="24"/>
          <w:highlight w:val="none"/>
        </w:rPr>
        <w:t>，采购人代表不得担任评标</w:t>
      </w:r>
      <w:r>
        <w:rPr>
          <w:rFonts w:hint="eastAsia" w:ascii="宋体" w:hAnsi="宋体" w:eastAsia="宋体" w:cs="宋体"/>
          <w:b/>
          <w:bCs/>
          <w:color w:val="auto"/>
          <w:sz w:val="24"/>
          <w:szCs w:val="24"/>
          <w:highlight w:val="none"/>
          <w:lang w:eastAsia="zh-CN"/>
        </w:rPr>
        <w:t>小组</w:t>
      </w:r>
      <w:r>
        <w:rPr>
          <w:rFonts w:hint="eastAsia" w:ascii="宋体" w:hAnsi="宋体" w:eastAsia="宋体" w:cs="宋体"/>
          <w:b/>
          <w:bCs/>
          <w:color w:val="auto"/>
          <w:sz w:val="24"/>
          <w:szCs w:val="24"/>
          <w:highlight w:val="none"/>
          <w:lang w:val="en-US" w:eastAsia="zh-CN"/>
        </w:rPr>
        <w:t>组长</w:t>
      </w:r>
      <w:r>
        <w:rPr>
          <w:rFonts w:hint="eastAsia" w:ascii="宋体" w:hAnsi="宋体" w:eastAsia="宋体" w:cs="宋体"/>
          <w:b/>
          <w:bCs/>
          <w:color w:val="auto"/>
          <w:sz w:val="24"/>
          <w:szCs w:val="24"/>
          <w:highlight w:val="none"/>
        </w:rPr>
        <w:t>。</w:t>
      </w:r>
    </w:p>
    <w:p w14:paraId="2E8F9DE1">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采购人委派的评</w:t>
      </w:r>
      <w:r>
        <w:rPr>
          <w:rFonts w:hint="eastAsia" w:ascii="宋体" w:hAnsi="宋体" w:eastAsia="宋体" w:cs="宋体"/>
          <w:b/>
          <w:bCs/>
          <w:color w:val="auto"/>
          <w:sz w:val="24"/>
          <w:szCs w:val="24"/>
          <w:highlight w:val="none"/>
          <w:lang w:val="en-US" w:eastAsia="zh-CN"/>
        </w:rPr>
        <w:t>审</w:t>
      </w:r>
      <w:r>
        <w:rPr>
          <w:rFonts w:hint="eastAsia" w:ascii="宋体" w:hAnsi="宋体" w:eastAsia="宋体" w:cs="宋体"/>
          <w:b/>
          <w:bCs/>
          <w:color w:val="auto"/>
          <w:sz w:val="24"/>
          <w:szCs w:val="24"/>
          <w:highlight w:val="none"/>
        </w:rPr>
        <w:t>人员进入评标现场不得超过2人，其他无关人员不得进入评标现场。</w:t>
      </w:r>
    </w:p>
    <w:p w14:paraId="5CCABEB1">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22.1.5 评审专家</w:t>
      </w:r>
      <w:r>
        <w:rPr>
          <w:rFonts w:hint="eastAsia" w:ascii="宋体" w:hAnsi="宋体" w:eastAsia="宋体" w:cs="宋体"/>
          <w:color w:val="auto"/>
          <w:sz w:val="24"/>
          <w:szCs w:val="24"/>
          <w:highlight w:val="none"/>
        </w:rPr>
        <w:t>由</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代理在评审专家库中，通过随机方式抽取</w:t>
      </w:r>
      <w:r>
        <w:rPr>
          <w:rFonts w:hint="eastAsia" w:ascii="宋体" w:hAnsi="宋体" w:eastAsia="宋体" w:cs="宋体"/>
          <w:color w:val="auto"/>
          <w:sz w:val="24"/>
          <w:szCs w:val="24"/>
          <w:highlight w:val="none"/>
          <w:lang w:eastAsia="zh-CN"/>
        </w:rPr>
        <w:t>，评标小组成员名单在评标结果公告前应当保密。</w:t>
      </w:r>
      <w:r>
        <w:rPr>
          <w:rFonts w:hint="eastAsia" w:ascii="宋体" w:hAnsi="宋体" w:eastAsia="宋体" w:cs="宋体"/>
          <w:color w:val="auto"/>
          <w:sz w:val="24"/>
          <w:szCs w:val="24"/>
          <w:highlight w:val="none"/>
        </w:rPr>
        <w:t xml:space="preserve"> </w:t>
      </w:r>
    </w:p>
    <w:p w14:paraId="31C0E9B8">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 xml:space="preserve"> 评标</w:t>
      </w:r>
      <w:r>
        <w:rPr>
          <w:rFonts w:hint="eastAsia" w:ascii="宋体" w:hAnsi="宋体" w:eastAsia="宋体" w:cs="宋体"/>
          <w:color w:val="auto"/>
          <w:sz w:val="24"/>
          <w:szCs w:val="24"/>
          <w:highlight w:val="none"/>
          <w:lang w:val="en-US" w:eastAsia="zh-CN"/>
        </w:rPr>
        <w:t>小组</w:t>
      </w:r>
      <w:r>
        <w:rPr>
          <w:rFonts w:hint="eastAsia" w:ascii="宋体" w:hAnsi="宋体" w:eastAsia="宋体" w:cs="宋体"/>
          <w:color w:val="auto"/>
          <w:sz w:val="24"/>
          <w:szCs w:val="24"/>
          <w:highlight w:val="none"/>
        </w:rPr>
        <w:t>成员应认真执行相关法规规定，同时维护采购人与供应商的合法权益。</w:t>
      </w:r>
    </w:p>
    <w:p w14:paraId="313326E9">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 xml:space="preserve"> 评标的依据为</w:t>
      </w:r>
      <w:r>
        <w:rPr>
          <w:rFonts w:hint="eastAsia" w:ascii="宋体" w:hAnsi="宋体" w:eastAsia="宋体" w:cs="宋体"/>
          <w:color w:val="auto"/>
          <w:sz w:val="24"/>
          <w:szCs w:val="24"/>
          <w:highlight w:val="none"/>
          <w:lang w:val="en-US" w:eastAsia="zh-CN"/>
        </w:rPr>
        <w:t>公开招标</w:t>
      </w:r>
      <w:r>
        <w:rPr>
          <w:rFonts w:hint="eastAsia" w:ascii="宋体" w:hAnsi="宋体" w:eastAsia="宋体" w:cs="宋体"/>
          <w:color w:val="auto"/>
          <w:sz w:val="24"/>
          <w:szCs w:val="24"/>
          <w:highlight w:val="none"/>
        </w:rPr>
        <w:t>文件和</w:t>
      </w:r>
      <w:r>
        <w:rPr>
          <w:rFonts w:hint="eastAsia" w:ascii="宋体" w:hAnsi="宋体" w:eastAsia="宋体" w:cs="宋体"/>
          <w:color w:val="auto"/>
          <w:sz w:val="24"/>
          <w:szCs w:val="24"/>
          <w:highlight w:val="none"/>
          <w:lang w:eastAsia="zh-CN"/>
        </w:rPr>
        <w:t>投标文件。</w:t>
      </w:r>
    </w:p>
    <w:p w14:paraId="133F008D">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.1.6 评标中评标</w:t>
      </w:r>
      <w:r>
        <w:rPr>
          <w:rFonts w:hint="eastAsia" w:ascii="宋体" w:hAnsi="宋体" w:eastAsia="宋体" w:cs="宋体"/>
          <w:color w:val="auto"/>
          <w:sz w:val="24"/>
          <w:szCs w:val="24"/>
          <w:highlight w:val="none"/>
          <w:lang w:eastAsia="zh-CN"/>
        </w:rPr>
        <w:t>小组</w:t>
      </w:r>
      <w:r>
        <w:rPr>
          <w:rFonts w:hint="eastAsia" w:ascii="宋体" w:hAnsi="宋体" w:eastAsia="宋体" w:cs="宋体"/>
          <w:color w:val="auto"/>
          <w:sz w:val="24"/>
          <w:szCs w:val="24"/>
          <w:highlight w:val="none"/>
        </w:rPr>
        <w:t>成员若发生意见分歧，通过书面表决形式，以少数服从多数为原则决定。</w:t>
      </w:r>
    </w:p>
    <w:p w14:paraId="2D53A17C">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.2 评标纪律</w:t>
      </w:r>
    </w:p>
    <w:p w14:paraId="712AA703">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22.2.1 </w:t>
      </w:r>
      <w:r>
        <w:rPr>
          <w:rFonts w:hint="eastAsia" w:ascii="宋体" w:hAnsi="宋体" w:eastAsia="宋体" w:cs="宋体"/>
          <w:color w:val="auto"/>
          <w:sz w:val="24"/>
          <w:szCs w:val="24"/>
          <w:highlight w:val="none"/>
        </w:rPr>
        <w:t>要严格遵守评审时间，主动出具身份证明，遵守评审工作纪律和评审回避的相关规定。</w:t>
      </w:r>
    </w:p>
    <w:p w14:paraId="50E6D84D">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22.2.2 </w:t>
      </w:r>
      <w:r>
        <w:rPr>
          <w:rFonts w:hint="eastAsia" w:ascii="宋体" w:hAnsi="宋体" w:eastAsia="宋体" w:cs="宋体"/>
          <w:color w:val="auto"/>
          <w:sz w:val="24"/>
          <w:szCs w:val="24"/>
          <w:highlight w:val="none"/>
        </w:rPr>
        <w:t>在评审工作开始前，将手机等通讯工具或相关电子设备交由采购人或采购代理机构统一保管，拒不上交的，采购人或采购代理机构可以拒绝其参加评审工作并向</w:t>
      </w:r>
      <w:r>
        <w:rPr>
          <w:rFonts w:hint="eastAsia" w:ascii="宋体" w:hAnsi="宋体" w:eastAsia="宋体" w:cs="宋体"/>
          <w:color w:val="auto"/>
          <w:sz w:val="24"/>
          <w:szCs w:val="24"/>
          <w:highlight w:val="none"/>
          <w:lang w:val="en-US" w:eastAsia="zh-CN"/>
        </w:rPr>
        <w:t>相关</w:t>
      </w:r>
      <w:r>
        <w:rPr>
          <w:rFonts w:hint="eastAsia" w:ascii="宋体" w:hAnsi="宋体" w:eastAsia="宋体" w:cs="宋体"/>
          <w:color w:val="auto"/>
          <w:sz w:val="24"/>
          <w:szCs w:val="24"/>
          <w:highlight w:val="none"/>
        </w:rPr>
        <w:t>部门报告。</w:t>
      </w:r>
    </w:p>
    <w:p w14:paraId="7A7E3323">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22.2.3 </w:t>
      </w:r>
      <w:r>
        <w:rPr>
          <w:rFonts w:hint="eastAsia" w:ascii="宋体" w:hAnsi="宋体" w:eastAsia="宋体" w:cs="宋体"/>
          <w:color w:val="auto"/>
          <w:sz w:val="24"/>
          <w:szCs w:val="24"/>
          <w:highlight w:val="none"/>
          <w:lang w:eastAsia="zh-CN"/>
        </w:rPr>
        <w:t>评标小组</w:t>
      </w:r>
      <w:r>
        <w:rPr>
          <w:rFonts w:hint="eastAsia" w:ascii="宋体" w:hAnsi="宋体" w:eastAsia="宋体" w:cs="宋体"/>
          <w:color w:val="auto"/>
          <w:sz w:val="24"/>
          <w:szCs w:val="24"/>
          <w:highlight w:val="none"/>
        </w:rPr>
        <w:t>成员和评审工作有关人员不得干预或者影响正常评审工作，不得明示或者暗示其倾向性、引导性意见，不得修改或细化采购文件确定的评审程序、评审方法、评审因素和评审标准，不得接受供应商主动提出的澄清和解释，不得征询采购人代表的倾向性意见，不得协商评分，不得记录、复制或带走任何评审资料。</w:t>
      </w:r>
    </w:p>
    <w:p w14:paraId="5A4568A2">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22.2.4 </w:t>
      </w:r>
      <w:r>
        <w:rPr>
          <w:rFonts w:hint="eastAsia" w:ascii="宋体" w:hAnsi="宋体" w:eastAsia="宋体" w:cs="宋体"/>
          <w:color w:val="auto"/>
          <w:sz w:val="24"/>
          <w:szCs w:val="24"/>
          <w:highlight w:val="none"/>
        </w:rPr>
        <w:t>评审结果汇总完成后，采购人、采购代理机构和</w:t>
      </w:r>
      <w:r>
        <w:rPr>
          <w:rFonts w:hint="eastAsia" w:ascii="宋体" w:hAnsi="宋体" w:eastAsia="宋体" w:cs="宋体"/>
          <w:color w:val="auto"/>
          <w:sz w:val="24"/>
          <w:szCs w:val="24"/>
          <w:highlight w:val="none"/>
          <w:lang w:eastAsia="zh-CN"/>
        </w:rPr>
        <w:t>评标小组</w:t>
      </w:r>
      <w:r>
        <w:rPr>
          <w:rFonts w:hint="eastAsia" w:ascii="宋体" w:hAnsi="宋体" w:eastAsia="宋体" w:cs="宋体"/>
          <w:color w:val="auto"/>
          <w:sz w:val="24"/>
          <w:szCs w:val="24"/>
          <w:highlight w:val="none"/>
        </w:rPr>
        <w:t>均不得修改评审结果或者要求重新评审，但资格性检查认定错误、分值汇总计算错误、分项评分超出评分标准范围、客观分评分不一致、经</w:t>
      </w:r>
      <w:r>
        <w:rPr>
          <w:rFonts w:hint="eastAsia" w:ascii="宋体" w:hAnsi="宋体" w:eastAsia="宋体" w:cs="宋体"/>
          <w:color w:val="auto"/>
          <w:sz w:val="24"/>
          <w:szCs w:val="24"/>
          <w:highlight w:val="none"/>
          <w:lang w:eastAsia="zh-CN"/>
        </w:rPr>
        <w:t>评标小组</w:t>
      </w:r>
      <w:r>
        <w:rPr>
          <w:rFonts w:hint="eastAsia" w:ascii="宋体" w:hAnsi="宋体" w:eastAsia="宋体" w:cs="宋体"/>
          <w:color w:val="auto"/>
          <w:sz w:val="24"/>
          <w:szCs w:val="24"/>
          <w:highlight w:val="none"/>
        </w:rPr>
        <w:t>一致认定评分畸高、畸低的情形除外。出现上述除外情形的，</w:t>
      </w:r>
      <w:r>
        <w:rPr>
          <w:rFonts w:hint="eastAsia" w:ascii="宋体" w:hAnsi="宋体" w:eastAsia="宋体" w:cs="宋体"/>
          <w:color w:val="auto"/>
          <w:sz w:val="24"/>
          <w:szCs w:val="24"/>
          <w:highlight w:val="none"/>
          <w:lang w:eastAsia="zh-CN"/>
        </w:rPr>
        <w:t>评标小组</w:t>
      </w:r>
      <w:r>
        <w:rPr>
          <w:rFonts w:hint="eastAsia" w:ascii="宋体" w:hAnsi="宋体" w:eastAsia="宋体" w:cs="宋体"/>
          <w:color w:val="auto"/>
          <w:sz w:val="24"/>
          <w:szCs w:val="24"/>
          <w:highlight w:val="none"/>
        </w:rPr>
        <w:t>应当现场修改评审结果，并在评审报告中明确记载。</w:t>
      </w:r>
    </w:p>
    <w:p w14:paraId="45265D62">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.3 </w:t>
      </w:r>
      <w:r>
        <w:rPr>
          <w:rFonts w:hint="eastAsia" w:ascii="宋体" w:hAnsi="宋体" w:eastAsia="宋体" w:cs="宋体"/>
          <w:color w:val="auto"/>
          <w:sz w:val="24"/>
          <w:szCs w:val="24"/>
          <w:highlight w:val="none"/>
          <w:lang w:val="en-US" w:eastAsia="zh-CN"/>
        </w:rPr>
        <w:t>评标小组负责具体评标事务，并独立履行下列职责：</w:t>
      </w:r>
    </w:p>
    <w:p w14:paraId="6B54FEB3">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22.3.1 审查、评价投标文件是否符合公开招标文件的商务、技术等实质性要求；</w:t>
      </w:r>
    </w:p>
    <w:p w14:paraId="0D16771E">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22.3.2 要求供应商对投标文件有关事项作出澄清或者说明；</w:t>
      </w:r>
    </w:p>
    <w:p w14:paraId="55AD73A5">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22.3.3 对投标文件进行比较和评价；</w:t>
      </w:r>
    </w:p>
    <w:p w14:paraId="497E6177">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22.3.4 确定中标候选人名单，以及根据采购人委托直接确定中标人；</w:t>
      </w:r>
    </w:p>
    <w:p w14:paraId="182BD1DF">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22.3.5 向采购人、采购代理机构或者有关部门报告评标中发现的违法行为。</w:t>
      </w:r>
    </w:p>
    <w:p w14:paraId="268AD467">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22.4 评标小组成员应当履行下列义务： </w:t>
      </w:r>
    </w:p>
    <w:p w14:paraId="7E9BB6F2">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22.4.1 遵纪守法，客观、公正、廉洁地履行职责；</w:t>
      </w:r>
    </w:p>
    <w:p w14:paraId="31C9734B">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22.4.2 按照公开招标文件规定的评标方法和评标标准进行评标，对评审意见承担个人责任；</w:t>
      </w:r>
    </w:p>
    <w:p w14:paraId="39B4FCBC">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22.4.3 对评标过程和结果，以及供应商的商业秘密保密；</w:t>
      </w:r>
    </w:p>
    <w:p w14:paraId="26FACC04">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22.4.4 参与评标报告的起草；</w:t>
      </w:r>
    </w:p>
    <w:p w14:paraId="53BC527C">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22.4.5 配合财政部门的投诉处理工作；</w:t>
      </w:r>
    </w:p>
    <w:p w14:paraId="5D71DA9D">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22.4.6 配合采购人答复投标供应商提出的质疑。</w:t>
      </w:r>
    </w:p>
    <w:p w14:paraId="5DE834D5">
      <w:pPr>
        <w:keepNext w:val="0"/>
        <w:keepLines w:val="0"/>
        <w:pageBreakBefore w:val="0"/>
        <w:widowControl w:val="0"/>
        <w:tabs>
          <w:tab w:val="left" w:pos="5527"/>
        </w:tabs>
        <w:kinsoku/>
        <w:wordWrap/>
        <w:overflowPunct/>
        <w:topLinePunct w:val="0"/>
        <w:bidi w:val="0"/>
        <w:spacing w:line="348"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rPr>
        <w:t xml:space="preserve">  评标原则</w:t>
      </w:r>
    </w:p>
    <w:p w14:paraId="6365955B">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 评审专家应当严格遵守评审工作纪律</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按照客观、公正、审慎的原则，根据</w:t>
      </w:r>
      <w:r>
        <w:rPr>
          <w:rFonts w:hint="eastAsia" w:ascii="宋体" w:hAnsi="宋体" w:eastAsia="宋体" w:cs="宋体"/>
          <w:color w:val="auto"/>
          <w:sz w:val="24"/>
          <w:szCs w:val="24"/>
          <w:highlight w:val="none"/>
          <w:lang w:eastAsia="zh-CN"/>
        </w:rPr>
        <w:t>评标</w:t>
      </w:r>
      <w:r>
        <w:rPr>
          <w:rFonts w:hint="eastAsia" w:ascii="宋体" w:hAnsi="宋体" w:eastAsia="宋体" w:cs="宋体"/>
          <w:color w:val="auto"/>
          <w:sz w:val="24"/>
          <w:szCs w:val="24"/>
          <w:highlight w:val="none"/>
        </w:rPr>
        <w:t>文件规定的评审程序、评审方法和评审标准进行独立评审。未实质性响应</w:t>
      </w:r>
      <w:r>
        <w:rPr>
          <w:rFonts w:hint="eastAsia" w:ascii="宋体" w:hAnsi="宋体" w:eastAsia="宋体" w:cs="宋体"/>
          <w:color w:val="auto"/>
          <w:sz w:val="24"/>
          <w:szCs w:val="24"/>
          <w:highlight w:val="none"/>
          <w:lang w:eastAsia="zh-CN"/>
        </w:rPr>
        <w:t>评标</w:t>
      </w:r>
      <w:r>
        <w:rPr>
          <w:rFonts w:hint="eastAsia" w:ascii="宋体" w:hAnsi="宋体" w:eastAsia="宋体" w:cs="宋体"/>
          <w:color w:val="auto"/>
          <w:sz w:val="24"/>
          <w:szCs w:val="24"/>
          <w:highlight w:val="none"/>
        </w:rPr>
        <w:t>文件的</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按无效响应处理，评审专家应当告知提交</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的供应商。</w:t>
      </w:r>
      <w:r>
        <w:rPr>
          <w:rFonts w:hint="eastAsia" w:ascii="宋体" w:hAnsi="宋体" w:eastAsia="宋体" w:cs="宋体"/>
          <w:color w:val="auto"/>
          <w:sz w:val="24"/>
          <w:szCs w:val="24"/>
          <w:highlight w:val="none"/>
          <w:lang w:eastAsia="zh-CN"/>
        </w:rPr>
        <w:t>评标</w:t>
      </w:r>
      <w:r>
        <w:rPr>
          <w:rFonts w:hint="eastAsia" w:ascii="宋体" w:hAnsi="宋体" w:eastAsia="宋体" w:cs="宋体"/>
          <w:color w:val="auto"/>
          <w:sz w:val="24"/>
          <w:szCs w:val="24"/>
          <w:highlight w:val="none"/>
        </w:rPr>
        <w:t>文件内容违反国家有关强制性规定的，</w:t>
      </w:r>
      <w:r>
        <w:rPr>
          <w:rFonts w:hint="eastAsia" w:ascii="宋体" w:hAnsi="宋体" w:eastAsia="宋体" w:cs="宋体"/>
          <w:color w:val="auto"/>
          <w:sz w:val="24"/>
          <w:szCs w:val="24"/>
          <w:highlight w:val="none"/>
          <w:lang w:eastAsia="zh-CN"/>
        </w:rPr>
        <w:t>评标</w:t>
      </w:r>
      <w:r>
        <w:rPr>
          <w:rFonts w:hint="eastAsia" w:ascii="宋体" w:hAnsi="宋体" w:eastAsia="宋体" w:cs="宋体"/>
          <w:color w:val="auto"/>
          <w:sz w:val="24"/>
          <w:szCs w:val="24"/>
          <w:highlight w:val="none"/>
        </w:rPr>
        <w:t>小组应当停止评审并向采购人或者采购代理机构说明情况。</w:t>
      </w:r>
    </w:p>
    <w:p w14:paraId="3410DEDE">
      <w:pPr>
        <w:keepNext w:val="0"/>
        <w:keepLines w:val="0"/>
        <w:pageBreakBefore w:val="0"/>
        <w:widowControl w:val="0"/>
        <w:tabs>
          <w:tab w:val="left" w:pos="5527"/>
        </w:tabs>
        <w:kinsoku/>
        <w:wordWrap/>
        <w:overflowPunct/>
        <w:topLinePunct w:val="0"/>
        <w:bidi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.2 评审专家应当在评审报告上签字</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对自己的评审意见承担法律责任。对需要共同认定的事项存在争议的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按照少数服从多数的原则</w:t>
      </w:r>
      <w:r>
        <w:rPr>
          <w:rFonts w:hint="eastAsia" w:ascii="宋体" w:hAnsi="宋体" w:eastAsia="宋体" w:cs="宋体"/>
          <w:color w:val="auto"/>
          <w:sz w:val="24"/>
          <w:szCs w:val="24"/>
          <w:highlight w:val="none"/>
          <w:lang w:eastAsia="zh-CN"/>
        </w:rPr>
        <w:t>作出</w:t>
      </w:r>
      <w:r>
        <w:rPr>
          <w:rFonts w:hint="eastAsia" w:ascii="宋体" w:hAnsi="宋体" w:eastAsia="宋体" w:cs="宋体"/>
          <w:color w:val="auto"/>
          <w:sz w:val="24"/>
          <w:szCs w:val="24"/>
          <w:highlight w:val="none"/>
        </w:rPr>
        <w:t>结论。对评审报告有异议的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应当在评审报告上签署不同意见并说明理由</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否则视为同意评审报告。</w:t>
      </w:r>
    </w:p>
    <w:p w14:paraId="14C4A099">
      <w:pPr>
        <w:pStyle w:val="37"/>
        <w:keepNext w:val="0"/>
        <w:keepLines w:val="0"/>
        <w:pageBreakBefore w:val="0"/>
        <w:widowControl w:val="0"/>
        <w:tabs>
          <w:tab w:val="left" w:pos="5527"/>
        </w:tabs>
        <w:kinsoku/>
        <w:wordWrap/>
        <w:overflowPunct/>
        <w:topLinePunct w:val="0"/>
        <w:bidi w:val="0"/>
        <w:spacing w:line="348" w:lineRule="auto"/>
        <w:jc w:val="both"/>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w:t>
      </w:r>
      <w:r>
        <w:rPr>
          <w:rFonts w:hint="eastAsia" w:ascii="宋体" w:hAnsi="宋体" w:eastAsia="宋体" w:cs="宋体"/>
          <w:b/>
          <w:color w:val="auto"/>
          <w:sz w:val="24"/>
          <w:szCs w:val="24"/>
          <w:highlight w:val="none"/>
          <w:lang w:val="en-US" w:eastAsia="zh-CN"/>
        </w:rPr>
        <w:t>4</w:t>
      </w:r>
      <w:r>
        <w:rPr>
          <w:rFonts w:hint="eastAsia" w:ascii="宋体" w:hAnsi="宋体" w:eastAsia="宋体" w:cs="宋体"/>
          <w:b/>
          <w:color w:val="auto"/>
          <w:sz w:val="24"/>
          <w:szCs w:val="24"/>
          <w:highlight w:val="none"/>
        </w:rPr>
        <w:t xml:space="preserve"> 详细评审 </w:t>
      </w:r>
    </w:p>
    <w:p w14:paraId="29385523">
      <w:pPr>
        <w:keepNext w:val="0"/>
        <w:keepLines w:val="0"/>
        <w:pageBreakBefore w:val="0"/>
        <w:widowControl w:val="0"/>
        <w:tabs>
          <w:tab w:val="left" w:pos="567"/>
          <w:tab w:val="left" w:pos="5527"/>
        </w:tabs>
        <w:kinsoku/>
        <w:wordWrap/>
        <w:overflowPunct/>
        <w:topLinePunct w:val="0"/>
        <w:bidi w:val="0"/>
        <w:snapToGrid w:val="0"/>
        <w:spacing w:line="348" w:lineRule="auto"/>
        <w:ind w:firstLine="484" w:firstLineChars="200"/>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w:t>
      </w:r>
      <w:r>
        <w:rPr>
          <w:rFonts w:hint="eastAsia" w:ascii="宋体" w:hAnsi="宋体" w:eastAsia="宋体" w:cs="宋体"/>
          <w:b/>
          <w:color w:val="auto"/>
          <w:sz w:val="24"/>
          <w:szCs w:val="24"/>
          <w:highlight w:val="none"/>
          <w:lang w:val="en-US" w:eastAsia="zh-CN"/>
        </w:rPr>
        <w:t>4</w:t>
      </w:r>
      <w:r>
        <w:rPr>
          <w:rFonts w:hint="eastAsia" w:ascii="宋体" w:hAnsi="宋体" w:eastAsia="宋体" w:cs="宋体"/>
          <w:b/>
          <w:color w:val="auto"/>
          <w:sz w:val="24"/>
          <w:szCs w:val="24"/>
          <w:highlight w:val="none"/>
        </w:rPr>
        <w:t>.1 报价</w:t>
      </w:r>
    </w:p>
    <w:p w14:paraId="40FBD5FA">
      <w:pPr>
        <w:keepNext w:val="0"/>
        <w:keepLines w:val="0"/>
        <w:pageBreakBefore w:val="0"/>
        <w:widowControl w:val="0"/>
        <w:tabs>
          <w:tab w:val="left" w:pos="567"/>
          <w:tab w:val="left" w:pos="5527"/>
        </w:tabs>
        <w:kinsoku/>
        <w:wordWrap/>
        <w:overflowPunct/>
        <w:topLinePunct w:val="0"/>
        <w:bidi w:val="0"/>
        <w:snapToGrid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供应商的首次报价于提交首次</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截止时间开启，本环节由采购代理机构主持，采购人、供应商和有关方面代表参加。唱价过程由采购代理机构指定专人负责记录，并存档。</w:t>
      </w:r>
    </w:p>
    <w:p w14:paraId="01F40F29">
      <w:pPr>
        <w:keepNext w:val="0"/>
        <w:keepLines w:val="0"/>
        <w:pageBreakBefore w:val="0"/>
        <w:widowControl w:val="0"/>
        <w:tabs>
          <w:tab w:val="left" w:pos="567"/>
          <w:tab w:val="left" w:pos="5527"/>
        </w:tabs>
        <w:kinsoku/>
        <w:wordWrap/>
        <w:overflowPunct/>
        <w:topLinePunct w:val="0"/>
        <w:bidi w:val="0"/>
        <w:snapToGrid w:val="0"/>
        <w:spacing w:line="348" w:lineRule="auto"/>
        <w:ind w:firstLine="484" w:firstLineChars="200"/>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w:t>
      </w:r>
      <w:r>
        <w:rPr>
          <w:rFonts w:hint="eastAsia" w:ascii="宋体" w:hAnsi="宋体" w:eastAsia="宋体" w:cs="宋体"/>
          <w:b/>
          <w:color w:val="auto"/>
          <w:sz w:val="24"/>
          <w:szCs w:val="24"/>
          <w:highlight w:val="none"/>
          <w:lang w:val="en-US" w:eastAsia="zh-CN"/>
        </w:rPr>
        <w:t>4</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US" w:eastAsia="zh-CN"/>
        </w:rPr>
        <w:t>2</w:t>
      </w:r>
      <w:r>
        <w:rPr>
          <w:rFonts w:hint="eastAsia" w:ascii="宋体" w:hAnsi="宋体" w:eastAsia="宋体" w:cs="宋体"/>
          <w:b/>
          <w:color w:val="auto"/>
          <w:sz w:val="24"/>
          <w:szCs w:val="24"/>
          <w:highlight w:val="none"/>
        </w:rPr>
        <w:t xml:space="preserve"> 评审方法：综合评分法。</w:t>
      </w:r>
    </w:p>
    <w:p w14:paraId="784215A3">
      <w:pPr>
        <w:keepNext w:val="0"/>
        <w:keepLines w:val="0"/>
        <w:pageBreakBefore w:val="0"/>
        <w:widowControl w:val="0"/>
        <w:tabs>
          <w:tab w:val="left" w:pos="567"/>
          <w:tab w:val="left" w:pos="5527"/>
        </w:tabs>
        <w:kinsoku/>
        <w:wordWrap/>
        <w:overflowPunct/>
        <w:topLinePunct w:val="0"/>
        <w:bidi w:val="0"/>
        <w:snapToGrid w:val="0"/>
        <w:spacing w:line="348" w:lineRule="auto"/>
        <w:ind w:firstLine="484" w:firstLineChars="200"/>
        <w:textAlignment w:val="auto"/>
        <w:outlineLvl w:val="9"/>
        <w:rPr>
          <w:rFonts w:hint="eastAsia" w:ascii="宋体" w:hAnsi="宋体" w:eastAsia="宋体" w:cs="宋体"/>
          <w:color w:val="auto"/>
          <w:sz w:val="24"/>
          <w:szCs w:val="24"/>
          <w:highlight w:val="none"/>
          <w:lang w:eastAsia="zh-TW"/>
        </w:rPr>
      </w:pPr>
      <w:r>
        <w:rPr>
          <w:rFonts w:hint="eastAsia" w:ascii="宋体" w:hAnsi="宋体" w:eastAsia="宋体" w:cs="宋体"/>
          <w:b/>
          <w:color w:val="auto"/>
          <w:sz w:val="24"/>
          <w:szCs w:val="24"/>
          <w:highlight w:val="none"/>
        </w:rPr>
        <w:t>2</w:t>
      </w:r>
      <w:r>
        <w:rPr>
          <w:rFonts w:hint="eastAsia" w:ascii="宋体" w:hAnsi="宋体" w:eastAsia="宋体" w:cs="宋体"/>
          <w:b/>
          <w:color w:val="auto"/>
          <w:sz w:val="24"/>
          <w:szCs w:val="24"/>
          <w:highlight w:val="none"/>
          <w:lang w:val="en-US" w:eastAsia="zh-CN"/>
        </w:rPr>
        <w:t>4</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US" w:eastAsia="zh-CN"/>
        </w:rPr>
        <w:t>3</w:t>
      </w:r>
      <w:r>
        <w:rPr>
          <w:rFonts w:hint="eastAsia" w:ascii="宋体" w:hAnsi="宋体" w:eastAsia="宋体" w:cs="宋体"/>
          <w:b/>
          <w:color w:val="auto"/>
          <w:sz w:val="24"/>
          <w:szCs w:val="24"/>
          <w:highlight w:val="none"/>
        </w:rPr>
        <w:t xml:space="preserve"> 评审程序</w:t>
      </w:r>
    </w:p>
    <w:p w14:paraId="1B278BD6">
      <w:pPr>
        <w:keepNext w:val="0"/>
        <w:keepLines w:val="0"/>
        <w:pageBreakBefore w:val="0"/>
        <w:widowControl w:val="0"/>
        <w:tabs>
          <w:tab w:val="left" w:pos="567"/>
          <w:tab w:val="left" w:pos="5527"/>
        </w:tabs>
        <w:kinsoku/>
        <w:wordWrap/>
        <w:overflowPunct/>
        <w:topLinePunct w:val="0"/>
        <w:bidi w:val="0"/>
        <w:snapToGrid w:val="0"/>
        <w:spacing w:line="348" w:lineRule="auto"/>
        <w:ind w:firstLine="484"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 xml:space="preserve">.1 </w:t>
      </w:r>
      <w:r>
        <w:rPr>
          <w:rFonts w:hint="eastAsia" w:ascii="宋体" w:hAnsi="宋体" w:eastAsia="宋体" w:cs="宋体"/>
          <w:bCs/>
          <w:color w:val="auto"/>
          <w:sz w:val="24"/>
          <w:szCs w:val="24"/>
          <w:highlight w:val="none"/>
          <w:lang w:eastAsia="zh-CN"/>
        </w:rPr>
        <w:t>评标</w:t>
      </w:r>
      <w:r>
        <w:rPr>
          <w:rFonts w:hint="eastAsia" w:ascii="宋体" w:hAnsi="宋体" w:eastAsia="宋体" w:cs="宋体"/>
          <w:bCs/>
          <w:color w:val="auto"/>
          <w:sz w:val="24"/>
          <w:szCs w:val="24"/>
          <w:highlight w:val="none"/>
        </w:rPr>
        <w:t>小组确认</w:t>
      </w:r>
      <w:r>
        <w:rPr>
          <w:rFonts w:hint="eastAsia" w:ascii="宋体" w:hAnsi="宋体" w:eastAsia="宋体" w:cs="宋体"/>
          <w:bCs/>
          <w:color w:val="auto"/>
          <w:sz w:val="24"/>
          <w:szCs w:val="24"/>
          <w:highlight w:val="none"/>
          <w:lang w:eastAsia="zh-CN"/>
        </w:rPr>
        <w:t>评标</w:t>
      </w:r>
      <w:r>
        <w:rPr>
          <w:rFonts w:hint="eastAsia" w:ascii="宋体" w:hAnsi="宋体" w:eastAsia="宋体" w:cs="宋体"/>
          <w:bCs/>
          <w:color w:val="auto"/>
          <w:sz w:val="24"/>
          <w:szCs w:val="24"/>
          <w:highlight w:val="none"/>
        </w:rPr>
        <w:t>文件</w:t>
      </w:r>
    </w:p>
    <w:p w14:paraId="3263BFB7">
      <w:pPr>
        <w:keepNext w:val="0"/>
        <w:keepLines w:val="0"/>
        <w:pageBreakBefore w:val="0"/>
        <w:widowControl w:val="0"/>
        <w:tabs>
          <w:tab w:val="left" w:pos="567"/>
          <w:tab w:val="left" w:pos="5527"/>
        </w:tabs>
        <w:kinsoku/>
        <w:wordWrap/>
        <w:overflowPunct/>
        <w:topLinePunct w:val="0"/>
        <w:bidi w:val="0"/>
        <w:snapToGrid w:val="0"/>
        <w:spacing w:line="348" w:lineRule="auto"/>
        <w:ind w:firstLine="484"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 xml:space="preserve">24.3.2 </w:t>
      </w:r>
      <w:r>
        <w:rPr>
          <w:rFonts w:hint="eastAsia" w:ascii="宋体" w:hAnsi="宋体" w:eastAsia="宋体" w:cs="宋体"/>
          <w:bCs/>
          <w:color w:val="auto"/>
          <w:sz w:val="24"/>
          <w:szCs w:val="24"/>
          <w:highlight w:val="none"/>
        </w:rPr>
        <w:t>资格性审查</w:t>
      </w:r>
    </w:p>
    <w:p w14:paraId="4F120183">
      <w:pPr>
        <w:keepNext w:val="0"/>
        <w:keepLines w:val="0"/>
        <w:pageBreakBefore w:val="0"/>
        <w:widowControl w:val="0"/>
        <w:tabs>
          <w:tab w:val="left" w:pos="567"/>
          <w:tab w:val="left" w:pos="5527"/>
        </w:tabs>
        <w:kinsoku/>
        <w:wordWrap/>
        <w:overflowPunct/>
        <w:topLinePunct w:val="0"/>
        <w:bidi w:val="0"/>
        <w:snapToGrid w:val="0"/>
        <w:spacing w:line="348" w:lineRule="auto"/>
        <w:ind w:firstLine="484"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eastAsia="zh-CN"/>
        </w:rPr>
        <w:t>评标</w:t>
      </w:r>
      <w:r>
        <w:rPr>
          <w:rFonts w:hint="eastAsia" w:ascii="宋体" w:hAnsi="宋体" w:eastAsia="宋体" w:cs="宋体"/>
          <w:bCs/>
          <w:color w:val="auto"/>
          <w:sz w:val="24"/>
          <w:szCs w:val="24"/>
          <w:highlight w:val="none"/>
        </w:rPr>
        <w:t>小组对每个供应商的</w:t>
      </w:r>
      <w:r>
        <w:rPr>
          <w:rFonts w:hint="eastAsia" w:ascii="宋体" w:hAnsi="宋体" w:eastAsia="宋体" w:cs="宋体"/>
          <w:bCs/>
          <w:color w:val="auto"/>
          <w:sz w:val="24"/>
          <w:szCs w:val="24"/>
          <w:highlight w:val="none"/>
          <w:lang w:eastAsia="zh-CN"/>
        </w:rPr>
        <w:t>投标文件</w:t>
      </w:r>
      <w:r>
        <w:rPr>
          <w:rFonts w:hint="eastAsia" w:ascii="宋体" w:hAnsi="宋体" w:eastAsia="宋体" w:cs="宋体"/>
          <w:bCs/>
          <w:color w:val="auto"/>
          <w:sz w:val="24"/>
          <w:szCs w:val="24"/>
          <w:highlight w:val="none"/>
        </w:rPr>
        <w:t>进行资格性审查。资格性审查是审查</w:t>
      </w:r>
      <w:r>
        <w:rPr>
          <w:rFonts w:hint="eastAsia" w:ascii="宋体" w:hAnsi="宋体" w:eastAsia="宋体" w:cs="宋体"/>
          <w:bCs/>
          <w:color w:val="auto"/>
          <w:sz w:val="24"/>
          <w:szCs w:val="24"/>
          <w:highlight w:val="none"/>
          <w:lang w:eastAsia="zh-CN"/>
        </w:rPr>
        <w:t>投标文件</w:t>
      </w:r>
      <w:r>
        <w:rPr>
          <w:rFonts w:hint="eastAsia" w:ascii="宋体" w:hAnsi="宋体" w:eastAsia="宋体" w:cs="宋体"/>
          <w:bCs/>
          <w:color w:val="auto"/>
          <w:sz w:val="24"/>
          <w:szCs w:val="24"/>
          <w:highlight w:val="none"/>
        </w:rPr>
        <w:t>是否对</w:t>
      </w:r>
      <w:r>
        <w:rPr>
          <w:rFonts w:hint="eastAsia" w:ascii="宋体" w:hAnsi="宋体" w:eastAsia="宋体" w:cs="宋体"/>
          <w:bCs/>
          <w:color w:val="auto"/>
          <w:sz w:val="24"/>
          <w:szCs w:val="24"/>
          <w:highlight w:val="none"/>
          <w:lang w:eastAsia="zh-CN"/>
        </w:rPr>
        <w:t>评标</w:t>
      </w:r>
      <w:r>
        <w:rPr>
          <w:rFonts w:hint="eastAsia" w:ascii="宋体" w:hAnsi="宋体" w:eastAsia="宋体" w:cs="宋体"/>
          <w:bCs/>
          <w:color w:val="auto"/>
          <w:sz w:val="24"/>
          <w:szCs w:val="24"/>
          <w:highlight w:val="none"/>
        </w:rPr>
        <w:t>文件的资格及实质性条款作出响应。对资格性审查不通过的供应商，其</w:t>
      </w:r>
      <w:r>
        <w:rPr>
          <w:rFonts w:hint="eastAsia" w:ascii="宋体" w:hAnsi="宋体" w:eastAsia="宋体" w:cs="宋体"/>
          <w:bCs/>
          <w:color w:val="auto"/>
          <w:sz w:val="24"/>
          <w:szCs w:val="24"/>
          <w:highlight w:val="none"/>
          <w:lang w:eastAsia="zh-CN"/>
        </w:rPr>
        <w:t>投标文件</w:t>
      </w:r>
      <w:r>
        <w:rPr>
          <w:rFonts w:hint="eastAsia" w:ascii="宋体" w:hAnsi="宋体" w:eastAsia="宋体" w:cs="宋体"/>
          <w:bCs/>
          <w:color w:val="auto"/>
          <w:sz w:val="24"/>
          <w:szCs w:val="24"/>
          <w:highlight w:val="none"/>
        </w:rPr>
        <w:t>作无效处理。</w:t>
      </w:r>
    </w:p>
    <w:p w14:paraId="1EFEDA35">
      <w:pPr>
        <w:keepNext w:val="0"/>
        <w:keepLines w:val="0"/>
        <w:pageBreakBefore w:val="0"/>
        <w:widowControl w:val="0"/>
        <w:tabs>
          <w:tab w:val="left" w:pos="567"/>
          <w:tab w:val="left" w:pos="5527"/>
        </w:tabs>
        <w:kinsoku/>
        <w:wordWrap/>
        <w:overflowPunct/>
        <w:topLinePunct w:val="0"/>
        <w:bidi w:val="0"/>
        <w:snapToGrid w:val="0"/>
        <w:spacing w:line="348" w:lineRule="auto"/>
        <w:ind w:firstLine="484"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24.3.3</w:t>
      </w:r>
      <w:r>
        <w:rPr>
          <w:rFonts w:hint="eastAsia" w:ascii="宋体" w:hAnsi="宋体" w:eastAsia="宋体" w:cs="宋体"/>
          <w:bCs/>
          <w:color w:val="auto"/>
          <w:sz w:val="24"/>
          <w:szCs w:val="24"/>
          <w:highlight w:val="none"/>
        </w:rPr>
        <w:t>符合性审查</w:t>
      </w:r>
    </w:p>
    <w:p w14:paraId="3738057C">
      <w:pPr>
        <w:keepNext w:val="0"/>
        <w:keepLines w:val="0"/>
        <w:pageBreakBefore w:val="0"/>
        <w:widowControl w:val="0"/>
        <w:tabs>
          <w:tab w:val="left" w:pos="5527"/>
        </w:tabs>
        <w:kinsoku/>
        <w:wordWrap/>
        <w:overflowPunct/>
        <w:topLinePunct w:val="0"/>
        <w:bidi w:val="0"/>
        <w:snapToGrid w:val="0"/>
        <w:spacing w:line="348" w:lineRule="auto"/>
        <w:ind w:firstLine="484"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eastAsia="zh-CN"/>
        </w:rPr>
        <w:t>评标</w:t>
      </w:r>
      <w:r>
        <w:rPr>
          <w:rFonts w:hint="eastAsia" w:ascii="宋体" w:hAnsi="宋体" w:eastAsia="宋体" w:cs="宋体"/>
          <w:bCs/>
          <w:color w:val="auto"/>
          <w:sz w:val="24"/>
          <w:szCs w:val="24"/>
          <w:highlight w:val="none"/>
        </w:rPr>
        <w:t>小组对每个供应商的</w:t>
      </w:r>
      <w:r>
        <w:rPr>
          <w:rFonts w:hint="eastAsia" w:ascii="宋体" w:hAnsi="宋体" w:eastAsia="宋体" w:cs="宋体"/>
          <w:bCs/>
          <w:color w:val="auto"/>
          <w:sz w:val="24"/>
          <w:szCs w:val="24"/>
          <w:highlight w:val="none"/>
          <w:lang w:eastAsia="zh-CN"/>
        </w:rPr>
        <w:t>投标文件</w:t>
      </w:r>
      <w:r>
        <w:rPr>
          <w:rFonts w:hint="eastAsia" w:ascii="宋体" w:hAnsi="宋体" w:eastAsia="宋体" w:cs="宋体"/>
          <w:bCs/>
          <w:color w:val="auto"/>
          <w:sz w:val="24"/>
          <w:szCs w:val="24"/>
          <w:highlight w:val="none"/>
        </w:rPr>
        <w:t>进行符合性审查。符合性审查是审查</w:t>
      </w:r>
      <w:r>
        <w:rPr>
          <w:rFonts w:hint="eastAsia" w:ascii="宋体" w:hAnsi="宋体" w:eastAsia="宋体" w:cs="宋体"/>
          <w:bCs/>
          <w:color w:val="auto"/>
          <w:sz w:val="24"/>
          <w:szCs w:val="24"/>
          <w:highlight w:val="none"/>
          <w:lang w:eastAsia="zh-CN"/>
        </w:rPr>
        <w:t>投标文件</w:t>
      </w:r>
      <w:r>
        <w:rPr>
          <w:rFonts w:hint="eastAsia" w:ascii="宋体" w:hAnsi="宋体" w:eastAsia="宋体" w:cs="宋体"/>
          <w:bCs/>
          <w:color w:val="auto"/>
          <w:sz w:val="24"/>
          <w:szCs w:val="24"/>
          <w:highlight w:val="none"/>
        </w:rPr>
        <w:t>是否对</w:t>
      </w:r>
      <w:r>
        <w:rPr>
          <w:rFonts w:hint="eastAsia" w:ascii="宋体" w:hAnsi="宋体" w:eastAsia="宋体" w:cs="宋体"/>
          <w:bCs/>
          <w:color w:val="auto"/>
          <w:sz w:val="24"/>
          <w:szCs w:val="24"/>
          <w:highlight w:val="none"/>
          <w:lang w:eastAsia="zh-CN"/>
        </w:rPr>
        <w:t>评标</w:t>
      </w:r>
      <w:r>
        <w:rPr>
          <w:rFonts w:hint="eastAsia" w:ascii="宋体" w:hAnsi="宋体" w:eastAsia="宋体" w:cs="宋体"/>
          <w:bCs/>
          <w:color w:val="auto"/>
          <w:sz w:val="24"/>
          <w:szCs w:val="24"/>
          <w:highlight w:val="none"/>
        </w:rPr>
        <w:t>文件的符合及实质性条款作出响应。对符合性审查不通过的供应商，其</w:t>
      </w:r>
      <w:r>
        <w:rPr>
          <w:rFonts w:hint="eastAsia" w:ascii="宋体" w:hAnsi="宋体" w:eastAsia="宋体" w:cs="宋体"/>
          <w:bCs/>
          <w:color w:val="auto"/>
          <w:sz w:val="24"/>
          <w:szCs w:val="24"/>
          <w:highlight w:val="none"/>
          <w:lang w:eastAsia="zh-CN"/>
        </w:rPr>
        <w:t>投标文件</w:t>
      </w:r>
      <w:r>
        <w:rPr>
          <w:rFonts w:hint="eastAsia" w:ascii="宋体" w:hAnsi="宋体" w:eastAsia="宋体" w:cs="宋体"/>
          <w:bCs/>
          <w:color w:val="auto"/>
          <w:sz w:val="24"/>
          <w:szCs w:val="24"/>
          <w:highlight w:val="none"/>
        </w:rPr>
        <w:t>作无效处理。</w:t>
      </w:r>
    </w:p>
    <w:p w14:paraId="2DCC4C4B">
      <w:pPr>
        <w:keepNext w:val="0"/>
        <w:keepLines w:val="0"/>
        <w:pageBreakBefore w:val="0"/>
        <w:widowControl w:val="0"/>
        <w:tabs>
          <w:tab w:val="left" w:pos="567"/>
          <w:tab w:val="left" w:pos="5527"/>
        </w:tabs>
        <w:kinsoku/>
        <w:wordWrap/>
        <w:overflowPunct/>
        <w:topLinePunct w:val="0"/>
        <w:bidi w:val="0"/>
        <w:snapToGrid w:val="0"/>
        <w:spacing w:line="348" w:lineRule="auto"/>
        <w:ind w:firstLine="484" w:firstLineChars="200"/>
        <w:textAlignment w:val="auto"/>
        <w:outlineLvl w:val="9"/>
        <w:rPr>
          <w:rFonts w:hint="eastAsia" w:ascii="宋体" w:hAnsi="宋体" w:eastAsia="宋体" w:cs="宋体"/>
          <w:b/>
          <w:bCs w:val="0"/>
          <w:color w:val="auto"/>
          <w:sz w:val="24"/>
          <w:szCs w:val="24"/>
          <w:highlight w:val="none"/>
          <w:lang w:eastAsia="zh-CN"/>
        </w:rPr>
      </w:pPr>
      <w:r>
        <w:rPr>
          <w:rFonts w:hint="eastAsia" w:ascii="宋体" w:hAnsi="宋体" w:eastAsia="宋体" w:cs="宋体"/>
          <w:b/>
          <w:bCs w:val="0"/>
          <w:color w:val="auto"/>
          <w:sz w:val="24"/>
          <w:szCs w:val="24"/>
          <w:highlight w:val="none"/>
        </w:rPr>
        <w:t>2</w:t>
      </w:r>
      <w:r>
        <w:rPr>
          <w:rFonts w:hint="eastAsia" w:ascii="宋体" w:hAnsi="宋体" w:eastAsia="宋体" w:cs="宋体"/>
          <w:b/>
          <w:bCs w:val="0"/>
          <w:color w:val="auto"/>
          <w:sz w:val="24"/>
          <w:szCs w:val="24"/>
          <w:highlight w:val="none"/>
          <w:lang w:val="en-US" w:eastAsia="zh-CN"/>
        </w:rPr>
        <w:t>4</w:t>
      </w:r>
      <w:r>
        <w:rPr>
          <w:rFonts w:hint="eastAsia" w:ascii="宋体" w:hAnsi="宋体" w:eastAsia="宋体" w:cs="宋体"/>
          <w:b/>
          <w:bCs w:val="0"/>
          <w:color w:val="auto"/>
          <w:sz w:val="24"/>
          <w:szCs w:val="24"/>
          <w:highlight w:val="none"/>
        </w:rPr>
        <w:t>.</w:t>
      </w:r>
      <w:r>
        <w:rPr>
          <w:rFonts w:hint="eastAsia" w:ascii="宋体" w:hAnsi="宋体" w:eastAsia="宋体" w:cs="宋体"/>
          <w:b/>
          <w:bCs w:val="0"/>
          <w:color w:val="auto"/>
          <w:sz w:val="24"/>
          <w:szCs w:val="24"/>
          <w:highlight w:val="none"/>
          <w:lang w:val="en-US" w:eastAsia="zh-CN"/>
        </w:rPr>
        <w:t>4</w:t>
      </w:r>
      <w:r>
        <w:rPr>
          <w:rFonts w:hint="eastAsia" w:ascii="宋体" w:hAnsi="宋体" w:eastAsia="宋体" w:cs="宋体"/>
          <w:b/>
          <w:bCs w:val="0"/>
          <w:color w:val="auto"/>
          <w:sz w:val="24"/>
          <w:szCs w:val="24"/>
          <w:highlight w:val="none"/>
        </w:rPr>
        <w:t xml:space="preserve"> </w:t>
      </w:r>
      <w:r>
        <w:rPr>
          <w:rFonts w:hint="eastAsia" w:ascii="宋体" w:hAnsi="宋体" w:eastAsia="宋体" w:cs="宋体"/>
          <w:b/>
          <w:bCs w:val="0"/>
          <w:color w:val="auto"/>
          <w:sz w:val="24"/>
          <w:szCs w:val="24"/>
          <w:highlight w:val="none"/>
          <w:lang w:eastAsia="zh-CN"/>
        </w:rPr>
        <w:t>评标</w:t>
      </w:r>
    </w:p>
    <w:p w14:paraId="01EFF3FC">
      <w:pPr>
        <w:keepNext w:val="0"/>
        <w:keepLines w:val="0"/>
        <w:pageBreakBefore w:val="0"/>
        <w:widowControl w:val="0"/>
        <w:tabs>
          <w:tab w:val="left" w:pos="5527"/>
        </w:tabs>
        <w:kinsoku/>
        <w:wordWrap/>
        <w:overflowPunct/>
        <w:topLinePunct w:val="0"/>
        <w:bidi w:val="0"/>
        <w:snapToGrid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24.4.1 </w:t>
      </w:r>
      <w:r>
        <w:rPr>
          <w:rFonts w:hint="eastAsia" w:ascii="宋体" w:hAnsi="宋体" w:eastAsia="宋体" w:cs="宋体"/>
          <w:color w:val="auto"/>
          <w:sz w:val="24"/>
          <w:szCs w:val="24"/>
          <w:highlight w:val="none"/>
          <w:lang w:eastAsia="zh-CN"/>
        </w:rPr>
        <w:t>评标</w:t>
      </w:r>
      <w:r>
        <w:rPr>
          <w:rFonts w:hint="eastAsia" w:ascii="宋体" w:hAnsi="宋体" w:eastAsia="宋体" w:cs="宋体"/>
          <w:color w:val="auto"/>
          <w:sz w:val="24"/>
          <w:szCs w:val="24"/>
          <w:highlight w:val="none"/>
        </w:rPr>
        <w:t>小组</w:t>
      </w:r>
      <w:r>
        <w:rPr>
          <w:rFonts w:hint="eastAsia" w:ascii="宋体" w:hAnsi="宋体" w:eastAsia="宋体" w:cs="宋体"/>
          <w:color w:val="auto"/>
          <w:sz w:val="24"/>
          <w:szCs w:val="24"/>
          <w:highlight w:val="none"/>
          <w:lang w:eastAsia="zh-CN"/>
        </w:rPr>
        <w:t>对</w:t>
      </w:r>
      <w:r>
        <w:rPr>
          <w:rFonts w:hint="eastAsia" w:ascii="宋体" w:hAnsi="宋体" w:eastAsia="宋体" w:cs="宋体"/>
          <w:color w:val="auto"/>
          <w:sz w:val="24"/>
          <w:szCs w:val="24"/>
          <w:highlight w:val="none"/>
        </w:rPr>
        <w:t>每个供应商分别进行</w:t>
      </w:r>
      <w:r>
        <w:rPr>
          <w:rFonts w:hint="eastAsia" w:ascii="宋体" w:hAnsi="宋体" w:eastAsia="宋体" w:cs="宋体"/>
          <w:color w:val="auto"/>
          <w:sz w:val="24"/>
          <w:szCs w:val="24"/>
          <w:highlight w:val="none"/>
          <w:lang w:eastAsia="zh-CN"/>
        </w:rPr>
        <w:t>评标。</w:t>
      </w:r>
    </w:p>
    <w:p w14:paraId="0A297758">
      <w:pPr>
        <w:keepNext w:val="0"/>
        <w:keepLines w:val="0"/>
        <w:pageBreakBefore w:val="0"/>
        <w:widowControl w:val="0"/>
        <w:tabs>
          <w:tab w:val="left" w:pos="5527"/>
        </w:tabs>
        <w:kinsoku/>
        <w:wordWrap/>
        <w:overflowPunct/>
        <w:topLinePunct w:val="0"/>
        <w:bidi w:val="0"/>
        <w:snapToGrid w:val="0"/>
        <w:spacing w:line="348" w:lineRule="auto"/>
        <w:ind w:firstLine="484"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rPr>
        <w:t xml:space="preserve"> </w:t>
      </w:r>
      <w:r>
        <w:rPr>
          <w:rFonts w:hint="eastAsia" w:ascii="宋体" w:hAnsi="宋体" w:eastAsia="宋体" w:cs="宋体"/>
          <w:bCs/>
          <w:color w:val="auto"/>
          <w:sz w:val="24"/>
          <w:szCs w:val="24"/>
          <w:highlight w:val="none"/>
          <w:lang w:eastAsia="zh-CN"/>
        </w:rPr>
        <w:t>评标</w:t>
      </w:r>
      <w:r>
        <w:rPr>
          <w:rFonts w:hint="eastAsia" w:ascii="宋体" w:hAnsi="宋体" w:eastAsia="宋体" w:cs="宋体"/>
          <w:bCs/>
          <w:color w:val="auto"/>
          <w:sz w:val="24"/>
          <w:szCs w:val="24"/>
          <w:highlight w:val="none"/>
        </w:rPr>
        <w:t>文件未发生实质性变动的：</w:t>
      </w:r>
    </w:p>
    <w:p w14:paraId="5227731E">
      <w:pPr>
        <w:keepNext w:val="0"/>
        <w:keepLines w:val="0"/>
        <w:pageBreakBefore w:val="0"/>
        <w:widowControl w:val="0"/>
        <w:tabs>
          <w:tab w:val="left" w:pos="5527"/>
        </w:tabs>
        <w:kinsoku/>
        <w:wordWrap/>
        <w:overflowPunct/>
        <w:topLinePunct w:val="0"/>
        <w:bidi w:val="0"/>
        <w:snapToGrid w:val="0"/>
        <w:spacing w:line="348" w:lineRule="auto"/>
        <w:ind w:firstLine="484"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 xml:space="preserve">3 </w:t>
      </w:r>
      <w:r>
        <w:rPr>
          <w:rFonts w:hint="eastAsia" w:ascii="宋体" w:hAnsi="宋体" w:eastAsia="宋体" w:cs="宋体"/>
          <w:bCs/>
          <w:color w:val="auto"/>
          <w:sz w:val="24"/>
          <w:szCs w:val="24"/>
          <w:highlight w:val="none"/>
          <w:lang w:eastAsia="zh-CN"/>
        </w:rPr>
        <w:t>评标</w:t>
      </w:r>
      <w:r>
        <w:rPr>
          <w:rFonts w:hint="eastAsia" w:ascii="宋体" w:hAnsi="宋体" w:eastAsia="宋体" w:cs="宋体"/>
          <w:bCs/>
          <w:color w:val="auto"/>
          <w:sz w:val="24"/>
          <w:szCs w:val="24"/>
          <w:highlight w:val="none"/>
        </w:rPr>
        <w:t>文件发生实质性变动的：</w:t>
      </w:r>
    </w:p>
    <w:p w14:paraId="289F6B99">
      <w:pPr>
        <w:keepNext w:val="0"/>
        <w:keepLines w:val="0"/>
        <w:pageBreakBefore w:val="0"/>
        <w:widowControl w:val="0"/>
        <w:tabs>
          <w:tab w:val="left" w:pos="5527"/>
        </w:tabs>
        <w:kinsoku/>
        <w:wordWrap/>
        <w:overflowPunct/>
        <w:topLinePunct w:val="0"/>
        <w:bidi w:val="0"/>
        <w:snapToGrid w:val="0"/>
        <w:spacing w:line="348" w:lineRule="auto"/>
        <w:ind w:firstLine="484" w:firstLineChars="200"/>
        <w:textAlignment w:val="auto"/>
        <w:outlineLvl w:val="9"/>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eastAsia="zh-CN"/>
        </w:rPr>
        <w:t>评标</w:t>
      </w:r>
    </w:p>
    <w:p w14:paraId="1E8DF64F">
      <w:pPr>
        <w:keepNext w:val="0"/>
        <w:keepLines w:val="0"/>
        <w:pageBreakBefore w:val="0"/>
        <w:widowControl w:val="0"/>
        <w:tabs>
          <w:tab w:val="left" w:pos="5527"/>
        </w:tabs>
        <w:kinsoku/>
        <w:wordWrap/>
        <w:overflowPunct/>
        <w:topLinePunct w:val="0"/>
        <w:bidi w:val="0"/>
        <w:snapToGrid w:val="0"/>
        <w:spacing w:line="348" w:lineRule="auto"/>
        <w:ind w:firstLine="484"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eastAsia="zh-CN"/>
        </w:rPr>
        <w:t>评标</w:t>
      </w:r>
      <w:r>
        <w:rPr>
          <w:rFonts w:hint="eastAsia" w:ascii="宋体" w:hAnsi="宋体" w:eastAsia="宋体" w:cs="宋体"/>
          <w:bCs/>
          <w:color w:val="auto"/>
          <w:sz w:val="24"/>
          <w:szCs w:val="24"/>
          <w:highlight w:val="none"/>
        </w:rPr>
        <w:t>小组集中与接受</w:t>
      </w:r>
      <w:r>
        <w:rPr>
          <w:rFonts w:hint="eastAsia" w:ascii="宋体" w:hAnsi="宋体" w:eastAsia="宋体" w:cs="宋体"/>
          <w:bCs/>
          <w:color w:val="auto"/>
          <w:sz w:val="24"/>
          <w:szCs w:val="24"/>
          <w:highlight w:val="none"/>
          <w:lang w:eastAsia="zh-CN"/>
        </w:rPr>
        <w:t>评标</w:t>
      </w:r>
      <w:r>
        <w:rPr>
          <w:rFonts w:hint="eastAsia" w:ascii="宋体" w:hAnsi="宋体" w:eastAsia="宋体" w:cs="宋体"/>
          <w:bCs/>
          <w:color w:val="auto"/>
          <w:sz w:val="24"/>
          <w:szCs w:val="24"/>
          <w:highlight w:val="none"/>
        </w:rPr>
        <w:t>文件变更的每个供应商分别进行询标。</w:t>
      </w:r>
      <w:r>
        <w:rPr>
          <w:rFonts w:hint="eastAsia" w:ascii="宋体" w:hAnsi="宋体" w:eastAsia="宋体" w:cs="宋体"/>
          <w:bCs/>
          <w:color w:val="auto"/>
          <w:sz w:val="24"/>
          <w:szCs w:val="24"/>
          <w:highlight w:val="none"/>
          <w:lang w:eastAsia="zh-CN"/>
        </w:rPr>
        <w:t>评标</w:t>
      </w:r>
      <w:r>
        <w:rPr>
          <w:rFonts w:hint="eastAsia" w:ascii="宋体" w:hAnsi="宋体" w:eastAsia="宋体" w:cs="宋体"/>
          <w:bCs/>
          <w:color w:val="auto"/>
          <w:sz w:val="24"/>
          <w:szCs w:val="24"/>
          <w:highlight w:val="none"/>
        </w:rPr>
        <w:t>的内容主要是对</w:t>
      </w:r>
      <w:r>
        <w:rPr>
          <w:rFonts w:hint="eastAsia" w:ascii="宋体" w:hAnsi="宋体" w:eastAsia="宋体" w:cs="宋体"/>
          <w:bCs/>
          <w:color w:val="auto"/>
          <w:sz w:val="24"/>
          <w:szCs w:val="24"/>
          <w:highlight w:val="none"/>
          <w:lang w:eastAsia="zh-CN"/>
        </w:rPr>
        <w:t>投标文件</w:t>
      </w:r>
      <w:r>
        <w:rPr>
          <w:rFonts w:hint="eastAsia" w:ascii="宋体" w:hAnsi="宋体" w:eastAsia="宋体" w:cs="宋体"/>
          <w:bCs/>
          <w:color w:val="auto"/>
          <w:sz w:val="24"/>
          <w:szCs w:val="24"/>
          <w:highlight w:val="none"/>
        </w:rPr>
        <w:t>的澄清、修正、补充、确认等。不接受</w:t>
      </w:r>
      <w:r>
        <w:rPr>
          <w:rFonts w:hint="eastAsia" w:ascii="宋体" w:hAnsi="宋体" w:eastAsia="宋体" w:cs="宋体"/>
          <w:bCs/>
          <w:color w:val="auto"/>
          <w:sz w:val="24"/>
          <w:szCs w:val="24"/>
          <w:highlight w:val="none"/>
          <w:lang w:eastAsia="zh-CN"/>
        </w:rPr>
        <w:t>评标</w:t>
      </w:r>
      <w:r>
        <w:rPr>
          <w:rFonts w:hint="eastAsia" w:ascii="宋体" w:hAnsi="宋体" w:eastAsia="宋体" w:cs="宋体"/>
          <w:bCs/>
          <w:color w:val="auto"/>
          <w:sz w:val="24"/>
          <w:szCs w:val="24"/>
          <w:highlight w:val="none"/>
        </w:rPr>
        <w:t>文件变更的供应商，视为自动退出</w:t>
      </w:r>
      <w:r>
        <w:rPr>
          <w:rFonts w:hint="eastAsia" w:ascii="宋体" w:hAnsi="宋体" w:eastAsia="宋体" w:cs="宋体"/>
          <w:bCs/>
          <w:color w:val="auto"/>
          <w:sz w:val="24"/>
          <w:szCs w:val="24"/>
          <w:highlight w:val="none"/>
          <w:lang w:eastAsia="zh-CN"/>
        </w:rPr>
        <w:t>评标</w:t>
      </w:r>
      <w:r>
        <w:rPr>
          <w:rFonts w:hint="eastAsia" w:ascii="宋体" w:hAnsi="宋体" w:eastAsia="宋体" w:cs="宋体"/>
          <w:bCs/>
          <w:color w:val="auto"/>
          <w:sz w:val="24"/>
          <w:szCs w:val="24"/>
          <w:highlight w:val="none"/>
        </w:rPr>
        <w:t>，其</w:t>
      </w:r>
      <w:r>
        <w:rPr>
          <w:rFonts w:hint="eastAsia" w:ascii="宋体" w:hAnsi="宋体" w:eastAsia="宋体" w:cs="宋体"/>
          <w:bCs/>
          <w:color w:val="auto"/>
          <w:sz w:val="24"/>
          <w:szCs w:val="24"/>
          <w:highlight w:val="none"/>
          <w:lang w:eastAsia="zh-CN"/>
        </w:rPr>
        <w:t>投标文件</w:t>
      </w:r>
      <w:r>
        <w:rPr>
          <w:rFonts w:hint="eastAsia" w:ascii="宋体" w:hAnsi="宋体" w:eastAsia="宋体" w:cs="宋体"/>
          <w:bCs/>
          <w:color w:val="auto"/>
          <w:sz w:val="24"/>
          <w:szCs w:val="24"/>
          <w:highlight w:val="none"/>
        </w:rPr>
        <w:t>作无效处理。</w:t>
      </w:r>
    </w:p>
    <w:p w14:paraId="10CCE658">
      <w:pPr>
        <w:keepNext w:val="0"/>
        <w:keepLines w:val="0"/>
        <w:pageBreakBefore w:val="0"/>
        <w:widowControl w:val="0"/>
        <w:tabs>
          <w:tab w:val="left" w:pos="5527"/>
        </w:tabs>
        <w:kinsoku/>
        <w:wordWrap/>
        <w:overflowPunct/>
        <w:topLinePunct w:val="0"/>
        <w:bidi w:val="0"/>
        <w:snapToGrid w:val="0"/>
        <w:spacing w:line="348" w:lineRule="auto"/>
        <w:ind w:firstLine="484"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 xml:space="preserve"> 综合评分法评审步骤</w:t>
      </w:r>
    </w:p>
    <w:p w14:paraId="14A707F0">
      <w:pPr>
        <w:keepNext w:val="0"/>
        <w:keepLines w:val="0"/>
        <w:pageBreakBefore w:val="0"/>
        <w:widowControl w:val="0"/>
        <w:tabs>
          <w:tab w:val="left" w:pos="5527"/>
        </w:tabs>
        <w:kinsoku/>
        <w:wordWrap/>
        <w:overflowPunct/>
        <w:topLinePunct w:val="0"/>
        <w:bidi w:val="0"/>
        <w:snapToGrid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经</w:t>
      </w:r>
      <w:r>
        <w:rPr>
          <w:rFonts w:hint="eastAsia" w:ascii="宋体" w:hAnsi="宋体" w:eastAsia="宋体" w:cs="宋体"/>
          <w:bCs/>
          <w:color w:val="auto"/>
          <w:sz w:val="24"/>
          <w:szCs w:val="24"/>
          <w:highlight w:val="none"/>
          <w:lang w:eastAsia="zh-CN"/>
        </w:rPr>
        <w:t>评标</w:t>
      </w:r>
      <w:r>
        <w:rPr>
          <w:rFonts w:hint="eastAsia" w:ascii="宋体" w:hAnsi="宋体" w:eastAsia="宋体" w:cs="宋体"/>
          <w:bCs/>
          <w:color w:val="auto"/>
          <w:sz w:val="24"/>
          <w:szCs w:val="24"/>
          <w:highlight w:val="none"/>
        </w:rPr>
        <w:t>确定最终采购需求和提交</w:t>
      </w:r>
      <w:r>
        <w:rPr>
          <w:rFonts w:hint="eastAsia" w:ascii="宋体" w:hAnsi="宋体" w:eastAsia="宋体" w:cs="宋体"/>
          <w:color w:val="auto"/>
          <w:sz w:val="24"/>
          <w:szCs w:val="24"/>
          <w:highlight w:val="none"/>
        </w:rPr>
        <w:t>报价的供应商后，由</w:t>
      </w:r>
      <w:r>
        <w:rPr>
          <w:rFonts w:hint="eastAsia" w:ascii="宋体" w:hAnsi="宋体" w:eastAsia="宋体" w:cs="宋体"/>
          <w:color w:val="auto"/>
          <w:sz w:val="24"/>
          <w:szCs w:val="24"/>
          <w:highlight w:val="none"/>
          <w:lang w:eastAsia="zh-CN"/>
        </w:rPr>
        <w:t>评标</w:t>
      </w:r>
      <w:r>
        <w:rPr>
          <w:rFonts w:hint="eastAsia" w:ascii="宋体" w:hAnsi="宋体" w:eastAsia="宋体" w:cs="宋体"/>
          <w:color w:val="auto"/>
          <w:sz w:val="24"/>
          <w:szCs w:val="24"/>
          <w:highlight w:val="none"/>
        </w:rPr>
        <w:t>小组采用综合评分法对供应商的</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和报价进行综合评分。</w:t>
      </w:r>
      <w:r>
        <w:rPr>
          <w:rFonts w:hint="eastAsia" w:ascii="宋体" w:hAnsi="宋体" w:eastAsia="宋体" w:cs="宋体"/>
          <w:b/>
          <w:color w:val="auto"/>
          <w:sz w:val="24"/>
          <w:szCs w:val="24"/>
          <w:highlight w:val="none"/>
        </w:rPr>
        <w:t>先进行资格、符合性审查，再进行技术、商务及价格的详细评审。</w:t>
      </w:r>
      <w:r>
        <w:rPr>
          <w:rFonts w:hint="eastAsia" w:ascii="宋体" w:hAnsi="宋体" w:eastAsia="宋体" w:cs="宋体"/>
          <w:color w:val="auto"/>
          <w:sz w:val="24"/>
          <w:szCs w:val="24"/>
          <w:highlight w:val="none"/>
        </w:rPr>
        <w:t>只有通过资格、符合性审查的供应商才能进入下一步的详细评审。</w:t>
      </w:r>
    </w:p>
    <w:p w14:paraId="18AA10DA">
      <w:pPr>
        <w:keepNext w:val="0"/>
        <w:keepLines w:val="0"/>
        <w:pageBreakBefore w:val="0"/>
        <w:widowControl w:val="0"/>
        <w:numPr>
          <w:ilvl w:val="0"/>
          <w:numId w:val="8"/>
        </w:numPr>
        <w:tabs>
          <w:tab w:val="clear" w:pos="0"/>
        </w:tabs>
        <w:kinsoku/>
        <w:wordWrap/>
        <w:overflowPunct/>
        <w:topLinePunct w:val="0"/>
        <w:bidi w:val="0"/>
        <w:spacing w:line="348" w:lineRule="auto"/>
        <w:ind w:left="420" w:leftChars="0" w:hanging="420" w:firstLine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w:t>
      </w:r>
      <w:r>
        <w:rPr>
          <w:rFonts w:hint="eastAsia" w:ascii="宋体" w:hAnsi="宋体" w:eastAsia="宋体" w:cs="宋体"/>
          <w:color w:val="auto"/>
          <w:sz w:val="24"/>
          <w:szCs w:val="24"/>
          <w:highlight w:val="none"/>
          <w:lang w:val="en-US" w:eastAsia="zh-CN"/>
        </w:rPr>
        <w:t>性</w:t>
      </w:r>
      <w:r>
        <w:rPr>
          <w:rFonts w:hint="eastAsia" w:ascii="宋体" w:hAnsi="宋体" w:eastAsia="宋体" w:cs="宋体"/>
          <w:color w:val="auto"/>
          <w:sz w:val="24"/>
          <w:szCs w:val="24"/>
          <w:highlight w:val="none"/>
        </w:rPr>
        <w:t>审查表（详见附表一）</w:t>
      </w:r>
    </w:p>
    <w:p w14:paraId="77185E84">
      <w:pPr>
        <w:keepNext w:val="0"/>
        <w:keepLines w:val="0"/>
        <w:pageBreakBefore w:val="0"/>
        <w:widowControl w:val="0"/>
        <w:numPr>
          <w:ilvl w:val="0"/>
          <w:numId w:val="8"/>
        </w:numPr>
        <w:tabs>
          <w:tab w:val="clear" w:pos="0"/>
        </w:tabs>
        <w:kinsoku/>
        <w:wordWrap/>
        <w:overflowPunct/>
        <w:topLinePunct w:val="0"/>
        <w:bidi w:val="0"/>
        <w:spacing w:line="348" w:lineRule="auto"/>
        <w:ind w:left="420" w:leftChars="0" w:hanging="420" w:firstLine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符合性审查表（详见附表</w:t>
      </w: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rPr>
        <w:t>）</w:t>
      </w:r>
    </w:p>
    <w:p w14:paraId="5230E72A">
      <w:pPr>
        <w:keepNext w:val="0"/>
        <w:keepLines w:val="0"/>
        <w:pageBreakBefore w:val="0"/>
        <w:widowControl w:val="0"/>
        <w:numPr>
          <w:ilvl w:val="0"/>
          <w:numId w:val="8"/>
        </w:numPr>
        <w:tabs>
          <w:tab w:val="clear" w:pos="0"/>
        </w:tabs>
        <w:kinsoku/>
        <w:wordWrap/>
        <w:overflowPunct/>
        <w:topLinePunct w:val="0"/>
        <w:bidi w:val="0"/>
        <w:spacing w:line="348" w:lineRule="auto"/>
        <w:ind w:left="420" w:leftChars="0" w:hanging="420" w:firstLine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商务、技术评审表（详见附表</w:t>
      </w: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rPr>
        <w:t>）</w:t>
      </w:r>
    </w:p>
    <w:p w14:paraId="07451F3D">
      <w:pPr>
        <w:keepNext w:val="0"/>
        <w:keepLines w:val="0"/>
        <w:pageBreakBefore w:val="0"/>
        <w:widowControl w:val="0"/>
        <w:numPr>
          <w:ilvl w:val="0"/>
          <w:numId w:val="8"/>
        </w:numPr>
        <w:tabs>
          <w:tab w:val="clear" w:pos="0"/>
        </w:tabs>
        <w:kinsoku/>
        <w:wordWrap/>
        <w:overflowPunct/>
        <w:topLinePunct w:val="0"/>
        <w:bidi w:val="0"/>
        <w:spacing w:line="348" w:lineRule="auto"/>
        <w:ind w:left="420" w:leftChars="0" w:hanging="420" w:firstLine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价格评审</w:t>
      </w:r>
    </w:p>
    <w:p w14:paraId="69A2CA35">
      <w:pPr>
        <w:keepNext w:val="0"/>
        <w:keepLines w:val="0"/>
        <w:pageBreakBefore w:val="0"/>
        <w:widowControl w:val="0"/>
        <w:tabs>
          <w:tab w:val="left" w:pos="5527"/>
        </w:tabs>
        <w:kinsoku/>
        <w:wordWrap/>
        <w:overflowPunct/>
        <w:topLinePunct w:val="0"/>
        <w:bidi w:val="0"/>
        <w:snapToGrid w:val="0"/>
        <w:spacing w:line="348" w:lineRule="auto"/>
        <w:ind w:firstLine="484" w:firstLineChars="200"/>
        <w:textAlignment w:val="auto"/>
        <w:outlineLvl w:val="9"/>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eastAsia="zh-CN"/>
        </w:rPr>
        <w:t>评标</w:t>
      </w:r>
      <w:r>
        <w:rPr>
          <w:rFonts w:hint="eastAsia" w:ascii="宋体" w:hAnsi="宋体" w:eastAsia="宋体" w:cs="宋体"/>
          <w:color w:val="auto"/>
          <w:sz w:val="24"/>
          <w:szCs w:val="24"/>
          <w:highlight w:val="none"/>
        </w:rPr>
        <w:t>小组按</w:t>
      </w:r>
      <w:r>
        <w:rPr>
          <w:rFonts w:hint="eastAsia" w:ascii="宋体" w:hAnsi="宋体" w:eastAsia="宋体" w:cs="宋体"/>
          <w:color w:val="auto"/>
          <w:sz w:val="24"/>
          <w:szCs w:val="24"/>
          <w:highlight w:val="none"/>
          <w:lang w:eastAsia="zh-CN"/>
        </w:rPr>
        <w:t>评标</w:t>
      </w:r>
      <w:r>
        <w:rPr>
          <w:rFonts w:hint="eastAsia" w:ascii="宋体" w:hAnsi="宋体" w:eastAsia="宋体" w:cs="宋体"/>
          <w:color w:val="auto"/>
          <w:sz w:val="24"/>
          <w:szCs w:val="24"/>
          <w:highlight w:val="none"/>
        </w:rPr>
        <w:t>文件中规定的评审方法和标准，对资格、符合性审查合格的</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进行商务和技术评估，综合比较与评价。技术、商务、价格部分分值分配如下：</w:t>
      </w:r>
    </w:p>
    <w:tbl>
      <w:tblPr>
        <w:tblStyle w:val="27"/>
        <w:tblW w:w="85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5"/>
        <w:gridCol w:w="2814"/>
        <w:gridCol w:w="2069"/>
        <w:gridCol w:w="1790"/>
      </w:tblGrid>
      <w:tr w14:paraId="271A6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925" w:type="dxa"/>
            <w:vAlign w:val="center"/>
          </w:tcPr>
          <w:p w14:paraId="1AE96893">
            <w:pPr>
              <w:keepNext w:val="0"/>
              <w:keepLines w:val="0"/>
              <w:suppressLineNumbers w:val="0"/>
              <w:tabs>
                <w:tab w:val="left" w:pos="5527"/>
              </w:tabs>
              <w:autoSpaceDE w:val="0"/>
              <w:autoSpaceDN w:val="0"/>
              <w:adjustRightInd w:val="0"/>
              <w:spacing w:before="0" w:beforeAutospacing="0" w:after="0" w:afterAutospacing="0" w:line="240" w:lineRule="auto"/>
              <w:ind w:left="0" w:right="0"/>
              <w:jc w:val="center"/>
              <w:outlineLvl w:val="9"/>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评分项目</w:t>
            </w:r>
          </w:p>
        </w:tc>
        <w:tc>
          <w:tcPr>
            <w:tcW w:w="2814" w:type="dxa"/>
            <w:vAlign w:val="center"/>
          </w:tcPr>
          <w:p w14:paraId="7DAF85DB">
            <w:pPr>
              <w:keepNext w:val="0"/>
              <w:keepLines w:val="0"/>
              <w:suppressLineNumbers w:val="0"/>
              <w:tabs>
                <w:tab w:val="left" w:pos="5527"/>
              </w:tabs>
              <w:autoSpaceDE w:val="0"/>
              <w:autoSpaceDN w:val="0"/>
              <w:adjustRightInd w:val="0"/>
              <w:spacing w:before="0" w:beforeAutospacing="0" w:after="0" w:afterAutospacing="0" w:line="240" w:lineRule="auto"/>
              <w:ind w:left="0" w:right="0"/>
              <w:jc w:val="center"/>
              <w:outlineLvl w:val="9"/>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商务、技术评分</w:t>
            </w:r>
          </w:p>
        </w:tc>
        <w:tc>
          <w:tcPr>
            <w:tcW w:w="2069" w:type="dxa"/>
            <w:vAlign w:val="center"/>
          </w:tcPr>
          <w:p w14:paraId="0394355E">
            <w:pPr>
              <w:keepNext w:val="0"/>
              <w:keepLines w:val="0"/>
              <w:suppressLineNumbers w:val="0"/>
              <w:tabs>
                <w:tab w:val="left" w:pos="5527"/>
              </w:tabs>
              <w:autoSpaceDE w:val="0"/>
              <w:autoSpaceDN w:val="0"/>
              <w:adjustRightInd w:val="0"/>
              <w:spacing w:before="0" w:beforeAutospacing="0" w:after="0" w:afterAutospacing="0" w:line="240" w:lineRule="auto"/>
              <w:ind w:left="15" w:leftChars="-51" w:right="0" w:hanging="123" w:hangingChars="51"/>
              <w:jc w:val="center"/>
              <w:outlineLvl w:val="9"/>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价格评分</w:t>
            </w:r>
          </w:p>
        </w:tc>
        <w:tc>
          <w:tcPr>
            <w:tcW w:w="1790" w:type="dxa"/>
            <w:vAlign w:val="center"/>
          </w:tcPr>
          <w:p w14:paraId="74F69D39">
            <w:pPr>
              <w:keepNext w:val="0"/>
              <w:keepLines w:val="0"/>
              <w:suppressLineNumbers w:val="0"/>
              <w:tabs>
                <w:tab w:val="left" w:pos="5527"/>
              </w:tabs>
              <w:spacing w:before="0" w:beforeAutospacing="0" w:after="0" w:afterAutospacing="0" w:line="240" w:lineRule="auto"/>
              <w:ind w:left="0" w:right="0"/>
              <w:jc w:val="center"/>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合  计</w:t>
            </w:r>
          </w:p>
        </w:tc>
      </w:tr>
      <w:tr w14:paraId="305AB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925" w:type="dxa"/>
            <w:vAlign w:val="center"/>
          </w:tcPr>
          <w:p w14:paraId="17860B15">
            <w:pPr>
              <w:keepNext w:val="0"/>
              <w:keepLines w:val="0"/>
              <w:suppressLineNumbers w:val="0"/>
              <w:tabs>
                <w:tab w:val="left" w:pos="5527"/>
              </w:tabs>
              <w:autoSpaceDE w:val="0"/>
              <w:autoSpaceDN w:val="0"/>
              <w:adjustRightInd w:val="0"/>
              <w:spacing w:before="0" w:beforeAutospacing="0" w:after="0" w:afterAutospacing="0" w:line="240" w:lineRule="auto"/>
              <w:ind w:left="0" w:right="0"/>
              <w:jc w:val="center"/>
              <w:outlineLvl w:val="9"/>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分值</w:t>
            </w:r>
          </w:p>
        </w:tc>
        <w:tc>
          <w:tcPr>
            <w:tcW w:w="2814" w:type="dxa"/>
            <w:vAlign w:val="center"/>
          </w:tcPr>
          <w:p w14:paraId="577AD8FC">
            <w:pPr>
              <w:keepNext w:val="0"/>
              <w:keepLines w:val="0"/>
              <w:suppressLineNumbers w:val="0"/>
              <w:tabs>
                <w:tab w:val="left" w:pos="5527"/>
              </w:tabs>
              <w:autoSpaceDE w:val="0"/>
              <w:autoSpaceDN w:val="0"/>
              <w:adjustRightInd w:val="0"/>
              <w:spacing w:before="0" w:beforeAutospacing="0" w:after="0" w:afterAutospacing="0" w:line="240" w:lineRule="auto"/>
              <w:ind w:left="0" w:right="0"/>
              <w:jc w:val="center"/>
              <w:outlineLvl w:val="9"/>
              <w:rPr>
                <w:rFonts w:hint="eastAsia" w:ascii="宋体" w:hAnsi="宋体" w:eastAsia="宋体" w:cs="宋体"/>
                <w:b/>
                <w:color w:val="auto"/>
                <w:kern w:val="0"/>
                <w:sz w:val="24"/>
                <w:szCs w:val="24"/>
                <w:highlight w:val="none"/>
              </w:rPr>
            </w:pPr>
            <w:r>
              <w:rPr>
                <w:rFonts w:hint="eastAsia" w:ascii="宋体" w:hAnsi="宋体" w:cs="宋体"/>
                <w:b/>
                <w:color w:val="auto"/>
                <w:kern w:val="0"/>
                <w:sz w:val="24"/>
                <w:szCs w:val="24"/>
                <w:highlight w:val="none"/>
                <w:lang w:val="en-US" w:eastAsia="zh-CN"/>
              </w:rPr>
              <w:t>6</w:t>
            </w:r>
            <w:r>
              <w:rPr>
                <w:rFonts w:hint="eastAsia" w:ascii="宋体" w:hAnsi="宋体" w:eastAsia="宋体" w:cs="宋体"/>
                <w:b/>
                <w:color w:val="auto"/>
                <w:kern w:val="0"/>
                <w:sz w:val="24"/>
                <w:szCs w:val="24"/>
                <w:highlight w:val="none"/>
              </w:rPr>
              <w:t>0分</w:t>
            </w:r>
          </w:p>
        </w:tc>
        <w:tc>
          <w:tcPr>
            <w:tcW w:w="2069" w:type="dxa"/>
            <w:vAlign w:val="center"/>
          </w:tcPr>
          <w:p w14:paraId="166938F4">
            <w:pPr>
              <w:keepNext w:val="0"/>
              <w:keepLines w:val="0"/>
              <w:suppressLineNumbers w:val="0"/>
              <w:tabs>
                <w:tab w:val="left" w:pos="5527"/>
              </w:tabs>
              <w:autoSpaceDE w:val="0"/>
              <w:autoSpaceDN w:val="0"/>
              <w:adjustRightInd w:val="0"/>
              <w:spacing w:before="0" w:beforeAutospacing="0" w:after="0" w:afterAutospacing="0" w:line="240" w:lineRule="auto"/>
              <w:ind w:left="0" w:right="0"/>
              <w:jc w:val="center"/>
              <w:outlineLvl w:val="9"/>
              <w:rPr>
                <w:rFonts w:hint="eastAsia" w:ascii="宋体" w:hAnsi="宋体" w:eastAsia="宋体" w:cs="宋体"/>
                <w:b/>
                <w:color w:val="auto"/>
                <w:kern w:val="0"/>
                <w:sz w:val="24"/>
                <w:szCs w:val="24"/>
                <w:highlight w:val="none"/>
              </w:rPr>
            </w:pPr>
            <w:r>
              <w:rPr>
                <w:rFonts w:hint="eastAsia" w:ascii="宋体" w:hAnsi="宋体" w:cs="宋体"/>
                <w:b/>
                <w:color w:val="auto"/>
                <w:kern w:val="0"/>
                <w:sz w:val="24"/>
                <w:szCs w:val="24"/>
                <w:highlight w:val="none"/>
                <w:lang w:val="en-US" w:eastAsia="zh-CN"/>
              </w:rPr>
              <w:t>4</w:t>
            </w:r>
            <w:r>
              <w:rPr>
                <w:rFonts w:hint="eastAsia" w:ascii="宋体" w:hAnsi="宋体" w:eastAsia="宋体" w:cs="宋体"/>
                <w:b/>
                <w:color w:val="auto"/>
                <w:kern w:val="0"/>
                <w:sz w:val="24"/>
                <w:szCs w:val="24"/>
                <w:highlight w:val="none"/>
              </w:rPr>
              <w:t>0分</w:t>
            </w:r>
          </w:p>
        </w:tc>
        <w:tc>
          <w:tcPr>
            <w:tcW w:w="1790" w:type="dxa"/>
            <w:vAlign w:val="center"/>
          </w:tcPr>
          <w:p w14:paraId="3E990346">
            <w:pPr>
              <w:keepNext w:val="0"/>
              <w:keepLines w:val="0"/>
              <w:suppressLineNumbers w:val="0"/>
              <w:tabs>
                <w:tab w:val="left" w:pos="5527"/>
              </w:tabs>
              <w:spacing w:before="0" w:beforeAutospacing="0" w:after="0" w:afterAutospacing="0" w:line="240" w:lineRule="auto"/>
              <w:ind w:left="0" w:right="0"/>
              <w:jc w:val="center"/>
              <w:outlineLvl w:val="9"/>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100分</w:t>
            </w:r>
          </w:p>
        </w:tc>
      </w:tr>
    </w:tbl>
    <w:p w14:paraId="695825F0">
      <w:pPr>
        <w:keepNext w:val="0"/>
        <w:keepLines w:val="0"/>
        <w:pageBreakBefore w:val="0"/>
        <w:widowControl w:val="0"/>
        <w:tabs>
          <w:tab w:val="left" w:pos="5527"/>
        </w:tabs>
        <w:kinsoku/>
        <w:wordWrap/>
        <w:overflowPunct/>
        <w:topLinePunct w:val="0"/>
        <w:autoSpaceDE/>
        <w:autoSpaceDN/>
        <w:bidi w:val="0"/>
        <w:adjustRightInd/>
        <w:snapToGrid w:val="0"/>
        <w:spacing w:before="157" w:beforeLines="50" w:line="348" w:lineRule="auto"/>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具体打分标准如下：</w:t>
      </w:r>
    </w:p>
    <w:p w14:paraId="715239BB">
      <w:pPr>
        <w:keepNext w:val="0"/>
        <w:keepLines w:val="0"/>
        <w:pageBreakBefore w:val="0"/>
        <w:widowControl w:val="0"/>
        <w:tabs>
          <w:tab w:val="left" w:pos="5527"/>
        </w:tabs>
        <w:kinsoku/>
        <w:wordWrap/>
        <w:overflowPunct/>
        <w:topLinePunct w:val="0"/>
        <w:autoSpaceDE/>
        <w:autoSpaceDN/>
        <w:bidi w:val="0"/>
        <w:adjustRightInd/>
        <w:snapToGrid w:val="0"/>
        <w:spacing w:line="348" w:lineRule="auto"/>
        <w:ind w:firstLine="484" w:firstLineChars="200"/>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w:t>
      </w:r>
      <w:r>
        <w:rPr>
          <w:rFonts w:hint="eastAsia" w:ascii="宋体" w:hAnsi="宋体" w:eastAsia="宋体" w:cs="宋体"/>
          <w:b/>
          <w:bCs/>
          <w:color w:val="auto"/>
          <w:sz w:val="24"/>
          <w:szCs w:val="24"/>
          <w:highlight w:val="none"/>
        </w:rPr>
        <w:t>商务、技术评分</w:t>
      </w:r>
    </w:p>
    <w:p w14:paraId="2D2CF4A6">
      <w:pPr>
        <w:keepNext w:val="0"/>
        <w:keepLines w:val="0"/>
        <w:pageBreakBefore w:val="0"/>
        <w:widowControl w:val="0"/>
        <w:tabs>
          <w:tab w:val="left" w:pos="5527"/>
        </w:tabs>
        <w:kinsoku/>
        <w:wordWrap/>
        <w:overflowPunct/>
        <w:topLinePunct w:val="0"/>
        <w:autoSpaceDE/>
        <w:autoSpaceDN/>
        <w:bidi w:val="0"/>
        <w:adjustRightInd/>
        <w:snapToGrid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评标</w:t>
      </w:r>
      <w:r>
        <w:rPr>
          <w:rFonts w:hint="eastAsia" w:ascii="宋体" w:hAnsi="宋体" w:eastAsia="宋体" w:cs="宋体"/>
          <w:color w:val="auto"/>
          <w:sz w:val="24"/>
          <w:szCs w:val="24"/>
          <w:highlight w:val="none"/>
        </w:rPr>
        <w:t>小组分别对各供应商的商务、技术</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中的各项内容进行评议比较，详细对比其商务、</w:t>
      </w:r>
      <w:r>
        <w:rPr>
          <w:rFonts w:hint="eastAsia" w:ascii="宋体" w:hAnsi="宋体" w:eastAsia="宋体" w:cs="宋体"/>
          <w:color w:val="auto"/>
          <w:sz w:val="24"/>
          <w:szCs w:val="24"/>
          <w:highlight w:val="none"/>
          <w:lang w:eastAsia="zh-CN"/>
        </w:rPr>
        <w:t>供货方案</w:t>
      </w:r>
      <w:r>
        <w:rPr>
          <w:rFonts w:hint="eastAsia" w:ascii="宋体" w:hAnsi="宋体" w:eastAsia="宋体" w:cs="宋体"/>
          <w:color w:val="auto"/>
          <w:sz w:val="24"/>
          <w:szCs w:val="24"/>
          <w:highlight w:val="none"/>
        </w:rPr>
        <w:t>等各种因素方面是否满足</w:t>
      </w:r>
      <w:r>
        <w:rPr>
          <w:rFonts w:hint="eastAsia" w:ascii="宋体" w:hAnsi="宋体" w:eastAsia="宋体" w:cs="宋体"/>
          <w:color w:val="auto"/>
          <w:sz w:val="24"/>
          <w:szCs w:val="24"/>
          <w:highlight w:val="none"/>
          <w:lang w:eastAsia="zh-CN"/>
        </w:rPr>
        <w:t>评标</w:t>
      </w:r>
      <w:r>
        <w:rPr>
          <w:rFonts w:hint="eastAsia" w:ascii="宋体" w:hAnsi="宋体" w:eastAsia="宋体" w:cs="宋体"/>
          <w:color w:val="auto"/>
          <w:sz w:val="24"/>
          <w:szCs w:val="24"/>
          <w:highlight w:val="none"/>
        </w:rPr>
        <w:t>文件的要求。在商务、技术评审表的相应项各自记名打分。</w:t>
      </w:r>
    </w:p>
    <w:p w14:paraId="443259AC">
      <w:pPr>
        <w:keepNext w:val="0"/>
        <w:keepLines w:val="0"/>
        <w:pageBreakBefore w:val="0"/>
        <w:widowControl w:val="0"/>
        <w:tabs>
          <w:tab w:val="left" w:pos="5527"/>
        </w:tabs>
        <w:kinsoku/>
        <w:wordWrap/>
        <w:overflowPunct/>
        <w:topLinePunct w:val="0"/>
        <w:autoSpaceDE/>
        <w:autoSpaceDN/>
        <w:bidi w:val="0"/>
        <w:adjustRightInd/>
        <w:snapToGrid w:val="0"/>
        <w:spacing w:line="348" w:lineRule="auto"/>
        <w:ind w:firstLine="484" w:firstLineChars="200"/>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（2）商务、技术得分统计</w:t>
      </w:r>
    </w:p>
    <w:p w14:paraId="0499B94E">
      <w:pPr>
        <w:keepNext w:val="0"/>
        <w:keepLines w:val="0"/>
        <w:pageBreakBefore w:val="0"/>
        <w:widowControl w:val="0"/>
        <w:tabs>
          <w:tab w:val="left" w:pos="5527"/>
        </w:tabs>
        <w:kinsoku/>
        <w:wordWrap/>
        <w:overflowPunct/>
        <w:topLinePunct w:val="0"/>
        <w:autoSpaceDE/>
        <w:autoSpaceDN/>
        <w:bidi w:val="0"/>
        <w:adjustRightInd/>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将所有</w:t>
      </w:r>
      <w:r>
        <w:rPr>
          <w:rFonts w:hint="eastAsia" w:ascii="宋体" w:hAnsi="宋体" w:eastAsia="宋体" w:cs="宋体"/>
          <w:color w:val="auto"/>
          <w:sz w:val="24"/>
          <w:szCs w:val="24"/>
          <w:highlight w:val="none"/>
          <w:lang w:eastAsia="zh-CN"/>
        </w:rPr>
        <w:t>评标</w:t>
      </w:r>
      <w:r>
        <w:rPr>
          <w:rFonts w:hint="eastAsia" w:ascii="宋体" w:hAnsi="宋体" w:eastAsia="宋体" w:cs="宋体"/>
          <w:color w:val="auto"/>
          <w:sz w:val="24"/>
          <w:szCs w:val="24"/>
          <w:highlight w:val="none"/>
        </w:rPr>
        <w:t>小组的商务、技术评分的算术平均值即为每个有效供应商的技术得分（四舍五入后，精确到0.01）。</w:t>
      </w:r>
    </w:p>
    <w:p w14:paraId="347B5A3A">
      <w:pPr>
        <w:keepNext w:val="0"/>
        <w:keepLines w:val="0"/>
        <w:pageBreakBefore w:val="0"/>
        <w:widowControl w:val="0"/>
        <w:tabs>
          <w:tab w:val="left" w:pos="5527"/>
        </w:tabs>
        <w:kinsoku/>
        <w:wordWrap/>
        <w:overflowPunct/>
        <w:topLinePunct w:val="0"/>
        <w:autoSpaceDE/>
        <w:autoSpaceDN/>
        <w:bidi w:val="0"/>
        <w:adjustRightInd/>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（3）价格核准和评分</w:t>
      </w:r>
    </w:p>
    <w:p w14:paraId="13A5DB52">
      <w:pPr>
        <w:pStyle w:val="42"/>
        <w:keepNext w:val="0"/>
        <w:keepLines w:val="0"/>
        <w:pageBreakBefore w:val="0"/>
        <w:widowControl w:val="0"/>
        <w:tabs>
          <w:tab w:val="left" w:pos="5527"/>
        </w:tabs>
        <w:kinsoku/>
        <w:wordWrap/>
        <w:overflowPunct/>
        <w:topLinePunct w:val="0"/>
        <w:autoSpaceDE/>
        <w:autoSpaceDN/>
        <w:bidi w:val="0"/>
        <w:adjustRightInd/>
        <w:snapToGrid w:val="0"/>
        <w:spacing w:line="348" w:lineRule="auto"/>
        <w:ind w:firstLine="562"/>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A</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rPr>
        <w:t>价格的核准</w:t>
      </w:r>
    </w:p>
    <w:p w14:paraId="4DE63A21">
      <w:pPr>
        <w:keepNext w:val="0"/>
        <w:keepLines w:val="0"/>
        <w:pageBreakBefore w:val="0"/>
        <w:widowControl w:val="0"/>
        <w:tabs>
          <w:tab w:val="left" w:pos="5527"/>
        </w:tabs>
        <w:kinsoku/>
        <w:wordWrap/>
        <w:overflowPunct/>
        <w:topLinePunct w:val="0"/>
        <w:autoSpaceDE/>
        <w:autoSpaceDN/>
        <w:bidi w:val="0"/>
        <w:adjustRightInd/>
        <w:snapToGrid w:val="0"/>
        <w:spacing w:line="348" w:lineRule="auto"/>
        <w:ind w:firstLine="473" w:firstLineChars="196"/>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供应商不得以低于成本的报价竞争。如果</w:t>
      </w:r>
      <w:r>
        <w:rPr>
          <w:rFonts w:hint="eastAsia" w:ascii="宋体" w:hAnsi="宋体" w:eastAsia="宋体" w:cs="宋体"/>
          <w:color w:val="auto"/>
          <w:sz w:val="24"/>
          <w:szCs w:val="24"/>
          <w:highlight w:val="none"/>
          <w:lang w:eastAsia="zh-CN"/>
        </w:rPr>
        <w:t>评标</w:t>
      </w:r>
      <w:r>
        <w:rPr>
          <w:rFonts w:hint="eastAsia" w:ascii="宋体" w:hAnsi="宋体" w:eastAsia="宋体" w:cs="宋体"/>
          <w:color w:val="auto"/>
          <w:sz w:val="24"/>
          <w:szCs w:val="24"/>
          <w:highlight w:val="none"/>
        </w:rPr>
        <w:t>小组发现供应商的报价明显低于其他供应商的，使得其报价可能低于其个别成本的，将要求该供应商</w:t>
      </w:r>
      <w:r>
        <w:rPr>
          <w:rFonts w:hint="eastAsia" w:ascii="宋体" w:hAnsi="宋体" w:eastAsia="宋体" w:cs="宋体"/>
          <w:color w:val="auto"/>
          <w:sz w:val="24"/>
          <w:szCs w:val="24"/>
          <w:highlight w:val="none"/>
          <w:lang w:eastAsia="zh-CN"/>
        </w:rPr>
        <w:t>做</w:t>
      </w:r>
      <w:r>
        <w:rPr>
          <w:rFonts w:hint="eastAsia" w:ascii="宋体" w:hAnsi="宋体" w:eastAsia="宋体" w:cs="宋体"/>
          <w:color w:val="auto"/>
          <w:sz w:val="24"/>
          <w:szCs w:val="24"/>
          <w:highlight w:val="none"/>
        </w:rPr>
        <w:t>书面说明并提供相关证明材料。供应商不能合理说明或不能提供相关证明材料的，</w:t>
      </w:r>
      <w:r>
        <w:rPr>
          <w:rFonts w:hint="eastAsia" w:ascii="宋体" w:hAnsi="宋体" w:eastAsia="宋体" w:cs="宋体"/>
          <w:color w:val="auto"/>
          <w:sz w:val="24"/>
          <w:szCs w:val="24"/>
          <w:highlight w:val="none"/>
          <w:lang w:eastAsia="zh-CN"/>
        </w:rPr>
        <w:t>评标</w:t>
      </w:r>
      <w:r>
        <w:rPr>
          <w:rFonts w:hint="eastAsia" w:ascii="宋体" w:hAnsi="宋体" w:eastAsia="宋体" w:cs="宋体"/>
          <w:color w:val="auto"/>
          <w:sz w:val="24"/>
          <w:szCs w:val="24"/>
          <w:highlight w:val="none"/>
        </w:rPr>
        <w:t>小组将认定该供应商以低于成本报价竞争，其</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作无效处理。</w:t>
      </w:r>
    </w:p>
    <w:p w14:paraId="4A1FECE8">
      <w:pPr>
        <w:keepNext w:val="0"/>
        <w:keepLines w:val="0"/>
        <w:pageBreakBefore w:val="0"/>
        <w:widowControl w:val="0"/>
        <w:tabs>
          <w:tab w:val="left" w:pos="5527"/>
        </w:tabs>
        <w:kinsoku/>
        <w:wordWrap/>
        <w:overflowPunct/>
        <w:topLinePunct w:val="0"/>
        <w:autoSpaceDE/>
        <w:autoSpaceDN/>
        <w:bidi w:val="0"/>
        <w:adjustRightInd/>
        <w:snapToGrid w:val="0"/>
        <w:spacing w:line="348" w:lineRule="auto"/>
        <w:ind w:firstLine="473" w:firstLineChars="196"/>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评标</w:t>
      </w:r>
      <w:r>
        <w:rPr>
          <w:rFonts w:hint="eastAsia" w:ascii="宋体" w:hAnsi="宋体" w:eastAsia="宋体" w:cs="宋体"/>
          <w:color w:val="auto"/>
          <w:sz w:val="24"/>
          <w:szCs w:val="24"/>
          <w:highlight w:val="none"/>
        </w:rPr>
        <w:t>小组先对入围供应商的最后报价进行复核，审查其是否有计算上的错误，修正错误的原则如下</w:t>
      </w:r>
    </w:p>
    <w:p w14:paraId="5D96927E">
      <w:pPr>
        <w:keepNext w:val="0"/>
        <w:keepLines w:val="0"/>
        <w:pageBreakBefore w:val="0"/>
        <w:widowControl w:val="0"/>
        <w:tabs>
          <w:tab w:val="left" w:pos="5527"/>
        </w:tabs>
        <w:kinsoku/>
        <w:wordWrap/>
        <w:overflowPunct/>
        <w:topLinePunct w:val="0"/>
        <w:autoSpaceDE/>
        <w:autoSpaceDN/>
        <w:bidi w:val="0"/>
        <w:adjustRightInd/>
        <w:snapToGrid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的大写金额和小写金额不一致的，以大写金额为准；总价金额与按单价汇总金额不一致的，以单价金额计算结果为准；单价金额小数点有明显错位的，应以总价为准，并修改单价；对不同文字文本</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的解释发生异议的，以中文文本为准。</w:t>
      </w:r>
    </w:p>
    <w:p w14:paraId="0695D6DC">
      <w:pPr>
        <w:keepNext w:val="0"/>
        <w:keepLines w:val="0"/>
        <w:pageBreakBefore w:val="0"/>
        <w:widowControl w:val="0"/>
        <w:tabs>
          <w:tab w:val="left" w:pos="5527"/>
        </w:tabs>
        <w:kinsoku/>
        <w:wordWrap/>
        <w:overflowPunct/>
        <w:topLinePunct w:val="0"/>
        <w:autoSpaceDE/>
        <w:autoSpaceDN/>
        <w:bidi w:val="0"/>
        <w:adjustRightInd/>
        <w:snapToGrid w:val="0"/>
        <w:spacing w:line="348"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按上述修正错误的方法调整后的最后报价，对供应商具有约束力。如果供应商不接受修正后的价格，则其</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作无效处理。</w:t>
      </w:r>
    </w:p>
    <w:p w14:paraId="7800FE3A">
      <w:pPr>
        <w:pStyle w:val="42"/>
        <w:keepNext w:val="0"/>
        <w:keepLines w:val="0"/>
        <w:pageBreakBefore w:val="0"/>
        <w:widowControl w:val="0"/>
        <w:tabs>
          <w:tab w:val="left" w:pos="426"/>
          <w:tab w:val="left" w:pos="5527"/>
        </w:tabs>
        <w:kinsoku/>
        <w:wordWrap/>
        <w:overflowPunct/>
        <w:topLinePunct w:val="0"/>
        <w:autoSpaceDE/>
        <w:autoSpaceDN/>
        <w:bidi w:val="0"/>
        <w:adjustRightInd/>
        <w:snapToGrid w:val="0"/>
        <w:spacing w:line="348" w:lineRule="auto"/>
        <w:ind w:left="-2" w:leftChars="-1" w:firstLine="427" w:firstLineChars="177"/>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B</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rPr>
        <w:t>政策价格扣除</w:t>
      </w:r>
    </w:p>
    <w:p w14:paraId="68E1C8CA">
      <w:pPr>
        <w:keepNext w:val="0"/>
        <w:keepLines w:val="0"/>
        <w:pageBreakBefore w:val="0"/>
        <w:widowControl w:val="0"/>
        <w:tabs>
          <w:tab w:val="left" w:pos="1050"/>
          <w:tab w:val="left" w:pos="5527"/>
        </w:tabs>
        <w:kinsoku/>
        <w:wordWrap/>
        <w:overflowPunct/>
        <w:topLinePunct w:val="0"/>
        <w:autoSpaceDE/>
        <w:autoSpaceDN/>
        <w:bidi w:val="0"/>
        <w:adjustRightInd/>
        <w:spacing w:line="348" w:lineRule="auto"/>
        <w:ind w:firstLine="484"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en-US" w:eastAsia="zh-CN"/>
        </w:rPr>
        <w:t>中</w:t>
      </w:r>
      <w:r>
        <w:rPr>
          <w:rFonts w:hint="eastAsia" w:ascii="宋体" w:hAnsi="宋体" w:eastAsia="宋体" w:cs="宋体"/>
          <w:bCs/>
          <w:color w:val="auto"/>
          <w:sz w:val="24"/>
          <w:szCs w:val="24"/>
          <w:highlight w:val="none"/>
        </w:rPr>
        <w:t>小型和微型企业产品价格扣除</w:t>
      </w:r>
    </w:p>
    <w:p w14:paraId="0D70279E">
      <w:pPr>
        <w:keepNext w:val="0"/>
        <w:keepLines w:val="0"/>
        <w:pageBreakBefore w:val="0"/>
        <w:widowControl w:val="0"/>
        <w:tabs>
          <w:tab w:val="left" w:pos="1050"/>
          <w:tab w:val="left" w:pos="5527"/>
        </w:tabs>
        <w:kinsoku/>
        <w:wordWrap/>
        <w:overflowPunct/>
        <w:topLinePunct w:val="0"/>
        <w:autoSpaceDE/>
        <w:autoSpaceDN/>
        <w:bidi w:val="0"/>
        <w:adjustRightInd/>
        <w:spacing w:line="348" w:lineRule="auto"/>
        <w:ind w:firstLine="484"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a）根据财务部、工业和信息化部印发的《政府采购促进中小企业发展暂行办法》（财库[2011]181号）的规定，对小型和微型企业产品的价格给予</w:t>
      </w:r>
      <w:r>
        <w:rPr>
          <w:rFonts w:hint="eastAsia" w:ascii="宋体" w:hAnsi="宋体" w:eastAsia="宋体" w:cs="宋体"/>
          <w:bCs/>
          <w:color w:val="auto"/>
          <w:sz w:val="24"/>
          <w:szCs w:val="24"/>
          <w:highlight w:val="none"/>
          <w:lang w:eastAsia="zh-CN"/>
        </w:rPr>
        <w:t>10%</w:t>
      </w:r>
      <w:r>
        <w:rPr>
          <w:rFonts w:hint="eastAsia" w:ascii="宋体" w:hAnsi="宋体" w:eastAsia="宋体" w:cs="宋体"/>
          <w:bCs/>
          <w:color w:val="auto"/>
          <w:sz w:val="24"/>
          <w:szCs w:val="24"/>
          <w:highlight w:val="none"/>
        </w:rPr>
        <w:t>的扣除，联合体一方为小型、微型企业且小型、微型企业协议合同金额占联合体协议合同总金额30%以上的对联合体总金额扣除2%，用扣除后的价格参与评审；报价产品中仅有部分小型和微型企业产品的，则按所投小型和微型企业产品的价格予以扣除。</w:t>
      </w:r>
    </w:p>
    <w:p w14:paraId="33921884">
      <w:pPr>
        <w:keepNext w:val="0"/>
        <w:keepLines w:val="0"/>
        <w:pageBreakBefore w:val="0"/>
        <w:widowControl w:val="0"/>
        <w:tabs>
          <w:tab w:val="left" w:pos="1050"/>
          <w:tab w:val="left" w:pos="5527"/>
        </w:tabs>
        <w:kinsoku/>
        <w:wordWrap/>
        <w:overflowPunct/>
        <w:topLinePunct w:val="0"/>
        <w:autoSpaceDE/>
        <w:autoSpaceDN/>
        <w:bidi w:val="0"/>
        <w:adjustRightInd/>
        <w:spacing w:line="348" w:lineRule="auto"/>
        <w:ind w:firstLine="484"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b)《政府采购促进中小企业发展暂行办法》所称中小企业（含中型、小型、微型企业，下同）应当同时符合以下条件：</w:t>
      </w:r>
    </w:p>
    <w:p w14:paraId="19F70721">
      <w:pPr>
        <w:keepNext w:val="0"/>
        <w:keepLines w:val="0"/>
        <w:pageBreakBefore w:val="0"/>
        <w:widowControl w:val="0"/>
        <w:tabs>
          <w:tab w:val="left" w:pos="5527"/>
        </w:tabs>
        <w:kinsoku/>
        <w:wordWrap/>
        <w:overflowPunct/>
        <w:topLinePunct w:val="0"/>
        <w:autoSpaceDE/>
        <w:autoSpaceDN/>
        <w:bidi w:val="0"/>
        <w:adjustRightInd/>
        <w:spacing w:line="348" w:lineRule="auto"/>
        <w:ind w:firstLine="484"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①符合中小企业划分标准；</w:t>
      </w:r>
    </w:p>
    <w:p w14:paraId="4CD9E18F">
      <w:pPr>
        <w:keepNext w:val="0"/>
        <w:keepLines w:val="0"/>
        <w:pageBreakBefore w:val="0"/>
        <w:widowControl w:val="0"/>
        <w:tabs>
          <w:tab w:val="left" w:pos="5527"/>
        </w:tabs>
        <w:kinsoku/>
        <w:wordWrap/>
        <w:overflowPunct/>
        <w:topLinePunct w:val="0"/>
        <w:autoSpaceDE/>
        <w:autoSpaceDN/>
        <w:bidi w:val="0"/>
        <w:adjustRightInd/>
        <w:spacing w:line="348" w:lineRule="auto"/>
        <w:ind w:firstLine="484"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②提供本企业制造的货物、承担的工程或者服务，或者提供其他中小企业制造的货物。本项所称货物不包括使用大型企业注册商标的货物。</w:t>
      </w:r>
    </w:p>
    <w:p w14:paraId="36155C39">
      <w:pPr>
        <w:keepNext w:val="0"/>
        <w:keepLines w:val="0"/>
        <w:pageBreakBefore w:val="0"/>
        <w:widowControl w:val="0"/>
        <w:tabs>
          <w:tab w:val="left" w:pos="5527"/>
        </w:tabs>
        <w:kinsoku/>
        <w:wordWrap/>
        <w:overflowPunct/>
        <w:topLinePunct w:val="0"/>
        <w:autoSpaceDE/>
        <w:autoSpaceDN/>
        <w:bidi w:val="0"/>
        <w:adjustRightInd/>
        <w:spacing w:line="348" w:lineRule="auto"/>
        <w:ind w:firstLine="484"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中小企业划分标准以《工业和信息化部、国家统计局、国家发展和改革委员会、财政部关于印发中小企业划型标准的通知》（工信部联企业[2011]300号）规定的划分标准为准。小型、微型企业提供中型企业制造的货物的，视同为中型企业。</w:t>
      </w:r>
    </w:p>
    <w:p w14:paraId="2060067C">
      <w:pPr>
        <w:keepNext w:val="0"/>
        <w:keepLines w:val="0"/>
        <w:pageBreakBefore w:val="0"/>
        <w:widowControl w:val="0"/>
        <w:tabs>
          <w:tab w:val="left" w:pos="5527"/>
        </w:tabs>
        <w:kinsoku/>
        <w:wordWrap/>
        <w:overflowPunct/>
        <w:topLinePunct w:val="0"/>
        <w:autoSpaceDE/>
        <w:autoSpaceDN/>
        <w:bidi w:val="0"/>
        <w:adjustRightInd/>
        <w:spacing w:line="348" w:lineRule="auto"/>
        <w:ind w:firstLine="484"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③参加政府采购活动的中小企业应当提供《中小企业声明函》</w:t>
      </w:r>
    </w:p>
    <w:p w14:paraId="3B318CE1">
      <w:pPr>
        <w:keepNext w:val="0"/>
        <w:keepLines w:val="0"/>
        <w:pageBreakBefore w:val="0"/>
        <w:widowControl w:val="0"/>
        <w:tabs>
          <w:tab w:val="left" w:pos="1050"/>
          <w:tab w:val="left" w:pos="5527"/>
        </w:tabs>
        <w:kinsoku/>
        <w:wordWrap/>
        <w:overflowPunct/>
        <w:topLinePunct w:val="0"/>
        <w:autoSpaceDE/>
        <w:autoSpaceDN/>
        <w:bidi w:val="0"/>
        <w:adjustRightInd/>
        <w:spacing w:line="348" w:lineRule="auto"/>
        <w:ind w:firstLine="484"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2）监狱企业产品价格扣除</w:t>
      </w:r>
    </w:p>
    <w:p w14:paraId="289D5CFB">
      <w:pPr>
        <w:keepNext w:val="0"/>
        <w:keepLines w:val="0"/>
        <w:pageBreakBefore w:val="0"/>
        <w:widowControl w:val="0"/>
        <w:tabs>
          <w:tab w:val="left" w:pos="1050"/>
          <w:tab w:val="left" w:pos="5527"/>
        </w:tabs>
        <w:kinsoku/>
        <w:wordWrap/>
        <w:overflowPunct/>
        <w:topLinePunct w:val="0"/>
        <w:autoSpaceDE/>
        <w:autoSpaceDN/>
        <w:bidi w:val="0"/>
        <w:adjustRightInd/>
        <w:spacing w:line="348" w:lineRule="auto"/>
        <w:ind w:firstLine="484"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a）监狱企业视同小型、微型企业，按上述1.的a</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条款享受评审中价格扣除。</w:t>
      </w:r>
    </w:p>
    <w:p w14:paraId="7AC6731E">
      <w:pPr>
        <w:keepNext w:val="0"/>
        <w:keepLines w:val="0"/>
        <w:pageBreakBefore w:val="0"/>
        <w:widowControl w:val="0"/>
        <w:tabs>
          <w:tab w:val="left" w:pos="1050"/>
          <w:tab w:val="left" w:pos="5527"/>
        </w:tabs>
        <w:kinsoku/>
        <w:wordWrap/>
        <w:overflowPunct/>
        <w:topLinePunct w:val="0"/>
        <w:autoSpaceDE/>
        <w:autoSpaceDN/>
        <w:bidi w:val="0"/>
        <w:adjustRightInd/>
        <w:spacing w:line="348" w:lineRule="auto"/>
        <w:ind w:firstLine="484"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b）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5A9AD20F">
      <w:pPr>
        <w:keepNext w:val="0"/>
        <w:keepLines w:val="0"/>
        <w:pageBreakBefore w:val="0"/>
        <w:widowControl w:val="0"/>
        <w:tabs>
          <w:tab w:val="left" w:pos="1050"/>
          <w:tab w:val="left" w:pos="5527"/>
        </w:tabs>
        <w:kinsoku/>
        <w:wordWrap/>
        <w:overflowPunct/>
        <w:topLinePunct w:val="0"/>
        <w:autoSpaceDE/>
        <w:autoSpaceDN/>
        <w:bidi w:val="0"/>
        <w:adjustRightInd/>
        <w:spacing w:line="348" w:lineRule="auto"/>
        <w:ind w:firstLine="484"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c）监狱企业参加政府采购活动时，应当提供由省级以上监狱管理局、戒毒管理局（含新疆生产建设兵团）出具的属于监狱企业的证明文件，否则不予认可。</w:t>
      </w:r>
    </w:p>
    <w:p w14:paraId="0F87998F">
      <w:pPr>
        <w:keepNext w:val="0"/>
        <w:keepLines w:val="0"/>
        <w:pageBreakBefore w:val="0"/>
        <w:widowControl w:val="0"/>
        <w:tabs>
          <w:tab w:val="left" w:pos="1050"/>
          <w:tab w:val="left" w:pos="5527"/>
        </w:tabs>
        <w:kinsoku/>
        <w:wordWrap/>
        <w:overflowPunct/>
        <w:topLinePunct w:val="0"/>
        <w:autoSpaceDE/>
        <w:autoSpaceDN/>
        <w:bidi w:val="0"/>
        <w:adjustRightInd/>
        <w:spacing w:line="348" w:lineRule="auto"/>
        <w:ind w:firstLine="484"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Cs/>
          <w:color w:val="auto"/>
          <w:sz w:val="24"/>
          <w:szCs w:val="24"/>
          <w:highlight w:val="none"/>
        </w:rPr>
        <w:t>3）残疾人福利性单位产品价格扣除</w:t>
      </w:r>
    </w:p>
    <w:p w14:paraId="09E7C52B">
      <w:pPr>
        <w:keepNext w:val="0"/>
        <w:keepLines w:val="0"/>
        <w:pageBreakBefore w:val="0"/>
        <w:widowControl w:val="0"/>
        <w:tabs>
          <w:tab w:val="left" w:pos="1050"/>
          <w:tab w:val="left" w:pos="5527"/>
        </w:tabs>
        <w:kinsoku/>
        <w:wordWrap/>
        <w:overflowPunct/>
        <w:topLinePunct w:val="0"/>
        <w:autoSpaceDE/>
        <w:autoSpaceDN/>
        <w:bidi w:val="0"/>
        <w:adjustRightInd/>
        <w:spacing w:line="348" w:lineRule="auto"/>
        <w:ind w:firstLine="484"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a）残疾人福利性单位视同小型、微型企业，按上述1.a</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条款享受评审中价格扣除。</w:t>
      </w:r>
    </w:p>
    <w:p w14:paraId="0F3C2960">
      <w:pPr>
        <w:keepNext w:val="0"/>
        <w:keepLines w:val="0"/>
        <w:pageBreakBefore w:val="0"/>
        <w:widowControl w:val="0"/>
        <w:tabs>
          <w:tab w:val="left" w:pos="1050"/>
          <w:tab w:val="left" w:pos="5527"/>
        </w:tabs>
        <w:kinsoku/>
        <w:wordWrap/>
        <w:overflowPunct/>
        <w:topLinePunct w:val="0"/>
        <w:autoSpaceDE/>
        <w:autoSpaceDN/>
        <w:bidi w:val="0"/>
        <w:adjustRightInd/>
        <w:spacing w:line="348" w:lineRule="auto"/>
        <w:ind w:firstLine="484"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b）根据财政部、民政部、中国残疾人联合会印发的《关于促进残疾人就业政府采购政策的通知》（财库〔2017〕141号）的规定，符合条件的残疾人福利性单位在参加政府采购活动时，应当提供该通知规定的《残疾人福利性单位声明函》（格式见第六章投标文件格式），并对声明的真实性负责。一旦中标将在中标公告中公告其声明函，接受社会监督。供应商提供的《残疾人福利性单位声明函》与事实不符的，依照《政府采购法》第七十七条第一款的规定追究法律责任。</w:t>
      </w:r>
    </w:p>
    <w:p w14:paraId="566E1838">
      <w:pPr>
        <w:keepNext w:val="0"/>
        <w:keepLines w:val="0"/>
        <w:pageBreakBefore w:val="0"/>
        <w:widowControl w:val="0"/>
        <w:tabs>
          <w:tab w:val="left" w:pos="1050"/>
          <w:tab w:val="left" w:pos="5527"/>
        </w:tabs>
        <w:kinsoku/>
        <w:wordWrap/>
        <w:overflowPunct/>
        <w:topLinePunct w:val="0"/>
        <w:autoSpaceDE/>
        <w:autoSpaceDN/>
        <w:bidi w:val="0"/>
        <w:adjustRightInd/>
        <w:spacing w:line="348" w:lineRule="auto"/>
        <w:ind w:firstLine="484"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4）供应商同时为小型、微型企业、监狱企业和残疾人福利性单位任两种或以上情况的，评审中只享受一次价格扣除。不重复进行价格扣除。</w:t>
      </w:r>
    </w:p>
    <w:p w14:paraId="15B63827">
      <w:pPr>
        <w:pStyle w:val="42"/>
        <w:keepNext w:val="0"/>
        <w:keepLines w:val="0"/>
        <w:pageBreakBefore w:val="0"/>
        <w:widowControl w:val="0"/>
        <w:tabs>
          <w:tab w:val="left" w:pos="5527"/>
        </w:tabs>
        <w:kinsoku/>
        <w:wordWrap/>
        <w:overflowPunct/>
        <w:topLinePunct w:val="0"/>
        <w:autoSpaceDE/>
        <w:autoSpaceDN/>
        <w:bidi w:val="0"/>
        <w:adjustRightInd/>
        <w:snapToGrid w:val="0"/>
        <w:spacing w:line="348" w:lineRule="auto"/>
        <w:ind w:firstLine="562"/>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C</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rPr>
        <w:t>价格评分</w:t>
      </w:r>
    </w:p>
    <w:p w14:paraId="01087F39">
      <w:pPr>
        <w:keepNext w:val="0"/>
        <w:keepLines w:val="0"/>
        <w:pageBreakBefore w:val="0"/>
        <w:widowControl w:val="0"/>
        <w:tabs>
          <w:tab w:val="left" w:pos="5527"/>
        </w:tabs>
        <w:kinsoku/>
        <w:wordWrap/>
        <w:overflowPunct/>
        <w:topLinePunct w:val="0"/>
        <w:autoSpaceDE/>
        <w:autoSpaceDN/>
        <w:bidi w:val="0"/>
        <w:adjustRightInd/>
        <w:snapToGrid w:val="0"/>
        <w:spacing w:line="348" w:lineRule="auto"/>
        <w:ind w:firstLine="473" w:firstLineChars="196"/>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评标</w:t>
      </w:r>
      <w:r>
        <w:rPr>
          <w:rFonts w:hint="eastAsia" w:ascii="宋体" w:hAnsi="宋体" w:eastAsia="宋体" w:cs="宋体"/>
          <w:color w:val="auto"/>
          <w:sz w:val="24"/>
          <w:szCs w:val="24"/>
          <w:highlight w:val="none"/>
        </w:rPr>
        <w:t>小组对入围的供应商的最后价格进行修正及价格扣除得出评审价。综合评分法中的价格分统一采用低价优先法计算，即满足</w:t>
      </w:r>
      <w:r>
        <w:rPr>
          <w:rFonts w:hint="eastAsia" w:ascii="宋体" w:hAnsi="宋体" w:eastAsia="宋体" w:cs="宋体"/>
          <w:color w:val="auto"/>
          <w:sz w:val="24"/>
          <w:szCs w:val="24"/>
          <w:highlight w:val="none"/>
          <w:lang w:eastAsia="zh-CN"/>
        </w:rPr>
        <w:t>评标</w:t>
      </w:r>
      <w:r>
        <w:rPr>
          <w:rFonts w:hint="eastAsia" w:ascii="宋体" w:hAnsi="宋体" w:eastAsia="宋体" w:cs="宋体"/>
          <w:color w:val="auto"/>
          <w:sz w:val="24"/>
          <w:szCs w:val="24"/>
          <w:highlight w:val="none"/>
        </w:rPr>
        <w:t>文件要求（通过资格、符合性审查）且价格最低的有效最后报价（指修正后的价格，下同）为基准价，其价格分为满分。其他供应商的价格分统一按照下列公式计算：</w:t>
      </w:r>
    </w:p>
    <w:p w14:paraId="41D7265D">
      <w:pPr>
        <w:keepNext w:val="0"/>
        <w:keepLines w:val="0"/>
        <w:pageBreakBefore w:val="0"/>
        <w:widowControl w:val="0"/>
        <w:tabs>
          <w:tab w:val="left" w:pos="5527"/>
        </w:tabs>
        <w:kinsoku/>
        <w:wordWrap/>
        <w:overflowPunct/>
        <w:topLinePunct w:val="0"/>
        <w:autoSpaceDE/>
        <w:autoSpaceDN/>
        <w:bidi w:val="0"/>
        <w:adjustRightInd/>
        <w:snapToGrid w:val="0"/>
        <w:spacing w:line="348" w:lineRule="auto"/>
        <w:ind w:firstLine="484" w:firstLineChars="200"/>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报价得分＝（基准价／</w:t>
      </w:r>
      <w:r>
        <w:rPr>
          <w:rFonts w:hint="eastAsia" w:ascii="宋体" w:hAnsi="宋体" w:eastAsia="宋体" w:cs="宋体"/>
          <w:b/>
          <w:color w:val="auto"/>
          <w:sz w:val="24"/>
          <w:szCs w:val="24"/>
          <w:highlight w:val="none"/>
          <w:lang w:val="en-US" w:eastAsia="zh-CN"/>
        </w:rPr>
        <w:t>投标</w:t>
      </w:r>
      <w:r>
        <w:rPr>
          <w:rFonts w:hint="eastAsia" w:ascii="宋体" w:hAnsi="宋体" w:eastAsia="宋体" w:cs="宋体"/>
          <w:b/>
          <w:color w:val="auto"/>
          <w:sz w:val="24"/>
          <w:szCs w:val="24"/>
          <w:highlight w:val="none"/>
        </w:rPr>
        <w:t>报价）</w:t>
      </w:r>
      <w:r>
        <w:rPr>
          <w:rFonts w:hint="eastAsia" w:ascii="宋体" w:hAnsi="宋体" w:eastAsia="宋体" w:cs="宋体"/>
          <w:b/>
          <w:color w:val="auto"/>
          <w:sz w:val="24"/>
          <w:szCs w:val="24"/>
          <w:highlight w:val="none"/>
          <w:lang w:val="en-US" w:eastAsia="zh-CN"/>
        </w:rPr>
        <w:t>×</w:t>
      </w:r>
      <w:r>
        <w:rPr>
          <w:rFonts w:hint="eastAsia" w:ascii="宋体" w:hAnsi="宋体" w:eastAsia="宋体" w:cs="宋体"/>
          <w:b/>
          <w:color w:val="auto"/>
          <w:sz w:val="24"/>
          <w:szCs w:val="24"/>
          <w:highlight w:val="none"/>
        </w:rPr>
        <w:t>分值。</w:t>
      </w:r>
    </w:p>
    <w:p w14:paraId="0F333640">
      <w:pPr>
        <w:tabs>
          <w:tab w:val="left" w:pos="5527"/>
        </w:tabs>
        <w:bidi w:val="0"/>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评标过程中，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6706DEB">
      <w:pPr>
        <w:tabs>
          <w:tab w:val="left" w:pos="5527"/>
        </w:tabs>
        <w:bidi w:val="0"/>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 xml:space="preserve"> 供应商在评标过程中，所进行的力图影响评标结果的不符合招标规则的活动，可能导致其被取消中标资格。</w:t>
      </w:r>
    </w:p>
    <w:p w14:paraId="5288F0F5">
      <w:pPr>
        <w:tabs>
          <w:tab w:val="left" w:pos="5527"/>
        </w:tabs>
        <w:bidi w:val="0"/>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 xml:space="preserve"> 与</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有重大偏离的</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将被拒绝。</w:t>
      </w:r>
    </w:p>
    <w:bookmarkEnd w:id="112"/>
    <w:p w14:paraId="0C759848">
      <w:pPr>
        <w:tabs>
          <w:tab w:val="left" w:pos="5527"/>
        </w:tabs>
        <w:bidi w:val="0"/>
        <w:spacing w:line="360" w:lineRule="auto"/>
        <w:outlineLvl w:val="9"/>
        <w:rPr>
          <w:rFonts w:hint="eastAsia" w:ascii="宋体" w:hAnsi="宋体" w:eastAsia="宋体" w:cs="宋体"/>
          <w:b/>
          <w:bCs/>
          <w:color w:val="auto"/>
          <w:sz w:val="24"/>
          <w:szCs w:val="24"/>
          <w:highlight w:val="none"/>
        </w:rPr>
      </w:pPr>
      <w:bookmarkStart w:id="113" w:name="_Toc20139"/>
      <w:bookmarkStart w:id="114" w:name="_Toc9748"/>
      <w:bookmarkStart w:id="115" w:name="_Toc18253"/>
      <w:bookmarkStart w:id="116" w:name="_Toc26511"/>
      <w:bookmarkStart w:id="117" w:name="_Toc17267"/>
      <w:bookmarkStart w:id="118" w:name="_Toc29261"/>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rPr>
        <w:t xml:space="preserve">  中标供应商的确认</w:t>
      </w:r>
    </w:p>
    <w:p w14:paraId="792CF409">
      <w:pPr>
        <w:tabs>
          <w:tab w:val="left" w:pos="5527"/>
        </w:tabs>
        <w:bidi w:val="0"/>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 xml:space="preserve">.1 </w:t>
      </w:r>
      <w:r>
        <w:rPr>
          <w:rFonts w:hint="eastAsia" w:ascii="宋体" w:hAnsi="宋体" w:eastAsia="宋体" w:cs="宋体"/>
          <w:color w:val="auto"/>
          <w:sz w:val="24"/>
          <w:szCs w:val="24"/>
          <w:highlight w:val="none"/>
          <w:lang w:eastAsia="zh-CN"/>
        </w:rPr>
        <w:t>评标小组</w:t>
      </w:r>
      <w:r>
        <w:rPr>
          <w:rFonts w:hint="eastAsia" w:ascii="宋体" w:hAnsi="宋体" w:eastAsia="宋体" w:cs="宋体"/>
          <w:color w:val="auto"/>
          <w:sz w:val="24"/>
          <w:szCs w:val="24"/>
          <w:highlight w:val="none"/>
        </w:rPr>
        <w:t>推荐得分最高的为第一中标候选人。采购人应当接受</w:t>
      </w:r>
      <w:r>
        <w:rPr>
          <w:rFonts w:hint="eastAsia" w:ascii="宋体" w:hAnsi="宋体" w:eastAsia="宋体" w:cs="宋体"/>
          <w:color w:val="auto"/>
          <w:sz w:val="24"/>
          <w:szCs w:val="24"/>
          <w:highlight w:val="none"/>
          <w:lang w:eastAsia="zh-CN"/>
        </w:rPr>
        <w:t>评标小组</w:t>
      </w:r>
      <w:r>
        <w:rPr>
          <w:rFonts w:hint="eastAsia" w:ascii="宋体" w:hAnsi="宋体" w:eastAsia="宋体" w:cs="宋体"/>
          <w:color w:val="auto"/>
          <w:sz w:val="24"/>
          <w:szCs w:val="24"/>
          <w:highlight w:val="none"/>
        </w:rPr>
        <w:t>推荐的中标候选人，不得在</w:t>
      </w:r>
      <w:r>
        <w:rPr>
          <w:rFonts w:hint="eastAsia" w:ascii="宋体" w:hAnsi="宋体" w:eastAsia="宋体" w:cs="宋体"/>
          <w:color w:val="auto"/>
          <w:sz w:val="24"/>
          <w:szCs w:val="24"/>
          <w:highlight w:val="none"/>
          <w:lang w:eastAsia="zh-CN"/>
        </w:rPr>
        <w:t>评标小组</w:t>
      </w:r>
      <w:r>
        <w:rPr>
          <w:rFonts w:hint="eastAsia" w:ascii="宋体" w:hAnsi="宋体" w:eastAsia="宋体" w:cs="宋体"/>
          <w:color w:val="auto"/>
          <w:sz w:val="24"/>
          <w:szCs w:val="24"/>
          <w:highlight w:val="none"/>
        </w:rPr>
        <w:t>推荐的中标候选人之外确定中标人。</w:t>
      </w:r>
      <w:r>
        <w:rPr>
          <w:rFonts w:hint="eastAsia" w:ascii="宋体" w:hAnsi="宋体" w:eastAsia="宋体" w:cs="宋体"/>
          <w:color w:val="auto"/>
          <w:sz w:val="24"/>
          <w:szCs w:val="24"/>
          <w:highlight w:val="none"/>
          <w:lang w:eastAsia="zh-CN"/>
        </w:rPr>
        <w:t>评标小组</w:t>
      </w:r>
      <w:r>
        <w:rPr>
          <w:rFonts w:hint="eastAsia" w:ascii="宋体" w:hAnsi="宋体" w:eastAsia="宋体" w:cs="宋体"/>
          <w:color w:val="auto"/>
          <w:sz w:val="24"/>
          <w:szCs w:val="24"/>
          <w:highlight w:val="none"/>
        </w:rPr>
        <w:t>无义务向供应商进行任何有关评标的解释工作。</w:t>
      </w:r>
    </w:p>
    <w:p w14:paraId="5E9D4747">
      <w:pPr>
        <w:tabs>
          <w:tab w:val="left" w:pos="5527"/>
        </w:tabs>
        <w:bidi w:val="0"/>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 采购人应当确定排名第一的中标候选人为中标供应商。排名第一的中标候选人放弃中标、因不可抗力提出不能履行合同，或者</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规定应当提交履约保证金而在规定的期限内未能提交的，采购人可以确定排名第二的中标候选人为中标供应商。</w:t>
      </w:r>
    </w:p>
    <w:p w14:paraId="34BCEC81">
      <w:pPr>
        <w:tabs>
          <w:tab w:val="left" w:pos="5527"/>
        </w:tabs>
        <w:bidi w:val="0"/>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在确定中标供应商前，采购人不得与投标供应商就投标价格、投标方案等实质性内容进行谈判。</w:t>
      </w:r>
    </w:p>
    <w:p w14:paraId="6387D8DF">
      <w:pPr>
        <w:tabs>
          <w:tab w:val="left" w:pos="5527"/>
        </w:tabs>
        <w:bidi w:val="0"/>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 xml:space="preserve"> 中标通知</w:t>
      </w:r>
    </w:p>
    <w:p w14:paraId="6910CCCA">
      <w:pPr>
        <w:tabs>
          <w:tab w:val="left" w:pos="5527"/>
        </w:tabs>
        <w:bidi w:val="0"/>
        <w:spacing w:line="360" w:lineRule="auto"/>
        <w:ind w:firstLine="484" w:firstLineChars="200"/>
        <w:outlineLvl w:val="9"/>
        <w:rPr>
          <w:rFonts w:hint="eastAsia" w:ascii="宋体" w:hAnsi="宋体" w:eastAsia="宋体" w:cs="宋体"/>
          <w:color w:val="auto"/>
          <w:sz w:val="24"/>
          <w:szCs w:val="24"/>
          <w:highlight w:val="none"/>
          <w:lang w:eastAsia="zh-CN"/>
        </w:rPr>
      </w:pPr>
      <w:bookmarkStart w:id="119" w:name="_Toc16205"/>
      <w:bookmarkStart w:id="120" w:name="_Toc3169"/>
      <w:bookmarkStart w:id="121" w:name="_Toc13637"/>
      <w:bookmarkStart w:id="122" w:name="_Toc30172"/>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.1 采购人或者采购代理机构应当自中标供应商确定之日起2个工作日内，发出</w:t>
      </w:r>
      <w:r>
        <w:rPr>
          <w:rFonts w:hint="eastAsia" w:ascii="宋体" w:hAnsi="宋体" w:eastAsia="宋体" w:cs="宋体"/>
          <w:color w:val="auto"/>
          <w:sz w:val="24"/>
          <w:szCs w:val="24"/>
          <w:highlight w:val="none"/>
          <w:lang w:eastAsia="zh-CN"/>
        </w:rPr>
        <w:t>中标（成交）通知书</w:t>
      </w:r>
      <w:r>
        <w:rPr>
          <w:rFonts w:hint="eastAsia" w:ascii="宋体" w:hAnsi="宋体" w:eastAsia="宋体" w:cs="宋体"/>
          <w:color w:val="auto"/>
          <w:sz w:val="24"/>
          <w:szCs w:val="24"/>
          <w:highlight w:val="none"/>
        </w:rPr>
        <w:t>，并在省级以上人民政府财政部门指定的媒体上公告中标结果</w:t>
      </w:r>
      <w:r>
        <w:rPr>
          <w:rFonts w:hint="eastAsia" w:ascii="宋体" w:hAnsi="宋体" w:eastAsia="宋体" w:cs="宋体"/>
          <w:color w:val="auto"/>
          <w:sz w:val="24"/>
          <w:szCs w:val="24"/>
          <w:highlight w:val="none"/>
          <w:lang w:eastAsia="zh-CN"/>
        </w:rPr>
        <w:t>。</w:t>
      </w:r>
    </w:p>
    <w:p w14:paraId="40FAAC15">
      <w:pPr>
        <w:tabs>
          <w:tab w:val="left" w:pos="5527"/>
        </w:tabs>
        <w:bidi w:val="0"/>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rPr>
        <w:t>2</w:t>
      </w:r>
      <w:r>
        <w:rPr>
          <w:rFonts w:hint="eastAsia" w:ascii="宋体" w:hAnsi="宋体" w:eastAsia="宋体" w:cs="宋体"/>
          <w:b w:val="0"/>
          <w:bCs w:val="0"/>
          <w:color w:val="auto"/>
          <w:sz w:val="24"/>
          <w:szCs w:val="24"/>
          <w:highlight w:val="none"/>
          <w:lang w:val="en-US" w:eastAsia="zh-CN"/>
        </w:rPr>
        <w:t>6</w:t>
      </w:r>
      <w:r>
        <w:rPr>
          <w:rFonts w:hint="eastAsia" w:ascii="宋体" w:hAnsi="宋体" w:eastAsia="宋体" w:cs="宋体"/>
          <w:b w:val="0"/>
          <w:bCs w:val="0"/>
          <w:color w:val="auto"/>
          <w:sz w:val="24"/>
          <w:szCs w:val="24"/>
          <w:highlight w:val="none"/>
        </w:rPr>
        <w:t>.2</w:t>
      </w:r>
      <w:r>
        <w:rPr>
          <w:rFonts w:hint="eastAsia" w:ascii="宋体" w:hAnsi="宋体" w:eastAsia="宋体" w:cs="宋体"/>
          <w:b/>
          <w:bCs/>
          <w:color w:val="auto"/>
          <w:sz w:val="24"/>
          <w:szCs w:val="24"/>
          <w:highlight w:val="none"/>
        </w:rPr>
        <w:t xml:space="preserve"> </w:t>
      </w:r>
      <w:bookmarkEnd w:id="119"/>
      <w:bookmarkEnd w:id="120"/>
      <w:bookmarkEnd w:id="121"/>
      <w:bookmarkEnd w:id="122"/>
      <w:r>
        <w:rPr>
          <w:rFonts w:hint="eastAsia" w:ascii="宋体" w:hAnsi="宋体" w:eastAsia="宋体" w:cs="宋体"/>
          <w:color w:val="auto"/>
          <w:sz w:val="24"/>
          <w:szCs w:val="24"/>
          <w:highlight w:val="none"/>
          <w:lang w:eastAsia="zh-CN"/>
        </w:rPr>
        <w:t>中标（成交）通知书</w:t>
      </w:r>
      <w:r>
        <w:rPr>
          <w:rFonts w:hint="eastAsia" w:ascii="宋体" w:hAnsi="宋体" w:eastAsia="宋体" w:cs="宋体"/>
          <w:color w:val="auto"/>
          <w:sz w:val="24"/>
          <w:szCs w:val="24"/>
          <w:highlight w:val="none"/>
        </w:rPr>
        <w:t>对采购人和中标供应商均具有法律效力。</w:t>
      </w:r>
      <w:r>
        <w:rPr>
          <w:rFonts w:hint="eastAsia" w:ascii="宋体" w:hAnsi="宋体" w:eastAsia="宋体" w:cs="宋体"/>
          <w:color w:val="auto"/>
          <w:sz w:val="24"/>
          <w:szCs w:val="24"/>
          <w:highlight w:val="none"/>
          <w:lang w:eastAsia="zh-CN"/>
        </w:rPr>
        <w:t>中标（成交）通知书</w:t>
      </w:r>
      <w:r>
        <w:rPr>
          <w:rFonts w:hint="eastAsia" w:ascii="宋体" w:hAnsi="宋体" w:eastAsia="宋体" w:cs="宋体"/>
          <w:color w:val="auto"/>
          <w:sz w:val="24"/>
          <w:szCs w:val="24"/>
          <w:highlight w:val="none"/>
        </w:rPr>
        <w:t>发出后，采购人改变中标结果的，或者中标供应商放弃中标项目的，应当依法承担法律责任。</w:t>
      </w:r>
    </w:p>
    <w:p w14:paraId="77BC2786">
      <w:pPr>
        <w:tabs>
          <w:tab w:val="left" w:pos="5527"/>
        </w:tabs>
        <w:bidi w:val="0"/>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val="en-US" w:eastAsia="zh-CN"/>
        </w:rPr>
        <w:t>7</w:t>
      </w:r>
      <w:r>
        <w:rPr>
          <w:rFonts w:hint="eastAsia" w:ascii="宋体" w:hAnsi="宋体" w:eastAsia="宋体" w:cs="宋体"/>
          <w:b/>
          <w:bCs/>
          <w:color w:val="auto"/>
          <w:sz w:val="24"/>
          <w:szCs w:val="24"/>
          <w:highlight w:val="none"/>
        </w:rPr>
        <w:t xml:space="preserve">  拒绝投标的权力</w:t>
      </w:r>
    </w:p>
    <w:p w14:paraId="3555FD33">
      <w:pPr>
        <w:tabs>
          <w:tab w:val="left" w:pos="5527"/>
        </w:tabs>
        <w:bidi w:val="0"/>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采购人有权在定标前拒绝任何有不正当行为或扰乱正常采购工作的供应商，由此对供应商造成的损失不负任何责任，同时对此也</w:t>
      </w:r>
      <w:r>
        <w:rPr>
          <w:rFonts w:hint="eastAsia" w:ascii="宋体" w:hAnsi="宋体" w:eastAsia="宋体" w:cs="宋体"/>
          <w:color w:val="auto"/>
          <w:sz w:val="24"/>
          <w:szCs w:val="24"/>
          <w:highlight w:val="none"/>
          <w:lang w:eastAsia="zh-CN"/>
        </w:rPr>
        <w:t>不作</w:t>
      </w:r>
      <w:r>
        <w:rPr>
          <w:rFonts w:hint="eastAsia" w:ascii="宋体" w:hAnsi="宋体" w:eastAsia="宋体" w:cs="宋体"/>
          <w:color w:val="auto"/>
          <w:sz w:val="24"/>
          <w:szCs w:val="24"/>
          <w:highlight w:val="none"/>
        </w:rPr>
        <w:t>任何解释。</w:t>
      </w:r>
    </w:p>
    <w:p w14:paraId="10823DB1">
      <w:pPr>
        <w:tabs>
          <w:tab w:val="left" w:pos="5527"/>
        </w:tabs>
        <w:bidi w:val="0"/>
        <w:spacing w:line="360" w:lineRule="auto"/>
        <w:jc w:val="center"/>
        <w:outlineLvl w:val="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七、 授予合同</w:t>
      </w:r>
      <w:bookmarkEnd w:id="113"/>
      <w:bookmarkEnd w:id="114"/>
      <w:bookmarkEnd w:id="115"/>
    </w:p>
    <w:p w14:paraId="1141CBC8">
      <w:pPr>
        <w:tabs>
          <w:tab w:val="left" w:pos="5527"/>
        </w:tabs>
        <w:bidi w:val="0"/>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28</w:t>
      </w:r>
      <w:r>
        <w:rPr>
          <w:rFonts w:hint="eastAsia" w:ascii="宋体" w:hAnsi="宋体" w:eastAsia="宋体" w:cs="宋体"/>
          <w:b/>
          <w:bCs/>
          <w:color w:val="auto"/>
          <w:sz w:val="24"/>
          <w:szCs w:val="24"/>
          <w:highlight w:val="none"/>
        </w:rPr>
        <w:t xml:space="preserve">  签订商务合同</w:t>
      </w:r>
    </w:p>
    <w:p w14:paraId="2E059EEA">
      <w:pPr>
        <w:tabs>
          <w:tab w:val="left" w:pos="5527"/>
        </w:tabs>
        <w:bidi w:val="0"/>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28</w:t>
      </w:r>
      <w:r>
        <w:rPr>
          <w:rFonts w:hint="eastAsia" w:ascii="宋体" w:hAnsi="宋体" w:eastAsia="宋体" w:cs="宋体"/>
          <w:color w:val="auto"/>
          <w:sz w:val="24"/>
          <w:szCs w:val="24"/>
          <w:highlight w:val="none"/>
        </w:rPr>
        <w:t>.1 采购人与中标供应商应当在</w:t>
      </w:r>
      <w:r>
        <w:rPr>
          <w:rFonts w:hint="eastAsia" w:ascii="宋体" w:hAnsi="宋体" w:eastAsia="宋体" w:cs="宋体"/>
          <w:color w:val="auto"/>
          <w:sz w:val="24"/>
          <w:szCs w:val="24"/>
          <w:highlight w:val="none"/>
          <w:lang w:eastAsia="zh-CN"/>
        </w:rPr>
        <w:t>中标（成交）通知书</w:t>
      </w:r>
      <w:r>
        <w:rPr>
          <w:rFonts w:hint="eastAsia" w:ascii="宋体" w:hAnsi="宋体" w:eastAsia="宋体" w:cs="宋体"/>
          <w:color w:val="auto"/>
          <w:sz w:val="24"/>
          <w:szCs w:val="24"/>
          <w:highlight w:val="none"/>
        </w:rPr>
        <w:t>发出之日起30日内，按照</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确定的事项签订政府采购合同。</w:t>
      </w:r>
    </w:p>
    <w:p w14:paraId="26E9D1AF">
      <w:pPr>
        <w:tabs>
          <w:tab w:val="left" w:pos="5527"/>
        </w:tabs>
        <w:bidi w:val="0"/>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28</w:t>
      </w:r>
      <w:r>
        <w:rPr>
          <w:rFonts w:hint="eastAsia" w:ascii="宋体" w:hAnsi="宋体" w:eastAsia="宋体" w:cs="宋体"/>
          <w:color w:val="auto"/>
          <w:sz w:val="24"/>
          <w:szCs w:val="24"/>
          <w:highlight w:val="none"/>
        </w:rPr>
        <w:t>.2 中标合同不得转让。</w:t>
      </w:r>
      <w:r>
        <w:rPr>
          <w:rFonts w:hint="eastAsia" w:ascii="宋体" w:hAnsi="宋体" w:eastAsia="宋体" w:cs="宋体"/>
          <w:color w:val="auto"/>
          <w:sz w:val="24"/>
          <w:szCs w:val="24"/>
          <w:highlight w:val="none"/>
          <w:lang w:val="en-US" w:eastAsia="zh-CN"/>
        </w:rPr>
        <w:t>经采购人同意，中标供应商可以依法采取分包方式履行合同。政府采购合同分包履行的，中标供应商就采购项目和分包项目向采购人负责，分包供应商就分包项目承担责任。</w:t>
      </w:r>
    </w:p>
    <w:p w14:paraId="299B4C13">
      <w:pPr>
        <w:tabs>
          <w:tab w:val="left" w:pos="5527"/>
        </w:tabs>
        <w:bidi w:val="0"/>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28</w:t>
      </w:r>
      <w:r>
        <w:rPr>
          <w:rFonts w:hint="eastAsia" w:ascii="宋体" w:hAnsi="宋体" w:eastAsia="宋体" w:cs="宋体"/>
          <w:color w:val="auto"/>
          <w:sz w:val="24"/>
          <w:szCs w:val="24"/>
          <w:highlight w:val="none"/>
        </w:rPr>
        <w:t xml:space="preserve">.3 </w:t>
      </w:r>
      <w:r>
        <w:rPr>
          <w:rFonts w:hint="eastAsia" w:ascii="宋体" w:hAnsi="宋体" w:eastAsia="宋体" w:cs="宋体"/>
          <w:color w:val="auto"/>
          <w:sz w:val="24"/>
          <w:szCs w:val="24"/>
          <w:highlight w:val="none"/>
          <w:lang w:val="en-US" w:eastAsia="zh-CN"/>
        </w:rPr>
        <w:t>公开招标文件</w:t>
      </w:r>
      <w:r>
        <w:rPr>
          <w:rFonts w:hint="eastAsia" w:ascii="宋体" w:hAnsi="宋体" w:eastAsia="宋体" w:cs="宋体"/>
          <w:color w:val="auto"/>
          <w:sz w:val="24"/>
          <w:szCs w:val="24"/>
          <w:highlight w:val="none"/>
        </w:rPr>
        <w:t>要求中标或者成交供应商提交履约保证金的，供应商应当以支票、汇票、本票或者金融机构、担保机构出具的保函等非现金形式提交。履约保证金的数额不得超过政府采购合同金额的10%。</w:t>
      </w:r>
    </w:p>
    <w:p w14:paraId="2F494ECA">
      <w:pPr>
        <w:tabs>
          <w:tab w:val="left" w:pos="5527"/>
        </w:tabs>
        <w:bidi w:val="0"/>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28</w:t>
      </w:r>
      <w:r>
        <w:rPr>
          <w:rFonts w:hint="eastAsia" w:ascii="宋体" w:hAnsi="宋体" w:eastAsia="宋体" w:cs="宋体"/>
          <w:color w:val="auto"/>
          <w:sz w:val="24"/>
          <w:szCs w:val="24"/>
          <w:highlight w:val="none"/>
        </w:rPr>
        <w:t>.4 中标供应商拒绝与采购人签订合同的，采购人可以按照评审报告推荐的中标候选人名单排序，确定下一候选人为中标供应商，也可以重新开展政府采购活动。</w:t>
      </w:r>
    </w:p>
    <w:p w14:paraId="3ECE42FE">
      <w:pPr>
        <w:tabs>
          <w:tab w:val="left" w:pos="5527"/>
        </w:tabs>
        <w:bidi w:val="0"/>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28</w:t>
      </w:r>
      <w:r>
        <w:rPr>
          <w:rFonts w:hint="eastAsia" w:ascii="宋体" w:hAnsi="宋体" w:eastAsia="宋体" w:cs="宋体"/>
          <w:color w:val="auto"/>
          <w:sz w:val="24"/>
          <w:szCs w:val="24"/>
          <w:highlight w:val="none"/>
        </w:rPr>
        <w:t>.5 政府采购合同的双方当事人不得擅自变更、中止或者终止合同。</w:t>
      </w:r>
    </w:p>
    <w:p w14:paraId="25142CA8">
      <w:pPr>
        <w:tabs>
          <w:tab w:val="left" w:pos="5527"/>
        </w:tabs>
        <w:bidi w:val="0"/>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政府采购合同继续履行将损害国家利益和社会公共利益的，双方当事人应当变更、中止或者终止合同。有过错的一方应当承担赔偿责任，双方都有过错的，各自承担相应的责任。</w:t>
      </w:r>
    </w:p>
    <w:p w14:paraId="76CAFD76">
      <w:pPr>
        <w:tabs>
          <w:tab w:val="left" w:pos="5527"/>
        </w:tabs>
        <w:bidi w:val="0"/>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29</w:t>
      </w:r>
      <w:r>
        <w:rPr>
          <w:rFonts w:hint="eastAsia" w:ascii="宋体" w:hAnsi="宋体" w:eastAsia="宋体" w:cs="宋体"/>
          <w:b/>
          <w:bCs/>
          <w:color w:val="auto"/>
          <w:sz w:val="24"/>
          <w:szCs w:val="24"/>
          <w:highlight w:val="none"/>
        </w:rPr>
        <w:t xml:space="preserve">  商务合同的组成</w:t>
      </w:r>
    </w:p>
    <w:p w14:paraId="218D923A">
      <w:pPr>
        <w:tabs>
          <w:tab w:val="left" w:pos="5527"/>
        </w:tabs>
        <w:bidi w:val="0"/>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29</w:t>
      </w:r>
      <w:r>
        <w:rPr>
          <w:rFonts w:hint="eastAsia" w:ascii="宋体" w:hAnsi="宋体" w:eastAsia="宋体" w:cs="宋体"/>
          <w:color w:val="auto"/>
          <w:sz w:val="24"/>
          <w:szCs w:val="24"/>
          <w:highlight w:val="none"/>
        </w:rPr>
        <w:t>.1 下列文件均为商务合同不可分割的组成部分：</w:t>
      </w:r>
    </w:p>
    <w:p w14:paraId="0C6532B5">
      <w:pPr>
        <w:tabs>
          <w:tab w:val="left" w:pos="5527"/>
        </w:tabs>
        <w:bidi w:val="0"/>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29</w:t>
      </w:r>
      <w:r>
        <w:rPr>
          <w:rFonts w:hint="eastAsia" w:ascii="宋体" w:hAnsi="宋体" w:eastAsia="宋体" w:cs="宋体"/>
          <w:color w:val="auto"/>
          <w:sz w:val="24"/>
          <w:szCs w:val="24"/>
          <w:highlight w:val="none"/>
        </w:rPr>
        <w:t>.1.1 中标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成交</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通知书；</w:t>
      </w:r>
    </w:p>
    <w:p w14:paraId="0E2249BB">
      <w:pPr>
        <w:tabs>
          <w:tab w:val="left" w:pos="5527"/>
        </w:tabs>
        <w:bidi w:val="0"/>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29</w:t>
      </w:r>
      <w:r>
        <w:rPr>
          <w:rFonts w:hint="eastAsia" w:ascii="宋体" w:hAnsi="宋体" w:eastAsia="宋体" w:cs="宋体"/>
          <w:color w:val="auto"/>
          <w:sz w:val="24"/>
          <w:szCs w:val="24"/>
          <w:highlight w:val="none"/>
        </w:rPr>
        <w:t>.1.2 中标供应商的</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w:t>
      </w:r>
    </w:p>
    <w:p w14:paraId="07753FC5">
      <w:pPr>
        <w:tabs>
          <w:tab w:val="left" w:pos="5527"/>
        </w:tabs>
        <w:bidi w:val="0"/>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29</w:t>
      </w:r>
      <w:r>
        <w:rPr>
          <w:rFonts w:hint="eastAsia" w:ascii="宋体" w:hAnsi="宋体" w:eastAsia="宋体" w:cs="宋体"/>
          <w:color w:val="auto"/>
          <w:sz w:val="24"/>
          <w:szCs w:val="24"/>
          <w:highlight w:val="none"/>
        </w:rPr>
        <w:t>.1.3 供应商澄清、说明或补正文件；</w:t>
      </w:r>
    </w:p>
    <w:p w14:paraId="5634C1A7">
      <w:pPr>
        <w:tabs>
          <w:tab w:val="left" w:pos="5527"/>
        </w:tabs>
        <w:bidi w:val="0"/>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29</w:t>
      </w:r>
      <w:r>
        <w:rPr>
          <w:rFonts w:hint="eastAsia" w:ascii="宋体" w:hAnsi="宋体" w:eastAsia="宋体" w:cs="宋体"/>
          <w:color w:val="auto"/>
          <w:sz w:val="24"/>
          <w:szCs w:val="24"/>
          <w:highlight w:val="none"/>
        </w:rPr>
        <w:t xml:space="preserve">.1.4 </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w:t>
      </w:r>
    </w:p>
    <w:p w14:paraId="1025ADE1">
      <w:pPr>
        <w:tabs>
          <w:tab w:val="left" w:pos="5527"/>
        </w:tabs>
        <w:bidi w:val="0"/>
        <w:spacing w:line="360" w:lineRule="auto"/>
        <w:jc w:val="center"/>
        <w:outlineLvl w:val="2"/>
        <w:rPr>
          <w:rFonts w:hint="eastAsia" w:ascii="宋体" w:hAnsi="宋体" w:eastAsia="宋体" w:cs="宋体"/>
          <w:b/>
          <w:bCs/>
          <w:color w:val="auto"/>
          <w:sz w:val="24"/>
          <w:szCs w:val="24"/>
          <w:highlight w:val="none"/>
        </w:rPr>
      </w:pPr>
      <w:bookmarkStart w:id="123" w:name="_Toc7458"/>
      <w:bookmarkStart w:id="124" w:name="_Toc24734"/>
      <w:bookmarkStart w:id="125" w:name="_Toc3090"/>
      <w:bookmarkStart w:id="126" w:name="_Toc26655"/>
      <w:bookmarkStart w:id="127" w:name="_Toc26147"/>
      <w:bookmarkStart w:id="128" w:name="_Toc10488"/>
      <w:bookmarkStart w:id="129" w:name="_Toc23890"/>
      <w:bookmarkStart w:id="130" w:name="_Toc17298"/>
      <w:bookmarkStart w:id="131" w:name="_Toc9177"/>
      <w:bookmarkStart w:id="132" w:name="_Toc21514"/>
      <w:r>
        <w:rPr>
          <w:rFonts w:hint="eastAsia" w:ascii="宋体" w:hAnsi="宋体" w:eastAsia="宋体" w:cs="宋体"/>
          <w:b/>
          <w:bCs/>
          <w:color w:val="auto"/>
          <w:sz w:val="24"/>
          <w:szCs w:val="24"/>
          <w:highlight w:val="none"/>
        </w:rPr>
        <w:t>八、</w:t>
      </w:r>
      <w:bookmarkEnd w:id="123"/>
      <w:bookmarkEnd w:id="124"/>
      <w:bookmarkEnd w:id="125"/>
      <w:bookmarkEnd w:id="126"/>
      <w:bookmarkEnd w:id="127"/>
      <w:bookmarkEnd w:id="128"/>
      <w:bookmarkEnd w:id="129"/>
      <w:bookmarkEnd w:id="130"/>
      <w:bookmarkEnd w:id="131"/>
      <w:bookmarkEnd w:id="132"/>
      <w:r>
        <w:rPr>
          <w:rFonts w:hint="eastAsia" w:ascii="宋体" w:hAnsi="宋体" w:eastAsia="宋体" w:cs="宋体"/>
          <w:b/>
          <w:bCs/>
          <w:color w:val="auto"/>
          <w:sz w:val="24"/>
          <w:szCs w:val="24"/>
          <w:highlight w:val="none"/>
        </w:rPr>
        <w:t>采购人更改货物、工程或者服务的权利</w:t>
      </w:r>
    </w:p>
    <w:p w14:paraId="79E17D01">
      <w:pPr>
        <w:tabs>
          <w:tab w:val="left" w:pos="5527"/>
        </w:tabs>
        <w:bidi w:val="0"/>
        <w:spacing w:line="360" w:lineRule="auto"/>
        <w:jc w:val="both"/>
        <w:outlineLvl w:val="9"/>
        <w:rPr>
          <w:rFonts w:hint="eastAsia" w:ascii="宋体" w:hAnsi="宋体" w:eastAsia="宋体" w:cs="宋体"/>
          <w:b w:val="0"/>
          <w:bCs w:val="0"/>
          <w:color w:val="auto"/>
          <w:sz w:val="24"/>
          <w:szCs w:val="24"/>
          <w:highlight w:val="none"/>
        </w:rPr>
      </w:pPr>
      <w:bookmarkStart w:id="133" w:name="_Toc27177"/>
      <w:bookmarkStart w:id="134" w:name="_Toc16744"/>
      <w:bookmarkStart w:id="135" w:name="_Toc31334"/>
      <w:bookmarkStart w:id="136" w:name="_Toc13678"/>
      <w:bookmarkStart w:id="137" w:name="_Toc13025"/>
      <w:bookmarkStart w:id="138" w:name="_Toc31453"/>
      <w:bookmarkStart w:id="139" w:name="_Toc31555"/>
      <w:bookmarkStart w:id="140" w:name="_Toc2769"/>
      <w:bookmarkStart w:id="141" w:name="_Toc23715"/>
      <w:bookmarkStart w:id="142" w:name="_Toc23616"/>
      <w:r>
        <w:rPr>
          <w:rFonts w:hint="eastAsia" w:ascii="宋体" w:hAnsi="宋体" w:eastAsia="宋体" w:cs="宋体"/>
          <w:b w:val="0"/>
          <w:bCs w:val="0"/>
          <w:color w:val="auto"/>
          <w:sz w:val="24"/>
          <w:szCs w:val="24"/>
          <w:highlight w:val="none"/>
          <w:lang w:val="en-US" w:eastAsia="zh-CN"/>
        </w:rPr>
        <w:t xml:space="preserve">31  </w:t>
      </w:r>
      <w:r>
        <w:rPr>
          <w:rFonts w:hint="eastAsia" w:ascii="宋体" w:hAnsi="宋体" w:eastAsia="宋体" w:cs="宋体"/>
          <w:b w:val="0"/>
          <w:bCs w:val="0"/>
          <w:color w:val="auto"/>
          <w:sz w:val="24"/>
          <w:szCs w:val="24"/>
          <w:highlight w:val="none"/>
        </w:rPr>
        <w:t>政府采购合同履行中，采购人需追加与合同标的相同的货物、工程或者服务的，在不改变合同其他条款的前提下，可以与供应商协商签订补充合同，但所有补充合同的采购金额不得超过原合同采购金额的百分之十。</w:t>
      </w:r>
    </w:p>
    <w:p w14:paraId="6EE8BBAD">
      <w:pPr>
        <w:tabs>
          <w:tab w:val="left" w:pos="5527"/>
        </w:tabs>
        <w:bidi w:val="0"/>
        <w:spacing w:line="360" w:lineRule="auto"/>
        <w:jc w:val="center"/>
        <w:outlineLvl w:val="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九、其他事项</w:t>
      </w:r>
      <w:bookmarkEnd w:id="133"/>
      <w:bookmarkEnd w:id="134"/>
      <w:bookmarkEnd w:id="135"/>
      <w:bookmarkEnd w:id="136"/>
      <w:bookmarkEnd w:id="137"/>
      <w:bookmarkEnd w:id="138"/>
      <w:bookmarkEnd w:id="139"/>
      <w:bookmarkEnd w:id="140"/>
      <w:bookmarkEnd w:id="141"/>
      <w:bookmarkEnd w:id="142"/>
    </w:p>
    <w:p w14:paraId="7F5E8E79">
      <w:pPr>
        <w:tabs>
          <w:tab w:val="left" w:pos="5527"/>
        </w:tabs>
        <w:bidi w:val="0"/>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采购代理服务费</w:t>
      </w:r>
    </w:p>
    <w:p w14:paraId="12C07D6B">
      <w:pPr>
        <w:tabs>
          <w:tab w:val="left" w:pos="5527"/>
        </w:tabs>
        <w:bidi w:val="0"/>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w:t>
      </w:r>
      <w:r>
        <w:rPr>
          <w:rFonts w:hint="eastAsia" w:ascii="宋体" w:hAnsi="宋体" w:eastAsia="宋体" w:cs="宋体"/>
          <w:b/>
          <w:bCs/>
          <w:color w:val="auto"/>
          <w:sz w:val="24"/>
          <w:szCs w:val="24"/>
          <w:highlight w:val="none"/>
        </w:rPr>
        <w:t>采购代理服务费</w:t>
      </w:r>
      <w:r>
        <w:rPr>
          <w:rFonts w:hint="eastAsia" w:ascii="宋体" w:hAnsi="宋体" w:eastAsia="宋体" w:cs="宋体"/>
          <w:b/>
          <w:bCs/>
          <w:color w:val="auto"/>
          <w:sz w:val="24"/>
          <w:szCs w:val="24"/>
          <w:highlight w:val="none"/>
          <w:lang w:val="en-US" w:eastAsia="zh-CN"/>
        </w:rPr>
        <w:t>：由中标供应商支付。</w:t>
      </w:r>
    </w:p>
    <w:p w14:paraId="64010FD3">
      <w:pPr>
        <w:tabs>
          <w:tab w:val="left" w:pos="5527"/>
        </w:tabs>
        <w:bidi w:val="0"/>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.2 采购代理服务费的计算基数是</w:t>
      </w:r>
      <w:r>
        <w:rPr>
          <w:rFonts w:hint="eastAsia" w:ascii="宋体" w:hAnsi="宋体" w:eastAsia="宋体" w:cs="宋体"/>
          <w:b/>
          <w:bCs/>
          <w:color w:val="auto"/>
          <w:sz w:val="24"/>
          <w:szCs w:val="24"/>
          <w:highlight w:val="none"/>
          <w:u w:val="single"/>
          <w:lang w:eastAsia="zh-CN"/>
        </w:rPr>
        <w:t>中标（成交）通知书</w:t>
      </w:r>
      <w:r>
        <w:rPr>
          <w:rFonts w:hint="eastAsia" w:ascii="宋体" w:hAnsi="宋体" w:eastAsia="宋体" w:cs="宋体"/>
          <w:b/>
          <w:bCs/>
          <w:color w:val="auto"/>
          <w:sz w:val="24"/>
          <w:szCs w:val="24"/>
          <w:highlight w:val="none"/>
          <w:u w:val="single"/>
        </w:rPr>
        <w:t>中载明的中标总金额</w:t>
      </w:r>
      <w:r>
        <w:rPr>
          <w:rFonts w:hint="eastAsia" w:ascii="宋体" w:hAnsi="宋体" w:eastAsia="宋体" w:cs="宋体"/>
          <w:color w:val="auto"/>
          <w:sz w:val="24"/>
          <w:szCs w:val="24"/>
          <w:highlight w:val="none"/>
        </w:rPr>
        <w:t>。</w:t>
      </w:r>
    </w:p>
    <w:p w14:paraId="51ECB1C0">
      <w:pPr>
        <w:rPr>
          <w:rFonts w:hint="eastAsia"/>
          <w:color w:val="auto"/>
          <w:highlight w:val="none"/>
        </w:rPr>
      </w:pPr>
      <w:r>
        <w:rPr>
          <w:rFonts w:hint="eastAsia" w:ascii="宋体" w:hAnsi="宋体" w:eastAsia="宋体" w:cs="宋体"/>
          <w:b/>
          <w:bCs/>
          <w:color w:val="auto"/>
          <w:sz w:val="24"/>
          <w:szCs w:val="24"/>
          <w:highlight w:val="none"/>
          <w:lang w:val="en-US" w:eastAsia="zh-CN"/>
        </w:rPr>
        <w:t>成交金额100万元以下的部分，</w:t>
      </w:r>
      <w:r>
        <w:rPr>
          <w:rFonts w:hint="eastAsia" w:ascii="宋体" w:hAnsi="宋体" w:cs="宋体"/>
          <w:b/>
          <w:bCs/>
          <w:color w:val="auto"/>
          <w:sz w:val="24"/>
          <w:szCs w:val="24"/>
          <w:highlight w:val="none"/>
          <w:lang w:val="en-US" w:eastAsia="zh-CN"/>
        </w:rPr>
        <w:t>货物类</w:t>
      </w:r>
      <w:r>
        <w:rPr>
          <w:rFonts w:hint="eastAsia" w:ascii="宋体" w:hAnsi="宋体" w:eastAsia="宋体" w:cs="宋体"/>
          <w:b/>
          <w:bCs/>
          <w:color w:val="auto"/>
          <w:sz w:val="24"/>
          <w:szCs w:val="24"/>
          <w:highlight w:val="none"/>
          <w:lang w:val="en-US" w:eastAsia="zh-CN"/>
        </w:rPr>
        <w:t>采购费率1.50%，成交金额100万元至500万元的部分，</w:t>
      </w:r>
      <w:r>
        <w:rPr>
          <w:rFonts w:hint="eastAsia" w:ascii="宋体" w:hAnsi="宋体" w:cs="宋体"/>
          <w:b/>
          <w:bCs/>
          <w:color w:val="auto"/>
          <w:sz w:val="24"/>
          <w:szCs w:val="24"/>
          <w:highlight w:val="none"/>
          <w:lang w:val="en-US" w:eastAsia="zh-CN"/>
        </w:rPr>
        <w:t>货物类</w:t>
      </w:r>
      <w:r>
        <w:rPr>
          <w:rFonts w:hint="eastAsia" w:ascii="宋体" w:hAnsi="宋体" w:eastAsia="宋体" w:cs="宋体"/>
          <w:b/>
          <w:bCs/>
          <w:color w:val="auto"/>
          <w:sz w:val="24"/>
          <w:szCs w:val="24"/>
          <w:highlight w:val="none"/>
          <w:lang w:val="en-US" w:eastAsia="zh-CN"/>
        </w:rPr>
        <w:t>采购费率1.10%，成交金额500万元至1000万元的部分，</w:t>
      </w:r>
      <w:r>
        <w:rPr>
          <w:rFonts w:hint="eastAsia" w:ascii="宋体" w:hAnsi="宋体" w:cs="宋体"/>
          <w:b/>
          <w:bCs/>
          <w:color w:val="auto"/>
          <w:sz w:val="24"/>
          <w:szCs w:val="24"/>
          <w:highlight w:val="none"/>
          <w:lang w:val="en-US" w:eastAsia="zh-CN"/>
        </w:rPr>
        <w:t>货物类</w:t>
      </w:r>
      <w:r>
        <w:rPr>
          <w:rFonts w:hint="eastAsia" w:ascii="宋体" w:hAnsi="宋体" w:eastAsia="宋体" w:cs="宋体"/>
          <w:b/>
          <w:bCs/>
          <w:color w:val="auto"/>
          <w:sz w:val="24"/>
          <w:szCs w:val="24"/>
          <w:highlight w:val="none"/>
          <w:lang w:val="en-US" w:eastAsia="zh-CN"/>
        </w:rPr>
        <w:t>采购费率0.80%，成交金额1000万元至5000万元的部分，</w:t>
      </w:r>
      <w:r>
        <w:rPr>
          <w:rFonts w:hint="eastAsia" w:ascii="宋体" w:hAnsi="宋体" w:cs="宋体"/>
          <w:b/>
          <w:bCs/>
          <w:color w:val="auto"/>
          <w:sz w:val="24"/>
          <w:szCs w:val="24"/>
          <w:highlight w:val="none"/>
          <w:lang w:val="en-US" w:eastAsia="zh-CN"/>
        </w:rPr>
        <w:t>货物</w:t>
      </w:r>
      <w:r>
        <w:rPr>
          <w:rFonts w:hint="eastAsia" w:ascii="宋体" w:hAnsi="宋体" w:eastAsia="宋体" w:cs="宋体"/>
          <w:b/>
          <w:bCs/>
          <w:color w:val="auto"/>
          <w:sz w:val="24"/>
          <w:szCs w:val="24"/>
          <w:highlight w:val="none"/>
          <w:lang w:val="en-US" w:eastAsia="zh-CN"/>
        </w:rPr>
        <w:t>率0.50%，成交金额5000万元至10000万元的部分，</w:t>
      </w:r>
      <w:r>
        <w:rPr>
          <w:rFonts w:hint="eastAsia" w:ascii="宋体" w:hAnsi="宋体" w:cs="宋体"/>
          <w:b/>
          <w:bCs/>
          <w:color w:val="auto"/>
          <w:sz w:val="24"/>
          <w:szCs w:val="24"/>
          <w:highlight w:val="none"/>
          <w:lang w:val="en-US" w:eastAsia="zh-CN"/>
        </w:rPr>
        <w:t>货物</w:t>
      </w:r>
      <w:r>
        <w:rPr>
          <w:rFonts w:hint="eastAsia" w:ascii="宋体" w:hAnsi="宋体" w:eastAsia="宋体" w:cs="宋体"/>
          <w:b/>
          <w:bCs/>
          <w:color w:val="auto"/>
          <w:sz w:val="24"/>
          <w:szCs w:val="24"/>
          <w:highlight w:val="none"/>
          <w:lang w:val="en-US" w:eastAsia="zh-CN"/>
        </w:rPr>
        <w:t>采购费率0.25%，成交金额10000万元至100000万元的部分，</w:t>
      </w:r>
      <w:r>
        <w:rPr>
          <w:rFonts w:hint="eastAsia" w:ascii="宋体" w:hAnsi="宋体" w:cs="宋体"/>
          <w:b/>
          <w:bCs/>
          <w:color w:val="auto"/>
          <w:sz w:val="24"/>
          <w:szCs w:val="24"/>
          <w:highlight w:val="none"/>
          <w:lang w:val="en-US" w:eastAsia="zh-CN"/>
        </w:rPr>
        <w:t>货物</w:t>
      </w:r>
      <w:r>
        <w:rPr>
          <w:rFonts w:hint="eastAsia" w:ascii="宋体" w:hAnsi="宋体" w:eastAsia="宋体" w:cs="宋体"/>
          <w:b/>
          <w:bCs/>
          <w:color w:val="auto"/>
          <w:sz w:val="24"/>
          <w:szCs w:val="24"/>
          <w:highlight w:val="none"/>
          <w:lang w:val="en-US" w:eastAsia="zh-CN"/>
        </w:rPr>
        <w:t>采购费率0.05%，成交金额1000000万元以上的部分，</w:t>
      </w:r>
      <w:r>
        <w:rPr>
          <w:rFonts w:hint="eastAsia" w:ascii="宋体" w:hAnsi="宋体" w:cs="宋体"/>
          <w:b/>
          <w:bCs/>
          <w:color w:val="auto"/>
          <w:sz w:val="24"/>
          <w:szCs w:val="24"/>
          <w:highlight w:val="none"/>
          <w:lang w:val="en-US" w:eastAsia="zh-CN"/>
        </w:rPr>
        <w:t>货物</w:t>
      </w:r>
      <w:r>
        <w:rPr>
          <w:rFonts w:hint="eastAsia" w:ascii="宋体" w:hAnsi="宋体" w:eastAsia="宋体" w:cs="宋体"/>
          <w:b/>
          <w:bCs/>
          <w:color w:val="auto"/>
          <w:sz w:val="24"/>
          <w:szCs w:val="24"/>
          <w:highlight w:val="none"/>
          <w:lang w:val="en-US" w:eastAsia="zh-CN"/>
        </w:rPr>
        <w:t>采购费率0.01%;</w:t>
      </w:r>
    </w:p>
    <w:p w14:paraId="1CBCB9C8">
      <w:pPr>
        <w:tabs>
          <w:tab w:val="left" w:pos="5527"/>
        </w:tabs>
        <w:bidi w:val="0"/>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本</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是根据《中华人民共和国政府采购法》、《中华人民共和国政府采购法实施条例》的规定编制，解释权属</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w:t>
      </w:r>
    </w:p>
    <w:p w14:paraId="5C63E726">
      <w:pPr>
        <w:tabs>
          <w:tab w:val="left" w:pos="5527"/>
        </w:tabs>
        <w:bidi w:val="0"/>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 xml:space="preserve">3 </w:t>
      </w:r>
      <w:r>
        <w:rPr>
          <w:rFonts w:hint="eastAsia" w:ascii="宋体" w:hAnsi="宋体" w:eastAsia="宋体" w:cs="宋体"/>
          <w:color w:val="auto"/>
          <w:sz w:val="24"/>
          <w:szCs w:val="24"/>
          <w:highlight w:val="none"/>
        </w:rPr>
        <w:t xml:space="preserve"> 参与本次采购的供应商应当有商务、技术人员对</w:t>
      </w:r>
      <w:r>
        <w:rPr>
          <w:rFonts w:hint="eastAsia" w:ascii="宋体" w:hAnsi="宋体" w:eastAsia="宋体" w:cs="宋体"/>
          <w:color w:val="auto"/>
          <w:sz w:val="24"/>
          <w:szCs w:val="24"/>
          <w:highlight w:val="none"/>
          <w:lang w:eastAsia="zh-CN"/>
        </w:rPr>
        <w:t>评标小组</w:t>
      </w:r>
      <w:r>
        <w:rPr>
          <w:rFonts w:hint="eastAsia" w:ascii="宋体" w:hAnsi="宋体" w:eastAsia="宋体" w:cs="宋体"/>
          <w:color w:val="auto"/>
          <w:sz w:val="24"/>
          <w:szCs w:val="24"/>
          <w:highlight w:val="none"/>
        </w:rPr>
        <w:t>提出的商务、技术问题进行答疑。</w:t>
      </w:r>
      <w:bookmarkEnd w:id="116"/>
      <w:bookmarkEnd w:id="117"/>
      <w:bookmarkEnd w:id="118"/>
      <w:bookmarkStart w:id="143" w:name="_Toc16938559"/>
      <w:bookmarkStart w:id="144" w:name="_Toc5864"/>
      <w:bookmarkStart w:id="145" w:name="_Toc21863"/>
      <w:bookmarkStart w:id="146" w:name="_Toc20823315"/>
      <w:bookmarkStart w:id="147" w:name="_Toc513029243"/>
      <w:bookmarkStart w:id="148" w:name="_Toc27564"/>
      <w:bookmarkStart w:id="149" w:name="_Toc22740"/>
    </w:p>
    <w:p w14:paraId="09678EE7">
      <w:pPr>
        <w:tabs>
          <w:tab w:val="left" w:pos="5527"/>
        </w:tabs>
        <w:bidi w:val="0"/>
        <w:spacing w:line="360" w:lineRule="auto"/>
        <w:outlineLvl w:val="9"/>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34  分支机构投标的（仅限银行、保险、石油石化、电力、电信、邮政、铁路等特殊行业），须提供总公司和分公司的营业执照扫描件，总公司出具分支机构的授权书。</w:t>
      </w:r>
    </w:p>
    <w:p w14:paraId="64726CD7">
      <w:pPr>
        <w:pStyle w:val="23"/>
        <w:tabs>
          <w:tab w:val="left" w:pos="5527"/>
        </w:tabs>
        <w:jc w:val="center"/>
        <w:outlineLvl w:val="9"/>
        <w:rPr>
          <w:rFonts w:hint="eastAsia" w:ascii="宋体" w:hAnsi="宋体" w:eastAsia="宋体" w:cs="宋体"/>
          <w:b/>
          <w:bCs/>
          <w:i w:val="0"/>
          <w:iCs w:val="0"/>
          <w:color w:val="auto"/>
          <w:kern w:val="0"/>
          <w:sz w:val="24"/>
          <w:szCs w:val="24"/>
          <w:highlight w:val="none"/>
          <w:u w:val="none"/>
          <w:lang w:val="en-US" w:eastAsia="zh-CN" w:bidi="ar"/>
        </w:rPr>
      </w:pPr>
    </w:p>
    <w:p w14:paraId="2EA4DCF2">
      <w:pPr>
        <w:tabs>
          <w:tab w:val="left" w:pos="5527"/>
        </w:tabs>
        <w:adjustRightInd w:val="0"/>
        <w:snapToGrid w:val="0"/>
        <w:spacing w:line="360" w:lineRule="auto"/>
        <w:jc w:val="center"/>
        <w:outlineLvl w:val="2"/>
        <w:rPr>
          <w:rStyle w:val="38"/>
          <w:rFonts w:hint="eastAsia" w:ascii="宋体" w:hAnsi="宋体" w:eastAsia="宋体" w:cs="宋体"/>
          <w:b/>
          <w:bCs/>
          <w:color w:val="auto"/>
          <w:sz w:val="24"/>
          <w:szCs w:val="24"/>
          <w:highlight w:val="none"/>
          <w:lang w:val="en-US" w:eastAsia="zh-CN"/>
        </w:rPr>
      </w:pPr>
      <w:bookmarkStart w:id="150" w:name="_Toc25941"/>
      <w:bookmarkStart w:id="151" w:name="_Toc31406"/>
      <w:bookmarkStart w:id="152" w:name="_Toc17992"/>
      <w:bookmarkStart w:id="153" w:name="_Toc32718"/>
      <w:bookmarkStart w:id="154" w:name="_Toc9897"/>
      <w:bookmarkStart w:id="155" w:name="_Toc17802"/>
      <w:r>
        <w:rPr>
          <w:rStyle w:val="38"/>
          <w:rFonts w:hint="eastAsia" w:ascii="宋体" w:hAnsi="宋体" w:eastAsia="宋体" w:cs="宋体"/>
          <w:b/>
          <w:bCs/>
          <w:color w:val="auto"/>
          <w:sz w:val="24"/>
          <w:szCs w:val="24"/>
          <w:highlight w:val="none"/>
          <w:lang w:val="en-US" w:eastAsia="zh-CN"/>
        </w:rPr>
        <w:t>十、质疑与投诉</w:t>
      </w:r>
    </w:p>
    <w:p w14:paraId="050FA177">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一、质疑的提出</w:t>
      </w:r>
    </w:p>
    <w:p w14:paraId="1D79031D">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政府采购供应商（以下简称供应商）提出质疑应当坚持依法依规、诚实信用原则。</w:t>
      </w:r>
    </w:p>
    <w:p w14:paraId="55F9E9F3">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1.质疑人的主体资格</w:t>
      </w:r>
    </w:p>
    <w:p w14:paraId="2BB84EAC">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提出质疑的供应商应当是参与所质疑项目采购活动的供应商。潜在供应商已依法获取其可质疑的采购文件的，可以对该文件提出质疑。</w:t>
      </w:r>
    </w:p>
    <w:p w14:paraId="76273BA3">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2.质疑的时效性</w:t>
      </w:r>
    </w:p>
    <w:p w14:paraId="6B8D3A85">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供应商认为采购文件、采购过程、中标或者成交结果使自己的权益受到损害的，可以在知道或者应知其权益受到损害之日起 7 个工作日内，以书面形式向采购人或者采购代理机构提出质疑。</w:t>
      </w:r>
    </w:p>
    <w:p w14:paraId="57A71785">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政府采购法第五十二条规定的供应商应知其权益受到损害之日，是指:①对可以质疑的采购文件提出质疑的，应当在获取采购文件之日或者采购文件公告期限届满之日；②对采购过程提出质疑的，为各采购程序环节结束之日；③对中标或者成交结果提出质疑的，为中标或者成交结果公告期限届满之日。</w:t>
      </w:r>
    </w:p>
    <w:p w14:paraId="389E093A">
      <w:pPr>
        <w:tabs>
          <w:tab w:val="left" w:pos="5527"/>
        </w:tabs>
        <w:bidi w:val="0"/>
        <w:spacing w:line="360" w:lineRule="auto"/>
        <w:outlineLvl w:val="9"/>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供应商须在法定质疑期内一次性提出针对同一采购程序环节的质疑。</w:t>
      </w:r>
    </w:p>
    <w:p w14:paraId="1EAB51D4">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3.供应商提出质疑应当提交质疑函和必要的证明材料。</w:t>
      </w:r>
    </w:p>
    <w:p w14:paraId="02E1235C">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3.1 质疑函应当包括下列内容：</w:t>
      </w:r>
    </w:p>
    <w:p w14:paraId="6848EDFA">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（1）供应商的姓名或者名称、地址、邮编、联系人及联系电话；</w:t>
      </w:r>
    </w:p>
    <w:p w14:paraId="2C80A3D7">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（2）质疑项目的名称、编号；</w:t>
      </w:r>
    </w:p>
    <w:p w14:paraId="7CECB4EA">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（3）具体、明确的质疑事项和与质疑事项相关的请求；</w:t>
      </w:r>
    </w:p>
    <w:p w14:paraId="59E5CD7C">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（4）事实依据；</w:t>
      </w:r>
    </w:p>
    <w:p w14:paraId="2C7DF32B">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（5）必要的法律依据；</w:t>
      </w:r>
    </w:p>
    <w:p w14:paraId="1BD400CA">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（6）提出质疑的日期。</w:t>
      </w:r>
    </w:p>
    <w:p w14:paraId="3F109F75">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3.2 质疑人为自然人的，质疑函应当由本人签字并附有效身份证明原件及营业执照；质疑人为法人或者其他组织的，应当由法定代表人或者主要负责人签字并加盖单位公章，同时一并提交营业执照和法定代表人或者主要负责人有效身份证明原件。无法提供营业执照原件的，应当提供真实有效的复印件，并加盖公章。</w:t>
      </w:r>
    </w:p>
    <w:p w14:paraId="09EAFE0F">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3.3 供应商可以委托代理人进行质疑和投诉。代理人提出质疑和投诉，应当提交供应商签署的授权委托书原件、营业执照及代理人的有效身份证明原件。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78B8462A">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二、 质疑函提交的注意事项</w:t>
      </w:r>
    </w:p>
    <w:p w14:paraId="11EBB8F4">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1.质疑函采用实名制，不得进行虚假、恶意质疑。质疑人应在质疑有效期内提交《质疑函》（格式后附）。</w:t>
      </w:r>
    </w:p>
    <w:p w14:paraId="6B832693">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2.质疑必须提供合法的信息来源或有效证据。质疑人保证所提出的质疑内容及相关佐证材料的真实性及来源的合法性，并承担相应的法律责任。属于须由相关部门调查、鉴定或者先行做出相关认定的事项，质疑人应当依法申请具有法定职权的部门查清、认定，并将相关结果提供给招标方。招标方不具有法定调查、认定权限和义务。</w:t>
      </w:r>
    </w:p>
    <w:p w14:paraId="3A4C6733">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3.佐证材料要具备客观性、关联性、合法性，无法查实的（如宣传册、媒体报道、猜测、推理等）不能作为佐证材料。</w:t>
      </w:r>
    </w:p>
    <w:p w14:paraId="5177A2CA">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4.质疑人的法定代表人办理质疑事务的，在提交质疑函（无需填写授权委托人）的同时，还应提交加盖质疑人公章的营业执照副本复印件和法定代表人的身份证复印件；并持身份证原件用于核对。</w:t>
      </w:r>
    </w:p>
    <w:p w14:paraId="0EAC1DC2">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5.授权本项目投标委托人办理质疑事务的，除提交质疑书、加盖质疑人公章的营业执照副本复印件和法定代表人的身份证复印件外，还应当提交由质疑人出具的明确载明授权委托的具体权限和事项的法定代表人授权委托书以及授权委托人的身份证复印件；并持身份证原件用于核对。</w:t>
      </w:r>
    </w:p>
    <w:p w14:paraId="603641D9">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三、质疑的受理和处理</w:t>
      </w:r>
    </w:p>
    <w:p w14:paraId="30433F56">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1.《质疑函》必须由质疑方的法定代表人或委托代理人送达采购代理机构。</w:t>
      </w:r>
    </w:p>
    <w:p w14:paraId="1BBEE4EC">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(1)接收质疑函的方式：现场递交纸质质疑材料一式三份，并提供电子版资料发送邮箱：</w:t>
      </w:r>
      <w:r>
        <w:rPr>
          <w:rFonts w:hint="eastAsia" w:ascii="宋体" w:hAnsi="宋体" w:cs="宋体"/>
          <w:color w:val="auto"/>
          <w:kern w:val="0"/>
          <w:sz w:val="24"/>
          <w:szCs w:val="24"/>
          <w:highlight w:val="none"/>
          <w:lang w:val="en-US" w:eastAsia="zh-CN" w:bidi="ar"/>
        </w:rPr>
        <w:t>663832124@qq.com</w:t>
      </w:r>
      <w:r>
        <w:rPr>
          <w:rFonts w:hint="eastAsia" w:ascii="宋体" w:hAnsi="宋体" w:cs="宋体"/>
          <w:b w:val="0"/>
          <w:bCs w:val="0"/>
          <w:color w:val="auto"/>
          <w:sz w:val="24"/>
          <w:szCs w:val="24"/>
          <w:highlight w:val="none"/>
          <w:lang w:val="en-US" w:eastAsia="zh-CN"/>
        </w:rPr>
        <w:t>。</w:t>
      </w:r>
    </w:p>
    <w:p w14:paraId="6623EE72">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(2)联系单位：新疆德泰工程项目管理服务有限公司</w:t>
      </w:r>
    </w:p>
    <w:p w14:paraId="4E3FE8A3">
      <w:pPr>
        <w:tabs>
          <w:tab w:val="left" w:pos="5527"/>
        </w:tabs>
        <w:bidi w:val="0"/>
        <w:spacing w:line="360" w:lineRule="auto"/>
        <w:outlineLvl w:val="9"/>
        <w:rPr>
          <w:rFonts w:hint="default"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(3)联系电话：19999465816</w:t>
      </w:r>
    </w:p>
    <w:p w14:paraId="471C7BDC">
      <w:pPr>
        <w:tabs>
          <w:tab w:val="left" w:pos="5527"/>
        </w:tabs>
        <w:bidi w:val="0"/>
        <w:spacing w:line="360" w:lineRule="auto"/>
        <w:outlineLvl w:val="9"/>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(4)通讯地址：库尔勒市索克巴格路6号壹品千城商业街2栋3层8号</w:t>
      </w:r>
    </w:p>
    <w:p w14:paraId="49CAF41B">
      <w:pPr>
        <w:tabs>
          <w:tab w:val="left" w:pos="5527"/>
        </w:tabs>
        <w:bidi w:val="0"/>
        <w:spacing w:line="360" w:lineRule="auto"/>
        <w:outlineLvl w:val="9"/>
        <w:rPr>
          <w:rFonts w:hint="default" w:ascii="宋体" w:hAnsi="宋体" w:cs="宋体"/>
          <w:b/>
          <w:bCs/>
          <w:color w:val="auto"/>
          <w:sz w:val="24"/>
          <w:szCs w:val="24"/>
          <w:highlight w:val="none"/>
          <w:lang w:val="en-US" w:eastAsia="zh-CN"/>
        </w:rPr>
      </w:pPr>
      <w:r>
        <w:rPr>
          <w:rFonts w:hint="default" w:ascii="宋体" w:hAnsi="宋体" w:cs="宋体"/>
          <w:b/>
          <w:bCs/>
          <w:color w:val="auto"/>
          <w:sz w:val="24"/>
          <w:szCs w:val="24"/>
          <w:highlight w:val="none"/>
          <w:lang w:val="en-US" w:eastAsia="zh-CN"/>
        </w:rPr>
        <w:t>2.对符合要求的质疑，采购单位或采购代理机构予以</w:t>
      </w:r>
      <w:r>
        <w:rPr>
          <w:rFonts w:hint="eastAsia" w:ascii="宋体" w:hAnsi="宋体" w:cs="宋体"/>
          <w:b/>
          <w:bCs/>
          <w:color w:val="auto"/>
          <w:sz w:val="24"/>
          <w:szCs w:val="24"/>
          <w:highlight w:val="none"/>
          <w:lang w:val="en-US" w:eastAsia="zh-CN"/>
        </w:rPr>
        <w:t>接收</w:t>
      </w:r>
      <w:r>
        <w:rPr>
          <w:rFonts w:hint="default" w:ascii="宋体" w:hAnsi="宋体" w:cs="宋体"/>
          <w:b/>
          <w:bCs/>
          <w:color w:val="auto"/>
          <w:sz w:val="24"/>
          <w:szCs w:val="24"/>
          <w:highlight w:val="none"/>
          <w:lang w:val="en-US" w:eastAsia="zh-CN"/>
        </w:rPr>
        <w:t>。同一质疑人的质疑只接受一次。对于不符合上述所有条款要求的质疑（对不能提供相关佐证材料的、涉及商业秘密的、非现场形式送达的、匿名的质疑），采购代理机构将不予受理。</w:t>
      </w:r>
    </w:p>
    <w:p w14:paraId="162045D0">
      <w:pPr>
        <w:tabs>
          <w:tab w:val="left" w:pos="5527"/>
        </w:tabs>
        <w:bidi w:val="0"/>
        <w:spacing w:line="360" w:lineRule="auto"/>
        <w:outlineLvl w:val="9"/>
        <w:rPr>
          <w:rFonts w:hint="default" w:ascii="宋体" w:hAnsi="宋体" w:cs="宋体"/>
          <w:b w:val="0"/>
          <w:bCs w:val="0"/>
          <w:color w:val="auto"/>
          <w:sz w:val="24"/>
          <w:szCs w:val="24"/>
          <w:highlight w:val="none"/>
          <w:lang w:val="en-US" w:eastAsia="zh-CN"/>
        </w:rPr>
      </w:pPr>
      <w:r>
        <w:rPr>
          <w:rFonts w:hint="default" w:ascii="宋体" w:hAnsi="宋体" w:cs="宋体"/>
          <w:b w:val="0"/>
          <w:bCs w:val="0"/>
          <w:color w:val="auto"/>
          <w:sz w:val="24"/>
          <w:szCs w:val="24"/>
          <w:highlight w:val="none"/>
          <w:lang w:val="en-US" w:eastAsia="zh-CN"/>
        </w:rPr>
        <w:t>3.采购代理机构应当在受理质疑后 7 个工作日内作出答复，并以书面形式通知质疑人和其他有关供应商，答复内容仅限于供应商所质疑的内容，不得涉及国家秘密和商业秘密。</w:t>
      </w:r>
    </w:p>
    <w:p w14:paraId="748AD987">
      <w:pPr>
        <w:tabs>
          <w:tab w:val="left" w:pos="5527"/>
        </w:tabs>
        <w:bidi w:val="0"/>
        <w:spacing w:line="360" w:lineRule="auto"/>
        <w:outlineLvl w:val="9"/>
        <w:rPr>
          <w:rFonts w:hint="default" w:ascii="宋体" w:hAnsi="宋体" w:cs="宋体"/>
          <w:b w:val="0"/>
          <w:bCs w:val="0"/>
          <w:color w:val="auto"/>
          <w:sz w:val="24"/>
          <w:szCs w:val="24"/>
          <w:highlight w:val="none"/>
          <w:lang w:val="en-US" w:eastAsia="zh-CN"/>
        </w:rPr>
      </w:pPr>
      <w:r>
        <w:rPr>
          <w:rFonts w:hint="default" w:ascii="宋体" w:hAnsi="宋体" w:cs="宋体"/>
          <w:b w:val="0"/>
          <w:bCs w:val="0"/>
          <w:color w:val="auto"/>
          <w:sz w:val="24"/>
          <w:szCs w:val="24"/>
          <w:highlight w:val="none"/>
          <w:lang w:val="en-US" w:eastAsia="zh-CN"/>
        </w:rPr>
        <w:t>4.采购人、采购代理机构认为供应商质疑不成立，或者成立但未对中标、成交结果构成影响的，继续开展采购活动；认为供应商质疑成立且影响或者可能影响中标、成交结果的，按照下列情况处理：</w:t>
      </w:r>
    </w:p>
    <w:p w14:paraId="22388A53">
      <w:pPr>
        <w:tabs>
          <w:tab w:val="left" w:pos="5527"/>
        </w:tabs>
        <w:bidi w:val="0"/>
        <w:spacing w:line="360" w:lineRule="auto"/>
        <w:outlineLvl w:val="9"/>
        <w:rPr>
          <w:rFonts w:hint="default" w:ascii="宋体" w:hAnsi="宋体" w:cs="宋体"/>
          <w:b w:val="0"/>
          <w:bCs w:val="0"/>
          <w:color w:val="auto"/>
          <w:sz w:val="24"/>
          <w:szCs w:val="24"/>
          <w:highlight w:val="none"/>
          <w:lang w:val="en-US" w:eastAsia="zh-CN"/>
        </w:rPr>
      </w:pPr>
      <w:r>
        <w:rPr>
          <w:rFonts w:hint="default" w:ascii="宋体" w:hAnsi="宋体" w:cs="宋体"/>
          <w:b w:val="0"/>
          <w:bCs w:val="0"/>
          <w:color w:val="auto"/>
          <w:sz w:val="24"/>
          <w:szCs w:val="24"/>
          <w:highlight w:val="none"/>
          <w:lang w:val="en-US" w:eastAsia="zh-CN"/>
        </w:rPr>
        <w:t>(1)对采购文件提出的质疑，依法通过澄清或者修改可以继续开展采购活动</w:t>
      </w:r>
    </w:p>
    <w:p w14:paraId="45B58F4F">
      <w:pPr>
        <w:tabs>
          <w:tab w:val="left" w:pos="5527"/>
        </w:tabs>
        <w:bidi w:val="0"/>
        <w:spacing w:line="360" w:lineRule="auto"/>
        <w:outlineLvl w:val="9"/>
        <w:rPr>
          <w:rFonts w:hint="default" w:ascii="宋体" w:hAnsi="宋体" w:cs="宋体"/>
          <w:b w:val="0"/>
          <w:bCs w:val="0"/>
          <w:color w:val="auto"/>
          <w:sz w:val="24"/>
          <w:szCs w:val="24"/>
          <w:highlight w:val="none"/>
          <w:lang w:val="en-US" w:eastAsia="zh-CN"/>
        </w:rPr>
      </w:pPr>
      <w:r>
        <w:rPr>
          <w:rFonts w:hint="default" w:ascii="宋体" w:hAnsi="宋体" w:cs="宋体"/>
          <w:b w:val="0"/>
          <w:bCs w:val="0"/>
          <w:color w:val="auto"/>
          <w:sz w:val="24"/>
          <w:szCs w:val="24"/>
          <w:highlight w:val="none"/>
          <w:lang w:val="en-US" w:eastAsia="zh-CN"/>
        </w:rPr>
        <w:t>的，澄清或者修改采购文件后继续开展采购活动；否则应当修改采购文件后重新开展采购活动。</w:t>
      </w:r>
    </w:p>
    <w:p w14:paraId="4F2FE7EE">
      <w:pPr>
        <w:tabs>
          <w:tab w:val="left" w:pos="5527"/>
        </w:tabs>
        <w:bidi w:val="0"/>
        <w:spacing w:line="360" w:lineRule="auto"/>
        <w:outlineLvl w:val="9"/>
        <w:rPr>
          <w:rFonts w:hint="default" w:ascii="宋体" w:hAnsi="宋体" w:cs="宋体"/>
          <w:b w:val="0"/>
          <w:bCs w:val="0"/>
          <w:color w:val="auto"/>
          <w:sz w:val="24"/>
          <w:szCs w:val="24"/>
          <w:highlight w:val="none"/>
          <w:lang w:val="en-US" w:eastAsia="zh-CN"/>
        </w:rPr>
      </w:pPr>
      <w:r>
        <w:rPr>
          <w:rFonts w:hint="default" w:ascii="宋体" w:hAnsi="宋体" w:cs="宋体"/>
          <w:b w:val="0"/>
          <w:bCs w:val="0"/>
          <w:color w:val="auto"/>
          <w:sz w:val="24"/>
          <w:szCs w:val="24"/>
          <w:highlight w:val="none"/>
          <w:lang w:val="en-US" w:eastAsia="zh-CN"/>
        </w:rPr>
        <w:t>(2)对采购过程、中标或者成交结果提出的质疑，合格供应商符合法定数量时，可以从合格的中标或者成交候选人中另行确定中标、成交供应商的，应当依法另行确定中标、成交供应商；否则应当重新开展采购活动。</w:t>
      </w:r>
    </w:p>
    <w:p w14:paraId="197B4039">
      <w:pPr>
        <w:tabs>
          <w:tab w:val="left" w:pos="5527"/>
        </w:tabs>
        <w:bidi w:val="0"/>
        <w:spacing w:line="360" w:lineRule="auto"/>
        <w:outlineLvl w:val="9"/>
        <w:rPr>
          <w:rFonts w:hint="default" w:ascii="宋体" w:hAnsi="宋体" w:cs="宋体"/>
          <w:b w:val="0"/>
          <w:bCs w:val="0"/>
          <w:color w:val="auto"/>
          <w:sz w:val="24"/>
          <w:szCs w:val="24"/>
          <w:highlight w:val="none"/>
          <w:lang w:val="en-US" w:eastAsia="zh-CN"/>
        </w:rPr>
      </w:pPr>
      <w:r>
        <w:rPr>
          <w:rFonts w:hint="default" w:ascii="宋体" w:hAnsi="宋体" w:cs="宋体"/>
          <w:b w:val="0"/>
          <w:bCs w:val="0"/>
          <w:color w:val="auto"/>
          <w:sz w:val="24"/>
          <w:szCs w:val="24"/>
          <w:highlight w:val="none"/>
          <w:lang w:val="en-US" w:eastAsia="zh-CN"/>
        </w:rPr>
        <w:t>(3)质疑答复导致中标、成交结果改变的，采购人或者采购代理机构应当将有关情况书面报告本级财政部门。</w:t>
      </w:r>
    </w:p>
    <w:p w14:paraId="5DB9114B">
      <w:pPr>
        <w:tabs>
          <w:tab w:val="left" w:pos="5527"/>
        </w:tabs>
        <w:bidi w:val="0"/>
        <w:spacing w:line="360" w:lineRule="auto"/>
        <w:outlineLvl w:val="9"/>
        <w:rPr>
          <w:rFonts w:hint="default" w:ascii="宋体" w:hAnsi="宋体" w:cs="宋体"/>
          <w:b w:val="0"/>
          <w:bCs w:val="0"/>
          <w:color w:val="auto"/>
          <w:sz w:val="24"/>
          <w:szCs w:val="24"/>
          <w:highlight w:val="none"/>
          <w:lang w:val="en-US" w:eastAsia="zh-CN"/>
        </w:rPr>
      </w:pPr>
      <w:r>
        <w:rPr>
          <w:rFonts w:hint="default" w:ascii="宋体" w:hAnsi="宋体" w:cs="宋体"/>
          <w:b w:val="0"/>
          <w:bCs w:val="0"/>
          <w:color w:val="auto"/>
          <w:sz w:val="24"/>
          <w:szCs w:val="24"/>
          <w:highlight w:val="none"/>
          <w:lang w:val="en-US" w:eastAsia="zh-CN"/>
        </w:rPr>
        <w:t>5.质疑供应商对采购人、采购代理机构的答复不满意，或者采购人、采购代理机构未在规定时间内作出答复的，可以在答复期满后 15 个工作日内向《政府采购质疑和投诉办法》（财政部令第 94 号）第六条规定的财政部门提起投诉。</w:t>
      </w:r>
    </w:p>
    <w:p w14:paraId="0510B8CA">
      <w:pPr>
        <w:tabs>
          <w:tab w:val="left" w:pos="5527"/>
        </w:tabs>
        <w:bidi w:val="0"/>
        <w:spacing w:line="360" w:lineRule="auto"/>
        <w:outlineLvl w:val="9"/>
        <w:rPr>
          <w:rFonts w:hint="default" w:ascii="宋体" w:hAnsi="宋体" w:cs="宋体"/>
          <w:b w:val="0"/>
          <w:bCs w:val="0"/>
          <w:color w:val="auto"/>
          <w:sz w:val="24"/>
          <w:szCs w:val="24"/>
          <w:highlight w:val="none"/>
          <w:lang w:val="en-US" w:eastAsia="zh-CN"/>
        </w:rPr>
      </w:pPr>
      <w:r>
        <w:rPr>
          <w:rFonts w:hint="default" w:ascii="宋体" w:hAnsi="宋体" w:cs="宋体"/>
          <w:b w:val="0"/>
          <w:bCs w:val="0"/>
          <w:color w:val="auto"/>
          <w:sz w:val="24"/>
          <w:szCs w:val="24"/>
          <w:highlight w:val="none"/>
          <w:lang w:val="en-US" w:eastAsia="zh-CN"/>
        </w:rPr>
        <w:t>6.质疑无效的处理</w:t>
      </w:r>
    </w:p>
    <w:p w14:paraId="236FB3E2">
      <w:pPr>
        <w:tabs>
          <w:tab w:val="left" w:pos="5527"/>
        </w:tabs>
        <w:bidi w:val="0"/>
        <w:spacing w:line="360" w:lineRule="auto"/>
        <w:outlineLvl w:val="9"/>
        <w:rPr>
          <w:rFonts w:hint="default" w:ascii="宋体" w:hAnsi="宋体" w:cs="宋体"/>
          <w:b w:val="0"/>
          <w:bCs w:val="0"/>
          <w:color w:val="auto"/>
          <w:sz w:val="24"/>
          <w:szCs w:val="24"/>
          <w:highlight w:val="none"/>
          <w:lang w:val="en-US" w:eastAsia="zh-CN"/>
        </w:rPr>
      </w:pPr>
      <w:r>
        <w:rPr>
          <w:rFonts w:hint="default" w:ascii="宋体" w:hAnsi="宋体" w:cs="宋体"/>
          <w:b w:val="0"/>
          <w:bCs w:val="0"/>
          <w:color w:val="auto"/>
          <w:sz w:val="24"/>
          <w:szCs w:val="24"/>
          <w:highlight w:val="none"/>
          <w:lang w:val="en-US" w:eastAsia="zh-CN"/>
        </w:rPr>
        <w:t>6.1 质疑人提供的相关佐证材料不能证明质疑成立的，列为无效质疑。</w:t>
      </w:r>
    </w:p>
    <w:p w14:paraId="6949C90F">
      <w:pPr>
        <w:tabs>
          <w:tab w:val="left" w:pos="5527"/>
        </w:tabs>
        <w:bidi w:val="0"/>
        <w:spacing w:line="360" w:lineRule="auto"/>
        <w:outlineLvl w:val="9"/>
        <w:rPr>
          <w:rFonts w:hint="default" w:ascii="宋体" w:hAnsi="宋体" w:cs="宋体"/>
          <w:b w:val="0"/>
          <w:bCs w:val="0"/>
          <w:color w:val="auto"/>
          <w:sz w:val="24"/>
          <w:szCs w:val="24"/>
          <w:highlight w:val="none"/>
          <w:lang w:val="en-US" w:eastAsia="zh-CN"/>
        </w:rPr>
      </w:pPr>
      <w:r>
        <w:rPr>
          <w:rFonts w:hint="default" w:ascii="宋体" w:hAnsi="宋体" w:cs="宋体"/>
          <w:b w:val="0"/>
          <w:bCs w:val="0"/>
          <w:color w:val="auto"/>
          <w:sz w:val="24"/>
          <w:szCs w:val="24"/>
          <w:highlight w:val="none"/>
          <w:lang w:val="en-US" w:eastAsia="zh-CN"/>
        </w:rPr>
        <w:t>6.2 对于质疑人在质疑期间不配合进行质疑调查处理的，视为自动放弃质疑。</w:t>
      </w:r>
    </w:p>
    <w:p w14:paraId="545606B2">
      <w:pPr>
        <w:tabs>
          <w:tab w:val="left" w:pos="5527"/>
        </w:tabs>
        <w:bidi w:val="0"/>
        <w:spacing w:line="360" w:lineRule="auto"/>
        <w:outlineLvl w:val="9"/>
        <w:rPr>
          <w:rFonts w:hint="default" w:ascii="宋体" w:hAnsi="宋体" w:cs="宋体"/>
          <w:b w:val="0"/>
          <w:bCs w:val="0"/>
          <w:color w:val="auto"/>
          <w:sz w:val="24"/>
          <w:szCs w:val="24"/>
          <w:highlight w:val="none"/>
          <w:lang w:val="en-US" w:eastAsia="zh-CN"/>
        </w:rPr>
      </w:pPr>
      <w:r>
        <w:rPr>
          <w:rFonts w:hint="default" w:ascii="宋体" w:hAnsi="宋体" w:cs="宋体"/>
          <w:b w:val="0"/>
          <w:bCs w:val="0"/>
          <w:color w:val="auto"/>
          <w:sz w:val="24"/>
          <w:szCs w:val="24"/>
          <w:highlight w:val="none"/>
          <w:lang w:val="en-US" w:eastAsia="zh-CN"/>
        </w:rPr>
        <w:t>6.3 质疑人提出的质疑，经评标专家审定后驳回的，列为无效质疑。</w:t>
      </w:r>
    </w:p>
    <w:p w14:paraId="620B4E35">
      <w:pPr>
        <w:rPr>
          <w:rFonts w:hint="eastAsia" w:ascii="宋体" w:hAnsi="宋体" w:eastAsia="宋体" w:cs="宋体"/>
          <w:b/>
          <w:color w:val="auto"/>
          <w:sz w:val="24"/>
          <w:szCs w:val="24"/>
          <w:highlight w:val="none"/>
        </w:rPr>
      </w:pPr>
      <w:r>
        <w:rPr>
          <w:rFonts w:hint="default" w:ascii="宋体" w:hAnsi="宋体" w:cs="宋体"/>
          <w:b w:val="0"/>
          <w:bCs w:val="0"/>
          <w:color w:val="auto"/>
          <w:sz w:val="24"/>
          <w:szCs w:val="24"/>
          <w:highlight w:val="none"/>
          <w:lang w:val="en-US" w:eastAsia="zh-CN"/>
        </w:rPr>
        <w:t>6.4 对于质疑中使用虚假材料或恶意方式质疑的，按无效质疑处理，并列入不良记录供应商名单。</w:t>
      </w:r>
      <w:r>
        <w:rPr>
          <w:rStyle w:val="38"/>
          <w:rFonts w:hint="eastAsia" w:ascii="宋体" w:hAnsi="宋体" w:eastAsia="宋体" w:cs="宋体"/>
          <w:b/>
          <w:bCs/>
          <w:color w:val="auto"/>
          <w:sz w:val="32"/>
          <w:szCs w:val="32"/>
          <w:highlight w:val="none"/>
          <w:lang w:val="en-US" w:eastAsia="zh-CN"/>
        </w:rPr>
        <w:br w:type="page"/>
      </w:r>
      <w:bookmarkStart w:id="156" w:name="_Toc26085"/>
      <w:bookmarkStart w:id="157" w:name="_Toc6957"/>
      <w:bookmarkStart w:id="158" w:name="_Toc13173"/>
      <w:r>
        <w:rPr>
          <w:rFonts w:hint="eastAsia" w:ascii="宋体" w:hAnsi="宋体" w:eastAsia="宋体" w:cs="宋体"/>
          <w:b/>
          <w:color w:val="auto"/>
          <w:sz w:val="24"/>
          <w:szCs w:val="24"/>
          <w:highlight w:val="none"/>
        </w:rPr>
        <w:t>附表一：</w:t>
      </w:r>
    </w:p>
    <w:p w14:paraId="1A0943F7">
      <w:pPr>
        <w:tabs>
          <w:tab w:val="left" w:pos="5527"/>
        </w:tabs>
        <w:adjustRightInd w:val="0"/>
        <w:snapToGrid w:val="0"/>
        <w:spacing w:line="360" w:lineRule="auto"/>
        <w:jc w:val="center"/>
        <w:outlineLvl w:val="3"/>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资格性审查表</w:t>
      </w:r>
    </w:p>
    <w:tbl>
      <w:tblPr>
        <w:tblStyle w:val="27"/>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8329"/>
      </w:tblGrid>
      <w:tr w14:paraId="01D79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9" w:type="dxa"/>
            <w:vAlign w:val="center"/>
          </w:tcPr>
          <w:p w14:paraId="09020B45">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8329" w:type="dxa"/>
            <w:vAlign w:val="center"/>
          </w:tcPr>
          <w:p w14:paraId="1CD62C21">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评审内容</w:t>
            </w:r>
          </w:p>
        </w:tc>
      </w:tr>
      <w:tr w14:paraId="57DED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9" w:type="dxa"/>
            <w:vAlign w:val="center"/>
          </w:tcPr>
          <w:p w14:paraId="300BA33C">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329" w:type="dxa"/>
            <w:vAlign w:val="center"/>
          </w:tcPr>
          <w:p w14:paraId="209C3763">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jc w:val="left"/>
              <w:textAlignment w:val="auto"/>
              <w:outlineLvl w:val="9"/>
              <w:rPr>
                <w:rFonts w:hint="eastAsia" w:ascii="宋体" w:hAnsi="宋体" w:cs="宋体"/>
                <w:color w:val="auto"/>
                <w:sz w:val="24"/>
                <w:szCs w:val="24"/>
                <w:highlight w:val="none"/>
                <w:lang w:eastAsia="zh-CN"/>
              </w:rPr>
            </w:pPr>
            <w:bookmarkStart w:id="159" w:name="OLE_LINK9"/>
            <w:r>
              <w:rPr>
                <w:rFonts w:hint="eastAsia" w:ascii="宋体" w:hAnsi="宋体" w:cs="宋体"/>
                <w:color w:val="auto"/>
                <w:sz w:val="24"/>
                <w:szCs w:val="24"/>
                <w:highlight w:val="none"/>
                <w:lang w:eastAsia="zh-CN"/>
              </w:rPr>
              <w:t>满足《中华人民共和国政府采购法》第二十二条规定：①具有独立承担民事责任的能力，须提供在中华人民共和国境内注册的法人或其他组织或自然人的营业执照副本或事业法人登记证或执业许可证或身份证等相关证明扫描件；</w:t>
            </w:r>
          </w:p>
          <w:p w14:paraId="22A95BA6">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jc w:val="left"/>
              <w:textAlignment w:val="auto"/>
              <w:outlineLvl w:val="9"/>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eastAsia="zh-CN"/>
              </w:rPr>
              <w:t>②需提供</w:t>
            </w:r>
            <w:r>
              <w:rPr>
                <w:rFonts w:hint="eastAsia" w:ascii="宋体" w:hAnsi="宋体" w:cs="宋体"/>
                <w:color w:val="auto"/>
                <w:sz w:val="24"/>
                <w:szCs w:val="24"/>
                <w:highlight w:val="none"/>
                <w:lang w:val="en-US" w:eastAsia="zh-CN"/>
              </w:rPr>
              <w:t>诚信声明</w:t>
            </w:r>
            <w:r>
              <w:rPr>
                <w:rFonts w:hint="eastAsia" w:ascii="宋体" w:hAnsi="宋体" w:eastAsia="宋体" w:cs="宋体"/>
                <w:color w:val="auto"/>
                <w:sz w:val="24"/>
                <w:szCs w:val="24"/>
                <w:highlight w:val="none"/>
              </w:rPr>
              <w:t>（格式详见附件：</w:t>
            </w:r>
            <w:r>
              <w:rPr>
                <w:rFonts w:hint="eastAsia" w:ascii="宋体" w:hAnsi="宋体" w:eastAsia="宋体" w:cs="宋体"/>
                <w:color w:val="auto"/>
                <w:sz w:val="24"/>
                <w:szCs w:val="24"/>
                <w:highlight w:val="none"/>
                <w:lang w:val="en-US" w:eastAsia="zh-CN"/>
              </w:rPr>
              <w:t>诚信声明</w:t>
            </w:r>
            <w:r>
              <w:rPr>
                <w:rFonts w:hint="eastAsia" w:ascii="宋体" w:hAnsi="宋体" w:eastAsia="宋体" w:cs="宋体"/>
                <w:color w:val="auto"/>
                <w:sz w:val="24"/>
                <w:szCs w:val="24"/>
                <w:highlight w:val="none"/>
              </w:rPr>
              <w:t>）</w:t>
            </w:r>
          </w:p>
          <w:p w14:paraId="072069FE">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jc w:val="left"/>
              <w:textAlignment w:val="auto"/>
              <w:outlineLvl w:val="9"/>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③</w:t>
            </w:r>
            <w:r>
              <w:rPr>
                <w:rFonts w:hint="eastAsia" w:ascii="宋体" w:hAnsi="宋体" w:cs="宋体"/>
                <w:color w:val="auto"/>
                <w:sz w:val="24"/>
                <w:szCs w:val="24"/>
                <w:highlight w:val="none"/>
                <w:lang w:val="en-US" w:eastAsia="zh-CN"/>
              </w:rPr>
              <w:t>提供</w:t>
            </w:r>
            <w:r>
              <w:rPr>
                <w:rFonts w:hint="eastAsia" w:ascii="宋体" w:hAnsi="宋体" w:cs="宋体"/>
                <w:color w:val="auto"/>
                <w:sz w:val="24"/>
                <w:szCs w:val="24"/>
                <w:highlight w:val="none"/>
                <w:lang w:eastAsia="zh-CN"/>
              </w:rPr>
              <w:t>近一年（2024）年度内经会计事务所或审计机构审计的财务会计报表，包括资产负债表、利润表、现金流量表、所有者权益变动（如有）及其附注（扫描件并加盖本单位公章）。（注：若无会计事务所或审计机构审计的财务会计报表，可提供公司内部财务报表加盖公章）；</w:t>
            </w:r>
          </w:p>
          <w:p w14:paraId="60230E56">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jc w:val="left"/>
              <w:textAlignment w:val="auto"/>
              <w:outlineLvl w:val="9"/>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④须提供具备履行合同所必需的设备和专业技术能力的证明材料或书面声明；</w:t>
            </w:r>
          </w:p>
          <w:p w14:paraId="49EE3A7E">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jc w:val="left"/>
              <w:textAlignment w:val="auto"/>
              <w:outlineLvl w:val="9"/>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⑤须提供响应文件递交截止日期之前六个月内任意一个月的纳税记录或证明文件扫描件加盖公章（依法免税的应提供相应文件说明），须提供响应文件递交截止日期之前六个月内任意3个月为员工缴纳社会保障资金的证明材料扫描件加盖公章，证明材料是缴纳社会保险的凭据（专用收据或社会保险缴纳清单）（依法不需要缴纳社会保障资金的应提供相应文件说明）；</w:t>
            </w:r>
          </w:p>
          <w:p w14:paraId="72F40E92">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eastAsia="zh-CN"/>
              </w:rPr>
              <w:t>⑥参加政府采购活动前三年内，在经营活动中没有重大违法记录（须提供声明函）。</w:t>
            </w:r>
            <w:bookmarkEnd w:id="159"/>
          </w:p>
        </w:tc>
      </w:tr>
      <w:tr w14:paraId="1E46E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959" w:type="dxa"/>
            <w:vAlign w:val="center"/>
          </w:tcPr>
          <w:p w14:paraId="04CB8A22">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329" w:type="dxa"/>
            <w:vAlign w:val="center"/>
          </w:tcPr>
          <w:p w14:paraId="787D6013">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法定代表人身份证明或授权委托书及代理人身份证明；</w:t>
            </w:r>
          </w:p>
        </w:tc>
      </w:tr>
      <w:tr w14:paraId="69B70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9" w:type="dxa"/>
            <w:vAlign w:val="center"/>
          </w:tcPr>
          <w:p w14:paraId="0A18039B">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329" w:type="dxa"/>
            <w:vAlign w:val="center"/>
          </w:tcPr>
          <w:p w14:paraId="41B8161D">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1"/>
                <w:sz w:val="24"/>
                <w:szCs w:val="24"/>
                <w:highlight w:val="none"/>
              </w:rPr>
              <w:t>是否交纳投标保证金；</w:t>
            </w:r>
          </w:p>
        </w:tc>
      </w:tr>
      <w:tr w14:paraId="109C5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9" w:type="dxa"/>
            <w:vAlign w:val="center"/>
          </w:tcPr>
          <w:p w14:paraId="2733809A">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8329" w:type="dxa"/>
            <w:vAlign w:val="center"/>
          </w:tcPr>
          <w:p w14:paraId="39DC8FBF">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312" w:lineRule="auto"/>
              <w:ind w:left="0" w:leftChars="0" w:right="0" w:rightChars="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单位负责人为同一人或者存在直接控股、管理关系的不同供应商，不得参加同一合同项下的政府采购活动（格式详见附件：主要股东或出资人信息填写）</w:t>
            </w:r>
          </w:p>
        </w:tc>
      </w:tr>
      <w:tr w14:paraId="28867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9" w:type="dxa"/>
            <w:vAlign w:val="center"/>
          </w:tcPr>
          <w:p w14:paraId="6FCC839C">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c>
          <w:tcPr>
            <w:tcW w:w="8329" w:type="dxa"/>
            <w:vAlign w:val="center"/>
          </w:tcPr>
          <w:p w14:paraId="576C4D1D">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312" w:lineRule="auto"/>
              <w:ind w:left="0" w:leftChars="0" w:right="0" w:rightChars="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未被“信用中国”（www.creditchina.gov.cn）、中国政府采购网（www.ccgp.gov.cn）列入失信被执行人、重大税收违法案件当事人名单、政府采购严重违法失信行为记录名单的截图；</w:t>
            </w:r>
          </w:p>
        </w:tc>
      </w:tr>
      <w:tr w14:paraId="53453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9" w:type="dxa"/>
            <w:vAlign w:val="center"/>
          </w:tcPr>
          <w:p w14:paraId="5A717C6F">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p>
        </w:tc>
        <w:tc>
          <w:tcPr>
            <w:tcW w:w="8329" w:type="dxa"/>
            <w:vAlign w:val="center"/>
          </w:tcPr>
          <w:p w14:paraId="1BB7333E">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0" w:beforeAutospacing="0" w:after="0" w:afterAutospacing="0" w:line="312" w:lineRule="auto"/>
              <w:ind w:left="0" w:leftChars="0" w:right="0" w:rightChars="0"/>
              <w:textAlignment w:val="auto"/>
              <w:outlineLvl w:val="9"/>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本项目不接受联合体投标</w:t>
            </w:r>
          </w:p>
        </w:tc>
      </w:tr>
      <w:tr w14:paraId="5B50E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9" w:type="dxa"/>
            <w:shd w:val="clear" w:color="auto" w:fill="auto"/>
            <w:vAlign w:val="center"/>
          </w:tcPr>
          <w:p w14:paraId="20837D15">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结论</w:t>
            </w:r>
          </w:p>
        </w:tc>
        <w:tc>
          <w:tcPr>
            <w:tcW w:w="8329" w:type="dxa"/>
            <w:shd w:val="clear" w:color="auto" w:fill="auto"/>
            <w:vAlign w:val="center"/>
          </w:tcPr>
          <w:p w14:paraId="1A01FBE9">
            <w:pPr>
              <w:pStyle w:val="43"/>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firstLine="0" w:firstLineChars="0"/>
              <w:textAlignment w:val="auto"/>
              <w:outlineLvl w:val="9"/>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rPr>
              <w:t>是否实质性响应</w:t>
            </w:r>
            <w:r>
              <w:rPr>
                <w:rFonts w:hint="eastAsia" w:ascii="宋体" w:hAnsi="宋体" w:cs="宋体"/>
                <w:color w:val="auto"/>
                <w:sz w:val="24"/>
                <w:szCs w:val="24"/>
                <w:highlight w:val="none"/>
                <w:lang w:val="en-US" w:eastAsia="zh-CN"/>
              </w:rPr>
              <w:t>招标文件</w:t>
            </w:r>
          </w:p>
        </w:tc>
      </w:tr>
    </w:tbl>
    <w:p w14:paraId="1FAF4E08">
      <w:pPr>
        <w:tabs>
          <w:tab w:val="left" w:pos="5527"/>
        </w:tabs>
        <w:adjustRightInd w:val="0"/>
        <w:snapToGrid w:val="0"/>
        <w:spacing w:line="360" w:lineRule="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备注：如有一项未通过，采购人将认定整个</w:t>
      </w:r>
      <w:r>
        <w:rPr>
          <w:rFonts w:hint="eastAsia" w:ascii="宋体" w:hAnsi="宋体" w:eastAsia="宋体" w:cs="宋体"/>
          <w:b/>
          <w:color w:val="auto"/>
          <w:sz w:val="24"/>
          <w:szCs w:val="24"/>
          <w:highlight w:val="none"/>
          <w:lang w:eastAsia="zh-CN"/>
        </w:rPr>
        <w:t>投标文件</w:t>
      </w:r>
      <w:r>
        <w:rPr>
          <w:rFonts w:hint="eastAsia" w:ascii="宋体" w:hAnsi="宋体" w:eastAsia="宋体" w:cs="宋体"/>
          <w:b/>
          <w:color w:val="auto"/>
          <w:sz w:val="24"/>
          <w:szCs w:val="24"/>
          <w:highlight w:val="none"/>
        </w:rPr>
        <w:t>未响应</w:t>
      </w:r>
      <w:r>
        <w:rPr>
          <w:rFonts w:hint="eastAsia" w:ascii="宋体" w:hAnsi="宋体" w:eastAsia="宋体" w:cs="宋体"/>
          <w:b/>
          <w:color w:val="auto"/>
          <w:sz w:val="24"/>
          <w:szCs w:val="24"/>
          <w:highlight w:val="none"/>
          <w:lang w:eastAsia="zh-CN"/>
        </w:rPr>
        <w:t>公开招标</w:t>
      </w:r>
      <w:r>
        <w:rPr>
          <w:rFonts w:hint="eastAsia" w:ascii="宋体" w:hAnsi="宋体" w:eastAsia="宋体" w:cs="宋体"/>
          <w:b/>
          <w:color w:val="auto"/>
          <w:sz w:val="24"/>
          <w:szCs w:val="24"/>
          <w:highlight w:val="none"/>
        </w:rPr>
        <w:t>文件而予以废标处理。</w:t>
      </w:r>
    </w:p>
    <w:p w14:paraId="1D1A08E0">
      <w:pPr>
        <w:rPr>
          <w:rFonts w:hint="default"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rPr>
        <w:br w:type="page"/>
      </w:r>
    </w:p>
    <w:p w14:paraId="0BBFC3D5">
      <w:pPr>
        <w:tabs>
          <w:tab w:val="left" w:pos="5527"/>
        </w:tabs>
        <w:adjustRightInd w:val="0"/>
        <w:snapToGrid w:val="0"/>
        <w:spacing w:line="360" w:lineRule="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附表</w:t>
      </w:r>
      <w:r>
        <w:rPr>
          <w:rFonts w:hint="eastAsia" w:ascii="宋体" w:hAnsi="宋体" w:eastAsia="宋体" w:cs="宋体"/>
          <w:b/>
          <w:color w:val="auto"/>
          <w:sz w:val="24"/>
          <w:szCs w:val="24"/>
          <w:highlight w:val="none"/>
          <w:lang w:val="en-US" w:eastAsia="zh-CN"/>
        </w:rPr>
        <w:t>二</w:t>
      </w:r>
      <w:r>
        <w:rPr>
          <w:rFonts w:hint="eastAsia" w:ascii="宋体" w:hAnsi="宋体" w:eastAsia="宋体" w:cs="宋体"/>
          <w:b/>
          <w:color w:val="auto"/>
          <w:sz w:val="24"/>
          <w:szCs w:val="24"/>
          <w:highlight w:val="none"/>
        </w:rPr>
        <w:t>：</w:t>
      </w:r>
    </w:p>
    <w:p w14:paraId="69E3E0AE">
      <w:pPr>
        <w:tabs>
          <w:tab w:val="left" w:pos="5527"/>
        </w:tabs>
        <w:adjustRightInd w:val="0"/>
        <w:snapToGrid w:val="0"/>
        <w:spacing w:line="360" w:lineRule="auto"/>
        <w:jc w:val="center"/>
        <w:outlineLvl w:val="3"/>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符合性审查表</w:t>
      </w:r>
    </w:p>
    <w:tbl>
      <w:tblPr>
        <w:tblStyle w:val="27"/>
        <w:tblW w:w="91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8039"/>
      </w:tblGrid>
      <w:tr w14:paraId="4597E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86" w:type="dxa"/>
            <w:vAlign w:val="center"/>
          </w:tcPr>
          <w:p w14:paraId="56775A64">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039" w:type="dxa"/>
            <w:vAlign w:val="center"/>
          </w:tcPr>
          <w:p w14:paraId="207F561F">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评审内容</w:t>
            </w:r>
          </w:p>
        </w:tc>
      </w:tr>
      <w:tr w14:paraId="0A1DC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2" w:hRule="atLeast"/>
          <w:jc w:val="center"/>
        </w:trPr>
        <w:tc>
          <w:tcPr>
            <w:tcW w:w="1086" w:type="dxa"/>
            <w:vAlign w:val="center"/>
          </w:tcPr>
          <w:p w14:paraId="0A07AC9E">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039" w:type="dxa"/>
            <w:vAlign w:val="center"/>
          </w:tcPr>
          <w:p w14:paraId="3CDB946F">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是否满足项目的</w:t>
            </w:r>
            <w:r>
              <w:rPr>
                <w:rFonts w:hint="eastAsia" w:ascii="宋体" w:hAnsi="宋体" w:eastAsia="宋体" w:cs="宋体"/>
                <w:color w:val="auto"/>
                <w:sz w:val="24"/>
                <w:szCs w:val="24"/>
                <w:highlight w:val="none"/>
                <w:lang w:val="en-US" w:eastAsia="zh-CN"/>
              </w:rPr>
              <w:t>合同履行期限（供货期限）</w:t>
            </w:r>
            <w:r>
              <w:rPr>
                <w:rFonts w:hint="eastAsia" w:ascii="宋体" w:hAnsi="宋体" w:eastAsia="宋体" w:cs="宋体"/>
                <w:color w:val="auto"/>
                <w:sz w:val="24"/>
                <w:szCs w:val="24"/>
                <w:highlight w:val="none"/>
              </w:rPr>
              <w:t>要求</w:t>
            </w:r>
          </w:p>
        </w:tc>
      </w:tr>
      <w:tr w14:paraId="449EC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2" w:hRule="atLeast"/>
          <w:jc w:val="center"/>
        </w:trPr>
        <w:tc>
          <w:tcPr>
            <w:tcW w:w="1086" w:type="dxa"/>
            <w:shd w:val="clear" w:color="auto" w:fill="auto"/>
            <w:vAlign w:val="center"/>
          </w:tcPr>
          <w:p w14:paraId="77D0F6BF">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2</w:t>
            </w:r>
          </w:p>
        </w:tc>
        <w:tc>
          <w:tcPr>
            <w:tcW w:w="8039" w:type="dxa"/>
            <w:vAlign w:val="center"/>
          </w:tcPr>
          <w:p w14:paraId="0ECF6C4A">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所供</w:t>
            </w:r>
            <w:r>
              <w:rPr>
                <w:rFonts w:hint="eastAsia" w:ascii="宋体" w:hAnsi="宋体" w:cs="宋体"/>
                <w:color w:val="auto"/>
                <w:sz w:val="24"/>
                <w:szCs w:val="24"/>
                <w:highlight w:val="none"/>
                <w:lang w:val="en-US" w:eastAsia="zh-CN"/>
              </w:rPr>
              <w:t>产品中有</w:t>
            </w:r>
            <w:r>
              <w:rPr>
                <w:rFonts w:hint="eastAsia" w:ascii="宋体" w:hAnsi="宋体" w:eastAsia="宋体" w:cs="宋体"/>
                <w:color w:val="auto"/>
                <w:sz w:val="24"/>
                <w:szCs w:val="24"/>
                <w:highlight w:val="none"/>
                <w:lang w:val="en-US" w:eastAsia="zh-CN"/>
              </w:rPr>
              <w:t>“政府采购强制节能产品”</w:t>
            </w:r>
            <w:r>
              <w:rPr>
                <w:rFonts w:hint="eastAsia" w:ascii="宋体" w:hAnsi="宋体" w:cs="宋体"/>
                <w:color w:val="auto"/>
                <w:sz w:val="24"/>
                <w:szCs w:val="24"/>
                <w:highlight w:val="none"/>
                <w:lang w:val="en-US" w:eastAsia="zh-CN"/>
              </w:rPr>
              <w:t>的</w:t>
            </w:r>
            <w:r>
              <w:rPr>
                <w:rFonts w:hint="eastAsia" w:ascii="宋体" w:hAnsi="宋体" w:eastAsia="宋体" w:cs="宋体"/>
                <w:color w:val="auto"/>
                <w:sz w:val="24"/>
                <w:szCs w:val="24"/>
                <w:highlight w:val="none"/>
                <w:lang w:val="en-US" w:eastAsia="zh-CN"/>
              </w:rPr>
              <w:t>，需提供国家认可的节能产品认证证书扫描件或中国政府采购网--节能认证查询截图</w:t>
            </w:r>
          </w:p>
        </w:tc>
      </w:tr>
      <w:tr w14:paraId="21C45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86" w:type="dxa"/>
            <w:shd w:val="clear" w:color="auto" w:fill="auto"/>
            <w:vAlign w:val="center"/>
          </w:tcPr>
          <w:p w14:paraId="6D4DA81A">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3</w:t>
            </w:r>
          </w:p>
        </w:tc>
        <w:tc>
          <w:tcPr>
            <w:tcW w:w="8039" w:type="dxa"/>
            <w:shd w:val="clear" w:color="auto" w:fill="auto"/>
            <w:vAlign w:val="center"/>
          </w:tcPr>
          <w:p w14:paraId="2B3858E4">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是否符合</w:t>
            </w:r>
            <w:r>
              <w:rPr>
                <w:rFonts w:hint="eastAsia" w:ascii="宋体" w:hAnsi="宋体" w:eastAsia="宋体" w:cs="宋体"/>
                <w:color w:val="auto"/>
                <w:sz w:val="24"/>
                <w:szCs w:val="24"/>
                <w:highlight w:val="none"/>
                <w:lang w:val="en-US" w:eastAsia="zh-CN"/>
              </w:rPr>
              <w:t>招</w:t>
            </w:r>
            <w:r>
              <w:rPr>
                <w:rFonts w:hint="eastAsia" w:ascii="宋体" w:hAnsi="宋体" w:eastAsia="宋体" w:cs="宋体"/>
                <w:color w:val="auto"/>
                <w:sz w:val="24"/>
                <w:szCs w:val="24"/>
                <w:highlight w:val="none"/>
                <w:lang w:eastAsia="zh-CN"/>
              </w:rPr>
              <w:t>标</w:t>
            </w:r>
            <w:r>
              <w:rPr>
                <w:rFonts w:hint="eastAsia" w:ascii="宋体" w:hAnsi="宋体" w:eastAsia="宋体" w:cs="宋体"/>
                <w:color w:val="auto"/>
                <w:sz w:val="24"/>
                <w:szCs w:val="24"/>
                <w:highlight w:val="none"/>
              </w:rPr>
              <w:t>文件的签署盖章要求</w:t>
            </w:r>
          </w:p>
        </w:tc>
      </w:tr>
      <w:tr w14:paraId="10F1E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86" w:type="dxa"/>
            <w:shd w:val="clear" w:color="auto" w:fill="auto"/>
            <w:vAlign w:val="center"/>
          </w:tcPr>
          <w:p w14:paraId="1AAC742E">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4</w:t>
            </w:r>
          </w:p>
        </w:tc>
        <w:tc>
          <w:tcPr>
            <w:tcW w:w="8039" w:type="dxa"/>
            <w:shd w:val="clear" w:color="auto" w:fill="auto"/>
            <w:vAlign w:val="center"/>
          </w:tcPr>
          <w:p w14:paraId="1EB418D7">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有效期是否为90天</w:t>
            </w:r>
          </w:p>
        </w:tc>
      </w:tr>
      <w:tr w14:paraId="1768F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86" w:type="dxa"/>
            <w:shd w:val="clear" w:color="auto" w:fill="auto"/>
            <w:vAlign w:val="center"/>
          </w:tcPr>
          <w:p w14:paraId="6C761E45">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5</w:t>
            </w:r>
          </w:p>
        </w:tc>
        <w:tc>
          <w:tcPr>
            <w:tcW w:w="8039" w:type="dxa"/>
            <w:shd w:val="clear" w:color="auto" w:fill="auto"/>
            <w:vAlign w:val="center"/>
          </w:tcPr>
          <w:p w14:paraId="49267359">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报价是否固定唯一，且各报价没有超过最高限价</w:t>
            </w:r>
          </w:p>
        </w:tc>
      </w:tr>
      <w:tr w14:paraId="471EA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1086" w:type="dxa"/>
            <w:shd w:val="clear" w:color="auto" w:fill="auto"/>
            <w:vAlign w:val="center"/>
          </w:tcPr>
          <w:p w14:paraId="142946E5">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8039" w:type="dxa"/>
            <w:shd w:val="clear" w:color="auto" w:fill="auto"/>
            <w:vAlign w:val="center"/>
          </w:tcPr>
          <w:p w14:paraId="0A4976DD">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是否满足项目的</w:t>
            </w:r>
            <w:r>
              <w:rPr>
                <w:rFonts w:hint="eastAsia" w:ascii="宋体" w:hAnsi="宋体" w:cs="宋体"/>
                <w:color w:val="auto"/>
                <w:sz w:val="24"/>
                <w:szCs w:val="24"/>
                <w:highlight w:val="none"/>
                <w:lang w:val="en-US" w:eastAsia="zh-CN"/>
              </w:rPr>
              <w:t>质保期</w:t>
            </w:r>
            <w:r>
              <w:rPr>
                <w:rFonts w:hint="eastAsia" w:ascii="宋体" w:hAnsi="宋体" w:eastAsia="宋体" w:cs="宋体"/>
                <w:color w:val="auto"/>
                <w:sz w:val="24"/>
                <w:szCs w:val="24"/>
                <w:highlight w:val="none"/>
              </w:rPr>
              <w:t>要求</w:t>
            </w:r>
          </w:p>
        </w:tc>
      </w:tr>
      <w:tr w14:paraId="4A119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86" w:type="dxa"/>
            <w:shd w:val="clear" w:color="auto" w:fill="auto"/>
            <w:vAlign w:val="center"/>
          </w:tcPr>
          <w:p w14:paraId="613D3232">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7</w:t>
            </w:r>
          </w:p>
        </w:tc>
        <w:tc>
          <w:tcPr>
            <w:tcW w:w="8039" w:type="dxa"/>
            <w:shd w:val="clear" w:color="auto" w:fill="auto"/>
            <w:vAlign w:val="center"/>
          </w:tcPr>
          <w:p w14:paraId="2C9CC212">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1"/>
                <w:sz w:val="24"/>
                <w:szCs w:val="24"/>
                <w:highlight w:val="none"/>
                <w:lang w:eastAsia="zh-CN"/>
              </w:rPr>
              <w:t>投标文件</w:t>
            </w:r>
            <w:r>
              <w:rPr>
                <w:rFonts w:hint="eastAsia" w:ascii="宋体" w:hAnsi="宋体" w:eastAsia="宋体" w:cs="宋体"/>
                <w:color w:val="auto"/>
                <w:kern w:val="1"/>
                <w:sz w:val="24"/>
                <w:szCs w:val="24"/>
                <w:highlight w:val="none"/>
              </w:rPr>
              <w:t>是否满足采购人需求的要求，</w:t>
            </w:r>
            <w:r>
              <w:rPr>
                <w:rFonts w:hint="eastAsia" w:ascii="宋体" w:hAnsi="宋体" w:eastAsia="宋体" w:cs="宋体"/>
                <w:color w:val="auto"/>
                <w:sz w:val="24"/>
                <w:szCs w:val="24"/>
                <w:highlight w:val="none"/>
              </w:rPr>
              <w:t>且没有重大偏离</w:t>
            </w:r>
          </w:p>
        </w:tc>
      </w:tr>
      <w:tr w14:paraId="0EA28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86" w:type="dxa"/>
            <w:shd w:val="clear" w:color="auto" w:fill="auto"/>
            <w:vAlign w:val="center"/>
          </w:tcPr>
          <w:p w14:paraId="4908E1CC">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8</w:t>
            </w:r>
          </w:p>
        </w:tc>
        <w:tc>
          <w:tcPr>
            <w:tcW w:w="8039" w:type="dxa"/>
            <w:shd w:val="clear" w:color="auto" w:fill="auto"/>
            <w:vAlign w:val="center"/>
          </w:tcPr>
          <w:p w14:paraId="04FCBD99">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没有其他</w:t>
            </w:r>
            <w:r>
              <w:rPr>
                <w:rFonts w:hint="eastAsia" w:ascii="宋体" w:hAnsi="宋体" w:eastAsia="宋体" w:cs="宋体"/>
                <w:color w:val="auto"/>
                <w:sz w:val="24"/>
                <w:szCs w:val="24"/>
                <w:highlight w:val="none"/>
              </w:rPr>
              <w:t>未实质性响应</w:t>
            </w:r>
            <w:r>
              <w:rPr>
                <w:rFonts w:hint="eastAsia" w:ascii="宋体" w:hAnsi="宋体" w:cs="宋体"/>
                <w:color w:val="auto"/>
                <w:sz w:val="24"/>
                <w:szCs w:val="24"/>
                <w:highlight w:val="none"/>
                <w:lang w:val="en-US" w:eastAsia="zh-CN"/>
              </w:rPr>
              <w:t>招</w:t>
            </w:r>
            <w:r>
              <w:rPr>
                <w:rFonts w:hint="eastAsia" w:ascii="宋体" w:hAnsi="宋体" w:eastAsia="宋体" w:cs="宋体"/>
                <w:color w:val="auto"/>
                <w:sz w:val="24"/>
                <w:szCs w:val="24"/>
                <w:highlight w:val="none"/>
                <w:lang w:eastAsia="zh-CN"/>
              </w:rPr>
              <w:t>标</w:t>
            </w:r>
            <w:r>
              <w:rPr>
                <w:rFonts w:hint="eastAsia" w:ascii="宋体" w:hAnsi="宋体" w:eastAsia="宋体" w:cs="宋体"/>
                <w:color w:val="auto"/>
                <w:sz w:val="24"/>
                <w:szCs w:val="24"/>
                <w:highlight w:val="none"/>
              </w:rPr>
              <w:t>文件的要求</w:t>
            </w:r>
          </w:p>
        </w:tc>
      </w:tr>
      <w:tr w14:paraId="02735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86" w:type="dxa"/>
            <w:vAlign w:val="center"/>
          </w:tcPr>
          <w:p w14:paraId="3ADA37E3">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right="0"/>
              <w:jc w:val="center"/>
              <w:textAlignment w:val="auto"/>
              <w:outlineLvl w:val="9"/>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9</w:t>
            </w:r>
          </w:p>
        </w:tc>
        <w:tc>
          <w:tcPr>
            <w:tcW w:w="8039" w:type="dxa"/>
            <w:shd w:val="clear" w:color="auto" w:fill="auto"/>
            <w:vAlign w:val="center"/>
          </w:tcPr>
          <w:p w14:paraId="0F1552A4">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是否按照招标文件规定投标文件编制的要求</w:t>
            </w:r>
          </w:p>
        </w:tc>
      </w:tr>
      <w:tr w14:paraId="0AE47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86" w:type="dxa"/>
            <w:shd w:val="clear" w:color="auto" w:fill="auto"/>
            <w:vAlign w:val="center"/>
          </w:tcPr>
          <w:p w14:paraId="373A233D">
            <w:pPr>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结论</w:t>
            </w:r>
          </w:p>
        </w:tc>
        <w:tc>
          <w:tcPr>
            <w:tcW w:w="8039" w:type="dxa"/>
            <w:shd w:val="clear" w:color="auto" w:fill="auto"/>
            <w:vAlign w:val="center"/>
          </w:tcPr>
          <w:p w14:paraId="2D46E960">
            <w:pPr>
              <w:pStyle w:val="43"/>
              <w:keepNext w:val="0"/>
              <w:keepLines w:val="0"/>
              <w:pageBreakBefore w:val="0"/>
              <w:widowControl w:val="0"/>
              <w:suppressLineNumbers w:val="0"/>
              <w:tabs>
                <w:tab w:val="left" w:pos="5527"/>
              </w:tabs>
              <w:kinsoku/>
              <w:wordWrap/>
              <w:overflowPunct/>
              <w:topLinePunct w:val="0"/>
              <w:bidi w:val="0"/>
              <w:adjustRightInd/>
              <w:snapToGrid/>
              <w:spacing w:before="0" w:beforeAutospacing="0" w:after="0" w:afterAutospacing="0" w:line="240" w:lineRule="auto"/>
              <w:ind w:left="0" w:leftChars="0" w:right="0" w:rightChars="0" w:firstLine="0" w:firstLineChars="0"/>
              <w:textAlignment w:val="auto"/>
              <w:outlineLvl w:val="9"/>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sz w:val="24"/>
                <w:szCs w:val="24"/>
                <w:highlight w:val="none"/>
              </w:rPr>
              <w:t>是否实质性响应</w:t>
            </w:r>
            <w:r>
              <w:rPr>
                <w:rFonts w:hint="eastAsia" w:ascii="宋体" w:hAnsi="宋体" w:cs="宋体"/>
                <w:color w:val="auto"/>
                <w:sz w:val="24"/>
                <w:szCs w:val="24"/>
                <w:highlight w:val="none"/>
                <w:lang w:val="en-US" w:eastAsia="zh-CN"/>
              </w:rPr>
              <w:t>招</w:t>
            </w:r>
            <w:r>
              <w:rPr>
                <w:rFonts w:hint="eastAsia" w:ascii="宋体" w:hAnsi="宋体" w:eastAsia="宋体" w:cs="宋体"/>
                <w:color w:val="auto"/>
                <w:sz w:val="24"/>
                <w:szCs w:val="24"/>
                <w:highlight w:val="none"/>
                <w:lang w:eastAsia="zh-CN"/>
              </w:rPr>
              <w:t>标</w:t>
            </w:r>
            <w:r>
              <w:rPr>
                <w:rFonts w:hint="eastAsia" w:ascii="宋体" w:hAnsi="宋体" w:eastAsia="宋体" w:cs="宋体"/>
                <w:color w:val="auto"/>
                <w:sz w:val="24"/>
                <w:szCs w:val="24"/>
                <w:highlight w:val="none"/>
              </w:rPr>
              <w:t>文件</w:t>
            </w:r>
          </w:p>
        </w:tc>
      </w:tr>
    </w:tbl>
    <w:p w14:paraId="7219BD11">
      <w:pPr>
        <w:tabs>
          <w:tab w:val="left" w:pos="5527"/>
        </w:tabs>
        <w:spacing w:line="360" w:lineRule="auto"/>
        <w:ind w:firstLine="484" w:firstLineChars="200"/>
        <w:jc w:val="both"/>
        <w:outlineLvl w:val="9"/>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备注：如有一项未通过，</w:t>
      </w:r>
      <w:r>
        <w:rPr>
          <w:rFonts w:hint="eastAsia" w:ascii="宋体" w:hAnsi="宋体" w:eastAsia="宋体" w:cs="宋体"/>
          <w:b/>
          <w:color w:val="auto"/>
          <w:sz w:val="24"/>
          <w:szCs w:val="24"/>
          <w:highlight w:val="none"/>
          <w:lang w:eastAsia="zh-CN"/>
        </w:rPr>
        <w:t>评标小组</w:t>
      </w:r>
      <w:r>
        <w:rPr>
          <w:rFonts w:hint="eastAsia" w:ascii="宋体" w:hAnsi="宋体" w:eastAsia="宋体" w:cs="宋体"/>
          <w:b/>
          <w:color w:val="auto"/>
          <w:sz w:val="24"/>
          <w:szCs w:val="24"/>
          <w:highlight w:val="none"/>
        </w:rPr>
        <w:t>将认定整个</w:t>
      </w:r>
      <w:r>
        <w:rPr>
          <w:rFonts w:hint="eastAsia" w:ascii="宋体" w:hAnsi="宋体" w:eastAsia="宋体" w:cs="宋体"/>
          <w:b/>
          <w:color w:val="auto"/>
          <w:sz w:val="24"/>
          <w:szCs w:val="24"/>
          <w:highlight w:val="none"/>
          <w:lang w:val="en-US" w:eastAsia="zh-CN"/>
        </w:rPr>
        <w:t>投标文件</w:t>
      </w:r>
      <w:r>
        <w:rPr>
          <w:rFonts w:hint="eastAsia" w:ascii="宋体" w:hAnsi="宋体" w:eastAsia="宋体" w:cs="宋体"/>
          <w:b/>
          <w:color w:val="auto"/>
          <w:sz w:val="24"/>
          <w:szCs w:val="24"/>
          <w:highlight w:val="none"/>
        </w:rPr>
        <w:t>未响应</w:t>
      </w:r>
      <w:r>
        <w:rPr>
          <w:rFonts w:hint="eastAsia" w:ascii="宋体" w:hAnsi="宋体" w:eastAsia="宋体" w:cs="宋体"/>
          <w:b/>
          <w:color w:val="auto"/>
          <w:sz w:val="24"/>
          <w:szCs w:val="24"/>
          <w:highlight w:val="none"/>
          <w:lang w:val="en-US" w:eastAsia="zh-CN"/>
        </w:rPr>
        <w:t>公开招标</w:t>
      </w:r>
      <w:r>
        <w:rPr>
          <w:rFonts w:hint="eastAsia" w:ascii="宋体" w:hAnsi="宋体" w:eastAsia="宋体" w:cs="宋体"/>
          <w:b/>
          <w:color w:val="auto"/>
          <w:sz w:val="24"/>
          <w:szCs w:val="24"/>
          <w:highlight w:val="none"/>
        </w:rPr>
        <w:t>文件而予以废标处理。</w:t>
      </w:r>
    </w:p>
    <w:p w14:paraId="19313B3B">
      <w:pPr>
        <w:tabs>
          <w:tab w:val="left" w:pos="5527"/>
        </w:tabs>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br w:type="page"/>
      </w:r>
    </w:p>
    <w:p w14:paraId="327D7A6B">
      <w:pPr>
        <w:tabs>
          <w:tab w:val="left" w:pos="5527"/>
        </w:tabs>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附表</w:t>
      </w:r>
      <w:r>
        <w:rPr>
          <w:rFonts w:hint="eastAsia" w:ascii="宋体" w:hAnsi="宋体" w:eastAsia="宋体" w:cs="宋体"/>
          <w:b/>
          <w:bCs/>
          <w:color w:val="auto"/>
          <w:sz w:val="24"/>
          <w:szCs w:val="24"/>
          <w:highlight w:val="none"/>
          <w:lang w:val="en-US" w:eastAsia="zh-CN"/>
        </w:rPr>
        <w:t>三</w:t>
      </w:r>
      <w:r>
        <w:rPr>
          <w:rFonts w:hint="eastAsia" w:ascii="宋体" w:hAnsi="宋体" w:eastAsia="宋体" w:cs="宋体"/>
          <w:b/>
          <w:bCs/>
          <w:color w:val="auto"/>
          <w:sz w:val="24"/>
          <w:szCs w:val="24"/>
          <w:highlight w:val="none"/>
        </w:rPr>
        <w:t>：</w:t>
      </w:r>
    </w:p>
    <w:bookmarkEnd w:id="156"/>
    <w:bookmarkEnd w:id="157"/>
    <w:bookmarkEnd w:id="158"/>
    <w:p w14:paraId="0D890E97">
      <w:pPr>
        <w:keepNext w:val="0"/>
        <w:keepLines w:val="0"/>
        <w:pageBreakBefore w:val="0"/>
        <w:widowControl w:val="0"/>
        <w:tabs>
          <w:tab w:val="left" w:pos="5527"/>
        </w:tabs>
        <w:kinsoku/>
        <w:wordWrap/>
        <w:overflowPunct/>
        <w:topLinePunct w:val="0"/>
        <w:autoSpaceDE/>
        <w:autoSpaceDN/>
        <w:bidi w:val="0"/>
        <w:adjustRightInd/>
        <w:snapToGrid/>
        <w:spacing w:line="400" w:lineRule="exact"/>
        <w:jc w:val="center"/>
        <w:textAlignment w:val="auto"/>
        <w:outlineLvl w:val="3"/>
        <w:rPr>
          <w:rFonts w:hint="eastAsia" w:ascii="宋体" w:hAnsi="宋体" w:eastAsia="宋体" w:cs="宋体"/>
          <w:b/>
          <w:color w:val="auto"/>
          <w:sz w:val="28"/>
          <w:szCs w:val="28"/>
          <w:highlight w:val="none"/>
        </w:rPr>
      </w:pPr>
      <w:r>
        <w:rPr>
          <w:rFonts w:hint="eastAsia" w:ascii="宋体" w:hAnsi="宋体" w:cs="宋体"/>
          <w:b/>
          <w:color w:val="auto"/>
          <w:sz w:val="28"/>
          <w:szCs w:val="28"/>
          <w:highlight w:val="none"/>
          <w:lang w:val="en-US" w:eastAsia="zh-CN"/>
        </w:rPr>
        <w:t>详细</w:t>
      </w:r>
      <w:r>
        <w:rPr>
          <w:rFonts w:hint="eastAsia" w:ascii="宋体" w:hAnsi="宋体" w:eastAsia="宋体" w:cs="宋体"/>
          <w:b/>
          <w:color w:val="auto"/>
          <w:sz w:val="28"/>
          <w:szCs w:val="28"/>
          <w:highlight w:val="none"/>
        </w:rPr>
        <w:t>评审标准</w:t>
      </w:r>
    </w:p>
    <w:tbl>
      <w:tblPr>
        <w:tblStyle w:val="27"/>
        <w:tblW w:w="104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00"/>
        <w:gridCol w:w="1271"/>
        <w:gridCol w:w="7739"/>
        <w:gridCol w:w="661"/>
      </w:tblGrid>
      <w:tr w14:paraId="129FE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3" w:hRule="atLeast"/>
          <w:jc w:val="center"/>
        </w:trPr>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E5A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593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评分因素</w:t>
            </w:r>
          </w:p>
        </w:tc>
        <w:tc>
          <w:tcPr>
            <w:tcW w:w="7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169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评审内容</w:t>
            </w: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A22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分值</w:t>
            </w:r>
          </w:p>
        </w:tc>
      </w:tr>
      <w:tr w14:paraId="701AD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jc w:val="center"/>
        </w:trPr>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CC7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1</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330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投标报价</w:t>
            </w:r>
          </w:p>
        </w:tc>
        <w:tc>
          <w:tcPr>
            <w:tcW w:w="7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D299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在满足招标文件要求的前提下，取各供应商有效报价的最低价作为评标基准价,满分为</w:t>
            </w:r>
            <w:r>
              <w:rPr>
                <w:rFonts w:hint="eastAsia" w:ascii="宋体" w:hAnsi="宋体" w:cs="宋体"/>
                <w:i w:val="0"/>
                <w:iCs w:val="0"/>
                <w:color w:val="auto"/>
                <w:kern w:val="0"/>
                <w:sz w:val="21"/>
                <w:szCs w:val="21"/>
                <w:highlight w:val="none"/>
                <w:u w:val="none"/>
                <w:lang w:val="en-US" w:eastAsia="zh-CN" w:bidi="ar"/>
              </w:rPr>
              <w:t>4</w:t>
            </w:r>
            <w:r>
              <w:rPr>
                <w:rFonts w:hint="eastAsia" w:ascii="宋体" w:hAnsi="宋体" w:eastAsia="宋体" w:cs="宋体"/>
                <w:i w:val="0"/>
                <w:iCs w:val="0"/>
                <w:color w:val="auto"/>
                <w:kern w:val="0"/>
                <w:sz w:val="21"/>
                <w:szCs w:val="21"/>
                <w:highlight w:val="none"/>
                <w:u w:val="none"/>
                <w:lang w:val="en-US" w:eastAsia="zh-CN" w:bidi="ar"/>
              </w:rPr>
              <w:t>0分；价格分的计算：投标报价得分=(评标基准价／投标报价)×分值（保留小数点后二位数）</w:t>
            </w: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6EB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4</w:t>
            </w:r>
            <w:r>
              <w:rPr>
                <w:rFonts w:hint="eastAsia" w:ascii="宋体" w:hAnsi="宋体" w:eastAsia="宋体" w:cs="宋体"/>
                <w:i w:val="0"/>
                <w:iCs w:val="0"/>
                <w:color w:val="auto"/>
                <w:kern w:val="0"/>
                <w:sz w:val="21"/>
                <w:szCs w:val="21"/>
                <w:highlight w:val="none"/>
                <w:u w:val="none"/>
                <w:lang w:val="en-US" w:eastAsia="zh-CN" w:bidi="ar"/>
              </w:rPr>
              <w:t>0</w:t>
            </w:r>
          </w:p>
        </w:tc>
      </w:tr>
      <w:tr w14:paraId="0CA9D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9" w:hRule="atLeast"/>
          <w:jc w:val="center"/>
        </w:trPr>
        <w:tc>
          <w:tcPr>
            <w:tcW w:w="800" w:type="dxa"/>
            <w:tcBorders>
              <w:top w:val="single" w:color="auto" w:sz="4" w:space="0"/>
              <w:left w:val="single" w:color="000000" w:sz="4" w:space="0"/>
              <w:right w:val="single" w:color="000000" w:sz="4" w:space="0"/>
            </w:tcBorders>
            <w:shd w:val="clear" w:color="auto" w:fill="auto"/>
            <w:vAlign w:val="center"/>
          </w:tcPr>
          <w:p w14:paraId="105084B2">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w:t>
            </w:r>
          </w:p>
        </w:tc>
        <w:tc>
          <w:tcPr>
            <w:tcW w:w="1271" w:type="dxa"/>
            <w:tcBorders>
              <w:top w:val="single" w:color="auto" w:sz="4" w:space="0"/>
              <w:left w:val="single" w:color="000000" w:sz="4" w:space="0"/>
              <w:right w:val="single" w:color="000000" w:sz="4" w:space="0"/>
            </w:tcBorders>
            <w:shd w:val="clear" w:color="auto" w:fill="auto"/>
            <w:vAlign w:val="center"/>
          </w:tcPr>
          <w:p w14:paraId="78F760A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技术指标响应程度</w:t>
            </w:r>
          </w:p>
        </w:tc>
        <w:tc>
          <w:tcPr>
            <w:tcW w:w="7739" w:type="dxa"/>
            <w:tcBorders>
              <w:top w:val="single" w:color="auto" w:sz="4" w:space="0"/>
              <w:left w:val="single" w:color="000000" w:sz="4" w:space="0"/>
              <w:right w:val="single" w:color="000000" w:sz="4" w:space="0"/>
            </w:tcBorders>
            <w:shd w:val="clear" w:color="auto" w:fill="auto"/>
            <w:vAlign w:val="center"/>
          </w:tcPr>
          <w:p w14:paraId="67D6C75A">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根据所投产品的配置与性能指标响应程度打分。完全满足招标要求的得1</w:t>
            </w:r>
            <w:r>
              <w:rPr>
                <w:rFonts w:hint="eastAsia" w:ascii="宋体" w:hAnsi="宋体" w:cs="宋体"/>
                <w:i w:val="0"/>
                <w:iCs w:val="0"/>
                <w:color w:val="auto"/>
                <w:kern w:val="0"/>
                <w:sz w:val="21"/>
                <w:szCs w:val="21"/>
                <w:highlight w:val="none"/>
                <w:u w:val="none"/>
                <w:lang w:val="en-US" w:eastAsia="zh-CN" w:bidi="ar"/>
              </w:rPr>
              <w:t>6</w:t>
            </w:r>
            <w:r>
              <w:rPr>
                <w:rFonts w:hint="eastAsia" w:ascii="宋体" w:hAnsi="宋体" w:eastAsia="宋体" w:cs="宋体"/>
                <w:i w:val="0"/>
                <w:iCs w:val="0"/>
                <w:color w:val="auto"/>
                <w:kern w:val="0"/>
                <w:sz w:val="21"/>
                <w:szCs w:val="21"/>
                <w:highlight w:val="none"/>
                <w:u w:val="none"/>
                <w:lang w:val="en-US" w:eastAsia="zh-CN" w:bidi="ar"/>
              </w:rPr>
              <w:t>分；</w:t>
            </w:r>
            <w:r>
              <w:rPr>
                <w:rStyle w:val="60"/>
                <w:rFonts w:hint="eastAsia" w:ascii="宋体" w:hAnsi="宋体" w:eastAsia="宋体" w:cs="宋体"/>
                <w:color w:val="auto"/>
                <w:sz w:val="21"/>
                <w:szCs w:val="21"/>
                <w:highlight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项技术参数每有一项不满足或负偏离扣</w:t>
            </w:r>
            <w:r>
              <w:rPr>
                <w:rFonts w:hint="eastAsia" w:ascii="宋体" w:hAnsi="宋体" w:cs="宋体"/>
                <w:i w:val="0"/>
                <w:iCs w:val="0"/>
                <w:color w:val="auto"/>
                <w:kern w:val="0"/>
                <w:sz w:val="21"/>
                <w:szCs w:val="21"/>
                <w:highlight w:val="none"/>
                <w:u w:val="none"/>
                <w:lang w:val="en-US" w:eastAsia="zh-CN" w:bidi="ar"/>
              </w:rPr>
              <w:t>0.5</w:t>
            </w:r>
            <w:r>
              <w:rPr>
                <w:rFonts w:hint="eastAsia" w:ascii="宋体" w:hAnsi="宋体" w:eastAsia="宋体" w:cs="宋体"/>
                <w:i w:val="0"/>
                <w:iCs w:val="0"/>
                <w:color w:val="auto"/>
                <w:kern w:val="0"/>
                <w:sz w:val="21"/>
                <w:szCs w:val="21"/>
                <w:highlight w:val="none"/>
                <w:u w:val="none"/>
                <w:lang w:val="en-US" w:eastAsia="zh-CN" w:bidi="ar"/>
              </w:rPr>
              <w:t>分，非</w:t>
            </w:r>
            <w:r>
              <w:rPr>
                <w:rStyle w:val="60"/>
                <w:rFonts w:hint="eastAsia" w:ascii="宋体" w:hAnsi="宋体" w:eastAsia="宋体" w:cs="宋体"/>
                <w:color w:val="auto"/>
                <w:sz w:val="21"/>
                <w:szCs w:val="21"/>
                <w:highlight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项技术参数每有一项不满足或负偏离扣0.</w:t>
            </w:r>
            <w:r>
              <w:rPr>
                <w:rFonts w:hint="eastAsia" w:ascii="宋体" w:hAnsi="宋体" w:cs="宋体"/>
                <w:i w:val="0"/>
                <w:iCs w:val="0"/>
                <w:color w:val="auto"/>
                <w:kern w:val="0"/>
                <w:sz w:val="21"/>
                <w:szCs w:val="21"/>
                <w:highlight w:val="none"/>
                <w:u w:val="none"/>
                <w:lang w:val="en-US" w:eastAsia="zh-CN" w:bidi="ar"/>
              </w:rPr>
              <w:t>1</w:t>
            </w:r>
            <w:r>
              <w:rPr>
                <w:rFonts w:hint="eastAsia" w:ascii="宋体" w:hAnsi="宋体" w:eastAsia="宋体" w:cs="宋体"/>
                <w:i w:val="0"/>
                <w:iCs w:val="0"/>
                <w:color w:val="auto"/>
                <w:kern w:val="0"/>
                <w:sz w:val="21"/>
                <w:szCs w:val="21"/>
                <w:highlight w:val="none"/>
                <w:u w:val="none"/>
                <w:lang w:val="en-US" w:eastAsia="zh-CN" w:bidi="ar"/>
              </w:rPr>
              <w:t>分，直至扣完为止。本项最高得1</w:t>
            </w:r>
            <w:r>
              <w:rPr>
                <w:rFonts w:hint="eastAsia" w:ascii="宋体" w:hAnsi="宋体" w:cs="宋体"/>
                <w:i w:val="0"/>
                <w:iCs w:val="0"/>
                <w:color w:val="auto"/>
                <w:kern w:val="0"/>
                <w:sz w:val="21"/>
                <w:szCs w:val="21"/>
                <w:highlight w:val="none"/>
                <w:u w:val="none"/>
                <w:lang w:val="en-US" w:eastAsia="zh-CN" w:bidi="ar"/>
              </w:rPr>
              <w:t>6</w:t>
            </w:r>
            <w:r>
              <w:rPr>
                <w:rFonts w:hint="eastAsia" w:ascii="宋体" w:hAnsi="宋体" w:eastAsia="宋体" w:cs="宋体"/>
                <w:i w:val="0"/>
                <w:iCs w:val="0"/>
                <w:color w:val="auto"/>
                <w:kern w:val="0"/>
                <w:sz w:val="21"/>
                <w:szCs w:val="21"/>
                <w:highlight w:val="none"/>
                <w:u w:val="none"/>
                <w:lang w:val="en-US" w:eastAsia="zh-CN" w:bidi="ar"/>
              </w:rPr>
              <w:t>分。</w:t>
            </w:r>
            <w:r>
              <w:rPr>
                <w:rFonts w:hint="eastAsia" w:ascii="宋体" w:hAnsi="宋体" w:eastAsia="宋体" w:cs="宋体"/>
                <w:b/>
                <w:bCs/>
                <w:i w:val="0"/>
                <w:iCs w:val="0"/>
                <w:color w:val="auto"/>
                <w:kern w:val="0"/>
                <w:sz w:val="21"/>
                <w:szCs w:val="21"/>
                <w:highlight w:val="none"/>
                <w:u w:val="none"/>
                <w:lang w:val="en-US" w:eastAsia="zh-CN" w:bidi="ar"/>
              </w:rPr>
              <w:t>注：带★参数需提供对应的证明材料(证明材料为：处于有效期内的国家认监委认可的第三方检测机构检测证书或报告</w:t>
            </w:r>
            <w:r>
              <w:rPr>
                <w:rFonts w:hint="eastAsia" w:ascii="宋体" w:hAnsi="宋体" w:cs="宋体"/>
                <w:b/>
                <w:bCs/>
                <w:i w:val="0"/>
                <w:iCs w:val="0"/>
                <w:color w:val="auto"/>
                <w:kern w:val="0"/>
                <w:sz w:val="21"/>
                <w:szCs w:val="21"/>
                <w:highlight w:val="none"/>
                <w:u w:val="none"/>
                <w:lang w:val="en-US" w:eastAsia="zh-CN" w:bidi="ar"/>
              </w:rPr>
              <w:t>的</w:t>
            </w:r>
            <w:r>
              <w:rPr>
                <w:rFonts w:hint="eastAsia" w:ascii="宋体" w:hAnsi="宋体" w:eastAsia="宋体" w:cs="宋体"/>
                <w:b/>
                <w:bCs/>
                <w:i w:val="0"/>
                <w:iCs w:val="0"/>
                <w:color w:val="auto"/>
                <w:kern w:val="0"/>
                <w:sz w:val="21"/>
                <w:szCs w:val="21"/>
                <w:highlight w:val="none"/>
                <w:u w:val="none"/>
                <w:lang w:val="en-US" w:eastAsia="zh-CN" w:bidi="ar"/>
              </w:rPr>
              <w:t>扫描件，平台可查)若未提供有效证明材料则该参数将被视为负偏离。</w:t>
            </w:r>
            <w:r>
              <w:rPr>
                <w:rFonts w:hint="eastAsia" w:ascii="宋体" w:hAnsi="宋体" w:cs="宋体"/>
                <w:b/>
                <w:bCs/>
                <w:i w:val="0"/>
                <w:iCs w:val="0"/>
                <w:color w:val="auto"/>
                <w:kern w:val="0"/>
                <w:sz w:val="21"/>
                <w:szCs w:val="21"/>
                <w:highlight w:val="none"/>
                <w:u w:val="none"/>
                <w:lang w:val="en-US" w:eastAsia="zh-CN" w:bidi="ar"/>
              </w:rPr>
              <w:t>中标供应商须在签订合同时提供检测报告的原件供采购人备查。</w:t>
            </w:r>
          </w:p>
        </w:tc>
        <w:tc>
          <w:tcPr>
            <w:tcW w:w="661" w:type="dxa"/>
            <w:tcBorders>
              <w:top w:val="single" w:color="auto" w:sz="4" w:space="0"/>
              <w:left w:val="single" w:color="000000" w:sz="4" w:space="0"/>
              <w:bottom w:val="single" w:color="000000" w:sz="4" w:space="0"/>
              <w:right w:val="single" w:color="000000" w:sz="4" w:space="0"/>
            </w:tcBorders>
            <w:shd w:val="clear" w:color="auto" w:fill="auto"/>
            <w:vAlign w:val="center"/>
          </w:tcPr>
          <w:p w14:paraId="1997D81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6</w:t>
            </w:r>
          </w:p>
        </w:tc>
      </w:tr>
      <w:tr w14:paraId="5380D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9" w:hRule="atLeast"/>
          <w:jc w:val="center"/>
        </w:trPr>
        <w:tc>
          <w:tcPr>
            <w:tcW w:w="800" w:type="dxa"/>
            <w:tcBorders>
              <w:top w:val="single" w:color="auto" w:sz="4" w:space="0"/>
              <w:left w:val="single" w:color="000000" w:sz="4" w:space="0"/>
              <w:bottom w:val="single" w:color="auto" w:sz="4" w:space="0"/>
              <w:right w:val="single" w:color="000000" w:sz="4" w:space="0"/>
            </w:tcBorders>
            <w:shd w:val="clear" w:color="auto" w:fill="auto"/>
            <w:vAlign w:val="center"/>
          </w:tcPr>
          <w:p w14:paraId="5C5531BB">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3</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1181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项目实施施工组织方案</w:t>
            </w:r>
          </w:p>
        </w:tc>
        <w:tc>
          <w:tcPr>
            <w:tcW w:w="7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A60A8">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投标人在充分理解本次项目的建设内容、建设目标前提下编制施工组织方案，包括但不限于①组织与管理办法②安全与风险防控③资源配置计划④项目进度计划⑤项目供货方案⑥施工现场成品保护方案⑦安全与文明施工管理措施⑧设备包装、装卸、运输方案⑨安装施工方案及主要技术保障措施⑩合同管理与协调方案，</w:t>
            </w:r>
            <w:r>
              <w:rPr>
                <w:rFonts w:hint="eastAsia" w:ascii="宋体" w:hAnsi="宋体" w:eastAsia="宋体" w:cs="宋体"/>
                <w:b/>
                <w:bCs/>
                <w:i w:val="0"/>
                <w:iCs w:val="0"/>
                <w:color w:val="auto"/>
                <w:kern w:val="0"/>
                <w:sz w:val="21"/>
                <w:szCs w:val="21"/>
                <w:highlight w:val="none"/>
                <w:u w:val="none"/>
                <w:lang w:val="en-US" w:eastAsia="zh-CN" w:bidi="ar"/>
              </w:rPr>
              <w:t>以上实施方案根据可行性、内容全面性、及时性、有效性等综合因素评分，完整无缺项得20分，每缺少一项扣2分，每项内容不完整有缺陷扣1分，不提供不得分。</w:t>
            </w: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55A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r>
      <w:tr w14:paraId="186F0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jc w:val="center"/>
        </w:trPr>
        <w:tc>
          <w:tcPr>
            <w:tcW w:w="800" w:type="dxa"/>
            <w:tcBorders>
              <w:top w:val="single" w:color="auto" w:sz="4" w:space="0"/>
              <w:left w:val="single" w:color="auto" w:sz="4" w:space="0"/>
              <w:bottom w:val="single" w:color="auto" w:sz="4" w:space="0"/>
              <w:right w:val="single" w:color="auto" w:sz="4" w:space="0"/>
            </w:tcBorders>
            <w:shd w:val="clear" w:color="auto" w:fill="auto"/>
            <w:vAlign w:val="center"/>
          </w:tcPr>
          <w:p w14:paraId="2C860E8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cs="宋体"/>
                <w:i w:val="0"/>
                <w:iCs w:val="0"/>
                <w:color w:val="auto"/>
                <w:sz w:val="21"/>
                <w:szCs w:val="21"/>
                <w:highlight w:val="none"/>
                <w:u w:val="none"/>
                <w:lang w:val="en-US" w:eastAsia="zh-CN"/>
              </w:rPr>
              <w:t>4</w:t>
            </w:r>
          </w:p>
        </w:tc>
        <w:tc>
          <w:tcPr>
            <w:tcW w:w="1271" w:type="dxa"/>
            <w:tcBorders>
              <w:top w:val="single" w:color="000000" w:sz="4" w:space="0"/>
              <w:left w:val="single" w:color="auto" w:sz="4" w:space="0"/>
              <w:bottom w:val="single" w:color="000000" w:sz="4" w:space="0"/>
              <w:right w:val="single" w:color="000000" w:sz="4" w:space="0"/>
            </w:tcBorders>
            <w:shd w:val="clear" w:color="auto" w:fill="auto"/>
            <w:vAlign w:val="center"/>
          </w:tcPr>
          <w:p w14:paraId="3299C1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质量保证</w:t>
            </w:r>
          </w:p>
        </w:tc>
        <w:tc>
          <w:tcPr>
            <w:tcW w:w="7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4FA5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①产品性能技术方案、②质量保证方案、③培训方案，全部满足客户产品需求得6分，满分6分；每缺一个要素扣2分，每个要素里每有一处内容缺陷扣1分。</w:t>
            </w:r>
            <w:r>
              <w:rPr>
                <w:rStyle w:val="58"/>
                <w:rFonts w:hint="eastAsia" w:ascii="宋体" w:hAnsi="宋体" w:eastAsia="宋体" w:cs="宋体"/>
                <w:b/>
                <w:bCs/>
                <w:color w:val="auto"/>
                <w:sz w:val="21"/>
                <w:szCs w:val="21"/>
                <w:highlight w:val="none"/>
                <w:lang w:val="en-US" w:eastAsia="zh-CN" w:bidi="ar"/>
              </w:rPr>
              <w:t>注：1.内容存在缺陷是指：该项内容描述前后不一致；该项内容所阐述的项目信息与本项目实际信息不一致；该项内容阐述的各类措施明显不符合本项目实际情况；该项内容描述与本项目实际情况不符；该项内容套用其他项目内容。</w:t>
            </w: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549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w:t>
            </w:r>
          </w:p>
        </w:tc>
      </w:tr>
      <w:tr w14:paraId="22263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800" w:type="dxa"/>
            <w:tcBorders>
              <w:top w:val="single" w:color="auto" w:sz="4" w:space="0"/>
              <w:left w:val="single" w:color="auto" w:sz="4" w:space="0"/>
              <w:bottom w:val="single" w:color="auto" w:sz="4" w:space="0"/>
              <w:right w:val="single" w:color="auto" w:sz="4" w:space="0"/>
            </w:tcBorders>
            <w:shd w:val="clear" w:color="auto" w:fill="auto"/>
            <w:vAlign w:val="center"/>
          </w:tcPr>
          <w:p w14:paraId="58A33362">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5</w:t>
            </w:r>
          </w:p>
        </w:tc>
        <w:tc>
          <w:tcPr>
            <w:tcW w:w="1271" w:type="dxa"/>
            <w:vMerge w:val="restart"/>
            <w:tcBorders>
              <w:top w:val="single" w:color="000000" w:sz="4" w:space="0"/>
              <w:left w:val="single" w:color="auto" w:sz="4" w:space="0"/>
              <w:right w:val="single" w:color="000000" w:sz="4" w:space="0"/>
            </w:tcBorders>
            <w:shd w:val="clear" w:color="auto" w:fill="auto"/>
            <w:vAlign w:val="center"/>
          </w:tcPr>
          <w:p w14:paraId="64E727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售后服务</w:t>
            </w:r>
          </w:p>
        </w:tc>
        <w:tc>
          <w:tcPr>
            <w:tcW w:w="7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929D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制定完善的售后服务方案，方案包括服务流程、服务内容、维修响应、故障解决、回访计划</w:t>
            </w:r>
            <w:r>
              <w:rPr>
                <w:rStyle w:val="58"/>
                <w:rFonts w:hint="eastAsia" w:ascii="宋体" w:hAnsi="宋体" w:eastAsia="宋体" w:cs="宋体"/>
                <w:color w:val="auto"/>
                <w:sz w:val="21"/>
                <w:szCs w:val="21"/>
                <w:highlight w:val="none"/>
                <w:lang w:val="en-US" w:eastAsia="zh-CN" w:bidi="ar"/>
              </w:rPr>
              <w:t>等5项售后方案内容，方案内容完整齐全</w:t>
            </w:r>
            <w:r>
              <w:rPr>
                <w:rStyle w:val="58"/>
                <w:rFonts w:hint="eastAsia" w:ascii="宋体" w:hAnsi="宋体" w:cs="宋体"/>
                <w:color w:val="auto"/>
                <w:sz w:val="21"/>
                <w:szCs w:val="21"/>
                <w:highlight w:val="none"/>
                <w:lang w:val="en-US" w:eastAsia="zh-CN" w:bidi="ar"/>
              </w:rPr>
              <w:t>且</w:t>
            </w:r>
            <w:r>
              <w:rPr>
                <w:rStyle w:val="58"/>
                <w:rFonts w:hint="eastAsia" w:ascii="宋体" w:hAnsi="宋体" w:eastAsia="宋体" w:cs="宋体"/>
                <w:color w:val="auto"/>
                <w:sz w:val="21"/>
                <w:szCs w:val="21"/>
                <w:highlight w:val="none"/>
                <w:lang w:val="en-US" w:eastAsia="zh-CN" w:bidi="ar"/>
              </w:rPr>
              <w:t>符合项目实际的得5分；</w:t>
            </w:r>
            <w:r>
              <w:rPr>
                <w:rStyle w:val="58"/>
                <w:rFonts w:hint="eastAsia" w:ascii="宋体" w:hAnsi="宋体" w:eastAsia="宋体" w:cs="宋体"/>
                <w:b/>
                <w:bCs/>
                <w:color w:val="auto"/>
                <w:sz w:val="21"/>
                <w:szCs w:val="21"/>
                <w:highlight w:val="none"/>
                <w:lang w:val="en-US" w:eastAsia="zh-CN" w:bidi="ar"/>
              </w:rPr>
              <w:t>每缺少一项方案内容扣1分；每一项方案内容存在缺陷的扣0.5分；未提供供货方案的，此项不得分。</w:t>
            </w: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41E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w:t>
            </w:r>
          </w:p>
        </w:tc>
      </w:tr>
      <w:tr w14:paraId="725E4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jc w:val="center"/>
        </w:trPr>
        <w:tc>
          <w:tcPr>
            <w:tcW w:w="800" w:type="dxa"/>
            <w:tcBorders>
              <w:top w:val="single" w:color="auto" w:sz="4" w:space="0"/>
              <w:left w:val="single" w:color="auto" w:sz="4" w:space="0"/>
              <w:bottom w:val="single" w:color="auto" w:sz="4" w:space="0"/>
              <w:right w:val="single" w:color="auto" w:sz="4" w:space="0"/>
            </w:tcBorders>
            <w:shd w:val="clear" w:color="auto" w:fill="auto"/>
            <w:vAlign w:val="center"/>
          </w:tcPr>
          <w:p w14:paraId="4AE7A768">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6</w:t>
            </w:r>
          </w:p>
        </w:tc>
        <w:tc>
          <w:tcPr>
            <w:tcW w:w="1271" w:type="dxa"/>
            <w:vMerge w:val="continue"/>
            <w:tcBorders>
              <w:left w:val="single" w:color="auto" w:sz="4" w:space="0"/>
              <w:bottom w:val="single" w:color="000000" w:sz="4" w:space="0"/>
              <w:right w:val="single" w:color="000000" w:sz="4" w:space="0"/>
            </w:tcBorders>
            <w:shd w:val="clear" w:color="auto" w:fill="auto"/>
            <w:vAlign w:val="center"/>
          </w:tcPr>
          <w:p w14:paraId="31C7DC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7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3B40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新疆</w:t>
            </w:r>
            <w:r>
              <w:rPr>
                <w:rFonts w:hint="eastAsia" w:ascii="宋体" w:hAnsi="宋体" w:cs="宋体"/>
                <w:i w:val="0"/>
                <w:iCs w:val="0"/>
                <w:color w:val="auto"/>
                <w:kern w:val="0"/>
                <w:sz w:val="21"/>
                <w:szCs w:val="21"/>
                <w:highlight w:val="none"/>
                <w:u w:val="none"/>
                <w:lang w:val="en-US" w:eastAsia="zh-CN" w:bidi="ar"/>
              </w:rPr>
              <w:t>域内</w:t>
            </w:r>
            <w:r>
              <w:rPr>
                <w:rFonts w:hint="eastAsia" w:ascii="宋体" w:hAnsi="宋体" w:eastAsia="宋体" w:cs="宋体"/>
                <w:i w:val="0"/>
                <w:iCs w:val="0"/>
                <w:color w:val="auto"/>
                <w:kern w:val="0"/>
                <w:sz w:val="21"/>
                <w:szCs w:val="21"/>
                <w:highlight w:val="none"/>
                <w:u w:val="none"/>
                <w:lang w:val="en-US" w:eastAsia="zh-CN" w:bidi="ar"/>
              </w:rPr>
              <w:t>设有售后服务点得</w:t>
            </w:r>
            <w:r>
              <w:rPr>
                <w:rFonts w:hint="eastAsia" w:ascii="宋体" w:hAnsi="宋体" w:cs="宋体"/>
                <w:i w:val="0"/>
                <w:iCs w:val="0"/>
                <w:color w:val="auto"/>
                <w:kern w:val="0"/>
                <w:sz w:val="21"/>
                <w:szCs w:val="21"/>
                <w:highlight w:val="none"/>
                <w:u w:val="none"/>
                <w:lang w:val="en-US" w:eastAsia="zh-CN" w:bidi="ar"/>
              </w:rPr>
              <w:t>1</w:t>
            </w:r>
            <w:r>
              <w:rPr>
                <w:rFonts w:hint="eastAsia" w:ascii="宋体" w:hAnsi="宋体" w:eastAsia="宋体" w:cs="宋体"/>
                <w:i w:val="0"/>
                <w:iCs w:val="0"/>
                <w:color w:val="auto"/>
                <w:kern w:val="0"/>
                <w:sz w:val="21"/>
                <w:szCs w:val="21"/>
                <w:highlight w:val="none"/>
                <w:u w:val="none"/>
                <w:lang w:val="en-US" w:eastAsia="zh-CN" w:bidi="ar"/>
              </w:rPr>
              <w:t>分</w:t>
            </w:r>
            <w:r>
              <w:rPr>
                <w:rFonts w:hint="eastAsia" w:ascii="宋体" w:hAnsi="宋体" w:cs="宋体"/>
                <w:i w:val="0"/>
                <w:iCs w:val="0"/>
                <w:color w:val="auto"/>
                <w:kern w:val="0"/>
                <w:sz w:val="21"/>
                <w:szCs w:val="21"/>
                <w:highlight w:val="none"/>
                <w:u w:val="none"/>
                <w:lang w:val="en-US" w:eastAsia="zh-CN" w:bidi="ar"/>
              </w:rPr>
              <w:t>；巴州域内</w:t>
            </w:r>
            <w:r>
              <w:rPr>
                <w:rFonts w:hint="eastAsia" w:ascii="宋体" w:hAnsi="宋体" w:eastAsia="宋体" w:cs="宋体"/>
                <w:i w:val="0"/>
                <w:iCs w:val="0"/>
                <w:color w:val="auto"/>
                <w:kern w:val="0"/>
                <w:sz w:val="21"/>
                <w:szCs w:val="21"/>
                <w:highlight w:val="none"/>
                <w:u w:val="none"/>
                <w:lang w:val="en-US" w:eastAsia="zh-CN" w:bidi="ar"/>
              </w:rPr>
              <w:t>设有售后服务点</w:t>
            </w:r>
            <w:r>
              <w:rPr>
                <w:rFonts w:hint="eastAsia" w:ascii="宋体" w:hAnsi="宋体" w:cs="宋体"/>
                <w:i w:val="0"/>
                <w:iCs w:val="0"/>
                <w:color w:val="auto"/>
                <w:kern w:val="0"/>
                <w:sz w:val="21"/>
                <w:szCs w:val="21"/>
                <w:highlight w:val="none"/>
                <w:u w:val="none"/>
                <w:lang w:val="en-US" w:eastAsia="zh-CN" w:bidi="ar"/>
              </w:rPr>
              <w:t>得2分；在采购人当地</w:t>
            </w:r>
            <w:r>
              <w:rPr>
                <w:rFonts w:hint="eastAsia" w:ascii="宋体" w:hAnsi="宋体" w:eastAsia="宋体" w:cs="宋体"/>
                <w:i w:val="0"/>
                <w:iCs w:val="0"/>
                <w:color w:val="auto"/>
                <w:kern w:val="0"/>
                <w:sz w:val="21"/>
                <w:szCs w:val="21"/>
                <w:highlight w:val="none"/>
                <w:u w:val="none"/>
                <w:lang w:val="en-US" w:eastAsia="zh-CN" w:bidi="ar"/>
              </w:rPr>
              <w:t>设有售后服务点</w:t>
            </w:r>
            <w:r>
              <w:rPr>
                <w:rFonts w:hint="eastAsia" w:ascii="宋体" w:hAnsi="宋体" w:cs="宋体"/>
                <w:i w:val="0"/>
                <w:iCs w:val="0"/>
                <w:color w:val="auto"/>
                <w:kern w:val="0"/>
                <w:sz w:val="21"/>
                <w:szCs w:val="21"/>
                <w:highlight w:val="none"/>
                <w:u w:val="none"/>
                <w:lang w:val="en-US" w:eastAsia="zh-CN" w:bidi="ar"/>
              </w:rPr>
              <w:t>得3分。</w:t>
            </w:r>
            <w:r>
              <w:rPr>
                <w:rFonts w:hint="eastAsia" w:ascii="宋体" w:hAnsi="宋体" w:eastAsia="宋体" w:cs="宋体"/>
                <w:i w:val="0"/>
                <w:iCs w:val="0"/>
                <w:color w:val="auto"/>
                <w:kern w:val="0"/>
                <w:sz w:val="21"/>
                <w:szCs w:val="21"/>
                <w:highlight w:val="none"/>
                <w:u w:val="none"/>
                <w:lang w:val="en-US" w:eastAsia="zh-CN" w:bidi="ar"/>
              </w:rPr>
              <w:t>（提供售后服务点处详细地址及证明文件）无方案及承诺的不得分。</w:t>
            </w: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6723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3</w:t>
            </w:r>
          </w:p>
        </w:tc>
      </w:tr>
      <w:tr w14:paraId="78190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4" w:hRule="atLeast"/>
          <w:jc w:val="center"/>
        </w:trPr>
        <w:tc>
          <w:tcPr>
            <w:tcW w:w="800" w:type="dxa"/>
            <w:tcBorders>
              <w:top w:val="single" w:color="auto" w:sz="4" w:space="0"/>
              <w:left w:val="single" w:color="000000" w:sz="4" w:space="0"/>
              <w:bottom w:val="single" w:color="000000" w:sz="4" w:space="0"/>
              <w:right w:val="single" w:color="000000" w:sz="4" w:space="0"/>
            </w:tcBorders>
            <w:shd w:val="clear" w:color="auto" w:fill="auto"/>
            <w:vAlign w:val="center"/>
          </w:tcPr>
          <w:p w14:paraId="4D0AEFA4">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7</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0B0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人员配备方案</w:t>
            </w:r>
          </w:p>
        </w:tc>
        <w:tc>
          <w:tcPr>
            <w:tcW w:w="7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98D7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根据投标人所提供的本项目人员配备方案打分：人员配备齐全完善、有针对性，完全能胜任本项目实际需要的，得</w:t>
            </w:r>
            <w:r>
              <w:rPr>
                <w:rFonts w:hint="eastAsia" w:ascii="宋体" w:hAnsi="宋体" w:cs="宋体"/>
                <w:i w:val="0"/>
                <w:iCs w:val="0"/>
                <w:color w:val="auto"/>
                <w:kern w:val="0"/>
                <w:sz w:val="21"/>
                <w:szCs w:val="21"/>
                <w:highlight w:val="none"/>
                <w:u w:val="none"/>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分；人员配备齐全，基本符合采购人实际情况的，得</w:t>
            </w:r>
            <w:r>
              <w:rPr>
                <w:rFonts w:hint="eastAsia" w:ascii="宋体" w:hAnsi="宋体" w:cs="宋体"/>
                <w:i w:val="0"/>
                <w:iCs w:val="0"/>
                <w:color w:val="auto"/>
                <w:kern w:val="0"/>
                <w:sz w:val="21"/>
                <w:szCs w:val="21"/>
                <w:highlight w:val="none"/>
                <w:u w:val="none"/>
                <w:lang w:val="en-US" w:eastAsia="zh-CN" w:bidi="ar"/>
              </w:rPr>
              <w:t>1</w:t>
            </w:r>
            <w:r>
              <w:rPr>
                <w:rFonts w:hint="eastAsia" w:ascii="宋体" w:hAnsi="宋体" w:eastAsia="宋体" w:cs="宋体"/>
                <w:i w:val="0"/>
                <w:iCs w:val="0"/>
                <w:color w:val="auto"/>
                <w:kern w:val="0"/>
                <w:sz w:val="21"/>
                <w:szCs w:val="21"/>
                <w:highlight w:val="none"/>
                <w:u w:val="none"/>
                <w:lang w:val="en-US" w:eastAsia="zh-CN" w:bidi="ar"/>
              </w:rPr>
              <w:t>分；人员配备方案不可行或未提供得0分。</w:t>
            </w: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574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0"/>
                <w:sz w:val="21"/>
                <w:szCs w:val="21"/>
                <w:highlight w:val="none"/>
                <w:u w:val="none"/>
                <w:lang w:val="en-US" w:eastAsia="zh-CN" w:bidi="ar"/>
              </w:rPr>
              <w:t>2</w:t>
            </w:r>
          </w:p>
        </w:tc>
      </w:tr>
      <w:tr w14:paraId="73E61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jc w:val="center"/>
        </w:trPr>
        <w:tc>
          <w:tcPr>
            <w:tcW w:w="800" w:type="dxa"/>
            <w:tcBorders>
              <w:top w:val="single" w:color="000000" w:sz="4" w:space="0"/>
              <w:left w:val="single" w:color="000000" w:sz="4" w:space="0"/>
              <w:bottom w:val="single" w:color="auto" w:sz="4" w:space="0"/>
              <w:right w:val="single" w:color="000000" w:sz="4" w:space="0"/>
            </w:tcBorders>
            <w:shd w:val="clear" w:color="auto" w:fill="auto"/>
            <w:vAlign w:val="center"/>
          </w:tcPr>
          <w:p w14:paraId="06862BC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cs="宋体"/>
                <w:i w:val="0"/>
                <w:iCs w:val="0"/>
                <w:color w:val="auto"/>
                <w:sz w:val="21"/>
                <w:szCs w:val="21"/>
                <w:highlight w:val="none"/>
                <w:u w:val="none"/>
                <w:lang w:val="en-US" w:eastAsia="zh-CN"/>
              </w:rPr>
              <w:t>8</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F72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培训计划</w:t>
            </w:r>
          </w:p>
        </w:tc>
        <w:tc>
          <w:tcPr>
            <w:tcW w:w="7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B9B2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培训计划及培训内容方面安排合理可行，满足用户要求得</w:t>
            </w:r>
            <w:r>
              <w:rPr>
                <w:rFonts w:hint="eastAsia" w:ascii="宋体" w:hAnsi="宋体" w:cs="宋体"/>
                <w:i w:val="0"/>
                <w:iCs w:val="0"/>
                <w:color w:val="auto"/>
                <w:kern w:val="0"/>
                <w:sz w:val="21"/>
                <w:szCs w:val="21"/>
                <w:highlight w:val="none"/>
                <w:u w:val="none"/>
                <w:lang w:val="en-US" w:eastAsia="zh-CN" w:bidi="ar"/>
              </w:rPr>
              <w:t>3</w:t>
            </w:r>
            <w:r>
              <w:rPr>
                <w:rFonts w:hint="eastAsia" w:ascii="宋体" w:hAnsi="宋体" w:eastAsia="宋体" w:cs="宋体"/>
                <w:i w:val="0"/>
                <w:iCs w:val="0"/>
                <w:color w:val="auto"/>
                <w:kern w:val="0"/>
                <w:sz w:val="21"/>
                <w:szCs w:val="21"/>
                <w:highlight w:val="none"/>
                <w:u w:val="none"/>
                <w:lang w:val="en-US" w:eastAsia="zh-CN" w:bidi="ar"/>
              </w:rPr>
              <w:t>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培训计划及培训内容方面安排基本合理可行，满足用户要求得</w:t>
            </w:r>
            <w:r>
              <w:rPr>
                <w:rFonts w:hint="eastAsia" w:ascii="宋体" w:hAnsi="宋体" w:cs="宋体"/>
                <w:i w:val="0"/>
                <w:iCs w:val="0"/>
                <w:color w:val="auto"/>
                <w:kern w:val="0"/>
                <w:sz w:val="21"/>
                <w:szCs w:val="21"/>
                <w:highlight w:val="none"/>
                <w:u w:val="none"/>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培训内容方面安排有缺陷，得</w:t>
            </w:r>
            <w:r>
              <w:rPr>
                <w:rFonts w:hint="eastAsia" w:ascii="宋体" w:hAnsi="宋体" w:cs="宋体"/>
                <w:i w:val="0"/>
                <w:iCs w:val="0"/>
                <w:color w:val="auto"/>
                <w:kern w:val="0"/>
                <w:sz w:val="21"/>
                <w:szCs w:val="21"/>
                <w:highlight w:val="none"/>
                <w:u w:val="none"/>
                <w:lang w:val="en-US" w:eastAsia="zh-CN" w:bidi="ar"/>
              </w:rPr>
              <w:t>1</w:t>
            </w:r>
            <w:r>
              <w:rPr>
                <w:rFonts w:hint="eastAsia" w:ascii="宋体" w:hAnsi="宋体" w:eastAsia="宋体" w:cs="宋体"/>
                <w:i w:val="0"/>
                <w:iCs w:val="0"/>
                <w:color w:val="auto"/>
                <w:kern w:val="0"/>
                <w:sz w:val="21"/>
                <w:szCs w:val="21"/>
                <w:highlight w:val="none"/>
                <w:u w:val="none"/>
                <w:lang w:val="en-US" w:eastAsia="zh-CN" w:bidi="ar"/>
              </w:rPr>
              <w:t>分</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未提供不得分。</w:t>
            </w: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32C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w:t>
            </w:r>
          </w:p>
        </w:tc>
      </w:tr>
      <w:tr w14:paraId="527B0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0" w:hRule="atLeast"/>
          <w:jc w:val="center"/>
        </w:trPr>
        <w:tc>
          <w:tcPr>
            <w:tcW w:w="800" w:type="dxa"/>
            <w:tcBorders>
              <w:top w:val="single" w:color="auto" w:sz="4" w:space="0"/>
              <w:left w:val="single" w:color="000000" w:sz="4" w:space="0"/>
              <w:bottom w:val="single" w:color="auto" w:sz="4" w:space="0"/>
              <w:right w:val="single" w:color="000000" w:sz="4" w:space="0"/>
            </w:tcBorders>
            <w:shd w:val="clear" w:color="auto" w:fill="auto"/>
            <w:vAlign w:val="center"/>
          </w:tcPr>
          <w:p w14:paraId="61F1F75A">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9</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611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备品备件</w:t>
            </w:r>
          </w:p>
        </w:tc>
        <w:tc>
          <w:tcPr>
            <w:tcW w:w="7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147F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根据投标人项目备品备件及易损件清单进行综合评分</w:t>
            </w:r>
            <w:r>
              <w:rPr>
                <w:rFonts w:hint="eastAsia" w:ascii="宋体" w:hAnsi="宋体" w:cs="宋体"/>
                <w:i w:val="0"/>
                <w:iCs w:val="0"/>
                <w:color w:val="auto"/>
                <w:kern w:val="0"/>
                <w:sz w:val="21"/>
                <w:szCs w:val="21"/>
                <w:highlight w:val="none"/>
                <w:u w:val="none"/>
                <w:lang w:val="en-US" w:eastAsia="zh-CN" w:bidi="ar"/>
              </w:rPr>
              <w:t>：</w:t>
            </w:r>
          </w:p>
          <w:p w14:paraId="5A4242FC">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①投标人能够提供一定数量的备品备件得</w:t>
            </w:r>
            <w:r>
              <w:rPr>
                <w:rFonts w:hint="eastAsia" w:ascii="宋体" w:hAnsi="宋体" w:cs="宋体"/>
                <w:i w:val="0"/>
                <w:iCs w:val="0"/>
                <w:color w:val="auto"/>
                <w:kern w:val="0"/>
                <w:sz w:val="21"/>
                <w:szCs w:val="21"/>
                <w:highlight w:val="none"/>
                <w:u w:val="none"/>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分，备品备件提供数量一般得</w:t>
            </w:r>
            <w:r>
              <w:rPr>
                <w:rFonts w:hint="eastAsia" w:ascii="宋体" w:hAnsi="宋体" w:cs="宋体"/>
                <w:i w:val="0"/>
                <w:iCs w:val="0"/>
                <w:color w:val="auto"/>
                <w:kern w:val="0"/>
                <w:sz w:val="21"/>
                <w:szCs w:val="21"/>
                <w:highlight w:val="none"/>
                <w:u w:val="none"/>
                <w:lang w:val="en-US" w:eastAsia="zh-CN" w:bidi="ar"/>
              </w:rPr>
              <w:t>1</w:t>
            </w:r>
            <w:r>
              <w:rPr>
                <w:rFonts w:hint="eastAsia" w:ascii="宋体" w:hAnsi="宋体" w:eastAsia="宋体" w:cs="宋体"/>
                <w:i w:val="0"/>
                <w:iCs w:val="0"/>
                <w:color w:val="auto"/>
                <w:kern w:val="0"/>
                <w:sz w:val="21"/>
                <w:szCs w:val="21"/>
                <w:highlight w:val="none"/>
                <w:u w:val="none"/>
                <w:lang w:val="en-US" w:eastAsia="zh-CN" w:bidi="ar"/>
              </w:rPr>
              <w:t>分。（提供备品备件及易损件清单，不提供不得分）</w:t>
            </w:r>
            <w:r>
              <w:rPr>
                <w:rFonts w:hint="eastAsia" w:ascii="宋体" w:hAnsi="宋体" w:cs="宋体"/>
                <w:i w:val="0"/>
                <w:iCs w:val="0"/>
                <w:color w:val="auto"/>
                <w:kern w:val="0"/>
                <w:sz w:val="21"/>
                <w:szCs w:val="21"/>
                <w:highlight w:val="none"/>
                <w:u w:val="none"/>
                <w:lang w:val="en-US" w:eastAsia="zh-CN" w:bidi="ar"/>
              </w:rPr>
              <w:t>；</w:t>
            </w:r>
          </w:p>
          <w:p w14:paraId="22400C3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②承诺发现产品质量问题能够无条件进行调换得</w:t>
            </w:r>
            <w:r>
              <w:rPr>
                <w:rFonts w:hint="eastAsia" w:ascii="宋体" w:hAnsi="宋体" w:cs="宋体"/>
                <w:i w:val="0"/>
                <w:iCs w:val="0"/>
                <w:color w:val="auto"/>
                <w:kern w:val="0"/>
                <w:sz w:val="21"/>
                <w:szCs w:val="21"/>
                <w:highlight w:val="none"/>
                <w:u w:val="none"/>
                <w:lang w:val="en-US" w:eastAsia="zh-CN" w:bidi="ar"/>
              </w:rPr>
              <w:t>1</w:t>
            </w:r>
            <w:r>
              <w:rPr>
                <w:rFonts w:hint="eastAsia" w:ascii="宋体" w:hAnsi="宋体" w:eastAsia="宋体" w:cs="宋体"/>
                <w:i w:val="0"/>
                <w:iCs w:val="0"/>
                <w:color w:val="auto"/>
                <w:kern w:val="0"/>
                <w:sz w:val="21"/>
                <w:szCs w:val="21"/>
                <w:highlight w:val="none"/>
                <w:u w:val="none"/>
                <w:lang w:val="en-US" w:eastAsia="zh-CN" w:bidi="ar"/>
              </w:rPr>
              <w:t>分。</w:t>
            </w: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012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0"/>
                <w:sz w:val="21"/>
                <w:szCs w:val="21"/>
                <w:highlight w:val="none"/>
                <w:u w:val="none"/>
                <w:lang w:val="en-US" w:eastAsia="zh-CN" w:bidi="ar"/>
              </w:rPr>
              <w:t>3</w:t>
            </w:r>
          </w:p>
        </w:tc>
      </w:tr>
      <w:tr w14:paraId="7E8FF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jc w:val="center"/>
        </w:trPr>
        <w:tc>
          <w:tcPr>
            <w:tcW w:w="800" w:type="dxa"/>
            <w:tcBorders>
              <w:top w:val="single" w:color="auto" w:sz="4" w:space="0"/>
              <w:left w:val="single" w:color="000000" w:sz="4" w:space="0"/>
              <w:bottom w:val="single" w:color="auto" w:sz="4" w:space="0"/>
              <w:right w:val="single" w:color="000000" w:sz="4" w:space="0"/>
            </w:tcBorders>
            <w:shd w:val="clear" w:color="auto" w:fill="auto"/>
            <w:vAlign w:val="center"/>
          </w:tcPr>
          <w:p w14:paraId="563C46A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2"/>
                <w:sz w:val="21"/>
                <w:szCs w:val="21"/>
                <w:highlight w:val="none"/>
                <w:u w:val="none"/>
                <w:lang w:val="en-US" w:eastAsia="zh-CN" w:bidi="ar-SA"/>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D97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增值服务</w:t>
            </w:r>
          </w:p>
        </w:tc>
        <w:tc>
          <w:tcPr>
            <w:tcW w:w="7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1423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每提供1条可行的增值服务得1分，满分2分，内容存在缺陷或不提供均不得分</w:t>
            </w:r>
            <w:r>
              <w:rPr>
                <w:rFonts w:hint="eastAsia" w:ascii="宋体" w:hAnsi="宋体" w:eastAsia="宋体" w:cs="宋体"/>
                <w:b/>
                <w:bCs/>
                <w:i w:val="0"/>
                <w:iCs w:val="0"/>
                <w:color w:val="auto"/>
                <w:kern w:val="0"/>
                <w:sz w:val="21"/>
                <w:szCs w:val="21"/>
                <w:highlight w:val="none"/>
                <w:u w:val="none"/>
                <w:lang w:val="en-US" w:eastAsia="zh-CN" w:bidi="ar"/>
              </w:rPr>
              <w:t>。注：1.内容存在缺陷是指：该项内容描述前后不一致；该项内容所阐述的增值服务与本项目不适用；该项内容套用其他项目内容。</w:t>
            </w: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FB9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w:t>
            </w:r>
          </w:p>
        </w:tc>
      </w:tr>
    </w:tbl>
    <w:p w14:paraId="559984F3">
      <w:pPr>
        <w:rPr>
          <w:rFonts w:hint="eastAsia" w:ascii="宋体" w:hAnsi="宋体" w:eastAsia="宋体" w:cs="宋体"/>
          <w:color w:val="auto"/>
          <w:sz w:val="24"/>
          <w:szCs w:val="24"/>
          <w:highlight w:val="none"/>
        </w:rPr>
        <w:sectPr>
          <w:headerReference r:id="rId8" w:type="first"/>
          <w:footerReference r:id="rId10" w:type="first"/>
          <w:headerReference r:id="rId7" w:type="default"/>
          <w:footerReference r:id="rId9" w:type="default"/>
          <w:pgSz w:w="11906" w:h="16838"/>
          <w:pgMar w:top="1417" w:right="1417" w:bottom="1417" w:left="1417" w:header="851" w:footer="850" w:gutter="0"/>
          <w:pgBorders>
            <w:top w:val="none" w:sz="0" w:space="0"/>
            <w:left w:val="none" w:sz="0" w:space="0"/>
            <w:bottom w:val="none" w:sz="0" w:space="0"/>
            <w:right w:val="none" w:sz="0" w:space="0"/>
          </w:pgBorders>
          <w:pgNumType w:fmt="decimal" w:start="1"/>
          <w:cols w:space="0" w:num="1"/>
          <w:titlePg/>
          <w:rtlGutter w:val="0"/>
          <w:docGrid w:type="linesAndChars" w:linePitch="312" w:charSpace="530"/>
        </w:sectPr>
      </w:pPr>
      <w:r>
        <w:rPr>
          <w:rFonts w:hint="eastAsia" w:ascii="宋体" w:hAnsi="宋体" w:eastAsia="宋体" w:cs="宋体"/>
          <w:color w:val="auto"/>
          <w:sz w:val="24"/>
          <w:szCs w:val="24"/>
          <w:highlight w:val="none"/>
        </w:rPr>
        <w:br w:type="page"/>
      </w:r>
    </w:p>
    <w:p w14:paraId="74A6F52F">
      <w:pPr>
        <w:keepNext w:val="0"/>
        <w:keepLines w:val="0"/>
        <w:widowControl/>
        <w:numPr>
          <w:ilvl w:val="0"/>
          <w:numId w:val="0"/>
        </w:numPr>
        <w:suppressLineNumbers w:val="0"/>
        <w:tabs>
          <w:tab w:val="left" w:pos="5527"/>
        </w:tabs>
        <w:jc w:val="center"/>
        <w:textAlignment w:val="center"/>
        <w:outlineLvl w:val="0"/>
        <w:rPr>
          <w:rStyle w:val="38"/>
          <w:rFonts w:hint="eastAsia" w:ascii="宋体" w:hAnsi="宋体" w:eastAsia="宋体" w:cs="宋体"/>
          <w:b/>
          <w:bCs/>
          <w:color w:val="auto"/>
          <w:sz w:val="32"/>
          <w:szCs w:val="32"/>
          <w:highlight w:val="none"/>
          <w:lang w:val="en-US" w:eastAsia="zh-CN"/>
        </w:rPr>
      </w:pPr>
      <w:r>
        <w:rPr>
          <w:rStyle w:val="38"/>
          <w:rFonts w:hint="eastAsia" w:ascii="宋体" w:hAnsi="宋体" w:eastAsia="宋体" w:cs="宋体"/>
          <w:b/>
          <w:bCs/>
          <w:color w:val="auto"/>
          <w:sz w:val="32"/>
          <w:szCs w:val="32"/>
          <w:highlight w:val="none"/>
          <w:lang w:val="en-US" w:eastAsia="zh-CN"/>
        </w:rPr>
        <w:t>第三章 采购清单</w:t>
      </w:r>
    </w:p>
    <w:bookmarkEnd w:id="150"/>
    <w:bookmarkEnd w:id="151"/>
    <w:bookmarkEnd w:id="152"/>
    <w:bookmarkEnd w:id="153"/>
    <w:bookmarkEnd w:id="154"/>
    <w:p w14:paraId="66540A66">
      <w:pPr>
        <w:keepNext w:val="0"/>
        <w:keepLines w:val="0"/>
        <w:widowControl/>
        <w:suppressLineNumbers w:val="0"/>
        <w:jc w:val="left"/>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1、电子琴教室教学设备</w:t>
      </w:r>
    </w:p>
    <w:tbl>
      <w:tblPr>
        <w:tblStyle w:val="27"/>
        <w:tblW w:w="1482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96"/>
        <w:gridCol w:w="1246"/>
        <w:gridCol w:w="10546"/>
        <w:gridCol w:w="767"/>
        <w:gridCol w:w="767"/>
        <w:gridCol w:w="704"/>
      </w:tblGrid>
      <w:tr w14:paraId="4F817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C93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1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559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名称</w:t>
            </w:r>
          </w:p>
        </w:tc>
        <w:tc>
          <w:tcPr>
            <w:tcW w:w="10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17A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规格型号功能</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DBD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单位</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5D5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数量</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C24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备注</w:t>
            </w:r>
          </w:p>
        </w:tc>
      </w:tr>
      <w:tr w14:paraId="1A04E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1D4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 </w:t>
            </w:r>
          </w:p>
        </w:tc>
        <w:tc>
          <w:tcPr>
            <w:tcW w:w="1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C58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六面体凳</w:t>
            </w:r>
          </w:p>
        </w:tc>
        <w:tc>
          <w:tcPr>
            <w:tcW w:w="10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6BFE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1、六面体结构，外形尺寸不小于295×345×400mm；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2、采用模具成型软塑料边条经机械封饰、配龄合型软防滑八角；</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3、可承重不小于100kg。</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★4、参照JY0001-2003《教学仪器设备产品的一般质量要求》标准，满足以下3项要求：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★4-1、教学仪器设备产品的外观要造型美观、色彩协调、规整光洁。表面不应有明显的擦伤、划痕和碰撞的坑疤；</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★4-2、喷塑层或喷油层表面应光洁平整，薄厚均匀、附着力强、不应有露底、污点、混色等缺陷；</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★4-3、木质件应平整清洁，无霉变、虫眼、死节、树脂漆（明子）和明显变形。且其检测结果均为与标准要求一致。</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★5、参照GB21027-2020《学生用品的安全通用要求》标准，可迁移元素mg/kg（锑、钡、铬、汞、砷、镉、铅、硒）其检测结果为涂层均未检出。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★6、参照GB18584-2001《室内装饰装修材料木家具中有害物质限量》标准，满足甲醛释放量检测结果1.4（技术标准要求≤1.5mg/L）。</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★7、投标人需提供制造厂商出具的带CMA和CNAS标志的国家级检测报告复印件，且需注明本次招标采购项目名称及编号并加盖制造厂商公章。</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132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C68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122 </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2698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939D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A75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 </w:t>
            </w:r>
          </w:p>
        </w:tc>
        <w:tc>
          <w:tcPr>
            <w:tcW w:w="1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4EE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耳麦</w:t>
            </w:r>
          </w:p>
        </w:tc>
        <w:tc>
          <w:tcPr>
            <w:tcW w:w="10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10E6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国标1、头带式全罩耳麦，具有良好的隔音性，音质还原出色，佩戴舒适可调节音量；2、采用单边线设计，能有效避免缠绕；3、频率响应20-20000Hz，额定输出功率15mw，最大输出功率30mw，阻抗32，欧姆灵敏度105±3dB，喇叭直径30mm；</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BE4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E26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262 </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793E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8013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9EB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3 </w:t>
            </w:r>
          </w:p>
        </w:tc>
        <w:tc>
          <w:tcPr>
            <w:tcW w:w="1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F4870">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五线谱电教板</w:t>
            </w:r>
          </w:p>
        </w:tc>
        <w:tc>
          <w:tcPr>
            <w:tcW w:w="10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41BF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1、五线谱电磁感应书写式电教板整体尺寸不小于1800mm×1000mm×60mm；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2、内存不少于10种调式、12种节奏、不能少于100种音色、不少于500首乐曲；</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3、控制面板不低于PC膜全数字电路控制、轻触式按键；</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4、LED及数码显示；双教鞭演示；任意和弦功能；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5、音准：a'=440HZ；音域G～a2，高音谱表2组、大谱表1组；带USB接口，可播放U盘的mp3格式的曲目；</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6、具有录音功能，录音时间不小于15分钟。可外接麦克风、音响；110V-250V稳定工作电压。</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★7、参照JY0001-2003《教学仪器设备产品的一般质量要求》标准，满足以下2项要求：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★7-1、教学仪器设备产品的外观要造型美观、色彩协调、规整光洁。表面不应有明显的擦伤、划痕和碰撞的坑疤；</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★7-2、塑料件表面应平整清洁，不应有划痕、溶迹、缩迹，不应有气泡、烧粉和夹生，边缘不应有毛刺、变形、破边和凹凸不平，不应有明显的浇口飞边。且其检测结果均为与标准要求一致。</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★8、参照GB21027-2020《学生用品的安全通用要求》标准，可迁移元素mg/kg（锑、钡、铬、汞、砷、镉、铅、硒）其检测结果为塑料均未检出。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★9、投标人需提供制造厂商出具的带CMA和CNAS标志的国家级检测报告复印件，且需注明本次招标采购项目名称及编号并加盖制造厂商公章。</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E80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块</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775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 </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E829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E1DA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A04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 </w:t>
            </w:r>
          </w:p>
        </w:tc>
        <w:tc>
          <w:tcPr>
            <w:tcW w:w="1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39CF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电子钢琴</w:t>
            </w:r>
          </w:p>
        </w:tc>
        <w:tc>
          <w:tcPr>
            <w:tcW w:w="10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4E24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键盘：88键力度触感标准键盘，防尘推拉盖，显示：多功能LED数码显示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数字键：0-9，+/-，等12个通用选择钮</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复音数：32</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音色：479种音色，包括128种GM标准PCM音色、19种民族音色、</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12组键盘打击乐音色（包括1组民族打击乐和1组效果音色）</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音色控制：延音，微调，力度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效果：8种混响类型，混响深度调节，混响开关；</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8种合唱类型，合唱深度调节，合唱开关</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节奏：203种节奏风格，包括11种民族节奏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伴奏控制：同步，启动/停止，前奏/尾奏，间奏，伴奏音量，伴奏速度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键盘控制：正常，单指和弦，多指和弦，键盘分离</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示 范 曲：85首(含80首中、小学音乐教育学习歌曲)</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播放学习歌曲时可选择隐去旋律部分或伴奏部分进行演奏练习</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录音功能：录音、放音、断电保存</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记忆存储：4x4组面板设置存储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接    口：电源，耳机，踏板，线路输出，MIDI输出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喇    叭：YD120- 15： 10W *4Ω*2</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7D7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95D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 </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8731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6AA0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523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5 </w:t>
            </w:r>
          </w:p>
        </w:tc>
        <w:tc>
          <w:tcPr>
            <w:tcW w:w="1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A0FC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学生用电子琴</w:t>
            </w:r>
          </w:p>
        </w:tc>
        <w:tc>
          <w:tcPr>
            <w:tcW w:w="10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CE3D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1、61键标准仿钢琴键盘，LED数码显示。300音色，300节奏,示范曲50首，延音、移调、颤音、滑音、前奏/尾奏、录音、放音功能；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伴奏控制：启动/停止、同步、速度控制、插入，和弦控制：单指和弦、多指和弦、和弦关闭智能教学，其它控制：电源开关、主音量控制、节奏音量控制，外接插孔：DC9V电源输入、耳机输出、话筒接口，音域：C2～C7，音准：≤5音分，随机附件：电源适配器、歌谱架、说明书。</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C0A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C8C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 </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30B9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A486D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2A3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6 </w:t>
            </w:r>
          </w:p>
        </w:tc>
        <w:tc>
          <w:tcPr>
            <w:tcW w:w="1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1822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六面体凳</w:t>
            </w:r>
          </w:p>
        </w:tc>
        <w:tc>
          <w:tcPr>
            <w:tcW w:w="10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7383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1、六面体结构，外形尺寸不小于295×345×400mm；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2、采用模具成型软塑料边条经机械封饰、配龄合型软防滑八角；</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3、可承重不小于100kg。</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★4、参照JY0001-2003《教学仪器设备产品的一般质量要求》标准，满足以下3项要求：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★4-1、教学仪器设备产品的外观要造型美观、色彩协调、规整光洁。表面不应有明显的擦伤、划痕和碰撞的坑疤；</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★4-2、喷塑层或喷油层表面应光洁平整，薄厚均匀、附着力强、不应有露底、污点、混色等缺陷；</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★4-3、木质件应平整清洁，无霉变、虫眼、死节、树脂漆（明子）和明显变形。且其检测结果均为与标准要求一致。</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★5、参照GB21027-2020《学生用品的安全通用要求》标准，可迁移元素mg/kg（锑、钡、铬、汞、砷、镉、铅、硒）其检测结果为涂层均未检出。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★6、参照GB18584-2001《室内装饰装修材料木家具中有害物质限量》标准，满足甲醛释放量检测结果1.4（技术标准要求≤1.5mg/L）。</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★7、投标人需提供制造厂商出具的带CMA和CNAS标志的国家级检测报告复印件，且需注明本次招标采购项目名称及编号并加盖制造厂商公章。</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170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7A5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142 </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1C23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9248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AE5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7 </w:t>
            </w:r>
          </w:p>
        </w:tc>
        <w:tc>
          <w:tcPr>
            <w:tcW w:w="1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0376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耳麦</w:t>
            </w:r>
          </w:p>
        </w:tc>
        <w:tc>
          <w:tcPr>
            <w:tcW w:w="10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6C0A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国标1、头带式全罩耳麦，具有良好的隔音性，音质还原出色，佩戴舒适可调节音量；2、采用单边线设计，能有效避免缠绕；3、频率响应20-20000Hz，额定输出功率15mw，最大输出功率30mw，阻抗32，欧姆灵敏度105±3dB，喇叭直径30mm；</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00C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个</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A04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92 </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9F94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bl>
    <w:p w14:paraId="00DF11EE">
      <w:pPr>
        <w:rPr>
          <w:rFonts w:hint="eastAsia"/>
          <w:color w:val="auto"/>
          <w:highlight w:val="none"/>
          <w:lang w:val="en-US" w:eastAsia="zh-CN"/>
        </w:rPr>
      </w:pPr>
    </w:p>
    <w:p w14:paraId="7E495902">
      <w:pP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br w:type="page"/>
      </w:r>
    </w:p>
    <w:p w14:paraId="171020FE">
      <w:pPr>
        <w:keepNext w:val="0"/>
        <w:keepLines w:val="0"/>
        <w:widowControl/>
        <w:suppressLineNumbers w:val="0"/>
        <w:jc w:val="left"/>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2、舞蹈教室教学设备</w:t>
      </w:r>
    </w:p>
    <w:tbl>
      <w:tblPr>
        <w:tblStyle w:val="27"/>
        <w:tblW w:w="149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96"/>
        <w:gridCol w:w="1578"/>
        <w:gridCol w:w="10357"/>
        <w:gridCol w:w="717"/>
        <w:gridCol w:w="750"/>
        <w:gridCol w:w="766"/>
      </w:tblGrid>
      <w:tr w14:paraId="29CDA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E33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CA4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名称</w:t>
            </w:r>
          </w:p>
        </w:tc>
        <w:tc>
          <w:tcPr>
            <w:tcW w:w="10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F4F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规格型号功能</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AC2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单位</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A76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数量</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B32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备注</w:t>
            </w:r>
          </w:p>
        </w:tc>
      </w:tr>
      <w:tr w14:paraId="64951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438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 </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6C6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钢琴</w:t>
            </w:r>
          </w:p>
        </w:tc>
        <w:tc>
          <w:tcPr>
            <w:tcW w:w="10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9BC8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1、88键标配重锤，琴盖带缓降；</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2、五金件颜色为银色,中盘材料选用实木拼板结构,使其耐变形且减少杂音源；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3、油漆黑色进口PE不饱和树脂漆,漆黑且清澈透亮,硬度2H以上,以保证耐磨耐用；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4、音板:实木复合音板；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5、桥码:A级榉木；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6、钢板:用HT150材料铸造而成,承重力为16吨以上；</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7、琴弦:采用德国露丝劳琴弦,悬壁式结构,最大张力145KG以上,最小张力不小于50KG；</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8、击弦机:止音尼毡为进口尼毡,平音头毡密度为0.16~0.22MM三角毡密度为0.25~0.30MM,色泽均匀一致,无分层,调整到位后,制音头离弦,贴弦一致,动手整齐有效；</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9、弦槌:红木榔头，毛毡采用进口呢，毡密度为0.4~0.9R的钢琴弦槌呢毡,色泽均匀一致,音色甜美,柔和,经久耐用；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10、键盘:复合键盘,克服了变形的缺陷,耐磨耐用；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11、配件：琴凳、琴罩、脚垫、键盘。</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001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架</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E75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6C96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D46B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C89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 </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D39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把杆</w:t>
            </w:r>
          </w:p>
        </w:tc>
        <w:tc>
          <w:tcPr>
            <w:tcW w:w="10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4D5E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水曲柳4米材质，直径55mm，内有直径22mm弹簧钢，表面聚脂清漆处理。地面固定式支架：立柱为直径48mm钢管，表面喷塑处理，内有直径32mm实心圆钢作升降杆，电镀防锈处理，升降高度为800至1100</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93B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根</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35A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5022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B38C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BE1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3 </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812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落地镜</w:t>
            </w:r>
          </w:p>
        </w:tc>
        <w:tc>
          <w:tcPr>
            <w:tcW w:w="10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EB0D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镜子厚度约5mm，垫底天然高密度板材，高级镀银镜面，成像不变形，铝合金包边。</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F2C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平米</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68E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C95F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FE53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C99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4 </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B8F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磁性黑板</w:t>
            </w:r>
          </w:p>
        </w:tc>
        <w:tc>
          <w:tcPr>
            <w:tcW w:w="10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55B6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规格2000mm×1200mm；2、书写面为白色钢质板面，表面平正，涂复层无脱落、起泡、龟裂、针孔、斑痕、凹凸不平等不良现象。背面采用与书写面板相同材质；3、附着度：用白板笔书写应手感流畅、笔迹均匀（在1米处观察），线条明显（在8米处观察）；4、易擦拭度：用新的白板擦往复擦拭白板上字迹，往复擦二次后在1米处观察无清楚的残留笔迹；用湿式黑板擦拭无淤积的残迹；5、用有磁性的教具在黑板各点测试应能牢靠吸附。</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C64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块 </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FEC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FECD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2B2E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CE2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5 </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6DB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木质地板</w:t>
            </w:r>
          </w:p>
        </w:tc>
        <w:tc>
          <w:tcPr>
            <w:tcW w:w="10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52D5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符合舞蹈训练标准</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C8C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平米</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F06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250</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2D5E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9775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5F3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6 </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A78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三阶梯合唱台</w:t>
            </w:r>
          </w:p>
        </w:tc>
        <w:tc>
          <w:tcPr>
            <w:tcW w:w="10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2305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合唱台技术参数：外形尺寸：1.2米*1米*0.8米，层数：三层，梯步宽度：第三层40cm，第一至第二层是40cm，梯步层高：27cm，材质铝合金</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AD4A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3E9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9BCC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2AD1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6C1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7 </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FFB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磁性黑板</w:t>
            </w:r>
          </w:p>
        </w:tc>
        <w:tc>
          <w:tcPr>
            <w:tcW w:w="10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094D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1、规格</w:t>
            </w:r>
            <w:r>
              <w:rPr>
                <w:rFonts w:hint="eastAsia" w:ascii="宋体" w:hAnsi="宋体" w:eastAsia="宋体" w:cs="宋体"/>
                <w:b/>
                <w:bCs/>
                <w:i w:val="0"/>
                <w:iCs w:val="0"/>
                <w:color w:val="auto"/>
                <w:kern w:val="0"/>
                <w:sz w:val="24"/>
                <w:szCs w:val="24"/>
                <w:highlight w:val="none"/>
                <w:u w:val="none"/>
                <w:lang w:val="en-US" w:eastAsia="zh-CN" w:bidi="ar"/>
              </w:rPr>
              <w:t>2000mm×1200mm</w:t>
            </w:r>
            <w:r>
              <w:rPr>
                <w:rFonts w:hint="eastAsia" w:ascii="宋体" w:hAnsi="宋体" w:eastAsia="宋体" w:cs="宋体"/>
                <w:i w:val="0"/>
                <w:iCs w:val="0"/>
                <w:color w:val="auto"/>
                <w:kern w:val="0"/>
                <w:sz w:val="24"/>
                <w:szCs w:val="24"/>
                <w:highlight w:val="none"/>
                <w:u w:val="none"/>
                <w:lang w:val="en-US" w:eastAsia="zh-CN" w:bidi="ar"/>
              </w:rPr>
              <w:t>；2、书写面为白色钢质板面，表面平正，涂复层无脱落、起泡、龟裂、针孔、斑痕、凹凸不平等不良现象。背面采用与书写面板相同材质；3、附着度：用白板笔书写应手感流畅、笔迹均匀（在1米处观察），线条明显（在8米处观察）；4、易擦拭度：用新的白板擦往复擦拭白板上字迹，往复擦二次后在1米处观察无清楚的残留笔迹；用湿式黑板擦拭无淤积的残迹；5、用有磁性的教具在黑板各点测试应能牢靠吸附。</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AA8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块 </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709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B0BC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bl>
    <w:p w14:paraId="2A675B30">
      <w:pPr>
        <w:rPr>
          <w:rFonts w:hint="eastAsia" w:ascii="宋体" w:hAnsi="宋体" w:eastAsia="宋体" w:cs="宋体"/>
          <w:b/>
          <w:bCs/>
          <w:i w:val="0"/>
          <w:iCs w:val="0"/>
          <w:color w:val="auto"/>
          <w:kern w:val="0"/>
          <w:sz w:val="20"/>
          <w:szCs w:val="20"/>
          <w:highlight w:val="none"/>
          <w:u w:val="none"/>
          <w:lang w:val="en-US" w:eastAsia="zh-CN" w:bidi="ar"/>
        </w:rPr>
      </w:pPr>
    </w:p>
    <w:p w14:paraId="4293A89E">
      <w:pPr>
        <w:rPr>
          <w:rFonts w:hint="eastAsia" w:ascii="宋体" w:hAnsi="宋体" w:eastAsia="宋体" w:cs="宋体"/>
          <w:b/>
          <w:bCs/>
          <w:i w:val="0"/>
          <w:iCs w:val="0"/>
          <w:color w:val="auto"/>
          <w:kern w:val="0"/>
          <w:sz w:val="20"/>
          <w:szCs w:val="20"/>
          <w:highlight w:val="none"/>
          <w:u w:val="none"/>
          <w:lang w:val="en-US" w:eastAsia="zh-CN" w:bidi="ar"/>
        </w:rPr>
      </w:pPr>
    </w:p>
    <w:p w14:paraId="5B4CE9C9">
      <w:pPr>
        <w:rPr>
          <w:rFonts w:hint="eastAsia"/>
          <w:color w:val="auto"/>
          <w:highlight w:val="none"/>
          <w:lang w:val="en-US" w:eastAsia="zh-CN"/>
        </w:rPr>
      </w:pPr>
      <w:r>
        <w:rPr>
          <w:rFonts w:hint="eastAsia"/>
          <w:color w:val="auto"/>
          <w:highlight w:val="none"/>
          <w:lang w:val="en-US" w:eastAsia="zh-CN"/>
        </w:rPr>
        <w:br w:type="page"/>
      </w:r>
    </w:p>
    <w:p w14:paraId="0B8F5285">
      <w:pPr>
        <w:keepNext w:val="0"/>
        <w:keepLines w:val="0"/>
        <w:widowControl/>
        <w:suppressLineNumbers w:val="0"/>
        <w:jc w:val="both"/>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3、音乐教学设备</w:t>
      </w:r>
    </w:p>
    <w:tbl>
      <w:tblPr>
        <w:tblStyle w:val="27"/>
        <w:tblW w:w="1533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22"/>
        <w:gridCol w:w="1300"/>
        <w:gridCol w:w="10595"/>
        <w:gridCol w:w="822"/>
        <w:gridCol w:w="711"/>
        <w:gridCol w:w="1186"/>
      </w:tblGrid>
      <w:tr w14:paraId="5F6A9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580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368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名称</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D62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规格型号功能</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5D4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单位</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AD0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数量</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C85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备注</w:t>
            </w:r>
          </w:p>
        </w:tc>
      </w:tr>
      <w:tr w14:paraId="74E3D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DDE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B253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五线谱电教板</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D915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1、五线谱电磁感应书写式电教板整体尺寸不小于1800mm×1000mm×60mm；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2、内存不少于10种调式、12种节奏、不能少于100种音色、不少于500首乐曲；</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3、控制面板不低于PC膜全数字电路控制、轻触式按键；</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4、LED及数码显示；双教鞭演示；任意和弦功能；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5、音准：a'=440HZ；音域G～a2，高音谱表2组、大谱表1组；带USB接口，可播放U盘的mp3格式的曲目；</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6、具有录音功能，录音时间不小于15分钟。可外接麦克风、音响；110V-250V稳定工作电压。</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★7、参照JY0001-2003《教学仪器设备产品的一般质量要求》标准，满足以下2项要求：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★7-1、教学仪器设备产品的外观要造型美观、色彩协调、规整光洁。表面不应有明显的擦伤、划痕和碰撞的坑疤；</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★7-2、塑料件表面应平整清洁，不应有划痕、溶迹、缩迹，不应有气泡、烧粉和夹生，边缘不应有毛刺、变形、破边和凹凸不平，不应有明显的浇口飞边。且其检测结果均为与标准要求一致。</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★8、参照GB21027-2020《学生用品的安全通用要求》标准，可迁移元素mg/kg（锑、钡、铬、汞、砷、镉、铅、硒）其检测结果为塑料均未检出。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★9、投标人需提供制造厂商出具的带CMA和CNAS标志的国家级检测报告复印件，且需注明本次招标采购项目名称及编号并加盖制造厂商公章。</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C90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块</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29C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0F3F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52C6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2B3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1F2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五线谱教学黑板</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3EB3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1、尺寸不小于2000mm×1000mm；板面厚度≥0.6mm；2、镀锌金属背面，厚度为≥0.3mm；材质不低于2A优质纸板；铝合金边框。丝网印刷，四组五线谱,书写平稳、流利。</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DCF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BC3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1AF4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8027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E00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98D8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钢琴</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D669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型号：121型1、88键标配重锤，琴盖带缓降；</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2、五金件颜色为银色,中盘材料选用实木拼板结构,使其耐变形且减少杂音源；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3、油漆黑色进口PE不饱和树脂漆,漆黑且清澈透亮,硬度2H以上,以保证耐磨耐用；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4、音板:实木复合音板；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5、桥码:A级榉木；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6、钢板:用HT150材料铸造而成,承重力为16吨以上；</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7、琴弦:采用德国露丝劳琴弦,悬壁式结构,最大张力145KG以上,最小张力不小于50KG；</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8、击弦机:止音尼毡为进口尼毡,平音头毡密度为0.16~0.22MM三角毡密度为0.25~0.30MM,色泽均匀一致,无分层,调整到位后,制音头离弦,贴弦一致,动手整齐有效；</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9、弦槌:红木榔头，毛毡采用进口呢，毡密度为0.4~0.9R的钢琴弦槌呢毡,色泽均匀一致,音色甜美,柔和,经久耐用；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10、键盘:复合键盘,克服了变形的缺陷,耐磨耐用；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11、配件：琴凳、琴罩、脚垫、键盘。</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385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C48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3AE1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48FB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755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29E2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电钢琴</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8191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键盘：88键力度触感标准键盘，防尘推拉盖，显示：多功能LED数码显示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数字键：0-9，+/-，等12个通用选择钮</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复音数：32</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音色：479种音色，包括128种GM标准PCM音色、19种民族音色、</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12组键盘打击乐音色（包括1组民族打击乐和1组效果音色）</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音色控制：延音，微调，力度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效果：8种混响类型，混响深度调节，混响开关；</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8种合唱类型，合唱深度调节，合唱开关</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节奏：203种节奏风格，包括11种民族节奏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伴奏控制：同步，启动/停止，前奏/尾奏，间奏，伴奏音量，伴奏速度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键盘控制：正常，单指和弦，多指和弦，键盘分离</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示 范 曲：85首(含80首中、小学音乐教育学习歌曲)</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播放学习歌曲时可选择隐去旋律部分或伴奏部分进行演奏练习</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录音功能：录音、放音、断电保存</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记忆存储：4x4组面板设置存储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接    口：电源，耳机，踏板，线路输出，MIDI输出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喇    叭：YD120- 15： 10W *4Ω*2</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FC8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44B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0850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0A2E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642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1DB6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多媒体教学系统</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9699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86寸一体机+音乐教学系统软件;86寸一体机参数要求：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一、教学一体机整体要求：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1、整机采用一体化全金属外壳设计，边角采用弧形设计，表面无尖锐边缘或凸起；整机屏幕边缘采用金属圆角包边防护，整机背板采用金属材质，外观简洁。</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2、整机屏幕采用86英寸 UHD超高清LED 液晶屏，显示比例16:9，侧视角（水平视角）≥178°；</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3、整机均支持普通粉笔、液体粉笔、水溶性粉笔进行板书书写，便于老师完整书写教学内容；</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4、整机采用硬件低蓝光背光技术，在源头减少有害蓝光波段能量，蓝光占比（有害蓝光415～455nm能量综合）/（整体蓝光400～500能量综合）＜50%，低蓝光保护显示不偏色、不泛黄；</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5、具有独立扩声系统，可实现单独听功能，在关闭显示部分的待机情况下仍可将接入的多媒体信号混音后通过设备内置音箱播出实现扩声功能，轻触显示部分可点亮屏幕；</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6、内置触摸中控菜单，将信号源通道切换、亮度对比度调节、声音图像调节等整合到同一菜单下，无须实体按键，在任意显示通道下均可通过手势在屏幕上调取该触摸菜单，方便快捷；</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★7、为满足教师实际教学需求，可便捷外接所需的设备，整机前置USB3.0接口≥3个；HDMI接口≥1个； Type-C接口≥1个；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★8、为提升课堂视听体验并确保声场均匀，整机内置的扬声器应具备中高音的音响单元，各音响单元额定功率数值应为一致，扬声器单元≥4个，每个扬声器的额定功率≥15w，总功率≥60w；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★9、整机扬声器在100%音量下，可做到1米处声压级≥90db，10米处声压级≥78dB，能够有效保障教室后排学生听觉感受；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10、内置无线传屏接收端，无需外接接收部件，无线传屏发生器与整机匹配后即可实现传屏功能，将外部电脑的屏幕画面通过无线方式传输到整机上显示；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11、整机可支持扩音功能，无需外接音响，任意无线麦克风可通过大屏扩音，延时≤30ms；同一个 USB 接口可支持同时在 Windows 及 Android 系统下被读取，具有无线麦克风音频智能对接功能；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12、整机支持半屏模式，将Windows显示画面上半部分下拉到屏幕下半部分显示，此时可以正常触控操作Windows系统，点击非Windows显示画面区域（屏幕上半部分），可退出该模式；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13、整机接入单根网线可实现Android、Windows双系统有线网络连通。</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14、整机采用红外触控技术；在Windows 7、Windows 8、Windows 10、Linux、Mac Os系统外置电脑操作系统接入时，无需安装触摸驱动；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★15、整机视网膜蓝光危害（蓝光加权辐射亮度 LB）符合 IEC62471 标准，LB 限值范围≤0.15（蓝光危害最大状况下）；</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16. 整机内置≥1600万像素摄像头麦克风，无需外接线材连接，任何可见外接线材及模块化拼接痕迹，未占用整机设备端口，摄像视场角≥145°,水平视场角可达到121°,支持输出4:3、16:9比例的图片和视频；可拍摄输出4K分辨率的视频、图片；（提供封面具有CNAS标志的权威检测机构的检测报告复印件加盖原厂红色公章）</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16、支持在系统中配置前置物理按键功能。如用户可以设置按键功能为短按或者长按响应，响应的功能是一键开关ops、ops一键还原、一键除蓝光；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17、整机屏幕触摸有效识别高度不超过3.5mm,，即触摸物体距离玻璃外表面高度不超过3.5mm时，触摸屏识别为点击操作；</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★18、支持2.4GHz和5GHz双频WiFi， Wi-Fi和AP热点工作距离≥15m，AP热点支持50个以上用户终端在线网络连接。</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19、整机为双系统设计，嵌入式安卓操作系统版本为Android14；同时嵌入式Android操作系统下可实现windows系统中常用的教学应用功能，如白板书写、WPS软件使用和网页浏览，安卓系统ram≥4G；rom≥32G；</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20、Android系统自带的白板软件，内容支持通过移动端扫描二维码或邮件的方式实现文件共享及板书内容共享，并支持以设备内置的文件的格式、PDF、图片的格式进行本地存储及再次编辑；</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21、安卓主页面提供≥5个应用程序，安卓主页面具备信号源预览窗口，支持PC通道、HDMI通道的信号源预览功能；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22、为方便教学，双系统具有智能手势开关黑板背光功能、双系统一键切换、双系统共享USB接口、HDMI输出共享、双系统网络共享；</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23、整机内置触摸中控菜单，可查看当前正在运行的进行，支持应用切换，在全屏应用下无需退出全屏应用即可进行切换；支持应用关闭，以及关闭所有应用。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二、内置电脑</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1、处理器：不低于 Intel® Core™ i5-12450H</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2、内存容量：不低于8GB；</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3、硬盘容量：不低于256G固态硬盘；</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4、PC模块可抽拉式插入整机，可实现无单独接线的插拔；</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5、和整机的连接接口针脚数≥80pin；</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6、电脑模块无需工具即可快速拆卸电脑模块；</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7、具有标准PC防盗锁孔；</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8、整机具备供电保护模块，能够检测内置电脑是否插好在位，在内置电脑未在位的情况下，内置电脑无法上电工作。</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三、软件整体设计：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整体要求：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1、教学软件为备授课一体客户端，同时具备备课模式和授课模式，在软件安装完成后可自有切换备课和授课模式，方便在不同场景下使用；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2、教学软件可支持教师自主注册账号，可使用账号密码登录或使用微信扫码绑定账号完成登录，支持解绑账号与微信号关系进行重新绑定；</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3、平台支持根据用户的经验等级在基础网盘空间大小上扩容网盘空间，最大等级为30级，最大网盘空间为200GB；</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支持教师通过电脑客户端、移动端APP将网盘资源分享给其他教师，支持链接分享和二维码海报两种方式分享资源，APP支持将二维码保存至本地、分享至微信及QQ联系人，支持在分享时自动生成提取码，无需人工设置；</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★5、支持提供PPT 、WPS插件，同时支持原生 Office、WPS 环境下备课，教师可将课件内容一键上传更新至教师云空间，方便在授课时直接下载使用云端资源。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6、具有校本拓展资源应用，支持用户自定义校内资源共享目录，支持自定义三级目录，支持通过权限控制设置全部教师用户和指定教师用户上传资源，其他教师允许查看并下载资源。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备授课系统：</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★1、教学软件支持文档授课，将word、pdf资源上传至个人网盘，授课端直接打开实现文档授课，支持对文档进行放大缩小，支持放大到150%，书写笔迹需跟随文档移动不偏移，支持在画笔模式下多指进行文档移动。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2、支持聚焦功能，聚焦框可选择需要重点查看的区域，对框选区域进行放大、关灯、全屏；框选区域可直接插入白板、对比讲解、可实现不少于4张图片的同屏讲解，支持选择本地图片加入对比讲解；</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提供手写函数识别功能，可手写函数实时识别函数转化为打印体，自动在坐标系中生成对应的函数图像，支持选择函数公式标记对对应的函数图像，可在同一坐标系中绘制6个不同类型的函数图像，展示出两个函数相交点的坐标，支持将函数一键插入到白板中并再次对函数进行编辑修改。</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在授课端支持英文字母教学工具，可点击字母查看字母在四线三格中的标准写法，展示书写笔顺示意，可点击读音进行字母发音，支持以动画形式展现书写笔顺，对每个字母提供三个相关单词并对单词配以插画示意，支持点击单词进行点读发音。</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5、支持插入音频、视频，并支持在PPT中对音频、视频进行打点，对打点内容进行重命名，支持在PPT播放状态下快速点击标记点，自动跳转至标记点；</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支持在当前白板页面通过双指拖动的方式实现无限板书的功能，支持白板讲解和笔迹留存功能，白板页面支持横向和纵向滑动扩展，支持新建20页白板内容，并可对白板内容进行擦除、区域擦除、一键清空、撤销上一步操作；</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支持8种形式的互动游戏，包含分组竞争、趣味分类、超级分类、连一连、判断对错、选择题、选词填空、翻翻卡，每种互动游戏支持6种模板供教师选择，支持教师自定义游戏背景，并选择开启和关闭音效，设置游戏难度，支持直接选择并输入相应内容即可生成互动游戏，支持一键插入课件PPT，并在PPT中进行动画互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需同时在备课端、授课端支持提供汉语拼音教学功能，教师可在四线格中输入或者选择声母、韵母或整体认读拼音字母，可匹配出正确的四声调读音，可支持读音发音，可在授课时进行拼音字母修改扩展教学，拼音字母需为标准手写体字体；</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9、支持任何界面一键返回桌面，支持自由切换课件、桌面、白板及电子教材内容。</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移动授课：</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1、支持安卓、ios移动客户端一键扫码连接大屏，实现移动授课功能。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支持将手机桌面同步投屏至大屏上，并支持切换窗口模式，自由调整窗口大小，支持根据手机横竖屏自动切换投射画面的横竖屏样式，支持投屏时将手机正在播放的音视频资源的声音同步投送到大屏上，手机调整音量与大屏设备播放的音量调整互不干扰。</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★3、支持通过微信拍照，使用微信扫码即可拍照上传。上传至教学软件相册，支持一次性从教学软件相册中选择10张图片显示在白板上，实现显示在白板软件上的图片互不叠加。</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4、支持APP拍照上传实现与大屏上传图片同步批注、清除笔迹、贴奖章、全屏、放大、缩小、切换操作，APP与大屏教学软件的操作需双向同步，支持最小化窗口和展开窗口。</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支持APP上传个人资源，支持选择相册图片或拍照上传，至多支持9张图片同时上传；支持扫描文件上传，可至多拍摄10张图片，支持通过拖动方式调整图片顺序，支持重新拍摄或删除单张照片，扫描完成后自动生成PDF文档并上传至个人网盘。</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音乐教学软件参数要求：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一、软件概要：</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★1.1智慧音乐教育平台具备账号登陆功能，软件与使用硬件通过20位激活码绑定，设备校验通过方可正常运行。本软件为跨平台开发，可支持 Windows、Android 、Web 端和 Mac 端部署。（以上参数为重要参数，需提供含CMA、CNAS与参数一致的测试报告加盖厂家公章予以佐证）</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1.2软件系统分为：教学功能、学习资源、实操练习三大模块子系统，即软件界面需具备“教”、“学”、“练”三大子系统功能按钮，选择子系统内的功能模块可任意组合开展教学，系统具备底部导航栏功能，可在已打开模块中快捷切换。</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二、首页</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2.1具备“最近使用课本”功能，功能展示教师最近一次使用的课本信息，包括使用时间、授课到第几单元、第几课。点击继续上课按钮，可跳转打开到上次课堂位置继续授课。点击换一课按钮，可跳转打开所有书本界面，任意选择其他书本及课程开展授课。点击备课按钮，可打开后台备课功能，教师可查看与调整备课内容。（以上参数为重要参数，需提供含CMA、CNAS与参数一致的测试报告加盖厂家公章予以佐证）</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2.2具备“常用功能”列表，常用功能默认包括：课本教学、乐器教学、音乐百宝箱、音乐字典等功能按钮，点击可快速跳转到对应功能界面。</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★2.3具备“每日红歌推荐”功能，系统根据曲库资源，每天随机自动推荐红色经典专辑3 张，教师点击即可打开播放，方便教师开展爱国主义教育。歌曲包括但不限于音频和视频，具备“换一批”功能按钮，点击后更换3张专辑。（以上参数为重要参数，需提供含CMA、CNAS与参数一致的测试报告加盖厂家公章予以佐证）</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三、【教】板块</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教板块含有 11 个子模块，包含课本教学、音乐家和乐器、打击乐器教学、乐器仿真、节奏教学、歌曲创作、乐理教学、音乐常识课、乐理视唱练耳课、少儿乐唱古诗词，儿童合唱课；便于教师快捷授课以及拓展教学。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3.1 课本教学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课本教学以正规出版社音乐教材为载体，链接教学、备课资源，具备常用功能快捷按钮，方便教师以书本为基础开展常规授课内容。</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（1）具备书架功能，书架列出所有可用的书本，教师可任意选择打开。</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（2）具备目录功能，选择一本书打开后，即显示目录信息，包括但不限于单元信息列表、每单元所包含课信息列表、每课所包含备课课件信息列表，点击某一课的开始授课按钮即可进入授课界面。</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授课界面展示对应课的电子书页，左右具备翻页按钮，屏幕下方具备快捷工具栏。备课内容、授课资源分为公共课件与我的资源，公共课件为系统内置的所有人可使用资源，我的资源为教师用户本人的私有资源，教师登陆后台管理系统后，编辑完成的备课内容，即为教师的私有资源。课件与资源包括但不限于音频、视频、图片、文字、office文档等形式，打开课件列表选择任一资源课件即可开展授课。</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4）快捷工具栏功能：具备返回目录、切换上一课/下一课按钮，具备公共课件、我的资源功能；具备钢琴键盘、节拍器、指法展示、画笔标注工具功能；具备音乐字典功能按钮，点击打开音乐字典小窗口，可搜索查询音乐知识点，方便用于教学知识点补充讲解；具备歌曲查找功能按钮，依托于音乐百宝箱功能，点击可打开百宝箱小窗口，可搜索查询音乐资源库用于音乐播放讲解。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3.2 音乐家和乐器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音乐家和乐器模块包含中国乐器、中国古代音乐家、中国近现代音乐家、西方乐器和西方音乐家总计300个条目的图文介绍知识，可搭配音乐词典使用，方便教师展开音乐家和乐器的讲解。（以上参数为重要参数，需提供含CMA、CNAS与参数一致的测试报告加盖厂家公章予以佐证）</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3.3 打击乐器教学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打击乐器教学模块包含常用打击乐器的教学视频，包含三角铁、串铃、八音钟、双响筒、响板、手摇铃、手鼓、打棒、木鱼、棒棒糖鼓、沙蛋、沙锤、火车哨、碰钟、铃鼓、雨声筒、非洲鼓和音砖等乐器的介绍视频和演奏方法教学视频。（以上参数为重要参数，需提供含CMA、CNAS与参数一致的测试报告加盖厂家公章予以佐证）</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3.4 乐器仿真</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以图形动画技术为基础，软件仿真乐器样式以及使用方法。仿真乐器包括但不限于常见的校级常备乐器，如竖笛、陶笛、口风琴、葫芦丝、吉他、架子鼓等。吹奏类乐器包括样式、吹奏气息、指法示例等功能。（以上参数为重要参数，需提供含CMA、CNAS与参数一致的测试报告加盖厂家公章予以佐证）</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3.5 节奏教学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以卡通角色、常见打击乐器为基础的动画实现节奏创编及乐器演奏，教师可根据实际教学需求选择所需乐器添加到节奏点中，可在节奏编辑区块自由添加组合形成一段完整节奏并完整循环播放，教师可进行节奏教学、亦可引导学生进行节奏创意游戏或为演唱及歌曲伴奏，总计 4 种组合动画呈现，每组由 3 种打击乐器合奏组成。（以上参数为重要参数，需提供含CMA、CNAS与参数一致的测试报告加盖厂家公章予以佐证）</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第一组卡通角色为小猴，打击乐器为定音鼓、三角铁；第二组卡通角色为小牛，打击乐器为镲片、底鼓和小鼓；第三组卡通角色为小羊，打击乐器为响木和打棒；第四组卡通角色为小公鸡，打击乐器为康佳鼓、牛铃。（以上参数为重要参数，需提供含CMA、CNAS与参数一致的测试报告加盖厂家公章予以佐证）</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（3）互动方式：动画中的乐器可点击，点击后出现演奏动画并发出对应音色声音，可点击播放整体节奏，循环播放，可随时暂停。</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3.6 旋律创编</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旋律创编模块可制作简易旋律，通过点击网格添加音符和鼓点，可以链接 midi 键盘创作，可使用麦克风演唱，系统会识别记录，最终形成一首乐曲。</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旋律创编板块界面由三部分组成，上部分为旋律创作板块，可自由添加七色音符，不同颜色代表不同音高，可在选中音域中选择音符逐拍添加，中部为节奏点添加，可逐拍添加轻重节奏点，底部为功能菜单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（2）总计有 5 种音色（钢琴、弦乐、木管、合成器、马林巴）可选，总计有 4种节奏点（电子鼓、木鱼、架子鼓，康佳鼓）可选，可调节歌曲速度，速度范围 40-240；点击播放按钮可循环播放所创作的乐曲，并可随时停止；乐曲播放时七彩色块随乐曲播放跳动。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（3）功能菜单栏可调节乐曲段落数，小节数和拍数，控制乐曲时长；可选择 1-16段落 、2-7小节数、2-4 拍，可选择大调、民族调式和半音音阶，可选择12 种乐曲调式，可设置 1-3 个八度音域范围。</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（4）打开语音识功能，可AI智能识别演唱音高。</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3.7 乐理教学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（1）支持五线谱打谱、播放、识谱教学，支持通过键盘、鼠标/触屏、屏幕虚拟钢琴键盘或实体键盘等多种输入方式进行音符的添加与编辑。</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（2）添加编辑音符，支持小节内时值及乐理规则自动判断，小节内时值上限支持根据拍号自动计算，小节已满后自动新增小节并添加音符。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（3）添加音符符尾连接支持自动判断连接；符干朝向支持根据音高自动切换。</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（4）在实体键盘上按下琴键，既可在五线谱或简谱上实时显示其对应音符，支持实时播放对应音符音高声音。</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（5）支持通过实体键盘添加音程和弦。按下和弦时，软件支持自动计算并显示对应和弦名或音程名，涵盖常见的音程关系、三和弦、七和弦等，便于开展音程及和弦教学讲解。</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（6）支持调式调性的讲解，具备五度循环圆盘调式切换功能，具备大调小调的对照显示。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（7）系统默认为C大调，切换调号后，乐谱上自动更新调号显示。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（8）屏幕虚拟钢琴键盘具备显示/隐藏键盘提示功能，显示提示时每个按键上的简谱及唱名显示。支持根据当前调号自动计算简谱及唱名显示。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（9）添加音符支持32分音符、16分音符、8分音符、4分音符、2分音符、全音符，支持添加音符附点功能。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（10） 支持添加32分休止符、16分休止符、8分休止符、4分休止符、2分休止符、全休止符。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（11）支持添加重升记号、升记号、还原记号、降记号、重降记号，选择升级记号后，添加音符时自动关联音符。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（12）支持拍号实时切换功能，切换拍号后，乐谱实时刷新显示。拍号支持常见的1/4、2/4、3/4、4/4、3/8、6/8、7/8、9/8、12/8等拍号。</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（13）支持谱表谱号的实时切换功能，切换谱表后，乐谱实时刷新显示对应的谱表谱号。谱表支持大谱表、高音谱表、中音谱表、低音谱表。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（14）添加音符完成后，可即时播放创作的旋律。系统默认以钢琴音色进行播放，可切换音色进行播放。</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（15）播放控制支持播放/暂停、重新播放、循环播放功能；具备速度调整功能，可自定义播放速度，调整后可实时改变速度。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3.8 教学拓展资源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教学拓展资源模块包含常用音乐常识课、乐理视唱练耳课、儿童合唱课程、少儿乐唱古诗词等。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（1）音乐常识课</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音乐常识课模块含有20课时的常识课内容，内容涉及：</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1.中、西音乐历史发展简要进程、各个时期主要的音乐流派、风格和代表性音乐家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2.音乐中复杂和矛盾情绪发展及其对比的表现，辨识变奏曲、奏鸣曲式等较为复杂结构的曲式；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3.中国古典歌曲、说唱、艺术歌曲等声乐体裁；</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4.清唱剧、康塔塔、组歌、弥撒曲、协奏曲等声乐套曲表现形式；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5.音乐在戏曲、歌剧、舞剧、影视等综合艺术领域中的作用；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以图文形式呈现，另配有每节课所需音频。</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（2）乐理视唱练耳课</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含有初级课程及中级课程，共39课时的内容，包括音乐学习者必须掌握的基本乐理和视唱练耳的技能和方法，其中的“视唱练耳”，就是一种将所见的乐谱如何转化成演唱、演奏，以及将所听到的音乐如何记录成乐谱的技术性训练。“基本乐理”，则是对乐谱上的符号与一些相应的概念性名词，如何体现作为音乐的音及其关系的理论阐释。或换言之，就是解释乐谱为什么要把音乐这样记录下来的理由和记录乐谱所必要的、国际通用的规范。以教师授课ppt图文形式呈现，另配有每节课所需音频。</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（3）儿童合唱课程</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含有20节课程内容资源，涉及儿童合唱学习中的呼吸练习、共鸣练习、起声练习、连音练习、节奏练习、音准练习、扩展音域练习、断音练习、连断音练习、多声部练习；包含合唱歌曲《为了美好的明天》、《明亮的小河》、《小湖里有只鸟》、《小黄莺和小布谷》、《绿色的雨》、《校门前的小街》、《校园里的小溪》、《花伞》、《我们有红黄蓝》、《红黄蓝新少年》、《我们是快乐的百灵鸟》、《珍惜时光》、《溪水姑娘》，配文及乐谱，以图文形式展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（4）少儿乐唱古诗词</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少儿乐唱古诗词模块含有《池上》、《敕勒歌》、《出塞》、《春晓》、《登鹳雀楼》、《独坐敬亭山》、《赋得古原草送别》、《古朗月行》、《画》、《画鸡》、《黄鹤楼送孟浩远之广陵》等 49 首诗歌的图文介绍以及音频朗诵、范唱和伴奏的播放，并能调节播放速度。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四、【学】板块</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4.1 音乐百宝箱</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音乐百宝箱包含中国声乐、中国器乐、西方器乐、欣赏视频和教学视频五大模块的音视频资源，内容涉及中国当代红歌、军歌、中国民族歌曲、全国优秀青年词曲作家歌曲、交响乐、京剧，戏曲以及100部童歌颂党系列等贴合新时代主题的音乐资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音频库包含：《中国人民解放军军乐团——国歌》《中国人民解放军军乐团——国际歌》《中国人民解放军军乐团——歌唱祖国》《中国人民解放军军歌》《我和我的祖国(新编)》《没有共产党就没有新中国》《礼赞中国》《我爱你中国》《黄河船夫曲》《黄河颂》《黄水谣》《青藏高原》《不忘初心》《灯火里的中国》《多想为你唱支歌》《让红旗飘》《建国大业》《军人的荣耀》《追寻》《少儿乐唱古诗词》《新学堂歌》《穆桂英挂帅》《香格里拉》《大江东去》《嘉陵江上》《祖国，慈祥的母亲》《我爱你，中华》《小康之歌》《祖国在我心中》《江山无限》《新时代中国钢琴原创作品精粹》《春晓》《枫桥夜泊》《大江东去》《满江红》《清平乐·春归何处》《我住长江头》《江城子》《游子吟》《咏鹅》《七步诗》《敕勒歌》《长歌行》《乌苏里情歌》《闽韵》《琴赏牡丹》《绣江南》《陕北民歌音画精选100首》《草原夜色美》《笛韵天籁》《请你唱支歌吧》《国乐风华——第七届中国民族管弦乐》《马思聪小提琴独奏作品全集》《曲艺名家马增慧先生作品选》等2450首音频资源。（以上参数为重要参数，需提供含CMA、CNAS与参数一致的测试报告加盖厂家公章予以佐证）</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★（2）视频库包含：《童声传递中国梦》《初心与恒心》《追光者》《我爱你中国》《“筝”得经典 红歌演奏曲集》《东方最美的红：童歌颂党100首》《哈农钢琴练指法 声像教学版》《小奏鸣曲集 声像教学版》《什密特16声像教学版》等795个视频资源。（以上参数为重要参数，需提供含CMA、CNAS与参数一致的测试报告加盖厂家公章予以佐证）</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4.2 音乐词典</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音乐词典模块包含中国音乐词典分类、百科分类两大类，其中中国音乐词典分类包含乐律学、音乐类型、活动、体裁及创作表演术语、古代音乐及有关机构/团体/学校、近代、现代音乐及有关机构/团体/学校、书刊、人物、民歌、民间歌舞、曲艺音乐、戏曲、词曲音乐、器乐、音乐教育；百科分类包含音乐家：理论、作曲、演奏、声乐、教育、指挥、戏曲/曲艺、中国古代等；作品：中国传统音乐、声乐、器乐、综合性表演艺术、世界民族音乐等；乐器：中国乐器、外国乐器；术语：乐理、体裁/乐种、风格/流派、表情术语、乐器部件、音乐教育、职官等；音乐活动；书刊/专辑；机构组织等20750个词条可查阅，支持快速搜索查看。（以上参数为重要参数，需提供含CMA、CNAS与参数一致的测试报告加盖厂家公章予以佐证）</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五、【练】板块</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5.1 曲谱练习</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曲谱练习模块为教师和学生提供了乐谱练习库，难度由易到难，包含《约翰·汤普森简易钢琴教程1》《约翰·汤普森简易钢琴教程2》《约翰·汤普森简易钢琴教程3》《约翰·汤普森简易钢琴教程5》《拜厄钢琴基本教程》《哈农钢琴练指法》《表演秀系列-古典乐曲1》《表演秀系列-古典乐曲2》《表演秀系列-古典乐曲3》《表演秀系列-古典乐曲4》《表演秀系列-古典乐曲5》《表演秀系列-中国乐曲1》《表演秀系列-中国乐曲2》《表演秀系列-中国乐曲3》《表演秀系列-中国乐曲4》《表演秀系列-中国乐曲5》《表演秀系列-中国乐曲6》《车尔尼钢琴初级教程作品599》《车尔尼钢琴流畅练习作品849》《车尔尼钢琴练习曲50首 作品740（699）》《巴赫初级钢琴曲集》《布格缪勒25首钢琴进阶练习曲》《世界儿童钢琴名曲集第一卷》《世界儿童钢琴名曲集第二卷》《世界儿童钢琴名曲集第三卷》《什密特钢琴五指练习曲作品16》《趣味钢琴曲选（一）》等1000份乐谱资料。（以上参数为重要参数，需提供含CMA、CNAS与参数一致的测试报告加盖厂家公章予以佐证）</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（2）曲谱可正常播放，支持128种音色，可调节速度，可打开节拍器。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5.2 学业测评</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学业测评板块，依据义务教育艺术课程标准（2022版）及正规音乐出版社义务教育教科书为基准，提供18套符合小学、初中的音乐测试题；包含小学1-6年级上下学期、初中1-3年级上下学期试卷。以图文形式呈现。</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软件说明：本软件采用创新的一体化加密技术，摒弃了传统依赖加密狗、U盘或外接加密硬件的模式，直接与主机系统无缝集成。这一革新不仅优化了一体机与多媒体接口的使用效率，还显著减少了因外置加密设备遗失而导致的安全隐患及维护成本，彰显了技术的前瞻性和实用性。需提供本产品含CMA、CNAS标识的产品检测报告与软件著作权证书复印件加盖厂家公章（为保证产品的稳定性，检测报告产品名称需与软件著作权产品名称一致）</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A4E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101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61D8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2262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785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4143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收录机</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7A33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单卡，支持U盘、内存卡，可读光盘。</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EAA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DEE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1177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6063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113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D134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音响系统</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75D1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CD、功放、音箱、卡拉OK功能等；1.CD机配DVD机；2.功放AC220V，有效输出功率50W+50W，扩音功率50W+50W。频响50HZ——15000HZ，信噪比：100db,4路话筒输入，4路线输入，2路线输出；3.卡座：单卡，带USB接口；4.音箱，有效功率50W+50W，峰值功率300W+300W。频响30HZ——100000HZ</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941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403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F588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E0A9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BB6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DF09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音乐教学挂图</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5C1C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1、含音乐家挂图、乐器挂图、识谱知识挂图；2、材质：铜版纸，套：100幅。</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EE4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559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E716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F93A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534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95F0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音乐教学用品柜</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82E5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1、规格：1000mm×500mm×2000mm；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2、柜体衬板：用厚度为16mm±0.3mm，灰白色双面三聚氰胺板，外漏截面采用1.5mm厚塑制优质封边条机械封边；</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柜体框架：采用模具成型的专用铝合金方管制作，通过ABS专用连接件组装而成。前立柱.前横梁外径不小于25mm×30mm（误差≤±1mm），后立柱.后横梁外径为30mm×30mm（误差≤±1mm），铝合金管材的壁厚≥1.1mm（误差≤±0.15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4、柜门：上部为专用木框对开玻璃门，下部为对开木门，不锈钢拉手。柜门采用优质不锈钢定位铰链，铰链的壁厚不小于1.5mm；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隔板：上柜设置2块活动隔板，下柜设置1块固定隔板。隔板所用的板材与柜体板材相同，厚度不小于16mm。隔板采用“［”型槽板包边（槽板材料为冷轧钢板，其尺寸为20mm×20mm，壁厚1.0mm，槽宽与隔板厚度匹配，表面需进行喷塑处理），槽板与隔板用万能胶固定；</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6、高度升降条：上部柜体内侧均应安装高度升降条（1.0mm冷轧钢板制作），每侧2根，至少带12个活动支撑座；</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7、支脚：采用直径不小于10mm的金属螺杆与ABS工程塑料一次注塑成型的脚垫。</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ADDC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套</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A26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F9EE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8FED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7D2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2B5E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电子琴</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95C8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1、61键标准仿钢琴键盘，LED数码显示。300音色、300节奏,示范曲50首，延音、移调，颤音,滑音，前奏/尾奏。录音,放音功能；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伴奏控制：启动/停止、同步、速度控制、插入，和弦控制·单指和弦、多指和弦、和弦关闭智能教学，其它控制、电源开关、主音量控制、节奏音量控制，外接插孔·DC9V电源输入、耳机输出、话筒接口，音域·C2～C7音准·≤5音分，随机附件·电源适配器、歌谱架、说明书。</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462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890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4E3F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62CC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9BF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ECEF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手风琴</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9814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96贝司</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1、37健；</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2、健盘7个变音器；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3、贝司3个变音响；</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4、音域：f—a3；</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5、配件：琴包1个，背带1副。</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971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ABB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E6AE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6841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DC0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3BEE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教材配套音像资料</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B561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光盘1盘</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0FF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盘</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717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FAF9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11E1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1B6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1BCB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音像教学资料</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96CA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光盘，1个</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0AF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3C2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120</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19C9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281D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0C5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C4E1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音乐教学软件</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6D6A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光盘1盘</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5B0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78C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B51B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1F2B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EEF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A18E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自制教具材料</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AFFE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舞蹈扇、头饰、彩纸、彩绸、吹塑纸、手腕花，成套包装。满足现行音乐教材教学需要。</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32D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65F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A165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450D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91F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9F78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多用划线规</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1927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1、材质：高级硬塑制；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2、尺寸：划线规长约：120mm，划线规宽约：100mm，划线规厚约：25mm，夹持装卸粉笔稳定方便，牢固耐用。多用，可画五线谱、四字格、圆，能在黑板上划四线格、五线格、小方格、田字格、画圆、几何图形。</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22A2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7C5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4DDD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820B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C70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882F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电子琴</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79F0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1、61键标准仿钢琴键盘，LED数码显示。300音色、300节奏,示范曲50首，延音、移调，颤音,滑音，前奏/尾奏。录音,放音功能；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伴奏控制：启动/停止、同步、速度控制、插入，和弦控制·单指和弦、多指和弦、和弦关闭智能教学，其它控制、电源开关、主音量控制、节奏音量控制，外接插孔·DC9V电源输入、耳机输出、话筒接口，音域·C2～C7音准·≤5音分，随机附件·电源适配器、歌谱架、说明书。</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9C5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支</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666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3A4B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A04A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175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4292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竖笛</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4F38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1、材质高音八孔；</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2、音色纯正清丽，柔和轻盈；</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3、以自然呼吸的力度即可吹响，即使是初学者，也很容易获得美妙的乐音。</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DF1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支</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63E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F7D5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FE2C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777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06A8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口琴</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D62B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1、24孔，C调2、材质：表面镀铬抛光，塑格无毛疵，无裂缝，排列有序，音色好，音调准确。3、配琴盒。</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B8C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D9A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A0B1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EC39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7C8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6D9D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口风琴</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C8E9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1．32键，配2套吹嘴，一个软嘴一个硬嘴。带包。2．音色优美，富有感染和创造力，适合独奏，伴奏，合奏。长40CM，宽10CM。</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CD1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E1D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120</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8DB2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F9CE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8E2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C188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成套打击乐器</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C931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响板、木鱼、双响筒、铃鼓、沙锤、碰钟、串铃、三角铁（8件）</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520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968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110</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67CE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4D92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93D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4945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小锣</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3A38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1、由铜锣及槌组成铜锣用优质响铜制作，圆形，直径≥215mm，厚度约2mm，厚薄均匀，平整，无毛刺，无裂缝，表面抛光氧化处理并涂油；</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2、槌用硬杂木制成，表面无疤痕。</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837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964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C2E8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530C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B2E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BCFA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大锣</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C58B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响铜材质，直径290㎜，扁平圆体，有边，边孔较小，系以绳。质量判断：谐音丰富洪亮无明显转音及颤音，锣边平滑。配锣锤。塑料包装无氧化.音质要求达到：中心发音较低，靠边的部分发音较高，在锣边、锣心或二者之间，击奏不同的音色和音高。具有粗犷、宏亮的音色，给人一种震撼的感觉。其音响低沉、宏亮而强烈，余音悠长持久。</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153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A8E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C093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2289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72D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4FB6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小堂鼓</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83D0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直径不小于200mm，配套小木槌2根。</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FBA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付</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DAE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2740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D29A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97A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A9EA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小钹</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F632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1、材质尺寸要求：黄铜，音色更高亢脆亮。抛光处理。制作精美，光洁，无毛刺。圆帽形，中间突起，钹体小而厚，钹面直径≥145㎜，厚度≥1mm；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2、重量约：0.4kg，碗顶钻孔系以布绳，两面为一副；</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3、产品光滑，平整，无毛刺、裂缝，周边无棱角表面抛光氧化处理并涂防锈油；</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4、功能要求：声音判断：互击时声音洪亮而强烈，穿透力很强，能烘托气氛，强烈的气势，音色高亢脆亮。</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707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面</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F64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D3DA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28F6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ABB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390B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小军鼓</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E4E9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1、鼓圈：合金压铸，金属鼓腔；2、鼓腔外包高级PVC，鼓面直径：34cm，鼓皮为进口聚酯，专业打击鼓皮，配有专用小军鼓背带。</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7DC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面</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172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D296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E1A3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7E7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99EC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大军鼓</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D21F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1、直径：570mm；高：245mm；聚酯膜鼓皮；2、金属鼓腔，鼓腔外包高级PVC；3、配：鼓槌、背带。</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6B7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D18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DA49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9B4B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322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FC7A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铝板琴</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2DD3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 、尺寸 ： ≥175*480mm2 、 15 音木质框架+金属琴片 ，带包</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C18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10F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AD64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3591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39F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29</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1FE1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木琴</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2FE1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15音，全长42.5CM.材质：专业木琴片 ，表面处理为静电喷塑高温烘烤。琴片根据音阶不同而长度不同。配敲击棰2根。</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AD22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24E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A11B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4EAE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1533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924FEF1">
            <w:pPr>
              <w:keepNext w:val="0"/>
              <w:keepLines w:val="0"/>
              <w:suppressLineNumbers w:val="0"/>
              <w:spacing w:before="0" w:beforeAutospacing="0" w:after="0" w:afterAutospacing="0"/>
              <w:ind w:left="0" w:right="0"/>
              <w:jc w:val="both"/>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专用音乐教室设备</w:t>
            </w:r>
          </w:p>
        </w:tc>
      </w:tr>
      <w:tr w14:paraId="69482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084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21AC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五线谱电教板</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4A52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1、五线谱电磁感应书写式电教板整体尺寸不小于1800mm×1000mm×60mm；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2、内存不少于10种调式、12种节奏、不能少于100种音色、不少于500首乐曲；</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3、控制面板不低于PC膜全数字电路控制、轻触式按键；</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4、LED及数码显示；双教鞭演示；任意和弦功能；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5、音准：a'=440HZ；音域G～a2，高音谱表2组、大谱表1组；带USB接口，可播放U盘的mp3格式的曲目；</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6、具有录音功能，录音时间不小于15分钟。可外接麦克风、音响；110V-250V稳定工作电压。</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★7、参照JY0001-2003《教学仪器设备产品的一般质量要求》标准，满足以下2项要求：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★7-1、教学仪器设备产品的外观要造型美观、色彩协调、规整光洁。表面不应有明显的擦伤、划痕和碰撞的坑疤；</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★7-2、塑料件表面应平整清洁，不应有划痕、溶迹、缩迹，不应有气泡、烧粉和夹生，边缘不应有毛刺、变形、破边和凹凸不平，不应有明显的浇口飞边。且其检测结果均为与标准要求一致。</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★8、参照GB21027-2020《学生用品的安全通用要求》标准，可迁移元素mg/kg（锑、钡、铬、汞、砷、镉、铅、硒）其检测结果为塑料均未检出。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★9、投标人需提供制造厂商出具的带CMA和CNAS标志的国家级检测报告复印件，且需注明本次招标采购项目名称及编号并加盖制造厂商公章。</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BAF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块</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B71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6781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1526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5A7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F286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五线谱教学黑板</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3A0C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1、尺寸不小于2000mm×1000mm；板面厚度≥0.6mm；2、镀锌金属背面，厚度为≥0.3mm；材质不低于2A优质纸板；铝合金边框。丝网印刷，四组五线谱,书写平稳、流利。</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4C1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块</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AAF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109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由学校根据</w:t>
            </w:r>
          </w:p>
        </w:tc>
      </w:tr>
      <w:tr w14:paraId="550C4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364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0A0D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钢琴</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1AA9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型号：121型1、88键标配重锤，琴盖带缓降；</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2、五金件颜色为银色,中盘材料选用实木拼板结构,使其耐变形且减少杂音源；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3、油漆黑色进口PE不饱和树脂漆,漆黑且清澈透亮,硬度2H以上,以保证耐磨耐用；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4、音板:实木复合音板；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5、桥码:A级榉木；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6、钢板:用HT150材料铸造而成,承重力为16吨以上；</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7、琴弦:采用德国露丝劳琴弦,悬壁式结构,最大张力145KG以上,最小张力不小于50KG；</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8、击弦机:止音尼毡为进口尼毡,平音头毡密度为0.16~0.22MM三角毡密度为0.25~0.30MM,色泽均匀一致,无分层,调整到位后,制音头离弦,贴弦一致,动手整齐有效；</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9、弦槌:红木榔头，毛毡采用进口呢，毡密度为0.4~0.9R的钢琴弦槌呢毡,色泽均匀一致,音色甜美,柔和,经久耐用；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10、键盘:复合键盘,克服了变形的缺陷,耐磨耐用；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11、配件：琴凳、琴罩、脚垫、键盘。</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A75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060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90A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条件配备</w:t>
            </w:r>
          </w:p>
        </w:tc>
      </w:tr>
      <w:tr w14:paraId="51C41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E7E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8060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电钢琴</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7938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键盘：88键力度触感标准键盘，防尘推拉盖，显示：多功能LED数码显示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数字键：0-9，+/-，等12个通用选择钮</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复音数：32</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音色：479种音色，包括128种GM标准PCM音色、19种民族音色、</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12组键盘打击乐音色（包括1组民族打击乐和1组效果音色）</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音色控制：延音，微调，力度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效果：8种混响类型，混响深度调节，混响开关；</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8种合唱类型，合唱深度调节，合唱开关</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节奏：203种节奏风格，包括11种民族节奏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伴奏控制：同步，启动/停止，前奏/尾奏，间奏，伴奏音量，伴奏速度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键盘控制：正常，单指和弦，多指和弦，键盘分离</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示 范 曲：85首(含80首中、小学音乐教育学习歌曲)</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播放学习歌曲时可选择隐去旋律部分或伴奏部分进行演奏练习</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录音功能：录音、放音、断电保存</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记忆存储：4x4组面板设置存储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接    口：电源，耳机，踏板，线路输出，MIDI输出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喇    叭：YD120- 15： 10W *4Ω*2</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22D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ADD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F47B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1CF0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0CF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CAAB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多媒体教学系统</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A00E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86寸一体机+音乐教学系统软件;86寸一体机参数要求：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一、教学一体机整体要求：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1、整机采用一体化全金属外壳设计，边角采用弧形设计，表面无尖锐边缘或凸起；整机屏幕边缘采用金属圆角包边防护，整机背板采用金属材质，外观简洁。</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2、整机屏幕采用86英寸 UHD超高清LED 液晶屏，显示比例16:9，侧视角（水平视角）≥178°；</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3、整机均支持普通粉笔、液体粉笔、水溶性粉笔进行板书书写，便于老师完整书写教学内容；</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4、整机采用硬件低蓝光背光技术，在源头减少有害蓝光波段能量，蓝光占比（有害蓝光415～455nm能量综合）/（整体蓝光400～500能量综合）＜50%，低蓝光保护显示不偏色、不泛黄；</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5、具有独立扩声系统，可实现单独听功能，在关闭显示部分的待机情况下仍可将接入的多媒体信号混音后通过设备内置音箱播出实现扩声功能，轻触显示部分可点亮屏幕；</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6、内置触摸中控菜单，将信号源通道切换、亮度对比度调节、声音图像调节等整合到同一菜单下，无须实体按键，在任意显示通道下均可通过手势在屏幕上调取该触摸菜单，方便快捷；</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★7、为满足教师实际教学需求，可便捷外接所需的设备，整机前置USB3.0接口≥3个；HDMI接口≥1个； Type-C接口≥1个；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★8、为提升课堂视听体验并确保声场均匀，整机内置的扬声器应具备中高音的音响单元，各音响单元额定功率数值应为一致，扬声器单元≥4个，每个扬声器的额定功率≥15w，总功率≥60w；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★9、整机扬声器在100%音量下，可做到1米处声压级≥90db，10米处声压级≥78dB，能够有效保障教室后排学生听觉感受；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10、内置无线传屏接收端，无需外接接收部件，无线传屏发生器与整机匹配后即可实现传屏功能，将外部电脑的屏幕画面通过无线方式传输到整机上显示；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11、整机可支持扩音功能，无需外接音响，任意无线麦克风可通过大屏扩音，延时≤30ms；同一个 USB 接口可支持同时在 Windows 及 Android 系统下被读取，具有无线麦克风音频智能对接功能；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12、整机支持半屏模式，将Windows显示画面上半部分下拉到屏幕下半部分显示，此时可以正常触控操作Windows系统，点击非Windows显示画面区域（屏幕上半部分），可退出该模式；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13、整机接入单根网线可实现Android、Windows双系统有线网络连通。</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14、整机采用红外触控技术；在Windows 7、Windows 8、Windows 10、Linux、Mac Os系统外置电脑操作系统接入时，无需安装触摸驱动；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★15、整机视网膜蓝光危害（蓝光加权辐射亮度 LB）符合 IEC62471 标准，LB 限值范围≤0.15（蓝光危害最大状况下）；</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16. 整机内置≥1600万像素摄像头麦克风，无需外接线材连接，任何可见外接线材及模块化拼接痕迹，未占用整机设备端口，摄像视场角≥145°,水平视场角可达到121°,支持输出4:3、16:9比例的图片和视频；可拍摄输出4K分辨率的视频、图片；（提供封面具有CNAS标志的权威检测机构的检测报告复印件加盖原厂红色公章）</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16、支持在系统中配置前置物理按键功能。如用户可以设置按键功能为短按或者长按响应，响应的功能是一键开关ops、ops一键还原、一键除蓝光；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17、整机屏幕触摸有效识别高度不超过3.5mm,，即触摸物体距离玻璃外表面高度不超过3.5mm时，触摸屏识别为点击操作；</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★18、支持2.4GHz和5GHz双频WiFi， Wi-Fi和AP热点工作距离≥15m，AP热点支持50个以上用户终端在线网络连接。</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19、整机为双系统设计，嵌入式安卓操作系统版本为Android14；同时嵌入式Android操作系统下可实现windows系统中常用的教学应用功能，如白板书写、WPS软件使用和网页浏览，安卓系统ram≥4G；rom≥32G；</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20、Android系统自带的白板软件，内容支持通过移动端扫描二维码或邮件的方式实现文件共享及板书内容共享，并支持以设备内置的文件的格式、PDF、图片的格式进行本地存储及再次编辑；</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21、安卓主页面提供≥5个应用程序，安卓主页面具备信号源预览窗口，支持PC通道、HDMI通道的信号源预览功能；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22、为方便教学，双系统具有智能手势开关黑板背光功能、双系统一键切换、双系统共享USB接口、HDMI输出共享、双系统网络共享；</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23、整机内置触摸中控菜单，可查看当前正在运行的进行，支持应用切换，在全屏应用下无需退出全屏应用即可进行切换；支持应用关闭，以及关闭所有应用。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二、内置电脑</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1、处理器：不低于 Intel® Core™ i5-12450H</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2、内存容量：不低于8GB；</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3、硬盘容量：不低于256G固态硬盘；</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4、PC模块可抽拉式插入整机，可实现无单独接线的插拔；</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5、和整机的连接接口针脚数≥80pin；</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6、电脑模块无需工具即可快速拆卸电脑模块；</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7、具有标准PC防盗锁孔；</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8、整机具备供电保护模块，能够检测内置电脑是否插好在位，在内置电脑未在位的情况下，内置电脑无法上电工作。</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三、软件整体设计：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整体要求：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1、教学软件为备授课一体客户端，同时具备备课模式和授课模式，在软件安装完成后可自有切换备课和授课模式，方便在不同场景下使用；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2、教学软件可支持教师自主注册账号，可使用账号密码登录或使用微信扫码绑定账号完成登录，支持解绑账号与微信号关系进行重新绑定；</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3、平台支持根据用户的经验等级在基础网盘空间大小上扩容网盘空间，最大等级为30级，最大网盘空间为200GB；</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支持教师通过电脑客户端、移动端APP将网盘资源分享给其他教师，支持链接分享和二维码海报两种方式分享资源，APP支持将二维码保存至本地、分享至微信及QQ联系人，支持在分享时自动生成提取码，无需人工设置；</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★5、支持提供PPT 、WPS插件，同时支持原生 Office、WPS 环境下备课，教师可将课件内容一键上传更新至教师云空间，方便在授课时直接下载使用云端资源。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6、具有校本拓展资源应用，支持用户自定义校内资源共享目录，支持自定义三级目录，支持通过权限控制设置全部教师用户和指定教师用户上传资源，其他教师允许查看并下载资源。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备授课系统：</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★1、教学软件支持文档授课，将word、pdf资源上传至个人网盘，授课端直接打开实现文档授课，支持对文档进行放大缩小，支持放大到150%，书写笔迹需跟随文档移动不偏移，支持在画笔模式下多指进行文档移动。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2、支持聚焦功能，聚焦框可选择需要重点查看的区域，对框选区域进行放大、关灯、全屏；框选区域可直接插入白板、对比讲解、可实现不少于4张图片的同屏讲解，支持选择本地图片加入对比讲解；</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提供手写函数识别功能，可手写函数实时识别函数转化为打印体，自动在坐标系中生成对应的函数图像，支持选择函数公式标记对对应的函数图像，可在同一坐标系中绘制6个不同类型的函数图像，展示出两个函数相交点的坐标，支持将函数一键插入到白板中并再次对函数进行编辑修改。</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在授课端支持英文字母教学工具，可点击字母查看字母在四线三格中的标准写法，展示书写笔顺示意，可点击读音进行字母发音，支持以动画形式展现书写笔顺，对每个字母提供三个相关单词并对单词配以插画示意，支持点击单词进行点读发音。</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5、支持插入音频、视频，并支持在PPT中对音频、视频进行打点，对打点内容进行重命名，支持在PPT播放状态下快速点击标记点，自动跳转至标记点；</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支持在当前白板页面通过双指拖动的方式实现无限板书的功能，支持白板讲解和笔迹留存功能，白板页面支持横向和纵向滑动扩展，支持新建20页白板内容，并可对白板内容进行擦除、区域擦除、一键清空、撤销上一步操作；</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支持8种形式的互动游戏，包含分组竞争、趣味分类、超级分类、连一连、判断对错、选择题、选词填空、翻翻卡，每种互动游戏支持6种模板供教师选择，支持教师自定义游戏背景，并选择开启和关闭音效，设置游戏难度，支持直接选择并输入相应内容即可生成互动游戏，支持一键插入课件PPT，并在PPT中进行动画互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需同时在备课端、授课端支持提供汉语拼音教学功能，教师可在四线格中输入或者选择声母、韵母或整体认读拼音字母，可匹配出正确的四声调读音，可支持读音发音，可在授课时进行拼音字母修改扩展教学，拼音字母需为标准手写体字体；</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9、支持任何界面一键返回桌面，支持自由切换课件、桌面、白板及电子教材内容。</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移动授课：</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1、支持安卓、ios移动客户端一键扫码连接大屏，实现移动授课功能。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支持将手机桌面同步投屏至大屏上，并支持切换窗口模式，自由调整窗口大小，支持根据手机横竖屏自动切换投射画面的横竖屏样式，支持投屏时将手机正在播放的音视频资源的声音同步投送到大屏上，手机调整音量与大屏设备播放的音量调整互不干扰。</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★3、支持通过微信拍照，使用微信扫码即可拍照上传。上传至教学软件相册，支持一次性从教学软件相册中选择10张图片显示在白板上，实现显示在白板软件上的图片互不叠加。</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4、支持APP拍照上传实现与大屏上传图片同步批注、清除笔迹、贴奖章、全屏、放大、缩小、切换操作，APP与大屏教学软件的操作需双向同步，支持最小化窗口和展开窗口。</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支持APP上传个人资源，支持选择相册图片或拍照上传，至多支持9张图片同时上传；支持扫描文件上传，可至多拍摄10张图片，支持通过拖动方式调整图片顺序，支持重新拍摄或删除单张照片，扫描完成后自动生成PDF文档并上传至个人网盘。</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音乐教学软件参数要求：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一、软件概要：</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★1.1智慧音乐教育平台具备账号登陆功能，软件与使用硬件通过20位激活码绑定，设备校验通过方可正常运行。本软件为跨平台开发，可支持 Windows、Android 、Web 端和 Mac 端部署。（以上参数为重要参数，需提供含CMA、CNAS与参数一致的测试报告加盖厂家公章予以佐证）</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1.2软件系统分为：教学功能、学习资源、实操练习三大模块子系统，即软件界面需具备“教”、“学”、“练”三大子系统功能按钮，选择子系统内的功能模块可任意组合开展教学，系统具备底部导航栏功能，可在已打开模块中快捷切换。</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二、首页</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2.1具备“最近使用课本”功能，功能展示教师最近一次使用的课本信息，包括使用时间、授课到第几单元、第几课。点击继续上课按钮，可跳转打开到上次课堂位置继续授课。点击换一课按钮，可跳转打开所有书本界面，任意选择其他书本及课程开展授课。点击备课按钮，可打开后台备课功能，教师可查看与调整备课内容。（以上参数为重要参数，需提供含CMA、CNAS与参数一致的测试报告加盖厂家公章予以佐证）</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2.2具备“常用功能”列表，常用功能默认包括：课本教学、乐器教学、音乐百宝箱、音乐字典等功能按钮，点击可快速跳转到对应功能界面。</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★2.3具备“每日红歌推荐”功能，系统根据曲库资源，每天随机自动推荐红色经典专辑3 张，教师点击即可打开播放，方便教师开展爱国主义教育。歌曲包括但不限于音频和视频，具备“换一批”功能按钮，点击后更换3张专辑。（以上参数为重要参数，需提供含CMA、CNAS与参数一致的测试报告加盖厂家公章予以佐证）</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三、【教】板块</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教板块含有 11 个子模块，包含课本教学、音乐家和乐器、打击乐器教学、乐器仿真、节奏教学、歌曲创作、乐理教学、音乐常识课、乐理视唱练耳课、少儿乐唱古诗词，儿童合唱课；便于教师快捷授课以及拓展教学。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3.1 课本教学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课本教学以正规出版社音乐教材为载体，链接教学、备课资源，具备常用功能快捷按钮，方便教师以书本为基础开展常规授课内容。</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（1）具备书架功能，书架列出所有可用的书本，教师可任意选择打开。</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（2）具备目录功能，选择一本书打开后，即显示目录信息，包括但不限于单元信息列表、每单元所包含课信息列表、每课所包含备课课件信息列表，点击某一课的开始授课按钮即可进入授课界面。</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授课界面展示对应课的电子书页，左右具备翻页按钮，屏幕下方具备快捷工具栏。备课内容、授课资源分为公共课件与我的资源，公共课件为系统内置的所有人可使用资源，我的资源为教师用户本人的私有资源，教师登陆后台管理系统后，编辑完成的备课内容，即为教师的私有资源。课件与资源包括但不限于音频、视频、图片、文字、office文档等形式，打开课件列表选择任一资源课件即可开展授课。</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4）快捷工具栏功能：具备返回目录、切换上一课/下一课按钮，具备公共课件、我的资源功能；具备钢琴键盘、节拍器、指法展示、画笔标注工具功能；具备音乐字典功能按钮，点击打开音乐字典小窗口，可搜索查询音乐知识点，方便用于教学知识点补充讲解；具备歌曲查找功能按钮，依托于音乐百宝箱功能，点击可打开百宝箱小窗口，可搜索查询音乐资源库用于音乐播放讲解。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3.2 音乐家和乐器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音乐家和乐器模块包含中国乐器、中国古代音乐家、中国近现代音乐家、西方乐器和西方音乐家总计300个条目的图文介绍知识，可搭配音乐词典使用，方便教师展开音乐家和乐器的讲解。（以上参数为重要参数，需提供含CMA、CNAS与参数一致的测试报告加盖厂家公章予以佐证）</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3.3 打击乐器教学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打击乐器教学模块包含常用打击乐器的教学视频，包含三角铁、串铃、八音钟、双响筒、响板、手摇铃、手鼓、打棒、木鱼、棒棒糖鼓、沙蛋、沙锤、火车哨、碰钟、铃鼓、雨声筒、非洲鼓和音砖等乐器的介绍视频和演奏方法教学视频。（以上参数为重要参数，需提供含CMA、CNAS与参数一致的测试报告加盖厂家公章予以佐证）</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3.4 乐器仿真</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以图形动画技术为基础，软件仿真乐器样式以及使用方法。仿真乐器包括但不限于常见的校级常备乐器，如竖笛、陶笛、口风琴、葫芦丝、吉他、架子鼓等。吹奏类乐器包括样式、吹奏气息、指法示例等功能。（以上参数为重要参数，需提供含CMA、CNAS与参数一致的测试报告加盖厂家公章予以佐证）</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3.5 节奏教学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以卡通角色、常见打击乐器为基础的动画实现节奏创编及乐器演奏，教师可根据实际教学需求选择所需乐器添加到节奏点中，可在节奏编辑区块自由添加组合形成一段完整节奏并完整循环播放，教师可进行节奏教学、亦可引导学生进行节奏创意游戏或为演唱及歌曲伴奏，总计 4 种组合动画呈现，每组由 3 种打击乐器合奏组成。（以上参数为重要参数，需提供含CMA、CNAS与参数一致的测试报告加盖厂家公章予以佐证）</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第一组卡通角色为小猴，打击乐器为定音鼓、三角铁；第二组卡通角色为小牛，打击乐器为镲片、底鼓和小鼓；第三组卡通角色为小羊，打击乐器为响木和打棒；第四组卡通角色为小公鸡，打击乐器为康佳鼓、牛铃。（以上参数为重要参数，需提供含CMA、CNAS与参数一致的测试报告加盖厂家公章予以佐证）</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（3）互动方式：动画中的乐器可点击，点击后出现演奏动画并发出对应音色声音，可点击播放整体节奏，循环播放，可随时暂停。</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3.6 旋律创编</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旋律创编模块可制作简易旋律，通过点击网格添加音符和鼓点，可以链接 midi 键盘创作，可使用麦克风演唱，系统会识别记录，最终形成一首乐曲。</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旋律创编板块界面由三部分组成，上部分为旋律创作板块，可自由添加七色音符，不同颜色代表不同音高，可在选中音域中选择音符逐拍添加，中部为节奏点添加，可逐拍添加轻重节奏点，底部为功能菜单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（2）总计有 5 种音色（钢琴、弦乐、木管、合成器、马林巴）可选，总计有 4种节奏点（电子鼓、木鱼、架子鼓，康佳鼓）可选，可调节歌曲速度，速度范围 40-240；点击播放按钮可循环播放所创作的乐曲，并可随时停止；乐曲播放时七彩色块随乐曲播放跳动。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（3）功能菜单栏可调节乐曲段落数，小节数和拍数，控制乐曲时长；可选择 1-16段落 、2-7小节数、2-4 拍，可选择大调、民族调式和半音音阶，可选择12 种乐曲调式，可设置 1-3 个八度音域范围。</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（4）打开语音识功能，可AI智能识别演唱音高。</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3.7 乐理教学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（1）支持五线谱打谱、播放、识谱教学，支持通过键盘、鼠标/触屏、屏幕虚拟钢琴键盘或实体键盘等多种输入方式进行音符的添加与编辑。</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（2）添加编辑音符，支持小节内时值及乐理规则自动判断，小节内时值上限支持根据拍号自动计算，小节已满后自动新增小节并添加音符。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（3）添加音符符尾连接支持自动判断连接；符干朝向支持根据音高自动切换。</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（4）在实体键盘上按下琴键，既可在五线谱或简谱上实时显示其对应音符，支持实时播放对应音符音高声音。</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（5）支持通过实体键盘添加音程和弦。按下和弦时，软件支持自动计算并显示对应和弦名或音程名，涵盖常见的音程关系、三和弦、七和弦等，便于开展音程及和弦教学讲解。</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（6）支持调式调性的讲解，具备五度循环圆盘调式切换功能，具备大调小调的对照显示。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（7）系统默认为C大调，切换调号后，乐谱上自动更新调号显示。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（8）屏幕虚拟钢琴键盘具备显示/隐藏键盘提示功能，显示提示时每个按键上的简谱及唱名显示。支持根据当前调号自动计算简谱及唱名显示。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（9）添加音符支持32分音符、16分音符、8分音符、4分音符、2分音符、全音符，支持添加音符附点功能。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（10） 支持添加32分休止符、16分休止符、8分休止符、4分休止符、2分休止符、全休止符。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（11）支持添加重升记号、升记号、还原记号、降记号、重降记号，选择升级记号后，添加音符时自动关联音符。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（12）支持拍号实时切换功能，切换拍号后，乐谱实时刷新显示。拍号支持常见的1/4、2/4、3/4、4/4、3/8、6/8、7/8、9/8、12/8等拍号。</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（13）支持谱表谱号的实时切换功能，切换谱表后，乐谱实时刷新显示对应的谱表谱号。谱表支持大谱表、高音谱表、中音谱表、低音谱表。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（14）添加音符完成后，可即时播放创作的旋律。系统默认以钢琴音色进行播放，可切换音色进行播放。</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（15）播放控制支持播放/暂停、重新播放、循环播放功能；具备速度调整功能，可自定义播放速度，调整后可实时改变速度。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3.8 教学拓展资源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教学拓展资源模块包含常用音乐常识课、乐理视唱练耳课、儿童合唱课程、少儿乐唱古诗词等。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（1）音乐常识课</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音乐常识课模块含有20课时的常识课内容，内容涉及：</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1.中、西音乐历史发展简要进程、各个时期主要的音乐流派、风格和代表性音乐家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2.音乐中复杂和矛盾情绪发展及其对比的表现，辨识变奏曲、奏鸣曲式等较为复杂结构的曲式；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3.中国古典歌曲、说唱、艺术歌曲等声乐体裁；</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4.清唱剧、康塔塔、组歌、弥撒曲、协奏曲等声乐套曲表现形式；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5.音乐在戏曲、歌剧、舞剧、影视等综合艺术领域中的作用；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以图文形式呈现，另配有每节课所需音频。</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（2）乐理视唱练耳课</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含有初级课程及中级课程，共39课时的内容，包括音乐学习者必须掌握的基本乐理和视唱练耳的技能和方法，其中的“视唱练耳”，就是一种将所见的乐谱如何转化成演唱、演奏，以及将所听到的音乐如何记录成乐谱的技术性训练。“基本乐理”，则是对乐谱上的符号与一些相应的概念性名词，如何体现作为音乐的音及其关系的理论阐释。或换言之，就是解释乐谱为什么要把音乐这样记录下来的理由和记录乐谱所必要的、国际通用的规范。以教师授课ppt图文形式呈现，另配有每节课所需音频。</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（3）儿童合唱课程</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含有20节课程内容资源，涉及儿童合唱学习中的呼吸练习、共鸣练习、起声练习、连音练习、节奏练习、音准练习、扩展音域练习、断音练习、连断音练习、多声部练习；包含合唱歌曲《为了美好的明天》、《明亮的小河》、《小湖里有只鸟》、《小黄莺和小布谷》、《绿色的雨》、《校门前的小街》、《校园里的小溪》、《花伞》、《我们有红黄蓝》、《红黄蓝新少年》、《我们是快乐的百灵鸟》、《珍惜时光》、《溪水姑娘》，配文及乐谱，以图文形式展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（4）少儿乐唱古诗词</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少儿乐唱古诗词模块含有《池上》、《敕勒歌》、《出塞》、《春晓》、《登鹳雀楼》、《独坐敬亭山》、《赋得古原草送别》、《古朗月行》、《画》、《画鸡》、《黄鹤楼送孟浩远之广陵》等 49 首诗歌的图文介绍以及音频朗诵、范唱和伴奏的播放，并能调节播放速度。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四、【学】板块</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4.1 音乐百宝箱</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音乐百宝箱包含中国声乐、中国器乐、西方器乐、欣赏视频和教学视频五大模块的音视频资源，内容涉及中国当代红歌、军歌、中国民族歌曲、全国优秀青年词曲作家歌曲、交响乐、京剧，戏曲以及100部童歌颂党系列等贴合新时代主题的音乐资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音频库包含：《中国人民解放军军乐团——国歌》《中国人民解放军军乐团——国际歌》《中国人民解放军军乐团——歌唱祖国》《中国人民解放军军歌》《我和我的祖国(新编)》《没有共产党就没有新中国》《礼赞中国》《我爱你中国》《黄河船夫曲》《黄河颂》《黄水谣》《青藏高原》《不忘初心》《灯火里的中国》《多想为你唱支歌》《让红旗飘》《建国大业》《军人的荣耀》《追寻》《少儿乐唱古诗词》《新学堂歌》《穆桂英挂帅》《香格里拉》《大江东去》《嘉陵江上》《祖国，慈祥的母亲》《我爱你，中华》《小康之歌》《祖国在我心中》《江山无限》《新时代中国钢琴原创作品精粹》《春晓》《枫桥夜泊》《大江东去》《满江红》《清平乐·春归何处》《我住长江头》《江城子》《游子吟》《咏鹅》《七步诗》《敕勒歌》《长歌行》《乌苏里情歌》《闽韵》《琴赏牡丹》《绣江南》《陕北民歌音画精选100首》《草原夜色美》《笛韵天籁》《请你唱支歌吧》《国乐风华——第七届中国民族管弦乐》《马思聪小提琴独奏作品全集》《曲艺名家马增慧先生作品选》等2450首音频资源。（以上参数为重要参数，需提供含CMA、CNAS与参数一致的测试报告加盖厂家公章予以佐证）</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★（2）视频库包含：《童声传递中国梦》《初心与恒心》《追光者》《我爱你中国》《“筝”得经典 红歌演奏曲集》《东方最美的红：童歌颂党100首》《哈农钢琴练指法 声像教学版》《小奏鸣曲集 声像教学版》《什密特16声像教学版》等795个视频资源。（以上参数为重要参数，需提供含CMA、CNAS与参数一致的测试报告加盖厂家公章予以佐证）</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4.2 音乐词典</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音乐词典模块包含中国音乐词典分类、百科分类两大类，其中中国音乐词典分类包含乐律学、音乐类型、活动、体裁及创作表演术语、古代音乐及有关机构/团体/学校、近代、现代音乐及有关机构/团体/学校、书刊、人物、民歌、民间歌舞、曲艺音乐、戏曲、词曲音乐、器乐、音乐教育；百科分类包含音乐家：理论、作曲、演奏、声乐、教育、指挥、戏曲/曲艺、中国古代等；作品：中国传统音乐、声乐、器乐、综合性表演艺术、世界民族音乐等；乐器：中国乐器、外国乐器；术语：乐理、体裁/乐种、风格/流派、表情术语、乐器部件、音乐教育、职官等；音乐活动；书刊/专辑；机构组织等20750个词条可查阅，支持快速搜索查看。（以上参数为重要参数，需提供含CMA、CNAS与参数一致的测试报告加盖厂家公章予以佐证）</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五、【练】板块</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5.1 曲谱练习</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曲谱练习模块为教师和学生提供了乐谱练习库，难度由易到难，包含《约翰·汤普森简易钢琴教程1》《约翰·汤普森简易钢琴教程2》《约翰·汤普森简易钢琴教程3》《约翰·汤普森简易钢琴教程5》《拜厄钢琴基本教程》《哈农钢琴练指法》《表演秀系列-古典乐曲1》《表演秀系列-古典乐曲2》《表演秀系列-古典乐曲3》《表演秀系列-古典乐曲4》《表演秀系列-古典乐曲5》《表演秀系列-中国乐曲1》《表演秀系列-中国乐曲2》《表演秀系列-中国乐曲3》《表演秀系列-中国乐曲4》《表演秀系列-中国乐曲5》《表演秀系列-中国乐曲6》《车尔尼钢琴初级教程作品599》《车尔尼钢琴流畅练习作品849》《车尔尼钢琴练习曲50首 作品740（699）》《巴赫初级钢琴曲集》《布格缪勒25首钢琴进阶练习曲》《世界儿童钢琴名曲集第一卷》《世界儿童钢琴名曲集第二卷》《世界儿童钢琴名曲集第三卷》《什密特钢琴五指练习曲作品16》《趣味钢琴曲选（一）》等1000份乐谱资料。（以上参数为重要参数，需提供含CMA、CNAS与参数一致的测试报告加盖厂家公章予以佐证）</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（2）曲谱可正常播放，支持128种音色，可调节速度，可打开节拍器。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5.2 学业测评</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学业测评板块，依据义务教育艺术课程标准（2022版）及正规音乐出版社义务教育教科书为基准，提供18套符合小学、初中的音乐测试题；包含小学1-6年级上下学期、初中1-3年级上下学期试卷。以图文形式呈现。</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软件说明：本软件采用创新的一体化加密技术，摒弃了传统依赖加密狗、U盘或外接加密硬件的模式，直接与主机系统无缝集成。这一革新不仅优化了一体机与多媒体接口的使用效率，还显著减少了因外置加密设备遗失而导致的安全隐患及维护成本，彰显了技术的前瞻性和实用性。需提供本产品含CMA、CNAS标识的产品检测报告与软件著作权证书复印件加盖厂家公章（为保证产品的稳定性，检测报告产品名称需与软件著作权产品名称一致）</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8EF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B69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6799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64A4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AAB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8DFA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收录机</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A26C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单卡，支持U盘、内存卡，可读光盘。</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6C4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B75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9ABC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5BF1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6A5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3D2C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音响系统</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48BE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CD、功放、音箱、卡拉OK功能等；1.CD机配DVD机；2.功放AC220V，有效输出功率50W+50W，扩音功率50W+50W。频响50HZ——15000HZ，信噪比：100db,4路话筒输入，4路线输入，2路线输出；3.卡座：单卡，带USB接口；4.音箱，有效功率50W+50W，峰值功率300W+300W。频响30HZ——100000HZ</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763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AB1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91C6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23A9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247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91A3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音乐教学挂图</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2E55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铜版纸，100副/套</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B2D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58A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8449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A915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269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9790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音乐教学用品柜</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D29C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1、规格：1000mm×500mm×2000mm；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2、柜体衬板：用厚度为16mm±0.3mm，灰白色双面三聚氰胺板，外漏截面采用1.5mm厚塑制优质封边条机械封边；</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柜体框架：采用模具成型的专用铝合金方管制作，通过ABS专用连接件组装而成。前立柱.前横梁外径不小于25mm×30mm（误差≤±1mm），后立柱.后横梁外径为30mm×30mm（误差≤±1mm），铝合金管材的壁厚≥1.1mm（误差≤±0.15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4、柜门：上部为专用木框对开玻璃门，下部为对开木门，不锈钢拉手。柜门采用优质不锈钢定位铰链，铰链的壁厚不小于1.5mm；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隔板：上柜设置2块活动隔板，下柜设置1块固定隔板。隔板所用的板材与柜体板材相同，厚度不小于16mm。隔板采用“［”型槽板包边（槽板材料为冷轧钢板，其尺寸为20mm×20mm，壁厚1.0mm，槽宽与隔板厚度匹配，表面需进行喷塑处理），槽板与隔板用万能胶固定；</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6、高度升降条：上部柜体内侧均应安装高度升降条（1.0mm冷轧钢板制作），每侧2根，至少带12个活动支撑座；</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7、支脚：采用直径不小于10mm的金属螺杆与ABS工程塑料一次注塑成型的脚垫。</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53C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56A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4462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685C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261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8DF819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教师用教具</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9EABA">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auto"/>
                <w:sz w:val="24"/>
                <w:szCs w:val="24"/>
                <w:highlight w:val="none"/>
                <w:u w:val="none"/>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2D05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15DA6">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auto"/>
                <w:sz w:val="24"/>
                <w:szCs w:val="24"/>
                <w:highlight w:val="none"/>
                <w:u w:val="none"/>
              </w:rPr>
            </w:pPr>
          </w:p>
        </w:tc>
      </w:tr>
      <w:tr w14:paraId="2A524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BA5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5499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电子琴</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F7F0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1、61键标准仿钢琴键盘，LED数码显示。300音色、300节奏,示范曲50首，延音、移调，颤音,滑音，前奏/尾奏。录音,放音功能；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伴奏控制：启动/停止、同步、速度控制、插入，和弦控制·单指和弦、多指和弦、和弦关闭智能教学，其它控制、电源开关、主音量控制、节奏音量控制，外接插孔·DC9V电源输入、耳机输出、话筒接口，音域·C2～C7音准·≤5音分，随机附件·电源适配器、歌谱架、说明书。</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8FC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544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091F3">
            <w:pPr>
              <w:keepNext w:val="0"/>
              <w:keepLines w:val="0"/>
              <w:widowControl/>
              <w:suppressLineNumbers w:val="0"/>
              <w:spacing w:before="0" w:beforeAutospacing="0" w:after="0" w:afterAutospacing="0"/>
              <w:ind w:left="-118" w:leftChars="-56" w:right="-167" w:rightChars="-79"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可与专业教师数匹配</w:t>
            </w:r>
          </w:p>
        </w:tc>
      </w:tr>
      <w:tr w14:paraId="4D69A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634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B145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教材配套音像资料</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FBCD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光盘1盘</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BB2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465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58092">
            <w:pPr>
              <w:keepNext w:val="0"/>
              <w:keepLines w:val="0"/>
              <w:suppressLineNumbers w:val="0"/>
              <w:spacing w:before="0" w:beforeAutospacing="0" w:after="0" w:afterAutospacing="0"/>
              <w:ind w:left="-118" w:leftChars="-56" w:right="-167" w:rightChars="-79" w:firstLine="0" w:firstLineChars="0"/>
              <w:jc w:val="center"/>
              <w:rPr>
                <w:rFonts w:hint="eastAsia" w:ascii="宋体" w:hAnsi="宋体" w:eastAsia="宋体" w:cs="宋体"/>
                <w:i w:val="0"/>
                <w:iCs w:val="0"/>
                <w:color w:val="auto"/>
                <w:sz w:val="24"/>
                <w:szCs w:val="24"/>
                <w:highlight w:val="none"/>
                <w:u w:val="none"/>
              </w:rPr>
            </w:pPr>
          </w:p>
        </w:tc>
      </w:tr>
      <w:tr w14:paraId="4AFBF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4F9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5BCC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音像教学资料</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D423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光盘1盘</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3B0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盘</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AD4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B28E4">
            <w:pPr>
              <w:keepNext w:val="0"/>
              <w:keepLines w:val="0"/>
              <w:suppressLineNumbers w:val="0"/>
              <w:spacing w:before="0" w:beforeAutospacing="0" w:after="0" w:afterAutospacing="0"/>
              <w:ind w:left="-118" w:leftChars="-56" w:right="-167" w:rightChars="-79" w:firstLine="0" w:firstLineChars="0"/>
              <w:jc w:val="center"/>
              <w:rPr>
                <w:rFonts w:hint="eastAsia" w:ascii="宋体" w:hAnsi="宋体" w:eastAsia="宋体" w:cs="宋体"/>
                <w:i w:val="0"/>
                <w:iCs w:val="0"/>
                <w:color w:val="auto"/>
                <w:sz w:val="24"/>
                <w:szCs w:val="24"/>
                <w:highlight w:val="none"/>
                <w:u w:val="none"/>
              </w:rPr>
            </w:pPr>
          </w:p>
        </w:tc>
      </w:tr>
      <w:tr w14:paraId="59E4A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CEC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A494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音乐教学软件</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3451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光盘1盘</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615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73F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ABF73">
            <w:pPr>
              <w:keepNext w:val="0"/>
              <w:keepLines w:val="0"/>
              <w:widowControl/>
              <w:suppressLineNumbers w:val="0"/>
              <w:spacing w:before="0" w:beforeAutospacing="0" w:after="0" w:afterAutospacing="0"/>
              <w:ind w:left="-118" w:leftChars="-56" w:right="-167" w:rightChars="-79"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电子读物等</w:t>
            </w:r>
          </w:p>
        </w:tc>
      </w:tr>
      <w:tr w14:paraId="7577C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3"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492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6EAD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多用划线规</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05F6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1、材质：高级硬塑制；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2、尺寸：划线规长约：120mm，划线规宽约：100mm，划线规厚约：25mm，夹持装卸粉笔稳定方便，牢固耐用。多用，可画五线谱、四字格、圆，能在黑板上划四线格、五线格、小方格、田字格、画圆、几何图形。</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D02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C16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A3D15">
            <w:pPr>
              <w:keepNext w:val="0"/>
              <w:keepLines w:val="0"/>
              <w:suppressLineNumbers w:val="0"/>
              <w:spacing w:before="0" w:beforeAutospacing="0" w:after="0" w:afterAutospacing="0"/>
              <w:ind w:left="-118" w:leftChars="-56" w:right="-167" w:rightChars="-79" w:firstLine="0" w:firstLineChars="0"/>
              <w:jc w:val="center"/>
              <w:rPr>
                <w:rFonts w:hint="eastAsia" w:ascii="宋体" w:hAnsi="宋体" w:eastAsia="宋体" w:cs="宋体"/>
                <w:i w:val="0"/>
                <w:iCs w:val="0"/>
                <w:color w:val="auto"/>
                <w:sz w:val="24"/>
                <w:szCs w:val="24"/>
                <w:highlight w:val="none"/>
                <w:u w:val="none"/>
              </w:rPr>
            </w:pPr>
          </w:p>
        </w:tc>
      </w:tr>
      <w:tr w14:paraId="3162B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1533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5B6D9A1">
            <w:pPr>
              <w:keepNext w:val="0"/>
              <w:keepLines w:val="0"/>
              <w:suppressLineNumbers w:val="0"/>
              <w:spacing w:before="0" w:beforeAutospacing="0" w:after="0" w:afterAutospacing="0"/>
              <w:ind w:left="-118" w:leftChars="-56" w:right="-167" w:rightChars="-79" w:firstLine="0" w:firstLineChars="0"/>
              <w:jc w:val="both"/>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学生用乐器</w:t>
            </w:r>
          </w:p>
        </w:tc>
      </w:tr>
      <w:tr w14:paraId="2FA80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3D1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FD2F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学生电子琴</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2DC0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1、61键标准仿钢琴键盘，LED数码显示。300音色、300节奏,示范曲50首，延音、移调，颤音,滑音，前奏/尾奏。录音,放音功能；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伴奏控制：启动/停止、同步、速度控制、插入，和弦控制·单指和弦、多指和弦、和弦关闭智能教学，其它控制、电源开关、主音量控制、节奏音量控制，外接插孔·DC9V电源输入、耳机输出、话筒接口，音域·C2～C7音准·≤5音分，随机附件·电源适配器、歌谱架、说明书。</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84C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808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9E892">
            <w:pPr>
              <w:keepNext w:val="0"/>
              <w:keepLines w:val="0"/>
              <w:widowControl/>
              <w:suppressLineNumbers w:val="0"/>
              <w:spacing w:before="0" w:beforeAutospacing="0" w:after="0" w:afterAutospacing="0"/>
              <w:ind w:left="-118" w:leftChars="-56" w:right="-167" w:rightChars="-79"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由学校根据条件配备</w:t>
            </w:r>
          </w:p>
        </w:tc>
      </w:tr>
      <w:tr w14:paraId="23089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777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B1B6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竖笛</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DE5A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1、材质高音八孔；</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2、音色纯正清丽，柔和轻盈；</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3、以自然呼吸的力度即可吹响，即使是初学者，也很容易获得美妙的乐音。</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929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支</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E64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2639F">
            <w:pPr>
              <w:keepNext w:val="0"/>
              <w:keepLines w:val="0"/>
              <w:widowControl/>
              <w:suppressLineNumbers w:val="0"/>
              <w:spacing w:before="0" w:beforeAutospacing="0" w:after="0" w:afterAutospacing="0"/>
              <w:ind w:left="-118" w:leftChars="-56" w:right="-167" w:rightChars="-79"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学生自配</w:t>
            </w:r>
          </w:p>
        </w:tc>
      </w:tr>
      <w:tr w14:paraId="478C5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822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58F1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吉它</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B63E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古典吉它面板：椴木合板，背侧板：椴木合板，指板：枫木指板.全长99CM</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265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把</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2C5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FFE61">
            <w:pPr>
              <w:keepNext w:val="0"/>
              <w:keepLines w:val="0"/>
              <w:widowControl/>
              <w:suppressLineNumbers w:val="0"/>
              <w:spacing w:before="0" w:beforeAutospacing="0" w:after="0" w:afterAutospacing="0"/>
              <w:ind w:left="-118" w:leftChars="-56" w:right="-167" w:rightChars="-79"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由学校根据条件配备</w:t>
            </w:r>
          </w:p>
        </w:tc>
      </w:tr>
      <w:tr w14:paraId="0A7BD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A19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9046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成套打击乐器</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D1CE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响板、木鱼、双响筒、铃鼓、沙锤、碰钟、串铃、三角铁（8件）</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D7B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2E4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644E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FE72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C64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81EF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小锣</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F2FE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1、由铜锣及槌组成铜锣用优质响铜制作，圆形，直径≥215mm，厚度约2mm，厚薄均匀，平整，无毛刺，无裂缝，表面抛光氧化处理并涂油；</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2、槌用硬杂木制成，表面无疤痕。</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A09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501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1278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5C06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2EE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191A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大锣</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1B9F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响铜材质，直径290㎜，扁平圆体，有边，边孔较小，系以绳。质量判断：谐音丰富洪亮无明显转音及颤音，锣边平滑。配锣锤。塑料包装无氧化.音质要求达到：中心发音较低，靠边的部分发音较高，在锣边、锣心或二者之间，击奏不同的音色和音高。具有粗犷、宏亮的音色，给人一种震撼的感觉。其音响低沉、宏亮而强烈，余音悠长持久。</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67F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083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BAA7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7353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B9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DDF7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小堂鼓</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5956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直径不小于200mm，配套小木槌2根。</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754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815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1E23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1F5E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0CD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E5D5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小钹</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74CF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1、材质尺寸要求：黄铜，音色更高亢脆亮。抛光处理。制作精美，光洁，无毛刺。圆帽形，中间突起，钹体小而厚，钹面直径≥145㎜，厚度≥1mm；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2、重量约：0.4kg，碗顶钻孔系以布绳，两面为一副；</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3、产品光滑，平整，无毛刺、裂缝，周边无棱角表面抛光氧化处理并涂防锈油；</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4、功能要求：声音判断：互击时声音洪亮而强烈，穿透力很强，能烘托气氛，强烈的气势，音色高亢脆亮。</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DD1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付</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F95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B654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B785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01F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818B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大钹</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6008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1、材质：响铜；</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2、规格：直径：21CM；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3、结构：为一圆形金属板，用响铜制成，顶部钻有小孔，抛光打磨有光泽，音质响亮清脆；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4、使用方法：演奏时左右手各握一个，互击发音。</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625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付</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C66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EF44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4B5D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8C6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94EB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小军鼓</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6D28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1、鼓圈：合金压铸，金属鼓腔；2、鼓腔外包高级PVC，鼓面直径：34cm，鼓皮为进口聚酯，专业打击鼓皮，配有专用小军鼓背带。</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134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面</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1C2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7EB8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180C1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2C6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D5D7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大军鼓</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77E6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1、直径：570mm；高：245mm；聚酯膜鼓皮；2、金属鼓腔，鼓腔外包高级PVC；3、配：鼓槌、背带。</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66A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面</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134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27E6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EAAB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ACF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C35D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爵士鼓（架子鼓）</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D877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1、五鼓，架子鼓由低音大鼓、踩镲、小军鼓、桶子鼓、吊镲所组成；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2、鼓的直径如下：大鼓：22"×16"、落地鼓：16"×16"、小军鼓：14"×5.5"、中音鼓：13"×10"、高音：12"×9"，镲片：踩镲：12"×2"、吊镲：(15")；</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3、质量要求：鼓腔:自然风干木材材质；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4、鼓圈：镀镍合金压铸。金属腔和木腔镶接，超强圆柱鼓耳，正品鼓皮，手工镲片。</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★5、参照JY0001-2003《教学仪器设备产品的一般质量要求》标准，满足以下6项要求：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★5-1、教学仪器设备产品的外观要造型美观、色彩协调、规整光洁。表面不应有明显的擦伤、划痕和碰撞的坑疤；</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-2、金属零部件除特殊要求外，都应根据使用要求涂覆一定的覆盖层。在通常情况下，金属零部件的镀层和氧化层参见附录B；★5-3、电镀层表面应致密、平滑、均匀，不应有气泡、针孔、毛刺、锈点、剥层、水迹和覆盖不严的地方，不应有树枝状和海绵状镀层，不应有斑点和条纹，镀件的边缘和棱角不得有粗糙的结晶和烧痕；</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★5-4、漆层附着牢固，不脱落，表面平整光滑、色调美观、薄厚均匀，不应有流疤、龟裂、皱皮、剥落和露底。美术漆层应花纹清楚，裂纹层不应露出底漆；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★5-5、塑料件表面应平整清洁，不应有划痕、溶迹、缩迹，不应有气泡、烧粉和夹生，边缘不应有毛刺、变形、破边和凹凸不平，不应有明显的浇口飞边；</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★5-6、木质件应平整清洁，无霉变、虫眼、死节、树脂漆（明子）和明显变形。且其检测结果均为与标准要求一致。</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★6、参照GB21027-2020《学生用品的安全通用要求》标准，可迁移元素mg/kg（锑、钡、铬、汞、砷、镉、铅、硒）其检测结果为塑料均未检出。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★7、投标人需提供制造厂商出具的带CMA和CNAS标志的国家级检测报告复印件，且需注明本次招标采购项目名称及编号并加盖制造厂商公章。</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57C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1A1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519E8">
            <w:pPr>
              <w:keepNext w:val="0"/>
              <w:keepLines w:val="0"/>
              <w:widowControl/>
              <w:suppressLineNumbers w:val="0"/>
              <w:tabs>
                <w:tab w:val="left" w:pos="1060"/>
              </w:tabs>
              <w:spacing w:before="0" w:beforeAutospacing="0" w:after="0" w:afterAutospacing="0"/>
              <w:ind w:left="-99" w:leftChars="-47" w:right="-89" w:rightChars="-42"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由学校根据条件配备</w:t>
            </w:r>
          </w:p>
        </w:tc>
      </w:tr>
      <w:tr w14:paraId="5F3E6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533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547691A">
            <w:pPr>
              <w:keepNext w:val="0"/>
              <w:keepLines w:val="0"/>
              <w:suppressLineNumbers w:val="0"/>
              <w:tabs>
                <w:tab w:val="left" w:pos="1060"/>
              </w:tabs>
              <w:spacing w:before="0" w:beforeAutospacing="0" w:after="0" w:afterAutospacing="0"/>
              <w:ind w:left="-99" w:leftChars="-47" w:right="-89" w:rightChars="-42" w:firstLine="0" w:firstLineChars="0"/>
              <w:jc w:val="both"/>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民族乐器</w:t>
            </w:r>
          </w:p>
        </w:tc>
      </w:tr>
      <w:tr w14:paraId="4ED10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F79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91CB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热瓦普</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279E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90cm，蟒皮</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489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2A3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FAB37">
            <w:pPr>
              <w:keepNext w:val="0"/>
              <w:keepLines w:val="0"/>
              <w:widowControl/>
              <w:suppressLineNumbers w:val="0"/>
              <w:tabs>
                <w:tab w:val="left" w:pos="1060"/>
              </w:tabs>
              <w:spacing w:before="0" w:beforeAutospacing="0" w:after="0" w:afterAutospacing="0"/>
              <w:ind w:left="-99" w:leftChars="-47" w:right="-89" w:rightChars="-42"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根据学校开课情况配备</w:t>
            </w:r>
          </w:p>
        </w:tc>
      </w:tr>
      <w:tr w14:paraId="1F392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FC7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4F72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冬不拉</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2987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四弦十五品高音或二弦十三、十四品中音</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D55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A13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C4067">
            <w:pPr>
              <w:keepNext w:val="0"/>
              <w:keepLines w:val="0"/>
              <w:widowControl/>
              <w:suppressLineNumbers w:val="0"/>
              <w:tabs>
                <w:tab w:val="left" w:pos="1060"/>
              </w:tabs>
              <w:spacing w:before="0" w:beforeAutospacing="0" w:after="0" w:afterAutospacing="0"/>
              <w:ind w:left="-99" w:leftChars="-47" w:right="-89" w:rightChars="-42"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根据学校开课情况配备</w:t>
            </w:r>
          </w:p>
        </w:tc>
      </w:tr>
      <w:tr w14:paraId="7E166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D65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DD6E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手鼓</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6D10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1、材质：木质圈，羊皮鼓面；</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2、规格：手鼓直径≧20CM，高度≧4.4CM，鼓圈厚度≧0.7CM，外观涂饰均匀，物流挂现象，各部件表面打磨光滑，无毛刺，无锐利边角，鼓框拼接整齐，胶合牢固，无开裂。</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1B7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FF5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5ADEB">
            <w:pPr>
              <w:keepNext w:val="0"/>
              <w:keepLines w:val="0"/>
              <w:widowControl/>
              <w:suppressLineNumbers w:val="0"/>
              <w:tabs>
                <w:tab w:val="left" w:pos="1060"/>
              </w:tabs>
              <w:spacing w:before="0" w:beforeAutospacing="0" w:after="0" w:afterAutospacing="0"/>
              <w:ind w:left="-99" w:leftChars="-47" w:right="-89" w:rightChars="-42"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根据学校开课情况配备</w:t>
            </w:r>
          </w:p>
        </w:tc>
      </w:tr>
      <w:tr w14:paraId="778FB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37A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C4E1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沙塔尔</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592D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18个丝弦品位，1根钢丝主奏弦，9根共鸣弦。</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EF6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A34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A8938">
            <w:pPr>
              <w:keepNext w:val="0"/>
              <w:keepLines w:val="0"/>
              <w:widowControl/>
              <w:suppressLineNumbers w:val="0"/>
              <w:tabs>
                <w:tab w:val="left" w:pos="1060"/>
              </w:tabs>
              <w:spacing w:before="0" w:beforeAutospacing="0" w:after="0" w:afterAutospacing="0"/>
              <w:ind w:left="-99" w:leftChars="-47" w:right="-89" w:rightChars="-42"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根据学校开课情况配备</w:t>
            </w:r>
          </w:p>
        </w:tc>
      </w:tr>
      <w:tr w14:paraId="2485E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637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8231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弹拨尔</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060D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1.42米，桑木</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8B7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E6A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88F54">
            <w:pPr>
              <w:keepNext w:val="0"/>
              <w:keepLines w:val="0"/>
              <w:widowControl/>
              <w:suppressLineNumbers w:val="0"/>
              <w:tabs>
                <w:tab w:val="left" w:pos="1060"/>
              </w:tabs>
              <w:spacing w:before="0" w:beforeAutospacing="0" w:after="0" w:afterAutospacing="0"/>
              <w:ind w:left="-99" w:leftChars="-47" w:right="-89" w:rightChars="-42"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根据学校开课情况配备</w:t>
            </w:r>
          </w:p>
        </w:tc>
      </w:tr>
      <w:tr w14:paraId="00A9C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FF2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8E21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艾捷克</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AFE8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1.材质：木质雕花。2.尺寸：≥800mm。</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F49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6B1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6F830">
            <w:pPr>
              <w:keepNext w:val="0"/>
              <w:keepLines w:val="0"/>
              <w:widowControl/>
              <w:suppressLineNumbers w:val="0"/>
              <w:tabs>
                <w:tab w:val="left" w:pos="1060"/>
              </w:tabs>
              <w:spacing w:before="0" w:beforeAutospacing="0" w:after="0" w:afterAutospacing="0"/>
              <w:ind w:left="-99" w:leftChars="-47" w:right="-89" w:rightChars="-42"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根据学校开课情况配备</w:t>
            </w:r>
          </w:p>
        </w:tc>
      </w:tr>
      <w:tr w14:paraId="38577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C5B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63D6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都他尔</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02CE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1.材质：木质。2.尺寸：≥1350mm。</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9C6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AB5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0B35E">
            <w:pPr>
              <w:keepNext w:val="0"/>
              <w:keepLines w:val="0"/>
              <w:widowControl/>
              <w:suppressLineNumbers w:val="0"/>
              <w:tabs>
                <w:tab w:val="left" w:pos="1060"/>
              </w:tabs>
              <w:spacing w:before="0" w:beforeAutospacing="0" w:after="0" w:afterAutospacing="0"/>
              <w:ind w:left="-99" w:leftChars="-47" w:right="-89" w:rightChars="-42"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根据学校开课情况配备</w:t>
            </w:r>
          </w:p>
        </w:tc>
      </w:tr>
      <w:tr w14:paraId="402C3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796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D992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唢呐</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C202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乌木D调</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FAC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E1C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61303">
            <w:pPr>
              <w:keepNext w:val="0"/>
              <w:keepLines w:val="0"/>
              <w:widowControl/>
              <w:suppressLineNumbers w:val="0"/>
              <w:tabs>
                <w:tab w:val="left" w:pos="1060"/>
              </w:tabs>
              <w:spacing w:before="0" w:beforeAutospacing="0" w:after="0" w:afterAutospacing="0"/>
              <w:ind w:left="-99" w:leftChars="-47" w:right="-89" w:rightChars="-42"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根据学校开课情况配备</w:t>
            </w:r>
          </w:p>
        </w:tc>
      </w:tr>
      <w:tr w14:paraId="666D2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89B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351C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扬琴</w:t>
            </w:r>
          </w:p>
        </w:tc>
        <w:tc>
          <w:tcPr>
            <w:tcW w:w="10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A4DB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专业402扬琴、硬木材质。月下荷塘。水龙吟图案。</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601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47D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2C33C">
            <w:pPr>
              <w:keepNext w:val="0"/>
              <w:keepLines w:val="0"/>
              <w:widowControl/>
              <w:suppressLineNumbers w:val="0"/>
              <w:tabs>
                <w:tab w:val="left" w:pos="1060"/>
              </w:tabs>
              <w:spacing w:before="0" w:beforeAutospacing="0" w:after="0" w:afterAutospacing="0"/>
              <w:ind w:left="-99" w:leftChars="-47" w:right="-89" w:rightChars="-42"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根据学校开课情况配备</w:t>
            </w:r>
          </w:p>
        </w:tc>
      </w:tr>
    </w:tbl>
    <w:p w14:paraId="0EB87A05">
      <w:pPr>
        <w:rPr>
          <w:rFonts w:hint="eastAsia"/>
          <w:color w:val="auto"/>
          <w:highlight w:val="none"/>
          <w:lang w:val="en-US" w:eastAsia="zh-CN"/>
        </w:rPr>
      </w:pPr>
    </w:p>
    <w:p w14:paraId="111B84E4">
      <w:pPr>
        <w:rPr>
          <w:rFonts w:hint="eastAsia"/>
          <w:color w:val="auto"/>
          <w:highlight w:val="none"/>
          <w:lang w:val="en-US" w:eastAsia="zh-CN"/>
        </w:rPr>
      </w:pPr>
      <w:r>
        <w:rPr>
          <w:rFonts w:hint="eastAsia"/>
          <w:color w:val="auto"/>
          <w:highlight w:val="none"/>
          <w:lang w:val="en-US" w:eastAsia="zh-CN"/>
        </w:rPr>
        <w:br w:type="page"/>
      </w:r>
    </w:p>
    <w:p w14:paraId="40DD730A">
      <w:pPr>
        <w:keepNext w:val="0"/>
        <w:keepLines w:val="0"/>
        <w:widowControl/>
        <w:suppressLineNumbers w:val="0"/>
        <w:jc w:val="both"/>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4、体育常规仪器配备方案</w:t>
      </w:r>
    </w:p>
    <w:tbl>
      <w:tblPr>
        <w:tblStyle w:val="27"/>
        <w:tblW w:w="1476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99"/>
        <w:gridCol w:w="1819"/>
        <w:gridCol w:w="9107"/>
        <w:gridCol w:w="43"/>
        <w:gridCol w:w="737"/>
        <w:gridCol w:w="43"/>
        <w:gridCol w:w="1115"/>
        <w:gridCol w:w="899"/>
      </w:tblGrid>
      <w:tr w14:paraId="2AC37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5E9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090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名称</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BA2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技术规格</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FCB3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单位</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AB4F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数量</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5AA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备注</w:t>
            </w:r>
          </w:p>
        </w:tc>
      </w:tr>
      <w:tr w14:paraId="22A60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4762"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B55E7B3">
            <w:pPr>
              <w:keepNext w:val="0"/>
              <w:keepLines w:val="0"/>
              <w:suppressLineNumbers w:val="0"/>
              <w:spacing w:before="0" w:beforeAutospacing="0" w:after="0" w:afterAutospacing="0"/>
              <w:ind w:left="0" w:right="0"/>
              <w:jc w:val="both"/>
              <w:rPr>
                <w:rFonts w:hint="eastAsia" w:ascii="宋体" w:hAnsi="宋体" w:eastAsia="宋体" w:cs="宋体"/>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通用</w:t>
            </w:r>
          </w:p>
        </w:tc>
      </w:tr>
      <w:tr w14:paraId="0605B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2AF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CF1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计算器</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E389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函数型；2、10+2位数、有统计运算功能、有分数计算功能、双行LCD显示、有函数运算功能、有多行重视功能、有方程编辑及显示、查看功能、有独立储存器功能、有临时储存器功能、有普通四则运算功能、有自动关机功能、应保留普通计算器的其他功能。</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DD66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B543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367D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FE49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1DF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E3C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录放音机</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219B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单卡，支持U盘、内存卡，可读光盘。</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43EF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C695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59A4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4610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DD8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4F2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扩音设备</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19FC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手持式，锂电喊话器，数字电路，240秒录音，8-10小时连续放音</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A533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8B8B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251A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D06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1D5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190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打气筒</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3CE7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1.人工充气,带储气罐，适合给各种球类充气。</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A39A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CA78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D1EE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149C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D56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497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电动充气泵</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5074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用于篮球、排球、足球充气，电动充气泵</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A317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6100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ADB2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332A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A3B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6B2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布卷尺</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9AB4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10m，仿皮外壳，苎麻布卷尺，防水，防腐蚀；塑料卡扣和收放扣。</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D671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盒</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3512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75A7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C1B7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CD1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1B3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布卷尺</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8E2E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量程20m，分度值1cm，盒装，纺布材料伸缩小，起点零刻度线。</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5C6C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盒</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2A34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0728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3B01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723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01E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布卷尺</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9597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1、量程30米，分度值1cm；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2、主要构件：尺盒、摇柄和尺带、首端装有金属拉环的整条尺带；金属拉环应灵活、牢固可靠，不得锈蚀；尺带拉出或用摇柄收卷尺带时，应轻便灵活，无卡阻现象；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在每1m内，分米分度线纹应标上以厘米为单位计数的数值，米分度线纹应自零点算起，10m以后，可以只标注数值；尺的零点线纹可在金属拉环的内侧，也可在离尺端至少15cm处，终点线纹离尺盒口至少为20cm；尺面刻度清晰，涂脂附着力强。</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9399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盒</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D10B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4195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3637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193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B5D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布卷尺</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6186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50m</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5751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盒</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9066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BF0A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4F61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B86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E4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钢卷尺</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2E07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30m，摇卷架式，钢制材质。</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F3A3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盒</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D89F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9796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C095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1AB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BC8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钢卷尺</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3EDC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50m，摇卷架式，钢制材质。</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35FE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盒</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0DE9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4552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67DE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3F1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EEC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钢卷尺</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3F35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100m，摇卷架式，钢制材质。</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44E5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盒</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0510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B095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DE8F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EB0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614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木尺</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4859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木质，长度2000mm</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C823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根</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4C6D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2EF6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B52D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DFD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D2F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机械秒表</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B8B3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30s  0.1s.  无暂停功能</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270C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块</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FAAD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305A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D2DF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FFD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50E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数字秒表</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6B97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应符合GB/T22778。</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AF56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块</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484B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999B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12F0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BF9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D25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运动计数器</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0A34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塑料外壳，金属指环和按键，通过旋转侧面按钮随时归零，数字范围0-9999。</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6C7A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79A9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236B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CDCB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1F9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765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体育器材架</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68A5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1、规格：长1500mm*宽500mm*高2000mm，4层钢板，纯白色，立柱75mm*35mm*1.0mm，横梁60mm*40mm*1.0mm，层板0.4mm，每层放150公斤；</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2、工艺流程：黑坯→除去表面脏物→化学除锈→磷化→喷塑→流平固化→成品；</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2、货架表面处理采用环氧树指粉末静电喷涂工艺，涂层厚度60~80微米；</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3、静电喷粉附着力达到标准要求；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4、硬度(耐磨性)为普通硝基漆的100倍以上；</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耐腐蚀性(盐酸实验)大于500小时，A、柱片：使用优质钢材，通过轧机线轧制成U型截面的立柱与横、斜撑配合，组成坚固的框架结构，立柱上冲有双排对称孔，每根立柱底下有独立铁底脚，保证将承载平稳均匀的向地面分布，每个柱片包括：立柱两根，底脚两只，横撑及斜撑，标准件；B、横梁：由两只柱卡与横梁杆焊接在一起，横梁杆采用两特制的槽钢抱合而成，使梁的上、下面厚度加厚一倍，这种结构根据钢结构设计理论，充分利用了材料的抗载容量，具有重量轻，承载力强，造价低的特点。</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D59A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F6E0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41</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72BE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DBE1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0D6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87D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体育器材橱（柜)</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68A5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规格：850mm×390mm×1850mm；铁皮柜子构柜体。柜体分上、下两层，上层为玻璃对开门，内设位置可调节0.6mm厚钢制隔板2层，下层为全钢门， 内设可调节0.6mm厚钢制隔板1层。采用金属双立柱调节隔板位置。板托的材质要求坚固。无抽屉</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57B7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EEE0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CD54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B980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F83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15" cy="317500"/>
                  <wp:effectExtent l="0" t="0" r="13335" b="6350"/>
                  <wp:wrapNone/>
                  <wp:docPr id="46" name="图片_11"/>
                  <wp:cNvGraphicFramePr/>
                  <a:graphic xmlns:a="http://schemas.openxmlformats.org/drawingml/2006/main">
                    <a:graphicData uri="http://schemas.openxmlformats.org/drawingml/2006/picture">
                      <pic:pic xmlns:pic="http://schemas.openxmlformats.org/drawingml/2006/picture">
                        <pic:nvPicPr>
                          <pic:cNvPr id="46" name="图片_11"/>
                          <pic:cNvPicPr/>
                        </pic:nvPicPr>
                        <pic:blipFill>
                          <a:blip r:embed="rId27"/>
                          <a:stretch>
                            <a:fillRect/>
                          </a:stretch>
                        </pic:blipFill>
                        <pic:spPr>
                          <a:xfrm>
                            <a:off x="0" y="0"/>
                            <a:ext cx="5715" cy="31750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lang w:val="en-US" w:eastAsia="zh-CN" w:bidi="ar"/>
              </w:rPr>
              <w:t>19</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CA0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打气筒</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D556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1.人工充气,带储气罐，适合给各种球类充气。</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E04C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C0C0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07DB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BB8ED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622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31D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电动充气泵</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ADB8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用于篮球、排球、足球充气，电动充气泵</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22DC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1E64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5132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E919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332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A3C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机械秒表</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113D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30s  0.1s.  无暂停功能</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F52F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块</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B174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8F34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A5BA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923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EB4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电子秒表（0.01s）</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C3F8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防水防震1、外包装采用防潮、防尘的硬纸盒包装，盒面与盒体采用纽扣式联接。数据可精确到0.01s；2、秒表计时带有简易计时、分段计时、两段时间显示，带暂停按钮；3、秒表具有每小时报时，每日定时响闹及自动重响功能，可显示时间，12及24小时制式，日历、星期、防水，防震结构等功能。</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92EF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7AEC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33</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3750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1896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B6E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A34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布卷尺（20m）</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5964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量程20m，分度值1cm，盒装，纺布材料伸缩小，起点零刻度线。</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919E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盒</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EA0A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1DB6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4827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991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658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布卷尺（30m）</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0671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1、量程30米，分度值1cm；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2、主要构件：尺盒、摇柄和尺带、首端装有金属拉环的整条尺带；金属拉环应灵活、牢固可靠，不得锈蚀；尺带拉出或用摇柄收卷尺带时，应轻便灵活，无卡阻现象；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在每1m内，分米分度线纹应标上以厘米为单位计数的数值，米分度线纹应自零点算起，10m以后，可以只标注数值；尺的零点线纹可在金属拉环的内侧，也可在离尺端至少15cm处，终点线纹离尺盒口至少为20cm；尺面刻度清晰，涂脂附着力强。</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CF66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盒</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89F2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6E49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FE2B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ED3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C62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布卷尺（50m）</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1E0F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50m</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3997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盒</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29AC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CDFE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A0CD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B70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2C6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体育器材柜</w:t>
            </w:r>
          </w:p>
        </w:tc>
        <w:tc>
          <w:tcPr>
            <w:tcW w:w="9107" w:type="dxa"/>
            <w:tcBorders>
              <w:top w:val="nil"/>
              <w:left w:val="nil"/>
              <w:bottom w:val="nil"/>
              <w:right w:val="nil"/>
            </w:tcBorders>
            <w:shd w:val="clear" w:color="auto" w:fill="auto"/>
            <w:vAlign w:val="center"/>
          </w:tcPr>
          <w:p w14:paraId="5E29714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1、规格：1000mm×500mm×2000mm；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2、柜体衬板：用厚度为16mm±0.3mm，灰白色双面三聚氰胺板，外漏截面采用1.5mm厚塑制优质封边条机械封边；</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柜体框架：采用模具成型的专用铝合金方管制作，通过ABS专用连接件组装而成。前立柱.前横梁外径不小于25mm×30mm（误差≤±1mm），后立柱.后横梁外径为30mm×30mm（误差≤±1mm），铝合金管材的壁厚≥1.1mm（误差≤±0.15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4、柜门：上部为专用木框对开玻璃门，下部为对开木门，不锈钢拉手。柜门采用优质不锈钢定位铰链，铰链的壁厚不小于1.5mm；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隔板：上柜设置2块活动隔板，下柜设置1块固定隔板。隔板所用的板材与柜体板材相同，厚度不小于16mm。隔板采用“［”型槽板包边（槽板材料为冷轧钢板，其尺寸为20mm×20mm，壁厚1.0mm，槽宽与隔板厚度匹配，表面需进行喷塑处理），槽板与隔板用万能胶固定；</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6、高度升降条：上部柜体内侧均应安装高度升降条（1.0mm冷轧钢板制作），每侧2根，至少带12个活动支撑座；</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7、支脚：采用直径不小于10mm的金属螺杆与ABS工程塑料一次注塑成型的脚垫。</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F89E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C272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514F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08B2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F53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1FC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跑类器材及配套教材</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70A3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1.软式练习跨栏架：XPE环保塑料发泡材料制成 ， 由底 板横板和侧板构成 ，侧板与横板之间以及侧板与底座  之间均为榫卯连接 。横板长700mm ，宽90mm底板长： 700mm ，宽220mm侧板下底长220mm ，高560mm高度  可三档调节为:300mm 、500mm 、600mm所有板的厚度 18mm ，12付 。符合国际田联标准 。配套使用国际田联编制发行的系列教材 。配置视频版使用说明。</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2.可调节跨栏架：栏板为塑料PVC，栏架为铝合金材料 ,  底座与立杆之间通过塑料三通装置插接 ，立杆内部  安装弹簧卡扣实现高度随意调节 ，栏架可拆卸组装。</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栏板长度1200mm，宽度70mm，厚度20mm栏架底座长 1200mm ，宽700mm四档高度调节分别为：550mm、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650mm 、760mm和840mm ，铝合金管件的壁厚≥1.5mm 栏架整体重量为2800克-3200克之间 ，跨栏板调至各高 度时 ，跨栏板顶部中心位置水平施加1KG以上的拉力   时 ，跨栏架均应翻倒 ， 10付 。符合国际田联标准 ， 配  套使用国际田联编制发行的系列教材。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 叠式安全训练跨栏架：栏板为圆柱体，从中间分为两 节 ，铝合金管外套橡胶发泡管制成 ，每节栏板与立杆  通过弹性装置连接 ，使栏板在受力后可以向任意方向  摆动并很快复位 ，栏架为钢制管件 ，立杆内部安装弹  簧卡扣实现规定高度调节 ，底座与立杆可以折叠 ，方  便存放与搬用 ，栏板直径40mm ，每节长度550mm ，栏 架底座长1150mm ，宽560mm五档高度调节分别为：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550mm 、650mm 、760mm和840mm 、920mm钢制管件 的壁厚≥1.3mm，4付 。符合国际田联标准，配套使用国 际田联编制发行的系列教材。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软式练习接力环： 柔软塑胶材料制成的空心圆圈结构  ,   圆圈内环和外环壁上设置有防滑纹 ，环体设有气嘴  ,  可进行充气外圈直径：φ170mm～ 190mm ， 内圈直径 :  φ90mm～ 100mm ， 12个 。符合国际田联标准 。配套  使用国际田联编制发行的系列教材 。配置视频版使用  说明。</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4.软式接力棒：里面为塑料管或棒，外面及两端均由橡 胶发泡材料包裹 ，质地柔软 ，色彩鲜艳长度300mm,直 径:φ25mm～35mm, 18根 。符合国际田联标准 。配套使  用国际田联编制发行的系列教材。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5.铝合金接力棒：优质铝合金材料制成，棒体无缝，彩 色亚光喷漆 ， 两端边缘采用卷边工艺 。长度：300mm   、直径：φ38mm 、重量： 80g ，8根 。符合国际田联标  准 ， 配套使用国际田联编制发行的系列教材。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6.体能训练绳梯：由柔软塑胶材料和尼龙绳制成，绳梯 的阶梯之间的宽度可任意灵活调节 ，绳梯总长：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9500mm 、宽 ：500mm 、PP横条长： 505mm ，宽37mm ,  厚5mm 、尼龙绳宽：25mm ，4付 。符合国际田联标  准 ， 配套使用国际田联编制发行的系列教材。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7.运动计数器：材质：ABS彩色塑钢，金属指环和按键 ,  通过旋转侧面按钮可以随时回零数字显示范围：</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0-9999 ，12个 。符合国际田联标准，配套使用国际田联 编制发行的系列教材。8.便携式起跑器： 柔软塑胶材料制成, 凸起处的两面呈  不同的倾角并有防滑纹 ，底部有防滑网格 ，在塑胶场  地使用不能打滑 。长：260mm 、宽：90mm 、高：80mm 中间部分凸起 ， 两个斜面与底面的角度分别为：40-45 度和70-80度，9付 。符合国际田联标准，配套使用国际 田联编制发行的系列教材 。配置视频版使用说明。</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9.起跑发令组合：发令信号旗与发令声音信号集于一体 ,  两个信号旗板为亚克力材质 ，分别为红色和黄色，</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分别契合在两个夹板上 ， 夹板为实木 ， 由金属合页连 接并配有金属把手 ，通过两个夹板的发力夹合发出声 音信号信号板长250mm宽 180mm,厚度2mm夹板长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450mm宽40mm ，厚度15mm，2个 。符合国际田联标准 。配套使用国际田联编制发行的系列教材。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10. 多功能折叠长垫： 里面为环保塑料泡沫板 ， 外面为 塑料皮革 ， 由四块依次连接的子垫 ，其边缘以及连接  部通过皮革热压密封连接而成 ，使得每个子垫都可以  向正反两个方向翻转规格尺寸600mm×1800mm×25mm  ,  3个 。符合国际田联标准 ，配套使用国际田联编制发 行的系列教材。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11.彩色标志杆组合： 由杆、底座、连接卡子和标志小 旗组成 ， 塑料制成 。杆和座可以分离 ，底座下部有塞  子 ，拧开塞子可以灌水和沙子 ，增加配重 ，底座中部  中央呈楔形 ，使得杆越往里插越紧 。标志旗为三角形  布料 ，印有少儿田径LOGO，边缘缝有杆套便于套在标 志杆上杆长  1200mm杆直径φ27mm底座高107mm底座  直径φ200mm  标志旗尺寸300mm×300mm，24套。符合 国际田联标准 ，配套使用国际田联编制发行的系列教  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12. 实践指南教材（ 1 ）内容包括：1.适合13-15岁的少儿 田径跑类运动项 目 。包括： 短跑 、跨栏跑、 中距离跑  、接力跑四个项目二十个教学卡片2.13-15岁国际田联  少儿田径教学实践与训练3.13-15岁青少年身体素质的  发展与测评4.13-15岁国际田联少儿田径赛事组织 。包  括： 竞赛形式、室外比赛组织、结果统计、裁判委员  会的组织结构、比赛安排和所需要的器材、竞赛表格  、记分牌、参赛队和场地识别、竞赛组织人员和协助  人员 、比赛结果的发布等内容。</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7533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83E1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FAA1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0E47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2EE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0D8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跳跃类器材及配套教材</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7950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1.撑杆跳软式撑杆： 内部材质为管状玻璃纤维，外部由 橡胶发泡橡胶包裹 ，有防滑纹 ， 两头有带防滑颗粒塑   胶球头 。杆长：2000mm裸杆外径：φ25mm裸杆内径： φ16mm带软套外径：φ35mm静负荷承受能力≥1000牛顿 ,  4根 。符合国际田联标准 ，配套使用国际田联编制发 行的系列教材 ，配置视频版使用说明。</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 多功能跳远长垫：材质外套牛津布，里面环保塑料泡沫板 ， 由六块小垫子粘连拼接然后再装到一个大的牛  津布外套里 。外套一面印有六个相接的圆圈 ， 圆圈里  分别印有数字1-6 。另一面印有表示距离的刻度线整体 规格：300cm×150cm×5cm每个子垫子规格：100cm×75cm×5cm圆圈规格： 直径47cm刻度最小单位  ：10cm ，1块 。符合国际田联标准 ，配套使用国际田联 编制发行的系列教材。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3.数字圆跳垫：塑料泡沫与防滑纹PVC革双面复合而成 , 印有0-9不同数字直径：φ470mm厚度： 5mm ， 10个 。 符合国际田联标准 ，配套使用国际田联编制发行的系列教材 ，配置视频版使用说明。</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 弹力带A：天然橡胶材料制成 ，无缝连接呈圆环状， 外表光滑 。宽度：45mm 、周长：2080mm 、厚度2.5mm ,  3条 。符合国际田联标准 ，配套使用国际田联编制发行的系列教材。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 弹力带B： 天然橡胶材料制成 ，无缝连接呈圆环状 ， 外表光滑 。宽度：20mm 、周长：4000mm 、厚度2.5mm ,  3条 。符合国际田联标准 ，配套使用国际田联编制发 行的系列教材。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6.投掷数字锥：柔软塑胶材料制成 ，呈圆锥体形状，每 个锥体分别印有表示距离的数字 。高 ：270mm上直径  :  φ58mm下直径：φ192mm ，16个 。符合国际田联标准 ,  配套使用国际田联编制发行的系列教材。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7.大号软式标志桶：柔软塑胶材料制成呈圆锥体状，放 置平稳 ， 中间有不同高度的圆孔 。高 ：500mm上端直  径：φ33mm下端直径：φ290mm ，10个 。符合国际田联 标准 ，配套使用国际田联编制发行的系列教材。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8.小号标志物： 呈碟状 ，上边呈十字形 口 ，便于收纳， 下圆形放置平稳 。材质 LDPE触感柔软 。高 ：75mm上 直径：φ65mm下直径：φ200mm ， 100个 。符合国际田  联标准 ，配套使用国际田联编制发行的系列教材。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9.标志物架： 铸铁制成 ，用于叠放小号标志物 。高 ：   200mm底座直径： 100mm ，2个 。符合国际田联标准， 配套使用国际田联编制发行的系列教材。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10. 中号软式标志桶： 柔软塑胶材料制成 ， 呈圆锥体状 ,  上圆下方 ，放置平稳 。高 ：300mm上直径：φ30mm 下边底长：215mm ，30个 。符合国际田联标准 ， 配套  使用国际田联编制发行的系列教材。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11.软式跳高横杆： 杆体由柔软泡沫材料制成 ， 中间串  有高强度弹力绳 ， 弹力绳两端连接ABS塑料绳扣 ，绳   扣上有两个圆孔和一个楔形开 口 ， 弹力绳穿过绳扣可  以实现与立杆快捷连接杆体度:3500mm直径：φ30mm   中间高强度弹力绳长度：4000mm直径：φ3mm塑料绳  扣直径：φ45mm，4个 。符合国际田联标准 ，配套使用国际田联编制发行的系列教材 ， 配置视频版使用说明。</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12. 带轮便携器械包： 高强度牛津布或皮革制成 ，包底 部装有滑轮 ，前面和两侧都有拉手 ，上面有粘钩杆套  。长×宽×高： 1300mm×350mm×500mm ， 1个 。符合国 际田联标准 ，配套使用国际田联编制发行的系列教材。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13.30米大号皮尺： 皮革材质 ，每 10米一种颜色 ，整米  和每20厘米丝网印刷有刻度和数字 。宽： 150mm长度  ：30000mm ，2个 。符合国际田联标准 ，配套使用国际 田联编制发行的系列教材。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14.体育场地标志胶带： 材质为布基胶带 ，用于塑胶、 木地板等场地粘贴标志 ，粘贴牢固 ， 易于撕扯 。宽：50mm长度：18m，3卷 。符合国际田联标准 ，配套使用 国际田联编制发行的系列教材。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15.便携式充气筒： 材质：PVC ， 带充气软管及气针 ， 把手套内有弹簧便于反复充气 。气筒高度：300mm直  径：φ30mm ，1个 。符合国际田联标准 ，配套使用国际 田联编制发行的系列教材。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16.折叠式器械收纳车： 材质： 喷塑钢管 ， 牛津布 ， 网  眼布 ，PVC 。 由车和增高围网构成 ， 车体配有灵活的   推拉手柄 ， 车身通过一根提拉绳实现快速折叠和展开  。最大承重80公斤规格框尺寸：85cm×50cm×28cm，轮 子尺寸20cm×4cm，装配增高围网后框体高度为800mm ,  1辆 。符合国际田联标准 ，配套使用国际田联编制发 行的系列教材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17. 实践指南教材（ 1 ）： 内容包括：1.适合13-15岁的少 儿田径跳跃运动项 目 ，包括： 跳高、撑杆跳高 、跳远   、三级跳远四个项目二十个教学卡片 。2.13-15岁 国际  田联少儿田径教学实践与训练3.13-15岁青少年身体素  质的发展与测评4. 国际田联少儿田径赛事组织 。包括： 竞赛形式、室外比赛组织 、结果统计、裁判委员会的   组织结构、 比赛安排和所需要的器材、竞赛表格、记   分牌 、参赛队和场地识别 、竞赛组织人员和协助人员   、 比赛结果的发布等内容。</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315A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0231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4943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9D9E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669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29</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9C5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投类器材及配套教材</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667C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1.软式练习标枪：整体呈火箭形状 ，枪身为EPE环保塑 料泡沫管 ， 外覆PVC薄膜 ，枪身笔直 ，枪头为圆形弧   状 ， 里边为EVA ， 外边套有硅胶套 ， 四片尾翼由XPE   塑料发泡材料制成并呈十字形拼插 ， 与枪身结合牢固  ,  不易脱落 ，标枪的重心应在枪身中间偏后位置长：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800mm直径：φ50mm尾翼宽度：200mm正常投掷飞行 距离≥20m ，25支 。符合国际田联标准 ， 配套使用国际 田联编制发行的系列教材 ，配置有视频版使用说明。</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2.掷准练习标枪:  由橄榄形头部和尾翼构成，头部由PU发泡材料制成 ，材质柔软 ，三个塑料响哨呈120度对称 安装在头部中央 。三片尾翼由EVA制成 ，分别呈120度 粘贴在由头部连接出的软管壁上枪体长度：300mm头  部长度：160mm尾翼长度：140mm最大处直径：φ85mm 重量： 120克 ， 12支 。符合国际田联标准 ，配套使用国 际田联编制发行的系列教材 ，配置有视频版使用说明。</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 塑胶练习标枪:  枪头由柔软塑胶材料制成 ，枪身由塑 料制成 ， 由枪头、枪身和尾翼三部分组成 ，每个部分  之间通过螺纹活动连接 ， 可以自 由拆卸组装 ，枪身为  管状结构 ， 可以填充沙子以增加重量 ，枪体有提示持  握位置和防滑功能的环状纹和突出颗粒 ，十字弧形尾  翼，标枪整体外形呈火箭形状标枪总长：680 mm ,枪头 长：90mm,枪身长：270mm尾翼部分长：320mm枪头和 枪身直径均为φ35mm持握部直径φ37mm尾翼最宽处：  100mm重量：300克 ， 12支 。符合国际田联标准 ，配套 使用国际田联编制发行的系列教材 ，配置有视频版使  用说明。</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4.软式标枪400g：由标枪和标枪带哨阻拦器构成，标枪 枪身为铝合金 ，枪头用柔软塑胶材料制成 ，枪尾装有  软材料保护套,枪身上套有标枪带哨阻拦器质量：400g  、长： 1850mm-1950mm 、把手宽度： 140mm ，6支。</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符合国际田联标准 ，配套使用国际田联编制发行的系 列教材。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5.软式标枪500g：由标枪和标枪带哨阻拦器构成，标枪 枪身为铝合金 ，枪头用柔软塑胶材料制成 ，枪尾装有  软材料保护套,枪身上套有标枪带哨阻拦器，质量：500g 、长 ：2000mm-2100mm 、把手宽度： 140mm ，6支。</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符合国际田联标准 ，配套使用国际田联编制发行的系 列教材。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6.标枪带哨阻拦器：由EVA塑料发泡材料制成，带有塑 料响哨 ，在飞行过程中可以发出哨音并可以被阻拦网  阻拦下来,标枪重心必须在把手范围内外径（粗）：80mm 外径（ 细 ）：36mm内径：22mm高 ：90mm ， 12个 。符 合国际田联标准 ， 配套使用国际田联编制发行的系列  教材。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7.橡胶实心球:  球体外胆由天然橡胶材料制成 ，可充气 重量：2000克直径:φ160mm～ 190mm ， 12个 。符合国   际田联标准 ，配套使用国际田联编制发行的系列教材。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8.软式练习铅球:  外胆由柔软塑胶材料制成 ，通过适当 充气使手感更加柔软 。直径：φ85mm～ 100mm重量：  1000g ，24个 。符合国际田联标准 ，配套使用国际田联 编制发行的系列教材 ，配置有视频版使用说明。</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2DEE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DDDA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66A8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6065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CC1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DE2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助跳板(Ⅱ型）</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7E98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主要原材料采用木材材料，Ⅱ型长×宽×高为900mm×500mm×150mm</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6001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块</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115D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D71F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4A88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E1D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31</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940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助跳板(Ⅲ型）</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EFDF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1．助跳板长1200mm，宽600mm,高150mm。2．上盖表层应有柔性层和防滑层。3．S型弹簧，材质坚硬而富有弹性，表面漆层均匀光洁，木材无裂缝，无疤痕，不变形并经脱脂干燥处理。</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1F8C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块</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D552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9EF3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379F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D61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32</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76F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山羊（1000-1301mm）</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A3A6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可升降，高度范围为：1.08-1.3米，主轴升降间距为50mm；四角可调，山羊腿外管直径为48mm，壁厚为3mm，山羊地脚用ABS工程塑料，坚固耐用，内管直径32mm实心圆钢材质，山羊头：规格为600*360*260，表面为革面，色泽一致。</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B333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DD4F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9841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E261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DB3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33</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BF7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跳箱</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AC67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七节 长1090MM,上宽300MM,下宽640MM,总高1000mm。用20mm松木制成，之间拼装应采用燕尾槽，级间用内撑木插联组合，木柱出头高40mm，并附于其他加固措施。箱体颜色：采用明漆，器材颜色搭配要协调。2.跳箱盖必须平整，软硬适宜，手感舒适，用重体海绵做成弧形，表面用优质人造革包制，泡钉封口，各层结合应平直、稳定牢固，接地面应平稳。</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48B8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E5B0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5EA0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E7CD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D30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34</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CF3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单杠（1400-2400mm）</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C6CD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杠面高度：1200mm～2000mm，两立柱支点中心距：2000mm～2400mm，横杠材料：弹簧钢，立柱材料：钢管。</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2AA6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副</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798F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88BC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880D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5D6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35</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9F1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双杠</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BDE1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1、立管采用直径≥89×2.0mm优质钢管，净高约1500mm、杠面长度约2500mm，杠面截面长径约50mm、短径约40mm，两杠内侧距离390—520mm，地埋深度≥600mm。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2、表面静电喷塑。</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C673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副</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A914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533C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495F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AA1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36</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B68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小跳垫</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8200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采用泡沫塑料和泡沫乳胶，帆布或人造革外皮，长1200mm±5mm，宽600mm±5mm，厚50mm。在长度方向可对半折叠，两侧应各有提手，四周加装粘扣。</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84C5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块</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F8F4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87</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B6AB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4AAA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804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37</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F5F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大跳垫</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F895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采用泡沫塑料和泡沫乳胶，帆布或人造革外皮，长2000mm±5mm,宽1000mm±5mm,厚≥100mm。在长度方向可对半折叠，两侧应各有提手，四周加装粘扣</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24FA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块</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9B16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29</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23F9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33ED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80C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38</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06A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体操棒</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E8C4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1.长90cm，直径3cm。2、用铝合金管制成，表面光洁，体形端直，无变形，无弯曲等缺陷，两边塑料堵头。3、表面涂彩色油漆，红白各半，色泽鲜艳。</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3CD3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根</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6AA6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994D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2643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61B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39</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2F3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艺术体操球</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83BA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直径18cm，质量400g</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9783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0947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78</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3E46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A4C6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E4D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62C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艺术体操圈</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7318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内径76cm，质量300g</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E52F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4792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BF90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42A0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763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41</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F94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艺术体操棒</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C1E0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长40cm～50cm，质量至少150g。</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7701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根</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545A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3294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8AB3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937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42</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F3C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艺术体操绳</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D32F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长度应与学生身高相称。</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5872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根</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7FCD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78</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FB80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2D44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8FF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43</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AB1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艺术体操带</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BF1A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带长6m，宽40mm，重35g以上；棍长470mm，直径4mm</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60E3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条</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F4B7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78</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4F96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F8F5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B86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44</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6BB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初中生用篮球</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AA78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5号篮球：黑色橡胶内胆，内胆表面均匀缠绕一条篮球专用尼龙丝，橡校中胆，表皮由优质PU（聚氨酯）构成，防水、耐磨、抗霉变，手感好。</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50E4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464B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90</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35E2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507F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18B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45</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E30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篮球网</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1138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篮球网高400～450mm，网口直径（450±8）mm，网底直径（350±8）mm。</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48EC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副</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CD49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96</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97A2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93BC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32E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3D6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初中生用排球</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DAA8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5号，圆周长650mm～670mm，质量235g～300g。</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5DD1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D0C3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75</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1BA9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AA12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DCA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47</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98F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软式排球</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6F74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圆周长63cm 5号</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5D62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976A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70</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57BF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E0EB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667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48</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12A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排球网柱（2120±5mm）</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5AEE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拉网中央高度1800mm±5mm，网柱高度1920mm±5mm，埋地</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03D3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副</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4E67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452A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C1E6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6C2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49</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A13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排球网</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C9E1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排球网长度9500mm，宽度700mm.</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E87B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D253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AABA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77AD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85D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458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少年足球4号</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FB0A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4号圆周长650mm，质量315g～405g，圆周差≤5mm。</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2194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797B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89</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16C8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EA98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065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51</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7D5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足球门（3号）</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AE85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小学用足球门：3号足球门，5人制足球比赛用的矩形足球门。球门规格：长度*高度*宽度：3000mm*2000mm*1600mm；2、足球门由立杆、横梁、两侧撑杆、两侧横杆和后侧横杆组成；球门立杆和横梁均采用直径76mm*2mm（小学）的优质钢管制成，上设网钩，置网方便，网球系线柱两侧撑杆采用直径32*1.2mm的钢管制成，横梁和立杆上没有可能危害到运动员安全的链接物件露在外面；3、足球门应能承受的水平拉力为1000N，足球门横梁能承受2700N的静负荷，横梁不应出现断裂和明显的永久变形；4、球门组装完成后，立杆与地面垂直，横梁与立杆的夹角为90度，连接件周边处理圆滑，无棱角，表面抛丸喷砂，静电喷涂。整体结构稳固，安全性好；5、配足球网1副。</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6CF9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副</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F955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CC3B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D999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BF2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52</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477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足球网（1号）</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351D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11人制</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FF35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4CE1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31C3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36A7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DCC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53</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D43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乒乓球</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4E78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1、直径43.4mm～44.4mm；2、圆度0.40mm；3、重量2.20g～2.60g；4、弹跳220mm～250mm；5、牢度：受冲击不小于700次无破裂；外观接缝整齐，表面不反光。</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241C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6D42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120</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FDFA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1D40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8B3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54</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970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乒乓球拍</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6496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双胶面直握拍。</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E45B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副</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AF2A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759D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BD28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B70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55</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9DD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室外乒乓球网架</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70A5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带有紧固螺丝，支架整体钢制，带网。网架使用静电喷塑，颜色为深色，色泽均匀一致，产品涂料配方不含有毒有害元素（配室内乒乓球台使用）。</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EB25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副</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9E73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C55D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7125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6BC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56</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116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室内乒乓球网</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8036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球网高度140mm*1800mm</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2BA7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343B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FD09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7F71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244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57</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CD8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室内乒乓球台</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716C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球台可折叠，台面折叠采用自锁装置；台面和台腿连接件采用钢板整体冲压而成；2.球台可移动，并配有刹车装置；3.台面尺寸：2740mm*1525mm；4.台面高度：760mm；5.台面材质：高密度中纤板，撑立平稳，折叠灵活方便；9.球网优质尼龙网材质。</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7F22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2C3E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822B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D97A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B2A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58</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686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室外乒乓球台</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D1F4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球台可折叠，台面折叠采用自锁装置；台面和台腿连接件采用钢板整体冲压而成；2.球台可移动，并配有刹车装置；3.台面尺寸：2740mm*1525mm；4.台面高度：760mm；5.台面材质：高密度中纤板，撑立平稳，折叠灵活方便；9.球网优质尼龙网材质。</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1D64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0BF6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4D0D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9575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746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59</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D8A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乒乓球发球机</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879C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可发任意旋球以及各种混合旋球，采用双轮驱动，速度旋转可调，也可发不转球；可上下调整出球俯仰角度 自动回收和供球系统，持续击打</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C7A2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9992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C28F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3052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6F6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06C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羽毛球</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3300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1、球口外径65mm～68mm；2、球头直径25mm～27mm；3、球头高度24mm～26mm；4、毛片插长63mm～64mm；5、质量4.50g～5.80g；6、毛片数量16片。</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5A7D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C593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359</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E486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0DC5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47E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61</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445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羽毛球拍</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0B2D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1、一副，框柄一体羽毛球拍，性能要求不小于：拍体长度650mm，球拍宽度200mm，球拍弦面长度240mm，拍弦直径0.9mm；2、网线张力：20ibs，握柄直径约25mm，整体重量约100g。</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F7C0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副</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2831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45F5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F4B8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4D2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62</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2A6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羽毛球网柱（1524±5）mm</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86E9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为ABS底座、铁制支架，网柱高度为1550mm±8mm，拉网中央高度1524mm±5mm。</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D775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副</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D1B4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52A3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DADC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C3D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63</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5DF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羽毛球网</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F954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单包边</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1F33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743A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424</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18A5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229D3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73E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64</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C90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网球（1号）</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7CAA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1#软性球，质量46.0g，直径62mm，弹性1100mm～1400mm</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6741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234E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120</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A449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7361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E8B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65</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1F0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网球（慢速球）</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F33B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慢速球，质量55.0g〜60.4g,直径68.58mm〜74mm,弹性1250mm〜1500mm。</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4D8E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313E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CC3E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F226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AB1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66</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9B5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网球拍</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4443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小学：长度53cm～58cm，质量200g～230g，拍弦面长度29cm～30cm，拍弦面宽度22cm～23cm，拍弦面面积715cm2～775cm2。</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BFDF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副</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F791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7EAC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42EE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EE8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67</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DC5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网球网柱</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81EA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网柱高度：1070mm±5mm，拉网中央高度914mm±5mm。</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3365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副</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8637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C26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7965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B50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68</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0F8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网球网</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6C8A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网球网长度12800mm±30mm，宽度1070mm±25mm。</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EDD0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C51B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BFBF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1F70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9F5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69</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7DF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毽球</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19AD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1、毽子高160-170mm，重13-15g；</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2、毽垫直径32mm，厚度25mm；毽毛≥160mm；毽垫为金属材料，底部为橡胶制弹性底垫；</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3、毽毛为四根经处理的长鸭毛组成，羽毛宽32～35mm，插毛管高22mm。毽毛色彩鲜艳，符合学生心理特点。</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56FA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B614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5A02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CCB0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3EC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70</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766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珍珠球</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49E2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珍珠球：外壳用皮革或橡胶制成，内装有球胆，表面应有珍珠（白）色。球的圆周长540mm～560mm，质量300g～325g</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740A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E760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A32D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8EA9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1EB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71</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CC8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珍珠球拍</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E41B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球拍：球拍为蛤蚌壳形状，用具有韧性的树脂材料制成，颜色与蛤蚌壳颜色相仿。球拍部分长350mm，最宽部分250mm，厚度3mm～5mm</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055B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70C1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486D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E5EB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2B2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72</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9CF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珍珠球抄网</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C7E9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兜口为圆形，网圈用圆形金属条制成。网兜用细绳或尼龙绳织成，网深300mm～350mm，网眼为30mm～35mm。网兜颜色应为深色。网柄为圆柱形，长150mm；抄网质量为180g～250g</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57B0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19F6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B590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496E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126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73</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FA4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装球车</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8552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1、可四轮移动，可折叠；2、用于装篮球、排球、足球等球类物品，球车四角为圆角。</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BE85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辆</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3C5C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38B3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5E73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DF4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74</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11E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跳绳（2600-2800mm）</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79DE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绳长2800mm～3000mm，直径7mm～8mm，质量90g～120g</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E065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根</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C63B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EE8C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3101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0C3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75</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07E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拔河绳</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833E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30m 直径30mm，质量约10kg。</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9353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根</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D18D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9F9A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A394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5FE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76</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F9C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花毽</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12D8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键毛应采用8支～10支彩色鸡羽，扎成圆形，毽垫直径30mm～32mm，厚度3mm～4mm，球高130mm～180mm，球重13g～15g。</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18C6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05C8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164</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350B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2DE5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FDE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77</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993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竹竿</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A8AA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适用于竹竿舞</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7BE3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49F9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0203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ACF6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5C9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78</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21D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空竹</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9306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杆长340mm，双轮无轴承，塑料</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B3C1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53DD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299E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7199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32A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79</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4CE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软式飞盘</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9B65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直径18cm，硅胶材质柔软易折叠，做工精细边缘润滑，无毛边不扎手，无论你如何折叠放手瞬间立马回复原状。</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8CFF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6B9D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37</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DC25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3E71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B9C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80</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EBA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肋木架</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EBC8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单间肋木，使用宽度≥800mm，最高使用高度2200mm±100mm，横肋间距250mm，握持直径28mm~32mm，埋地 76*20</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BCBB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节</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9C92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8016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C05A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0A5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81</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4E7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平行梯</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F3D2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1、平梯埋入地下后基本尺寸：长x高x宽=3000/3500x2100x600（mm）；埋入地下部分长600mm；2、云梯由上部横梯和下部支架组成，主要材料采用Φ89x2.0、Φ32x2圆管拼焊而成，焊接部位焊缝均匀，无虚焊；3、表面静电喷塑。</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ED67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架</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782D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4D0D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D105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7DF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82</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7F9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橡皮拉力带（轻阻力）</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71E9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轻阻力，无毒无味，弹性好，强度高，不易断裂，不易老化。</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B255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条</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A436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53</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8A5B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464D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591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83</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D86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橡皮拉力带（重阻力）</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528F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重阻力，无毒无味，弹性好，强度高，不易断裂，不易老化。</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8B20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条</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E319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53</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99AE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4093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24D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84</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FEB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可调式腹肌板</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72FC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1、尺寸：1630*1120*820mm   2、管材：50*100椭圆管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3、训练部位： 腹肌。</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2F84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5236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4D0E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A952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8D4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85</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6B2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深蹲保护架（配120kg杠铃）</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25E1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1、尺寸：1400*1180*2290mm  2、管材：50*100椭圆管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3、训练部位： 股二头肌股四头肌。</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313A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2B29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7BDE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8544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1FC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86</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287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联合训练器</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C7E4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1、尺寸：2200*1460*2300mm 2、管材：50*100矩形管。配重120KG。</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3、功能： 全身肌肉锻炼。</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1818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副</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3E7C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B054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D5E2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BBF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87</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BB1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卧推架</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297F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1、尺寸：1830*1580*1250mm   2、管材：50*100矩形管,附 100kg 环保杠铃.</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ED9A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25EE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0B7D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2C06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22D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88</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5E6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直臂夹胸训练器</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9CC7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1、尺寸：1080*815*2080mm 2、管材：50*100椭圆管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3、训练部位： 胸大肌。</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F100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AE1B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0DDD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2C56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58C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89</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891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哑铃架及哑铃</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2E5E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1、尺寸：2430*700*800mm   2、管材：50*100矩形管。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哑铃：2.5~25kg十对哑铃</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8DE4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661D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7369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D4C69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36D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90</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BFE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引体向上架</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9CB5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1.承重：≥200斤。2.底座：采用三角结构；一定程度上防止使用过程中侧翻风险。3.占地面积：≥90cm×80cm×200cm。</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9A6B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1EF2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7727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D74C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248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91</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B8A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仰卧起坐板</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B892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测试台用皮革包裹，表面光滑舒适，测试台脚套部分由海绵包裹，尺寸约为1620*560*70mm；</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C0C1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8C5D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0FEE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039C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D9D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92</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9B6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立定跳远测试仪</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ECA5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电子型</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技术参数：</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测量范围：0cm～310cm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电源：DC12V1A（由电源适配器提供）</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分度值：1cm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工作环境：5℃ ～ 40℃湿度＜90%</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误差： ±1cm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存储环境：-10℃ ～ 50℃湿度＜75%</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1、用红外线非接触自动测量立定跳远的距离，反映人体下肢爆发力水平；</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2、采用红外线非接触传感器测量原理，测试数据准确，经久耐用；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3、可设定测试次数为1-3次，自动显示最好成绩设立三个起跳区，满足不同段学生；</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4、测试垫具备防滑减震防滑功能，防止出现意外伤害；跳远测试垫子宽度1.2米</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5、搭配&gt;3.5寸外设显示屏，双屏幕显示即使成，使测试者实时观看自身自身测试成绩；</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94EA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0831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1023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22F1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AB0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93</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7B1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跳绳测试仪</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0CAC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1.测试受试者的下肢力量和身体协调能力，</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2.测试仪自带液晶显示器，能与主机同步显示测试数据。</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3.测试仪结构简单方便，采用体育考试常用的悬浮式轴承结构设计，高强度铝合金接头可套用2~6mm的钢丝绳，方便更换跳绳和调节跳绳长度，自带防滑绳扣同时具有防作弊功能。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4.一键式操作，使用简便，带蜂鸣器提醒</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5.主要技术参数：</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   　 测量范围：0～9999次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分度值：1次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误差：0次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      工作环境：-15℃ ～ 40℃湿度＜90%</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存储环境：-15℃ ～ 50℃湿度＜75%</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EB16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C4F3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374B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928E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5E0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94</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6C2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篮球运球测试仪</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top"/>
          </w:tcPr>
          <w:p w14:paraId="2663281D">
            <w:pPr>
              <w:keepNext w:val="0"/>
              <w:keepLines w:val="0"/>
              <w:widowControl/>
              <w:suppressLineNumbers w:val="0"/>
              <w:spacing w:before="0" w:beforeAutospacing="0" w:after="0" w:afterAutospacing="0"/>
              <w:ind w:left="0" w:right="0"/>
              <w:jc w:val="left"/>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单机: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1.测试受试者的位移速度、身体协调平衡能力和弹跳能力；</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2.折返点具有犯规检测装置，设备对未到达折回点的能自动判定为无成绩；终点采用红外感应检测计时。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3.起点感应触发计时，无需抢跑犯规检测。</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4.标配1人测试，每人可测试1~2次。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主机: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1.主机应具有通用性，可储存数据100万条以上；显示屏采用≥10.1寸电容触摸屏。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2.主机具备NFC刷卡模块，支持多种卡协议。</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3.主机电池容量≥9600mAh，并且使用可拆卸式电池，方便使用。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4.主机内置二维码识别摄像头，能自动识别测试者二维码身份信息。</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5.主机具备≥4个USB标准接口（非外接扩展），可直接插入U盘导入≥300000条测试名单信息，也可直接导出测试成绩至U盘自动生成Excel表格。主机同时支持学生名单的无线同步和离线导入功能。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主机具多种身份识别功能：可通过触摸屏输入、非接触式IC卡（兼容校园一卡通）、条码扫描仪等识别方法；输入学号具备自动递增功能；主机菜单具备单项查询，集体查询，分组查询，具有年级班级组别日期等多种筛选数据方式，查询便捷。</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7.主机支持U盘直接导入国标和自定义评分标准，主机内嵌国标可以根据年级性别项目进行实时评分，适用于体测；也可以自定义导入评分标准对测试结果进行评分，适用于考试。</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8.主机支持头像管理，主机可以通过U盘批量导入测试者头像10000条以上，也可以通过云平台从网络实时无线下载学生头像。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9.主机查询结果能一屏同时显示测试学校、年级、班级、学生姓名、性别、测试成绩、测试日期及时间，方便后期督查。主机具有日志管理，记录操作人员在主机上的所有操作，便于异常情况的追溯。</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10.主机具有数据备份和恢复功能，可以备份任意时间段体测程序里面的所有数据，可以备份多次保存在存储芯片里面。支持一键恢复，根据日期选择要恢复的备份，自动恢复测试数据。</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11.主要技术参数：</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测量范围：0S～999.99S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分度值：0.01s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误差：0s</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4311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4E1B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43DB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3ABC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019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95</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21E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足球运球测试仪</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top"/>
          </w:tcPr>
          <w:p w14:paraId="50CF0B9A">
            <w:pPr>
              <w:keepNext w:val="0"/>
              <w:keepLines w:val="0"/>
              <w:widowControl/>
              <w:suppressLineNumbers w:val="0"/>
              <w:spacing w:before="0" w:beforeAutospacing="0" w:after="0" w:afterAutospacing="0"/>
              <w:ind w:left="0" w:right="0"/>
              <w:jc w:val="left"/>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单机: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1.测试受试者的位移速度和身体协调平衡能力，终点采用红外感应检测计时；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2.标配1人测试，每人可测试1~2次。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3.可配置起点感应触发计时，无需抢跑犯规检测。                                                                                                                       主机: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1.主机应具有通用性，可储存数据100万条以上；显示屏采用≥10.1寸电容触摸屏。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2.主机具备NFC刷卡模块，支持多种卡协议。</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3.主机电池容量≥9600mAh，并且使用可拆卸式电池，方便使用。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4.主机内置二维码识别摄像头，能自动识别测试者二维码身份信息。</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5.主机具备≥4个USB标准接口（非外接扩展），可直接插入U盘导入≥300000条测试名单信息，也可直接导出测试成绩至U盘自动生成Excel表格。主机同时支持学生名单的无线同步和离线导入功能。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主机具多种身份识别功能：可通过触摸屏输入、非接触式IC卡（兼容校园一卡通）、条码扫描仪等识别方法；输入学号具备自动递增功能；主机菜单具备单项查询，集体查询，分组查询，具有年级班级组别日期等多种筛选数据方式，查询便捷。</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7.主机支持U盘直接导入国标和自定义评分标准，主机内嵌国标可以根据年级性别项目进行实时评分，适用于体测；也可以自定义导入评分标准对测试结果进行评分，适用于考试。</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8.主机支持头像管理，主机可以通过U盘批量导入测试者头像10000条以上，也可以通过云平台从网络实时无线下载学生头像。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9.主机查询结果能一屏同时显示测试学校、年级、班级、学生姓名、性别、测试成绩、测试日期及时间，方便后期督查。主机具有日志管理，记录操作人员在主机上的所有操作，便于异常情况的追溯。</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10.主机具有数据备份和恢复功能，可以备份任意时间段体测程序里面的所有数据，可以备份多次保存在存储芯片里面。支持一键恢复，根据日期选择要恢复的备份，自动恢复测试数据。</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11.主要技术参数：</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测量范围：0S～999.9S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分度值：0.01s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误差：0s</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F3EE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493C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A716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983A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D01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96</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2BB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初中体育教学挂图</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14A7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36幅，对开、铜版纸</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ACAB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CF80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AD0A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0F3F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65D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97</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33C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广播体操教学挂图</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CCC4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涵盖现行全国中小学生系列广播体操分解动作</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B5CD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8945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77DD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4662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EBC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98</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62E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图书、手册</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3EF1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中学用多媒体教学光盘，中学用</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6D20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9FFD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B341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DAC8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4762"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DDC1CE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一般</w:t>
            </w:r>
          </w:p>
        </w:tc>
      </w:tr>
      <w:tr w14:paraId="7302E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208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99</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763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接力棒</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C9CB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长度300mm,直径25mm～30mm；外面PVC材料</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4DD7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根</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FD5A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86</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000F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5E74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833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409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跳高架</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C906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1、立柱高度：1300-2300mm；高度刻度：300-2300mm；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2、横杆托长：50mm，宽：40mm。跳高架高度应超过横杆实际提升高度100mm。跳高架立柱应垂直地面，垂直公差不大于1/800，其高度刻度应精确、清晰；</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3、两立柱高度刻度应对称。立柱应承受100N水平力而保持稳定，不得出现倾翻现象。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4、立柱外观质量：表面光滑平整，色泽均匀，无起皮脱落、漏涂、裂痕及明显流痕，花斑、起泡凹凸等缺陷。不带轮。</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A936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付</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B4BC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D6D4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A4CE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5AF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101</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921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跳高垫</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E634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大体操垫规格为2000×1200×100mm；2.内胆材质为聚氨脂塑料发泡材料或PE发泡材料，为两个整块结构，不允许拼湊；采用环保材料，压缩强度≥100KPa，吸水率≤6.0%；3.垫套材质为4×4mm精细帆布，颜色为军绿色，为防水帆布。可在长度方向对半折叠，体操垫长度方向两侧设提手把，在垫子四周加装粘扣，便于拼接使用。涤纶线缝合，两面革贴角，棱角加红或白牙子；4.跳垫的四角为直角，四周仿皮革包角：表面平整，无皱折，当载荷落至体操垫时，外层不得起皱，里外层不得发生相对位移；5.当载荷落至跳垫时，外层不得起皱，里外层不得发生相对位移。</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561E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A92B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D282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6125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926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102</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8B0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跳高横杆</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DC04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1、横杆长度：3000-4000mm；2、横杆直径：25-30mm，质量≤2000g竹竿。</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62B9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根</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F40D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34</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266A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6D97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A42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103</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9AB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跨栏架</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C7BD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1、钢塑，升降，折叠式，可升降，最低700mm；2、金属件外表面采用抛丸喷砂（或酸洗磷化）除锈、静电喷涂表面处理。</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F67A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付</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688D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A616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2E3E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A85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104</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E96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跨栏架</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A94A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1、钢塑，升降，折叠式，可升降，最低400mm；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2、金属件外表面采用抛丸喷砂（或酸洗磷化）除锈、静电喷涂表面处理。</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9F13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付</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C6C0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35</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DA50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7E4F4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23F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105</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251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起跑器</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D6DE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铝合金，可调节，防滑。</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1BE7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付</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C569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071D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9383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FD3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106</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8A6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发令枪</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B367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1、弹种定装式发令弹；</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2、容弹量2发；</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3、发射方式:单发；</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4、总质量:250克；</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5、声响:膛口水平面正前方100处,声强值不小于60分贝；</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6、烟雾:在规定背景下,膛正前方150米清晰可见。带包，可空打试枪。</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1065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支</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DC75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31B1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B5BA5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C7D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107</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68C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钉鞋</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11E8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鞋底材质：橡胶+EVA。采用特级耐磨钢材制造，防滑耐磨。透气鞋垫采用优质舒适的材料制作透气性好，弹性好，耐用。斜面采用大面积透气网布，有效呼吸排气湿气。</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98AE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7F7E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ECCA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DB2D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EC8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108</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AE7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标志筒</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2530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38公分</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C3B1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55DC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A09F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51B2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EB0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109</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28E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实心球</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62E3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1、重量1Kg，常态状态下直径135mm，壁厚≥1.5mm；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2、材质为塑胶（PU）；表面手感有弹性，平滑、无毛刺；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3、色彩鲜艳，符合学生心理特点。</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FF21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C1D5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107</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21F2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FD83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49A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110</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EC5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投掷靶</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3A10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铁框架，木靶面，靶面500mm×500mm，中心孔直径为200mm，孔中心距地面900mm</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6B5B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D7D8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A2C3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8717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DBB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111</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B75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钻圈架</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36E4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钻圈架两立柱及底座为30mm×30mm的方管，圈体为Φ20mm的圆管。圈体直径为600mm</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4C84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BA0F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B1D1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83A3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6AE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112</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6D0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铅球</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36E6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质量3.000kg～3.030kg，直径90mm～100mm。</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F8CD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CF0B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4A1B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50EE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158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113</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AE4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铅球</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8336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质量4.000kg～4.030kg，直径95mm～110mm。</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540A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D596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3E8D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06CB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514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114</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403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标志杆</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77AF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1、ABS工程塑料，立柱直径25mm，杆高1500mm，底座直径190mm，厚度100mm；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2、配红色角旗。</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B394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根</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BBE0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136</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352A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387D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D1E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115</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8D9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起跳板</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6518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1.2米*20CM*10CM全木质</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3D76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块</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46BA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6CCF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AAF5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085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116</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0DF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划线器</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2164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车斗式，石灰粉式。</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27D2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9F1A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50FE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4DC9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96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787220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少儿（趣味）田径成套软式器材</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83CB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D0EC7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4DF0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E52C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6CF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117</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C93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少儿（趣味）田径运动·走、跑</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D181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1.软式练习跨栏架：XPE环保塑料发泡材料制成，色彩 鲜艳 ，材质柔软 ， 由底板横板和侧板构成 ，侧板与横  板之间以及侧板与底座之间均为榫卯连接 ，拆卸组装  方便 。横板长700mm ，宽90mm底板长：700mm ，宽   220mm侧板下底长220mm ，高560mm高度可三档调节 为:300mm 、500mm 、600mm所有板的厚度18mm ，24  付 。符合国际田联标准 ； 配套使用国际田联编制发行  的系列教材 ；配置视频版使用说明。</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2.软式练习接力环：柔软塑胶材料制成的空心圆圈结构 ,   圆圈内环和外环壁上设置有防滑纹 ，环体设有气嘴,  可进行充气外圈直径：φ170mm～ 190mm ，内圈直径 :  φ90mm～ 100mm ， 18个 。符合国际田联标准 ； 配套 使用国际田联编制发行的系列教材 ；配置有视频版使  用说明。</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3.软式接力棒：里面为塑料管或棒，外面及两端均由橡 胶发泡材料包裹 ，质地柔软 ，色彩鲜艳长度300mm,直 径:φ25mm～35mm12根 。符合国际田联标准 ； 配套使  用国际田联编制发行的系列教材。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4.软式趣味绳套：由一根长绳子串起多根相同长度的泡 沫管构成 ，绳子由2-3根橡胶绳外覆尼龙材料制成 ，泡 沫管为柔软泡沫材料制成,  彩色相间，可随意摆放成各 种格子供跑跳练习。长度：9500mm，绳子直径φ：6mm ,  每根塑料泡沫管度:500mm ，直径φ30mm 。每副绳套 泡沫管总数量：20根 ，其中一根作为备用 。4根 。符合 国际田联标准 ；配套使用国际田联编制发行的系列教  材 ； 配置有视频版使用说明。</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5.起跑发令组合：发令信号旗与发令声音信号集于一体 ,  两个信号旗板为亚克力材质 ，分别为红色和黄色 ， 分别契合在两个夹板上 ， 夹板为实木 ， 由金属合页连  接并配有金属把手 ，通过两个夹板的发力夹合发出声  音信号信号板长250mm宽 180mm, 厚度2mm夹板长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450mm宽40mm，厚度15mm，2个 。符合国际田联标准 ;  配套使用国际田联编制发行的系列教材。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 多功能折叠长垫：里面为环保塑料泡沫板，外面为塑 料皮革 ， 由四块依次连接的子垫 ，其边缘以及连接部  通过皮革热压密封连接而成 ，使得每个子垫都可以向  正反两个方向翻转规格尺寸600mm×1800mm×25mm ， 3个 。符合国际田联标准，配套使用国际田联编制发行 的系列教材。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7.彩色标志杆组合：由杆、底座、连接卡子和标志小旗 组成 ， 塑料制成 ；杆和座可以分离 ，底座下部有塞子  ,  拧开塞子可以灌水和沙子 ，增加配重 ，底座中部中  央呈楔形 ，使得杆越往里插越紧 ；标志旗为三角形布  料，印有少儿田径LOGO，边缘缝有杆套便于套在标志 杆上杆长  1200mm杆直径φ27mm底座高107mm底座直 径φ200mm  标志旗尺寸300mm×300mm ，24套 。符合   国际田联标准 ，配套使用国际田联编制发行的系列教  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8.运动计数器：材质：ABS彩色塑钢，金属指环和按键 ,  通过旋转侧面按钮可以随时回零数字显示范围：</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0-9999 ， 12个 。符合国际田联标准 ， 配套使用国际田 联编制发行的系列教材。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 实践指南教材：国际田联少儿趣味田径教师指导用书 内容包括：(1)适合7-8岁少儿的跑类运动项 目 ，短跑、跨栏跑、接 力跑 、8分钟耐力跑 、一级方程式 ，格子上的赛跑等。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(2)适合9-10岁少儿的跑类运动项 目 ，速度渐进的耐力 赛跑 、冲刺跑、跨栏跑、绕杆接力跑等。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(3)适合11-12岁少儿的跑类运动项 目，折返方程式、跨 栏跑 、1000米耐力跑等。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(4)国际田联少儿趣味田径教师指导用书内容包括： 小 学一至六年级 ，每个年级不少于32课时的教学内容。</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961B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10B5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91D5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D598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5A9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118</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6A8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少儿（趣味）田径运动·跳跃</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D1FE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1.撑杆跳软式撑杆：内部材质为管状玻璃纤维，外部由  橡胶发泡橡胶包裹 ，有防滑纹 ， 两头有带防滑颗粒塑   胶球头 。杆长：2000mm裸杆外径：φ25mm裸杆内径： φ16mm带软套外径：φ35mm静负荷承受能力≥1000牛   顿，4根 。符合国际田联标准 ，配套使用国际田联编制  发行的系列教材 ， 配置视频版使用说明。</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 多功能跳远长垫：材质外套牛津布，里面环保塑料泡 沫板 ， 由六块小垫子粘连拼接然后再装到一个大的牛  津布外套里 。外套一面印有六个相接的圆圈 ， 圆圈里  分别印有数字1-6 ；另一面印有表示距离的刻度线整体 规格：300cm×150cm×5cm每个子垫子规格：100cm×75cm×5cm圆圈规格： 直径47cm刻度最小单位  ：10cm ，1块 。符合国际田联标准，配套使用国际田联 编制发行的系列教材。3.数字圆跳垫：塑料泡沫与防滑纹PVC革双面复合而成 , 印有0-9不同数字直径：φ470mm厚度： 5mm ， 10个 。 符合国际田联标准 ，配套使用国际田联编制发行的系  列教材 ，配置视频版使用说明。4.十字跳垫：里面为环保塑料泡沫板，外面为防滑的塑 料皮革，将5个正方形垫子呈十字形相连缝合，按照中 、前、后、左、右分别印刷数字0 、1 、2 、3 、4 ，总共五个正方形垫子 ，每个正方形垫子长和宽均为500mm厚度： 10mm ，4个 。符合国际田联标准，配套 使用国际田联编制发行的系列教材 ，配置视频版使用  说明 。 投掷数字锥： 柔软塑胶材料制成 ，呈圆锥体形状 ，每个锥  体分别印有表示距离的数字 。高 ：270mm上直径：φ58mm下直径：φ192mm ， 16个 。符合国际田联标准， 配套使用国际田联编制发行的系列教材。5. 大号软式标志桶：柔软塑胶材料制成呈圆锥体状，放 置平稳， 中间有不同高度的圆孔 。高 ：500mm上端直  径 ：φ33mm下端直径：φ290mm ，9个 。符合国际田联 标准，配套使用国际田联编制发行的系列教材。6. 小号标志物： 呈碟状 ，上边呈十字形 口 ，便于收纳，下圆形放置平稳；材质 LDPE触感柔软 。高：75mm上  直径：φ65mm下直径：φ200mm ， 100个 。符合国际田联标准 ，配套使用国际田联编制发行的系列教材。7.标志物架： 铸铁制成 ，用于叠放小号标志物 。高：200mm底座直径： 100mm ，2个 。符合国际田联标准， 配套使用国际田联编制发行的系列教材。8. 中号软式标志桶： 柔软塑胶材料制成 ， 呈圆锥体状，上圆下方，放置平稳 。高 ：300mm上直径：φ30mm下 边底长：215mm ，20个 。符合国际田联标准 ， 配套使用国际田联编制发行的系列教材。9.软式跳高横杆：杆体由柔软泡沫材料制成，中间串有 高强度弹力绳 ， 弹力绳两端连接ABS塑料绳扣 ，绳扣  上有两个圆孔和一个楔形开 口 ， 弹力绳穿过绳扣可以  实现与立杆快捷连接杆体度:3500mm直径：φ30mm中  间高强度弹力绳长度：4000mm直径：φ3mm塑料绳扣 直径：φ45mm，4个 。符合国际田联标准 ，配套使用国 际田联编制发行的系列教材 ，配置有视频版使用说明。10.少儿木柄跳绳：木柄采用原木制成,跳绳用尼龙或棉 绳 。长度：2600mm ，12个 。符合国际田联标准 ，配套 使用国际田联编制发行的系列教材。11. 带轮便携器械包： 高强度牛津布或皮革制成 ，包底 部装有滑轮 ，前面和两侧都有拉手 ，上面有粘钩杆套 。长×宽×高： 1300mm×350mm×500mm，1个。符合国 际田联标准 ，配套使用国际田联编制发行的系列教材味田径教师指导用书  内容包括：(1)适合7-8岁少儿的跳类运动项 目，立定多级跳 、交叉 跳、跳绳、限制区中的三级跳等 。(2)适合9-10岁少儿的跳类运动项 目 ，撑杆跳远、精确 跳远、立定跳远等。(3)适合11-12岁少儿的跳类运动项 目 ， 沙坑撑杆跳远、 短助跑三级跳远等。(4)国际田联少儿趣味田径教师指导用书内容包括： 小 学一至六年级 ，每个年级不少于32课时的教学内容。12.30米大号皮尺：皮革材质 ，每 10米一种颜色 ，整米 和每20厘米丝网印刷有刻度和数字。宽： 150mm长度：30000mm，2个。符合国际田联标准 ，配套使用国际 田联编制发行的系列教材。13.体育场地标志胶带： 材质为布基胶带 ，用于塑胶、 木地板等场地粘贴标志 。宽 ：50mm长度： 18m ，3卷  。符合国际田联标准 ，配套使用国际田联编制发行的 系列教材。14.便携式充气筒： 材质：PVC ， 带充气软管及气针 ， 把手套内有弹簧便于反复充气 。气筒高度：300mm直  径：φ30mm ，1个 。符合国际田联标准 ，配套使用国际 田联编制发行的系列教材。15.折叠式器械收纳车： 材质： 喷塑钢管 ， 牛津布 ， 网 眼布 ，PVC 。 由车身和增高围网构成 ， 车体配有灵活  的推拉手柄 ， 车身通过一根提拉绳实现快速折叠和展  开 。最大承重80公斤规格框尺寸： 85cm×50cm×28cm   ,  轮子尺寸20cm×4cm ，装配增高围网后框体高度为    800mm ，1辆 。符合国际田联标准 ，配套使用国际田联 编制发行的系列教材。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16.教学卡片（ 1 ）实践指南教材（ 2 ）国际田联少儿趣味田径教师指导用书  内容包括：(1)适合7-8岁少儿的跳类运动项 目，立定多级跳 、交叉 跳、跳绳、限制区中的三级跳等 。(2)适合9-10岁少儿的跳类运动项 目 ，撑杆跳远、精确 跳远 、立定跳远等。(3)适合11-12岁少儿的跳类运动项 目 ， 沙坑撑杆跳远、 短助跑三级跳远等。(4)国际田联少儿趣味田径教师指导用书内容包括： 小 学一至六年级 ，每个年级不少于32课时的教学内容。</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EDCD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AF22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D352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BD2B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1A0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119</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43F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少儿（趣味）田径运动·投掷</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9DB3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1.软式练习标枪：整体呈火箭形状，枪身为EPE环保塑 料泡沫管 ， 外覆PVC薄膜 ，枪身笔直 ，枪头为圆形弧  状 ， 里边为EVA ， 外边套有硅胶套 ， 四片尾翼由XPE  塑料发泡材料制成并呈十字形拼插 ， 与枪身结合牢固  ,  不易脱落 ，标枪的重心应在枪身中间偏后位置长：  800mm直径：φ50mm尾翼宽度：200mm正常投掷飞行 距离≥20m ，25支 。符合国际田联标准 ，配套使用国际 田联编制发行的系列教材 ，配置视频版使用说明。</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2.掷准练习标枪:  由橄榄形头部和尾翼构成 ， 头部由    PU发泡材料制成，材质柔软，三个塑料响哨呈120度对 称安装在头部中央；三片尾翼由EVA制成，分别呈120 度粘贴在由头部连接出的软管壁上枪体长度： 300mm  头部长度： 160mm尾翼长度： 140mm最大处直径：</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φ85mm重量：120克，25支 。符合国际田联标准 ，配套 使用国际田联编制发行的系列教材 ，配置视频版使用  说明。</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3.彩带软球:  整体呈彗星状 ，球体橡胶发泡材料制成， 尾翼为彩色布料 ，用网兜将球体与尾翼连接 ，尾翼从  球体开始分别为蓝 、红、黄色整体长度： 670mm球体  直径：70mm尾翼总长：600mm三种颜色每截各200mm ,  25个 。符合国际田联标准 ， 配套使用国际田联编制  发行的系列教材 ， 配置视频版使用说明。</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 塑胶练习标枪:  枪头由柔软塑胶材料制成，枪身由塑 料制成 ， 由枪头、枪身和尾翼三部分组成 ，每个部分  之间通过螺纹活动连接 ， 可以自 由拆卸组装 ，枪身为  管状结构 ， 可以填充沙子以增加重量 ，枪体有提示持  握位置和防滑功能的环状纹和突出颗粒 ，十字弧形尾  翼 ，标枪整体外形呈火箭形状标枪总长： 680 mm ,枪   头长：90mm,枪身长：270mm尾翼部分长： 320mm枪  头和枪身直径均为φ35mm持握部直径φ37mm尾翼最宽 处： 100mm重量：300克 ， 12支 。符合国际田联标准， 配套使用国际田联编制发行的系列教材 ，配置视频版  使用说明。</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5.软式壶铃:  柔软塑胶材料制成，包括把手与球体，呈 中空状 ，可充气 ，球体表面与把手相应位置处设有弧形凹槽 ，便于持握球形  ：φ190mm重量  ：550克 ， 12 个 。符合国际田联标准 ， 配套使用国际田联编制发行 的系列教材 ，配置视频版使用说明的。</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6.橡胶实心球:  球体外胆由天然橡胶材料制成，可充气 重量： 1000克直径:φ160mm～ 190mm，9个 。符合国际 田联标准 ， 配套使用国际田联编制发行的系列教材 。  7.软式练习铅球:  外胆由柔软塑胶材料制成，通过适当 充气使手感更加柔软 。直径：φ85mm～ 100mm重量： 1000g ，12个 。符合国际田联标准 ，配套使用国际田联 编制发行的系列教材 ，配置视频版使用说明。</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8.软式教学铁饼:  柔软塑胶材料制成的空心结构，边缘 有一处做成锯齿状 ，该处对侧边缘处镂空形成一个把  手 ，在饼的两面分别有标示旋转方向的箭头和表示左  、右手持握的L和R英文字母。直径：φ200-220mm中心 厚度：35-45mm边缘厚度： 15mm重量：400g ， 12个。 符合国际田联标准 ，配套使用国际田联编制发行的系  列教材 ，配置视频版使用说明。</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9.软式铁饼550g:  柔软塑胶材料制成的空心结构。重量 ：550g直径：φ180mm～190mm 中心厚度：38～42mm 边缘厚度： 15mm饼心直径：φ50mm ～57mm ， 12个 。 符合国际田联标准 ，配套使用国际田联编制发行的系  列教材。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10.软式铁饼300g:  柔软塑胶材料制成的空心结构,质量 ：300g直径：φ180mm～190mm 中心厚度：28mm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32mm边缘厚度： 5mm～7mm饼心直径：φ40mm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45mm ，12个 。符合国际田联标准 ，配套使用国际田联 编制发行的系列教材。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11.投掷练习球600g:  柔软塑胶材料制成 ， 由圆形球体  和T形手柄构成，球体内填充沙子作为配重，球体直径 ： 100mm ，手柄高度： 30mm ，手柄长度： 65mm ， 重 量 ：600g ， 12个 。符合国际田联标准 ， 配套使用国际  田联编制发行的系列教材。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12.教学卡片（ 1 ）:实践指南教材（ 2 ）国际田联少儿趣 味田径教师指导用书内容包括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(1)适合7-8岁少儿的投类运动项 目，儿童投掷标枪、跪 姿投掷、投靶过栅栏等。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(2)适合9-10岁少儿的运动项 目 ，旋转投、后抛实心球 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(3)适合11-12岁少儿的运动项 目，掷少年标枪 、掷少年 铁饼等。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(4)国际田联少儿趣味田径教师指导用书内容包括： 小 学一至六年级 ，每个年级不少于32课时的教学内容。</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58B5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946F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44F3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A7FF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4762"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6718C4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体操类</w:t>
            </w:r>
          </w:p>
        </w:tc>
      </w:tr>
      <w:tr w14:paraId="4A9E6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8A5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120</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2B8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助跳板</w:t>
            </w:r>
          </w:p>
        </w:tc>
        <w:tc>
          <w:tcPr>
            <w:tcW w:w="91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2259B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主要原材料采用木材材料，Ⅰ型长×宽×高为760mm×550mm×175mm。</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31A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块</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480B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D64C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D795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3F9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121</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9C8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山羊</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EEDA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山羊全高：680mm～1080mm；山羊头长：400mm；头宽：180mm±5mm；头高：180mm，立轴升降间距：50mm±3mm，山羊腿外直径≥30mm，山羊腿壁厚≥3mm</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3E42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4BAE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6402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A681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B8A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122</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6CB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跳箱</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E1BE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箱长900mm，箱高890mm   五级</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A0D1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9B17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C457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D252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CB7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123</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15B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单杠</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BD54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0" cy="99060"/>
                  <wp:effectExtent l="0" t="0" r="0" b="0"/>
                  <wp:wrapNone/>
                  <wp:docPr id="47" name="图片_6"/>
                  <wp:cNvGraphicFramePr/>
                  <a:graphic xmlns:a="http://schemas.openxmlformats.org/drawingml/2006/main">
                    <a:graphicData uri="http://schemas.openxmlformats.org/drawingml/2006/picture">
                      <pic:pic xmlns:pic="http://schemas.openxmlformats.org/drawingml/2006/picture">
                        <pic:nvPicPr>
                          <pic:cNvPr id="47" name="图片_6"/>
                          <pic:cNvPicPr/>
                        </pic:nvPicPr>
                        <pic:blipFill>
                          <a:blip r:embed="rId28"/>
                          <a:stretch>
                            <a:fillRect/>
                          </a:stretch>
                        </pic:blipFill>
                        <pic:spPr>
                          <a:xfrm>
                            <a:off x="0" y="0"/>
                            <a:ext cx="76200" cy="9906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0" cy="99060"/>
                  <wp:effectExtent l="0" t="0" r="0" b="0"/>
                  <wp:wrapNone/>
                  <wp:docPr id="44" name="图片_13"/>
                  <wp:cNvGraphicFramePr/>
                  <a:graphic xmlns:a="http://schemas.openxmlformats.org/drawingml/2006/main">
                    <a:graphicData uri="http://schemas.openxmlformats.org/drawingml/2006/picture">
                      <pic:pic xmlns:pic="http://schemas.openxmlformats.org/drawingml/2006/picture">
                        <pic:nvPicPr>
                          <pic:cNvPr id="44" name="图片_13"/>
                          <pic:cNvPicPr/>
                        </pic:nvPicPr>
                        <pic:blipFill>
                          <a:blip r:embed="rId29"/>
                          <a:stretch>
                            <a:fillRect/>
                          </a:stretch>
                        </pic:blipFill>
                        <pic:spPr>
                          <a:xfrm>
                            <a:off x="0" y="0"/>
                            <a:ext cx="76200" cy="9906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0" cy="99060"/>
                  <wp:effectExtent l="0" t="0" r="0" b="0"/>
                  <wp:wrapNone/>
                  <wp:docPr id="53" name="图片_14"/>
                  <wp:cNvGraphicFramePr/>
                  <a:graphic xmlns:a="http://schemas.openxmlformats.org/drawingml/2006/main">
                    <a:graphicData uri="http://schemas.openxmlformats.org/drawingml/2006/picture">
                      <pic:pic xmlns:pic="http://schemas.openxmlformats.org/drawingml/2006/picture">
                        <pic:nvPicPr>
                          <pic:cNvPr id="53" name="图片_14"/>
                          <pic:cNvPicPr/>
                        </pic:nvPicPr>
                        <pic:blipFill>
                          <a:blip r:embed="rId30"/>
                          <a:stretch>
                            <a:fillRect/>
                          </a:stretch>
                        </pic:blipFill>
                        <pic:spPr>
                          <a:xfrm>
                            <a:off x="0" y="0"/>
                            <a:ext cx="76200" cy="9906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0" cy="99060"/>
                  <wp:effectExtent l="0" t="0" r="0" b="0"/>
                  <wp:wrapNone/>
                  <wp:docPr id="49" name="图片_27"/>
                  <wp:cNvGraphicFramePr/>
                  <a:graphic xmlns:a="http://schemas.openxmlformats.org/drawingml/2006/main">
                    <a:graphicData uri="http://schemas.openxmlformats.org/drawingml/2006/picture">
                      <pic:pic xmlns:pic="http://schemas.openxmlformats.org/drawingml/2006/picture">
                        <pic:nvPicPr>
                          <pic:cNvPr id="49" name="图片_27"/>
                          <pic:cNvPicPr/>
                        </pic:nvPicPr>
                        <pic:blipFill>
                          <a:blip r:embed="rId31"/>
                          <a:stretch>
                            <a:fillRect/>
                          </a:stretch>
                        </pic:blipFill>
                        <pic:spPr>
                          <a:xfrm>
                            <a:off x="0" y="0"/>
                            <a:ext cx="76200" cy="9906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0" cy="99060"/>
                  <wp:effectExtent l="0" t="0" r="0" b="0"/>
                  <wp:wrapNone/>
                  <wp:docPr id="45" name="图片_26"/>
                  <wp:cNvGraphicFramePr/>
                  <a:graphic xmlns:a="http://schemas.openxmlformats.org/drawingml/2006/main">
                    <a:graphicData uri="http://schemas.openxmlformats.org/drawingml/2006/picture">
                      <pic:pic xmlns:pic="http://schemas.openxmlformats.org/drawingml/2006/picture">
                        <pic:nvPicPr>
                          <pic:cNvPr id="45" name="图片_26"/>
                          <pic:cNvPicPr/>
                        </pic:nvPicPr>
                        <pic:blipFill>
                          <a:blip r:embed="rId32"/>
                          <a:stretch>
                            <a:fillRect/>
                          </a:stretch>
                        </pic:blipFill>
                        <pic:spPr>
                          <a:xfrm>
                            <a:off x="0" y="0"/>
                            <a:ext cx="76200" cy="9906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0" cy="99060"/>
                  <wp:effectExtent l="0" t="0" r="0" b="0"/>
                  <wp:wrapNone/>
                  <wp:docPr id="42" name="图片_12"/>
                  <wp:cNvGraphicFramePr/>
                  <a:graphic xmlns:a="http://schemas.openxmlformats.org/drawingml/2006/main">
                    <a:graphicData uri="http://schemas.openxmlformats.org/drawingml/2006/picture">
                      <pic:pic xmlns:pic="http://schemas.openxmlformats.org/drawingml/2006/picture">
                        <pic:nvPicPr>
                          <pic:cNvPr id="42" name="图片_12"/>
                          <pic:cNvPicPr/>
                        </pic:nvPicPr>
                        <pic:blipFill>
                          <a:blip r:embed="rId33"/>
                          <a:stretch>
                            <a:fillRect/>
                          </a:stretch>
                        </pic:blipFill>
                        <pic:spPr>
                          <a:xfrm>
                            <a:off x="0" y="0"/>
                            <a:ext cx="76200" cy="9906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0" cy="99060"/>
                  <wp:effectExtent l="0" t="0" r="0" b="0"/>
                  <wp:wrapNone/>
                  <wp:docPr id="31" name="图片_25"/>
                  <wp:cNvGraphicFramePr/>
                  <a:graphic xmlns:a="http://schemas.openxmlformats.org/drawingml/2006/main">
                    <a:graphicData uri="http://schemas.openxmlformats.org/drawingml/2006/picture">
                      <pic:pic xmlns:pic="http://schemas.openxmlformats.org/drawingml/2006/picture">
                        <pic:nvPicPr>
                          <pic:cNvPr id="31" name="图片_25"/>
                          <pic:cNvPicPr/>
                        </pic:nvPicPr>
                        <pic:blipFill>
                          <a:blip r:embed="rId34"/>
                          <a:stretch>
                            <a:fillRect/>
                          </a:stretch>
                        </pic:blipFill>
                        <pic:spPr>
                          <a:xfrm>
                            <a:off x="0" y="0"/>
                            <a:ext cx="76200" cy="9906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0" cy="99060"/>
                  <wp:effectExtent l="0" t="0" r="0" b="0"/>
                  <wp:wrapNone/>
                  <wp:docPr id="48" name="图片_1"/>
                  <wp:cNvGraphicFramePr/>
                  <a:graphic xmlns:a="http://schemas.openxmlformats.org/drawingml/2006/main">
                    <a:graphicData uri="http://schemas.openxmlformats.org/drawingml/2006/picture">
                      <pic:pic xmlns:pic="http://schemas.openxmlformats.org/drawingml/2006/picture">
                        <pic:nvPicPr>
                          <pic:cNvPr id="48" name="图片_1"/>
                          <pic:cNvPicPr/>
                        </pic:nvPicPr>
                        <pic:blipFill>
                          <a:blip r:embed="rId35"/>
                          <a:stretch>
                            <a:fillRect/>
                          </a:stretch>
                        </pic:blipFill>
                        <pic:spPr>
                          <a:xfrm>
                            <a:off x="0" y="0"/>
                            <a:ext cx="76200" cy="9906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lang w:val="en-US" w:eastAsia="zh-CN" w:bidi="ar"/>
              </w:rPr>
              <w:t>1、净高1500mm,杠宽为1200mm，横杠材料为Φ28mm的优质碳钢管（横杠材料直径为≤32mm），立管直径76mm，管壁厚2.0mm，横杠与两端立柱穿插连接用不锈钢螺丝固定，带防盗帽，地埋深度600mm；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2、表面静电喷塑。</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DCDE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付</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9B70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3E74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71D9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233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124</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295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双杠</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C71F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木制钢筋加固杠面或其他同等强度及性能的材料，杠高1000mm～1300mm，杠长2700mm～3000mm，两杠内侧距离320mm～520mm，纵向立轴中心距1800mm～2000mm，升降间距50mm。</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C1E1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付</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E04F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E61C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13A3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228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125</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358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小跳垫</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8EB5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采用泡沫塑料和泡沫乳胶，帆布或人造革外皮，长1200mm±5mm，宽600mm±5mm，厚50mm。在长度方向可对半折叠，两侧应各有提手，四周加装粘扣。</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D442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块</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9955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DB58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7542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AEE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126</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D87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大跳垫</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50AB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采用泡沫塑料和泡沫乳胶，帆布或人造革外皮，长1200mm±5mm，宽600mm±5mm，厚50mm。在长度方向可对半折叠，两侧应各有提手，四周加装粘扣。</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6602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块</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BABE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66</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7B6B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A227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DAC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127</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FFE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体操棒</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2A5A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1.长90cm，直径3cm。2、用铝合金管制成，表面光洁，体形端直，无变形，无弯曲等缺陷，两边塑料堵头。3、表面涂彩色油漆，红白各半，色泽鲜艳。</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8587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根</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FF84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76</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10C6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AB80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3F6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128</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3B0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体操凳</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D9BE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1．尺寸.3000±10×300±5×300mm。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2．放置稳固，表面平整，棱角光滑，无毛刺、缺损、木疥。</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3．外观颜色鲜艳醒目。</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7B10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CDA1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A104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666C7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7F8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129</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CE3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纱巾</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6341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丝绸制品</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AF33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块</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AF0B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04E0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F2BC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3BB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130</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922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彩带</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3A92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带长6m，宽40mm，重35g以上；棍长470mm，直径4mm</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40B6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条</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2BED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94</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E81E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4D7A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21A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131</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ED1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艺术体操球</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9287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直径18cm，质量400g</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2A58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F29E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4494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5AA4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086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132</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260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艺术体操圈</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B518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内径76cm，质量300g</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CF23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EF39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109</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D083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1C03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F79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133</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C39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艺术体操棒</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458E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长40cm～50cm，质量至少150g。</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3DFC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根</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280A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C65F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DD02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20D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134</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444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艺术体操绳</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2295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长度应与学生身高相称。</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9E19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根</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BC37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0EF8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0EF0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6FA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135</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B7D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艺术体操带</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527B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带长6m，宽40mm，重35g以上；棍长470mm，直径4mm</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CDB4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条</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7010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146</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B345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0E99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19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833B5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球类</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0C32E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61A72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D658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9B26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FEE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136</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299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小学生用篮球5号</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9F04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5号篮球：黑色橡胶内胆，内胆表面均匀缠绕一条篮球专用尼龙丝，橡校中胆，表皮由优质PU（聚氨酯）构成，防水、耐磨、抗霉变，手感好。</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A4E2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C73D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886</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2CDB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499F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1D5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137</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61D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小学生用排球</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3E06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5号，圆周长650mm～670mm，质量235g～300g。</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3003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3C2A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218</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989C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6BE5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1F0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138</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A07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软式排球</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B987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3号：圆周长560mm～580mm,质量170g～220g</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772F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5BD9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207</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738A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BA85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E8C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139</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525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软式排球</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E10B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4号：圆周长600mm～620mm,质量200g～250g</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76F1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E1B3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9EA0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2CFF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AD6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140</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8B4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气排球</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3E9B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重量110-125g。圆周76-80CM。</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00D1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9257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277</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0A12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6700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CB1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141</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A33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排球网柱</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9B10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移动式移动排球柱，网高调节范围1550～2430mm，可满足羽毛球、气排球、排球多功能使用；2、底座采用优质钢板折边焊接而成，底座带轮、移动方便；3、立柱采用优质钢管制作，外管直径76mmx2.0mm，内管直径60mm，钢管内立柱上下移动；4、紧线机构：一立柱上置有网钩，另一立柱上置有棘爪紧线锁紧机构，通过调节手柄调节钢丝绳的松紧，从而实现网的水平高度要求；5、外观质量：内管电镀，外管及底座箱体经抛丸除锈、酸洗、磷化等初级处理后，采用高温静电喷塑，色彩靓丽，表面无皱纹、无漏镀、脱镀、无漏喷、脱漆及明显划痕等缺陷；焊接严密牢固，无漏焊、虚焊、包渣、裂纹等缺陷；6、配架网一付。</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F249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付</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533D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3F46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CC22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578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142</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47E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儿童足球</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C5B1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3号圆周长590mm，质量315g～405g，圆周差≤5mm。</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EFB6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00B7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271</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1DD8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B53C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826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143</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462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少年足球</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5A17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4号圆周长650mm，质量315g～405g，圆周差≤5mm。</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C96C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F0F5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865</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32C2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BBAC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CF3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144</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798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软式足球</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08A3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3号：圆周长535mm～560mm：质量250g～290g，充气内胆填充海绵材料。材质：PU。</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9007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2E10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230</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68C4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6455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BAC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145</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4D2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软式足球</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4810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4号，圆周长615mm；质量300g，充气内胆填充海绵材料。</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2D2D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45B0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230</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FAD4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9E4E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F3D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146</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D2A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足球门</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7A66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号足球门，7人制足球比赛用的矩形足球门，球门规格为长度*高度*宽度：5500mm*2000mm*2000mm；2、足球门由立杆、横梁、两侧撑杆、两侧横杆和后侧横杆组成，球门立杆和横梁均采用直径89mm*2.0mm的优质钢管制成，上设网钩，置网方便，网球系线柱两侧撑杆采用直径32*1.2mm的钢管制成，横梁和立杆上没有可能危害到运动员安全的链接物件露在外面；3、足球门应能承受的水平拉力为1000N，足球门横梁能承受2700N的静负荷，横梁不应出现断裂和明显的永久变形；4、球门组装完成后，立杆与地面垂直，横梁与立杆的夹角为90度，连接件周边处理圆滑，无棱角，表面抛丸喷砂，静电喷涂，整体结构稳固，安全性好；5、配足球网1副。</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19C3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副</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AC68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3CCB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8CF1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B2B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147</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327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足球门</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EF94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小学用足球门：3号足球门，5人制足球比赛用的矩形足球门。球门规格：长度*高度*宽度：3000mm*2000mm*1600mm；2、足球门由立杆、横梁、两侧撑杆、两侧横杆和后侧横杆组成；球门立杆和横梁均采用直径76mm*2mm（小学）的优质钢管制成，上设网钩，置网方便，网球系线柱两侧撑杆采用直径32*1.2mm的钢管制成，横梁和立杆上没有可能危害到运动员安全的链接物件露在外面；3、足球门应能承受的水平拉力为1000N，足球门横梁能承受2700N的静负荷，横梁不应出现断裂和明显的永久变形；4、球门组装完成后，立杆与地面垂直，横梁与立杆的夹角为90度，连接件周边处理圆滑，无棱角，表面抛丸喷砂，静电喷涂。整体结构稳固，安全性好；5、配足球网1副。</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68ED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副</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EA40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A5EA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18C3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809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148</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4B8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足球门</w:t>
            </w:r>
          </w:p>
        </w:tc>
        <w:tc>
          <w:tcPr>
            <w:tcW w:w="9107" w:type="dxa"/>
            <w:tcBorders>
              <w:top w:val="single" w:color="000000" w:sz="4" w:space="0"/>
              <w:left w:val="single" w:color="000000" w:sz="4" w:space="0"/>
              <w:bottom w:val="single" w:color="000000" w:sz="4" w:space="0"/>
              <w:right w:val="nil"/>
            </w:tcBorders>
            <w:shd w:val="clear" w:color="auto" w:fill="auto"/>
            <w:vAlign w:val="center"/>
          </w:tcPr>
          <w:p w14:paraId="7D79EB5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组合式，拆装携带方便</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7074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副</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449B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7CC9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6D9D0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D65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149</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DA0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足球门</w:t>
            </w:r>
          </w:p>
        </w:tc>
        <w:tc>
          <w:tcPr>
            <w:tcW w:w="9107" w:type="dxa"/>
            <w:tcBorders>
              <w:top w:val="single" w:color="000000" w:sz="4" w:space="0"/>
              <w:left w:val="single" w:color="000000" w:sz="4" w:space="0"/>
              <w:bottom w:val="single" w:color="000000" w:sz="4" w:space="0"/>
              <w:right w:val="nil"/>
            </w:tcBorders>
            <w:shd w:val="clear" w:color="auto" w:fill="auto"/>
            <w:vAlign w:val="center"/>
          </w:tcPr>
          <w:p w14:paraId="74BEAE2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充气式，充放气、携带方便</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42C0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副</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5259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2C89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B262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5A6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150</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6F0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足球网</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A142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5人制</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6DBE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付</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BE3A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B82E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D594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A77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151</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A2F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乒乓球</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EC7A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1、直径43.4mm～44.4mm；2、圆度0.40mm；3、重量2.20g～2.60g；4、弹跳220mm～250mm；5、牢度：受冲击不小于700次无破裂；外观接缝整齐，表面不反光。</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FBC7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6BBA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520</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4D1D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8B84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6BB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152</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186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乒乓球拍</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79E3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双胶面直握拍。</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3641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付</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ED44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158</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34EB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A925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000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153</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348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乒乓球网架</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399E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带有紧固螺丝，支架整体钢制，带网。网架使用静电喷塑，颜色为深色，色泽均匀一致，产品涂料配方不含有毒有害元素（配室内乒乓球台使用）。</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4B10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付</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F999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70</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A394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D379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420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154</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3B5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乒乓球网</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81FC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球网高度140mm*1800mm</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5EF2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付</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B94C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70</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7471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3F85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EE6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155</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779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乒乓球台</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4D4C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台面尺寸规格：2740mm-2745mm×1525mm,台高760mm，配置铁制球网，高150mm，长1530mm，符合标准要求；2、球台台面采用SMC材料，厚15mm；台面四周采用优质方管加固处理，台面与彩虹支腿连接处用20×30mm的方管加固框连接；3、能承受500N静载荷要求和冲击球冲击要求，稳定性好，耐气候性强、耐老化程度高，防腐、防晒、防雨、阻燃、不易变形等,底架采用彩虹腿设计结构，Φ60mm优质钢管，保证整体的稳定性；4、底架采用彩虹腿设计结构，Φ60mm优质钢管，保证整体的稳定性；台腿外边距两端台边280mm，任何撑档离地大于230mm，保证使用者的运动安全；5、球台网及网架防锈、防松、防损坏；焊接严密牢固、无漏焊、虚焊、包渣、裂纹等缺陷；6、器材不允许有钩挂、卡夹等潜在危险，表面处理采用抛光工艺，除锈彻底，增大工件表面面积，增强塑粉附着力，外表面环保静电粉末。</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F54D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521B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DBFF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1121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4B0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156</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874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羽毛球</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6FFF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1、球口外径65mm～68mm；2、球头直径25mm～27mm；3、球头高度24mm～26mm；4、毛片插长63mm～64mm；5、质量4.50g～5.80g；6、毛片数量16片。</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A0AB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322E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1030</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EC6C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AC03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2F2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157</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75A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羽毛球拍</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8028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1、一副，框柄一体羽毛球拍，性能要求不小于：拍体长度650mm，球拍宽度200mm，球拍弦面长度240mm，拍弦直径0.9mm；2、网线张力：20ibs，握柄直径约25mm，整体重量约100g。</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BE8D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付</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4986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195</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F46A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E63A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A3A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158</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8F9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羽毛球网柱</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500E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ABS移动网柱，釆用40nun经典喷涂铁管高度155cm底座重量70kg底座尺寸550*250*100mm。</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9443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付</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EEF8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FAF4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C73F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7D9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159</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75B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羽毛球网</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E924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单包边</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2080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6D79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41</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7B56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3A3A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58B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160</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501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网球</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3B71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1#软性球，质量46.0g，直径62mm，弹性1100mm～1400mm</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2140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9645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E26A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BEA0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C5F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161</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855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板羽球</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AC0E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材质：羽毛乳胶，长度10-12厘米，球重4-6g，高约14cm，球头高2cm，直径1.4cm，3根羽毛。</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6BF1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9C6B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B90A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8D70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94E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162</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61E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垒球</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6E0B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1、用强度较高的革，手感细腻，直径83mm。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2、圆周长：235mm,重量为130g±5g。</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3、表面清洁，便于用后清洗消毒，清洗晾干后缩水率≤1%,且不起皮,不裂纹。</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25A7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8492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9FD8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C0A7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2E7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163</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D34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软式垒球</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36CB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1、用强度较高的革，手感细腻，直径83mm。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2、圆周长：235mm,重量为130g±5g。</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3、表面清洁，便于用后清洗消毒，清洗晾干后缩水率≤1%,且不起皮,不裂纹。</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DBCE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D38D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3904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7BDA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5DD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164</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A5F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垒垫</w:t>
            </w:r>
          </w:p>
        </w:tc>
        <w:tc>
          <w:tcPr>
            <w:tcW w:w="9107" w:type="dxa"/>
            <w:tcBorders>
              <w:top w:val="single" w:color="000000" w:sz="4" w:space="0"/>
              <w:left w:val="single" w:color="000000" w:sz="4" w:space="0"/>
              <w:bottom w:val="single" w:color="000000" w:sz="4" w:space="0"/>
              <w:right w:val="nil"/>
            </w:tcBorders>
            <w:shd w:val="clear" w:color="auto" w:fill="auto"/>
            <w:vAlign w:val="top"/>
          </w:tcPr>
          <w:p w14:paraId="6549D3E5">
            <w:pPr>
              <w:keepNext w:val="0"/>
              <w:keepLines w:val="0"/>
              <w:widowControl/>
              <w:suppressLineNumbers w:val="0"/>
              <w:spacing w:before="0" w:beforeAutospacing="0" w:after="0" w:afterAutospacing="0"/>
              <w:ind w:left="0" w:right="0"/>
              <w:jc w:val="left"/>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尺寸：90cm*60cm</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8597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块</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6D5C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6E73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BBF8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EE4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165</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090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毽球</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E222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0" cy="99060"/>
                  <wp:effectExtent l="0" t="0" r="0" b="0"/>
                  <wp:wrapNone/>
                  <wp:docPr id="43" name="图片_7"/>
                  <wp:cNvGraphicFramePr/>
                  <a:graphic xmlns:a="http://schemas.openxmlformats.org/drawingml/2006/main">
                    <a:graphicData uri="http://schemas.openxmlformats.org/drawingml/2006/picture">
                      <pic:pic xmlns:pic="http://schemas.openxmlformats.org/drawingml/2006/picture">
                        <pic:nvPicPr>
                          <pic:cNvPr id="43" name="图片_7"/>
                          <pic:cNvPicPr/>
                        </pic:nvPicPr>
                        <pic:blipFill>
                          <a:blip r:embed="rId36"/>
                          <a:stretch>
                            <a:fillRect/>
                          </a:stretch>
                        </pic:blipFill>
                        <pic:spPr>
                          <a:xfrm>
                            <a:off x="0" y="0"/>
                            <a:ext cx="76200" cy="9906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0" cy="99060"/>
                  <wp:effectExtent l="0" t="0" r="0" b="0"/>
                  <wp:wrapNone/>
                  <wp:docPr id="39" name="图片_16"/>
                  <wp:cNvGraphicFramePr/>
                  <a:graphic xmlns:a="http://schemas.openxmlformats.org/drawingml/2006/main">
                    <a:graphicData uri="http://schemas.openxmlformats.org/drawingml/2006/picture">
                      <pic:pic xmlns:pic="http://schemas.openxmlformats.org/drawingml/2006/picture">
                        <pic:nvPicPr>
                          <pic:cNvPr id="39" name="图片_16"/>
                          <pic:cNvPicPr/>
                        </pic:nvPicPr>
                        <pic:blipFill>
                          <a:blip r:embed="rId37"/>
                          <a:stretch>
                            <a:fillRect/>
                          </a:stretch>
                        </pic:blipFill>
                        <pic:spPr>
                          <a:xfrm>
                            <a:off x="0" y="0"/>
                            <a:ext cx="76200" cy="9906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0" cy="99060"/>
                  <wp:effectExtent l="0" t="0" r="0" b="0"/>
                  <wp:wrapNone/>
                  <wp:docPr id="37" name="图片_31"/>
                  <wp:cNvGraphicFramePr/>
                  <a:graphic xmlns:a="http://schemas.openxmlformats.org/drawingml/2006/main">
                    <a:graphicData uri="http://schemas.openxmlformats.org/drawingml/2006/picture">
                      <pic:pic xmlns:pic="http://schemas.openxmlformats.org/drawingml/2006/picture">
                        <pic:nvPicPr>
                          <pic:cNvPr id="37" name="图片_31"/>
                          <pic:cNvPicPr/>
                        </pic:nvPicPr>
                        <pic:blipFill>
                          <a:blip r:embed="rId38"/>
                          <a:stretch>
                            <a:fillRect/>
                          </a:stretch>
                        </pic:blipFill>
                        <pic:spPr>
                          <a:xfrm>
                            <a:off x="0" y="0"/>
                            <a:ext cx="76200" cy="9906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0" cy="99060"/>
                  <wp:effectExtent l="0" t="0" r="0" b="0"/>
                  <wp:wrapNone/>
                  <wp:docPr id="50" name="图片_30"/>
                  <wp:cNvGraphicFramePr/>
                  <a:graphic xmlns:a="http://schemas.openxmlformats.org/drawingml/2006/main">
                    <a:graphicData uri="http://schemas.openxmlformats.org/drawingml/2006/picture">
                      <pic:pic xmlns:pic="http://schemas.openxmlformats.org/drawingml/2006/picture">
                        <pic:nvPicPr>
                          <pic:cNvPr id="50" name="图片_30"/>
                          <pic:cNvPicPr/>
                        </pic:nvPicPr>
                        <pic:blipFill>
                          <a:blip r:embed="rId39"/>
                          <a:stretch>
                            <a:fillRect/>
                          </a:stretch>
                        </pic:blipFill>
                        <pic:spPr>
                          <a:xfrm>
                            <a:off x="0" y="0"/>
                            <a:ext cx="76200" cy="9906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0" cy="99060"/>
                  <wp:effectExtent l="0" t="0" r="0" b="0"/>
                  <wp:wrapNone/>
                  <wp:docPr id="38" name="图片_15"/>
                  <wp:cNvGraphicFramePr/>
                  <a:graphic xmlns:a="http://schemas.openxmlformats.org/drawingml/2006/main">
                    <a:graphicData uri="http://schemas.openxmlformats.org/drawingml/2006/picture">
                      <pic:pic xmlns:pic="http://schemas.openxmlformats.org/drawingml/2006/picture">
                        <pic:nvPicPr>
                          <pic:cNvPr id="38" name="图片_15"/>
                          <pic:cNvPicPr/>
                        </pic:nvPicPr>
                        <pic:blipFill>
                          <a:blip r:embed="rId40"/>
                          <a:stretch>
                            <a:fillRect/>
                          </a:stretch>
                        </pic:blipFill>
                        <pic:spPr>
                          <a:xfrm>
                            <a:off x="0" y="0"/>
                            <a:ext cx="76200" cy="9906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0" cy="99060"/>
                  <wp:effectExtent l="0" t="0" r="0" b="0"/>
                  <wp:wrapNone/>
                  <wp:docPr id="34" name="图片_29"/>
                  <wp:cNvGraphicFramePr/>
                  <a:graphic xmlns:a="http://schemas.openxmlformats.org/drawingml/2006/main">
                    <a:graphicData uri="http://schemas.openxmlformats.org/drawingml/2006/picture">
                      <pic:pic xmlns:pic="http://schemas.openxmlformats.org/drawingml/2006/picture">
                        <pic:nvPicPr>
                          <pic:cNvPr id="34" name="图片_29"/>
                          <pic:cNvPicPr/>
                        </pic:nvPicPr>
                        <pic:blipFill>
                          <a:blip r:embed="rId41"/>
                          <a:stretch>
                            <a:fillRect/>
                          </a:stretch>
                        </pic:blipFill>
                        <pic:spPr>
                          <a:xfrm>
                            <a:off x="0" y="0"/>
                            <a:ext cx="76200" cy="9906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0" cy="99060"/>
                  <wp:effectExtent l="0" t="0" r="0" b="0"/>
                  <wp:wrapNone/>
                  <wp:docPr id="32" name="图片_28"/>
                  <wp:cNvGraphicFramePr/>
                  <a:graphic xmlns:a="http://schemas.openxmlformats.org/drawingml/2006/main">
                    <a:graphicData uri="http://schemas.openxmlformats.org/drawingml/2006/picture">
                      <pic:pic xmlns:pic="http://schemas.openxmlformats.org/drawingml/2006/picture">
                        <pic:nvPicPr>
                          <pic:cNvPr id="32" name="图片_28"/>
                          <pic:cNvPicPr/>
                        </pic:nvPicPr>
                        <pic:blipFill>
                          <a:blip r:embed="rId42"/>
                          <a:stretch>
                            <a:fillRect/>
                          </a:stretch>
                        </pic:blipFill>
                        <pic:spPr>
                          <a:xfrm>
                            <a:off x="0" y="0"/>
                            <a:ext cx="76200" cy="9906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0" cy="99060"/>
                  <wp:effectExtent l="0" t="0" r="0" b="0"/>
                  <wp:wrapNone/>
                  <wp:docPr id="35" name="图片_2"/>
                  <wp:cNvGraphicFramePr/>
                  <a:graphic xmlns:a="http://schemas.openxmlformats.org/drawingml/2006/main">
                    <a:graphicData uri="http://schemas.openxmlformats.org/drawingml/2006/picture">
                      <pic:pic xmlns:pic="http://schemas.openxmlformats.org/drawingml/2006/picture">
                        <pic:nvPicPr>
                          <pic:cNvPr id="35" name="图片_2"/>
                          <pic:cNvPicPr/>
                        </pic:nvPicPr>
                        <pic:blipFill>
                          <a:blip r:embed="rId43"/>
                          <a:stretch>
                            <a:fillRect/>
                          </a:stretch>
                        </pic:blipFill>
                        <pic:spPr>
                          <a:xfrm>
                            <a:off x="0" y="0"/>
                            <a:ext cx="76200" cy="9906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0" cy="99060"/>
                  <wp:effectExtent l="0" t="0" r="0" b="0"/>
                  <wp:wrapNone/>
                  <wp:docPr id="51" name="图片_17"/>
                  <wp:cNvGraphicFramePr/>
                  <a:graphic xmlns:a="http://schemas.openxmlformats.org/drawingml/2006/main">
                    <a:graphicData uri="http://schemas.openxmlformats.org/drawingml/2006/picture">
                      <pic:pic xmlns:pic="http://schemas.openxmlformats.org/drawingml/2006/picture">
                        <pic:nvPicPr>
                          <pic:cNvPr id="51" name="图片_17"/>
                          <pic:cNvPicPr/>
                        </pic:nvPicPr>
                        <pic:blipFill>
                          <a:blip r:embed="rId44"/>
                          <a:stretch>
                            <a:fillRect/>
                          </a:stretch>
                        </pic:blipFill>
                        <pic:spPr>
                          <a:xfrm>
                            <a:off x="0" y="0"/>
                            <a:ext cx="76200" cy="9906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0" cy="99060"/>
                  <wp:effectExtent l="0" t="0" r="0" b="0"/>
                  <wp:wrapNone/>
                  <wp:docPr id="40" name="图片_18"/>
                  <wp:cNvGraphicFramePr/>
                  <a:graphic xmlns:a="http://schemas.openxmlformats.org/drawingml/2006/main">
                    <a:graphicData uri="http://schemas.openxmlformats.org/drawingml/2006/picture">
                      <pic:pic xmlns:pic="http://schemas.openxmlformats.org/drawingml/2006/picture">
                        <pic:nvPicPr>
                          <pic:cNvPr id="40" name="图片_18"/>
                          <pic:cNvPicPr/>
                        </pic:nvPicPr>
                        <pic:blipFill>
                          <a:blip r:embed="rId44"/>
                          <a:stretch>
                            <a:fillRect/>
                          </a:stretch>
                        </pic:blipFill>
                        <pic:spPr>
                          <a:xfrm>
                            <a:off x="0" y="0"/>
                            <a:ext cx="76200" cy="9906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lang w:val="en-US" w:eastAsia="zh-CN" w:bidi="ar"/>
              </w:rPr>
              <w:t>1、毽子高160-170mm，重13-15g；</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2、毽垫直径32mm，厚度25mm；毽毛≥160mm；毽垫为金属材料，底部为橡胶制弹性底垫；</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3、毽毛为四根经处理的长鸭毛组成，羽毛宽32～35mm，插毛管高22mm。毽毛色彩鲜艳，符合学生心理特点。</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F76C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A744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86</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856B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276A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92C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166</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60B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装球车</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5C6A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1、可四轮移动，可折叠；2、用于装篮球、排球、足球等球类物品，球车四角为圆角。</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6A14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辆</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0598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DFCD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4B74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196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44F2EA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民族民间传统 体育活动类</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8E897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904A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F0A2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9076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FAE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167</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8CF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跳绳</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20EE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0" cy="99060"/>
                  <wp:effectExtent l="0" t="0" r="0" b="0"/>
                  <wp:wrapNone/>
                  <wp:docPr id="33" name="图片_35"/>
                  <wp:cNvGraphicFramePr/>
                  <a:graphic xmlns:a="http://schemas.openxmlformats.org/drawingml/2006/main">
                    <a:graphicData uri="http://schemas.openxmlformats.org/drawingml/2006/picture">
                      <pic:pic xmlns:pic="http://schemas.openxmlformats.org/drawingml/2006/picture">
                        <pic:nvPicPr>
                          <pic:cNvPr id="33" name="图片_35"/>
                          <pic:cNvPicPr/>
                        </pic:nvPicPr>
                        <pic:blipFill>
                          <a:blip r:embed="rId45"/>
                          <a:stretch>
                            <a:fillRect/>
                          </a:stretch>
                        </pic:blipFill>
                        <pic:spPr>
                          <a:xfrm>
                            <a:off x="0" y="0"/>
                            <a:ext cx="76200" cy="9906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0" cy="99060"/>
                  <wp:effectExtent l="0" t="0" r="0" b="0"/>
                  <wp:wrapNone/>
                  <wp:docPr id="36" name="图片_3"/>
                  <wp:cNvGraphicFramePr/>
                  <a:graphic xmlns:a="http://schemas.openxmlformats.org/drawingml/2006/main">
                    <a:graphicData uri="http://schemas.openxmlformats.org/drawingml/2006/picture">
                      <pic:pic xmlns:pic="http://schemas.openxmlformats.org/drawingml/2006/picture">
                        <pic:nvPicPr>
                          <pic:cNvPr id="36" name="图片_3"/>
                          <pic:cNvPicPr/>
                        </pic:nvPicPr>
                        <pic:blipFill>
                          <a:blip r:embed="rId46"/>
                          <a:stretch>
                            <a:fillRect/>
                          </a:stretch>
                        </pic:blipFill>
                        <pic:spPr>
                          <a:xfrm>
                            <a:off x="0" y="0"/>
                            <a:ext cx="76200" cy="9906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0" cy="99060"/>
                  <wp:effectExtent l="0" t="0" r="0" b="0"/>
                  <wp:wrapNone/>
                  <wp:docPr id="41" name="图片_22"/>
                  <wp:cNvGraphicFramePr/>
                  <a:graphic xmlns:a="http://schemas.openxmlformats.org/drawingml/2006/main">
                    <a:graphicData uri="http://schemas.openxmlformats.org/drawingml/2006/picture">
                      <pic:pic xmlns:pic="http://schemas.openxmlformats.org/drawingml/2006/picture">
                        <pic:nvPicPr>
                          <pic:cNvPr id="41" name="图片_22"/>
                          <pic:cNvPicPr/>
                        </pic:nvPicPr>
                        <pic:blipFill>
                          <a:blip r:embed="rId47"/>
                          <a:stretch>
                            <a:fillRect/>
                          </a:stretch>
                        </pic:blipFill>
                        <pic:spPr>
                          <a:xfrm>
                            <a:off x="0" y="0"/>
                            <a:ext cx="76200" cy="9906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0" cy="99060"/>
                  <wp:effectExtent l="0" t="0" r="0" b="0"/>
                  <wp:wrapNone/>
                  <wp:docPr id="59" name="图片_41"/>
                  <wp:cNvGraphicFramePr/>
                  <a:graphic xmlns:a="http://schemas.openxmlformats.org/drawingml/2006/main">
                    <a:graphicData uri="http://schemas.openxmlformats.org/drawingml/2006/picture">
                      <pic:pic xmlns:pic="http://schemas.openxmlformats.org/drawingml/2006/picture">
                        <pic:nvPicPr>
                          <pic:cNvPr id="59" name="图片_41"/>
                          <pic:cNvPicPr/>
                        </pic:nvPicPr>
                        <pic:blipFill>
                          <a:blip r:embed="rId48"/>
                          <a:stretch>
                            <a:fillRect/>
                          </a:stretch>
                        </pic:blipFill>
                        <pic:spPr>
                          <a:xfrm>
                            <a:off x="0" y="0"/>
                            <a:ext cx="76200" cy="9906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0" cy="99060"/>
                  <wp:effectExtent l="0" t="0" r="0" b="0"/>
                  <wp:wrapNone/>
                  <wp:docPr id="56" name="图片_19"/>
                  <wp:cNvGraphicFramePr/>
                  <a:graphic xmlns:a="http://schemas.openxmlformats.org/drawingml/2006/main">
                    <a:graphicData uri="http://schemas.openxmlformats.org/drawingml/2006/picture">
                      <pic:pic xmlns:pic="http://schemas.openxmlformats.org/drawingml/2006/picture">
                        <pic:nvPicPr>
                          <pic:cNvPr id="56" name="图片_19"/>
                          <pic:cNvPicPr/>
                        </pic:nvPicPr>
                        <pic:blipFill>
                          <a:blip r:embed="rId49"/>
                          <a:stretch>
                            <a:fillRect/>
                          </a:stretch>
                        </pic:blipFill>
                        <pic:spPr>
                          <a:xfrm>
                            <a:off x="0" y="0"/>
                            <a:ext cx="76200" cy="9906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0" cy="99060"/>
                  <wp:effectExtent l="0" t="0" r="0" b="0"/>
                  <wp:wrapNone/>
                  <wp:docPr id="55" name="图片_38"/>
                  <wp:cNvGraphicFramePr/>
                  <a:graphic xmlns:a="http://schemas.openxmlformats.org/drawingml/2006/main">
                    <a:graphicData uri="http://schemas.openxmlformats.org/drawingml/2006/picture">
                      <pic:pic xmlns:pic="http://schemas.openxmlformats.org/drawingml/2006/picture">
                        <pic:nvPicPr>
                          <pic:cNvPr id="55" name="图片_38"/>
                          <pic:cNvPicPr/>
                        </pic:nvPicPr>
                        <pic:blipFill>
                          <a:blip r:embed="rId50"/>
                          <a:stretch>
                            <a:fillRect/>
                          </a:stretch>
                        </pic:blipFill>
                        <pic:spPr>
                          <a:xfrm>
                            <a:off x="0" y="0"/>
                            <a:ext cx="76200" cy="9906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0" cy="99060"/>
                  <wp:effectExtent l="0" t="0" r="0" b="0"/>
                  <wp:wrapNone/>
                  <wp:docPr id="57" name="图片_8"/>
                  <wp:cNvGraphicFramePr/>
                  <a:graphic xmlns:a="http://schemas.openxmlformats.org/drawingml/2006/main">
                    <a:graphicData uri="http://schemas.openxmlformats.org/drawingml/2006/picture">
                      <pic:pic xmlns:pic="http://schemas.openxmlformats.org/drawingml/2006/picture">
                        <pic:nvPicPr>
                          <pic:cNvPr id="57" name="图片_8"/>
                          <pic:cNvPicPr/>
                        </pic:nvPicPr>
                        <pic:blipFill>
                          <a:blip r:embed="rId51"/>
                          <a:stretch>
                            <a:fillRect/>
                          </a:stretch>
                        </pic:blipFill>
                        <pic:spPr>
                          <a:xfrm>
                            <a:off x="0" y="0"/>
                            <a:ext cx="76200" cy="9906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0" cy="99060"/>
                  <wp:effectExtent l="0" t="0" r="0" b="0"/>
                  <wp:wrapNone/>
                  <wp:docPr id="60" name="图片_32"/>
                  <wp:cNvGraphicFramePr/>
                  <a:graphic xmlns:a="http://schemas.openxmlformats.org/drawingml/2006/main">
                    <a:graphicData uri="http://schemas.openxmlformats.org/drawingml/2006/picture">
                      <pic:pic xmlns:pic="http://schemas.openxmlformats.org/drawingml/2006/picture">
                        <pic:nvPicPr>
                          <pic:cNvPr id="60" name="图片_32"/>
                          <pic:cNvPicPr/>
                        </pic:nvPicPr>
                        <pic:blipFill>
                          <a:blip r:embed="rId52"/>
                          <a:stretch>
                            <a:fillRect/>
                          </a:stretch>
                        </pic:blipFill>
                        <pic:spPr>
                          <a:xfrm>
                            <a:off x="0" y="0"/>
                            <a:ext cx="76200" cy="9906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lang w:val="en-US" w:eastAsia="zh-CN" w:bidi="ar"/>
              </w:rPr>
              <w:t>绳长2800mm～3000mm，直径7mm～8mm，质量90g～120g</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72C8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根</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FE9B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551</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58A0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8DE2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341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168</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50C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跳绳</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A4ED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0" cy="99060"/>
                  <wp:effectExtent l="0" t="0" r="0" b="0"/>
                  <wp:wrapNone/>
                  <wp:docPr id="58" name="图片_33"/>
                  <wp:cNvGraphicFramePr/>
                  <a:graphic xmlns:a="http://schemas.openxmlformats.org/drawingml/2006/main">
                    <a:graphicData uri="http://schemas.openxmlformats.org/drawingml/2006/picture">
                      <pic:pic xmlns:pic="http://schemas.openxmlformats.org/drawingml/2006/picture">
                        <pic:nvPicPr>
                          <pic:cNvPr id="58" name="图片_33"/>
                          <pic:cNvPicPr/>
                        </pic:nvPicPr>
                        <pic:blipFill>
                          <a:blip r:embed="rId53"/>
                          <a:stretch>
                            <a:fillRect/>
                          </a:stretch>
                        </pic:blipFill>
                        <pic:spPr>
                          <a:xfrm>
                            <a:off x="0" y="0"/>
                            <a:ext cx="76200" cy="9906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0" cy="99060"/>
                  <wp:effectExtent l="0" t="0" r="0" b="0"/>
                  <wp:wrapNone/>
                  <wp:docPr id="29" name="图片_4"/>
                  <wp:cNvGraphicFramePr/>
                  <a:graphic xmlns:a="http://schemas.openxmlformats.org/drawingml/2006/main">
                    <a:graphicData uri="http://schemas.openxmlformats.org/drawingml/2006/picture">
                      <pic:pic xmlns:pic="http://schemas.openxmlformats.org/drawingml/2006/picture">
                        <pic:nvPicPr>
                          <pic:cNvPr id="29" name="图片_4"/>
                          <pic:cNvPicPr/>
                        </pic:nvPicPr>
                        <pic:blipFill>
                          <a:blip r:embed="rId54"/>
                          <a:stretch>
                            <a:fillRect/>
                          </a:stretch>
                        </pic:blipFill>
                        <pic:spPr>
                          <a:xfrm>
                            <a:off x="0" y="0"/>
                            <a:ext cx="76200" cy="9906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0" cy="99060"/>
                  <wp:effectExtent l="0" t="0" r="0" b="0"/>
                  <wp:wrapNone/>
                  <wp:docPr id="30" name="图片_39"/>
                  <wp:cNvGraphicFramePr/>
                  <a:graphic xmlns:a="http://schemas.openxmlformats.org/drawingml/2006/main">
                    <a:graphicData uri="http://schemas.openxmlformats.org/drawingml/2006/picture">
                      <pic:pic xmlns:pic="http://schemas.openxmlformats.org/drawingml/2006/picture">
                        <pic:nvPicPr>
                          <pic:cNvPr id="30" name="图片_39"/>
                          <pic:cNvPicPr/>
                        </pic:nvPicPr>
                        <pic:blipFill>
                          <a:blip r:embed="rId55"/>
                          <a:stretch>
                            <a:fillRect/>
                          </a:stretch>
                        </pic:blipFill>
                        <pic:spPr>
                          <a:xfrm>
                            <a:off x="0" y="0"/>
                            <a:ext cx="76200" cy="9906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0" cy="99060"/>
                  <wp:effectExtent l="0" t="0" r="0" b="0"/>
                  <wp:wrapNone/>
                  <wp:docPr id="28" name="图片_20"/>
                  <wp:cNvGraphicFramePr/>
                  <a:graphic xmlns:a="http://schemas.openxmlformats.org/drawingml/2006/main">
                    <a:graphicData uri="http://schemas.openxmlformats.org/drawingml/2006/picture">
                      <pic:pic xmlns:pic="http://schemas.openxmlformats.org/drawingml/2006/picture">
                        <pic:nvPicPr>
                          <pic:cNvPr id="28" name="图片_20"/>
                          <pic:cNvPicPr/>
                        </pic:nvPicPr>
                        <pic:blipFill>
                          <a:blip r:embed="rId56"/>
                          <a:stretch>
                            <a:fillRect/>
                          </a:stretch>
                        </pic:blipFill>
                        <pic:spPr>
                          <a:xfrm>
                            <a:off x="0" y="0"/>
                            <a:ext cx="76200" cy="9906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0" cy="99060"/>
                  <wp:effectExtent l="0" t="0" r="0" b="0"/>
                  <wp:wrapNone/>
                  <wp:docPr id="24" name="图片_23"/>
                  <wp:cNvGraphicFramePr/>
                  <a:graphic xmlns:a="http://schemas.openxmlformats.org/drawingml/2006/main">
                    <a:graphicData uri="http://schemas.openxmlformats.org/drawingml/2006/picture">
                      <pic:pic xmlns:pic="http://schemas.openxmlformats.org/drawingml/2006/picture">
                        <pic:nvPicPr>
                          <pic:cNvPr id="24" name="图片_23"/>
                          <pic:cNvPicPr/>
                        </pic:nvPicPr>
                        <pic:blipFill>
                          <a:blip r:embed="rId57"/>
                          <a:stretch>
                            <a:fillRect/>
                          </a:stretch>
                        </pic:blipFill>
                        <pic:spPr>
                          <a:xfrm>
                            <a:off x="0" y="0"/>
                            <a:ext cx="76200" cy="9906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0" cy="99060"/>
                  <wp:effectExtent l="0" t="0" r="0" b="0"/>
                  <wp:wrapNone/>
                  <wp:docPr id="20" name="图片_42"/>
                  <wp:cNvGraphicFramePr/>
                  <a:graphic xmlns:a="http://schemas.openxmlformats.org/drawingml/2006/main">
                    <a:graphicData uri="http://schemas.openxmlformats.org/drawingml/2006/picture">
                      <pic:pic xmlns:pic="http://schemas.openxmlformats.org/drawingml/2006/picture">
                        <pic:nvPicPr>
                          <pic:cNvPr id="20" name="图片_42"/>
                          <pic:cNvPicPr/>
                        </pic:nvPicPr>
                        <pic:blipFill>
                          <a:blip r:embed="rId58"/>
                          <a:stretch>
                            <a:fillRect/>
                          </a:stretch>
                        </pic:blipFill>
                        <pic:spPr>
                          <a:xfrm>
                            <a:off x="0" y="0"/>
                            <a:ext cx="76200" cy="9906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0" cy="99060"/>
                  <wp:effectExtent l="0" t="0" r="0" b="0"/>
                  <wp:wrapNone/>
                  <wp:docPr id="18" name="图片_9"/>
                  <wp:cNvGraphicFramePr/>
                  <a:graphic xmlns:a="http://schemas.openxmlformats.org/drawingml/2006/main">
                    <a:graphicData uri="http://schemas.openxmlformats.org/drawingml/2006/picture">
                      <pic:pic xmlns:pic="http://schemas.openxmlformats.org/drawingml/2006/picture">
                        <pic:nvPicPr>
                          <pic:cNvPr id="18" name="图片_9"/>
                          <pic:cNvPicPr/>
                        </pic:nvPicPr>
                        <pic:blipFill>
                          <a:blip r:embed="rId59"/>
                          <a:stretch>
                            <a:fillRect/>
                          </a:stretch>
                        </pic:blipFill>
                        <pic:spPr>
                          <a:xfrm>
                            <a:off x="0" y="0"/>
                            <a:ext cx="76200" cy="9906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0" cy="99060"/>
                  <wp:effectExtent l="0" t="0" r="0" b="0"/>
                  <wp:wrapNone/>
                  <wp:docPr id="23" name="图片_36"/>
                  <wp:cNvGraphicFramePr/>
                  <a:graphic xmlns:a="http://schemas.openxmlformats.org/drawingml/2006/main">
                    <a:graphicData uri="http://schemas.openxmlformats.org/drawingml/2006/picture">
                      <pic:pic xmlns:pic="http://schemas.openxmlformats.org/drawingml/2006/picture">
                        <pic:nvPicPr>
                          <pic:cNvPr id="23" name="图片_36"/>
                          <pic:cNvPicPr/>
                        </pic:nvPicPr>
                        <pic:blipFill>
                          <a:blip r:embed="rId60"/>
                          <a:stretch>
                            <a:fillRect/>
                          </a:stretch>
                        </pic:blipFill>
                        <pic:spPr>
                          <a:xfrm>
                            <a:off x="0" y="0"/>
                            <a:ext cx="76200" cy="9906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lang w:val="en-US" w:eastAsia="zh-CN" w:bidi="ar"/>
              </w:rPr>
              <w:t>1、手柄用杂木制成，尺寸为Φ26mm×130mm。表面光滑，无裂纹，无毛刺,手感舒适且与绳结合牢固；2、手柄与绳的结合能承受20kg的力而不脱落；3、手柄与绳连接处灵活转动，无缠绞现象。长度5米。</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953E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根</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92CA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190</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763A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1DFC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8B6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169</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573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竹节绳</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4B90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0" cy="99060"/>
                  <wp:effectExtent l="0" t="0" r="0" b="0"/>
                  <wp:wrapNone/>
                  <wp:docPr id="25" name="图片_34"/>
                  <wp:cNvGraphicFramePr/>
                  <a:graphic xmlns:a="http://schemas.openxmlformats.org/drawingml/2006/main">
                    <a:graphicData uri="http://schemas.openxmlformats.org/drawingml/2006/picture">
                      <pic:pic xmlns:pic="http://schemas.openxmlformats.org/drawingml/2006/picture">
                        <pic:nvPicPr>
                          <pic:cNvPr id="25" name="图片_34"/>
                          <pic:cNvPicPr/>
                        </pic:nvPicPr>
                        <pic:blipFill>
                          <a:blip r:embed="rId61"/>
                          <a:stretch>
                            <a:fillRect/>
                          </a:stretch>
                        </pic:blipFill>
                        <pic:spPr>
                          <a:xfrm>
                            <a:off x="0" y="0"/>
                            <a:ext cx="76200" cy="9906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0" cy="99060"/>
                  <wp:effectExtent l="0" t="0" r="0" b="0"/>
                  <wp:wrapNone/>
                  <wp:docPr id="19" name="图片_40"/>
                  <wp:cNvGraphicFramePr/>
                  <a:graphic xmlns:a="http://schemas.openxmlformats.org/drawingml/2006/main">
                    <a:graphicData uri="http://schemas.openxmlformats.org/drawingml/2006/picture">
                      <pic:pic xmlns:pic="http://schemas.openxmlformats.org/drawingml/2006/picture">
                        <pic:nvPicPr>
                          <pic:cNvPr id="19" name="图片_40"/>
                          <pic:cNvPicPr/>
                        </pic:nvPicPr>
                        <pic:blipFill>
                          <a:blip r:embed="rId62"/>
                          <a:stretch>
                            <a:fillRect/>
                          </a:stretch>
                        </pic:blipFill>
                        <pic:spPr>
                          <a:xfrm>
                            <a:off x="0" y="0"/>
                            <a:ext cx="76200" cy="9906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0" cy="99060"/>
                  <wp:effectExtent l="0" t="0" r="0" b="0"/>
                  <wp:wrapNone/>
                  <wp:docPr id="21" name="图片_37"/>
                  <wp:cNvGraphicFramePr/>
                  <a:graphic xmlns:a="http://schemas.openxmlformats.org/drawingml/2006/main">
                    <a:graphicData uri="http://schemas.openxmlformats.org/drawingml/2006/picture">
                      <pic:pic xmlns:pic="http://schemas.openxmlformats.org/drawingml/2006/picture">
                        <pic:nvPicPr>
                          <pic:cNvPr id="21" name="图片_37"/>
                          <pic:cNvPicPr/>
                        </pic:nvPicPr>
                        <pic:blipFill>
                          <a:blip r:embed="rId63"/>
                          <a:stretch>
                            <a:fillRect/>
                          </a:stretch>
                        </pic:blipFill>
                        <pic:spPr>
                          <a:xfrm>
                            <a:off x="0" y="0"/>
                            <a:ext cx="76200" cy="9906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0" cy="99060"/>
                  <wp:effectExtent l="0" t="0" r="0" b="0"/>
                  <wp:wrapNone/>
                  <wp:docPr id="22" name="图片_43"/>
                  <wp:cNvGraphicFramePr/>
                  <a:graphic xmlns:a="http://schemas.openxmlformats.org/drawingml/2006/main">
                    <a:graphicData uri="http://schemas.openxmlformats.org/drawingml/2006/picture">
                      <pic:pic xmlns:pic="http://schemas.openxmlformats.org/drawingml/2006/picture">
                        <pic:nvPicPr>
                          <pic:cNvPr id="22" name="图片_43"/>
                          <pic:cNvPicPr/>
                        </pic:nvPicPr>
                        <pic:blipFill>
                          <a:blip r:embed="rId64"/>
                          <a:stretch>
                            <a:fillRect/>
                          </a:stretch>
                        </pic:blipFill>
                        <pic:spPr>
                          <a:xfrm>
                            <a:off x="0" y="0"/>
                            <a:ext cx="76200" cy="9906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0" cy="99060"/>
                  <wp:effectExtent l="0" t="0" r="0" b="0"/>
                  <wp:wrapNone/>
                  <wp:docPr id="61" name="图片_10"/>
                  <wp:cNvGraphicFramePr/>
                  <a:graphic xmlns:a="http://schemas.openxmlformats.org/drawingml/2006/main">
                    <a:graphicData uri="http://schemas.openxmlformats.org/drawingml/2006/picture">
                      <pic:pic xmlns:pic="http://schemas.openxmlformats.org/drawingml/2006/picture">
                        <pic:nvPicPr>
                          <pic:cNvPr id="61" name="图片_10"/>
                          <pic:cNvPicPr/>
                        </pic:nvPicPr>
                        <pic:blipFill>
                          <a:blip r:embed="rId65"/>
                          <a:stretch>
                            <a:fillRect/>
                          </a:stretch>
                        </pic:blipFill>
                        <pic:spPr>
                          <a:xfrm>
                            <a:off x="0" y="0"/>
                            <a:ext cx="76200" cy="9906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0" cy="99060"/>
                  <wp:effectExtent l="0" t="0" r="0" b="0"/>
                  <wp:wrapNone/>
                  <wp:docPr id="27" name="图片_21"/>
                  <wp:cNvGraphicFramePr/>
                  <a:graphic xmlns:a="http://schemas.openxmlformats.org/drawingml/2006/main">
                    <a:graphicData uri="http://schemas.openxmlformats.org/drawingml/2006/picture">
                      <pic:pic xmlns:pic="http://schemas.openxmlformats.org/drawingml/2006/picture">
                        <pic:nvPicPr>
                          <pic:cNvPr id="27" name="图片_21"/>
                          <pic:cNvPicPr/>
                        </pic:nvPicPr>
                        <pic:blipFill>
                          <a:blip r:embed="rId66"/>
                          <a:stretch>
                            <a:fillRect/>
                          </a:stretch>
                        </pic:blipFill>
                        <pic:spPr>
                          <a:xfrm>
                            <a:off x="0" y="0"/>
                            <a:ext cx="76200" cy="9906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0" cy="99060"/>
                  <wp:effectExtent l="0" t="0" r="0" b="0"/>
                  <wp:wrapNone/>
                  <wp:docPr id="17" name="图片_5"/>
                  <wp:cNvGraphicFramePr/>
                  <a:graphic xmlns:a="http://schemas.openxmlformats.org/drawingml/2006/main">
                    <a:graphicData uri="http://schemas.openxmlformats.org/drawingml/2006/picture">
                      <pic:pic xmlns:pic="http://schemas.openxmlformats.org/drawingml/2006/picture">
                        <pic:nvPicPr>
                          <pic:cNvPr id="17" name="图片_5"/>
                          <pic:cNvPicPr/>
                        </pic:nvPicPr>
                        <pic:blipFill>
                          <a:blip r:embed="rId67"/>
                          <a:stretch>
                            <a:fillRect/>
                          </a:stretch>
                        </pic:blipFill>
                        <pic:spPr>
                          <a:xfrm>
                            <a:off x="0" y="0"/>
                            <a:ext cx="76200" cy="9906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0" cy="99060"/>
                  <wp:effectExtent l="0" t="0" r="0" b="0"/>
                  <wp:wrapNone/>
                  <wp:docPr id="26" name="图片_24"/>
                  <wp:cNvGraphicFramePr/>
                  <a:graphic xmlns:a="http://schemas.openxmlformats.org/drawingml/2006/main">
                    <a:graphicData uri="http://schemas.openxmlformats.org/drawingml/2006/picture">
                      <pic:pic xmlns:pic="http://schemas.openxmlformats.org/drawingml/2006/picture">
                        <pic:nvPicPr>
                          <pic:cNvPr id="26" name="图片_24"/>
                          <pic:cNvPicPr/>
                        </pic:nvPicPr>
                        <pic:blipFill>
                          <a:blip r:embed="rId68"/>
                          <a:stretch>
                            <a:fillRect/>
                          </a:stretch>
                        </pic:blipFill>
                        <pic:spPr>
                          <a:xfrm>
                            <a:off x="0" y="0"/>
                            <a:ext cx="76200" cy="9906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lang w:val="en-US" w:eastAsia="zh-CN" w:bidi="ar"/>
              </w:rPr>
              <w:t>绳长约2600mm，手柄长约198mm，竹节长约20mm。</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26FC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根</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2681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186</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1DF4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A817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33E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170</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902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竹节绳</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3449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长竹节绳，手柄长度210mm，后端椭圆设计，有后盖，头部有卡住配件。有效绳长（不含手柄）约4200mm，绳为串珠设计，大珠直径7.8mm，长25mm，小珠直径5.6mm，长20mm</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07DC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根</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3C6C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E1FE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7909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A13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171</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D23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拔河绳</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B304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30m 直径30mm，质量约10kg。</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4C0A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根</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133A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BE26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ABB3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331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172</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944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花毽</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5EB5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键毛应采用8支～10支彩色鸡羽，扎成圆形，毽垫直径30mm～32mm，厚度3mm～4mm，球高130mm～180mm，球重13g～15g。</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65FF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E8DF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531</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FBFD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9499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462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173</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FB8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塑料圈(呼啦圈)</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F4D6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直径85cm铁质外加海绵防滑套</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6333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9D69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326</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AC8F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E377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677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174</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4EC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小沙包</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556F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优质4cm×4cm帆布包砂缝制，针脚整齐，无跳线，重量150克。</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BCAC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1555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278</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779D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BDF8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D0B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175</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474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竹竿</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4D15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适用于竹竿舞</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1F6C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5513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FB06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320B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51E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176</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DF1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空竹</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0EAE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杆长340mm，双轮无轴承，塑料</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DFF5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E7F3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5FD2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9B6C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235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177</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EF1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铁环</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0A48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直径50CM（±1.5cm），带一个手柄</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C2C4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B9C7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206</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1278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7852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572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178</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066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陀螺</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F6A6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产品应符合有关规定。</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A18C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E775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183</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12E2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8755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44E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179</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403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软式飞盘</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6F7B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直径18cm，硅胶材质柔软易折叠，做工精细边缘润滑，无毛边不扎手，无论你如何折叠放手瞬间立马回复原状。</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D81C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2EF7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94</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1C8C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CAA1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AC7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180</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66B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浪桥（木)</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D3E6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立柱直径114mm ，使用宽度≥800mm,器材高度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1800mm±100mm ，桥面横杆间距300mm ，桥面距地面 300mm ，桥面横杆直径60mm ，连接链条直径10mm。</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F973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6AC5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B8D1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F290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C57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181</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A7B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跳带</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4A4B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多股橡筋组成。</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7C92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1764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EB9A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4F2C1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542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182</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107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独轮车</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EEB3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小型：车轮直径：≤406mm</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6F3B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辆</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FC64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0B1A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F756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4A2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183</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42D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独轮车</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E836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中型 ， 车轮直径457mm ～510mm。</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6D26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辆</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9B39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116E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EFCC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D99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184</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4E8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踏板</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23DA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踏板操用，踏板长 1000mm，宽 350mm，高 80mm</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E2C5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块</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24C7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4A35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4FFB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4762"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89DAEE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健身训练类</w:t>
            </w:r>
          </w:p>
        </w:tc>
      </w:tr>
      <w:tr w14:paraId="675DE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BEA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185</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DBC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爬绳和爬杆</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E4A0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1、规格：1个框架配2根绳2根杆，框架宽3m,地上高度2.5m,绳和杆长2.2米；</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2、主管、横杆采用直径89×2mm优质圆钢管；爬绳、爬杆与主管采用保险卡环的连接方式；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3、绳杆的握持直径为28㎜，绳杆的有效使用宽度600㎜；</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4、安装应采用直埋方式，立柱地埋深度600mm。桩基尺寸：500*500*600mm。</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A559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副</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952C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46BC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7793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68A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186</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BC1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平行梯</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8DAD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1、平梯埋入地下后基本尺寸：长x高x宽=3000/3500x2100x600（mm）；埋入地下部分长600mm；2、云梯由上部横梯和下部支架组成，主要材料采用Φ89x2.0、Φ32x2圆管拼焊而成，焊接部位焊缝均匀，无虚焊；3、表面静电喷塑。</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E9A4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架</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8489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DC70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A7EC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8CF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187</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A87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橡皮拉力带</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6928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轻阻力，无毒无味，弹性好，强度高，不易断裂，不易老化。</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2AE1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条</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7B5C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31D7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1E54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43C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188</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3D5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橡皮拉力带</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4902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重阻力，无毒无味，弹性好，强度高，不易断裂，不易老化。</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95BC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条</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DF11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C9F2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4864D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EB1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189</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186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木哑铃</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7B05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木制小哑铃，长度15cm。</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AABB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付</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35D0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88</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6A3F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A974F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B55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190</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B81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综合训练器</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3E80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三人综合训练器，规格194*170*220cm；（±1cm）毛重200KG(±1),配重73KG(±1)，称重400KG;有卧推架和深蹲架。</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7B29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3CF9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26A5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BF3A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96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3AC828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体质测试类仪器</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F47D7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c>
          <w:tcPr>
            <w:tcW w:w="1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8862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F25C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3FE3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A56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191</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697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引体向上架</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0380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1.承重：≥200斤。2.底座：采用三角结构；一定程度上防止使用过程中侧翻风险。3.占地面积：≥90cm×80cm×200cm。</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8F30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9D61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72E0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766E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50C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192</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82D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仰卧起坐板</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0E4C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测试台用皮革包裹，表面光滑舒适，测试台脚套部分由海绵包裹，尺寸约为1620*560*70mm；</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3EB4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FFC1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E744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0354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78A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193</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7A8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身高体重测试仪</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D9B7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电子型</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"1.直接测量人体的身高体重，反映被测者身体匀称度和发育形态指数（BMI）；</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2.身高测试采用电机加光栅感应测量身高，精度高,不易受外在环境干扰；身高触头采用可折叠式设计。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3.体重底座采用全铝材质一体化压铸成型，体重使用高精度体重传感器，测试精度高，耐疲劳、寿命长。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4.测试仪采用3.5吋真彩TFT LCD液晶显示屏显示测试值（身高体重数值及BMI指数），界面美观，操作简单。</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5.测试仪具有同步语音播报身高、体重测试数值功能，语音播报可设置开启或关闭。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6.主要技术参数：</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测量范围：</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身高：90cm～215cm      体重：5kg ～200kg</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分度值：身高：0.1cm        体重：0.1kg</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误差：身高：±0.1cm            体重：0kg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工作环境：0℃ ～ 40℃湿度＜90%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存储环境：-10℃ ～ 50℃湿度＜75%"</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141D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C09C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19C6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D5B6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C7C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194</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044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肺活量测试仪</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F972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电子型</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1.测定人体呼吸的最大通气能力，测试数值反映肺的容积和肺的扩展能力。</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2.使用进口高精密传感器，精度高，吹管优化设计与处理，不易产生积水，防补气（防作弊）功能，补气时自动锁定数据。</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3.测试仪采用一体化设计，128×64液晶显示，具有锁定功能，读数方便。一键式操作，使用简便，同时具有清零功能。采用单节7号电池供电，低功耗设计，3分钟未使用自动关机，带低电量提示功能。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4.主要技术参数：</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    量程：50～9999ml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    分度值：1ml</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误差：±0.5%FS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工作环境：0℃ ～ 40℃湿度＜90%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存储环境：-10℃ ～ 50℃湿度＜75%</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22FE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640A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1763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6A65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4762"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7C92E37">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挂图、软件及资料</w:t>
            </w:r>
          </w:p>
        </w:tc>
      </w:tr>
      <w:tr w14:paraId="41D67A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D1E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195</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3CE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小学体育教学挂图</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9B0E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30幅，对开、128g铜版纸；2、纸张规格：纸张不低于105克铜版纸，覆膜；3、印刷：四色彩色胶印；4、图形：教学挂图应图像清晰，色泽自然鲜明，位置准确；附彩图说明书；5、图片印刷套印准确，层次分明，轮廓实，电分制版无浮雕印；网点清晰饱满，小点不秃，大点光洁不糊，质感好；墨色均匀厚实，色彩鲜有光泽，肤色正、接版准确，色调深浅一致；文字印刷压力适度，全图前后轻重一致；全图前后墨色一致，浓淡适度符合要求；版面端正，正反套印准确；文字、标点清晰，笔锋挺秀，无缺笔断划，标题黑实不花，小字不糊不瞎；无脏污、破损；无野墨；成品裁切方正，无明显刀花，无连接页、折角、破头；耐碱折正，书面平服，无皱折。</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385E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65C6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909A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7D44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149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196</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DC1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广播体操教学挂图</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9A8A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涵盖现行全国中小学生系列广播体操分解动作</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02D6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1FAC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9207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B978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033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197</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208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多媒体教学软件</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3CF2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小学用</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9C97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BBD0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B3EF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5EBE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C7F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198</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025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多媒体教学光盘</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1CE8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小学用</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8DAC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3D4B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2271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E5CE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8C4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199</w:t>
            </w:r>
          </w:p>
        </w:tc>
        <w:tc>
          <w:tcPr>
            <w:tcW w:w="1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E54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图书、手册</w:t>
            </w:r>
          </w:p>
        </w:tc>
        <w:tc>
          <w:tcPr>
            <w:tcW w:w="9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862A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小学健康教育教学软件</w:t>
            </w:r>
          </w:p>
        </w:tc>
        <w:tc>
          <w:tcPr>
            <w:tcW w:w="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BD65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EB10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D40C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bl>
    <w:p w14:paraId="2E6934F0">
      <w:pPr>
        <w:rPr>
          <w:rFonts w:hint="eastAsia"/>
          <w:color w:val="auto"/>
          <w:highlight w:val="none"/>
          <w:lang w:val="en-US" w:eastAsia="zh-CN"/>
        </w:rPr>
      </w:pPr>
      <w:r>
        <w:rPr>
          <w:rFonts w:hint="eastAsia"/>
          <w:color w:val="auto"/>
          <w:highlight w:val="none"/>
          <w:lang w:val="en-US" w:eastAsia="zh-CN"/>
        </w:rPr>
        <w:br w:type="page"/>
      </w:r>
    </w:p>
    <w:p w14:paraId="34C99E7B">
      <w:pPr>
        <w:keepNext w:val="0"/>
        <w:keepLines w:val="0"/>
        <w:widowControl/>
        <w:suppressLineNumbers w:val="0"/>
        <w:jc w:val="left"/>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5、初中物理实验室、初中生物实验室</w:t>
      </w:r>
    </w:p>
    <w:tbl>
      <w:tblPr>
        <w:tblStyle w:val="27"/>
        <w:tblW w:w="1501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79"/>
        <w:gridCol w:w="1101"/>
        <w:gridCol w:w="9515"/>
        <w:gridCol w:w="898"/>
        <w:gridCol w:w="1114"/>
        <w:gridCol w:w="1307"/>
      </w:tblGrid>
      <w:tr w14:paraId="59D60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jc w:val="center"/>
        </w:trPr>
        <w:tc>
          <w:tcPr>
            <w:tcW w:w="15014" w:type="dxa"/>
            <w:gridSpan w:val="6"/>
            <w:tcBorders>
              <w:top w:val="single" w:color="000000" w:sz="4" w:space="0"/>
              <w:left w:val="single" w:color="000000" w:sz="4" w:space="0"/>
              <w:bottom w:val="single" w:color="000000" w:sz="4" w:space="0"/>
              <w:right w:val="single" w:color="000000" w:sz="4" w:space="0"/>
            </w:tcBorders>
            <w:shd w:val="clear" w:color="auto" w:fill="FFC000"/>
            <w:vAlign w:val="center"/>
          </w:tcPr>
          <w:p w14:paraId="3E2BCB0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物理实验室清单（48座/间）</w:t>
            </w:r>
          </w:p>
        </w:tc>
      </w:tr>
      <w:tr w14:paraId="7686A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3" w:hRule="atLeast"/>
          <w:jc w:val="center"/>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7C7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863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货物名称</w:t>
            </w:r>
          </w:p>
        </w:tc>
        <w:tc>
          <w:tcPr>
            <w:tcW w:w="9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EF6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技术参数</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B79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单位</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0EE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数量</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B3B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参考图片/说明</w:t>
            </w:r>
          </w:p>
        </w:tc>
      </w:tr>
      <w:tr w14:paraId="483C8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DCD05">
            <w:pPr>
              <w:keepNext w:val="0"/>
              <w:keepLines w:val="0"/>
              <w:suppressLineNumbers w:val="0"/>
              <w:spacing w:before="0" w:beforeAutospacing="0" w:after="0" w:afterAutospacing="0"/>
              <w:ind w:left="0" w:right="0"/>
              <w:rPr>
                <w:rFonts w:hint="eastAsia" w:ascii="宋体" w:hAnsi="宋体" w:eastAsia="宋体" w:cs="宋体"/>
                <w:b/>
                <w:bCs/>
                <w:i w:val="0"/>
                <w:iCs w:val="0"/>
                <w:color w:val="auto"/>
                <w:sz w:val="24"/>
                <w:szCs w:val="24"/>
                <w:highlight w:val="none"/>
                <w:u w:val="none"/>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9A2C6">
            <w:pPr>
              <w:keepNext w:val="0"/>
              <w:keepLines w:val="0"/>
              <w:suppressLineNumbers w:val="0"/>
              <w:spacing w:before="0" w:beforeAutospacing="0" w:after="0" w:afterAutospacing="0"/>
              <w:ind w:left="0" w:right="0"/>
              <w:rPr>
                <w:rFonts w:hint="eastAsia" w:ascii="宋体" w:hAnsi="宋体" w:eastAsia="宋体" w:cs="宋体"/>
                <w:b/>
                <w:bCs/>
                <w:i w:val="0"/>
                <w:iCs w:val="0"/>
                <w:color w:val="auto"/>
                <w:sz w:val="24"/>
                <w:szCs w:val="24"/>
                <w:highlight w:val="none"/>
                <w:u w:val="none"/>
              </w:rPr>
            </w:pPr>
          </w:p>
        </w:tc>
        <w:tc>
          <w:tcPr>
            <w:tcW w:w="9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17F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教师演示控制</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4ADE7">
            <w:pPr>
              <w:keepNext w:val="0"/>
              <w:keepLines w:val="0"/>
              <w:suppressLineNumbers w:val="0"/>
              <w:spacing w:before="0" w:beforeAutospacing="0" w:after="0" w:afterAutospacing="0"/>
              <w:ind w:left="0" w:right="0"/>
              <w:rPr>
                <w:rFonts w:hint="eastAsia" w:ascii="宋体" w:hAnsi="宋体" w:eastAsia="宋体" w:cs="宋体"/>
                <w:b/>
                <w:bCs/>
                <w:i w:val="0"/>
                <w:iCs w:val="0"/>
                <w:color w:val="auto"/>
                <w:sz w:val="24"/>
                <w:szCs w:val="24"/>
                <w:highlight w:val="none"/>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1AFE6">
            <w:pPr>
              <w:keepNext w:val="0"/>
              <w:keepLines w:val="0"/>
              <w:suppressLineNumbers w:val="0"/>
              <w:spacing w:before="0" w:beforeAutospacing="0" w:after="0" w:afterAutospacing="0"/>
              <w:ind w:left="0" w:right="0"/>
              <w:rPr>
                <w:rFonts w:hint="eastAsia" w:ascii="宋体" w:hAnsi="宋体" w:eastAsia="宋体" w:cs="宋体"/>
                <w:b/>
                <w:bCs/>
                <w:i w:val="0"/>
                <w:iCs w:val="0"/>
                <w:color w:val="auto"/>
                <w:sz w:val="24"/>
                <w:szCs w:val="24"/>
                <w:highlight w:val="none"/>
                <w:u w:val="none"/>
              </w:rPr>
            </w:pP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F1C16">
            <w:pPr>
              <w:keepNext w:val="0"/>
              <w:keepLines w:val="0"/>
              <w:suppressLineNumbers w:val="0"/>
              <w:spacing w:before="0" w:beforeAutospacing="0" w:after="0" w:afterAutospacing="0"/>
              <w:ind w:left="0" w:right="0"/>
              <w:rPr>
                <w:rFonts w:hint="eastAsia" w:ascii="宋体" w:hAnsi="宋体" w:eastAsia="宋体" w:cs="宋体"/>
                <w:b/>
                <w:bCs/>
                <w:i w:val="0"/>
                <w:iCs w:val="0"/>
                <w:color w:val="auto"/>
                <w:sz w:val="24"/>
                <w:szCs w:val="24"/>
                <w:highlight w:val="none"/>
                <w:u w:val="none"/>
              </w:rPr>
            </w:pPr>
          </w:p>
        </w:tc>
      </w:tr>
      <w:tr w14:paraId="13C06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0DE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E99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教师演示台</w:t>
            </w:r>
          </w:p>
        </w:tc>
        <w:tc>
          <w:tcPr>
            <w:tcW w:w="9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ADDE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1、规格：2800×700×850mm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2、台面：采用≥12.7mm厚国产理化板，台面边缘用同质材料板双层加厚至25.4mm，由专业生产厂家用CNC机械加工而成。为了确保使用者的健康安全，须提供第三方检测机构出具的检测报告（具备CMA或CNAS标志）复印件，各项性能满足或优于如下要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2.1、化学性能：参照GB/T 17657-2022 4.40“人造板及饰面人造板理化性能试验方法进行检验:硫酸98%、氢氟酸48%、48%氢溴酸、氢氟酸40%、过氧化氢30%、次氯酸钠15%、碘酸钾、四氢呋喃等不低于158项检验结果无明显变化全部5级；</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2.2、物理性能：胶合强度：浸水48小时保留率≥90%；洛氏硬度﹥120M；弯曲强度: ≥140 Mpa）；顺纹抗压强度﹥175MPa；弯曲弹性模量≥14200MPa；密度≥1.53 g/cm³；静载测试：600kg重物24h测试，样品未破坏；板面握螺钉力≥3000N/mm²；表面耐磨性能耐磨转数≥1540r；剥离强度≥15kN/m；表面耐龟裂性能、表面耐香烟灼烧、表面耐干热(180℃)性能，检测结果:5级无明显变化；耐划痕性钢丝绒硬度法≤3级无可见损伤；检验方法(GB/T 17657-2022)；抗冲击恢复系数0.97；尺寸稳定性：热膨胀系数横向≤0.12%/℃，纵向≤0.08%/℃；</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2.3、耐高温性能：检验方法(GB/T 17657-2022.4.30)检测结果:表面无裂纹；</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2.4、防静电性能：表面电阻率：4,7x1012Ω；防静电性能1.1*109Ω；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2.5、环保性能：甲醛释放量：干燥器法：检验方法(GB/T 17657-2022 4.59)检测结果: ≤0.053 mg/L合格；气候箱法：检验方法参考GB 18580-2017检验结果: ≤0.025mg/m³符合E0级；</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2.6、三聚氰胺的迁移测试： 3%乙酸在60摄氏度浸泡6小时，检测结果≤2.0 mg/kg；95%乙醇在60摄氏度浸泡6小时，检测结果≤2.0 mg/kg，结论为：合格；（测试方法：GB 31604.15-2016）；</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2.7、总挥发性有机化合物(TVOC)释放率：气候箱法≤0.1 mg/m³（GB/T18883）；</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2.8、有害物质限量检测：铅、铬、镉、汞、砷、硒、锑、钡均未检出；邻苯二甲酸盐DEHP、DBP、BBP、DINP总量≤0.1%(质量比)，结果合格（GB/T  39600-2021）银离子检测结果均ND未检出；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2.9、燃烧性能：氧指数≧28%（B1级）防火等级；烟气毒性项目符合t1级；总烟气毒性ZA3级；烟密度等级（SDR）≤15（GB /T2408-2021）；</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2.10、防霉抗菌性能：检测依据和方法JIS Z 2801：2010抗菌性能，试验菌种包括但不限于大肠杆菌，肺炎克雷伯氏菌，铜绿假单细胞菌，金黄色葡萄球菌，肠沙门氏菌肠炎亚种，粪肠球菌抗菌率等不少于21种抗菌率达到99.99%；黑曲霉、绿霉菌、青霉菌、白色隐球菌黄曲霉、土曲霉、球毛壳霉、宛氏拟青霉、绳状青霉、出芽短梗霉、长枝木霉不少于17种霉菌 。防霉等级：霉菌生长为0级-不生长；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2.11、抗病毒活性试验：H1N1、H3N2病毒，抗病毒活性≥99.90%；冠状病毒COVID-19抗病毒活性值R=3，抗病毒活性减少率≥99.9%；</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3、结构：演示台设有储物柜，中间为演示台，设置电源系统、水嘴、水槽、多媒体设备（主机、显示器、中控、功放、交换机）的位置预留。</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4、桌身：整体采用≥0.9mm厚优质冷轧钢板，全部钢制件纳米陶瓷镀膜防锈处理。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5、滑道：抽屉全部采用优质三节承重式滚珠滑道开合十万次不变形。</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6、铰链：采用优质铰链，开合十万次不变形。</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7、教师演示台各项技术性能满足或优于如下要求并提供第三方检测机构出具的检测报告（具备CMA或CNAS标志）复印件：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7.1、安全性能要求：正常使用时，可接触到的边、角都应进行倒圆、倒角、砂光或以上其他合适的方式进行保护，倒圆半径应不小于0.5mm；在高于闭合点50mm的任意位置，垂直活动的部件不应自行移动。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7.2、外观性能要求：应无漏喷、锈蚀、脱色、掉色等；应光滑均匀、色泽一致，应无流挂、疙瘩、皱皮、飞漆等。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7.3、产品表面理化性能：冲击高度400mm，应无剥落、裂纹、皱纹；划道两侧3mm外，应无鼓泡、锈蚀、剥落和起皱等现象；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7.4、力学性能：水平静载荷试验、主桌面垂直静载荷试验、水平耐久性试验15000次、结构强度试验、垂直耐久性试验15000次、垂直加载稳定性试验、垂直和水平加载稳定性试验均符合要求。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7.5、晶粒度:≥5级。</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7.6、维氏硬度HV1:≥100.</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7.7、多元素含量的测定：C、Si、Mn、P、S、Cr等均合格。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7.8、试验Ka:盐雾连续喷雾200h，应无锈蚀、腐蚀斑点、起泡、开裂等现象。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7.9、产品有害物质：铅Pb、镉Cd、铬Cr、汞Hg、锑Sb、钡Ba、硒Se、砷AS等均未检出。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7.10、氨释放量：≤0.1mg/L。</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77E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7AD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538480</wp:posOffset>
                  </wp:positionH>
                  <wp:positionV relativeFrom="paragraph">
                    <wp:posOffset>-417195</wp:posOffset>
                  </wp:positionV>
                  <wp:extent cx="1308735" cy="971550"/>
                  <wp:effectExtent l="0" t="0" r="5715" b="0"/>
                  <wp:wrapNone/>
                  <wp:docPr id="74" name="图片_1"/>
                  <wp:cNvGraphicFramePr/>
                  <a:graphic xmlns:a="http://schemas.openxmlformats.org/drawingml/2006/main">
                    <a:graphicData uri="http://schemas.openxmlformats.org/drawingml/2006/picture">
                      <pic:pic xmlns:pic="http://schemas.openxmlformats.org/drawingml/2006/picture">
                        <pic:nvPicPr>
                          <pic:cNvPr id="74" name="图片_1"/>
                          <pic:cNvPicPr/>
                        </pic:nvPicPr>
                        <pic:blipFill>
                          <a:blip r:embed="rId69"/>
                          <a:stretch>
                            <a:fillRect/>
                          </a:stretch>
                        </pic:blipFill>
                        <pic:spPr>
                          <a:xfrm>
                            <a:off x="0" y="0"/>
                            <a:ext cx="1308735" cy="97155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lang w:val="en-US" w:eastAsia="zh-CN" w:bidi="ar"/>
              </w:rPr>
              <w:t>1</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C78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p>
        </w:tc>
      </w:tr>
      <w:tr w14:paraId="5D08B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B3C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20E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主控电源</w:t>
            </w:r>
          </w:p>
        </w:tc>
        <w:tc>
          <w:tcPr>
            <w:tcW w:w="9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00B8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1、教师端主控，含主机，主机采用铁制机箱，机械抽屉式。控制显示采用液晶真彩触摸屏和数据显示一体化。</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2、具备1个220V交流电源输出插座。</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3、系统具备漏电保护功能。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4、有自动关机时间设置功能，时间到时自动声音提示。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5、密码控制，本产品由教师输入正确的密码，方可启动实验电源的控制系统（教师可自定密码），对电源控制台进行操作防误操作方便教师合理安排实验。</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6、教师主控可实现对学生低压交直流电压的设置和分组控制，学生的锁定。多媒体为拓展功能。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7、通过教师控制界面可设置直流0-30V分辨率0.1V,交流1-30V分辨率1V，具备过载保护点智能侦测功能，电流高于过载保护功点则自动保护，电流低于过载保护点则自动恢复至设定值。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8、直流高压240、300V两档100ma，直流大电流9V/40A,20S自动关断。</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9、电源主控台与教师演示台一体化。</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10、主控电源技术要求满足：GB4793.1-2007《测量、控制和实验室用电气设备的安全要求 第1部分：通用要求》。提供第三方检测机构出具的检测报告（具备CMA或CNAS标志）复印件。</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F78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26C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598805</wp:posOffset>
                  </wp:positionH>
                  <wp:positionV relativeFrom="paragraph">
                    <wp:posOffset>-503555</wp:posOffset>
                  </wp:positionV>
                  <wp:extent cx="998220" cy="750570"/>
                  <wp:effectExtent l="0" t="0" r="11430" b="11430"/>
                  <wp:wrapNone/>
                  <wp:docPr id="63" name="图片_5"/>
                  <wp:cNvGraphicFramePr/>
                  <a:graphic xmlns:a="http://schemas.openxmlformats.org/drawingml/2006/main">
                    <a:graphicData uri="http://schemas.openxmlformats.org/drawingml/2006/picture">
                      <pic:pic xmlns:pic="http://schemas.openxmlformats.org/drawingml/2006/picture">
                        <pic:nvPicPr>
                          <pic:cNvPr id="63" name="图片_5"/>
                          <pic:cNvPicPr/>
                        </pic:nvPicPr>
                        <pic:blipFill>
                          <a:blip r:embed="rId70"/>
                          <a:stretch>
                            <a:fillRect/>
                          </a:stretch>
                        </pic:blipFill>
                        <pic:spPr>
                          <a:xfrm>
                            <a:off x="0" y="0"/>
                            <a:ext cx="998220" cy="75057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lang w:val="en-US" w:eastAsia="zh-CN" w:bidi="ar"/>
              </w:rPr>
              <w:t>1</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242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p>
        </w:tc>
      </w:tr>
      <w:tr w14:paraId="20CF6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jc w:val="center"/>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FC7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ADB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教师椅</w:t>
            </w:r>
          </w:p>
        </w:tc>
        <w:tc>
          <w:tcPr>
            <w:tcW w:w="9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155F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椅面、靠背选用优质网布面料，透气性强、无异味。背垫、座垫采用高密度发泡成型棉，回弹性好、不易变形，不老化，依人体坐姿特别设计，符合人体工学。艺术造型扶手，优质圆五星脚配活动脚轮，气压调节座位高度。</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8D2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176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9CB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-2540</wp:posOffset>
                  </wp:positionH>
                  <wp:positionV relativeFrom="paragraph">
                    <wp:posOffset>187960</wp:posOffset>
                  </wp:positionV>
                  <wp:extent cx="657860" cy="952500"/>
                  <wp:effectExtent l="0" t="0" r="8890" b="0"/>
                  <wp:wrapNone/>
                  <wp:docPr id="81" name="图片_2"/>
                  <wp:cNvGraphicFramePr/>
                  <a:graphic xmlns:a="http://schemas.openxmlformats.org/drawingml/2006/main">
                    <a:graphicData uri="http://schemas.openxmlformats.org/drawingml/2006/picture">
                      <pic:pic xmlns:pic="http://schemas.openxmlformats.org/drawingml/2006/picture">
                        <pic:nvPicPr>
                          <pic:cNvPr id="81" name="图片_2"/>
                          <pic:cNvPicPr/>
                        </pic:nvPicPr>
                        <pic:blipFill>
                          <a:blip r:embed="rId71"/>
                          <a:stretch>
                            <a:fillRect/>
                          </a:stretch>
                        </pic:blipFill>
                        <pic:spPr>
                          <a:xfrm>
                            <a:off x="0" y="0"/>
                            <a:ext cx="657860" cy="952500"/>
                          </a:xfrm>
                          <a:prstGeom prst="rect">
                            <a:avLst/>
                          </a:prstGeom>
                          <a:noFill/>
                          <a:ln>
                            <a:noFill/>
                          </a:ln>
                        </pic:spPr>
                      </pic:pic>
                    </a:graphicData>
                  </a:graphic>
                </wp:anchor>
              </w:drawing>
            </w:r>
          </w:p>
        </w:tc>
      </w:tr>
      <w:tr w14:paraId="2E390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EF1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726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水槽</w:t>
            </w:r>
          </w:p>
        </w:tc>
        <w:tc>
          <w:tcPr>
            <w:tcW w:w="9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B100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外径：550×450×310±2mm，内径：480×380×270±2mm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采用环保型PP材料一次性注塑成型，耐强酸碱及有机溶剂，壁厚6mm。</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959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FFE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619125</wp:posOffset>
                  </wp:positionH>
                  <wp:positionV relativeFrom="paragraph">
                    <wp:posOffset>-107950</wp:posOffset>
                  </wp:positionV>
                  <wp:extent cx="960120" cy="702945"/>
                  <wp:effectExtent l="0" t="0" r="11430" b="1905"/>
                  <wp:wrapNone/>
                  <wp:docPr id="84" name="图片_3"/>
                  <wp:cNvGraphicFramePr/>
                  <a:graphic xmlns:a="http://schemas.openxmlformats.org/drawingml/2006/main">
                    <a:graphicData uri="http://schemas.openxmlformats.org/drawingml/2006/picture">
                      <pic:pic xmlns:pic="http://schemas.openxmlformats.org/drawingml/2006/picture">
                        <pic:nvPicPr>
                          <pic:cNvPr id="84" name="图片_3"/>
                          <pic:cNvPicPr/>
                        </pic:nvPicPr>
                        <pic:blipFill>
                          <a:blip r:embed="rId72"/>
                          <a:stretch>
                            <a:fillRect/>
                          </a:stretch>
                        </pic:blipFill>
                        <pic:spPr>
                          <a:xfrm>
                            <a:off x="0" y="0"/>
                            <a:ext cx="960120" cy="702945"/>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lang w:val="en-US" w:eastAsia="zh-CN" w:bidi="ar"/>
              </w:rPr>
              <w:t>1</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79B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p>
        </w:tc>
      </w:tr>
      <w:tr w14:paraId="2CDDD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jc w:val="center"/>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48D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B95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水嘴</w:t>
            </w:r>
          </w:p>
        </w:tc>
        <w:tc>
          <w:tcPr>
            <w:tcW w:w="9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82B4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采用实验室专用三联水嘴，陶瓷阀芯90°旋转，铜质表面烤漆处理，增强耐酸碱防腐蚀以及防锈性能，特制鹅颈管可360度旋转。</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31F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360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18F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157480</wp:posOffset>
                  </wp:positionH>
                  <wp:positionV relativeFrom="paragraph">
                    <wp:posOffset>185420</wp:posOffset>
                  </wp:positionV>
                  <wp:extent cx="457200" cy="874395"/>
                  <wp:effectExtent l="0" t="0" r="0" b="1905"/>
                  <wp:wrapNone/>
                  <wp:docPr id="62" name="图片_4"/>
                  <wp:cNvGraphicFramePr/>
                  <a:graphic xmlns:a="http://schemas.openxmlformats.org/drawingml/2006/main">
                    <a:graphicData uri="http://schemas.openxmlformats.org/drawingml/2006/picture">
                      <pic:pic xmlns:pic="http://schemas.openxmlformats.org/drawingml/2006/picture">
                        <pic:nvPicPr>
                          <pic:cNvPr id="62" name="图片_4"/>
                          <pic:cNvPicPr/>
                        </pic:nvPicPr>
                        <pic:blipFill>
                          <a:blip r:embed="rId73"/>
                          <a:stretch>
                            <a:fillRect/>
                          </a:stretch>
                        </pic:blipFill>
                        <pic:spPr>
                          <a:xfrm>
                            <a:off x="0" y="0"/>
                            <a:ext cx="457200" cy="874395"/>
                          </a:xfrm>
                          <a:prstGeom prst="rect">
                            <a:avLst/>
                          </a:prstGeom>
                          <a:noFill/>
                          <a:ln>
                            <a:noFill/>
                          </a:ln>
                        </pic:spPr>
                      </pic:pic>
                    </a:graphicData>
                  </a:graphic>
                </wp:anchor>
              </w:drawing>
            </w:r>
          </w:p>
        </w:tc>
      </w:tr>
      <w:tr w14:paraId="4AF69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jc w:val="center"/>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563FA">
            <w:pPr>
              <w:keepNext w:val="0"/>
              <w:keepLines w:val="0"/>
              <w:suppressLineNumbers w:val="0"/>
              <w:spacing w:before="0" w:beforeAutospacing="0" w:after="0" w:afterAutospacing="0"/>
              <w:ind w:left="0" w:right="0"/>
              <w:rPr>
                <w:rFonts w:hint="eastAsia" w:ascii="宋体" w:hAnsi="宋体" w:eastAsia="宋体" w:cs="宋体"/>
                <w:b/>
                <w:bCs/>
                <w:i w:val="0"/>
                <w:iCs w:val="0"/>
                <w:color w:val="auto"/>
                <w:sz w:val="24"/>
                <w:szCs w:val="24"/>
                <w:highlight w:val="none"/>
                <w:u w:val="none"/>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72795">
            <w:pPr>
              <w:keepNext w:val="0"/>
              <w:keepLines w:val="0"/>
              <w:suppressLineNumbers w:val="0"/>
              <w:spacing w:before="0" w:beforeAutospacing="0" w:after="0" w:afterAutospacing="0"/>
              <w:ind w:left="0" w:right="0"/>
              <w:rPr>
                <w:rFonts w:hint="eastAsia" w:ascii="宋体" w:hAnsi="宋体" w:eastAsia="宋体" w:cs="宋体"/>
                <w:b/>
                <w:bCs/>
                <w:i w:val="0"/>
                <w:iCs w:val="0"/>
                <w:color w:val="auto"/>
                <w:sz w:val="24"/>
                <w:szCs w:val="24"/>
                <w:highlight w:val="none"/>
                <w:u w:val="none"/>
              </w:rPr>
            </w:pPr>
          </w:p>
        </w:tc>
        <w:tc>
          <w:tcPr>
            <w:tcW w:w="9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9B9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学生实验操作及学习区</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A5FBC">
            <w:pPr>
              <w:keepNext w:val="0"/>
              <w:keepLines w:val="0"/>
              <w:suppressLineNumbers w:val="0"/>
              <w:spacing w:before="0" w:beforeAutospacing="0" w:after="0" w:afterAutospacing="0"/>
              <w:ind w:left="0" w:right="0"/>
              <w:rPr>
                <w:rFonts w:hint="eastAsia" w:ascii="宋体" w:hAnsi="宋体" w:eastAsia="宋体" w:cs="宋体"/>
                <w:b/>
                <w:bCs/>
                <w:i w:val="0"/>
                <w:iCs w:val="0"/>
                <w:color w:val="auto"/>
                <w:sz w:val="24"/>
                <w:szCs w:val="24"/>
                <w:highlight w:val="none"/>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04299">
            <w:pPr>
              <w:keepNext w:val="0"/>
              <w:keepLines w:val="0"/>
              <w:suppressLineNumbers w:val="0"/>
              <w:spacing w:before="0" w:beforeAutospacing="0" w:after="0" w:afterAutospacing="0"/>
              <w:ind w:left="0" w:right="0"/>
              <w:rPr>
                <w:rFonts w:hint="eastAsia" w:ascii="宋体" w:hAnsi="宋体" w:eastAsia="宋体" w:cs="宋体"/>
                <w:b/>
                <w:bCs/>
                <w:i w:val="0"/>
                <w:iCs w:val="0"/>
                <w:color w:val="auto"/>
                <w:sz w:val="24"/>
                <w:szCs w:val="24"/>
                <w:highlight w:val="none"/>
                <w:u w:val="none"/>
              </w:rPr>
            </w:pP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E0B44">
            <w:pPr>
              <w:keepNext w:val="0"/>
              <w:keepLines w:val="0"/>
              <w:suppressLineNumbers w:val="0"/>
              <w:spacing w:before="0" w:beforeAutospacing="0" w:after="0" w:afterAutospacing="0"/>
              <w:ind w:left="0" w:right="0"/>
              <w:rPr>
                <w:rFonts w:hint="eastAsia" w:ascii="宋体" w:hAnsi="宋体" w:eastAsia="宋体" w:cs="宋体"/>
                <w:b/>
                <w:bCs/>
                <w:i w:val="0"/>
                <w:iCs w:val="0"/>
                <w:color w:val="auto"/>
                <w:sz w:val="24"/>
                <w:szCs w:val="24"/>
                <w:highlight w:val="none"/>
                <w:u w:val="none"/>
              </w:rPr>
            </w:pPr>
          </w:p>
        </w:tc>
      </w:tr>
      <w:tr w14:paraId="13ECD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jc w:val="center"/>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600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E1A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学生实验桌</w:t>
            </w:r>
          </w:p>
        </w:tc>
        <w:tc>
          <w:tcPr>
            <w:tcW w:w="9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F180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1、规格：1200×600×780mm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2、台面：采用≥12.7mm厚国产理化板，防火阻燃、防腐蚀、耐酸碱、防静电、耐磨、抗污染；台面前端两角倒圆角R20mm，后端两角倒圆角R1mm，防护学生碰撞受伤，四周上下倒边R3mm，圆润下滑，外观造型时尚。</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3、结构：台面为双面膜实芯理化板一体化成型，桌身由桌腿、立柱、前横梁、中横梁、后横梁及加强横支撑件组成。学生位设书包斗。</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桌腿：主体材料均采用优质铝镁合金型材和环保型ABS工程塑料连接组合框架，材料表面经高压静电喷涂环氧树脂防护层，耐酸碱，耐腐蚀处理。上腿规格：长580mm×宽50mm×高140mm。下腿规格：长510mm×宽50mm×高140mm。立柱：采用50mm×100mm，壁厚1.5mm。前横梁：采用43mm×40mm，壁厚1.2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中横梁：采用32mm×27mm，壁厚1.2mm。后横梁：采用50mm×95mm，壁厚1.2mm，造型截面为后端连续相切弧形，顶端高出台面35mm，可防止台面物体向后滑落、实验用水溢出。加强横支撑件：采用10mm×100mm。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5、书包斗：壁厚4.6mm，采用环保型ABS工程塑料一次性注塑成型。</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5.1、符合GB 28481-2012 塑料家具中有害物质限量要求；提供第三方检测机构出具的检测报告（具备CMA或CNAS标志）复印件。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5.2、邻苯二甲酸酯：DBP、BBP、DEHP、DNOP均≤0.001%；DINP、DIDP均≤0.005%；提供第三方检测机构出具的检测报告（具备CMA或CNAS标志）复印件。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5.3、重金属：可溶性镉、可溶性铬、可溶性铅均≤5mg/kg、可溶性汞≤2mg/kg；提供第三方检测机构出具的检测报告（具备CMA或CNAS标志）复印件。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5.4、多环芳烃：苯并[a]芘、16种多环芳烃（PAH）总量均未检出。提供第三方检测机构出具的检测报告（具备CMA或CNAS标志）复印件。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6、可调脚：高强度可调脚，采用10mm螺纹钢，下部采用环保型PP加耐磨纤维质塑料。</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7、学生实验桌各项技术性能满足或优于如下要求并提供第三方检测机构出具的检测报告（具备CMA或CNAS标志）复印件：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7.1、无晶间腐蚀。</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7.2、孔隙率（铁试剂法）：≤3个孔/cm²</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7.3、多元素含量的测定：Si、Fe、Cu、Mn、Mg等均合格。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7.4、力学性能：抗拉强度Rm≥200N/mm2；规定非比例延伸强度RP0.2≥160N/mm2；断后伸长率A50mm≥5%；韦氏硬度≥10。</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7.5、产品有害物质：铅Pb、镉Cd、铬Cr、汞Hg、锑Sb、钡Ba、硒Se、砷AS等均未检出。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7.6、磁粉检测：未发现超标缺陷，评定为1级。</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170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B08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8335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5080</wp:posOffset>
                  </wp:positionH>
                  <wp:positionV relativeFrom="paragraph">
                    <wp:posOffset>51435</wp:posOffset>
                  </wp:positionV>
                  <wp:extent cx="1195705" cy="931545"/>
                  <wp:effectExtent l="0" t="0" r="4445" b="1905"/>
                  <wp:wrapNone/>
                  <wp:docPr id="71" name="图片_8"/>
                  <wp:cNvGraphicFramePr/>
                  <a:graphic xmlns:a="http://schemas.openxmlformats.org/drawingml/2006/main">
                    <a:graphicData uri="http://schemas.openxmlformats.org/drawingml/2006/picture">
                      <pic:pic xmlns:pic="http://schemas.openxmlformats.org/drawingml/2006/picture">
                        <pic:nvPicPr>
                          <pic:cNvPr id="71" name="图片_8"/>
                          <pic:cNvPicPr/>
                        </pic:nvPicPr>
                        <pic:blipFill>
                          <a:blip r:embed="rId74"/>
                          <a:stretch>
                            <a:fillRect/>
                          </a:stretch>
                        </pic:blipFill>
                        <pic:spPr>
                          <a:xfrm>
                            <a:off x="0" y="0"/>
                            <a:ext cx="1195705" cy="931545"/>
                          </a:xfrm>
                          <a:prstGeom prst="rect">
                            <a:avLst/>
                          </a:prstGeom>
                          <a:noFill/>
                          <a:ln>
                            <a:noFill/>
                          </a:ln>
                        </pic:spPr>
                      </pic:pic>
                    </a:graphicData>
                  </a:graphic>
                </wp:anchor>
              </w:drawing>
            </w:r>
          </w:p>
        </w:tc>
      </w:tr>
      <w:tr w14:paraId="5E0B1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jc w:val="center"/>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AAB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CF5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柜体箱</w:t>
            </w:r>
          </w:p>
        </w:tc>
        <w:tc>
          <w:tcPr>
            <w:tcW w:w="9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4429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1、规格：380×220×730±5mm，壁厚3.0mm，采用环保型ABS工程塑料一次性注塑成型。</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2、符合GB 28481-2012 塑料家具中有害物质限量要求；提供第三方检测机构出具的检测报告（具备CMA或CNAS标志）复印件。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2.1、邻苯二甲酸酯：DBP、BBP、DEHP、DNOP均≤0.001%；DINP、DIDP均≤0.005%；提供第三方检测机构出具的检测报告（具备CMA或CNAS标志）复印件。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2.2、重金属：可溶性镉、可溶性铬、可溶性铅均≤5mg/kg、可溶性汞≤2mg/kg；提供第三方检测机构出具的检测报告（具备CMA或CNAS标志）复印件。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2.3、多环芳烃：苯并[a]芘≤0.05mg/kg；16种多环芳烃（PAH）总量未检出。提供第三方检测机构出具的检测报告（具备CMA或CNAS标志）复印件。</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EFF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7B0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067F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wp:posOffset>
                  </wp:positionH>
                  <wp:positionV relativeFrom="paragraph">
                    <wp:posOffset>-408940</wp:posOffset>
                  </wp:positionV>
                  <wp:extent cx="735965" cy="746125"/>
                  <wp:effectExtent l="0" t="0" r="6985" b="15875"/>
                  <wp:wrapNone/>
                  <wp:docPr id="78" name="图片_38"/>
                  <wp:cNvGraphicFramePr/>
                  <a:graphic xmlns:a="http://schemas.openxmlformats.org/drawingml/2006/main">
                    <a:graphicData uri="http://schemas.openxmlformats.org/drawingml/2006/picture">
                      <pic:pic xmlns:pic="http://schemas.openxmlformats.org/drawingml/2006/picture">
                        <pic:nvPicPr>
                          <pic:cNvPr id="78" name="图片_38"/>
                          <pic:cNvPicPr/>
                        </pic:nvPicPr>
                        <pic:blipFill>
                          <a:blip r:embed="rId75"/>
                          <a:stretch>
                            <a:fillRect/>
                          </a:stretch>
                        </pic:blipFill>
                        <pic:spPr>
                          <a:xfrm>
                            <a:off x="0" y="0"/>
                            <a:ext cx="735965" cy="746125"/>
                          </a:xfrm>
                          <a:prstGeom prst="rect">
                            <a:avLst/>
                          </a:prstGeom>
                          <a:noFill/>
                          <a:ln>
                            <a:noFill/>
                          </a:ln>
                        </pic:spPr>
                      </pic:pic>
                    </a:graphicData>
                  </a:graphic>
                </wp:anchor>
              </w:drawing>
            </w:r>
          </w:p>
        </w:tc>
      </w:tr>
      <w:tr w14:paraId="0FC24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jc w:val="center"/>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9C6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915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学生电源</w:t>
            </w:r>
          </w:p>
        </w:tc>
        <w:tc>
          <w:tcPr>
            <w:tcW w:w="9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5333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桌斗中间位置固定学生电源盒：</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1、每个学生电源应自带一个独立变压器，既能独立操作，也能被教师控制。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2、通过教师数字化键盘控制学生电源低压交流电压值和直流电压值，分别显示交直流电压值。学生操控时伴有按键提示音。</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3、学生电源的低压交流电压分两档，即1V-18V/2A、18V-30V/1A，分辨率1V，具备自动智能侦测过载保护功能，电流高于过载保护点则自动保护、电流低于过载保护点则自动恢复至设定值。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4、学生电源的低压直流电压分两档，即1.5V-16V/2A、16V-30V/1A，分辨率为0.1V。具备自动智能侦测过载保护功能，电流高于过载保护点则自动保护、电流低于过载保护点则自动恢复至设定值。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5、学生电源被教师控制及锁定后不能自主操作。</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6、具备1个220V交流电源输出插座。可通过教师单独控制其电源的输出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7、具备过载保护提示功能。可按任意键复位。</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EA3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D92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551180</wp:posOffset>
                  </wp:positionH>
                  <wp:positionV relativeFrom="paragraph">
                    <wp:posOffset>-356235</wp:posOffset>
                  </wp:positionV>
                  <wp:extent cx="1007110" cy="720725"/>
                  <wp:effectExtent l="0" t="0" r="2540" b="3175"/>
                  <wp:wrapNone/>
                  <wp:docPr id="73" name="图片_20"/>
                  <wp:cNvGraphicFramePr/>
                  <a:graphic xmlns:a="http://schemas.openxmlformats.org/drawingml/2006/main">
                    <a:graphicData uri="http://schemas.openxmlformats.org/drawingml/2006/picture">
                      <pic:pic xmlns:pic="http://schemas.openxmlformats.org/drawingml/2006/picture">
                        <pic:nvPicPr>
                          <pic:cNvPr id="73" name="图片_20"/>
                          <pic:cNvPicPr/>
                        </pic:nvPicPr>
                        <pic:blipFill>
                          <a:blip r:embed="rId76"/>
                          <a:stretch>
                            <a:fillRect/>
                          </a:stretch>
                        </pic:blipFill>
                        <pic:spPr>
                          <a:xfrm>
                            <a:off x="0" y="0"/>
                            <a:ext cx="1007110" cy="720725"/>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lang w:val="en-US" w:eastAsia="zh-CN" w:bidi="ar"/>
              </w:rPr>
              <w:t>24</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73FA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p>
        </w:tc>
      </w:tr>
      <w:tr w14:paraId="0AACE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jc w:val="center"/>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1FA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4B5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学生凳</w:t>
            </w:r>
          </w:p>
        </w:tc>
        <w:tc>
          <w:tcPr>
            <w:tcW w:w="9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A8D2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1、规格：φ320×（450）500mm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2、凳面：采用环保型ABS改性塑料一次性注塑成型，表面细纹咬花，防滑不发光。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2.1、符合GB 28481-2012 塑料家具中有害物质限量要求；提供第三方检测机构出具的检测报告（具备CMA或CNAS标志）复印件。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2.2、邻苯二甲酸酯：DBP、BBP、DEHP、DNOP均≤0.001%；DINP、DIDP均≤0.005%；提供第三方检测机构出具的检测报告（具备CMA或CNAS标志）复印件。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2.3、重金属：可溶性镉、可溶性铬、可溶性铅均≤5mg/kg、可溶性汞≤2mg/kg；提供第三方检测机构出具的检测报告（具备CMA或CNAS标志）复印件。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2.4、多环芳烃：苯并[a]芘、16种多环芳烃（PAH）总量均未检出；提供第三方检测机构出具的检测报告（具备CMA或CNAS标志）复印件。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3、钢架：17×34×1.5mm，椭圆形无缝钢管，全圆满焊接完成，结构牢固，经高温粉体烤漆处理，长时间使用也不会产生表面烤漆剥落现象。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4、脚垫：采用PP加耐磨纤维质塑料，实心倒勾式一体射出成型。</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5、升降：高度可在450mm-500mm范围内自由调整。</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4AB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645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48</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3BC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79375</wp:posOffset>
                  </wp:positionH>
                  <wp:positionV relativeFrom="paragraph">
                    <wp:posOffset>53975</wp:posOffset>
                  </wp:positionV>
                  <wp:extent cx="542290" cy="738505"/>
                  <wp:effectExtent l="0" t="0" r="10160" b="4445"/>
                  <wp:wrapNone/>
                  <wp:docPr id="75" name="图片_6"/>
                  <wp:cNvGraphicFramePr/>
                  <a:graphic xmlns:a="http://schemas.openxmlformats.org/drawingml/2006/main">
                    <a:graphicData uri="http://schemas.openxmlformats.org/drawingml/2006/picture">
                      <pic:pic xmlns:pic="http://schemas.openxmlformats.org/drawingml/2006/picture">
                        <pic:nvPicPr>
                          <pic:cNvPr id="75" name="图片_6"/>
                          <pic:cNvPicPr/>
                        </pic:nvPicPr>
                        <pic:blipFill>
                          <a:blip r:embed="rId77"/>
                          <a:stretch>
                            <a:fillRect/>
                          </a:stretch>
                        </pic:blipFill>
                        <pic:spPr>
                          <a:xfrm>
                            <a:off x="0" y="0"/>
                            <a:ext cx="542290" cy="738505"/>
                          </a:xfrm>
                          <a:prstGeom prst="rect">
                            <a:avLst/>
                          </a:prstGeom>
                          <a:noFill/>
                          <a:ln>
                            <a:noFill/>
                          </a:ln>
                        </pic:spPr>
                      </pic:pic>
                    </a:graphicData>
                  </a:graphic>
                </wp:anchor>
              </w:drawing>
            </w:r>
          </w:p>
        </w:tc>
      </w:tr>
      <w:tr w14:paraId="79C56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jc w:val="center"/>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DC9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F8C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防静电地板</w:t>
            </w:r>
          </w:p>
        </w:tc>
        <w:tc>
          <w:tcPr>
            <w:tcW w:w="9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F152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4公分标准陶瓷象牙白面层全钢防静电地板。防静电地板，≥600×600×35，陶瓷面，极限集中负荷≥1000kg地</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板安装使用铜皮接地，钢支架，墙边采用不锈钢包边</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处理，部分钢支架可定制。</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AB6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平方米</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F18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120</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B7BC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B917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5B392">
            <w:pPr>
              <w:keepNext w:val="0"/>
              <w:keepLines w:val="0"/>
              <w:suppressLineNumbers w:val="0"/>
              <w:spacing w:before="0" w:beforeAutospacing="0" w:after="0" w:afterAutospacing="0"/>
              <w:ind w:left="0" w:right="0"/>
              <w:rPr>
                <w:rFonts w:hint="eastAsia" w:ascii="宋体" w:hAnsi="宋体" w:eastAsia="宋体" w:cs="宋体"/>
                <w:b/>
                <w:bCs/>
                <w:i w:val="0"/>
                <w:iCs w:val="0"/>
                <w:color w:val="auto"/>
                <w:sz w:val="24"/>
                <w:szCs w:val="24"/>
                <w:highlight w:val="none"/>
                <w:u w:val="none"/>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E6B2D">
            <w:pPr>
              <w:keepNext w:val="0"/>
              <w:keepLines w:val="0"/>
              <w:suppressLineNumbers w:val="0"/>
              <w:spacing w:before="0" w:beforeAutospacing="0" w:after="0" w:afterAutospacing="0"/>
              <w:ind w:left="0" w:right="0"/>
              <w:rPr>
                <w:rFonts w:hint="eastAsia" w:ascii="宋体" w:hAnsi="宋体" w:eastAsia="宋体" w:cs="宋体"/>
                <w:b/>
                <w:bCs/>
                <w:i w:val="0"/>
                <w:iCs w:val="0"/>
                <w:color w:val="auto"/>
                <w:sz w:val="24"/>
                <w:szCs w:val="24"/>
                <w:highlight w:val="none"/>
                <w:u w:val="none"/>
              </w:rPr>
            </w:pPr>
          </w:p>
        </w:tc>
        <w:tc>
          <w:tcPr>
            <w:tcW w:w="9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93C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水电部分</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BC8BF">
            <w:pPr>
              <w:keepNext w:val="0"/>
              <w:keepLines w:val="0"/>
              <w:suppressLineNumbers w:val="0"/>
              <w:spacing w:before="0" w:beforeAutospacing="0" w:after="0" w:afterAutospacing="0"/>
              <w:ind w:left="0" w:right="0"/>
              <w:rPr>
                <w:rFonts w:hint="eastAsia" w:ascii="宋体" w:hAnsi="宋体" w:eastAsia="宋体" w:cs="宋体"/>
                <w:b/>
                <w:bCs/>
                <w:i w:val="0"/>
                <w:iCs w:val="0"/>
                <w:color w:val="auto"/>
                <w:sz w:val="24"/>
                <w:szCs w:val="24"/>
                <w:highlight w:val="none"/>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62E31">
            <w:pPr>
              <w:keepNext w:val="0"/>
              <w:keepLines w:val="0"/>
              <w:suppressLineNumbers w:val="0"/>
              <w:spacing w:before="0" w:beforeAutospacing="0" w:after="0" w:afterAutospacing="0"/>
              <w:ind w:left="0" w:right="0"/>
              <w:rPr>
                <w:rFonts w:hint="eastAsia" w:ascii="宋体" w:hAnsi="宋体" w:eastAsia="宋体" w:cs="宋体"/>
                <w:b/>
                <w:bCs/>
                <w:i w:val="0"/>
                <w:iCs w:val="0"/>
                <w:color w:val="auto"/>
                <w:sz w:val="24"/>
                <w:szCs w:val="24"/>
                <w:highlight w:val="none"/>
                <w:u w:val="none"/>
              </w:rPr>
            </w:pP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6E7A7">
            <w:pPr>
              <w:keepNext w:val="0"/>
              <w:keepLines w:val="0"/>
              <w:suppressLineNumbers w:val="0"/>
              <w:spacing w:before="0" w:beforeAutospacing="0" w:after="0" w:afterAutospacing="0"/>
              <w:ind w:left="0" w:right="0"/>
              <w:rPr>
                <w:rFonts w:hint="eastAsia" w:ascii="宋体" w:hAnsi="宋体" w:eastAsia="宋体" w:cs="宋体"/>
                <w:b/>
                <w:bCs/>
                <w:i w:val="0"/>
                <w:iCs w:val="0"/>
                <w:color w:val="auto"/>
                <w:sz w:val="24"/>
                <w:szCs w:val="24"/>
                <w:highlight w:val="none"/>
                <w:u w:val="none"/>
              </w:rPr>
            </w:pPr>
          </w:p>
        </w:tc>
      </w:tr>
      <w:tr w14:paraId="0E535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jc w:val="center"/>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7FB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E42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布线系统</w:t>
            </w:r>
          </w:p>
        </w:tc>
        <w:tc>
          <w:tcPr>
            <w:tcW w:w="9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2B5F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地面对接，由教师主控电源控制学生电源，安装调试（含辅料及耗材）。符合安全用电要求。</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9B8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4DB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D66D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818C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0" w:hRule="atLeast"/>
          <w:jc w:val="center"/>
        </w:trPr>
        <w:tc>
          <w:tcPr>
            <w:tcW w:w="1501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22ED6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1306195</wp:posOffset>
                  </wp:positionH>
                  <wp:positionV relativeFrom="paragraph">
                    <wp:posOffset>68580</wp:posOffset>
                  </wp:positionV>
                  <wp:extent cx="6644640" cy="4285615"/>
                  <wp:effectExtent l="0" t="0" r="3810" b="635"/>
                  <wp:wrapNone/>
                  <wp:docPr id="66" name="图片_10"/>
                  <wp:cNvGraphicFramePr/>
                  <a:graphic xmlns:a="http://schemas.openxmlformats.org/drawingml/2006/main">
                    <a:graphicData uri="http://schemas.openxmlformats.org/drawingml/2006/picture">
                      <pic:pic xmlns:pic="http://schemas.openxmlformats.org/drawingml/2006/picture">
                        <pic:nvPicPr>
                          <pic:cNvPr id="66" name="图片_10"/>
                          <pic:cNvPicPr/>
                        </pic:nvPicPr>
                        <pic:blipFill>
                          <a:blip r:embed="rId78"/>
                          <a:stretch>
                            <a:fillRect/>
                          </a:stretch>
                        </pic:blipFill>
                        <pic:spPr>
                          <a:xfrm>
                            <a:off x="0" y="0"/>
                            <a:ext cx="6644640" cy="4285615"/>
                          </a:xfrm>
                          <a:prstGeom prst="rect">
                            <a:avLst/>
                          </a:prstGeom>
                          <a:noFill/>
                          <a:ln>
                            <a:noFill/>
                          </a:ln>
                        </pic:spPr>
                      </pic:pic>
                    </a:graphicData>
                  </a:graphic>
                </wp:anchor>
              </w:drawing>
            </w:r>
          </w:p>
        </w:tc>
      </w:tr>
    </w:tbl>
    <w:p w14:paraId="733B78C0">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sectPr>
          <w:headerReference r:id="rId12" w:type="first"/>
          <w:headerReference r:id="rId11" w:type="default"/>
          <w:pgSz w:w="16838" w:h="11906" w:orient="landscape"/>
          <w:pgMar w:top="1417" w:right="1417" w:bottom="1417" w:left="1417" w:header="851" w:footer="850" w:gutter="0"/>
          <w:pgBorders>
            <w:top w:val="none" w:sz="0" w:space="0"/>
            <w:left w:val="none" w:sz="0" w:space="0"/>
            <w:bottom w:val="none" w:sz="0" w:space="0"/>
            <w:right w:val="none" w:sz="0" w:space="0"/>
          </w:pgBorders>
          <w:pgNumType w:fmt="decimal"/>
          <w:cols w:space="0" w:num="1"/>
          <w:titlePg/>
          <w:rtlGutter w:val="0"/>
          <w:docGrid w:type="linesAndChars" w:linePitch="312" w:charSpace="530"/>
        </w:sectPr>
      </w:pPr>
    </w:p>
    <w:tbl>
      <w:tblPr>
        <w:tblStyle w:val="27"/>
        <w:tblW w:w="1501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79"/>
        <w:gridCol w:w="1101"/>
        <w:gridCol w:w="9515"/>
        <w:gridCol w:w="898"/>
        <w:gridCol w:w="1114"/>
        <w:gridCol w:w="1307"/>
      </w:tblGrid>
      <w:tr w14:paraId="12B64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1" w:hRule="atLeast"/>
          <w:jc w:val="center"/>
        </w:trPr>
        <w:tc>
          <w:tcPr>
            <w:tcW w:w="15014" w:type="dxa"/>
            <w:gridSpan w:val="6"/>
            <w:tcBorders>
              <w:top w:val="single" w:color="000000" w:sz="4" w:space="0"/>
              <w:left w:val="single" w:color="000000" w:sz="4" w:space="0"/>
              <w:bottom w:val="single" w:color="000000" w:sz="4" w:space="0"/>
              <w:right w:val="single" w:color="000000" w:sz="4" w:space="0"/>
            </w:tcBorders>
            <w:shd w:val="clear" w:color="auto" w:fill="FFC000"/>
            <w:vAlign w:val="center"/>
          </w:tcPr>
          <w:p w14:paraId="574C0A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生物实验室清单（48座/间）</w:t>
            </w:r>
          </w:p>
        </w:tc>
      </w:tr>
      <w:tr w14:paraId="7E8E1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jc w:val="center"/>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57A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6D0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货物名称</w:t>
            </w:r>
          </w:p>
        </w:tc>
        <w:tc>
          <w:tcPr>
            <w:tcW w:w="9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8FF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技术参数</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462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单位</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282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四中数量</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FE5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参考图片/说明</w:t>
            </w:r>
          </w:p>
        </w:tc>
      </w:tr>
      <w:tr w14:paraId="52BA6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jc w:val="center"/>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D8946">
            <w:pPr>
              <w:keepNext w:val="0"/>
              <w:keepLines w:val="0"/>
              <w:suppressLineNumbers w:val="0"/>
              <w:spacing w:before="0" w:beforeAutospacing="0" w:after="0" w:afterAutospacing="0"/>
              <w:ind w:left="0" w:right="0"/>
              <w:rPr>
                <w:rFonts w:hint="eastAsia" w:ascii="宋体" w:hAnsi="宋体" w:eastAsia="宋体" w:cs="宋体"/>
                <w:b/>
                <w:bCs/>
                <w:i w:val="0"/>
                <w:iCs w:val="0"/>
                <w:color w:val="auto"/>
                <w:sz w:val="24"/>
                <w:szCs w:val="24"/>
                <w:highlight w:val="none"/>
                <w:u w:val="none"/>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69850">
            <w:pPr>
              <w:keepNext w:val="0"/>
              <w:keepLines w:val="0"/>
              <w:suppressLineNumbers w:val="0"/>
              <w:spacing w:before="0" w:beforeAutospacing="0" w:after="0" w:afterAutospacing="0"/>
              <w:ind w:left="0" w:right="0"/>
              <w:rPr>
                <w:rFonts w:hint="eastAsia" w:ascii="宋体" w:hAnsi="宋体" w:eastAsia="宋体" w:cs="宋体"/>
                <w:b/>
                <w:bCs/>
                <w:i w:val="0"/>
                <w:iCs w:val="0"/>
                <w:color w:val="auto"/>
                <w:sz w:val="24"/>
                <w:szCs w:val="24"/>
                <w:highlight w:val="none"/>
                <w:u w:val="none"/>
              </w:rPr>
            </w:pPr>
          </w:p>
        </w:tc>
        <w:tc>
          <w:tcPr>
            <w:tcW w:w="9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F44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教师演示控制</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EEE82">
            <w:pPr>
              <w:keepNext w:val="0"/>
              <w:keepLines w:val="0"/>
              <w:suppressLineNumbers w:val="0"/>
              <w:spacing w:before="0" w:beforeAutospacing="0" w:after="0" w:afterAutospacing="0"/>
              <w:ind w:left="0" w:right="0"/>
              <w:rPr>
                <w:rFonts w:hint="eastAsia" w:ascii="宋体" w:hAnsi="宋体" w:eastAsia="宋体" w:cs="宋体"/>
                <w:b/>
                <w:bCs/>
                <w:i w:val="0"/>
                <w:iCs w:val="0"/>
                <w:color w:val="auto"/>
                <w:sz w:val="24"/>
                <w:szCs w:val="24"/>
                <w:highlight w:val="none"/>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46ED3">
            <w:pPr>
              <w:keepNext w:val="0"/>
              <w:keepLines w:val="0"/>
              <w:suppressLineNumbers w:val="0"/>
              <w:spacing w:before="0" w:beforeAutospacing="0" w:after="0" w:afterAutospacing="0"/>
              <w:ind w:left="0" w:right="0"/>
              <w:rPr>
                <w:rFonts w:hint="eastAsia" w:ascii="宋体" w:hAnsi="宋体" w:eastAsia="宋体" w:cs="宋体"/>
                <w:b/>
                <w:bCs/>
                <w:i w:val="0"/>
                <w:iCs w:val="0"/>
                <w:color w:val="auto"/>
                <w:sz w:val="24"/>
                <w:szCs w:val="24"/>
                <w:highlight w:val="none"/>
                <w:u w:val="none"/>
              </w:rPr>
            </w:pP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51CBE">
            <w:pPr>
              <w:keepNext w:val="0"/>
              <w:keepLines w:val="0"/>
              <w:suppressLineNumbers w:val="0"/>
              <w:spacing w:before="0" w:beforeAutospacing="0" w:after="0" w:afterAutospacing="0"/>
              <w:ind w:left="0" w:right="0"/>
              <w:rPr>
                <w:rFonts w:hint="eastAsia" w:ascii="宋体" w:hAnsi="宋体" w:eastAsia="宋体" w:cs="宋体"/>
                <w:b/>
                <w:bCs/>
                <w:i w:val="0"/>
                <w:iCs w:val="0"/>
                <w:color w:val="auto"/>
                <w:sz w:val="24"/>
                <w:szCs w:val="24"/>
                <w:highlight w:val="none"/>
                <w:u w:val="none"/>
              </w:rPr>
            </w:pPr>
          </w:p>
        </w:tc>
      </w:tr>
      <w:tr w14:paraId="3E887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jc w:val="center"/>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30E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C14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教师演示台</w:t>
            </w:r>
          </w:p>
        </w:tc>
        <w:tc>
          <w:tcPr>
            <w:tcW w:w="9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431F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规格：2800×700×850mm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台面：采用≥12.7mm厚实芯理化板，边沿加厚至≧25.4mm，表面光滑、平整，整体美观大方。耐酸碱、耐高温、耐腐蚀、不吸水、防火、抗老化、无毒、不褪色、材质坚硬，确保柜身台面不受潮，牢固可靠。</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结构：演示台设有储物柜，中间为演示台，设置电源系统、水嘴、水槽、洗眼器、多媒体设备（主机、显示器、中控、功放、交换机）的位置预留。</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桌身：整体采用≥0.9mm厚优质冷轧钢板，全部钢制件纳米陶瓷镀膜防锈处理。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滑道：抽屉全部采用优质三节承重式滚珠滑道开合十万次不变形。</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铰链：采用优质铰链，开合十万次不变形。</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7A1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A61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564515</wp:posOffset>
                  </wp:positionH>
                  <wp:positionV relativeFrom="paragraph">
                    <wp:posOffset>-446405</wp:posOffset>
                  </wp:positionV>
                  <wp:extent cx="897890" cy="749300"/>
                  <wp:effectExtent l="0" t="0" r="16510" b="12700"/>
                  <wp:wrapNone/>
                  <wp:docPr id="80" name="图片_20_SpCnt_1"/>
                  <wp:cNvGraphicFramePr/>
                  <a:graphic xmlns:a="http://schemas.openxmlformats.org/drawingml/2006/main">
                    <a:graphicData uri="http://schemas.openxmlformats.org/drawingml/2006/picture">
                      <pic:pic xmlns:pic="http://schemas.openxmlformats.org/drawingml/2006/picture">
                        <pic:nvPicPr>
                          <pic:cNvPr id="80" name="图片_20_SpCnt_1"/>
                          <pic:cNvPicPr/>
                        </pic:nvPicPr>
                        <pic:blipFill>
                          <a:blip r:embed="rId79"/>
                          <a:stretch>
                            <a:fillRect/>
                          </a:stretch>
                        </pic:blipFill>
                        <pic:spPr>
                          <a:xfrm>
                            <a:off x="0" y="0"/>
                            <a:ext cx="897890" cy="74930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lang w:val="en-US" w:eastAsia="zh-CN" w:bidi="ar"/>
              </w:rPr>
              <w:t>1</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3D1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p>
        </w:tc>
      </w:tr>
      <w:tr w14:paraId="7AB37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jc w:val="center"/>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27A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58A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主控电源</w:t>
            </w:r>
          </w:p>
        </w:tc>
        <w:tc>
          <w:tcPr>
            <w:tcW w:w="9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186E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1、教师端主控，含主机，主机采用铁制机箱，机械抽屉式。控制显示采用液晶真彩触摸屏和数据显示一体化。</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2、具备1个220V交流电源输出插座。</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3、系统具备漏电保护功能。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密码控制，本产品由教师输入正确的密码，方可启动实验电源的控制系统（教师可自定密码），对电源控制台进行操作防误操作方便教师合理安排实验。密码功能用户可根据需要自行设定，出产时默认无密码状态。</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5、教师主控可实现对学生低压交直流电压的设置和分组控制，学生的锁定。</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6、通过教师控制界面可设置直流0-30V分辨率0.1V,交流1-30V分辨率1V，具备过载保护点智能侦测功能，电流高于过载保护功点则自动保护，电流低于过载保护点则自动恢复至设定值。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7、直流高压240、300V两档100ma，直流大电流9V/40A,20S自动关断为选配功能。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8、电源主控台与教师演示台一体化。</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9、主控电源技术要求满足：GB4793.1-2007《测量、控制和实验室用电气设备的安全要求 第1部分：通用要求》。提供第三方检测机构出具的检测报告（具备CMA或CNAS标志）复印件。</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901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7B0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575310</wp:posOffset>
                  </wp:positionH>
                  <wp:positionV relativeFrom="paragraph">
                    <wp:posOffset>-222885</wp:posOffset>
                  </wp:positionV>
                  <wp:extent cx="899160" cy="628650"/>
                  <wp:effectExtent l="0" t="0" r="15240" b="0"/>
                  <wp:wrapNone/>
                  <wp:docPr id="76" name="图片_19"/>
                  <wp:cNvGraphicFramePr/>
                  <a:graphic xmlns:a="http://schemas.openxmlformats.org/drawingml/2006/main">
                    <a:graphicData uri="http://schemas.openxmlformats.org/drawingml/2006/picture">
                      <pic:pic xmlns:pic="http://schemas.openxmlformats.org/drawingml/2006/picture">
                        <pic:nvPicPr>
                          <pic:cNvPr id="76" name="图片_19"/>
                          <pic:cNvPicPr/>
                        </pic:nvPicPr>
                        <pic:blipFill>
                          <a:blip r:embed="rId80"/>
                          <a:stretch>
                            <a:fillRect/>
                          </a:stretch>
                        </pic:blipFill>
                        <pic:spPr>
                          <a:xfrm>
                            <a:off x="0" y="0"/>
                            <a:ext cx="899160" cy="62865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lang w:val="en-US" w:eastAsia="zh-CN" w:bidi="ar"/>
              </w:rPr>
              <w:t>1</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E7A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p>
        </w:tc>
      </w:tr>
      <w:tr w14:paraId="22683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883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8A9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教师椅</w:t>
            </w:r>
          </w:p>
        </w:tc>
        <w:tc>
          <w:tcPr>
            <w:tcW w:w="9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5ED6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椅面、靠背选用优质网布面料，透气性强、无异味。背垫、座垫采用高密度发泡成型棉，回弹性好、不易变形，不老化，依人体坐姿特别设计，符合人体工学。艺术造型扶手，优质圆五星脚配活动脚轮，气压调节座位高度。</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6D3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FD4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C5C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110490</wp:posOffset>
                  </wp:positionH>
                  <wp:positionV relativeFrom="paragraph">
                    <wp:posOffset>55245</wp:posOffset>
                  </wp:positionV>
                  <wp:extent cx="570230" cy="800735"/>
                  <wp:effectExtent l="0" t="0" r="1270" b="18415"/>
                  <wp:wrapNone/>
                  <wp:docPr id="77" name="图片_14"/>
                  <wp:cNvGraphicFramePr/>
                  <a:graphic xmlns:a="http://schemas.openxmlformats.org/drawingml/2006/main">
                    <a:graphicData uri="http://schemas.openxmlformats.org/drawingml/2006/picture">
                      <pic:pic xmlns:pic="http://schemas.openxmlformats.org/drawingml/2006/picture">
                        <pic:nvPicPr>
                          <pic:cNvPr id="77" name="图片_14"/>
                          <pic:cNvPicPr/>
                        </pic:nvPicPr>
                        <pic:blipFill>
                          <a:blip r:embed="rId81"/>
                          <a:stretch>
                            <a:fillRect/>
                          </a:stretch>
                        </pic:blipFill>
                        <pic:spPr>
                          <a:xfrm>
                            <a:off x="0" y="0"/>
                            <a:ext cx="570230" cy="800735"/>
                          </a:xfrm>
                          <a:prstGeom prst="rect">
                            <a:avLst/>
                          </a:prstGeom>
                          <a:noFill/>
                          <a:ln>
                            <a:noFill/>
                          </a:ln>
                        </pic:spPr>
                      </pic:pic>
                    </a:graphicData>
                  </a:graphic>
                </wp:anchor>
              </w:drawing>
            </w:r>
          </w:p>
        </w:tc>
      </w:tr>
      <w:tr w14:paraId="61722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jc w:val="center"/>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418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CEA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水槽</w:t>
            </w:r>
          </w:p>
        </w:tc>
        <w:tc>
          <w:tcPr>
            <w:tcW w:w="9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8DA9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外径：550×450×310mm，内径：480×380×290mm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采用环保型PP材料一次性注塑成型，耐强酸碱及有机溶剂，壁厚6mm。</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609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CEA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628015</wp:posOffset>
                  </wp:positionH>
                  <wp:positionV relativeFrom="paragraph">
                    <wp:posOffset>-254635</wp:posOffset>
                  </wp:positionV>
                  <wp:extent cx="970915" cy="650875"/>
                  <wp:effectExtent l="0" t="0" r="635" b="15875"/>
                  <wp:wrapNone/>
                  <wp:docPr id="79" name="图片_15"/>
                  <wp:cNvGraphicFramePr/>
                  <a:graphic xmlns:a="http://schemas.openxmlformats.org/drawingml/2006/main">
                    <a:graphicData uri="http://schemas.openxmlformats.org/drawingml/2006/picture">
                      <pic:pic xmlns:pic="http://schemas.openxmlformats.org/drawingml/2006/picture">
                        <pic:nvPicPr>
                          <pic:cNvPr id="79" name="图片_15"/>
                          <pic:cNvPicPr/>
                        </pic:nvPicPr>
                        <pic:blipFill>
                          <a:blip r:embed="rId82"/>
                          <a:stretch>
                            <a:fillRect/>
                          </a:stretch>
                        </pic:blipFill>
                        <pic:spPr>
                          <a:xfrm>
                            <a:off x="0" y="0"/>
                            <a:ext cx="970915" cy="650875"/>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lang w:val="en-US" w:eastAsia="zh-CN" w:bidi="ar"/>
              </w:rPr>
              <w:t>1</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02B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p>
        </w:tc>
      </w:tr>
      <w:tr w14:paraId="04231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5F5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4EA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水嘴</w:t>
            </w:r>
          </w:p>
        </w:tc>
        <w:tc>
          <w:tcPr>
            <w:tcW w:w="9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F34F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采用实验室专用三联水嘴，陶瓷阀芯90°旋转，铜质表面烤漆处理，增强耐酸碱防腐蚀以及防锈性能，特制鹅颈管可360度旋转。</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0CE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AF9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16A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167640</wp:posOffset>
                  </wp:positionH>
                  <wp:positionV relativeFrom="paragraph">
                    <wp:posOffset>27305</wp:posOffset>
                  </wp:positionV>
                  <wp:extent cx="353695" cy="676275"/>
                  <wp:effectExtent l="0" t="0" r="8255" b="9525"/>
                  <wp:wrapNone/>
                  <wp:docPr id="65" name="图片_18"/>
                  <wp:cNvGraphicFramePr/>
                  <a:graphic xmlns:a="http://schemas.openxmlformats.org/drawingml/2006/main">
                    <a:graphicData uri="http://schemas.openxmlformats.org/drawingml/2006/picture">
                      <pic:pic xmlns:pic="http://schemas.openxmlformats.org/drawingml/2006/picture">
                        <pic:nvPicPr>
                          <pic:cNvPr id="65" name="图片_18"/>
                          <pic:cNvPicPr/>
                        </pic:nvPicPr>
                        <pic:blipFill>
                          <a:blip r:embed="rId83"/>
                          <a:stretch>
                            <a:fillRect/>
                          </a:stretch>
                        </pic:blipFill>
                        <pic:spPr>
                          <a:xfrm>
                            <a:off x="0" y="0"/>
                            <a:ext cx="353695" cy="676275"/>
                          </a:xfrm>
                          <a:prstGeom prst="rect">
                            <a:avLst/>
                          </a:prstGeom>
                          <a:noFill/>
                          <a:ln>
                            <a:noFill/>
                          </a:ln>
                        </pic:spPr>
                      </pic:pic>
                    </a:graphicData>
                  </a:graphic>
                </wp:anchor>
              </w:drawing>
            </w:r>
          </w:p>
        </w:tc>
      </w:tr>
      <w:tr w14:paraId="2C03E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jc w:val="center"/>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42E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BC1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洗眼器</w:t>
            </w:r>
          </w:p>
        </w:tc>
        <w:tc>
          <w:tcPr>
            <w:tcW w:w="9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5693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材质：主体采用环保型PP材料一次性注塑成型。</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工作压力：0.2-0.4MPa。</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流量：洗眼器喷头：12升/分钟。</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性能：阀门可自动关闭，密封可靠。</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喷头：洗眼盆头，出水经缓压处理呈泡沫状水柱，防止冲伤眼睛，设有防尘盖，使用时可自动被水冲开。</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8BA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697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C9A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71120</wp:posOffset>
                  </wp:positionH>
                  <wp:positionV relativeFrom="paragraph">
                    <wp:posOffset>13970</wp:posOffset>
                  </wp:positionV>
                  <wp:extent cx="419100" cy="824865"/>
                  <wp:effectExtent l="0" t="0" r="0" b="13335"/>
                  <wp:wrapNone/>
                  <wp:docPr id="82" name="图片_16"/>
                  <wp:cNvGraphicFramePr/>
                  <a:graphic xmlns:a="http://schemas.openxmlformats.org/drawingml/2006/main">
                    <a:graphicData uri="http://schemas.openxmlformats.org/drawingml/2006/picture">
                      <pic:pic xmlns:pic="http://schemas.openxmlformats.org/drawingml/2006/picture">
                        <pic:nvPicPr>
                          <pic:cNvPr id="82" name="图片_16"/>
                          <pic:cNvPicPr/>
                        </pic:nvPicPr>
                        <pic:blipFill>
                          <a:blip r:embed="rId84"/>
                          <a:stretch>
                            <a:fillRect/>
                          </a:stretch>
                        </pic:blipFill>
                        <pic:spPr>
                          <a:xfrm>
                            <a:off x="0" y="0"/>
                            <a:ext cx="419100" cy="824865"/>
                          </a:xfrm>
                          <a:prstGeom prst="rect">
                            <a:avLst/>
                          </a:prstGeom>
                          <a:noFill/>
                          <a:ln>
                            <a:noFill/>
                          </a:ln>
                        </pic:spPr>
                      </pic:pic>
                    </a:graphicData>
                  </a:graphic>
                </wp:anchor>
              </w:drawing>
            </w:r>
          </w:p>
        </w:tc>
      </w:tr>
      <w:tr w14:paraId="48614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jc w:val="center"/>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754C1">
            <w:pPr>
              <w:keepNext w:val="0"/>
              <w:keepLines w:val="0"/>
              <w:suppressLineNumbers w:val="0"/>
              <w:spacing w:before="0" w:beforeAutospacing="0" w:after="0" w:afterAutospacing="0"/>
              <w:ind w:left="0" w:right="0"/>
              <w:rPr>
                <w:rFonts w:hint="eastAsia" w:ascii="宋体" w:hAnsi="宋体" w:eastAsia="宋体" w:cs="宋体"/>
                <w:b/>
                <w:bCs/>
                <w:i w:val="0"/>
                <w:iCs w:val="0"/>
                <w:color w:val="auto"/>
                <w:sz w:val="24"/>
                <w:szCs w:val="24"/>
                <w:highlight w:val="none"/>
                <w:u w:val="none"/>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82902">
            <w:pPr>
              <w:keepNext w:val="0"/>
              <w:keepLines w:val="0"/>
              <w:suppressLineNumbers w:val="0"/>
              <w:spacing w:before="0" w:beforeAutospacing="0" w:after="0" w:afterAutospacing="0"/>
              <w:ind w:left="0" w:right="0"/>
              <w:rPr>
                <w:rFonts w:hint="eastAsia" w:ascii="宋体" w:hAnsi="宋体" w:eastAsia="宋体" w:cs="宋体"/>
                <w:b/>
                <w:bCs/>
                <w:i w:val="0"/>
                <w:iCs w:val="0"/>
                <w:color w:val="auto"/>
                <w:sz w:val="24"/>
                <w:szCs w:val="24"/>
                <w:highlight w:val="none"/>
                <w:u w:val="none"/>
              </w:rPr>
            </w:pPr>
          </w:p>
        </w:tc>
        <w:tc>
          <w:tcPr>
            <w:tcW w:w="9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F93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学生实验操作及学习区</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A632B">
            <w:pPr>
              <w:keepNext w:val="0"/>
              <w:keepLines w:val="0"/>
              <w:suppressLineNumbers w:val="0"/>
              <w:spacing w:before="0" w:beforeAutospacing="0" w:after="0" w:afterAutospacing="0"/>
              <w:ind w:left="0" w:right="0"/>
              <w:rPr>
                <w:rFonts w:hint="eastAsia" w:ascii="宋体" w:hAnsi="宋体" w:eastAsia="宋体" w:cs="宋体"/>
                <w:b/>
                <w:bCs/>
                <w:i w:val="0"/>
                <w:iCs w:val="0"/>
                <w:color w:val="auto"/>
                <w:sz w:val="24"/>
                <w:szCs w:val="24"/>
                <w:highlight w:val="none"/>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B6CF9">
            <w:pPr>
              <w:keepNext w:val="0"/>
              <w:keepLines w:val="0"/>
              <w:suppressLineNumbers w:val="0"/>
              <w:spacing w:before="0" w:beforeAutospacing="0" w:after="0" w:afterAutospacing="0"/>
              <w:ind w:left="0" w:right="0"/>
              <w:rPr>
                <w:rFonts w:hint="eastAsia" w:ascii="宋体" w:hAnsi="宋体" w:eastAsia="宋体" w:cs="宋体"/>
                <w:b/>
                <w:bCs/>
                <w:i w:val="0"/>
                <w:iCs w:val="0"/>
                <w:color w:val="auto"/>
                <w:sz w:val="24"/>
                <w:szCs w:val="24"/>
                <w:highlight w:val="none"/>
                <w:u w:val="none"/>
              </w:rPr>
            </w:pP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35BF4">
            <w:pPr>
              <w:keepNext w:val="0"/>
              <w:keepLines w:val="0"/>
              <w:suppressLineNumbers w:val="0"/>
              <w:spacing w:before="0" w:beforeAutospacing="0" w:after="0" w:afterAutospacing="0"/>
              <w:ind w:left="0" w:right="0"/>
              <w:rPr>
                <w:rFonts w:hint="eastAsia" w:ascii="宋体" w:hAnsi="宋体" w:eastAsia="宋体" w:cs="宋体"/>
                <w:b/>
                <w:bCs/>
                <w:i w:val="0"/>
                <w:iCs w:val="0"/>
                <w:color w:val="auto"/>
                <w:sz w:val="24"/>
                <w:szCs w:val="24"/>
                <w:highlight w:val="none"/>
                <w:u w:val="none"/>
              </w:rPr>
            </w:pPr>
          </w:p>
        </w:tc>
      </w:tr>
      <w:tr w14:paraId="3C663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261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7D4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学生实验桌</w:t>
            </w:r>
          </w:p>
        </w:tc>
        <w:tc>
          <w:tcPr>
            <w:tcW w:w="9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0F9B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1、规格：2800×600×780mm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2、台面：采用≥12.7mm厚国产理化板，防火阻燃、防腐蚀、耐酸碱、防静电、耐磨、抗污染；台面前端两角倒圆角R20mm，后端两角倒圆角R1mm，防护学生碰撞受伤，四周上下倒边R3mm，圆润下滑，外观造型时尚。</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3、结构：台面为双面膜实芯理化板一体化成型，桌身由桌腿、立柱、前横梁、中横梁、后横梁及加强横支撑件组成。学生位设书包斗。</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桌腿：主体材料均采用优质铝镁合金型材和环保型ABS工程塑料连接组合框架，材料表面经高压静电喷涂环氧树脂防护层，耐酸碱，耐腐蚀处理。上腿规格：长580mm×宽50mm×高140mm。下腿规格：长510mm×宽50mm×高140mm。立柱：采用50mm×100mm，壁厚1.5mm。前横梁：采用43mm×40mm，壁厚1.2mm。中横梁：采用32mm×27mm，壁厚1.2mm。后横梁：采用105mm×95mm，壁厚1.2mm，造型截面为后端连续相切弧形，顶端高出台面35mm，可防止台面物体向后滑落、实验用水溢出。加强横支撑件：采用10mm×100mm，壁厚1.2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5、书包斗：壁厚4.6mm，采用环保型ABS工程塑料一次性注塑成型。</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5.1、符合GB 28481-2012 塑料家具中有害物质限量要求；提供第三方检测机构出具的检测报告（具备CMA或CNAS标志）复印件。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5.2、邻苯二甲酸酯：DBP、BBP、DEHP、DNOP均≤0.001%；DINP、DIDP均≤0.005%；提供第三方检测机构出具的检测报告（具备CMA或CNAS标志）复印件。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5.3、重金属：可溶性镉、可溶性铬、可溶性铅均≤5mg/kg、可溶性汞≤2mg/kg；提供第三方检测机构出具的检测报告（具备CMA或CNAS标志）复印件。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5.4、多环芳烃：苯并[a]芘、16种多环芳烃（PAH）总量均未检出。提供第三方检测机构出具的检测报告（具备CMA或CNAS标志）复印件。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6、可调脚：高强度可调脚，采用10mm螺纹钢，下部采用环保型PP加耐磨纤维质塑料。</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C05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50A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589280</wp:posOffset>
                  </wp:positionH>
                  <wp:positionV relativeFrom="paragraph">
                    <wp:posOffset>-185420</wp:posOffset>
                  </wp:positionV>
                  <wp:extent cx="1018540" cy="577215"/>
                  <wp:effectExtent l="0" t="0" r="10160" b="13335"/>
                  <wp:wrapNone/>
                  <wp:docPr id="83" name="图片_23"/>
                  <wp:cNvGraphicFramePr/>
                  <a:graphic xmlns:a="http://schemas.openxmlformats.org/drawingml/2006/main">
                    <a:graphicData uri="http://schemas.openxmlformats.org/drawingml/2006/picture">
                      <pic:pic xmlns:pic="http://schemas.openxmlformats.org/drawingml/2006/picture">
                        <pic:nvPicPr>
                          <pic:cNvPr id="83" name="图片_23"/>
                          <pic:cNvPicPr/>
                        </pic:nvPicPr>
                        <pic:blipFill>
                          <a:blip r:embed="rId85"/>
                          <a:stretch>
                            <a:fillRect/>
                          </a:stretch>
                        </pic:blipFill>
                        <pic:spPr>
                          <a:xfrm>
                            <a:off x="0" y="0"/>
                            <a:ext cx="1018540" cy="577215"/>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lang w:val="en-US" w:eastAsia="zh-CN" w:bidi="ar"/>
              </w:rPr>
              <w:t>12</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ABC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p>
        </w:tc>
      </w:tr>
      <w:tr w14:paraId="398FC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jc w:val="center"/>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B19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7CB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柜体箱</w:t>
            </w:r>
          </w:p>
        </w:tc>
        <w:tc>
          <w:tcPr>
            <w:tcW w:w="9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97C3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1、规格：380×220×730±5mm，壁厚3.0mm，采用环保型ABS工程塑料一次性注塑成型。</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2、符合GB 28481-2012 塑料家具中有害物质限量要求；提供第三方检测机构出具的检测报告（具备CMA或CNAS标志）复印件。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2.1、邻苯二甲酸酯：DBP、BBP、DEHP、DNOP均≤0.001%；DINP、DIDP均≤0.005%；提供第三方检测机构出具的检测报告（具备CMA或CNAS标志）复印件。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2.2、重金属：可溶性镉、可溶性铬、可溶性铅均≤5mg/kg、可溶性汞≤2mg/kg；提供第三方检测机构出具的检测报告（具备CMA或CNAS标志）复印件。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2.3、多环芳烃：苯并[a]芘≤0.05mg/kg；16种多环芳烃（PAH）总量未检出。提供第三方检测机构出具的检测报告（具备CMA或CNAS标志）复印件。</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A60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891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B14A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89535</wp:posOffset>
                  </wp:positionH>
                  <wp:positionV relativeFrom="paragraph">
                    <wp:posOffset>-90170</wp:posOffset>
                  </wp:positionV>
                  <wp:extent cx="601980" cy="744220"/>
                  <wp:effectExtent l="0" t="0" r="7620" b="17780"/>
                  <wp:wrapNone/>
                  <wp:docPr id="67" name="图片_38_SpCnt_1"/>
                  <wp:cNvGraphicFramePr/>
                  <a:graphic xmlns:a="http://schemas.openxmlformats.org/drawingml/2006/main">
                    <a:graphicData uri="http://schemas.openxmlformats.org/drawingml/2006/picture">
                      <pic:pic xmlns:pic="http://schemas.openxmlformats.org/drawingml/2006/picture">
                        <pic:nvPicPr>
                          <pic:cNvPr id="67" name="图片_38_SpCnt_1"/>
                          <pic:cNvPicPr/>
                        </pic:nvPicPr>
                        <pic:blipFill>
                          <a:blip r:embed="rId86"/>
                          <a:stretch>
                            <a:fillRect/>
                          </a:stretch>
                        </pic:blipFill>
                        <pic:spPr>
                          <a:xfrm>
                            <a:off x="0" y="0"/>
                            <a:ext cx="601980" cy="744220"/>
                          </a:xfrm>
                          <a:prstGeom prst="rect">
                            <a:avLst/>
                          </a:prstGeom>
                          <a:noFill/>
                          <a:ln>
                            <a:noFill/>
                          </a:ln>
                        </pic:spPr>
                      </pic:pic>
                    </a:graphicData>
                  </a:graphic>
                </wp:anchor>
              </w:drawing>
            </w:r>
          </w:p>
        </w:tc>
      </w:tr>
      <w:tr w14:paraId="64ED9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5B4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50C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学生电源</w:t>
            </w:r>
          </w:p>
        </w:tc>
        <w:tc>
          <w:tcPr>
            <w:tcW w:w="9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50C7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桌斗中间位置固定学生电源盒：</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1、采用轻触摸按键电子控制开关。</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2、标准化图案清新易懂。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2、零火供电方式，负载功率高。</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4、具备1个220V交流电源输出插座。</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5、学生电源的性能指标符合JY/T 0374-2004标准。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6、具备短路、过载保护功能。并带有交流220V输出显示。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7、学生电源技术要求满足：GB4793.1-2007《测量、控制和实验室用电气设备的安全要求 第1部分：通用要求》。提供第三方检测机构出具的检测报告（具备CMA或CNAS标志）复印件。</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674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D3F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511175</wp:posOffset>
                  </wp:positionH>
                  <wp:positionV relativeFrom="paragraph">
                    <wp:posOffset>-415290</wp:posOffset>
                  </wp:positionV>
                  <wp:extent cx="1190625" cy="746125"/>
                  <wp:effectExtent l="0" t="0" r="9525" b="15875"/>
                  <wp:wrapNone/>
                  <wp:docPr id="85" name="图片_21"/>
                  <wp:cNvGraphicFramePr/>
                  <a:graphic xmlns:a="http://schemas.openxmlformats.org/drawingml/2006/main">
                    <a:graphicData uri="http://schemas.openxmlformats.org/drawingml/2006/picture">
                      <pic:pic xmlns:pic="http://schemas.openxmlformats.org/drawingml/2006/picture">
                        <pic:nvPicPr>
                          <pic:cNvPr id="85" name="图片_21"/>
                          <pic:cNvPicPr/>
                        </pic:nvPicPr>
                        <pic:blipFill>
                          <a:blip r:embed="rId87"/>
                          <a:stretch>
                            <a:fillRect/>
                          </a:stretch>
                        </pic:blipFill>
                        <pic:spPr>
                          <a:xfrm>
                            <a:off x="0" y="0"/>
                            <a:ext cx="1190625" cy="746125"/>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lang w:val="en-US" w:eastAsia="zh-CN" w:bidi="ar"/>
              </w:rPr>
              <w:t>24</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192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p>
        </w:tc>
      </w:tr>
      <w:tr w14:paraId="2A8FA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820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E35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学生凳</w:t>
            </w:r>
          </w:p>
        </w:tc>
        <w:tc>
          <w:tcPr>
            <w:tcW w:w="9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1BAB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1、规格：φ320×（450）500mm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2、凳面：采用环保型ABS改性塑料一次性注塑成型，表面细纹咬花，防滑不发光。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2.1、符合GB 28481-2012 塑料家具中有害物质限量要求；提供第三方检测机构出具的检测报告（具备CMA或CNAS标志）复印件。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2.2、邻苯二甲酸酯：DBP、BBP、DEHP、DNOP均≤0.001%；DINP、DIDP均≤0.005%；提供第三方检测机构出具的检测报告（具备CMA或CNAS标志）复印件。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2.3、重金属：可溶性镉、可溶性铬、可溶性铅均≤5mg/kg、可溶性汞≤2mg/kg；提供第三方检测机构出具的检测报告（具备CMA或CNAS标志）复印件。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2.4、多环芳烃：苯并[a]芘、16种多环芳烃（PAH）总量均未检出；提供第三方检测机构出具的检测报告（具备CMA或CNAS标志）复印件。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3、钢架：17×34×1.5mm，椭圆形无缝钢管，全圆满焊接完成，结构牢固，经高温粉体烤漆处理，长时间使用也不会产生表面烤漆剥落现象。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4、脚垫：采用PP加耐磨纤维质塑料，实心倒勾式一体射出成型。</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5、升降：高度可在450mm-500mm范围内自由调整。</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8E6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1B6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48</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93B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122555</wp:posOffset>
                  </wp:positionH>
                  <wp:positionV relativeFrom="paragraph">
                    <wp:posOffset>101600</wp:posOffset>
                  </wp:positionV>
                  <wp:extent cx="542290" cy="738505"/>
                  <wp:effectExtent l="0" t="0" r="10160" b="4445"/>
                  <wp:wrapNone/>
                  <wp:docPr id="64" name="图片_12"/>
                  <wp:cNvGraphicFramePr/>
                  <a:graphic xmlns:a="http://schemas.openxmlformats.org/drawingml/2006/main">
                    <a:graphicData uri="http://schemas.openxmlformats.org/drawingml/2006/picture">
                      <pic:pic xmlns:pic="http://schemas.openxmlformats.org/drawingml/2006/picture">
                        <pic:nvPicPr>
                          <pic:cNvPr id="64" name="图片_12"/>
                          <pic:cNvPicPr/>
                        </pic:nvPicPr>
                        <pic:blipFill>
                          <a:blip r:embed="rId88"/>
                          <a:stretch>
                            <a:fillRect/>
                          </a:stretch>
                        </pic:blipFill>
                        <pic:spPr>
                          <a:xfrm>
                            <a:off x="0" y="0"/>
                            <a:ext cx="542290" cy="738505"/>
                          </a:xfrm>
                          <a:prstGeom prst="rect">
                            <a:avLst/>
                          </a:prstGeom>
                          <a:noFill/>
                          <a:ln>
                            <a:noFill/>
                          </a:ln>
                        </pic:spPr>
                      </pic:pic>
                    </a:graphicData>
                  </a:graphic>
                </wp:anchor>
              </w:drawing>
            </w:r>
          </w:p>
        </w:tc>
      </w:tr>
      <w:tr w14:paraId="421AB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jc w:val="center"/>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94E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518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水槽柜</w:t>
            </w:r>
          </w:p>
        </w:tc>
        <w:tc>
          <w:tcPr>
            <w:tcW w:w="9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F39D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1、规格：500×550×760mm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2、材质：整体采用环保型ABS工程塑料一次性注塑成型，表面木纹与光面项结合处理。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2.1、符合GB 28481-2012 塑料家具中有害物质限量要求。提供第三方检测机构出具的检测报告（具备CMA或CNAS标志）复印件。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2.2、邻苯二甲酸酯：DBP、BBP、DEHP、DNOP均≤0.001%；DINP、DIDP均≤0.005%；提供第三方检测机构出具的检测报告（具备CMA或CNAS标志）复印件。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2.3、重金属：可溶性镉、可溶性铬、可溶性铅均≤5mg/kg、可溶性汞≤2mg/kg；提供第三方检测机构出具的检测报告（具备CMA或CNAS标志）复印件。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2.4、多环芳烃：苯并[a]芘、16种多环芳烃（PAH）总量均未检出。提供第三方检测机构出具的检测报告（具备CMA或CNAS标志）复印件。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3、结构：榫卯连接结构并合理布局加强筋，安装时不用胶水粘结，不用任何金属螺丝，使用产品自身力量相互连接，产品不变形，不扭曲。</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4、门板：合页采用尼龙塑料铰链，高强度耐磨，防水、永不生锈。门板与侧板并安装有防盗插销，防止从外部撬开柜门。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5、锁具：前后门均带锁、内嵌式塑料扣手。</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6、水槽：外径规格440×350×360mm，内径规格380×290×255mm，水槽采用环保型PP材料一次性注塑成型，耐强酸碱、耐有机溶剂、耐高温，具有防溢出功能。</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9E0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AB5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DEC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-24130</wp:posOffset>
                  </wp:positionH>
                  <wp:positionV relativeFrom="paragraph">
                    <wp:posOffset>-500380</wp:posOffset>
                  </wp:positionV>
                  <wp:extent cx="761365" cy="840740"/>
                  <wp:effectExtent l="0" t="0" r="635" b="16510"/>
                  <wp:wrapNone/>
                  <wp:docPr id="68" name="图片_22"/>
                  <wp:cNvGraphicFramePr/>
                  <a:graphic xmlns:a="http://schemas.openxmlformats.org/drawingml/2006/main">
                    <a:graphicData uri="http://schemas.openxmlformats.org/drawingml/2006/picture">
                      <pic:pic xmlns:pic="http://schemas.openxmlformats.org/drawingml/2006/picture">
                        <pic:nvPicPr>
                          <pic:cNvPr id="68" name="图片_22"/>
                          <pic:cNvPicPr/>
                        </pic:nvPicPr>
                        <pic:blipFill>
                          <a:blip r:embed="rId89"/>
                          <a:stretch>
                            <a:fillRect/>
                          </a:stretch>
                        </pic:blipFill>
                        <pic:spPr>
                          <a:xfrm>
                            <a:off x="0" y="0"/>
                            <a:ext cx="761365" cy="840740"/>
                          </a:xfrm>
                          <a:prstGeom prst="rect">
                            <a:avLst/>
                          </a:prstGeom>
                          <a:noFill/>
                          <a:ln>
                            <a:noFill/>
                          </a:ln>
                        </pic:spPr>
                      </pic:pic>
                    </a:graphicData>
                  </a:graphic>
                </wp:anchor>
              </w:drawing>
            </w:r>
          </w:p>
        </w:tc>
      </w:tr>
      <w:tr w14:paraId="00145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jc w:val="center"/>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411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237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水嘴</w:t>
            </w:r>
          </w:p>
        </w:tc>
        <w:tc>
          <w:tcPr>
            <w:tcW w:w="9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B453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采用实验室专用三联水嘴，陶瓷阀芯90°旋转，铜质表面烤漆处理，增强耐酸碱防腐蚀以及防锈性能，特制鹅颈管可360度旋转。</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0B8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0F5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A46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153670</wp:posOffset>
                  </wp:positionH>
                  <wp:positionV relativeFrom="paragraph">
                    <wp:posOffset>57150</wp:posOffset>
                  </wp:positionV>
                  <wp:extent cx="353695" cy="676275"/>
                  <wp:effectExtent l="0" t="0" r="8255" b="9525"/>
                  <wp:wrapNone/>
                  <wp:docPr id="69" name="图片_17"/>
                  <wp:cNvGraphicFramePr/>
                  <a:graphic xmlns:a="http://schemas.openxmlformats.org/drawingml/2006/main">
                    <a:graphicData uri="http://schemas.openxmlformats.org/drawingml/2006/picture">
                      <pic:pic xmlns:pic="http://schemas.openxmlformats.org/drawingml/2006/picture">
                        <pic:nvPicPr>
                          <pic:cNvPr id="69" name="图片_17"/>
                          <pic:cNvPicPr/>
                        </pic:nvPicPr>
                        <pic:blipFill>
                          <a:blip r:embed="rId83"/>
                          <a:stretch>
                            <a:fillRect/>
                          </a:stretch>
                        </pic:blipFill>
                        <pic:spPr>
                          <a:xfrm>
                            <a:off x="0" y="0"/>
                            <a:ext cx="353695" cy="676275"/>
                          </a:xfrm>
                          <a:prstGeom prst="rect">
                            <a:avLst/>
                          </a:prstGeom>
                          <a:noFill/>
                          <a:ln>
                            <a:noFill/>
                          </a:ln>
                        </pic:spPr>
                      </pic:pic>
                    </a:graphicData>
                  </a:graphic>
                </wp:anchor>
              </w:drawing>
            </w:r>
          </w:p>
        </w:tc>
      </w:tr>
      <w:tr w14:paraId="0692C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D53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749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LED生物台灯</w:t>
            </w:r>
          </w:p>
        </w:tc>
        <w:tc>
          <w:tcPr>
            <w:tcW w:w="9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96D2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1.功率：5W</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2.电压：AC86V-AC220V</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3.尺寸：400×180mm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4.材质：优质不锈钢材+亚克力</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5.灯珠：LED2835</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6.发光颜色：正白光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7.投射角度：180度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8.环境温度：-30-60 ℃</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F44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1A6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489585</wp:posOffset>
                  </wp:positionH>
                  <wp:positionV relativeFrom="paragraph">
                    <wp:posOffset>-280670</wp:posOffset>
                  </wp:positionV>
                  <wp:extent cx="1230630" cy="601980"/>
                  <wp:effectExtent l="0" t="0" r="7620" b="7620"/>
                  <wp:wrapNone/>
                  <wp:docPr id="70" name="图片_5_SpCnt_1"/>
                  <wp:cNvGraphicFramePr/>
                  <a:graphic xmlns:a="http://schemas.openxmlformats.org/drawingml/2006/main">
                    <a:graphicData uri="http://schemas.openxmlformats.org/drawingml/2006/picture">
                      <pic:pic xmlns:pic="http://schemas.openxmlformats.org/drawingml/2006/picture">
                        <pic:nvPicPr>
                          <pic:cNvPr id="70" name="图片_5_SpCnt_1"/>
                          <pic:cNvPicPr/>
                        </pic:nvPicPr>
                        <pic:blipFill>
                          <a:blip r:embed="rId90"/>
                          <a:stretch>
                            <a:fillRect/>
                          </a:stretch>
                        </pic:blipFill>
                        <pic:spPr>
                          <a:xfrm>
                            <a:off x="0" y="0"/>
                            <a:ext cx="1230630" cy="60198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lang w:val="en-US" w:eastAsia="zh-CN" w:bidi="ar"/>
              </w:rPr>
              <w:t>24</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6DCB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p>
        </w:tc>
      </w:tr>
      <w:tr w14:paraId="69FFA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jc w:val="center"/>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14956">
            <w:pPr>
              <w:keepNext w:val="0"/>
              <w:keepLines w:val="0"/>
              <w:suppressLineNumbers w:val="0"/>
              <w:spacing w:before="0" w:beforeAutospacing="0" w:after="0" w:afterAutospacing="0"/>
              <w:ind w:left="0" w:right="0"/>
              <w:rPr>
                <w:rFonts w:hint="eastAsia" w:ascii="宋体" w:hAnsi="宋体" w:eastAsia="宋体" w:cs="宋体"/>
                <w:b/>
                <w:bCs/>
                <w:i w:val="0"/>
                <w:iCs w:val="0"/>
                <w:color w:val="auto"/>
                <w:sz w:val="24"/>
                <w:szCs w:val="24"/>
                <w:highlight w:val="none"/>
                <w:u w:val="none"/>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3C124">
            <w:pPr>
              <w:keepNext w:val="0"/>
              <w:keepLines w:val="0"/>
              <w:suppressLineNumbers w:val="0"/>
              <w:spacing w:before="0" w:beforeAutospacing="0" w:after="0" w:afterAutospacing="0"/>
              <w:ind w:left="0" w:right="0"/>
              <w:rPr>
                <w:rFonts w:hint="eastAsia" w:ascii="宋体" w:hAnsi="宋体" w:eastAsia="宋体" w:cs="宋体"/>
                <w:b/>
                <w:bCs/>
                <w:i w:val="0"/>
                <w:iCs w:val="0"/>
                <w:color w:val="auto"/>
                <w:sz w:val="24"/>
                <w:szCs w:val="24"/>
                <w:highlight w:val="none"/>
                <w:u w:val="none"/>
              </w:rPr>
            </w:pPr>
          </w:p>
        </w:tc>
        <w:tc>
          <w:tcPr>
            <w:tcW w:w="9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84F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水电部分</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9DC14">
            <w:pPr>
              <w:keepNext w:val="0"/>
              <w:keepLines w:val="0"/>
              <w:suppressLineNumbers w:val="0"/>
              <w:spacing w:before="0" w:beforeAutospacing="0" w:after="0" w:afterAutospacing="0"/>
              <w:ind w:left="0" w:right="0"/>
              <w:rPr>
                <w:rFonts w:hint="eastAsia" w:ascii="宋体" w:hAnsi="宋体" w:eastAsia="宋体" w:cs="宋体"/>
                <w:b/>
                <w:bCs/>
                <w:i w:val="0"/>
                <w:iCs w:val="0"/>
                <w:color w:val="auto"/>
                <w:sz w:val="24"/>
                <w:szCs w:val="24"/>
                <w:highlight w:val="none"/>
                <w:u w:val="none"/>
              </w:rPr>
            </w:pP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D8FB2">
            <w:pPr>
              <w:keepNext w:val="0"/>
              <w:keepLines w:val="0"/>
              <w:suppressLineNumbers w:val="0"/>
              <w:spacing w:before="0" w:beforeAutospacing="0" w:after="0" w:afterAutospacing="0"/>
              <w:ind w:left="0" w:right="0"/>
              <w:rPr>
                <w:rFonts w:hint="eastAsia" w:ascii="宋体" w:hAnsi="宋体" w:eastAsia="宋体" w:cs="宋体"/>
                <w:b/>
                <w:bCs/>
                <w:i w:val="0"/>
                <w:iCs w:val="0"/>
                <w:color w:val="auto"/>
                <w:sz w:val="24"/>
                <w:szCs w:val="24"/>
                <w:highlight w:val="none"/>
                <w:u w:val="none"/>
              </w:rPr>
            </w:pP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09C05">
            <w:pPr>
              <w:keepNext w:val="0"/>
              <w:keepLines w:val="0"/>
              <w:suppressLineNumbers w:val="0"/>
              <w:spacing w:before="0" w:beforeAutospacing="0" w:after="0" w:afterAutospacing="0"/>
              <w:ind w:left="0" w:right="0"/>
              <w:rPr>
                <w:rFonts w:hint="eastAsia" w:ascii="宋体" w:hAnsi="宋体" w:eastAsia="宋体" w:cs="宋体"/>
                <w:b/>
                <w:bCs/>
                <w:i w:val="0"/>
                <w:iCs w:val="0"/>
                <w:color w:val="auto"/>
                <w:sz w:val="24"/>
                <w:szCs w:val="24"/>
                <w:highlight w:val="none"/>
                <w:u w:val="none"/>
              </w:rPr>
            </w:pPr>
          </w:p>
        </w:tc>
      </w:tr>
      <w:tr w14:paraId="58A1A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jc w:val="center"/>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C38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CEF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布线系统</w:t>
            </w:r>
          </w:p>
        </w:tc>
        <w:tc>
          <w:tcPr>
            <w:tcW w:w="9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358B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地面对接，由教师主控电源控制学生电源，安装调试（含辅料及耗材）。符合安全用电要求。</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651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F40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3723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F86C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jc w:val="center"/>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32B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3C0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给排水系统</w:t>
            </w:r>
          </w:p>
        </w:tc>
        <w:tc>
          <w:tcPr>
            <w:tcW w:w="9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ADB4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地面对接，安装调试（含辅料及耗材）。符合安全用水要求</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805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C54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9D78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7C4D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0" w:hRule="atLeast"/>
          <w:jc w:val="center"/>
        </w:trPr>
        <w:tc>
          <w:tcPr>
            <w:tcW w:w="1501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24E3F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971550</wp:posOffset>
                  </wp:positionH>
                  <wp:positionV relativeFrom="paragraph">
                    <wp:posOffset>40640</wp:posOffset>
                  </wp:positionV>
                  <wp:extent cx="7722235" cy="4867910"/>
                  <wp:effectExtent l="0" t="0" r="12065" b="8890"/>
                  <wp:wrapNone/>
                  <wp:docPr id="72" name="图片_24"/>
                  <wp:cNvGraphicFramePr/>
                  <a:graphic xmlns:a="http://schemas.openxmlformats.org/drawingml/2006/main">
                    <a:graphicData uri="http://schemas.openxmlformats.org/drawingml/2006/picture">
                      <pic:pic xmlns:pic="http://schemas.openxmlformats.org/drawingml/2006/picture">
                        <pic:nvPicPr>
                          <pic:cNvPr id="72" name="图片_24"/>
                          <pic:cNvPicPr/>
                        </pic:nvPicPr>
                        <pic:blipFill>
                          <a:blip r:embed="rId91"/>
                          <a:stretch>
                            <a:fillRect/>
                          </a:stretch>
                        </pic:blipFill>
                        <pic:spPr>
                          <a:xfrm>
                            <a:off x="0" y="0"/>
                            <a:ext cx="7722235" cy="4867910"/>
                          </a:xfrm>
                          <a:prstGeom prst="rect">
                            <a:avLst/>
                          </a:prstGeom>
                          <a:noFill/>
                          <a:ln>
                            <a:noFill/>
                          </a:ln>
                        </pic:spPr>
                      </pic:pic>
                    </a:graphicData>
                  </a:graphic>
                </wp:anchor>
              </w:drawing>
            </w:r>
          </w:p>
        </w:tc>
      </w:tr>
    </w:tbl>
    <w:p w14:paraId="2F4B627A">
      <w:pPr>
        <w:rPr>
          <w:rFonts w:hint="eastAsia"/>
          <w:color w:val="auto"/>
          <w:highlight w:val="none"/>
          <w:lang w:val="en-US" w:eastAsia="zh-CN"/>
        </w:rPr>
      </w:pPr>
      <w:r>
        <w:rPr>
          <w:rFonts w:hint="eastAsia"/>
          <w:color w:val="auto"/>
          <w:highlight w:val="none"/>
          <w:lang w:val="en-US" w:eastAsia="zh-CN"/>
        </w:rPr>
        <w:br w:type="page"/>
      </w:r>
    </w:p>
    <w:tbl>
      <w:tblPr>
        <w:tblStyle w:val="27"/>
        <w:tblW w:w="151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00"/>
        <w:gridCol w:w="1325"/>
        <w:gridCol w:w="10686"/>
        <w:gridCol w:w="564"/>
        <w:gridCol w:w="24"/>
        <w:gridCol w:w="476"/>
        <w:gridCol w:w="88"/>
        <w:gridCol w:w="64"/>
        <w:gridCol w:w="436"/>
        <w:gridCol w:w="550"/>
      </w:tblGrid>
      <w:tr w14:paraId="155B1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986" w:type="dxa"/>
          <w:trHeight w:val="540" w:hRule="atLeast"/>
          <w:jc w:val="center"/>
        </w:trPr>
        <w:tc>
          <w:tcPr>
            <w:tcW w:w="14127" w:type="dxa"/>
            <w:gridSpan w:val="8"/>
            <w:tcBorders>
              <w:top w:val="nil"/>
              <w:left w:val="nil"/>
              <w:bottom w:val="nil"/>
              <w:right w:val="nil"/>
            </w:tcBorders>
            <w:shd w:val="clear" w:color="auto" w:fill="auto"/>
            <w:noWrap/>
            <w:vAlign w:val="center"/>
          </w:tcPr>
          <w:p w14:paraId="6CA4820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6、初中物理、化学、生物常规仪器和初中化学、生物试剂配备</w:t>
            </w:r>
          </w:p>
        </w:tc>
      </w:tr>
      <w:tr w14:paraId="61CB0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291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0D45C4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1、初中物理常规仪器配备方案</w:t>
            </w:r>
          </w:p>
        </w:tc>
        <w:tc>
          <w:tcPr>
            <w:tcW w:w="5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4DF9D">
            <w:pPr>
              <w:keepNext w:val="0"/>
              <w:keepLines w:val="0"/>
              <w:suppressLineNumbers w:val="0"/>
              <w:spacing w:before="0" w:beforeAutospacing="0" w:after="0" w:afterAutospacing="0"/>
              <w:ind w:left="0" w:right="0"/>
              <w:rPr>
                <w:rFonts w:hint="eastAsia" w:ascii="宋体" w:hAnsi="宋体" w:eastAsia="宋体" w:cs="宋体"/>
                <w:i w:val="0"/>
                <w:iCs w:val="0"/>
                <w:color w:val="auto"/>
                <w:sz w:val="24"/>
                <w:szCs w:val="24"/>
                <w:highlight w:val="none"/>
                <w:u w:val="none"/>
              </w:rPr>
            </w:pP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2286E9">
            <w:pPr>
              <w:keepNext w:val="0"/>
              <w:keepLines w:val="0"/>
              <w:suppressLineNumbers w:val="0"/>
              <w:spacing w:before="0" w:beforeAutospacing="0" w:after="0" w:afterAutospacing="0"/>
              <w:ind w:left="0" w:right="0"/>
              <w:rPr>
                <w:rFonts w:hint="eastAsia" w:ascii="宋体" w:hAnsi="宋体" w:eastAsia="宋体" w:cs="宋体"/>
                <w:i w:val="0"/>
                <w:iCs w:val="0"/>
                <w:color w:val="auto"/>
                <w:sz w:val="24"/>
                <w:szCs w:val="24"/>
                <w:highlight w:val="none"/>
                <w:u w:val="none"/>
              </w:rPr>
            </w:pPr>
          </w:p>
        </w:tc>
        <w:tc>
          <w:tcPr>
            <w:tcW w:w="113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C612A78">
            <w:pPr>
              <w:keepNext w:val="0"/>
              <w:keepLines w:val="0"/>
              <w:suppressLineNumbers w:val="0"/>
              <w:spacing w:before="0" w:beforeAutospacing="0" w:after="0" w:afterAutospacing="0"/>
              <w:ind w:left="0" w:right="0"/>
              <w:rPr>
                <w:rFonts w:hint="eastAsia" w:ascii="宋体" w:hAnsi="宋体" w:eastAsia="宋体" w:cs="宋体"/>
                <w:i w:val="0"/>
                <w:iCs w:val="0"/>
                <w:color w:val="auto"/>
                <w:sz w:val="24"/>
                <w:szCs w:val="24"/>
                <w:highlight w:val="none"/>
                <w:u w:val="none"/>
              </w:rPr>
            </w:pPr>
          </w:p>
        </w:tc>
      </w:tr>
      <w:tr w14:paraId="134F8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EEE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6F3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名称</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F64B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技术规格</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4882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单位</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F848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数量</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04C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备注</w:t>
            </w:r>
          </w:p>
        </w:tc>
      </w:tr>
      <w:tr w14:paraId="7177F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DE5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19D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工作服</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0028C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棉，防酸碱。</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产品需利于人体活动，具有一定牢固性和舒适感，白色。</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 产品外观无破损、斑点、污物等缺陷。</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 产品应做工精细，穿着方便书、舒适。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 产品所用材料应能满足日常穿用和中学实验室日常使用要求，具有一定耐穿性和牢固性</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F5D9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162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F355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B996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B25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E25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机械危害防护手套</w:t>
            </w:r>
          </w:p>
        </w:tc>
        <w:tc>
          <w:tcPr>
            <w:tcW w:w="11274" w:type="dxa"/>
            <w:gridSpan w:val="3"/>
            <w:tcBorders>
              <w:top w:val="nil"/>
              <w:left w:val="nil"/>
              <w:bottom w:val="nil"/>
              <w:right w:val="nil"/>
            </w:tcBorders>
            <w:shd w:val="clear" w:color="auto" w:fill="auto"/>
            <w:vAlign w:val="center"/>
          </w:tcPr>
          <w:p w14:paraId="59A2C1D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1、实验室机械防护用。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2、机械防护等级≥3 级。</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BC1C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A1D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29</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D0E1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598F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FD3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3D6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套袖</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19F05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1、适用于物理实验教学用。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2、材质：棉。</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2A69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AB4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4B0F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FA02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6A9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E64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激光防护镜</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AAEDC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激光类实验用。</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0017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E04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77F1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5180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829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0A3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护目镜</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537A5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防机械冲击</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4ED1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727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79</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0E4E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CFEF6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995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14D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简易急救箱</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8149C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箱内包括：烧伤药膏，医用酒精，碘伏，创可贴，胶布，绷带，卫生棉签，剪刀，镊子，止血带(长度≥30cm)等</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B0B3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3BB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30F4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7A93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436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D5C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电冰箱</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137E1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1、适用于实验室设备，制取低温物品，保存生化制剂；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2、有效容积不小于180L。</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EB99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76A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F955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650B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00A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348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电磁炉</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EA883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功率可调，额定功率≥1600W</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895D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79D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C5C7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97AF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29C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5AB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吹风机</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6C748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1.使用电源：220V  50Hz。</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2.塑料外壳，冷、热风档。</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3.分五档可调。</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B010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0DB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61B7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9A35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0C6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B55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仪器车</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433E30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1.600mm×400mm×800mm，车轮Φ75mm，厚25mm；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2.一轮带刹车，车轮固定，车架扭动量(上部)≤20mm；钢材制作，载重≥60kg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65B9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辆</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146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6142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5B37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F2B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CC4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小托盘</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2898C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200mm×300mm×60mm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8FB6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89F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1903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77B1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F15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A1A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大托盘</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ECC07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250mm×400mm×80mm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1DC7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578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4062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B9C4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454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439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提盒</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84C17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承重大于3kg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B811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CFE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61BD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312FA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F7E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AB2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电锯</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540343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手持式。</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780E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把</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CD7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A32F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D0F2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F42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807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剥线钳</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40811B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1.≥Φ0.5mm~2.5mm；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2.刃口闭合状态间隙应不大于0.3mm，刃口错位应不大于0.2mm；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3.钳口硬度不低于HRA65或HRC30</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0A96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把</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3C1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2EAF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A677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096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D4F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钢丝钳</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93088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1.160mm，抗弯强度1120N，扭力矩15N·m，15°；</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2.剪切性能Φ16mm钢丝，580N；</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3.夹持面硬度不低于44HRC；</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4.PVC环保手柄，在不大于18N的力作用下撑开角度不小于22°</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2E7A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把</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8C3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759F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7AFD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858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558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尖嘴钳</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9FEA7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1.160mm，抗弯强度710N，剪切性能Φ1.6mm钢丝，570N；</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2.在不大于18N的力作用下撑开角度不小于22°，硬度不低于44HRC，PVC手柄</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E1DD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把</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EFC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32E1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FEF9D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A68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F24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平口钳</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790C0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普通机用平口钳；钳口宽度100mm，最大张开度100mm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3545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把</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2A8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6E5F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70A7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3F9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B6D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斜口钳</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6C0E4E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≥125mm，双刃刀。</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206A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把</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61B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51BD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B2AA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8C9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52C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砂纸</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1195B6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干磨砂纸，P36~P50、P150~P220、P1000~P2000</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F5E4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5C9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7D7D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DF30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9BE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031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铁皮剪刀</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49F4D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力臂200mm，剪100mm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60F6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把</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735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3CC1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643E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0A2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532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民用剪刀</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3641D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长170mm，用于剪布</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920E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把</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28A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31E8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F108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333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71D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电工刀</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A05C1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专业电工刀。</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273C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把</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9FE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929F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AE7B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7C4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6DD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80W电烙铁</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AF7BF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80W，内热式，橡胶线，含烙铁架</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8009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把</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BDB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B69B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65B3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C6E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9D5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焊锡膏</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D5B6F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中性</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B6AE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盒</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279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405A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D10D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EA1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CE5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焊锡丝</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8E2B39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无铅</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3191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卷</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AA1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63DB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5A23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8A0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F0F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松香</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7253E3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助焊</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A2C8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461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A6A7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385C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23E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759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吸锡器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0B295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手动</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8397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C65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03E9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38A5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C41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96C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胶枪</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60812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60W，热熔胶</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B586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把</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416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0A29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092E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A3E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F4F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打孔器(齿口式）</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22992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齿口式，不锈钢材质，每组4支，外径分别为5.0mm、6.5mm、8mm、9.5mm；附通棒</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★为保证产品质量，检测依据JY 0001-2003 教学仪器设备产品一般质量要求，并包含以下检测内容：性能的一般要求、安全的一般要求、结构的一般要求、外观的一般要求等，检测结果为合格；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提供第三方权威检测机构出具的检测报告复印件或扫描件并加盖制造厂商公章（检测报告带CMA或者CNAS标识， 通过权威检测机构电话查询真伪，中标后提供原件备查）</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BB32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1B2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4E79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A0F2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290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3BE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打孔夹板</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FD739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硬木或硬塑料</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F6A5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6AE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FF75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F46B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F95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08F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锥子</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44BBC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锥头长77mm，锥杆直径渐变</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7D0A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A29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27C1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00EB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276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456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镊子</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46E22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304不锈钢，平头，长125mm，钢板厚1.2mm，镊子前部应有防滑脱锯齿状</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E9DC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3AD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36FC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B109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49A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F05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水准器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490C8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1、适用于物理实验教学用。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2、气泡水准器。</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FC29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10F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FDA0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F4D0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D9C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740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直角尺</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7814F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宽座角尺，160mm×100mm，不锈钢材料，硬度561HV(或53HRC)，2级</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30F2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E7B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885B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3E67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8DD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032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工具箱</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DED81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含民用剪刀、平口钳、尖嘴钳、剥线钳、斜口钳、钢丝钳、一字和十字螺丝刀、锥子、镊子等</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E3F0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箱</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D43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ADB9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F5EC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052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168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寒暑表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08C45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量程-50℃~50℃，分度值1℃，允许误差±1℃；底板长200mm~300mm，温度计外径5mm~8mm，感温泡长8mm~15mm；当温度达到100℃时，安全泡应能容纳上升感温液，温度计不致胀破</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56DD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A2A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AD8F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C638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C41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057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红液温度计</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DC4A5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量程-20℃~100℃，分度值1℃，示值误差&lt;±1.5℃</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EB6D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支</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53A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2BB7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9262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65F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4DE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演示温度计</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A107F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1.量程-5℃~100℃，分度值1℃，误差±1℃；</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2.全长不小于565mm，感温泡长度不小于30mm，标尺不小于350mm，标度板上有摄氏温标和热力学温标；</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3.在板面中段承受垂直与板面方向4.9N的力时，板中部挠度应不大于5mm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8DD9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支</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258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CFDE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4DFD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DE5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5B1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数字温度计（-30~200℃)</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FD688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1.量程-30℃~200℃，分辨力0.1℃，误差&lt;±1.5℃；</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2.不接电脑，可独立运行，自带显示屏，表盘尺寸≥180mm×90mm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9C8D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支</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570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74AA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4FD2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2C8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7DA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数字温度计（-10~110℃)</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0C9003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1.量程-10℃~110℃，分辨力0.1℃，误差&lt;±1.5℃；</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2.不接电脑，可独立运行，自带显示屏，显示屏尺寸≥30mm×40mm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B841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支</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62E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1F16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A8BF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FB6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84F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双金属片温度计</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C7FBA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1.指针式，双金属游丝测温，游丝部位可见，盘面直径≥150mm；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2.量程－10℃~50℃，误差≤±3℃</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EF69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607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AF50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4896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1FD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5C2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湿度计</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450D70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指针式</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7962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525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1A1B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04D5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683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9FC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蒸发皿</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9C676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瓷，Φ60mm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D82D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85C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3F39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F1BD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EBE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C01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橡胶塞</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ECAFD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000、00、0号～10号，白色，质地均匀</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EDAD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kg</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D09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F6B1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19E9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23B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E7D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试管（15×150mm）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3CCE8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Φ15mm×150mm，透明，硼硅酸盐玻璃制</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8C51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支</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F1D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9734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E87C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96E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91C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试管（32×200mm）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AA26E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Φ30mm×200mm，透明，硼硅酸盐玻璃制</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7E30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支</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9A7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2F5F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1389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C21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0A5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烧瓶（250ml平底长颈）</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EF243F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平、长，250mL，透明，硼硅酸盐玻璃制</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7ED5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42F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EB1D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07437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EB3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14A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烧杯（100ml）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62677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100mL，透明，硼硅酸盐玻璃制，刻度应清晰耐久，应在容量标志下有记号面积</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FFF2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7E7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0833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DE77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8E4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316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酒精灯（150mL）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13158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150mL，采用透明钠钙玻璃制造，无明显黄绿色，灯口应平整，瓷灯头与灯口平面间隙不应超过1.5mm，玻璃灯罩应磨口，瓷灯头应为白色，表面无气泡，无疵点，无裂纹，无碰损缺口，酒精灯应配置与灯口孔径相适应的整齐完整的棉线灯芯</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45EF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544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9E2B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5250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2F8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30F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漏斗（口径90mm）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7B4D5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漏斗口径90mm，斗颈长90mm，下口磨成45º角，斜口边口倒角或熔光，耐水性HGB3级</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BD45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6E4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DFA9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DB4C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C65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664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烧杯用电加热器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0E947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0W~250W，可调；密封式</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7144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BE8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DA88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3236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8F6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CF6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三通连接管（T形）</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0FAFB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T形。</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4764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1F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618A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16DD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67E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287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打气筒</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31F66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气嘴外径8mm±0.1mm，长度15mm，台阶口，工作气压不小于0.295MPa</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FBF9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220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8498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49EDA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EAD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825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脚踏打气筒</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0F3147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气嘴外径8mm±0.1mm，台阶口，工作气压不小于0.295MPa</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1B5B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3F8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877C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DDD1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3CE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A0B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两用气筒</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6596A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1.活塞胶垫，气嘴外径8mm±0.1mm，长度15mm，台阶口；</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2.抽气压强达到6.7kPa时，放置30s，漏气引起的压强变化应≤2.6kPa；</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3.充气压强达到290kPa时，放置30s，漏气引起的压强变化应≤9.8kPa</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6811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808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4C23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5F04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0F5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94C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蜂蜡</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DAA2F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工业</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B3D2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A49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9886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5BFC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783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A82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多功能实验支架</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EF1D0E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1.组合座架1个，最小组合支承面积应不小于560mm×10mm；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2.组成：滑块式垂直夹5个、烧瓶夹1个、万向夹1个、大铁环1个、方托盘1个、绝缘环2个、吊钩4个</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37BF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A14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0525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C3BB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58C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1BD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升降台</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2B14B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1.不锈钢台面；</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2.上台面有效面积不小于140mm×140mm，下台面有效面积不小于160mm×160mm，厚度不低于1mm；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3.升降范围85mm~235mm，连续可调；</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4.上下台面的平面度误差应≤2mm，升降过程中任一位置的平行度误差≤3mm；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5.额定载重量≥10kg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D653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C8E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C1C0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0C1C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6D7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80E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碘升华凝华管</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8AD01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碘密封于碘锤内，无色透明硼硅酸盐玻璃制管Φ28mm×34mm，两端面应为凹面，热冲击应不低于200℃</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B6F5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9B0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2AD9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8A65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2A1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A2B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制作简易温度计实验材料</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D1A47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小玻璃瓶、胶塞、细玻璃管、5mL红色食用色素等</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40F8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F0C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05BD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FF0C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F3B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B20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物质弹性实验材料</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0297C4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1.包括软弹簧、硬弹簧、橡皮筋、橡皮泥、海绵、钢尺等；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2.材料选取应有代表性，包括易形变材料、不易形变材料、完全弹性形变材料、塑性形变材料等</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FAF3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6DC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D961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F880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D51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3CF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物质磁性实验材料</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6C64FD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多种形状的人造磁体、铜块、铁块、铝块、木块、镍片、回形针若干</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6F96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D5D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2147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717B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9E3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205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磁悬浮原理实验器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F042B4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包括2个小圆柱形磁体、配套试管等</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A8A8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982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342B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25B5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421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6D9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物质导电性实验材料</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168B5E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1.包括金属线、碳棒、塑料棒、木棍、玻璃棒等；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2.材料选取应有代表性，包括金属材料和非金属材料，非金属材料中要有导体和绝缘体；</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3.实验现象明显，电路中接导体材料时，应能使LED发光</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6126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09D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6BAF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5B5C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420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D20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人体发电趣味演示仪</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7928B5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产品规格：445*345*60mm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主要材质：优质ABS工程塑料、亚克力板、铝合金型材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铝电极和铜电极，带检流计，演示人体发电。</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示教板应能平放在桌上，示教板侧边角采用优质ABS工程塑料注塑一次成型，顶部以及侧面为铝合金型材，强度更高。前面板为3mm厚亚克力板UV喷绘，后背板为5mm厚三合板/密度板。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★为保证产品质量，检测依据JY 0001-2003 教学仪器设备产品一般质量要求，并包含以下检测内容：性能的一般要求、安全的一般要求、结构的一般要求、外观的一般要求等，检测结果为合格；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依据《木家具通用技术条件》：甲醛检测结果为合格；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提供第三方权威检测机构出具的检测报告复印件或扫描件并加盖制造厂商公章（检测报告带CMA或者CNAS标识， 通过权威检测机构电话查询真伪，中标后提供原件备查）</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18E1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EA3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9CF8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5171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9F0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51C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物质导热性实验材料</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985A0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包括铜、铁、铝，陶瓷、木材等</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E81A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B8E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F438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4E0A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F80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88B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双金属片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14605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双金属片的膨胀系数差异大，加热使其升温时弯曲程度明显</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8B00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3B1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C474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AA3A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C06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9DF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托盘天平（200g，0.2g）</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62F14D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200g，0.2g，单杠杆等臂式双盘天平，配6级(M2级)砝码：100g、50g、10g、5g各1个，20g2个，钢制镊子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★为保证产品质量，检测依据JY 0001-2003 教学仪器设备产品一般质量要求，并包含以下检测内容：性能的一般要求、安全的一般要求、结构的一般要求、外观的一般要求等，检测结果为合格；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提供第三方权威检测机构出具的检测报告复印件或扫描件并加盖制造厂商公章（检测报告带CMA或者CNAS标识， 通过权威检测机构电话查询真伪，中标后提供原件备查）</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158D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5D1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92E8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5F03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352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18A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托盘天平(500g,0.5g)</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FF4578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500g，0.5g，单杠杆等臂式双盘天平，配6级(M2级)砝码：200g、50g、10g各1个，100g、20g各2个，钢制镊子</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053D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069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FE2B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13C9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B6F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694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电子天平</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5B2B7F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量程0g~1kg，分辨力0.1g，带标准砝码</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DEFB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AB2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1B4A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8E62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9AC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02B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杆秤</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C8EB5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量程0kg~2.5kg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0901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杆</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3BD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FDE0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EDAF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F10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499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戥子</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66FA9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量程0g~250g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1711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杆</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E27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8A2F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C17F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F8D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439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圆柱体组</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9DC3F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1.包括纯铜、铝(或铝合金)和铁(钢)等3种材质圆柱体；圆柱体直径20mm，高32mm；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2.每个圆柱体配网兜(质量小于0.01g)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0044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FD2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B771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5B6EF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9E2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9A9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立方体组</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43933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包括黄铜、铁、铝、木4种材料的5个立方体，其中铝材2个，黄铜(边长20mm)、铁(边长20mm)、铝(边长25mm)、铝(边长30mm)、木材(边长50mm)各1个，带不锈钢挂钩</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0DE1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E32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AE67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638F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8D7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9F8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长方体组</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441A36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Style w:val="77"/>
                <w:color w:val="auto"/>
                <w:highlight w:val="none"/>
                <w:lang w:val="en-US" w:eastAsia="zh-CN" w:bidi="ar"/>
              </w:rPr>
              <w:t>含铜、铁、铝、木材4种材质，包括6cm3、8cm3、10cm3、12cm3、14cm3、20cm</w:t>
            </w:r>
            <w:r>
              <w:rPr>
                <w:rFonts w:hint="eastAsia" w:ascii="宋体" w:hAnsi="宋体" w:eastAsia="宋体" w:cs="宋体"/>
                <w:i w:val="0"/>
                <w:iCs w:val="0"/>
                <w:color w:val="auto"/>
                <w:kern w:val="0"/>
                <w:sz w:val="24"/>
                <w:szCs w:val="24"/>
                <w:highlight w:val="none"/>
                <w:u w:val="none"/>
                <w:vertAlign w:val="superscript"/>
                <w:lang w:val="en-US" w:eastAsia="zh-CN" w:bidi="ar"/>
              </w:rPr>
              <w:t>3</w:t>
            </w:r>
            <w:r>
              <w:rPr>
                <w:rStyle w:val="77"/>
                <w:color w:val="auto"/>
                <w:highlight w:val="none"/>
                <w:lang w:val="en-US" w:eastAsia="zh-CN" w:bidi="ar"/>
              </w:rPr>
              <w:t>等6种不同体积</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8C3A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CFE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1325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E147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000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82F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量筒（100mL）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CA1FD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100mL，1mL，透明钠钙玻璃制，分度线、数字和标志应完整、清晰和耐久，容积为20℃时充满量筒刻度线所容纳体积</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A4FA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305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0E13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08A3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4C8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7F2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量杯</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FF3B7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250mL，无色透明玻璃制，口部应熔光，壁厚≥1.2mm，耐水性HGB3级</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3393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28C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5243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6C47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B93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220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密度计(比重)</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2AC5F6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＞1g/cm3，在液体中倾斜度≤0.2分度值</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3079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支</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198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77C2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3DC5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E51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3FD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密度计(比轻)</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4D6B5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＜1g/cm3，在液体中倾斜度≤0.2分度值</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B008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支</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D33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9A91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AF2E6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D0B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38F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光学显微镜</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8D82C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640×，带光源</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1E96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DDB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ECE4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E02F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B4A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FA3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放大镜</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E952D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手持式，5×，焦距50mm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CA96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919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59BB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33E9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7A5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529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望远镜</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62927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1.双筒7x35，倍率7倍，物镜直径50mm，目镜直径19mm，视场范围8M～1000M；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2.棱镜系统BaK4，全光学棱镜，中央调焦，多层宽带镀膜；</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3.物镜目镜盖，.PP袋，擦镜布，防潮干燥剂，说明书，无纺布包。</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71CA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2C0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6024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B90F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1EE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678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半导体性质实验材料</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F42B50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包括二极管、三极管等，便于接入电路，实验效果要明显</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F928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2E0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7126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AE076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1BF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5A4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记忆合金特性实验盒</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804440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1.包括记忆合金动力小船、记忆合金丝等；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2.要求小船放在热水中可自驱动，用电吹风吹记忆合金丝时应能变形，能体现记忆合金在温度改变时发生形变</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69F8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342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75C2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B076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E0B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DC3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纳米特性实验盒</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87065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纳米磁流体、自洁玻璃、纳米布，</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用于物理课堂的教学实验，使学生直观地观察纳米材料的特殊性质</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CCAD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4CE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FE53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3143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D36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83E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分子间作用力模型</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6A854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模拟分子的两球之间由弹簧和一根拉紧的橡皮筋连接，弹簧长13cm，Φ2cm，能直观表现出分子间斥力、分子间引力</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C709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40A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FD0B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4E43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C29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6BD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内聚力演示器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911CC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1.由2个铅圆柱体、旋转式刮削器、挤压器和2根扳杆组成；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2.圆柱体尺寸约Φ20mm×50mm，铅柱镶铁部分长度约为铅圆柱长度的1/2，挤压架应采用铁质结构，2个铅圆柱体应能装入挤压器中，通过螺旋实现挤压；</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挤压器螺旋挤压的最大和最小距离差应≥35mm，挤压器装入铅圆柱挤压至人力不能继续挤压时，在挤压方向的形变应≤0.25mm；刮削器由转柄、刀片和刀轴组成，削平的两铅圆柱体端面压在一起后，承受轴向拉力应≥60N。</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★为保证产品质量，检测依据JY 0001-2003 教学仪器设备产品一般质量要求，并包含以下检测内容：性能的一般要求、安全的一般要求、结构的一般要求、外观的一般要求等，检测结果为合格；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提供第三方权威检测机构出具的检测报告复印件或扫描件并加盖制造厂商公章（检测报告带CMA或者CNAS标识， 通过权威检测机构电话查询真伪，中标后提供原件备查）</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2DBA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1E7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0050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3950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857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B9E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丙三醇(甘油)</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0240E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试剂。</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BB8D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090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8088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B6AB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B79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B64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食用色素</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0A3E5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红色</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1561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mL</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06F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45F6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FCDD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19C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098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钢直尺（1000mm）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C9545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量程1000mm ，分度值1mm。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E4AE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把</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F3E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98</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F1A4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2C96B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844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10F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游标卡尺</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E7784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量程0mm~150mm，分度值0.02mm；尺框、微动装置沿尺身移动平稳、无卡滞和松动现象，用制动螺钉能准确、可靠的固定在尺身上；带深度尺</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35E8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把</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B9D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052E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89D0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3A0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E16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数显游标卡尺</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3CE26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量程0mm~150mm，分辨力0.01mm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8340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把</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C1A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C236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80E6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5C5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BD8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外径千分尺（螺旋测微器）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835900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量程0mm~25mm，分度值0.01mm；螺杆和螺母全量程范围内充分啮合，配合良好，无明显卡滞和轴向窜动，螺杆与轴套配合良好，无明显径向摆动，锁紧装置能有效锁紧测微装置</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D45A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把</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9FD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2007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C3C4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0FA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C3E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数显外径千分尺</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3EE499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量程0mm~25mm，分辨力0.001mm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3340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821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89C3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8F29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715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015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激光测距仪（50m)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C70F6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量程1mm~50m，分辨力1mm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A400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C43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90CA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FE0F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0EC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A2B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自由落体演示仪</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BD8C5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供基础力学教学演示和分组实验，进行定性观测和定量研究物体在自由降落状态下的运动规律，主体高度：1.2m，钢球D=18mm，便携式支架，两个光电门；电磁铁电源DC6V。</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013D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F8D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88BB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1BB8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8E4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E00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机械秒表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6D1B4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分度值0.1s，一等</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A58B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D79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1D62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A5DD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1CC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6EE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节拍器(电子)</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D4B30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电子式，1拍/分~200拍/分，四种节拍模式(0、2、3、4)</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4A81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E6A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C938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7D42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DA8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F70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滴漏</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A32B1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水钟</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25BF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63C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935F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E9D2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EB9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772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日晷</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237D8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非固定赤道式，圆形晷面，直径300mm；日晷面和日晷台上表面之间的夹角能调，可调范围为36°~87°，有角度指示，误差≤±2°；北面和南面时刻线，至少包含2时至22时；每隔15°均匀分布1长线，7.5°分布1短线，误差≤±1°；晷针与日晷面垂直</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03A2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4D3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CB3B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C2DF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840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67A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斜面小车</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C7E70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包括斜面、小车、摩擦块、支撑杆、砝码桶和摩擦材料等，与教学支架配套使用；斜面板≥915mm×100mm×20mm，一端应有滑轮、缓冲或捕获小车的装置；斜面板工作面平面度误差应小于2mm；附摩擦材料丁晴橡胶、砂纸、棉布等，有摩擦材料的固定夹</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5F16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F92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28C3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1D9F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C40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601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力的作用趣味实验材料</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96169F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含凯夫拉丝、微型手指电机、手指陀螺等</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9898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BA8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CDA2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3E30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4CC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5F8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改变物体运动状态实验装置</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25ABF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产品规格：645*445*60mm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主要材质：优质ABS工程塑料、亚克力板、铝合金型材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由倾角可调的轨道（斜面倾角30°左右，轨道长200mm），小钢球、磁铁、电动控制小球释放装置等组成。小钢球能够在轨道内自由滚动。将轨道放在水平面上并调好倾角后，能够保证小球从轨道顶端释放后，在水平面内做同一直线运动。用磁铁在水平面内对运动的小球施加力，使小球运动方向改变</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示教板应能竖立在桌上，顶部配有可伸缩拉手，可悬挂，示教板底脚采用优质ABS工程塑料注塑一次成型，使用旋转式可收纳设计；示教板侧边框采用优质ABS工程塑料注塑一次成型，侧边框中心带有产品标识牌，顶部以及底部为铝合金型材，强度更高。前面板为3mm厚亚克力板UV喷绘，后背板为5mm厚三合板/密度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★为保证产品质量，检测依据JY 0001-2003 教学仪器设备产品一般质量要求，并包含以下检测内容：性能的一般要求、安全的一般要求、结构的一般要求、外观的一般要求等，检测结果为合格；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依据《金属家具通用技术条件》；重金属检测结果为合格；提供第三方权威检测机构出具的检测报告复印件或扫描件并加盖制造厂商公章（检测报告带CMA或者CNAS标识， 通过权威检测机构电话查询真伪，中标后提供原件备查）</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7839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D87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6EA4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1391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020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85B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水火箭</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B5F9F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配套打气筒，输气管不短于3m，有向上发射架，发射体有尾翼；容器承受0.5MPa压强应不膨胀或者开裂，小于0.6MPa时容器塞应能脱落，发射后运动方向偏离≤30°</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2C8B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16D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5672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892D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B72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339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气火箭</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04466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配套打气筒，输气管不短于3m，有向上发射架，发射体有尾翼；容器承受0.5MPa压强应不膨胀或者开裂，小于0.6MPa时容器塞应能脱落，发射后运动方向偏离≤30°</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FD9E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38D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EC34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94A1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16A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7FF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物体受力与运动演示器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F5CCB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含直流电机、绕线盘、电源开关等；直流电机额定电压3V，空载电流小于50mA，悬挂200g重物匀速上升时工作电流小于150mA；电源开关应能控制电机正/反向旋转，中间为停；绕线盘外应有标志，可看到绕线盘旋转方向，线长800mm±50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F5A2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BF3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3D55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640B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438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682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螺旋弹簧组</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19C8D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由拉力极限分别为4.9N、2.94N、1.96N、0.98N和0.49N的5种弹簧构成；各弹簧带长50mm挂钩(有指针)，两端应为圆拉环</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1C83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组</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896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B6FC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09F91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EBA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F0C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演示测力计</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41636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平板式；量程0N〜2N，分度值0.1N；示值误差≤1/4分度，升降示差≤1/2分度，重复性偏差≤1/4分度</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689A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5A5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38B8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7D90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E75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A49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条形盒测力计（1N）</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F3A6E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量程0N〜1N，分度值0.02N；示值误差≤1/2分度，升降示差≤1/2分度，重复性偏差≤1/4分度</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124F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E42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A980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079D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D69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66C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条形盒测力计（2.5N）</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8AC04E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量程0N〜2.5N，分度值0.05N；示值误差≤1/4分度，升降示差≤1/2分度，重复性偏差≤1/4分度</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8753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846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DB13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1B10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E73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758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条形盒测力计（5N）</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E1F6C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量程0N〜5N，分度值0.1N；示值误差≤1/4分度，升降示差≤1/2分度，重复性偏差≤1/4分度</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2403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65A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D31A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9BAC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ED4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4A4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条形盒测力计（10N）</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BF0885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量程0N〜10N，分度值0.2N；示值误差≤1/4分度，升降示差≤1/2分度，重复性偏差≤1/4分度</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BF8C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DBB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0388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7812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89A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749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数字测力计（5N）</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B4686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量程0N〜5N，误差≤±1.0%FS±1字，采样频率应不低于100次/秒，可测拉力和压力，不接电脑能独立运行，显示屏尺寸不小于30mm×40mm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CF85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F99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849E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A6DC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6E3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A83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数字测力计（20N)</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B2834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量程0N~20N，误差≤±1.0%FS±1字，采样频率应不低于100次/秒，可测拉力和压力，不接电脑能独立运行，显示屏尺寸不小于30mm×40mm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05F4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747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738D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8325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1D3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0D4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拉压测力计</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F6755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指针式，量程为-10N~10N，分度值0.2N，示值误差≤1/4分度，升降示差≤1/2分度，重复性偏差≤1/4分度</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E3E5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0C4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14B7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CD94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06E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690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重锤</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29B96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1、适用于物理实验教学用。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2、重量≥300g。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BB80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06D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E534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A510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B48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BEF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金属钩码</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52FD5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10g(Φ22mm)×l，20g(Φ26mm)×2，50g(Φ30mm)×2，200g(Φ48mm)×1，允许误差：10g±0.1g，20g±0.2g，50g±0.5g，200g±2.0g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EA42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A22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F4CA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0838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6A1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90E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重心应用趣味实验材料</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14C03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可实现平衡鸟、高空踏车、斜坡上的不倒翁等趣味实验</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BD19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组</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5F9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26E6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17C3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6C5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BDA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摩擦力实验器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D04E0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1.产品组成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摩擦力实验器由金属底板、摩擦板、摩擦块、摩擦材料（三种不同材料，即砂纸、棉布、塑料片)、控制器(带匀速电机、调速开关、香蕉插头)、定滑轮、测力计(2.5N) 、测力计支架、绳子、钩码(50gx2)等组成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2.产品规格：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金属底板尺寸：800mm*100mm*18mm，金属板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摩擦板尺寸：400mm*90mm*18mm，松木板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摩擦块尺寸：110mm*50mm*50mm，共两块，四面平面分别为木面、砂纸面、棉布面、塑料片面；其余面为钩码槽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电机控制器：集成在金属底板上，采用冷轧钢板折弯静电喷塑，指示文字uv喷绘。配有：PWM直流电机调速器，2A电流，带自恢复保险，6V40转减速电机，定制输出轮，拨动式电源开关，香蕉插头</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测力计支架：面板采用冷轧钢板折弯静电喷塑，面板尺寸120mm*350mm，指示文字uv喷绘，配有定制滑轮，光滑无摩擦，配有2.5N测力计。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其他配件：绳子，钩码（50g*2）</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★为保证产品质量，检测依据JY 0001-2003 教学仪器设备产品一般质量要求，并包含以下检测内容：性能的一般要求、安全的一般要求、结构的一般要求、外观的一般要求等，检测结果为合格；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依据《金属家具通用技术条件》；重金属检测结果为合格；提供第三方权威检测机构出具的检测报告复印件或扫描件并加盖制造厂商公章（检测报告带CMA或者CNAS标识， 通过权威检测机构电话查询真伪，中标后提供原件备查）</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E6B4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AB5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968D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4480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09E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F73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摩擦力趣味实验制作材料</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0EC5F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可完成听话的瓶子、气垫光盘等趣味实验</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C51E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CC5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D049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0174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926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8A2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轴承模型</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5A825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包括滚动轴承和滑动轴承2种：滑动轴承由工程塑料制轴承架、金属制转轴、铜轴套组成；滚动轴承由透明塑料外圈和内圈、钢滚珠(直径≥15mm)组成，外圈外径≥120mm，内圈内径≥55mm，能看清滚动轴承内部结构</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52E6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991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12DB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D075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52C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01B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运动和力实验器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3D7C0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包括小车(车轮直径≥2cm)、平面板、过渡片、斜面板、挡板、支架、3个小球及空盒、3种不同阻力的平面等；平面板长度不小于800mm，宽度不小于120mm；斜面与平面连接平滑，不铺摩擦材料与铺摩擦材料的情况下，小车运动距离相差应不小于80mm；铺两种不同的摩擦材料，小车运动距离相差应不小于40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C005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276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6302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DB49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C75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731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伽利略理想斜面演示器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EE8B7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 产品规格：1150mm*130mm*30mm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主要材质：氧化黑铝制底座、镀锌板、塑料、不锈钢铁球</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1、产品由基座、斜面轨道、斜面调节背板、护球器、高度标尺（UV喷绘在背板上）、不锈钢球、支脚和调平支架等组成。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2、轨道长度为1200mm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3、基座为铝制，长1150mm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4、背板采用1.2mm镀锌板喷塑，上有UV打印原理说明以及高度标尺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演示静止的小球沿一个斜面滚下，将滚上另一个斜面;如果没有摩擦，小球将上升到原来释放的高度，减小第二个斜面的倾角，小球在这个斜面上仍然会达到原来的高度;继续减小第二个斜面的倾角，最后使它成水平面，小球会沿水平面做持续的匀速运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★为保证产品质量，检测依据JY 0001-2003 教学仪器设备产品一般质量要求，并包含以下检测内容：性能的一般要求、安全的一般要求、结构的一般要求、外观的一般要求等，检测结果为合格；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依据《金属家具通用技术条件》；重金属检测结果为合格；提供第三方权威检测机构出具的检测报告复印件或扫描件并加盖制造厂商公章（检测报告带CMA或者CNAS标识， 通过权威检测机构电话查询真伪，中标后提供原件备查）</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5365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16B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611B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999E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18E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7DF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惯性演示器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3FC6E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观察的物体应能收回，成功率不小于98%</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A33F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599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C133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8FC1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2E1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FFB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阿基米德原理实验器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A110B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包括筒、圆柱体、溢液杯、低重心浮筒、低重心浮筒配重等</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F3E2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89E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577D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9CBC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0EA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551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浮力原理演示器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F7708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由透明的大水箱、小水箱、排气管、浮体、连通管(A、B)、控制阀和支架组成。连通管A中部装有阀门，浮体放在小水箱上口，从周围缓缓加入水，浮体不浮起；打开阀门，使水面从小水箱中向浮体底部缓缓上升，当接触浮体底部时浮体上浮</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F9A5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D03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867F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B334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1AB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A9C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气体浮力演示器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6C06E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1、适用于物理实验教学用。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2、抽气式。</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C41B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93B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7123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132E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85E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D21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物体浮沉条件演示器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E13CB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由透明盛液筒(内径≥95mm，深度≥285mm)、浮体及附件(U形杯、叉子、注射器、密度计)组成；悬浮应有微调，浮体可处于漂浮、悬浮、下沉三种状态</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8917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36D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80EA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4C9B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C7D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D2E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潜水艇浮沉演示器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340A3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由潜水艇模型、注射器、软乳胶管组成；潜水艇模型中间为透明气室，顶部有吸排气孔，下端有进水孔，用注射器控制沉浮；能连续完成下沉、上浮交替动作不小于2次，悬浮时倾斜不超过10°</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A07E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B27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1D1E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EFC8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A46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E9E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压力和压强演示器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192BF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压强小桌，尺寸≥200mm×100mm×100mm；配套多孔弹性材料，尺寸≥220mm×120mm×50mm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9F80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728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DD96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2F5D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3E0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6B0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压力作用效果演示器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04D92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由3组规格相同的长方体金属块、带刻度的透明长方体容器、硬海绵块组成；跟金属块的3个面积对应的3块海绵应受力形变均匀；透明塑料盒带刻度，金属块和海绵方便取出</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7903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999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4163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8C6B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54C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14F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液体内部压强实验器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F6482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由承压盒、支杆、过渡接头、硅橡胶管、硅橡胶膜组成；承压盒内径Φ36mm~Φ38mm，硅橡胶膜厚0.5mm，支杆长度不小于300mm，有手动转动机构，有标尺</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B32E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DCE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39</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027B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5745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14C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7A9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微小压强计</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975710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由U形管、标度板、三通连接管、硅橡胶管、弹簧止水夹和连有塑料管的注射器组成；U形管外径6mm，高不小于380mm，能沿标度方向移动不小于10mm，能固定；标尺长300mm，0分度在中间，最小分度线为5mm；系统气密性好</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E2A8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AC5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37</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448A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6CEC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999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D58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透明盛液筒</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E55FC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高300mm±5mm，筒底外径≥110mm，壁厚≥1.5mm。筒身有深度标尺，标尺长≥250mm，分度值1mm，透光率应≥90％</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70E2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853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251B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11AF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DC1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523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液体对器壁压强演示器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5C4B5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透明圆筒壁同一直线上不同高度处应有3个喷嘴，对面应有1个喷嘴；配4个喷嘴塞或盖，有表示深度的标尺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★为保证产品质量，检测依据JY 0001-2003 教学仪器设备产品一般质量要求，并包含以下检测内容：性能的一般要求、安全的一般要求、结构的一般要求、外观的一般要求等，检测结果为合格；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提供第三方权威检测机构出具的检测报告复印件或扫描件并加盖制造厂商公章（检测报告带CMA或者CNAS标识， 通过权威检测机构电话查询真伪，中标后提供原件备查）</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8C3D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8FA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CEDC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BC0A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ECA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B11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液体压强与深度关系实验器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5995A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由低重心实验筒、砝码组(放入实验筒内)、浮标环等组成；实验筒在水中倾斜不应超过8°</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1259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A02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7B64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8CA3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A89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B98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帕斯卡球</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72BD7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活塞筒长200mm，外径25mm，壁厚≥1.5mm；圆球外径60mm，不锈钢或者铝合金材质；喷嘴数量≥10个，孔径0.5mm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C1C6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25B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EAF1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2681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C29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FB2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液压机模型</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78622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由大缸体、小缸体、连通管、承压台、支架、切刀和压簧等组成，全透明，工作介质为水；大小活塞直径比≥3.5，压簧全压缩时压力≥1200N，用手抽动小活塞产生的压力能切断直径2mm纯铜丝</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423C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CFA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B8ED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81BD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3CB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66D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连通器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BDFD55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由粗直管、细直管、细弯折管、细带球管等组成，尺寸210mm×210mm×120mm，底座应平稳；粗管外径30mm，细管外径12mm，无色透明材料透光率≥90％</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2E7C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9E7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DB60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CB701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F81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D58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乳胶管(外径9mm)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C7981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外径9mm、内径6mm，拉伸强度≥21MPa，扯断伸长率≥700％</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364E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3FD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9608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B1AB7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409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5E9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乳胶管(外径6mm)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445F5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外径6mm、内径4mm，拉伸强度≥21MPa，扯断伸长率≥700％</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8916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EDC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93C4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895B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4E6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E49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马德堡半球</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7A989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由半球、拉手、气嘴、阀门、橡胶管2根以及底座等组成；球体外径应≥80mm，气嘴外径8mm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1FFB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0BA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72E4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0F46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BDD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259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负压鱼缸</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FDB6E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200mm×200mm×250mm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85BC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D31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12FC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CD8A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0A1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CDA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大气压系列实验材料</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31BC0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可完成覆杯实验、负压吹气球、喷泉、拔火罐、粗测大气压、证明大气压存在、虹吸等趣味实验</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ABCA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6D4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0BAE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47A6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544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F15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空盒气压计(870～1050hPa)</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5F593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DYM3型，量程870hPa~1050hPa，整10hPa点示值误差不应超过±0.7hPa</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D342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CFE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00A0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A1B0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435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B84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空盒气压计（80～106kPa）</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CA700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教学型，多膜盒，量程80kPa~106kPa，分度值0.25kPa，任意方向倾斜90°时指针改变不大于1/2分度值，带橡皮球</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8BD8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59D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6998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CAE0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C8D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DC3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肺呼吸模拟器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6879F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能模拟吸气时，胸腔体积增大，肺中气压小于体外大气压，空气被压入肺部；反之，呼气时在气压差下肺中空气被排出体外</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0B89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0B6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F71E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C504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A19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E7E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离心水泵模型</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171EC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含泵体、驱动机构、底座、进水管、出水管等，应附漏斗、盛水筒、弓形固定夹，泵体上有透明观察窗；叶轮直径≥100mm，进水口外径10mm，出水口外径8mm；在额定转速下，扬水高度、吸水高度≥600mm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2285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61B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A897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72FE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AA8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924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抽水机模型</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19CA38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由筒身、活塞、活塞杆、进水阀、排水阀、进水管、出水管和储水池等组成；筒身应采用无色透明塑料材质，进水阀、排水阀均应单向导通</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1D93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50F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6776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492C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64E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8F7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流体压强与流速关系演示器（气体式)</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74AE2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气体式，由气体流动管道、气体接入部件、压强观测部件组成，应带气源</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E770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1FF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E6E9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111F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603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168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流体压强与流速关系演示器（液体式)</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CDA06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液体式，由液体流动管道、液体接入部件、液体回收部件、压强观测部件4部分组成</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46CB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487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19C3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AEE3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B39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CB1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流体压强与流速关系演示器（气/液两用式）</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035588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气体/液体两用式</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CBC5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50E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A584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86DC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DA3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0BF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飞机升力原理演示器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60C3E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由机翼模型(或飞机模型，硬质塑料制成)、平行风源风机、底座、滑杆等组成，机翼下表面水平；若有调速电位器的Ⅱ类电器，金属外壳(以及与金属外壳相连的螺母)不应露在外</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8E4D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C9B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F0E9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5E2F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BAA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F1A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伯努利悬浮球演示器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4493B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产品规格：445*345*60mm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主要材质：优质ABS工程塑料、亚克力板、铝合金型材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演示伯努利悬浮球的实验现象，验证伯努利原理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示教板应能平放在桌上，示教板侧边角采用优质ABS工程塑料注塑一次成型，顶部以及侧面为铝合金型材，强度更高。前面板为3mm厚亚克力板UV喷绘，后背板为5mm厚三合板/密度板。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★为保证产品质量，检测依据JY 0001-2003 教学仪器设备产品一般质量要求，并包含以下检测内容：性能的一般要求、安全的一般要求、结构的一般要求、外观的一般要求等，检测结果为合格；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依据《木家具通用技术条件》：甲醛检测结果为合格；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提供第三方权威检测机构出具的检测报告复印件或扫描件并加盖制造厂商公章（检测报告带CMA或者CNAS标识， 通过权威检测机构电话查询真伪，中标后提供原件备查）</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3F87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EAD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6DBD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394A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A44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A85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杠杆</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51074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由杠杆、轴、调平装置和6个挂钩组成，挂钩在标尺上能连续移动，杠杆长≥500mm，木杠杆尺端需包头加固</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4CCE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83A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3221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67E4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B1E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0AA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演示滑轮组</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CF296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由单滑轮2件、三并滑轮2件、三串滑轮2件、支杆滑轮2件组成，附滑轮绳；额定负荷：单滑轮9.8N，串及并滑轮为19.6N，支杆滑轮为9.8N；满负荷时，单、支杆滑轮的效率不应低于90％，并、串滑轮的效率不应低于75％</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28E7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组</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6A3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8F6F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2B71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737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ADD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滑轮组</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9B780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由单滑轮4件、二并滑轮2件、二串滑轮2件、支杆滑轮2件构成，每个滑轮组中至少有1个可止动滑轮，附滑轮绳；额定负荷：单滑轮9.8N，串及并滑轮为19.6N；满负荷时，单、支杆滑轮的效率不应低于90％，并、串滑轮的效率不应低于75％</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C1B5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组</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298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4C65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356C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715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183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支杆定滑轮组</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0B86C3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含单滑轮、桌边夹、尼龙线各3件，小铁环1件；支杆高度可调，桌边夹的夹持厚度应≥70mm，夹入深度应≥40mm，支杆长度≥100mm，单滑轮外径40mm，轮毂厚10mm，轮缘厚8mm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FF3D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组</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1F0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DD6A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BFE4B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121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D5A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轮轴模型</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E61DB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由大小台阶轮、平衡杆、平衡块、主轴和支架组成；台阶轮两种颜色，大轮Φ120mm，小轮Φ60mm；支架为2mm钢板冲压，主轴直径6mm；台阶轮相对轴的静起动力矩应≤2.5×10－4N·m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9A9E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18A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0C80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F2D2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8B5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9BA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桔槔</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6BFC9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模型，施力后能模拟实景运转</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97B6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2D8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4850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6ADB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C4B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FDE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音叉(256Hz)</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E54F1F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256Hz±0.3Hz；由音叉、共鸣箱、音叉槌等组成；松木共鸣箱，尺寸300mm×80mm×40mm；在环境噪声不大于30dB的室内，用音叉槌敲击音叉，距音叉1000mm处声强应不小于90dB</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F135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ED4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84C8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7FF4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DA9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971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音叉(512Hz)</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67CE9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512Hz±0.4Hz；由音叉、共鸣箱、音叉槌等组成；松木共鸣箱，尺寸140mm×80mm×40mm；在环境噪声不大于30dB的室内，用音叉槌敲击音叉，距音叉1000mm处声强应不小于90dB</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E699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5BF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3A6D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60FA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605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487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电铃</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E57CF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在15m范围内铃声清晰</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1083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3CF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D762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1B1B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825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07A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波动弹簧</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54F08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应不少于130圈，拉伸弹簧，扁形钢丝密绕，弹簧刚度2.0×10-3N/mm~5.0×10-3N/mm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F2A5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150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AAAD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FB7F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CF5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4CC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声传播演示器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CC852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由透明可密封容器、音频发生器、扬声器(含放大器)、传声棒、连接皮管等组成；可密封容器密封性好，能将容器内气压抽到低于-0.085MPa，并在10s内保持气压低于-0.080MPa；可演示声音在气体、液体、固体中的传播以及真空不能传声等实验</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9EE8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2FC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3DFE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1B5A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D9A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812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旋片真空泵</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740B2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额定电压：220V~/50Hz</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抽气速率：3.6m³/h</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极限压力：2Pa</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电机功率：150W</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加油量：≥140ml</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外形尺寸：≥270*101*202mm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重量：4.2kg</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进气口连接纹：7/16"力-20UNF</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3D3E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480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44A4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A8F1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2E5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469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抽气盘</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EDDC2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由底盘、橡胶管接口、阀门、橡胶密封圈、钟罩、发声装置和橡胶管等构成；抽气口接口外径8mm，钟罩内配有可悬挂的发声装置。密封性能：当压强达到－9.8×10－2MPa后停止抽气，关闭阀门，保持10min后钟罩内气压应不高于－9.0×10－2MPa。实验效果：未装入钟罩的发声装置发出的声强，在距发声装置0.5m处应不低于90dB，装入钟罩后抽气前的声强应不低于75dB，抽气后的声强应不大于45dB</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★为保证产品质量，检测依据JY 0001-2003 教学仪器设备产品一般质量要求，并包含以下检测内容：性能的一般要求、安全的一般要求、结构的一般要求、外观的一般要求等，检测结果为合格；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提供第三方权威检测机构出具的检测报告复印件或扫描件并加盖制造厂商公章（检测报告带CMA或者CNAS标识， 通过权威检测机构电话查询真伪，中标后提供原件备查）</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FBA9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3D7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E4AC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B2C5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589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62F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发音齿轮</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4606C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包括3片齿板、转轴、振动片等；齿板齿数分别为80、40、20，半圆形齿；齿板为金属材质，转动轴应采用碳钢或不锈钢材料，振动片应采用聚苯乙烯塑料</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CD75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3F1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F669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7DC86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1C6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4D1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手摇离心转台</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5587D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由机座、主动轮(带手柄)、从动轮、支杆等组成；从动轮与主动轮的转速比不低于6的整数倍，支杆直径10mm，全长140mm，支杆装配中心与从动轮轴的距离为140mm±1mm；从动轮轴孔上段为圆柱孔，下段为圆锥孔，锥度为1:20，大端直径10mm，上偏差允许＋0.15mm；深度不小于45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9B5A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FFD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DE0B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82BAB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A84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CFF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电动离心转台</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F967E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180r/min~720r/min转速连续可调；支杆直径10mm，全长140mm，支杆装配中心与从动轮轴的距离为140mm±1mm；从动轮轴孔上段为圆柱孔，下段为圆锥孔，锥度为1:20，大端直径10mm，上偏差允许＋0.15mm；深度不小于45mm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34D6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32C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5071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0F3F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BA5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A0A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话筒</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F7A74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动圈式，输出阻抗600Ω</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95AC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C4C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1448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ADA4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C8F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39D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教学示波器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F23FB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DC~2MHz，I类电器，电源端与信号输出端抗电强度3000V</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1823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452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5CDE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A464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332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CB2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示波器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D047B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数字式，10MHz，不小于18cm(7英寸)屏，有贮存功能，I类电器，电源端与信号输出端抗电强度3000V</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6E78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DED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0E68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0A38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C30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B4C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大屏幕示波器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6A3D4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屏幕对角线不小于63cm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9F8F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A71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26A3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CF10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9B1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D39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声音能量演示器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65044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带扬声器的大功率音频放大器，演示声悬浮或者声波吹蜡烛火焰等</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5C2B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499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B23A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AA8D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DE7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42B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平行光源</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5D782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至少2条平行光，非激光光源</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2353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AA6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0B79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4371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867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4CF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无影灯原理演示器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3BD090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多个点光源、被照物等</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4027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9CF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9FD4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21D0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469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46D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凹面镜</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EECBB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直径100mm，焦距65mm，镜片为玻璃基质镀反射膜，配支架和镜座</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6999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9AA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52D3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F748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B5B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01F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凸面镜</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5DCD8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直径100mm，焦距-65mm，镜片为玻璃基质镀反射膜，配支架和镜座</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43E7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F22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F32F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917E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042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43A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光的传播、反射、折射实验器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01BF6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包括能显示光路的透明材料制成的半圆玻砖、角度板、2个条形玻砖、2个半导体激光光源(不加扩束镜，1个为入射光源，1个提供法线)等，表盘直径≥300mm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2929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5AF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02C2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C093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A22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B8D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平面镜成像实验器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286F0C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由水平底座、镀半透膜的超薄塑料平面镜(厚度≤1mm)等组成；平面镜镀膜面有标志，倾角宜能连续微调；宜采用黑色物体，印有白色左右对称标志F；角度不可调平面镜固定后与水平面的角度为90°±1´，成像清晰无叠影</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3A28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5B2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09D6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D038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8B6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27C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LED光源</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D1F81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距光源500mm处照度8001x~9001x；发光形状、亮度均可调，能形成F光源、T光源等发光形状</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DF8E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84A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F202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BD72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6F5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E39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透明水槽（方形）</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A0EF0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250mm×180mm×100mm，透明塑料制，透光率≥85％，壁厚≥1.5mm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C392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E75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40F1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F672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57C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9EF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透明水槽(圆形)</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75203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Φ200mm×100mm，透明塑料制，透光率≥85％，壁厚≥1.5mm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077C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583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254B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A5D3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6B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192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光导纤维组</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8A863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透明光导直径3mm、10mm，包黑皮光导纤维5mm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10AC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组</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CDD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7B38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D268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3B9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7AB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凹透镜</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E41A9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焦距-50mm，误差±2mm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ACAB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面</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EB3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7657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1941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E53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48B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凸透镜</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674034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焦距75mm，误差±2mm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D301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面</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4CE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EA71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FF32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E71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B51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透镜及其应用实验器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824BE1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简单测量凸透镜的焦距，用凸透镜和凹透镜做望远镜，用凸透镜做投影、照相的原理等</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7F76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盒</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79C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094A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A4CA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650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871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照相机原理模型</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E0D7EC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凸透镜成像，像距可调</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1B6F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013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8902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666C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75A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076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白光的色散与合成演示器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B12AF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由光源、三棱镜、三棱镜台、光屏、支承系统等组成；两块棱镜应配对，用ZF3玻璃制，其折射率之差不大于0.003，中部色散之差不大于0.0004。实验效果：做白光的色散实验时，可见光区域内光谱连续清晰；能把白光色散后的七色光谱带还原成白光</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AFA9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321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268E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C4BC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05F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8B5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颜料的三原色</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27192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品红、黄、青</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F432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D31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DD73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7938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FC4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40C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光的三原色原理实验器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FD6047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功能：研究三原色(红绿蓝)合成各种颜色的原理；可单独显示红、绿、蓝三原色，也可显示双色光混合色和三色光混合色</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F1CB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349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38</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FE34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FF9A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7AF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B76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光的三原色合成演示仪</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39FDA1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3.1产品为组装式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3.2产品必配部件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a)主体  1套</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b)集成线路板 1套</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c)导线2根</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d)接线装置 1套</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e)成像屏一块</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f)支架一个</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DB87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DE7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31A8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7FC0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AE1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EB0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三棱镜</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CCD9F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重火石玻璃制</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A955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35B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7A9F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F19C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003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3C6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玻璃砖</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53D9B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无色光学玻璃，上底边长35mm，高度35mm，厚度15mm；一梯形面为粗加工面，其余为精加工面；上下底面平行度为0.10mm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3D96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7D0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FB3E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9C6C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CCF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2A5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光具盘</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F2FCB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分离型、磁吸附式。矩形光盘长≥650mm，宽≥240mm；圆形光盘直径≥250mm。盘面分四个象限，以一条直径为始边，分别刻有0°~90°刻度。半导体激光光源，可显示5条平行光。光学零件：梯形玻砖1件，等腰直角棱镜1件，半圆柱透镜1件，小双凹柱透镜1件，小双凸柱透镜1件，双凸透镜1件，大双凸柱透镜1件，平面镜1件，凹凸柱面镜1件，正三棱镜2件</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4407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212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6A6D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462E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5CF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E91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激光光学演示仪</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31859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含演示屏、圆形光盘、光源、分束器、光学零部件(扩束透镜、双凸柱面透镜、半圆柱面透镜、平凸柱面透镜、平凹柱面透镜、凹凸柱面反光镜、平面镜、漫反射镜、等边棱镜、等腰直角棱镜、光纤、光具架、移动尺)等。演示屏长度≥350mm，宽度≥280mm；圆形光盘直径≥160mm。光盘面分为四个象限，分别刻有0°~90°刻度。激光束经分束器在演示屏上呈现的三条光束基本相同</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5560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2FB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3542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3223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9BE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A92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光具座</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4B7C4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导轨长1000mm，导轨和滑块均为金属件，滑块在导轨上应滑行自如，无阻滞现象。金属标尺刻度900mm，分度值lmm。光源出口处照度应≥5001x，500mm处照度≥3001x。附件包括双凸透镜2件，平凸透镜1件，双凹透镜1件，“1”字屏1件，白屏1件，插杆5根，带支架毛玻璃屏1件，烛台1件。各器件易于装配、固定及拆卸</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8F9F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D76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DEF3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974E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B55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F5D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光具组</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78C01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包括双凸透镜2件，平凸透镜1件，双凹透镜1件，“l”字屏1件，白光屏1件，毛玻璃光屏1件，烛台1件(能调节焰心的高度)。光源出口照度≥500lx，0.5m处照度不小于出口照度的3／5。支承机构应能使光路上元件的光心基本等高</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AB12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CBF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8968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12D8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33F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988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擦镜纸</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4A5E6D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20cm×15cm，纸纹细密</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C4E0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盒</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902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D7FD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6B8F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FA3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5AC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玻棒(附丝绸)</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E149D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有机玻棒(附丝绸)，丝绸面积≥350mm×350mm。在规定工作条件下，用丝绸裹住玻棒(或有机玻棒)，做一次快速拉出，棒上所带的电荷用D－YDQ－Z－100型指针验电器检验张角≥30°(≥50°)</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★为保证产品质量，检测依据JY 0001-2003 教学仪器设备产品一般质量要求，并包含以下检测内容：性能的一般要求、安全的一般要求、结构的一般要求、外观的一般要求等，检测结果为合格；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提供第三方权威检测机构出具的检测报告复印件或扫描件并加盖制造厂商公章（检测报告带CMA或者CNAS标识， 通过权威检测机构电话查询真伪，中标后提供原件备查）</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062E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对</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458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B7AA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4421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D1A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5AE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胶棒(附毛皮)</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7F55B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或聚碳酸酯棒(附毛皮)，毛皮面积≥150mm×150mm。在规定工作条件下，用毛皮裹胶棒(或聚碳酸脂棒)，做一次快速拉出，棒上所带的电荷用D－YDQ－Z－100型指针验电器检验张角≥30°(≥45°)</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E48D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对</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88F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2FE3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DD22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862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9A8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电磁实验用旋转架</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9DB45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由底座、转轴和转台等组成。转台应采用静电绝缘材料制成，转台内应有一凹槽；凹槽宽度应≥15mm，凹槽深度应≥8mm，凹槽长度应≥35mm；转台应能作360°旋转</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55E0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对</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0B5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8E10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C5043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1BA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B9D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验电器连接杆</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11AA1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含导电杆、绝缘手柄等。导电杆直径≥2mm，长度≥250mm；绝缘柄直径≥10mm，长度≥150mm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8CD7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028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9249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9DEB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55C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16F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箔片验电器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442C2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由外壳、圆盘、导电杆、绝缘子、箔片、中位卡、接线柱和底座等组成。外壳应由不能带静电的材料制成，观察面应采用透明材料，透明材料透光率≥90%；箔片长度≥25mm。性能要求：相对湿度≤65%环境，圆盘上面加8kV直流高压，箔片张开与中位片角度应≥45°；移去高压后，箔片张开角度保持30°以上的时间≥10min</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6431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对</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E12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E83C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9415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E4A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F9E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指针验电器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5CFBF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由外壳、圆球、法拉第圆筒、导电杆、绝缘子、指针、指针架、接地线柱等构成。外壳应由不能带静电的材料制成，外壳上观察面应采用透明材料(透光率≥90%)；指针用非磁性材料，长度≥100mm。性能要求：相对湿度≤65%环境，圆球加9kV直流高压，指针张开角度在45°~50°；移去高压后，指针保持30°以上的时间≥20min</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D23C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对</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893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3C20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E465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51C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A59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感应起电机</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2839A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由起电盘、底座、莱顿瓶、集电杆、放电杆、电刷、电刷杆、皮带轮、连接片等组成。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起电盘上导电膜应采用铝箔和纸箔交替分布；</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莱顿瓶应采用塑料制成，电容量应≥30pF，击穿电压应≥42kV；</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集电杆采用直径不低于4mm的冷拉圆钢制成，电梳应由针状金属杆或束状裸铜线制成，与起电盘距离不应小于6mm；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放电杆采用直径为3mm的冷拉圆钢制成，表面镀铬，绝缘手柄长度应≥80mm，体积电阻率≥1016Ω·m；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电刷应采用束状磷铜线；导电膜与起电盘的90°剥离强度应≥8N。</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性能要求：在温度为20℃、相对湿度为65%±5%的环境中，摇柄转速120r/min，火花放电距离应≥55mm；在温度为5℃~30℃范围，相对湿度为85%±5%的条件下，仪器应正常工作，火花放电距离应≥30mm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86D0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B90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8B6E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6382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9AE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0DD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静电滚球演示仪(教师用)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31488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一、底座尺寸：</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尺寸与形状:基座尺寸大于或等于500mmx375mmx110mm，稳固且空间利用率高，材质与工艺:选用优质的高密度ABS材料，经模具一体注塑成型，既保证了产品的结构强度，也展现了精致的工艺美感。</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防滑设计:四脚采用网格纹设计，增大接触面积，有效防止震动和滑动，确保产品在不同环境下都能稳固放置。</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人性化搬运:左右两侧精心设计的宽100mm、内陷20mm凹槽，不仅方便提手搬运，还增添了产品的时尚感。</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前面板展示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倾角与视角:前面板以60°倾角设计，提供最佳的观看角度，让用户在任何位置都能轻松阅读。</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说明牌设计:内嵌的430mmx75mm亚克力UV说明牌，色彩鲜艳、清晰度高，不仅方便用户阅读，还提升了产品的整体美感。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二、功能参数：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操作方式:  按下电源按键，观察透明圆形罩内的轻质小球的运动现象。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三、原理说明</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探究静电作用力的现象及原理。以及电荷同性相斥，异性相吸的原理，研究能量间的转化过程。</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F293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4A06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2AD5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F750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44D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3E5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静电电机</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3D847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由起电盘、底座、莱顿瓶、集电杆、放电杆、电刷、电刷杆、皮带轮、连接片等组成。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起电盘上导电膜应采用铝箔和纸箔交替分布；</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莱顿瓶应采用塑料制成，电容量应≥30pF，击穿电压应≥42kV；</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集电杆采用直径不低于4mm的冷拉圆钢制成，电梳应由针状金属杆或束状裸铜线制成，与起电盘距离不应小于6mm；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放电杆采用直径为3mm的冷拉圆钢制成，表面镀铬，绝缘手柄长度应≥80mm，体积电阻率≥1016Ω·m；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电刷应采用束状磷铜线；导电膜与起电盘的90°剥离强度应≥8N。</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性能要求：在温度为20℃、相对湿度为65%±5%的环境中，摇柄转速120r/min，火花放电距离应≥55mm；在温度为5℃~30℃范围，相对湿度为85%±5%的条件下，仪器应正常工作，火花放电距离应≥30mm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6402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5A0E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F129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0119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FEF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1C2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条形磁铁</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78D51B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D-CG-LT-180，表面磁感应强度≥0.07T</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AB5F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对</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D97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5A13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3F95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BDC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F14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蹄形磁铁</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F4BDF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D-CG-YU-100，表面磁感应强度≥0.055T</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2444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1CC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06B0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3824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35E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91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翼形磁针</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F16DF3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2支，针体140mm×8mm，座Φ71mm×112mm，磁针体中间铆接铜轴承套，内嵌玻璃轴承，平均磁感应强度≥9mT</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D6CE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组</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7DC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F555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0556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9C7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B9F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菱形小磁针</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78ED7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16支，磁针28mm×8mm，座Φ25mm×25mm，磁针体中间铆接铜轴承套，内嵌玻璃轴承，平均磁感应强度≥5mT</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A971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组</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8FE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F2FF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8DE2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1E3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7AD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磁感线演示器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5B722F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无色透明塑料外壳，油封铁粉式，仪器尺寸不小于200mm×120mm；环境温度大于10℃时，摇匀铁粉时间每次≤20s</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FEE3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941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AA53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838E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238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791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立体磁感线演示器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97064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永磁、电磁场</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F164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5B1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1A6E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BEA3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578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AC8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磁感线演示板</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83162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每块板上有130以上个空穴，内含自由活动小铁棒</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218B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976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E4FD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0C8E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91B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8E9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铁粉</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E37C8D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铁屑要均匀，颗粒小</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B816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5F9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38CE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C7E1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A32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1DF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学生电源</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2E849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直流稳压输出1.5V~9V，每1.5V为一档，共6档；额定电流1.5A；电压偏调≤±(2％U标＋0.1V)，电压稳定度≤2％U标＋0.1V，负载稳定度≤2％U标＋0.1V，满载时纹波电压≤0.1％U标；过载保护1.05~1.5倍，延时1s；电源输入与低压输出端子间抗电强度3000V；电源输入与外壳间抗电强度Ⅰ类电器1500V，Ⅱ类电器3000V</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E13E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20F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AF21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6820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976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CF7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教学电源</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B6830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交流2V~12V，5A，每2V为一档；直流1.5V~12V，2A，分为1.5V、3V、4.5V、6V、9V、12V，共6档；40A、8s自动关断，延时1s；各档空载电压应≤1.05U标＋0.3V，各档满载电压应≥0.95U标-0.3V，直流输出时电压偏调±(2％U标＋0.1V)</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4264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25D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F644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E1FD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6AE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294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电流磁场演示器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2889E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直流导线、圆线圈、螺线管的磁场分布</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36F9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A6C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2DBD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09FA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7AD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BB8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电磁轨道加速器(立体式)</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5EA2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磁加速原理:这和电磁炮的原理是一样的，在线圈的一段有红外感应器，当感应器感应到小球接近线圈是，线圈立刻通电，钢球就被电磁吸引穿过线圈，穿过后线圈立刻断电，铁球因为惯性滚向下一个线圈，周而复始循环加速，速度越来越快，线圈越多加速越快，直到一个饱和速度.（4个线圈）</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04B6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4BB0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AB07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380E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364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7D0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电磁轨道加速器(平面式)</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7A09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磁加速原理:这和电磁炮的原理是一样的，在线圈的一段有红外感应器，当感应器感应到小球接近线圈是，线圈立刻通电，钢球就被电磁吸引穿过线圈，穿过后线圈立刻断电，铁球因为惯性滚向下一个线圈，周而复始循环加速，速度越来越快，线圈越多加速越快，直到一个饱和速度.（6个线圈）</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8910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3D73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A216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E89A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5B2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1E7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蹄形电磁铁</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4718B0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磁路总长度不小于220mm，两磁极面中心距离不小于40mm，线圈骨架两端有接线柱、焊片及垫圈，工作电流≤1A，工作电压≤6V，连续工作20min后线圈温升应不大于75℃，吸力≥49N，剩余磁力≤5.88N</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AE92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E21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373A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45F8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453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ACD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电磁铁实验器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D0367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电磁铁线圈2组、柱形铁芯1个、蹄形铁芯1个、衔铁2个组成，附连接导线3根。能组装成条形电磁铁或蹄形电磁铁，当通过线圈的直流电流为500mA时，产生的吸力应能提起质量≥200g的物体</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A4AE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BA2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D2AB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F514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2A5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1A4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原副线圈</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F8348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原线圈：0.56mmQZ型漆包线310~330匝，线圈架内径11mm，绕线宽度57mm；副线圈：0.25mmQZ型漆包线670~680匝，线圈架内径24mm，绕线宽度52mm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F75F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447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68E1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F394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0C7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53B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螺线管</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9EE84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透明底板，纯铜漆包线，单层绕线，线圈绕向清晰可见，宜附带手柄磁针</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4D42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组</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FA7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88</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E3E8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0912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D1A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0A5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充磁器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39FB9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1、主要由螺线管、整流器、电源按钮开关和外壳组成。2、对中学物理实验室配备的小磁针、磁针进行充磁或消磁。3、绝缘电阻≥20MΩ。</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1B23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16D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E2FE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5B8C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E54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939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演示电磁继电器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76322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包括电磁线圈、铁芯、轭铁、衔铁、常开触点、常闭触点、弹簧、底座等。电磁铁额定工作电压直流9V，工作电流100mA±15mA，吸合电流≤70mA，释放电流20mA~40mA。触点常闭电阻≤1Ω，常开电阻≤0.5Ω，开距≥2mm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B47D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898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E138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2918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886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0C8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电磁继电器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62A55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电磁铁额定工作电压6V，工作电流80mA±10mA，吸合电流≤50mA，释放电流15mA~20mA。触点最高电压16V，额定电流1A，常闭电阻≤0.2Ω，常开电阻≤0.2Ω，开距≥0.3mm。动合触点闭合后应无抖动现象</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0CE4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53D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ACD9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BB31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654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231</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D83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电生磁综合实验仪</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875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 六位一体，两层分布，共可做六个实验。2.特斯拉实验、改进型奥斯特实验。3.通电直导线的安培定则。4.环形电流的安培定则。5.螺线管的安培定则。6. 简易电磁铁模型。</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6DE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1D4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674A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7485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15B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A7E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磁场对电流作用实验器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5764B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包括Φ2mm铜棒1根、接线柱、导轨、U形磁铁、底板等，底板有固定磁铁装置，磁铁磁极方向可互换，与滑动变阻器配合使用，动作电流≤2A</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2010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22B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0B77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7414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9F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596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电机原理演示器（卧式）</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981B7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卧式，包括定子、转子线圈、集流环和换向器、电刷、底座等；定子与转子串励，额定工作电压应为24V；在额定工作电压下连续工作1h，温升应不高于55℃；导体与机座之间的绝缘电阻≥10MΩ</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D80E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1DF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4FD6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E8D5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608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3C7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电机原理演示器（立式）</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97180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立式，包括定子、转子线圈、集流环和换向器、电刷、底座和发光二极管等部分；尺寸应不小于300mm×230mm×100mm，额定工作电压8V；用作直流电动机时，起动电压应≤6V，电流应≤0.35A，在额定电压下工作1h温升应不高于55℃；用作直流发电机时，用手(正、反向)转动转子，应能使(正、反向)发光二极管闪亮；用作交流发电机时，用手转动转子，应能使(正、反向)发光二极管交替闪亮；导体与机座之间的绝缘电阻≥10MΩ</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EC19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33D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16DF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17F8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0EA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601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小型电动机实验器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761A6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由定子、转子、电刷、转子支架和底座等组成。直流工作电压1.5V~8V，工作电流0.5A~1A；启动性能：永磁≤3V，励磁并励≤3V，励磁串励≤6V；电枢线圈在任何位置时换向器都不应将两电刷短路</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C6D4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8A9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9DE0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5F57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129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7F3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方形线圈</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739B2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非金属材料正方形框架；线圈应由直径Φ0.41mmQZ型漆包线绕150匝以上制成，线圈边长为63mm±3mm；线圈引线为截面积为0.20mm~20.25mm2、长320mm的多股软线，线端接线叉；接线棒由绝缘材料制成，长度150mm~160mm，安装红、黑接插两用接线柱，两接线柱的间距等于线圈宽度；接线棒固定端外径10mm，能固定在方座支架的垂直夹上</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15C0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592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7FFF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497F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B40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537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微电流放大器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5EA69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放大倍数1000倍，输入端可连接单根导线，输出接演示电表，输出电压可调，使用6V干电池(单电源)供电。外壳全屏蔽，输入、输出均采用接插两用接线柱。附屏蔽导线1根，长0.5m，两端为接线插头。附10kΩNTC热敏电阻和电桥(电源电压1.5V)，在不同环境气温时都能调平衡。调零：能平滑稳定将检流计零位调到全量程内任意1分度。零漂不大于满度值的5%/min</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2FE7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C19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C254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74BB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D9C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A89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电磁感应线圈</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73F96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由单匝线圈及4匝线圈构成，线圈应固定在绝缘板上，绝缘板应能固定在方座支架上</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F893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C35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E135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39D3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2E9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6AF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手摇交直流发电机</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75382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包括定子、转子、整流器、集流环、电刷、灯座(带灯泡)、手摇驱动机构和底板等部分。定子应由永磁体和极靴组成，转子应由转轴、两极电枢铁芯、电枢线圈以及整流器和集流环组成。整流器在任何位置不应将两电刷短路，电刷与整流器和集流环应使用弹性接触，转动灵活。转子转速为1600r/min空载时，输出端交流和直流电压均应≥8V；接16Ω电阻负载时，输出端交流和直流电压均应≥5V；不带皮带轮用作电动机使用时启动电压应≤4V，电流应≤0.4A</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2724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D05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A1E1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7099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C00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32A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半导体收音机</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5B9C1E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便携式，应含中波、短波</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32FC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2BD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B5CA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9380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A0A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A77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电话原理模型</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FAE93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模拟炭粒送话器振动片振动时电阻变化引起电流变化，使受话器的振动片相应在平衡位置两边振动</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EA43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16F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EDC5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E963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376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846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单摆</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992B5E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由摆球(钢球、塑料球)、摆线和单摆夹组成，不少于5个摆球。摆球直径20mm，穿线孔两端直径相同，线长1500mm。单摆夹应由金属材料制成，夹口应为V形，单摆在摆动过程中摆线上的固定点应不变</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E4D6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32D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DF69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9DF6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669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13A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滚摆</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8180E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包括摆体(摆轮和摆轴)、悬线和支架等。摆轮采用金属材质，直径125mm；摆轴采用钢材制作，直径8mm，长160mm；支架高460mm，横梁长300mm；摆体质量为0.6kg~0.8kg。摆体前10次的回升累计递减量应≤65mm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7121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A8F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E371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448F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AEA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A64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离心轨道</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3E8FD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由底板、环形轨道、钢球、塑料球和接球装置等组成。环形轨道有供球出、入的2个斜坡，长坡顶部有球座，短坡顶部有接球装置。环形轨道环内径≥140mm，短坡高≥120mm，长坡高/圆环半径倍数不大于4。钢球和塑料球直径Φ25mm。球自长坡顶部滚下，应能连续(在轨道顶部不脱离与轨道的接触)沿轨道滚动一周，并在短坡顶部进入接球装置</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3B61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BB7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3AF0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CA37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23D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701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动能实验演示器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354BB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包括2组平行铝合金滑道；直径相同、质量不同的2个金属球，直径相同、质量相同的2个金属球；金属球释放系统；动能大小观察或比较系统。斜面轨道与水平轨道连接要平滑，斜面轨道可调节不少于3组金属球释放的高度，通过机械控制或电子控制保证金属球能同时释放。动能大小观察或比较系统可定性观察同一高度不同质量的小球滚至水平轨道时速度相同，或用光电门等测速装置测出两种情况下速度相同，误差≤1%。动能测量系统带有标尺，能定性观测和比较动能的大小</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2FDF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5A1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C847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88A44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0F3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64F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重力势能实验演示器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34A8C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由直径相同、质量不同的2个金属球，直径相同、质量相同的2个金属球，金属球释放系统，势能大小观察或比较系统，铝合金支架等组成。</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A3E3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2AD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8022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0BB3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011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A5D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气体做功内能减少演示器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6D84C7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由气体做功部分和温度测量部分组成，做功部分应由贮气筒、安全阀、压力表、活塞及活塞筒、进气阀、出气阀等组成，固定在底座上。测量部分应由温度传感器、数显温度表等组成。电压6V，电流≤50mA</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0CDF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D3F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C188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82BC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2F2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6DB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气体做功内能减少演示器(配微电流放大器)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08939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10kΩ的NTC热敏电阻封在100mL注射器内，同时可演示内能减少和内能增大，热响应时间≤1s</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5B86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697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6784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4ED3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C9A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67C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机械能内能互变演示器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E3C6E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由导热管、塞盖、弓形夹、摩擦绳等组成；导热管用紫铜管制成，Φ16mm，厚1mm，长65mm；摩擦绳为约Φ4.5mm腊旗绳，长度不小于1m；弓形夹有效夹持厚度为5mm~55mm，夹持深度≥30mm，夹紧压力≥1960N</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D696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B85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ED11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C44E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435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7E5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金属线膨胀演示器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584C35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包括金属试棒(铜、铁和铝棒各1根)、传动机构、指针、标尺、底座、支架、专用酒精槽和火焰罩等；标尺不小于40°，每10°有一主刻度线；专用酒精槽120mm×40mm×25mm，铝材，有能盖住3根金属棒的火焰罩；3组传动机构带动指针运动互不干扰，调节指针零位平稳，实验过程中指针运动方向与试棒伸缩方向一致，无跳动；在室内无风条件下，用专用酒精槽加热3min，指针最小偏转角应不小于5°，最大偏转角与最小偏转角差应不小于30°</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BCE8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349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0A35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E936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A93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1A9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空气压缩引火仪</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B7DF17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由气缸、底座、端盖、活塞等部分组成。气缸用透明有机玻璃制作，内径Φ10mm，外径Φ25mm，长130mm，底座Φ65mm，手柄Φ40mm，活塞杆Φ8mm。活塞体应使用弹性材料制成，活塞与气缸气密性应良好，连续压缩引火100次后密封圈性能不变。应能引燃脱脂棉，不应使用硝化棉</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1E02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534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053E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FB20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062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2A8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汽油机模型</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4BDBC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四冲程，单缸，示结构原理。由进气管、进气阀、排气管、排气阀、气缸、活塞、连杆、曲轴、火花塞、齿轮凸轮总成、飞轮、挺杆等组成。手动转动，活塞运动压缩比6:1~8:1，整体高不小于300mm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8EE0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2EB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3AD2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CA84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9BA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DEA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柴油机模型</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50B23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四冲程，单缸，示结构原理。由进气管、进气阀、排气管、排气阀、气缸、活塞、连杆、曲轴、喷油嘴、齿轮凸轮总成、飞轮、挺杆组成。手动转动，活塞运动压缩比14∶1~16∶1，整体高不小于300mm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6B60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59B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6942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597B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BE5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B09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演示电表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1C8E7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2.5级，直流电流：200μA、0.5A、2.5A，直流电压：2.5V、10V，检流：－100μA~100μA，电压灵敏度：5kΩ/V</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DE09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0B8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78B2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43DD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ECF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0DE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数字演示电表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825B6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-1/2位，双面显示，同一物理量能自动转换量程。直流电流：200μA、2mA、20mA、200mA、2A、20A，不确定度0.2％；直流电压：2V、20V、200V，不确定度0.1％；电阻：200Ω、2kΩ、20kΩ、200kΩ、2MΩ、20MΩ，不确定度0.2％；交流电压：2V、20V、200V、700V，不确定度0.5％；交流电流：2mA、20mA、200mA、2A，不确定度1.0％。2A、20A自动过载保护，故障排除自动恢复。交流供电，采用II类变压器</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D198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81C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080E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9685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160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73D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直流电流表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2C315F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0.6A、3A双量程，2.5级，基本误差、升降变差、平衡误差不超过量程上限的2.5％</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82A3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5C8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9F05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382B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5FF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C3B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数字低压电流表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9F197F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液晶显示，电池供电，采用4mm插头插孔；量程0A~4A，3位；1min自动关电，过载自恢复</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6BA0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865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006B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B0A8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1E1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FE1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直流电压表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9518F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3V、15V双量程，2.5级，基本误差、升降变差、平衡误差不超过量程上限的2.5％</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FD7A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E4A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F9B4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D31E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33C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9CE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数字低压电压表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62216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液晶显示，电池供电，采用4mm插头插孔；量程0V~40V，3-3/4位；1min自动关电，过载自恢复</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462A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899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D5EE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22FF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580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E9F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多用电表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AF301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指针式，不低于2.5级</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1CFC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12C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98CB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009D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032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241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数字多用电表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69EA1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数字式，4-1/2位，电压、电流、电阻、电容、二极管、温度、频率测试</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529D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6B2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0CBB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A82F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5D1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794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灵敏电流计</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254667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300μA，G0档表头内阻80Ω~125Ω，G1档表头内阻2400Ω~3000Ω</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5B9C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A54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CF65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C602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0C3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667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绝缘电阻表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BDF23F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ZC25-3型，额定电压500V，量程0MΩ~500MΩ，准确度10级</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33D4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8E2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5FF9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AF12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458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012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教学用E10螺口灯座（小灯座）</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D6649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由底座、接线柱和灯座等组成。底座应采用硬质绝缘材料制成，最高工作电压应为36V，最大工作电流应为2.5A。灯座口圈应采用厚0.4mm~0.5mm的黄铜材料制作，中心触点应采用厚0.3mm~0.4mm的磷铜材料制作。两接线柱之间绝缘电阻应≥2MΩ</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6DBA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161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FC04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74DA2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CCF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63C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电珠(1.5V0.3A)</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BA0739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1.5V、0.3A</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8493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354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DF1C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C2DA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ADD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25E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电珠(2.5V0.3A)</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049D1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2.5V、0.3A</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27E1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BC7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019D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B056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D92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B6C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电珠(3.8V0.3A)</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15F30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3.8V、0.3A</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1B88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E34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EFF8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720D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615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255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电珠(6V0.15A)</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BB482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6V、0.15A</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07AC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29C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9713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1ED2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E5E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4A5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单刀开关</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01CE9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最高工作电压36V，额定工作电流6A。开关闸刀、接线柱、垫片均为铜质。闸刀宽度≥7mm，闸刀厚度≥0.7mm。接线柱直径为4mm，有效行程≥4mm。通额定电流，导电部分允许温升≤35℃，操作手柄允许温升≤25℃。开关的绝缘强度应能承受1200V。在额定直流电流工作条件下，接线两端直流电压降≤100mV</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952A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BA8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78</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A68D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EF58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C33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151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滑动变阻器(5Ω3A)</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5DA04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5Ω，3A，误差应&lt;±10%；滑杆应采用正六边形、正四边形或正三角形截面，不应采用圆形截面；电阻丝采用康铜丝，接线柱应有防松动装置；额定电流工作30min温升≤300℃</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0221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339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5DA1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1EBE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6D2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50F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滑动变阻器(20Ω2A)</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464C7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20Ω，2A，误差应&lt;±10%；滑杆应采用正六边形、正四边形或正三角形截面，不应采用圆形截面；电阻丝采用康铜丝，接线柱应有防松动装置；额定电流工作30min温升≤300℃</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E47D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907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56CC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101B9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EE7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C55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滑动变阻器(50Ω1.5A）</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FD2EB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50Ω，1.5A，误差应&lt;±10%；滑杆应采用正六边形、正四边形或正三角形截面，不应采用圆形截面；电阻丝采用康铜丝，接线柱应有防松动装置；额定电流工作30min温升≤300℃</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14D7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A81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67</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7B7F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8575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751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F5A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电阻圈</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DCB7B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包括5Ω、1.5A，10Ω、1.0A，15Ω、0.6A共3种规格，阻值误差≤±1%；电阻丝应采用锰铜线或康铜线绕制；按额定电流连续工作15min后，5Ω、1.5A，10Ω、1.0A，15Ω、0.6A电阻圈外壳两侧温升分别不应高于60K、60K和45K；按额定电流连续工作2h后外壳不应出现焦灼、熔化变形、冒烟现象；加热后电阻值变化应在1%以内</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5039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216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245C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8ACC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C2E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619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演示电阻箱</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2851B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插头式，4个电阻线圈串联展开在平板上，阻值分别为1Ω、2Ω、2Ω、5Ω，允许误差±0.05Ω。1Ω和2Ω允许通过最大电流2A，5Ω允许通过最大电流1A。残余电阻≤0.05Ω</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D601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ED8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B303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5114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814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4D2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教学电阻箱</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050E8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十进多盘式，调解范围0Ω~9999.9Ω，残余电阻及其允差值25mΩ±10mΩ，功率1W</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990C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522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4598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A43D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EE4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B93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学生电阻箱</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B49EB1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十进多盘式，调解范围0~9999Ω，残余电阻及其允差值20mΩ±10mΩ，功率1W</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002C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68E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74DC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5F4C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397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C47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电阻定律演示器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D5451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产品规格：645*245*60mm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主要材质：优质ABS工程塑料、亚克力板、铝合金型材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可定性描述导体的材料与电阻的关系，验证电阻与导体的长度成正比，与导体的横截面积成反比的关系。电阻率与长度、横截面积无关。</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由2种金属导线（康铜、镍铬）、接线柱、连接片、支撑架等组成；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康铜导线2根（长均为1000mm，直径分别为0.5mm、0.3mm）；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镍铬线2根（长分别为1000mm、500mm直径均为0.3mm）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示教板应能平放、竖立在桌上，示教板侧边角采用优质ABS工程塑料注塑一次成型，顶部以及侧面为铝合金型材，强度更高。教板底脚采用优质ABS工程塑料注塑一次成型，使用旋转式可收纳设计前面板为3mm厚亚克力板UV喷绘，后背板为5mm厚三合板/密度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★为保证产品质量，检测依据JY 0001-2003 教学仪器设备产品一般质量要求，并包含以下检测内容：性能的一般要求、安全的一般要求、结构的一般要求、外观的一般要求等，检测结果为合格；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依据《木家具通用技术条件》：甲醛检测结果为合格；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提供第三方权威检测机构出具的检测报告复印件或扫描件并加盖制造厂商公章（检测报告带CMA或者CNAS标识， 通过权威检测机构电话查询真伪，中标后提供原件备查）</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4DEB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A1B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B330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B033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BBE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316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电阻定律实验器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44D5B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产品规格：600*150*60mm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主要材质：优质镀锌板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可定性描述导体的材料与电阻的关系，验证电阻与导体的长度成正比，与导体的横截面积成反比的关系。电阻率与长度、横截面积无关。</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由2种金属导线（康铜、镍铬）、接线柱、连接片、支撑架等组成；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康铜导线2根（长均为500mm，直径分别为0.5mm、0.3mm）；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镍铬线2根（长分别为500mm、300mm直径均为0.3mm）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演示器应能平放在桌上，演示器表面uv打印有标识以及使用说明，两端带有同材质不同色金属装饰条。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★为保证产品质量，检测依据JY 0001-2003 教学仪器设备产品一般质量要求，并包含以下检测内容：性能的一般要求、安全的一般要求、结构的一般要求、外观的一般要求等，检测结果为合格；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依据《木家具通用技术条件》：甲醛检测结果为合格；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提供第三方权威检测机构出具的检测报告复印件或扫描件并加盖制造厂商公章（检测报告带CMA或者CNAS标识， 通过权威检测机构电话查询真伪，中标后提供原件备查）</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2D0B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B4B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FC2B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B23A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684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AC7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插头导线</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B6A5E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长度分别为200mm、300mm、400mm；单芯4mm纯铜插头，纯铜导线；宜用不同线色</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3F18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28B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555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39CA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4C9D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3A4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FDD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接线夹导线</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C43AA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长度分别为200mm、300mm、400mm；单芯4mm纯铜接线夹，纯铜导线；宜用不同线色</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FAA9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C1E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560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9E5E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4AEF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80D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003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接线叉导线</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3AD72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长度分别为200mm、300mm、400mm；单芯4mm纯铜接线叉，接线叉开口5.9mm，纯铜导线；宜用不同线色</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CBD5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368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552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2D55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C392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139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3B7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组合接头导线</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3EC9B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长度分别为200mm、300mm、400mm；一头为单芯4mm纯铜接线叉，一头为接线夹，接线叉开口5.9mm，纯铜导线；宜用不同线色</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5423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937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F50A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53FE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BAD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E0B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演示线路实验板</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F8E58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初中型，包括线路底板6块、元器件模块、零部件等。元器件模块含电阻器(5Ω、4W)1块，电阻器(15Ω、4W)1块，电阻器(20Ω、4W)1块，电阻器(10Ω、8W)2块，V表座3块，A表座3块，接线柱座6块，单级开关3块，双极开关2块，灯座3块。零部件包括灯泡(3.8V，0.3A)6只，灯泡(6V，0.3A)6只，导线不少于48根。线路底板用工程塑料，能相互拼接，拼接后紧固平整</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AEA6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BC9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083A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E4EB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273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15E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学生线路实验板</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56007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初中型，包括线路底板1块、元器件模块、零部件等。元器件模块包括电阻器(10Ω、4W)2块，电阻器(5Ω、8W)2块，单级开关3块，灯座3块。零部件含灯泡(3.8V，0.3A)2只，灯泡(2.5V，0.2A)1只，导线不少于26根。线路底板用工程塑料，能相互拼接，拼接后紧固平整</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1381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69C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D594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2523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7DB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08F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电路设计实验套装</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2BF03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包括电机、小灯泡、蜂鸣器、干簧管、开关等部件；各元件接口接触良好，性能稳定；应能实现创意应用电路、简单机器人等设计项目</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9669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CF3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C445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4594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85E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BD2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焦耳定律演示器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19922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产品规格：645*470*60mm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主要材质：优质ABS工程塑料、亚克力板、铝合金型材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液体式焦耳定律，同一产品上数字温度计误差不大于±0.5℃，透明贮液筒3个，底座3个，电阻圈4个，配有香蕉插头导线若干。</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示教板应能竖立在桌上，顶部配有可伸缩拉手，可悬挂，示教板底脚采用优质ABS工程塑料注塑一次成型，使用旋转式可收纳设计；示教板侧边框采用优质ABS工程塑料注塑一次成型，侧边框中心带有产品标识牌，顶部以及底部为铝合金型材，强度更高。前面板为3mm厚亚克力板UV喷绘，后背板为5mm厚三合板/密度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★为保证产品质量，检测依据JY 0001-2003 教学仪器设备产品一般质量要求，并包含以下检测内容：性能的一般要求、安全的一般要求、结构的一般要求、外观的一般要求等，检测结果为合格；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依据《木家具通用技术条件》：甲醛检测结果为合格；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依据《金属家具通用技术条件》；重金属检测结果为合格；提供第三方权威检测机构出具的检测报告复印件或扫描件并加盖制造厂商公章（检测报告带CMA或者CNAS标识， 通过权威检测机构电话查询真伪，中标后提供原件备查）</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873E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381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42F0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49DF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10E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970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焦耳定律实验器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BA0F8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包括温度计、塑料容器、电热丝及并联电阻等；温度计测量范围不小于0℃~100℃，分度值为1℃，误差≤±1℃</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BD5C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D7F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B343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1600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858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A5A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低压测电器（氖泡式）</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1AEAB7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笔式，氖泡式，测电极长度不少于10mm，100V~500V，辉光应稳定不闪烁</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AFD3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支</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43A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BF30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19DA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04B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5AC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低压测电器（数字式）</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266A6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螺钉旋具式，测量范围100V~500V，起辉电压50V~90V，起辉后辉光应稳定不闪烁；绝缘电阻：常态≥20MΩ，潮态≥2MΩ；电气强度：常态2500V，潮态2000V；兼作螺钉旋具的旋杆端部硬度测3点，至少2点不低于HRC48</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B791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支</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10A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1A3D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3819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FFC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290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0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家庭电路示教板（铅熔断器）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8C326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产品规格：645*470*60mm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主要材质：优质ABS工程塑料、亚克力板、铝合金型材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配电部分：三线10A插头与电网连接，开启式闸刀开关、铅熔断器（保险丝）盒、单相机械式有功电能表（2.0级，20A）。负荷部分：三极和二极插座、三极和二极插头、螺口灯座（E27）1个、插口灯座（E27）1个倒扳开关、拉线开关、白炽灯泡（E27卡口或E27LED螺口灯泡）、卡口－螺口转换器（有卡口灯座时配）。插座、开关均为明装式，软导线（截面积0.5mm2）。火线用红色，零线用蓝色，保护地线用黄绿双色。</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示教板应能竖立在桌上，顶部配有可伸缩拉手，可悬挂，示教板底脚采用优质ABS工程塑料注塑一次成型，使用旋转式可收纳设计；示教板侧边框采用优质ABS工程塑料注塑一次成型，侧边框中心带有产品标识牌，顶部以及底部为铝合金型材，强度更高。开关电极应为左面是零线，右面是火线，三极插座上面是保护接地线。前面板为3mm厚亚克力板UV喷绘，后背板为5mm厚三合板/密度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★为保证产品质量，检测依据JY 0001-2003 教学仪器设备产品一般质量要求，并包含以下检测内容：性能的一般要求、结构的一般要求、外观的一般要求等，检测结果为合格；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依据《木家具通用技术条件》：甲醛检测结果为合格；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依据《金属家具通用技术条件》；重金属检测结果为合格；提供第三方权威检测机构出具的检测报告复印件或扫描件并加盖制造厂商公章（检测报告带CMA或者CNAS标识， 通过权威检测机构电话查询真伪，中标后提供原件备查）</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F44C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101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E242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AAC1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D8A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291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92A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家庭电路示教板（空气开关）</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150C53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产品规格：645*470*60mm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主要材质：优质ABS工程塑料、亚克力板、铝合金型材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配电部分：配电部分：三线10A插头与电网连接，带剩余电流保护器的过电流保护器（空气开关）单相静止式有功电能表（1.0级，40A）。负荷部分：三极和二极插座、三极和二极插头螺口灯座（E27）1个、插口灯座（E27）1个E27LED螺口灯泡、卡口－螺口转换器（有卡口灯座时配）、倒扳开关、拉线开关、配有有声光控开关。插座、开关均为明装式，软导线（截面积0.5mm2）火线用红色，零线用蓝色，保护地线用黄绿双色。</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示教板应能竖立在桌上，顶部配有可伸缩拉手，可悬挂，示教板底脚采用优质ABS工程塑料注塑一次成型，使用旋转式可收纳设计；示教板侧边框采用优质ABS工程塑料注塑一次成型，侧边框中心带有产品标识牌，顶部以及底部为铝合金型材，强度更高。开关电极应为左面是零线，右面是火线，三极插座上面是保护接地线。前面板为3mm厚亚克力板UV喷绘，后背板为5mm厚三合板/密度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★为保证产品质量，检测依据JY 0001-2003 教学仪器设备产品一般质量要求，并包含以下检测内容：性能的一般要求、结构的一般要求、外观的一般要求等，检测结果为合格；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依据《木家具通用技术条件》：甲醛检测结果为合格；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依据《金属家具通用技术条件》；重金属检测结果为合格；提供第三方权威检测机构出具的检测报告复印件或扫描件并加盖制造厂商公章（检测报告带CMA或者CNAS标识， 通过权威检测机构电话查询真伪，中标后提供原件备查）</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6B44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967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A858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5E14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D00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292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3A5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安全用电示教板</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00FDD6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产品规格：645*470*60mm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主要材质：优质ABS工程塑料、亚克力板、铝合金型材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12 V 供电，能演示以下模式：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一手接触火线，经脚和大地触电；一手接触火线，不经脚和大地安全（脚下绝缘）；</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二手分别接触火线和零线触电（脚站在地面或绝缘）；一手接触漏电（连接火线）的设备（例如电动机），经脚和大地触电；跨步电压触电。</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示教板应能竖立在桌上，顶部配有可伸缩拉手，可悬挂，示教板底脚采用优质ABS工程塑料注塑一次成型，使用旋转式可收纳设计；示教板侧边框采用优质ABS工程塑料注塑一次成型，侧边框中心带有产品标识牌，顶部以及底部为铝合金型材，强度更高。前面板为3mm厚亚克力板UV喷绘，后背板为5mm厚三合板/密度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★为保证产品质量，检测依据JY 0001-2003 教学仪器设备产品一般质量要求，并包含以下检测内容：性能的一般要求、安全的一般要求、结构的一般要求、外观的一般要求等，检测结果为合格；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依据《木家具通用技术条件》：甲醛检测结果为合格；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提供第三方权威检测机构出具的检测报告复印件或扫描件并加盖制造厂商公章（检测报告带CMA或者CNAS标识，通过权威检测机构电话查询真伪，中标后提供原件备查）</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E765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70F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2E36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45D7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EBD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293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885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保险丝作用演示器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7E640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产品规格：645*470*60mm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主要材质：优质ABS工程塑料、亚克力板、铝合金型材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保险丝：1 A、2 A、3 A、5 A；单芯铜导线Φ≥0.5 mm，长度≥80 mm；绝缘实验导线3 A，长度≥290 mm；单芯裸实验导线Φ≥0.7 mm，长度≥285 mm；多芯短路导线长度≥150 mm，两端有接线夹；灯泡：12 V、50 W 不少于4 个，12 V、10 W 不少于2 个；指示电表：交流，2.5 级；在保险丝接线柱上接铜导线，接入产品规定的最大负载，通电5 min，然后将负载短路，保持5 min，关闭电源，重新开启电源后应能正常工作；安全要求：变压器一次绕组与铁芯间抗电强度1500 V，一次绕组与二次绕组间抗电强度3000 V，二次绕组与保护接地线不连通，配有金属外壳保险丝作用演示器专用电源，最大可输出12V120W，通过香蕉插头连接演示器。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示教板应能竖立在桌上，顶部配有可伸缩拉手，可悬挂，示教板底脚采用优质ABS工程塑料注塑一次成型，使用旋转式可收纳设计；示教板侧边框采用优质ABS工程塑料注塑一次成型，侧边框中心带有产品标识牌，顶部以及底部为铝合金型材，强度更高。前面板为3mm厚亚克力板UV喷绘，后背板为5mm厚三合板/密度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★为保证产品质量，检测依据JY 0001-2003 教学仪器设备产品一般质量要求，并包含以下检测内容：性能的一般要求、安全的一般要求、结构的一般要求、外观的一般要求等，检测结果为合格；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依据《木家具通用技术条件》：甲醛检测结果为合格；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提供第三方权威检测机构出具的检测报告复印件或扫描件并加盖制造厂商公章（检测报告带CMA或者CNAS标识， 通过权威检测机构电话查询真伪，中标后提供原件备查）</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9A8E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471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8778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BE49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52E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294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6E5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风车及驱动系统套装</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45A72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搭建块、转轴、角度块、连接片、搭建面、驾驶室、连接角、可自由转动轮毂、带锁紧装置轮毂、带锁紧装置薄轮毂、轮胎、转盘、联轴器、底板、弹簧板条、气球、带支架的气球排气管、皮筋、重物等</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6BFD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AE5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8F63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6EAB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EAA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295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74F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能的转化演示器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A40E2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机械能－电能模块2个、互连可演示发电/电动、风力发电模块1个、太阳能电池模块1个、发光二极管显示模块1个、白炽灯模块1个、半导体制冷(热)/温差发电模块1个、附水槽1个、电压指示模块(－2.5V~2.5V)1个、专用电源(12V/4A)1个、电池模块1个、连接导线若干，可吸合在竖直的钢制黑板上</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A268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B78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74CD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7066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BDF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296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7CE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能的转化实验器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0F7860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机械能－电能模块2个、风力发电模块1个、镍氢蓄电池模块1个、太阳能电池模块1个、发光二极管显示模块1个、白炽灯模块1个、半导体制冷(热)/温差发电模块1个、电压指示模块1个。选配：斯特林发动机模型1个、专用电源(12V/4A)1个(半导体致冷实验用)</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756E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73D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9EAD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B51A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041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297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4A8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水轮机模型</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450C7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含混流式、轴流式、冲击式(水斗式)等；混流式和轴流式含水槽，注满水到水流尽，叶轮能连续转动15s；冲击式需水流量≤0.05L/s</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9948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242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C72F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2204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2F1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298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404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虚拟仿真物理实验系统</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74082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1.★初中物理虚拟实验包含中学物理电学、电磁学、力学、光学、热学、声学各部分的三维仿真实验，学生能够随时随地验证自己的想法，无需受到特定的实验室环境和器材限制，实验数量不少于70个。</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2.★支持用Unity引擎开发的全三维实验资源，为学生直观的展示物理实验的宏观和微观世界，学生可以直观的观察真实的实验现象和实验结果。</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3.可随意平移、旋转实验视角，支持用户从任意视角、任意距离观察实验台，能够高度自由交互操作。</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4.提供手型正确操作示范，既让学生观察实验现象，又让学生掌握了在实操中的正确手部动作。</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5.系统须优化处理，确保实时运行帧数高于25帧/秒。</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6.系统支持用户对实验装置进行认知，鼠标移动到对应设备上给予名称提示。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7.支持键盘鼠标与触屏操作自由转换，良好适配触摸一体机、电子白板及课堂电脑。</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8.★实验操作高度自由，操作模拟真实实验操作过程，不可采用下一步下一页等自动化动画以及大量文字按钮替代仿真操作。</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9.支持用户自由拖拽、移动、旋转实验器材和药品，学生可以不受实验步骤限制，自主选择器材、自由操作，系统给出相应的结果。</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10.系统对于学生的错误操作要给与提示，高度仿真错误及异常现象。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11.实验现象丰富，支持教师试错演示，讲解实验原理（短路、断路、烧毁、电表反偏等）。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12.★提供初中物理电学相关的实验，能够正确模拟中学阶段任意的复杂电路和现实规律，学生能够任意设计实验、自由搭建电路、修改器材参数，提供电路图、表格、I-R图像、I-U图像等常用支持实验的插件。能够真实模拟家庭电路的实验场景与实验器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13.★支持学生在“理想环境”下自主探究，排除外界干扰因素。</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14.系统提供实验详情，为用户呈现实验目的、实验现象、实验器材以及实验步骤，用户在实验过程中可以随时点击查看。</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15.系统提供实验数据记录、实验表格填写以及实验报告撰写功能。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16.实验结构清晰，覆盖教学知识点，能快速高效完成课堂演示。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17.学生在实验过程中可以一键还原实验状态，重新开始做实验。</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18.★系统提供中考实验操作实验不少于10个，分为练习和考试两种模式，支持学生自主练习与测试；在练习模式下提供实验操作自动指导功能，在实验过程中可以随时点击查看，方便学生按照正确的步骤练习；在考试模式下提供倒计时功能，要求学生在规定的时间内完成实验操作，学生提交之后可以自动显示分数。</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19.★招标现场进行现场演示《测量小灯泡电功率》实验，需将演示过程进行完整的操作录屏，并生成mp4格式视频文件，压制在U盘或光盘中，同招标文件一并提交。现场演示以下功能：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（1）采用3D真实模型；</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（2）支持用户从任意视角、任意距离观察实验台；</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（3）系统具备良好交互性，支持用户平移、旋转视角；</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（4）学生完成实验后，系统自动评分；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（5）系统提供实验操作同步录像功能，学生可以回看自己的操作过程；</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（6）学生可以自由搭建电路，模拟真实现象。</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F611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047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7709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0EBB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E27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299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1BA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无线智能电压传感器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255C5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一、结构及外观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主体正面有电源按钮、电源和蓝牙指示灯、传感器名称；背面有蓝牙编号；底部有Type-C接口；上端为导线插孔，附件红黑导线可一端接入传感器，另一端接入电路进行测量。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二、功能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1.用于测量电路、电器两端的电压。</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2.传感器内置蓝牙模块，采用蓝牙5.0技术，具备低功耗运行和待机能力。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3.传感器与数据采集终端（电脑、平板或手机）直接通过蓝牙无线连接，便于运动情况下的数据测量及各种实验环境中的数据采集，无需数据采集器。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4.可脱机进行数据采集。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5.传感器具有唯一蓝牙编号，便于数据终端选择性连接。</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6.可实现校零功能。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7.连接方式：蓝牙无线或有线。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8.节能方式：传感器打开电源，但无连接或连接无活动，几分钟后自动关闭电源。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9.支持固件空中升级。                                                                                                                                                     10.支持平台：Windows、Android、iOS/iPadOS、MacOS、 Linux、Harmony OS、统信UOS、麒麟等。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三、规格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1.量程：-30V~30V</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2.分辨率：0.02V</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3.精度：±1%F.S</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4.采样速率：蓝牙：1000次/秒；USB：10000次/秒</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5.连续使用时间：≥30小时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6.通讯距离：≥30m（空旷无遮挡）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7.可充电锂电池，电池型号：3.7V 250mAh</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A452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036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820A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1655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19F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9C8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无线智能电流传感器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104A3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一、结构及外观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主体正面有电源按钮、电源和蓝牙指示灯、传感器名称；背面有蓝牙编号；底部有Type-C接口；上端为导线插孔，附件红黑导线可一端接入传感器，另一端接入电路进行测量。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二、功能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1.用于测量电路中的电流。</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2.传感器内置蓝牙模块，采用蓝牙5.0技术，具备低功耗运行和待机能力。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3.传感器与数据采集终端（电脑、平板或手机）直接通过蓝牙无线连接，便于运动情况下的数据测量及各种实验环境中的数据采集，无需数据采集器。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4.可脱机进行数据采集。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5.传感器具有唯一蓝牙编号，便于数据终端选择性连接。</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6.可实现校零功能。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7.连接方式：蓝牙无线或有线。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8.节能方式：传感器打开电源，但无连接或连接无活动，几分钟后自动关闭电源。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9.支持固件空中升级。                                                                                                                10.支持平台：Windows、Android、iOS/iPadOS、MacOS、 Linux、Harmony OS、统信UOS、麒麟等。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三、规格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1.量程：-1A~1A</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2.分辨率：0.5mA</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3.精度：±1%F.S</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4.采样速率：蓝牙：1000次/秒；USB：10000次/秒</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5.连续使用时间：≥30小时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6.通讯距离：≥30m（空旷无遮挡）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7.可充电锂电池，电池型号：3.7V 250mAh</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B9F7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67A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25EE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1FBC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414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8A0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无线智能磁感应强度传感器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02ACB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一、结构及外观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由传感器主体和前端磁场探头连接构成。主体正面有电源按钮、电源和蓝牙指示灯、传感器名称；背面有蓝牙编号；底部有Type-C接口。</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二、功能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1.用于测量磁场的磁场强度。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2.传感器内置蓝牙模块，采用蓝牙5.0技术，具备低功耗运行和待机能力。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3.传感器与数据采集终端（电脑、平板或手机）直接通过蓝牙无线连接，便于运动情况下的数据测量及各种实验环境中的数据采集，无需数据采集器。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4.可脱机进行数据采集。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5.传感器具有唯一蓝牙编号，便于数据终端选择性连接。</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6.可测量地磁场、永磁体、通电线圈的磁感强度。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7.无需校准，即连即用。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8.连接方式：蓝牙无线或有线。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9.节能方式：传感器打开电源，但无连接或连接无活动，几分钟后自动关闭电源。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10.支持固件空中升级。                                                                                                               11.支持平台：Windows、Android、iOS/iPadOS、MacOS、 Linux、Harmony OS、统信UOS、麒麟等。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三、规格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1.量程：-64mT~64mT</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2.分辨率：0.04mT</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3.精度：±3%F.S</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4.采样速率：500次/秒</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5.连续使用时间：≥30小时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6.通讯距离：≥30m（空旷无遮挡）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7.可充电锂电池，电池型号：3.7V 150mAh</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36F0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843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1CE6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D190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A60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C2F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无线智能力传感器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D050F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一、结构及外观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本传感器造型方正，在其顶部有用于手拎的两个开孔，一个用于固定于铁杆的异形孔，背部和底部分别设有能用于固定在小车等处的螺丝孔；正面有电源按钮、电源和蓝牙指示灯、蓝牙编号、传感器名称及量程范围；下端为力传感器接口，可拧上钩子（测量拉力）或防撞塑料件（测量推力）。</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二、功能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1.用于测量拉力或压力。</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2.传感器内置蓝牙模块，采用蓝牙5.0技术，具备低功耗运行和待机能力。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3.传感器与数据采集终端（电脑、平板或手机）直接通过蓝牙无线连接，便于运动情况下的数据测量及各种实验环境中的数据采集，无需数据采集器。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4.可脱机进行数据采集。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5.传感器具有唯一蓝牙编号，便于数据终端选择性连接。</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6.使用（固定）方式：手（指）拎、固定在连接杆上。</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7.可实现校零功能。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8.连接方式：蓝牙无线或有线。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9.节能方式：传感器打开电源，但无连接或连接无活动，几分钟后自动关闭电源。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10.支持固件空中升级。                                                                                                                         11.支持平台：Windows、Android、iOS/iPadOS、MacOS、 Linux、Harmony OS、统信UOS、麒麟等。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三、规格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1.量程：-50N~50N</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2.分辨率：0.03N</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3.精度：±1%F.S</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4.采样速率：蓝牙：1000次/秒；USB：5000次/秒</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5.连续使用时间：≥30小时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6.通讯距离：≥30m（空旷无遮挡）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7.可充电锂电池，电池型号：3.7V 250mAh</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96C7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105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02C3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D846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202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57A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无线智能温度传感器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95271C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一、结构及外观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由传感器主体和前端探头连接构成。主体正面有电源按钮、电源和蓝牙指示灯、传感器名称；背面有蓝牙编号及电池仓，机身外壳与电池仓用密封圈密封。</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二、功能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1.用于测量物体表面、气体、酸碱等液体的温度。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2.传感器内置蓝牙模块，采用蓝牙5.0技术，具备低功耗运行和待机能力。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3.传感器与数据采集终端（电脑、平板或手机）直接通过蓝牙无线连接，便于运动情况下的数据测量及各种实验环境中的数据采集，无需数据采集器。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4.可脱机进行数据采集。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5.传感器具有唯一蓝牙编号，便于数据终端选择性连接。</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6.使用纽扣电池，电池可更换，一枚电池可正常课堂使用1年以上。</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7.可实现微小的温度变化快速采样。</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8.无需校准，即连即用。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9.连接方式：蓝牙无线。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10.节能方式：传感器打开电源，无连接或连接无活动，几分钟后自动关闭电源。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11.支持固件空中升级。</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12.可切换单位：℃、℉、K。                                                                                              13.支持平台：Windows、Android、iOS/iPadOS、MacOS、 Linux、Harmony OS、统信UOS、麒麟等。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三、规格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1.量程：-40℃~125℃</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2.分辨率：0.01℃</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3.精度：±0.5℃</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4.采样速率：10次/秒</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5.连续使用时间：≥120小时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6.防水等级：IP67</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7.通讯距离：≥30m（空旷无遮挡）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8.电池型号：CR2032</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756C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A05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2E1B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8AA9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E21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E12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无线智能绝对压强传感器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C8671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一、结构及外观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由传感器主体正面有电源按钮、电源和蓝牙指示灯、传感器名称；背面有蓝牙编号；底部有Type-C接口，前端是鲁尔公接头，可连接软管等多种附件接入环境中进行测量。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二、功能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1.用于测量大气环境下或密闭空间内的气体的压强。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2.传感器内置蓝牙模块，采用蓝牙5.0技术，具备低功耗运行和待机能力。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3.传感器与数据采集终端（电脑、平板或手机）直接通过蓝牙无线连接，便于运动情况下的数据测量及各种实验环境中的数据采集，无需数据采集器。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4.可脱机进行数据采集。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5.传感器具有唯一蓝牙编号，便于数据终端选择性连接。</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6.可实现校准功能。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7.连接方式：蓝牙无线或有线。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8.节能方式：传感器打开电源，但无连接或连接无活动，几分钟后自动关闭电源。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9.支持固件空中升级。                                                                                                 10.支持平台：Windows、Android、iOS/iPadOS、MacOS、 Linux、Harmony OS、统信UOS、麒麟等。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三、规格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1.量程：0~400kPa</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2.分辨率：0.1kPa</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3.精度：±2%</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4.采样速率：500次/秒</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5.连续使用时间：≥30小时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6.通讯距离：≥30m（空旷无遮挡）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7.可充电锂电池，电池型号：3.7V 250mAh</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75ED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D5B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E903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DBB8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468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CB5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无线智能声音传感器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C544D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一、结构及外观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由传感器主体和麦克风探头构成。主体正面有电源按钮、电源和蓝牙指示灯、传感器名称；背面有蓝牙编号；底部有Type-C接口；主体前端设有标准3.5mm音频接口，可与麦克风探头连接进行测量。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二、功能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1.使用驻极体话筒采集声音信号，用于测量声音的强度或声音的波形。</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2.传感器内置蓝牙无线模块，使用蓝牙5.0技术，低力和加速度运行和待机。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3.传感器与数据采集终端（电脑、平板或手机）直接通过蓝牙无线连接，便于运动情况下的数据测量及各种实验环境中的数据采集，无需数据采集器；传感器两种测量二合一，可测量声强、声波。</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4.可脱机进行数据采集。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5.传感器具有唯一蓝牙编号，便于数据终端选择性连接。</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6.无需校准，即连即用。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7.连接方式：蓝牙无线或有线。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8.节能方式：传感器打开电源，但无连接或连接无活动，几分钟后自动关闭电源。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9.支持固件空中升级。                                                                                             10.支持平台：Windows、Android、iOS/iPadOS、MacOS、 Linux、Harmony OS、统信UOS、麒麟等。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三、规格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1.量程：</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声强：55dB~110dB；声波：最大频率10000Hz、最大声强110dB（麦克风频率范围100Hz~15000Hz）</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2.分辨率：</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声强：0.1dB</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3.精度：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声强：±3dB</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4.采样速率：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声波：有线32kHz、无线8kHz</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声强：1000次/秒</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5.连续使用时间：≥30小时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6.通讯距离：≥30m（空旷无遮挡）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7.可充电锂电池，电池型号：3.7V 250mAh</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2C8B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CA7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8CBA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E793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AF7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30A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无线智能光电门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1EABD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一、结构及外观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有A、B两个光电门，整体为门式结构，A光电门正面有A门标识、电源和蓝牙指示灯，两侧有电源开关、USB接口、AB光电门连接口；B光电门正面有B门标识、电源和工作状态指示灯，侧面有AB门连接口。两个光电门顶部，两侧和门内侧设有六个用于固定的螺丝孔。</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二、功能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1.用于测量物体通过光电门的挡光时间以及速度、加速度、动量、动能等物理量。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2.传感器内置蓝牙模块，采用蓝牙5.0技术，具备低功耗运行和待机能力。</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3.传感器与数据采集终端（电脑、平板或手机）直接通过蓝牙无线连接，便于运动情况下的数据测量及各种实验环境中的数据采集，无需数据采集器。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4.传感器具有唯一蓝牙编号，便于数据终端选择性连接。</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5.光电门机身上具有多个开孔，方便固定于测量轨道上，也可在光电门内安装滑轮。</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6.无需校准，即连即用。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7.连接方式：蓝牙无线。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8.节能方式：传感器打开电源，但无连接或连接无活动，几分钟后自动关闭电源。                                                 9.支持固件空中升级。                                                                                                 10.支持平台：Windows、Android、iOS/iPadOS、MacOS、 Linux、Harmony OS、统信UOS、麒麟等。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三、规格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1.量程：0~∞s</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2.分辨率：0.01ms</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3.精度：±0.01ms</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4.采样速率：1000次/秒</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5.连续使用时间：≥100小时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6.通讯距离：≥30m（空旷无遮挡）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7.可充电锂电池，电池型号：3.7V 1000mAh</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C94C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对</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0A4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C163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CD66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B8A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F96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无线智能位移传感器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730E5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一、结构及外观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由传感器主体正面有电源按钮、电源和蓝牙指示灯、传感器名称；背面有蓝牙编号；底部有Type-C接口，前端是超声波收发装置。</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二、功能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1.用于测量物体运动的位移。</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2.传感器内置蓝牙模块，采用蓝牙5.0技术，具备低功耗运行和待机能力。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3.传感器与数据采集终端（电脑、平板或手机）直接通过蓝牙无线连接，便于运动情况下的数据测量及各种实验环境中的数据采集，无需数据采集器。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4.可脱机进行数据采集。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5.传感器具有唯一蓝牙编号，便于数据终端选择性连接。</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6.无需校准，即连即用。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7.连接方式：蓝牙无线或有线。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8.节能方式：传感器打开电源，但无连接或连接无活动，几分钟后自动关闭电源。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9.支持固件空中升级。                                                                                          10.支持平台：Windows、Android、iOS/iPadOS、MacOS、 Linux、Harmony OS、统信UOS、麒麟等。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三、规格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1.量程：20cm~200cm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2.分辨率：0.1cm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3.精度：±1cm或读数的±2%</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4.采样速率：50次/秒</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5.连续使用时间：≥30小时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6.通讯距离：≥30m（空旷无遮挡）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7.可充电锂电池，电池型号：3.7V 250mAh</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94D7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21F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D471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FF17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4F4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90B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无线智能表面温度传感器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0C4953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一、结构及外观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由传感器主体和表面温度传感器探头组成。主体正面有电源按钮、电源和蓝牙指示灯、传感器名称；背面有蓝牙编号；底部有Type-C接口。</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二、功能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1.用于测量物体的表面温度。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2.传感器内置蓝牙无线模块，使用蓝牙5.0技术，低功耗运行和待机。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3.传感器与数据采集终端（电脑、平板或手机）直接通过蓝牙无线连接，便于运动情况下的数据测量及各种实验环境中的数据采集，无需数据采集器。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4.可脱机进行数据采集。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5.传感器具有唯一蓝牙编号，便于数据终端选择性连接。</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6.无需校准，即连即用。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7.连接方式：蓝牙无线或有线。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8.节能方式：传感器打开电源，但无连接或连接无活动，几分钟后自动关闭电源。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9.支持固件空中升级。                                                                                           10.支持平台：Windows、Android、iOS/iPadOS、MacOS、 Linux、Harmony OS、统信UOS、麒麟等。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三、规格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1.量程:-25℃~125℃</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2.分辨率:0.1℃</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3.精度:±0.5℃</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4.采样速率:10次/秒</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5.连续使用时间:≥30小时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6.通讯距离:≥30m（空旷无遮挡）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7.可充电锂电池，电池型号：3.7V 250mAh</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E04E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EDF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4D25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67FD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B61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1FF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无线智能光强传感器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AC7DE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一、结构及外观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由传感器主体正面有电源按钮、电源和蓝牙指示灯、传感器名称、进光孔；背面有蓝牙编号；底部有Type-C接口。</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二、功能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1.用于测量被测环境的光强值。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2.传感器内置蓝牙模块，采用蓝牙5.0技术，具备低功耗运行和待机能力。</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3.传感器与数据采集终端（电脑、平板或手机）直接通过蓝牙无线连接，便于运动情况下的数据测量及各种实验环境中的数据采集，无需数据采集器。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4.可脱机进行数据采集。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5.传感器具有唯一蓝牙编号，便于数据终端选择性连接。</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6.无需校准，即连即用。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7.连接方式：蓝牙无线或有线。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8.节能方式：传感器打开电源，但无连接或连接无活动，几分钟后自动关闭电源。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9.支持固件空中升级。                                                                                          10.支持平台：Windows、Android、iOS/iPadOS、MacOS、 Linux、Harmony OS、统信UOS、麒麟等。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三、规格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1.量程：0~128kLux</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2.分辨率：1Lux</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3.精度：±4%F.S</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4.采样速率：10次/秒</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5.连续使用时间：≥20小时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6.通讯距离：≥30m（空旷无遮挡）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7.可充电锂电池，电池型号：3.7V 250mAh</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F218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46B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A925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FD4F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913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310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985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无线智能双路光电门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EE926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一、结构及外观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整体为门式结构，正面有1.44英寸显示屏、光电门接收口、电源开关及功能按键、电源指示灯、工作状态及蓝牙指示灯，侧面有拓展连接另一双路光电门的网口、Type-C接口，光电门顶部、两侧和门内侧设有六个用于固定的螺丝孔。</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二、功能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1.用于测量物体通过光电门的速度和加速度等物理量，且无需给出物体尺寸。</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2.传感器内置蓝牙模块，采用蓝牙5.0技术，具备低功耗运行和待机能力。</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3.传感器与数据采集终端（电脑、平板或手机）直接通过蓝牙无线连接，便于运动情况下的数据测量及各种实验环境中的数据采集，无需数据采集器。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★4.双光电门设计，可以更方便测量物体运动的时间、速度、加速度等值。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★5.内置的光电门接收口，与激光器一起使用，可以对较大的物体计时。比如：测量篮球抛出的速度、扳扔在光滑水平面上推出后的位移等。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6.使用穿过光电门条带插槽的栅带，可测量不规则物体的运动。比如：研究自由落体等。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7.传感器具有唯一蓝牙编号，便于数据终端选择性连接。</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8.光电门机身上具有多个开孔，方便固定于测量轨道上，也可在光电门内安装滑轮。</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9.无需校准，即连即用。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★10.连接方式：蓝牙无线或有线。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11.节能方式：传感器打开电源，但无连接或连接无活动，几分钟后自动关闭电源。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12.支持固件空中升级。                                                                                               13.支持平台：Windows、Android、iOS/iPadOS、MacOS、 Linux、Harmony OS、统信UOS、麒麟等。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三、规格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1.量程：0~1h</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2.分辨率：10µs</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3.精度：±10µs</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4.连续使用时间：≥20小时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5.通讯距离：≥30m（空旷无遮挡）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6.可充电锂电池，电池型号：3.7V 1000mAh</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提供由CMA、CNAS认证通过的第三方检测机构出具的检测报告佐证产品带★项关键参数指标。</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2FBD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C95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5C97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EF12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74C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311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4E2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无线智能三轴磁场传感器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9E2C3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一、结构及外观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由传感器主体和前端磁场探头连接构成。主体正面有电源按钮、电源和蓝牙指示灯、传感器名称；背面有蓝牙编号；底部有Type-C接口；在探头前端有标定的X/Y/Z方向标记。</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二、功能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1.用于测量X、Y、Z三个正交方向的磁场强度值。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2.传感器内置蓝牙模块，采用蓝牙5.0技术，具备低功耗运行和待机能力。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3.传感器与数据采集终端（电脑、平板或手机）直接通过蓝牙无线连接，便于运动情况下的数据测量及各种实验环境中的数据采集，无需数据采集器。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4.可脱机进行数据采集。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5.传感器具有唯一蓝牙编号，便于数据终端选择性连接。</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6.可测量地磁场、永磁体、通电线圈的磁感强度。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7.可实现校零功能。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8.连接方式：蓝牙无线或有线。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9.节能方式：传感器打开电源，但无连接或连接无活动，几分钟后自动关闭电源。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10.支持固件空中升级。                                                                                              11.支持平台：Windows、Android、iOS/iPadOS、MacOS、 Linux、Harmony OS、统信UOS、麒麟等。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三、规格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1.量程、分辨率、精度：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档位1：x轴 量程：-50G~50G、分辨率：0.015G、精度：±0.01G</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y轴 量程：-50G~50G、分辨率：0.015G、精度：±0.01G</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z轴 量程：-50G~50G、分辨率：0.015G、精度：±0.01G</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档位2：x轴 量程：-1300G~1300G、分辨率：1G、精度：±10G</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y轴 量程：-1300G~1300G、分辨率：1G、精度：±10G</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z轴 量程：-1300G~1300G、分辨率：1G、精度：±10G</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2.采样速率：100次/秒</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3.连续使用时间：≥20小时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4.通讯距离：≥30m（空旷无遮挡）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5.可充电锂电池，电池型号：3.7V 150mAh</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451B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6A6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8157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C020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0F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312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661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无线智能高温传感器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272B5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一、结构及外观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由传感器主体和高温传感器探头组成。主体正面有电源按钮、电源和蓝牙指示灯、传感器名称、蓝牙编号；底部有Type-C接口。高温传感器探头采用耐高温材料组成，可测量酒精灯火焰等高温环境温度。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二、功能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1.用于测量物体表面、气体、酸碱等液体的温度，也可用于超低温及高温的测量。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2.传感器内置蓝牙模块，采用蓝牙5.0技术，具备低功耗运行和待机能力。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3.传感器与数据采集终端（电脑、平板或手机）直接通过蓝牙无线连接，便于运动情况下的数据测量及各种实验环境中的数据采集，无需数据采集器。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4.可脱机进行数据采集。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5.传感器具有唯一蓝牙编号，便于数据终端选择性连接。</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6.无需校准，即连即用。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7.连接方式：蓝牙无线或有线。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8.节能方式：传感器打开电源，但无连接或连接无活动，几分钟后自动关闭电源。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9.支持固件空中升级。                                                                                         10.支持平台：Windows、Android、iOS/iPadOS、MacOS、 Linux、Harmony OS、统信UOS、麒麟等。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三、规格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1.量程：-200℃~1200℃</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2.分辨率：0.1℃</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3.精度：±3%F.S</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4.采样速率：10次/秒</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5.连续使用时间：≥30小时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6.通讯距离：≥30m（空旷无遮挡）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7.可充电锂电池，电池型号：3.7V 250mAh</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0145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F63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1752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B309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2911" w:type="dxa"/>
            <w:gridSpan w:val="3"/>
            <w:tcBorders>
              <w:top w:val="single" w:color="000000" w:sz="4" w:space="0"/>
              <w:left w:val="single" w:color="000000" w:sz="4" w:space="0"/>
              <w:bottom w:val="single" w:color="000000" w:sz="4" w:space="0"/>
              <w:right w:val="nil"/>
            </w:tcBorders>
            <w:shd w:val="clear" w:color="auto" w:fill="auto"/>
            <w:noWrap/>
            <w:vAlign w:val="center"/>
          </w:tcPr>
          <w:p w14:paraId="3D688E3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2、初中化学常规仪器配备方案</w:t>
            </w:r>
          </w:p>
        </w:tc>
        <w:tc>
          <w:tcPr>
            <w:tcW w:w="564" w:type="dxa"/>
            <w:tcBorders>
              <w:top w:val="single" w:color="000000" w:sz="4" w:space="0"/>
              <w:left w:val="nil"/>
              <w:bottom w:val="single" w:color="000000" w:sz="4" w:space="0"/>
              <w:right w:val="nil"/>
            </w:tcBorders>
            <w:shd w:val="clear" w:color="auto" w:fill="auto"/>
            <w:noWrap/>
            <w:vAlign w:val="center"/>
          </w:tcPr>
          <w:p w14:paraId="57100716">
            <w:pPr>
              <w:keepNext w:val="0"/>
              <w:keepLines w:val="0"/>
              <w:suppressLineNumbers w:val="0"/>
              <w:spacing w:before="0" w:beforeAutospacing="0" w:after="0" w:afterAutospacing="0"/>
              <w:ind w:left="0" w:right="0"/>
              <w:rPr>
                <w:rFonts w:hint="eastAsia" w:ascii="宋体" w:hAnsi="宋体" w:eastAsia="宋体" w:cs="宋体"/>
                <w:i w:val="0"/>
                <w:iCs w:val="0"/>
                <w:color w:val="auto"/>
                <w:sz w:val="24"/>
                <w:szCs w:val="24"/>
                <w:highlight w:val="none"/>
                <w:u w:val="none"/>
              </w:rPr>
            </w:pPr>
          </w:p>
        </w:tc>
        <w:tc>
          <w:tcPr>
            <w:tcW w:w="500" w:type="dxa"/>
            <w:gridSpan w:val="2"/>
            <w:tcBorders>
              <w:top w:val="single" w:color="000000" w:sz="4" w:space="0"/>
              <w:left w:val="nil"/>
              <w:bottom w:val="single" w:color="000000" w:sz="4" w:space="0"/>
              <w:right w:val="nil"/>
            </w:tcBorders>
            <w:shd w:val="clear" w:color="auto" w:fill="auto"/>
            <w:noWrap/>
            <w:vAlign w:val="center"/>
          </w:tcPr>
          <w:p w14:paraId="66413341">
            <w:pPr>
              <w:keepNext w:val="0"/>
              <w:keepLines w:val="0"/>
              <w:suppressLineNumbers w:val="0"/>
              <w:spacing w:before="0" w:beforeAutospacing="0" w:after="0" w:afterAutospacing="0"/>
              <w:ind w:left="0" w:right="0"/>
              <w:rPr>
                <w:rFonts w:hint="eastAsia" w:ascii="宋体" w:hAnsi="宋体" w:eastAsia="宋体" w:cs="宋体"/>
                <w:i w:val="0"/>
                <w:iCs w:val="0"/>
                <w:color w:val="auto"/>
                <w:sz w:val="24"/>
                <w:szCs w:val="24"/>
                <w:highlight w:val="none"/>
                <w:u w:val="none"/>
              </w:rPr>
            </w:pPr>
          </w:p>
        </w:tc>
        <w:tc>
          <w:tcPr>
            <w:tcW w:w="1138" w:type="dxa"/>
            <w:gridSpan w:val="4"/>
            <w:tcBorders>
              <w:top w:val="single" w:color="000000" w:sz="4" w:space="0"/>
              <w:left w:val="nil"/>
              <w:bottom w:val="single" w:color="000000" w:sz="4" w:space="0"/>
              <w:right w:val="nil"/>
            </w:tcBorders>
            <w:shd w:val="clear" w:color="auto" w:fill="auto"/>
            <w:noWrap/>
            <w:vAlign w:val="center"/>
          </w:tcPr>
          <w:p w14:paraId="208EED40">
            <w:pPr>
              <w:keepNext w:val="0"/>
              <w:keepLines w:val="0"/>
              <w:suppressLineNumbers w:val="0"/>
              <w:spacing w:before="0" w:beforeAutospacing="0" w:after="0" w:afterAutospacing="0"/>
              <w:ind w:left="0" w:right="0"/>
              <w:rPr>
                <w:rFonts w:hint="eastAsia" w:ascii="宋体" w:hAnsi="宋体" w:eastAsia="宋体" w:cs="宋体"/>
                <w:i w:val="0"/>
                <w:iCs w:val="0"/>
                <w:color w:val="auto"/>
                <w:sz w:val="24"/>
                <w:szCs w:val="24"/>
                <w:highlight w:val="none"/>
                <w:u w:val="none"/>
              </w:rPr>
            </w:pPr>
          </w:p>
        </w:tc>
      </w:tr>
      <w:tr w14:paraId="0556A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137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FE9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名称</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DAC2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技术规格</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FE68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单位</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A511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数量</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2DD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备注</w:t>
            </w:r>
          </w:p>
        </w:tc>
      </w:tr>
      <w:tr w14:paraId="7927F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116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172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紧急喷淋器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7CFC8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不锈钢材质，喷淋流量120L/min~180L/min</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DEF3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F95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B326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CDEDE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2A0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232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洗眼器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2C907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台式双口，铜质阀体，软性橡胶喷淋头，水流锁定开关，1.5m供水软管，PVC管外覆不锈钢网，流量12L/min~18L/min</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F641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979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7C80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699C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265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496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灭火毯</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BDE69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0" cy="99060"/>
                  <wp:effectExtent l="0" t="0" r="0" b="0"/>
                  <wp:wrapNone/>
                  <wp:docPr id="86" name="图片_1"/>
                  <wp:cNvGraphicFramePr/>
                  <a:graphic xmlns:a="http://schemas.openxmlformats.org/drawingml/2006/main">
                    <a:graphicData uri="http://schemas.openxmlformats.org/drawingml/2006/picture">
                      <pic:pic xmlns:pic="http://schemas.openxmlformats.org/drawingml/2006/picture">
                        <pic:nvPicPr>
                          <pic:cNvPr id="86" name="图片_1"/>
                          <pic:cNvPicPr/>
                        </pic:nvPicPr>
                        <pic:blipFill>
                          <a:blip r:embed="rId92"/>
                          <a:stretch>
                            <a:fillRect/>
                          </a:stretch>
                        </pic:blipFill>
                        <pic:spPr>
                          <a:xfrm>
                            <a:off x="0" y="0"/>
                            <a:ext cx="76200" cy="9906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0" cy="99060"/>
                  <wp:effectExtent l="0" t="0" r="0" b="0"/>
                  <wp:wrapNone/>
                  <wp:docPr id="87" name="图片_2"/>
                  <wp:cNvGraphicFramePr/>
                  <a:graphic xmlns:a="http://schemas.openxmlformats.org/drawingml/2006/main">
                    <a:graphicData uri="http://schemas.openxmlformats.org/drawingml/2006/picture">
                      <pic:pic xmlns:pic="http://schemas.openxmlformats.org/drawingml/2006/picture">
                        <pic:nvPicPr>
                          <pic:cNvPr id="87" name="图片_2"/>
                          <pic:cNvPicPr/>
                        </pic:nvPicPr>
                        <pic:blipFill>
                          <a:blip r:embed="rId93"/>
                          <a:stretch>
                            <a:fillRect/>
                          </a:stretch>
                        </pic:blipFill>
                        <pic:spPr>
                          <a:xfrm>
                            <a:off x="0" y="0"/>
                            <a:ext cx="76200" cy="9906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lang w:val="en-US" w:eastAsia="zh-CN" w:bidi="ar"/>
              </w:rPr>
              <w:t>玻璃纤维材质，≥1200mm×1800mm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8A40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219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5739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B8D2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84F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992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简易急救箱</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0A06E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箱内至少包括：医用酒精、饱和碳酸氢钠溶液、饱和硼酸溶液、创可贴、灭菌结晶磺胺、碘伏、胶布、医用纱布、药棉、手术剪、镊子、止血带(长度≥30cm)、烫伤膏、甘油等。箱体采用中号铝合金材质</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0034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381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9284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74B8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B22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6B5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实验服</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4AF95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可分为大、中、小号</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21D9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97B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3C79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DE497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5A9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F17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护目镜</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2BFC56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耐酸碱，抗冲击，耐磨，便于清洗，带侧光板型或封闭型</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52F4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F0F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F7C0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3791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2F4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63C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防护面罩</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9D6D35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防冲击面屏，聚碳酸酯材质，耐45m/s粒子冲击，通过弹簧箍与安全帽相连，面屏可更换，起到头部与面部双重保护作用，光洁，透明度高</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1E4B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7DB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198</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1C47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BA47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847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394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防毒口罩（E型）</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83DBD3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E型(标色：黄)，防止吸入酸性气体或蒸气</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D07A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A17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384A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DA77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7F8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51A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防毒口罩（CO型）</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71157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CO型(标色：白)，防止吸入一氧化碳气体</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513E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891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189</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A579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84C0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F71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85A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耐酸手套</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74410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机械性能不低于3级，无破损，手套应有长度≥15cm的套袖</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B08B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5F1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39BC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00BB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798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FEF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一次性乳胶手套</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9DB978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耐酸碱</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CD15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副</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FEE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7F4D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575C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349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53D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废液分类回收桶</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4F391B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塑料制，25L</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4A4D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3DE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84A0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7DB1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A0D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7CA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化学实验废液处理装置</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190D3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主体透明，能进行pH测试、酸碱废液中和、重金属凝聚和过滤，兼作教学使用，能处理中学常见无机化学废液，同时可以通过仪器内的活性炭吸附少量混入的有机物。应配备适量的凝聚剂和助凝剂，至少应配备更换用活性炭包1个。处理量≥6L/次</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1E42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8E5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AEAB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285E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D3A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216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电动离心机</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C27EA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转速≥4000r/min，容量5mL、10mL离心管各12支，无刷电机，带电锁，有定时器</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E694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CFF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F0AF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70B3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26E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047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电加热器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CEB18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密封式</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A58E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D89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9C80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627E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853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222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蒸馏水器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93FD9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不锈钢材质，出水量≥5L/h，额定功率≥4500W，外接地保护，有缺水报警或自动补水装置</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AA9E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54E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8412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2E16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227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D44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列管式烘干器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DA9B4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由外壳不少于13支通风管、电源线、发热器、风扇等组成。通风管用外径12mm的金属管制作，管壁厚≥2mm，长度185mm，每支通风管上均布10个直径5mm的通气孔。功率≥250W，绝缘电阻大于100MΩ</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B01D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AA6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1D36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8646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9B2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CBA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烘干箱</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BF83F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电热鼓风型，功率≥600W，1.5级(温度均匀性为±0.03℃，温度波动性为1.5℃)，烘干温度250℃以下，箱体内有隔板，内部容积≥350mm×350mm×350mm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2DBA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F99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3A63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F977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EC7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901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学生电源</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D864B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直流1.5V~9V，1.5A，每1.5V一档</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D6F6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95D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E8E2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9700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E41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CDC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教学电源</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47878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交流2V~12V，5A，每2V一档；直流1.5V~12V，2A，分为1.5V、3V、4.5V、6V、9V、12V，共6档</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04F6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E06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64E6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C985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C6F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83C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仪器车</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D82F6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600mm×400mm×800mm，不锈钢材质，至少两层，各层带可拆卸护栏，总载重≥60kg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2C67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辆</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423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DA49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C000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E91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3BD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试剂瓶托盘</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12BEC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搪瓷材质，内沿≥400mm×290mm×30mm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CD6B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197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48E5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6C9D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408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B46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实验用品提篮</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991EF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木制，配有提手，带抽屉，490mm×360mm×290mm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8B2F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B7F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ECAE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E98E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627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7EE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一字螺丝刀</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65D96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Ф6mm，长150mm，工作端带磁性</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9C9D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0C7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79A5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3336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C80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7A2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十字螺丝刀</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0976C6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Ф6mm，长150mm，工作端带磁性</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4932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D29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F73C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FC17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B4F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4CF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钢丝钳</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102E8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160mm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888D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把</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D40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3DD1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F228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5BB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3E3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钢锤</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4DF16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1、0.25kg，羊角锤。</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2、金属材质</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299A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把</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A03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F9A5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4193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4B9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8BC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三角锉</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2480DF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250mm，带柄</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7841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983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D0CF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8CE7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6A6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4D5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民用剪刀</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50ADB6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1.3号，150mm，A型</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2.材料为金属，表面光洁无锈蚀、无毛刺、砂眼。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3.剪子的连接销与剪体的连接松紧适度。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4.剪刀刃锋利，无崩裂，剪口前端应对齐。</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2BCF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把</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201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820D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331F3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DE8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6D7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玻璃瓶盖开启器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19C35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钢制</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2BAC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745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F2E8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4B24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630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FB5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玻璃管切割器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905C6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可切割直径20mm以下玻璃管</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8822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22F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F224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B707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9A3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324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打孔器(刀口式)</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D003C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刀口式，材质为不锈钢管、钢管或黄铜管，每组不少于4支，外径分别为9mm、8mm、7mm、6mm，并配一支带柄金属通扦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★为保证产品质量，检测依据JY 0001-2003 教学仪器设备产品一般质量要求，并包含以下检测内容：性能的一般要求、安全的一般要求、结构的一般要求、外观的一般要求等，检测结果为合格；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提供第三方权威检测机构出具的检测报告复印件或扫描件并加盖制造厂商公章（检测报告带CMA或者CNAS标识， 通过权威检测机构电话查询真伪，中标后提供原件备查）</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09BB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730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1709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B751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0F2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92D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打孔夹板</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C0D6A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硬木或硬塑料制</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4FF0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07E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A7BE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8763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E28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F72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电动钻孔器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262E20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钻头可拆卸，应配有2个以上不同孔径的钻头</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CE89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040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D310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08DE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F04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C24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托盘天平(500g,0.5g)</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22813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500g，0.5g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CDD2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E91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5CE2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9FDB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C85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5CB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电子天平(100g,0.001g）</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602A7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1、适用于实验教学用。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2、规格：100g，0.0001g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B338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0D2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4294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8070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B94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098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电子天平(200g,0.01g)</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6C72F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1、适用于实验教学用。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2、规格：200g，0.01g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1AF0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CB4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BD56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D003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6D4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342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电子天平</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4CE6D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1、适用于实验教学用。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2、规格：1000g，0.1g。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CF41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C1B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97E3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3175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357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CB4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红液温度计</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3D6D2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0℃~100℃，分度值1℃，示值误差＜1.5℃</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AAA0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支</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BB0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D115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6365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2D3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5B4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数字温度计（-30~200℃)</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DF25E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量程-30℃~200℃，分辨力0.1℃。不接电脑，可独立运行，自带显示屏</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E214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支</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4D2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9C54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54B5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CA7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2B0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多用电表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C2270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直流电流、电压、电阻2.5级，交流电压5级</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3189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6CE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ED07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E7E0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7B0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6A3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酸度计</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65A2A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笔式，pH测量范围0~14，分辨力0.1，读数清晰，配校准试剂</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4324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85F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26B5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B362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3BB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A9C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教学支架</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5F177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方形座，含铁夹、复夹、铁圈，重心稳定不晃动，夹持器内侧应有垫衬</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B045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425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FAA8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C1E3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3C9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B59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三脚架</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82B0E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铁制，环内径75mm，高150mm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EF60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4BA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CA37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A987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874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DC3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泥三角</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12226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陶制或者瓷制，内径应保证稳定支撑30mm坩埚</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A0F5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A9B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E86E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960C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946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4A5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试管架(8孔×孔径21mm)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98AD8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木制或塑料制，8孔，孔径21mm，立柱粘结牢固</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9503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320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CFF6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7E73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E23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C46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试管架(8孔×孔径25mm)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607D3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木制或塑料制，8孔，孔径25mm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ACCD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E5C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8D5E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8368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EC1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062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试管架(8孔×孔径35)</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20F73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木制或塑料制，8孔，孔径35mm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96F4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745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5B1A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4263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117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114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漏斗架</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77EE1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木制或塑料制</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05E4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EA0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9C26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C97D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0D2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F38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滴定台</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EC26F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人造石或大理石白色台面，重心稳定不晃动，底部有四个橡胶垫脚</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88EB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10F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1EEC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B58C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492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BC0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量筒(10mL)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015019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10mL，透明钠钙玻璃制，分度线、数字和标志应完整、清晰和耐久，容积为20℃时充满量筒刻度线所容纳体积</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9E51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03E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E085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F96E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5E5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59C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量筒（25mL）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FF025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25mL，透明钠钙玻璃制，分度线、数字和标志应完整、清晰和耐久，容积为20℃时充满量筒刻度线所容纳体积</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3797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2BC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F35E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3415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C79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B22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量筒（50mL）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7CAA5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50mL，透明钠钙玻璃制，分度线、数字和标志应完整、清晰和耐久，容积为20℃时充满量筒刻度线所容纳体积</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C13F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C08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25D9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D04A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BCA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9EC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量筒（100mL）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D2360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100mL，透明钠钙玻璃制，分度线、数字和标志应完整、清晰和耐久，容积为20℃时充满量筒刻度线所容纳体积</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C385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D04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99A5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F320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B7F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D82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量筒（500mL）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5F866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500mL，透明钠钙玻璃制，分度线、数字和标志应完整、清晰和耐久，容积为20℃时充满量筒刻度线所容纳体积</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ECE6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2D8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E1AA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0E30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152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5DF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容量瓶（100mL）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F4BD2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1、透明钠钙玻璃材质，由瓶体和瓶塞组成；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2、规格：100mL。</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3、容量瓶上标志应清晰、耐久，造型规范、无明显偏斜，底部不允许有结石、节瘤存在；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4、放在平台上不应旋转或摇晃；</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718E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9F1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D160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093F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269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D43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容量瓶（250mL）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2490D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250mL，透明硼硅酸盐玻璃制，刻度线应在瓶颈下部三分之二处，清晰耐久，粗细均匀</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01F6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72A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40F1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9DFE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0ED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543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容量瓶（500mL）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B75FA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500mL，透明硼硅酸盐玻璃制，刻度线应在瓶颈下部三分之二处，清晰耐久，粗细均匀</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745B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5FA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C975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D97E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86A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AEC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滴定管(酸式）</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7F4AF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酸式，具塞，25mL，透明钠钙玻璃制，良好外观，不应有积水条纹</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D514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支</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8E1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F64A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FDD6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DEC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441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滴定管(碱式）</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999E3B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碱式，无塞，25mL，透明钠钙玻璃制，良好外观，不应有积水条纹</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2ADB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支</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511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70AB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D6E0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168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74C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滴定管</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627F19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活塞材质聚四氟乙烯，25mL</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55E7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支</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88A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0F87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E253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B93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11C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试管12×70mm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B45F5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Φ12mm×70mm，透明硼硅酸盐玻璃制</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4AFC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支</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3EA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6E2C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51A1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AC1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652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试管15×150mm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A4BE3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Φ15mm×150mm，透明硼硅酸盐玻璃制</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3BFE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支</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61C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FECF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ABCC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16E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3D3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试管18×180mm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DBB62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Φ18mm×180mm，透明硼硅酸盐玻璃制</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E1B4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支</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CE9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1A9E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3037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110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B9F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试管20×200mm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49ABF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Φ20mm×200mm，透明硼硅酸盐玻璃制</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F53E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支</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297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DC97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53FD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F07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0D5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试管32×200mm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1E07F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Φ32mm×200mm，透明硼硅酸盐玻璃制</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E44B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支</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85F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D3B1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A3CB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1DB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AB2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具支试管20mm×200mm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B59A1E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Φ20mm×200mm，透明硼硅酸盐玻璃制，管底厚薄应均匀，支管连接应平滑牢固，不应有偏歪</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0ED4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支</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9EA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F2AF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92F5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EF0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015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硬质玻璃管15×150mm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6B13E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Φ15mm×150mm，透明硼硅酸盐玻璃制，耐热温度≥800℃，试管两端口部应卷口</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5B90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支</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65C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226B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0BDB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E19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EF9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硬质玻璃管20×250mm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93CCE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Φ20mm×250mm，透明硼硅酸盐玻璃制，耐热温度≥800℃，试管两端口部应卷口</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254E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支</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D18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6F1F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7105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93E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7F6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烧杯10ml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892F69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10mL，透明硼硅酸盐玻璃制，烧杯的满口容量应超过标称容量的10%或烧杯的满口容量和标称容量的两液面间距不应少于10mm，并应采用容量差值较大的一种</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D59C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85B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58</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A461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C1D9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22C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0D8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烧杯25ml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C22D1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25mL，透明硼硅酸盐玻璃制，烧杯的满口容量应超过标称容量的10%或烧杯的满口容量和标称容量的两液面间距不应少于10mm，并应采用容量差值较大的一种</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6C8E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C69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7283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899C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83D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30B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烧杯50ml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34D3E5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50mL，透明硼硅酸盐玻璃制，烧杯的满口容量应超过标称容量的10%或烧杯的满口容量和标称容量的两液面间距不应少于10mm，并应采用容量差值较大的一种</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6942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9AC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A51A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85D0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B7E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DAF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烧杯100ml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DBEB4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100mL，透明硼硅酸盐玻璃制，烧杯的满口容量应超过标称容量的10%或烧杯的满口容量和标称容量的两液面间距不应少于10mm，并应采用容量差值较大的一种</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6B44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00F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E0BB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81B0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009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E8C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烧杯250ml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70035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250mL，透明硼硅酸盐玻璃制，烧杯的满口容量应超过标称容量的10%或烧杯的满口容量和标称容量的两液面间距不应少于10mm，并应采用容量差值较大的一种</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★为保证产品质量，检测依据JY 0001-2003 教学仪器设备产品一般质量要求，并包含以下检测内容：性能的一般要求、安全的一般要求、结构的一般要求、外观的一般要求等，检测结果为合格；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提供第三方权威检测机构出具的检测报告复印件或扫描件并加盖制造厂商公章（检测报告带CMA或者CNAS标识， 通过权威检测机构电话查询真伪，中标后提供原件备查）</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42C4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3EC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909B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77CF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706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C8C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烧杯1000ml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0689B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1000mL，透明硼硅酸盐玻璃制，烧杯的满口容量应超过标称容量的10%或烧杯的满口容量和标称容量的两液面间距不应少于10mm，并应采用容量差值较大的一种</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9FE0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E92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C4A7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8627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4A2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6A7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烧瓶250mL圆底长颈</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4BCF6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250mL，圆底，透明硼硅酸盐玻璃制，玻璃薄厚均匀，底部应规整</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34EA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30C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7653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0E56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4F1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1E7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锥形瓶100ml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2B282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100mL，透明硼硅酸盐玻璃制，放在平台上应直立不摇晃、不转动</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9BF8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B18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6F4E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57AE6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026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D4D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锥形瓶（250ml）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1BCCFB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250mL，透明硼硅酸盐玻璃制，放在平台上应直立不摇晃、不转动</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64EA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D18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226C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E888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204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45C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蒸馏烧瓶250ml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BC0AF8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250mL，透明硼硅酸盐玻璃制，烧瓶的颈部同一截面应该呈圆形，颈的口部不应呈锥形，并适当提高强度</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DC21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1F6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4207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CABD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A33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2B6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集气瓶125ml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C619A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125mL，透明钠钙玻璃制，磨砂面应均匀地覆盖瓶口端面与盖板，磨砂面不应有光斑；盖板四角应倒角，四边应磨光盖板与瓶口密合性应符合：盖板与瓶口充分湿润盖合后，倒提瓶体盖板在瓶口上保持30s不脱落</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334A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721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4F2B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ABA5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83A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83B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液封除毒气集气瓶</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990E5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250mL，瓶口光滑，液封口深度≥1 cm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50A7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498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071E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F8389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E5A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651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广口瓶60ml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8782A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60mL，透明钠钙玻璃制，瓶塞与瓶口紧实，不晃动；口部应圆整光滑，底部应平整，放置平台上不应摇晃或转动</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4362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DED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F50E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2F25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42D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9F2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广口瓶500ml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FA8DB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500mL，透明钠钙玻璃制，瓶塞与瓶口紧实，不晃动；口部应圆整光滑，底部应平整，放置平台上不应摇晃或转动</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4A3C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EF5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815F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47F2B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3B5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8EE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茶色广口瓶60ml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4F895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60mL，黄棕色钠钙玻璃制，瓶塞与瓶口紧实，不晃动；口部应圆整光滑，底部应平整，放置平台上不应摇晃或转动</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9CAA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184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36A3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854F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2DB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889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茶色广口瓶250ml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105C86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250mL，黄棕色钠钙玻璃制，瓶塞与瓶口紧实，不晃动；口部应圆整光滑，底部应平整，放置平台上不应摇晃或转动</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F1BA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362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CBA4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4FE4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F69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6B5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细口瓶125ml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8A8696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125mL，透明钠钙玻璃制，瓶塞与瓶口紧实，不晃动；口部应圆整光滑，底部应平整，放置平台上不应摇晃或转动</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2D42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15E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CDE6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5493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0CA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8B0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细口瓶3000ml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0112B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3000mL，透明钠钙玻璃制，瓶塞与瓶口紧实，不晃动；口部应圆整光滑，底部应平整，放置平台上不应摇晃或转动</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A75D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642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FD46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E71E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80F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B4F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茶色细口瓶60ml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D4C84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60mL，黄棕色钠钙玻璃制，瓶塞与瓶口紧实，不晃动；口部应圆整光滑，底部应平整，放置平台上不应摇晃或转动</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3C5C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031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343C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BBB0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1C6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76B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茶色细口瓶125ml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92C05E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125mL，黄棕色钠钙玻璃制，瓶塞与瓶口紧实，不晃动；口部应圆整光滑，底部应平整，放置平台上不应摇晃或转动</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6350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BC8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0FB1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6EF9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972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A5C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茶色细口瓶500ml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44C35D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500mL，黄棕色钠钙玻璃制，瓶塞与瓶口紧实，不晃动；口部应圆整光滑，底部应平整，放置平台上不应摇晃或转动</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C59F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7AC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3212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7AE6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408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80F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茶色细口瓶1000ml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74B0A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1000mL，黄棕色钠钙玻璃制，瓶塞与瓶口紧实，不晃动；口部应圆整光滑，底部应平整，放置平台上不应摇晃或转动</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3715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5F1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D337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C758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8ED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431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滴瓶30ml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25DF7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30mL，透明钠钙玻璃制，瓶口细磨，磨砂面应均匀细腻，滴管应附橡胶帽，吸放弹性好，开口直径6mm，与滴管口套合牢固稳定</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454A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7A3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E9F6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FA9F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A80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F8B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滴瓶60ml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E3721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60mL，透明钠钙玻璃制，瓶口细磨，磨砂面应均匀细腻，滴管应附橡胶帽，吸放弹性好，开口直径6mm，与滴管口套合牢固稳定</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97AD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825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F072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9F35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82D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11B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茶色滴瓶（30ml）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57503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30mL，黄棕色钠钙玻璃制，瓶口细磨，磨砂面应均匀细腻，滴管应附橡胶帽，吸放弹性好，开口直径6mm，与滴管口套合牢固稳定</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EEA8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2F3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F1C6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9BAB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B7E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7AE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气体发生器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D1C69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250mL，漏斗柄与瓶身连接口内壁间隔≤2mm(单边)</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E79C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38D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9D96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14B8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795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C6D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冷凝器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ECB2B7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300mm±10mm，直形，管径均匀，应有防滑脱沟槽</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8379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支</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B89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FCFD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169A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7FD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643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牛角管</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B0563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Φ18mm×150mm，弯形，尖嘴处厚度＞1mm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A534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支</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22E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7277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A5B6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6DD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DF9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漏斗口径60mm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D35F9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60mm，直径准确，锥度适中</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650B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531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5C20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36FD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91B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CE2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漏斗口径90mm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2933C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90mm，直径准确，锥度适中</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1C35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5C1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4636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4177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C64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B12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安全漏斗（直形）</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D40CA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直形，径长300mm，上口直径40mm±3mm，玻璃壁厚度适中</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0C2C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02E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58</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02C3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CB75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D61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7A8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安全漏斗（双球）</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E1F419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双球，球径高度、直径一致，双球应位于环管中部，应无明显偏斜</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BEC0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69A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BEA3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3119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93B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751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分液漏斗（锥型50ml）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D72D1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50mL，锥型，瓶塞应有凹槽，瓶口有气孔</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7AF3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FC7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3683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AB76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225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8AD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分液漏斗（球型50ml）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6F4F4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50mL，球型，瓶塞应有凹槽，瓶口有气孔</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CE63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417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1AE9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F3FA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E1A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CF2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三通连接管（T形）</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B4ECED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T形，Φ7mm~8mm，连接完好，管口应作打磨或烧结处理</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6FC2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A67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C54C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9DDB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918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266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三通连接管（Y形）</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B8533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Y形，Φ7mm~8mm，连接完好，管口应作打磨或烧结处理</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DF2B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0D3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721B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CECC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833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523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滴管100mm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86A9D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100mm，直形，滴管尖嘴口径1mm，上端有防滑脱翻口，翻口处直径比滴管直径略多1mm~2mm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3C3C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支</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3E6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31C3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156C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AC2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984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滴管150mm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0C5BB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150mm，直形，滴管尖嘴口径1mm，上端有防滑脱翻口，翻口处直径比滴管直径略多1mm~2mm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9002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支</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227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624F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5F7B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4A0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723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干燥管(单球）</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F1B64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150mm，单球，硼硅酸盐玻璃制，玻璃壁厚度适中，球体圆润，导气管长度≥2cm，最好有防滑脱沟槽</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140A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支</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57B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4AD1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F5D8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E1A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18F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干燥管（U型）</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B7470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Φ15mm×150mm，U型，硼硅酸盐玻璃制，玻璃壁厚度适中，球体圆润，导气管长度≥2cm，最好有防滑脱沟槽</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96D9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支</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B9A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86A5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EF7E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E94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223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玻璃活塞</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D304F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直形，吻合良好，不漏气，不漏液</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8D02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支</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915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F06D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ADEA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FAB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088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圆水槽210×100mm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7830C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Φ200mm×100mm，水槽底部应平整，不应凸底，壁厚和底厚应均匀，口部端面应平整，边和口应圆滑</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E704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DF8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BD72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C7D0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C63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A88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圆水槽270×140mm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F9193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Φ270mm×140mm，水槽底部应平整，不应凸底，壁厚和底厚应均匀，口部端面应平整，边和口应圆滑</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428F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29C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711D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65DC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196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551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坩埚</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D9602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瓷制，30mL，耐热≥1200℃，内外壁光滑，外壁涂釉，配有坩埚盖</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DE1C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4B6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BC1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F4AA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E7B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74F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烧杯夹</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0C46C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钢制或不锈钢制，夹持部位应有橡胶保护套，避免与玻璃烧杯直接接触</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8AF5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4E1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0449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244E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A94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9F6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镊子</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7337D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不锈钢制，平头，长125mm，钢板厚1.2mm，前部应有防滑脱锯齿</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A854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D2D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BEF4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46CC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538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22A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止水皮管夹</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6AD42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Φ3mm钢丝制成，作防锈处理，夹持角度≥60º，弹性好，不漏液</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9EFA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ABC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64EA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7B187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AAF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B7A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螺旋皮管夹</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610AF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由支架管和带压板的螺杆等组成。外形尺寸约为33mm×20mm×8mm，旋转方便，不易变形，压板厚度≥1mm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3B3C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17E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EFD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AE86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885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937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石棉网</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E1209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金属网尺寸≥125mm×125mm，0.8mm钢丝制成，石棉材料不易脱落，石棉网边缘钢丝应作简单处理</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9164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7C5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9F06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2801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4EA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E48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陶土网</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4F5F7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金属网尺寸≥125mm×125mm，耐火材料为陶土，功能等同于石棉网</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C717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B5D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295C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D3FC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19C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3D8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燃烧匙</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95E7F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铜勺，勺直径18mm，深10mm，铁柄，柄长约300mm，长柄和铜勺连接稳定结实</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555B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DA9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21EB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B4F0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BDC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F9E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药匙</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16890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长度≥13cm，带小勺，材质可选金属、牛角、塑料</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B93F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484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B59D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D2E6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89D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2D8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玻璃管直径5~6mm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BA3480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Φ5mm~6mm，中性料，管口应打磨或烧结，避免划伤事故</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4DDC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g</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663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CC13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56A8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246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0C2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玻璃管直径7~8mm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138BB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Φ7mm~8mm，中性料，管口应打磨或烧结，避免划伤事故</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1061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g</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D88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88D8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9280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2C6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02C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玻璃弯管</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3D4DD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Φ7mm~8mm，一端长度为6cm~7cm，另一端长度约20cm，形状为锐角、直角和钝角，管口应打磨或烧结，避免划伤事故</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77EE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kg</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4C1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3CEB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B999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C15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4EA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玻璃棒直径5~6mm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CB60DE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Φ5mm~6mm，粗细均匀，两端烧结使其光滑</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1F46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kg</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3B8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0BA2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1BFE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DF1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CC8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玻璃棒直径7~8mm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156B08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Φ7mm~8mm，粗细均匀，两端烧结使其光滑</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0B00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kg</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971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49DD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AD80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44E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210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橡胶塞</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00054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000、00、0~10号，白色，质地均匀</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7DFB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kg</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412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29</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5D2A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EA8E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415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B5F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橡胶管</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DB2D9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外径9mm，内径6mm，乳白色，具有耐油、耐酸碱、耐压等特性</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CA18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kg</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A7A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5F08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DCA0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539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6C6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乳胶管外径6mm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BA880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外径6mm，内径4mm，弹力好，拉力范围可在自身的6倍，回弹力100%</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EF95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740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F253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4215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CB8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323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乳胶管外径7mm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8D8B7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外径7mm，内径5mm，弹力好，拉力范围可在自身的6倍，回弹力100%</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DF09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9BE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1AA8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CC75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2AD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271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乳胶管外径9mm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215AC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外径9mm，内径6mm，弹力好，拉力范围可在自身的6倍，回弹力100%</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3A98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01D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7EC3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E347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DE5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1BD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试管刷直径6mm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05EC4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Φ12mm，手持部分顶端应为环状，顶部要有刷丝，铁丝不可外露</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FFCF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4CB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609C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8A59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85D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D49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试管刷直径18mm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9F1AE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Φ18mm，手持部分顶端应为环状，顶部要有刷丝，铁丝不可外露</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B159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662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3061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DEF1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5C9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AB2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试管刷直径32mm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74B13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Φ32mm，手持部分顶端应为环状，顶部要有刷丝，铁丝不可外露</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B562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F9B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0CF5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2D51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963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56C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烧瓶刷250mL烧瓶用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E04162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250mL烧瓶用，手持部分顶端应为环状，顶部要有刷丝，铁丝不可外露</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0DF9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AA2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C08B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238A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DC2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AA6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烧瓶刷500mL烧瓶用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08208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500mL烧瓶用，手持部分顶端应为环状，顶部要有刷丝，铁丝不可外露</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D740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C73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894D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4CCB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4AD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8A7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结晶皿</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19DF9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80mm，平底，无色硼硅酸盐玻璃制</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8C8A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779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D2D5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3F3C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22B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C79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表面皿100mm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760F62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100mm，无色硼硅酸盐玻璃制</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828D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4AC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9C56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D449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817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3E0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研钵60mm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B287C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60mm，瓷或玻璃制，配有研杵，内部粗糙便于研磨，外部光滑</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DC0E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630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E420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F3EB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08D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009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研钵100mm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279A2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100mm，瓷或玻璃制，配有研杵，内部粗糙便于研磨，外部光滑</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201E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996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F75E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0CF2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FE2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205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蒸发皿100mm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401B2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100mm，瓷制，耐受温度≥800℃</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AA51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0A9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6D43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B43C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37C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E30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蒸发皿120mm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8D04A8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120mm，瓷制，耐受温度≥800℃</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EDDF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3CB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951E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151C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663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491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反应板</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AC151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白色陶瓷，6孔，表面有釉层，不会发生溶液渗透</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E5C2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CC8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9DDB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EC63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04A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35E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井穴板9孔</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524F3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透明塑料，9孔，每孔0.7mL，可以重复使用</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80A2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438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858C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F951D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972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282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井穴板6孔</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FA5B0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透明塑料，6孔，每孔5mL，配6个双导气管的井穴塞，可以重复使用</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AFAB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3D5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B019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C7FA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A37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8C2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塑料多用滴管120mm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F04A9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弹性圆筒形吸泡和一根Φ1mm×120mm的径管连接而成，容积3mL，环保材料，弹性好</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7B95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支</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7CF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1200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6337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04BE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C0D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A96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塑料洗瓶</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9660F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250mL或500mL，水嘴略向下倾斜，口径1mm~2mm，瓶口紧实不漏气</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E4D9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404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277A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7DDD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C77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830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塑料水槽</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9AF429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长方形水槽。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1.外形尺寸：250mm×180mm×100mm；壁厚≥1.5mm，四角圆度≤R5mm；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2.材料为透苯塑料注塑成型。</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F2C8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88A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178</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588C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38B82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876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BE7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集气瓶挂扣器（125mL）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9F176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125mL，塑料制</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7DD5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B19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E72F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A23A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835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79D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集气瓶挂扣器（250mL）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414C2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250mL，塑料制</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21BF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228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5CEF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41AE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8B1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F28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升降台</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31500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上下台面为不锈钢材质，100mm×100mm，台面升降范围50mm~150mm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8BEC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A04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78</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161E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B7D2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33F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9DB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酒精喷灯</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AF6D0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1．实验室常用工具，供中学理化实验进行弯曲玻管（棒）和熔接玻璃管用。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2.结构为座式，采用全铜金属材质。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3.由壶体预燃杯、壶咀、喷管、火苗调节杆和铜帽等部分组成，壶体容积250ml，温度可达800-1000℃，壶体焊缝紧密，不漏洒酒精和漏气，喷管各焊接处用银铜料焊接，不会因喷火燃烧而熔化焊接处。</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3AEE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1F3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EC3F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7791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FB6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517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储气式本生灯</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B8BAD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台式，不锈钢制，火焰温度≥1000℃，有空气控制阀，火焰可调节，丁烷气燃料容量≥30g，应通过安全性测试</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ED79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3A0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4FE5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374D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F69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DA4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储气装置</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03ECE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容积≥2L</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46DB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E66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EFFE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0C13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3C2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565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储气袋</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1C3973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容积≥30L，可承受≥10.6kPa压力，使用PVC和橡胶尼龙材料制成，导气管为硅胶软管，长度≥50cm，软管应有止气阀，关闭时确保不漏气</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5078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934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6D21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9710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8F6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061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磁力加热搅拌器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17858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最大搅拌量1L，搅拌速度0r/min~1200r/min，加热盘温度50℃~200℃</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5318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1EB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41F2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7188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B7F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0AA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初中化学实验材料</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E5E8B6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黄铜片、硬铝片、火柴、蜡烛、木板、电池、电珠、砂纸、面粉、凡士林等</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FF05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份</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418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41E9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5BFC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634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1FE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金属矿物、金属及合金标本</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1BCD7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标本盒≥180mm×150mm×50mm，每种类型不少于5种，耐用，不易损坏，便于保存，适合观察</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C137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盒</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B42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C708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E808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E12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425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溶液导电演示器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A8E36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电表式，10mA，DC6V，串联电位器1kΩ，电阻560Ω。五组溶液同时比较，1×7开关(其中一档校准)，采用不锈钢或石墨电极</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0C1B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5B6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5D53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9117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8F2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FF7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微型溶液导电实验器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B380A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所需每种溶液≤3mL</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AA4A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36C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78</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2A83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EE0E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34B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3D7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气体实验微型装置</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EA70E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1.含单球短管、单球长管、双球管、集气管、制气管等硬质玻璃仪器，无明显外观缺陷，规格30mL，配置齐全，能组装成整套的综合性微型实验装置；</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2.试剂瓶规格12mL，不少于28个。能完成与氧气、二氧化碳、氢气、一氧化碳等气体有关的实验，包括燃烧的条件实验</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EEF1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C49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3F12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EAF3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047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84A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水电解演示器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731CCE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解液为10％NaOH或者5％H2SO4溶液，碱式或酸式。实验时间：制取30mL氢气，使用电压9V，时间约5min。制取氢气一端的气体出口应采用尖嘴导管。制取氧气一端的气体出口应采用贮气漏斗。贮气漏斗的容积应为10mL。加液漏斗容积≥80mL。电极材料应使电解水时产生的氢气与氧气的体积之比为2:1，误差≤5％玻璃仪器无明显外观缺陷，便于操作、耐用，电极不易损坏；刻度清晰耐磨，示数易于读取</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550F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49B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4A36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A74F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B5B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B9B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水电解实验器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93054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解液为10％NaOH或者5％H2SO4溶液。实验时间：制取20mL氢气，使用电压12V，时间约1min；采用相同条件电解Na2SO4溶液，时间不超过5min。电极材料应使电解水时产生的氢气与氧气的体积之比为2:1，误差≤5％；仪器无明显外观缺陷，便于操作、坚固耐用；刻度清晰耐磨，示数易于读取，电极不易损坏</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C071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FDB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E2F9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59B8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992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E28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金刚石结构模型</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FF3B9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碳原子：Φ30mm的4孔黑色塑料球30个；化学键：Φ3mm×35mm镀镍金属杆40根</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A033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420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E03D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48DF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ECF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72A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石墨结构模型</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44154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碳原子：Φ30mm的5孔黑色塑料球39个；化学键：Φ3mm×50mm镀镍金属杆45根，Φ3mm×90mm镀镍金属杆14根</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1878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1E1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5C92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4271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B4E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E99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碳-60结构模型</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29EA4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碳原子：Φ30mm的3孔黑色塑料球60个；化学键：Φ6mm×25mm的镀镍金属杆90根</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5D56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233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64A7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F3E2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E6C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FC0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石墨烯结构模型</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CEC95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碳原子：Φ≥8mm黑色塑料球；化学键：Φ6.3mm×30mm透明塑料管</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EAA0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ECF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641F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75A1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741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C22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碳纳米管结构模型</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78EFBB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碳原子：Φ≥8mm黑色塑料球；化学键：Φ6.3mm×30mm透明塑料管</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D4F9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5D8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B78E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42B1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39A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40A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碘升华凝华管</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45171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Φ34mm×28mm，应采用无色透明硼硅酸盐玻璃制造，手柄与主管应连接平滑牢固，不应偏歪；主管应加碘后密封，两端面呈球面凹形，手柄靠近主管处应密封；玻璃仪器均匀透明无气泡，耐用，不易碎，采用酒精灯加热不易变形</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E80D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0CD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E6CD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7292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F03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EB0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分子间隔演示器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BE21C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无色透明，容积约为100mL，可明显观察酒精与水混合后的体积变化耐用，不易碎，刻度清晰、耐磨</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D06A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A49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277B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85FC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795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22E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分子结构模型（直径40mm塑料球）</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E4D3A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球棍式或比例式；Φ40mm塑料球：碳原子(黑色)4个，氧原子(红色)13个，氮原子(深蓝色)2个，硫原子(黄色)2个；Φ30mm塑料球：氢原子(白色)12个能够完成水、氢气、氧气、二氧化碳等分子模型的搭建</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22DA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C5D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C2B2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3459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51C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8F5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分子结构模型（直径25mm塑料球）</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91F31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球棍式或比例式；Φ25mm塑料球：碳原子(黑色)4个，氧原子(红色)13个，氮原子(深蓝色)2个，硫原子(黄色)2个；Φ17mm塑料球：氢原子(白色)12个能够完成水、氢气、氧气、二氧化碳等分子模型的搭建</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3DCB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E7C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78</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EF54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2A67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EDC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7F0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氯化钠晶体结构模型</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9B9E1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球棍式，氯原子Φ30mm的6孔绿色塑料球13个；钠原子Φ30mm的6孔银灰色塑料球14个；化学键：Φ3mm×60mm的镀镍金属杆54根</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FDAB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5FA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72CE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5FCC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252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D72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元素周期表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2987E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带轴，≥150cm×110cm，字迹信息清晰，易于观看</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CCD6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178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7982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C680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D2E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51F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元素学习卡</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E90E5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卡的厚度及大小适中，不易折损，耐用；卡片正面应有元素的名称、符号，元素名称、符号应准确，字迹清晰；可附有与该元素相关的图片，色彩美观</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D95C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275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B84A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7A1F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2EF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FF5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原油常见馏分标本</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C9873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不少于8种，耐用，易于储存，便于观察，密封完好，固定牢固</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5C50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盒</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654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5A4E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7FDA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2C8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F6F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炼铁高炉模型</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48F54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模型高度≥650mm。主要结构应用标签注明，标注应准确、清晰、牢固。各部件位置正确、连接牢固，不得因正常震动、碰触而开裂、松脱</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2F97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D3D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257A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E16D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7E5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83F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合成有机高分子材料标本</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75744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不少于10种，材料新颖，标识清楚，固定结实，不易脱落</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34DE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盒</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4F5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7C4C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16C1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19E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80E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新型无机非金属材料标本</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BE852C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标本盒体积≥180mm×150mm×50mm，包括氧化铝陶瓷、氮化硅陶瓷、光导纤维等，材料新颖，标识清楚，固定结实，不易脱落。陶瓷和玻璃切割整齐，美观</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673D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盒</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27C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B1A9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96ED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583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03F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溶解氧测定仪</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5D166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量程0～10.0mg/L；分辨力0.1mg/L。</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92E6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8D3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22C2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F8E7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C69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1D8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虚拟仿真化学实验系统</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50CDC5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初中化学虚拟实验，涵盖了中学常用化学器材和实验药品，学生可以自己动手做实验，体验真实实验操作流程，从而在操作中掌握每种器材、药品的正确操作方法、反应规律以及实验步骤，支持初中化学演示性实验、操作性实验、危险性实验不少于60个。</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2.★支持用Unity引擎开发的全三维实验资源，为学生直观的展示化学实验的宏观和微观世界，学生可以直观的观察真实的实验现象和实验结果。</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3.可随意平移、旋转实验视角，支持用户从任意视角、任意距离观察实验台，能够高度自由交互操作。</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4.提供手型正确操作示范，既让学生观察实验现象，又让学生掌握了在实操中的正确手部动作。</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5.系统须优化处理，确保实时运行帧数高于25帧/秒。</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6.系统支持用户对实验装置进行认知，鼠标移动到对应设备上给予名称提示。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7.支持键盘鼠标与触屏操作自由转换，良好适配触摸一体机、电子白板及课堂电脑。</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8.★初中化学操作模拟真实实验操作过程，不可采用下一步下一页等自动化动画以及大量文字按钮替代仿真操作。</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9.支持用户自由拖拽、移动、旋转实验器材和药品，学生可以不受实验步骤限制，自主选择器材、自由操作，系统给出相应的结果。</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10.系统对于学生的错误操作要给与提示，高度仿真错误及异常现象。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11.实验操作高度自由，实验现象丰富，支持教师试错演示，讲解实验原理（倒吸现象、试管炸裂、危险试剂泄露、火灾、爆炸等）。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12.★能够正确模拟中学阶段任意的酸碱性质探究实验，要求学生能够自主设计实验，任意选取药品及工具进行组合探究实验，并均能得出正确的实验现象。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13.★能够正确模拟二氧化碳的实验室制法，并且进行实验药品的选择、实验装置的选择两种拓展性实验的探究，包含的拓展实验数量不少于4个，实验药品不少于5种，实验发生装置不少于3种，实验要求可以对药品和装置进行自主设计、自由搭建，并高度仿真实验操作现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14.★能够正确模拟溶液的调控实验，实验需包含撤销操作功能，对溶液加热/冷却的装置，固体药品数量不少于2种，为精确把握实验药品用量，获得精准的实验数据，化学药品的用量应支持按需添加，固体药品能够设置具体取用数值，液体药品可选择倾倒体积，高度仿真实验操作现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15.系统提供实验详情，为用户呈现实验目的、实验现象、实验器材以及实验步骤,用户在实验过程中可以随时点击查看。</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16.系统提供实验数据记录、实验表格填写以及实验报告撰写功能。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17.实验结构清晰，覆盖教学知识点，能快速高效完成课堂演示。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18.学生在实验过程中可以一键还原实验状态，重新开始做实验。</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19.★系统提供中考实验操作实验不少于5个，分为练习和考试两种模式，支持学生自主练习与测试；在练习模式下提供实验操作自动指导功能，在实验过程中可以随时点击查看，方便学生按照正确的步骤练习；在考试模式下提供倒计时功能，要求学生在规定的时间内完成实验操作，学生提交之后可以自动显示分数。</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20.★招标现场进行现场演示《加热高锰酸钾制取氧气》实验，需将演示过程进行完整的操作录屏，并生成mp4格式视频文件，压制在U盘或光盘中，同招标文件一并提交。现场演示以下功能：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（1）采用3D真实模型；</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（2）支持用户从任意视角、任意距离观察实验台；</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（3）系统具备良好交互性，支持用户平移、旋转视角；</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（4）学生完成实验后，系统自动评分；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（5）系统提供实验操作同步录像功能，学生可以回看自己的操作过程；</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（6）系统对于学生的错误操作要给与提示；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（7）演示出错误操作结果，以及正确的操作方式。</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225F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66D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6E69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2353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1AC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CD3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数字教材（教师）</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9EC9A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正规印刷手册，有详细指导</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712B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 教  师/ 年</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B26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0CEE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A691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3DB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531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无线智能温度传感器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85C859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一、结构及外观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由传感器主体和前端探头连接构成。主体正面有电源按钮、电源和蓝牙指示灯、传感器名称；背面有蓝牙编号及电池仓，机身外壳与电池仓用密封圈密封。</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二、功能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1.用于测量物体表面、气体、酸碱等液体的温度。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2.传感器内置蓝牙模块，采用蓝牙5.0技术，具备低功耗运行和待机能力。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3.传感器与数据采集终端（电脑、平板或手机）直接通过蓝牙无线连接，便于运动情况下的数据测量及各种实验环境中的数据采集，无需数据采集器。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4.可脱机进行数据采集。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5.传感器具有唯一蓝牙编号，便于数据终端选择性连接。</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6.使用纽扣电池，电池可更换，一枚电池可正常课堂使用1年以上。</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7.可实现微小的温度变化快速采样。</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8.无需校准，即连即用。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9.连接方式：蓝牙无线。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10.节能方式：传感器打开电源，无连接或连接无活动，几分钟后自动关闭电源。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11.支持固件空中升级。</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12.可切换单位：℃、℉、K。                                                                                              13.支持平台：Windows、Android、iOS/iPadOS、MacOS、 Linux、Harmony OS、统信UOS、麒麟等。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三、规格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1.量程：-40℃~125℃</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2.分辨率：0.01℃</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3.精度：±0.5℃</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4.采样速率：10次/秒</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5.连续使用时间：≥120小时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6.防水等级：IP67</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7.通讯距离：≥30m（空旷无遮挡）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8.电池型号：CR2032</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展示产品功能特性（视频）：</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①将无线智能温度传感器电源打开，并将其完全浸没于盛有常温自来水或符合卫生标准用水的烧杯中。佐证产品的防水性能；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②通过自有软件无线方式连接智能温度传感器，实时采集并显示被测液体的温度。</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D553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9CF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E9D2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4119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8C3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B85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无线智能绝对压强传感器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A59EB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一、结构及外观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由传感器主体正面有电源按钮、电源和蓝牙指示灯、传感器名称；背面有蓝牙编号；底部有Type-C接口，前端是鲁尔公接头，可连接软管等多种附件接入环境中进行测量。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二、功能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1.用于测量大气环境下或密闭空间内的气体的压强。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2.传感器内置蓝牙模块，采用蓝牙5.0技术，具备低功耗运行和待机能力。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3.传感器与数据采集终端（电脑、平板或手机）直接通过蓝牙无线连接，便于运动情况下的数据测量及各种实验环境中的数据采集，无需数据采集器。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4.可脱机进行数据采集。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5.传感器具有唯一蓝牙编号，便于数据终端选择性连接。</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6.可实现校准功能。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7.连接方式：蓝牙无线或有线。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8.节能方式：传感器打开电源，但无连接或连接无活动，几分钟后自动关闭电源。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9.支持固件空中升级。                                                                                                 10.支持平台：Windows、Android、iOS/iPadOS、MacOS、 Linux、Harmony OS、统信UOS、麒麟等。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三、规格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1.量程：0~400kPa</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2.分辨率：0.1kPa</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3.精度：±2%</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4.采样速率：500次/秒</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5.连续使用时间：≥30小时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6.通讯距离：≥30m（空旷无遮挡）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7.可充电锂电池，电池型号：3.7V 250mAh</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5BFB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A1F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AEEC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C0BE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B7E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3D9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无线智能pH传感器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1D8E8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一、结构及外观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由传感器主体和pH探头构成。主体正面有电源按钮、电源和蓝牙指示灯、传感器名称；背面有蓝牙编号及电池仓，机身外壳与电池仓用密封圈密封。主体前端为BNC接口，可与pH探头连接用于测量溶液pH值。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二、功能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1.用于测量溶液的pH值。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2.传感器内置蓝牙模块，采用蓝牙5.0技术，具备低功耗运行和待机能力。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3.传感器与数据采集终端（电脑、平板或手机）直接通过蓝牙无线连接，便于运动情况下的数据测量及各种实验环境中的数据采集，无需数据采集器。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4.可脱机进行数据采集。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5.传感器具有唯一蓝牙编号，便于数据终端选择性连接。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6.使用纽扣电池，电池可更换，一枚电池可正常课堂使用1年以上。</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7.可实现标定功能。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8.连接方式：蓝牙无线。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9.节能方式：传感器打开电源，但无连接或连接无活动，几分钟后自动关闭电源。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10.支持固件空中升级。                                                                                                       11.支持平台：Windows、Android、iOS/iPadOS、MacOS、 Linux、Harmony OS、统信UOS、麒麟等。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三、规格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1.量程：0~14</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2.分辨率：0.01</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3.采样速率：100次/秒</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4.连续使用时间：≥120小时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5.防水等级：IP67</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6.通讯距离：≥30m（空旷无遮挡）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7.电池型号：CR2032</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25C0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C66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BA31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EC06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579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21A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无线智能电导率传感器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4E6C1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一、结构及外观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由传感器主体和前端电导率探头连接构成。主体正面有电源按钮、电源和蓝牙指示灯、传感器名称；背面有蓝牙编号及电池仓，机身外壳与电池仓用密封圈密封。</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二、功能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1.用于测量溶液的电导率值和温度值。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2.传感器内置蓝牙模块，采用蓝牙5.0技术，具备低功耗运行和待机能力。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3.传感器与数据采集终端（电脑、平板或手机）直接通过蓝牙无线连接，便于运动情况下的数据测量及各种实验环境中的数据采集，无需数据采集器；传感器两种测量二合一，可测量电导率、温度。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4.可脱机进行数据采集。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5.传感器具有唯一蓝牙编号，便于数据终端选择性连接。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6.使用纽扣电池，电池可更换，一枚电池可正常课堂使用2年。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7.测量数据可用于测定总溶解固体。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8.传感器会自动进行温度补偿。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9.可实现标定功能。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10.连接方式：蓝牙无线。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11.节能方式：传感器打开电源，但无连接或连接无活动，几分钟后自动关闭电源。                                             12.支持平台：Windows、Android、iOS/iPadOS、MacOS、 Linux、Harmony OS、统信UOS、麒麟等。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三、规格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电导率：</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1.量程：0~20000μS/cm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2.分辨率：8μS/cm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3.精度：±3%F.S</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温度：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1.量程：0~60℃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2.分辨率：0.1℃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3.精度：0.5℃</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4.采样速率：10次/秒</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5.连续使用时间：≥120小时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6.防水等级：IP67</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7.通讯距离：≥30m（空旷无遮挡）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8.电池型号：CR2032</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0C04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AB2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A968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F7E7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FCC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4C6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无线智能高温传感器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8363CE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一、结构及外观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由传感器主体和高温传感器探头组成。主体正面有电源按钮、电源和蓝牙指示灯、传感器名称、蓝牙编号；底部有Type-C接口。高温传感器探头采用耐高温材料组成，可测量酒精灯火焰等高温环境温度。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二、功能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1.用于测量物体表面、气体、酸碱等液体的温度，也可用于超低温及高温的测量。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2.传感器内置蓝牙模块，采用蓝牙5.0技术，具备低功耗运行和待机能力。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3.传感器与数据采集终端（电脑、平板或手机）直接通过蓝牙无线连接，便于运动情况下的数据测量及各种实验环境中的数据采集，无需数据采集器。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4.可脱机进行数据采集。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5.传感器具有唯一蓝牙编号，便于数据终端选择性连接。</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6.无需校准，即连即用。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7.连接方式：蓝牙无线或有线。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8.节能方式：传感器打开电源，但无连接或连接无活动，几分钟后自动关闭电源。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9.支持固件空中升级。                                                                                         10.支持平台：Windows、Android、iOS/iPadOS、MacOS、 Linux、Harmony OS、统信UOS、麒麟等。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三、规格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1.量程：-200℃~1200℃</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2.分辨率：0.1℃</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3.精度：±3%F.S</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4.采样速率：10次/秒</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5.连续使用时间：≥30小时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6.通讯距离：≥30m（空旷无遮挡）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7.可充电锂电池，电池型号：3.7V 250mAh</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8D7A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5BF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ED25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64BC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88F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971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无线智能溶氧气氧传感器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8A0EA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一、结构及外观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由传感器主体和溶解氧气氧探头构成。主体正面有电源按钮、电源和蓝牙指示灯、传感器名称；背面有蓝牙编号；底部有Type-C接口；主体前端为BNC接口，可与溶解氧气氧探头连接用于测量溶解氧/氧气含量。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二、功能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1.用于测量气体和液体中的氧气含量。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2.传感器内置蓝牙模块，采用蓝牙5.0技术，具备低功耗运行和待机能力。</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3.传感器与数据采集终端（电脑、平板或手机）直接通过蓝牙无线连接，便于运动情况下的数据测量及各种实验环境中的数据采集，无需数据采集器；传感器多种测量多合一，可测量溶解氧、气氧。</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4.可脱机进行数据采集。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5.传感器具有唯一蓝牙编号，便于数据终端选择性连接。</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6.可实现溶解氧标定，气氧校准功能。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7.连接方式：蓝牙无线或有线。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8.节能方式：传感器打开电源，但无连接或连接无活动，几分钟后自动关闭电源。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9.支持固件空中升级。                                                                                               10.支持平台：Windows、Android、iOS/iPadOS、MacOS、 Linux、Harmony OS、统信UOS、麒麟等。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三、规格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1.量程</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溶解氧：0~20 mg/L；氧气：0~100%</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2.分辨率</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溶解氧：0.01 mg/L；氧气：0.1%</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3.精度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溶解氧：±0.5mg/L（10~35℃）；氧气：±2%F.S</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4.采样速率:100次/秒</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5.连续使用时间:≥30小时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6.通讯距离:≥30m（空旷无遮挡）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7.可充电锂电池，电池型号：3.7V 250mAh</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9DF2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4FE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5612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7F21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73F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363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无线智能二氧化碳传感器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8A4E85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一、结构及外观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由传感器主体和前端探头连接构成。主体正面有电源按钮、电源和蓝牙指示灯、传感器名称；背面有蓝牙编号；底部有Type-C接口。探头外壳为黑色塑料，通过数个栅栏与外界相通，栅栏内有过滤层。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二、功能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1.用于测量气体中二氧化碳的含量。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2.传感器内置蓝牙模块，采用蓝牙5.0技术，具备低功耗运行和待机能力。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3.传感器与数据采集终端（电脑、平板或手机）直接通过蓝牙无线连接，便于运动情况下的数据测量及各种实验环境中的数据采集，无需数据采集器。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4.可脱机进行数据采集。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5.传感器具有唯一蓝牙编号，便于数据终端选择性连接。</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6.无需校准，即连即用。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7.连接方式：蓝牙无线或有线。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8.节能方式：传感器打开电源，但无连接或连接无活动，几分钟后自动关闭电源。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9.支持固件空中升级。                                                                                               10.支持平台：Windows、Android、iOS/iPadOS、MacOS、 Linux、Harmony OS、统信UOS、麒麟等。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三、规格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1.量程：0~100000 ppm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2.分辨率：1ppm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3.精度：±100ppm(0~1000ppm)；±(100ppm＋5%读数值)(1000~10000ppm)；±10%(10000~50000ppm)；±15%(50000~100000ppm)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4.采样速率:1次/秒</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5.连续使用时间:≥10小时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6.通讯距离:≥30m（空旷无遮挡）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7.可充电锂电池，电池型号：3.7V 1000mAh</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4FF2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1F8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4713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EB2F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027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707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无线智能相对湿度传感器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2A043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一、结构及外观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由传感器主体和前端探头连接构成。主体正面有电源按钮、电源和蓝牙指示灯、传感器名称；背面有蓝牙编号；底部有Type-C接口。</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二、功能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1.用于测量空气的相对湿度。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2.传感器内置蓝牙模块，采用蓝牙5.0技术，具备低功耗运行和待机能力。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3.传感器与数据采集终端（电脑、平板或手机）直接通过蓝牙无线连接，便于运动情况下的数据测量及各种实验环境中的数据采集，无需数据采集器。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4.可脱机进行数据采集。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5.传感器具有唯一蓝牙编号，便于数据终端选择性连接。</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6.无需校准，即连即用。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7.连接方式：蓝牙无线或有线。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8.节能方式：传感器打开电源，但无连接或连接无活动，几分钟后自动关闭电源。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9.支持固件空中升级。                                                                                            10.支持平台：Windows、Android、iOS/iPadOS、MacOS、 Linux、Harmony OS、统信UOS、麒麟等。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三、规格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1.量程：0~100%</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2.分辨率：0.1%</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3.精度:±4%  (0~80%)</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4.采样速率：10次/秒</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5.连续使用时间:≥20小时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6.通讯距离:≥30m（空旷无遮挡）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7.可充电锂电池，电池型号：3.7V 150mAh</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EADE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375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FED1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E9A1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0A8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CC6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无线智能色度计&amp;浊度计</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45B4B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一、结构及外观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传感器主体正面有电源按钮、电源和蓝牙指示灯、传感器名称、蓝牙编号、0.96英寸OLED显示屏；主体前部为开合舱体，可放入比色皿进行实验。</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二、功能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1.用于测量溶液对于不同颜色的入射光的吸光度、透光率，以及溶液的浊度。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2.传感器内置蓝牙模块，采用蓝牙5.0技术，具备低功耗运行和待机能力。</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3.传感器与数据采集终端（电脑、平板或手机）直接通过蓝牙无线连接，便于运动情况下的数据测量及各种实验环境中的数据采集，无需数据采集器；多种传感器合一，可测量：透光率、吸光度、浊度等。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★4.可脱机进行数据采集。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★5.色度/浊度切换简单，通过电源按钮或软件设置切换，提供多种波长选择。</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6.传感器具有唯一蓝牙编号，便于数据终端选择性连接。</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7.无需校准，即连即用。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★8.连接方式：蓝牙无线或有线。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9.节能方式：传感器打开电源，但无连接或连接无活动，几分钟后自动关闭电源。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10.支持固件空中升级。                                                                                               11.支持平台：Windows、Android、iOS/iPadOS、MacOS、 Linux、Harmony OS、统信UOS、麒麟等。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三、规格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1.量程：</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红光（645nm）：透光率0~100%、吸光度0~3A</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橙光（611nm）：透光率0~100%、吸光度0~3A</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黄光（570nm）：透光率0~100%、吸光度0~3A</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绿光（520nm）：透光率0~100%、吸光度0~3A</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蓝光（470nm）：透光率0~100%、吸光度0~3A</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紫光（430nm）：透光率0~100%、吸光度0~3A</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浊度：0~400 NTU</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2.精度：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红光（645nm）：透光率±2%F.S、吸光度±0.03A</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橙光（611nm）：透光率±2%F.S、吸光度±0.03A</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黄光（570nm）：透光率±2%F.S、吸光度±0.03A</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绿光（520nm）：透光率±2%F.S、吸光度±0.03A</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蓝光（470nm）：透光率±2%F.S、吸光度±0.03A</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紫光（430nm）：透光率±2%F.S、吸光度±0.03A</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浊度：±5% NTU</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3.分辨率：</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红光（645nm）：透光率0.1%、吸光度0.01A</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橙光（611nm）：透光率0.1%、吸光度0.01A</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黄光（570nm）：透光率0.1%、吸光度0.01A</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绿光（520nm）：透光率0.1%、吸光度0.01A</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蓝光（470nm）：透光率0.1%、吸光度0.01A</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紫光（430nm）：透光率0.1%、吸光度0.01A</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浊度：0.1 NTU</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4.采样速率:10次/秒</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5.连续使用时间:≥50 小时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6.通讯距离:≥30m（空旷无遮挡）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7.可充电锂电池，电池型号：3.7V 1000mAh</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提供由CMA、CNAS认证通过的第三方检测机构出具的检测报告佐证产品带★项关键参数指标。</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07AF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3E4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20C8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A1D6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12911" w:type="dxa"/>
            <w:gridSpan w:val="3"/>
            <w:tcBorders>
              <w:top w:val="single" w:color="000000" w:sz="4" w:space="0"/>
              <w:left w:val="single" w:color="000000" w:sz="4" w:space="0"/>
              <w:bottom w:val="single" w:color="000000" w:sz="4" w:space="0"/>
              <w:right w:val="nil"/>
            </w:tcBorders>
            <w:shd w:val="clear" w:color="auto" w:fill="auto"/>
            <w:vAlign w:val="center"/>
          </w:tcPr>
          <w:p w14:paraId="5045874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3、初中化学试剂常规仪器配备方案</w:t>
            </w:r>
          </w:p>
        </w:tc>
        <w:tc>
          <w:tcPr>
            <w:tcW w:w="564" w:type="dxa"/>
            <w:tcBorders>
              <w:top w:val="single" w:color="000000" w:sz="4" w:space="0"/>
              <w:left w:val="nil"/>
              <w:bottom w:val="single" w:color="000000" w:sz="4" w:space="0"/>
              <w:right w:val="nil"/>
            </w:tcBorders>
            <w:shd w:val="clear" w:color="auto" w:fill="auto"/>
            <w:vAlign w:val="center"/>
          </w:tcPr>
          <w:p w14:paraId="33E475D8">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auto"/>
                <w:sz w:val="24"/>
                <w:szCs w:val="24"/>
                <w:highlight w:val="none"/>
                <w:u w:val="none"/>
              </w:rPr>
            </w:pPr>
          </w:p>
        </w:tc>
        <w:tc>
          <w:tcPr>
            <w:tcW w:w="500" w:type="dxa"/>
            <w:gridSpan w:val="2"/>
            <w:tcBorders>
              <w:top w:val="single" w:color="000000" w:sz="4" w:space="0"/>
              <w:left w:val="nil"/>
              <w:bottom w:val="single" w:color="000000" w:sz="4" w:space="0"/>
              <w:right w:val="nil"/>
            </w:tcBorders>
            <w:shd w:val="clear" w:color="auto" w:fill="auto"/>
            <w:vAlign w:val="center"/>
          </w:tcPr>
          <w:p w14:paraId="358C2084">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auto"/>
                <w:sz w:val="24"/>
                <w:szCs w:val="24"/>
                <w:highlight w:val="none"/>
                <w:u w:val="none"/>
              </w:rPr>
            </w:pPr>
          </w:p>
        </w:tc>
        <w:tc>
          <w:tcPr>
            <w:tcW w:w="1138" w:type="dxa"/>
            <w:gridSpan w:val="4"/>
            <w:tcBorders>
              <w:top w:val="single" w:color="000000" w:sz="4" w:space="0"/>
              <w:left w:val="nil"/>
              <w:bottom w:val="single" w:color="000000" w:sz="4" w:space="0"/>
              <w:right w:val="nil"/>
            </w:tcBorders>
            <w:shd w:val="clear" w:color="auto" w:fill="auto"/>
            <w:vAlign w:val="center"/>
          </w:tcPr>
          <w:p w14:paraId="3FDF2BCC">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auto"/>
                <w:sz w:val="24"/>
                <w:szCs w:val="24"/>
                <w:highlight w:val="none"/>
                <w:u w:val="none"/>
              </w:rPr>
            </w:pPr>
          </w:p>
        </w:tc>
      </w:tr>
      <w:tr w14:paraId="04E24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E89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序 号</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3F9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名称</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80EC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技术规格</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CF92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单位</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8489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数量</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18F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备注</w:t>
            </w:r>
          </w:p>
        </w:tc>
      </w:tr>
      <w:tr w14:paraId="13E1D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F4F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27D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铝片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3EAB46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工业</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B22B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包</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0BF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9F45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F84D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90B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045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铝丝</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9D373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工业</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4169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包</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CD9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761D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1D24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110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180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铝箔</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06F13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工业</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92E8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包</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BF0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6F83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EA16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86F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BB5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锌片（锌花）</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58F2F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工业</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81F2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包</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E8A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08B7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FA45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578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87A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锌粒</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E56DE9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工业</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8173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691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578E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5221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CA4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D41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铁粉</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44B8D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试剂</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87EA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161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720F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563A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0B3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FCE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铁丝</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8BD54E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直径≤2mm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0053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包</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B94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3082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8C0F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0B3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C19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紫铜片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95C2E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工业</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F37C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包</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C13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3DEB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1E93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E36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5C9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铜丝</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85FDE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工业</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CF44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包</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E99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AA05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3046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985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BAC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活性炭</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14D89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工业</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E331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44B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6FBE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1649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A04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AC5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碘</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676B1A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试剂</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0BF6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D60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7DF3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02CE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C3F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5E4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红（赤）磷</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F623B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试剂 </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821D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8DC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85C0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A1D0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01F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0B5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硫粉</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2BFCA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工业 ，AR500g。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AA5F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A2D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B639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7661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A11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FCE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镁条</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23F3E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试剂 ，AR500g。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4FD1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C6B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E7D7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28D9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6BC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183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白（黄）磷</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6E4B0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试剂 ，AR250g。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4616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C69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8948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9334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972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E3E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二氧化锰</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92932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试剂 ，AR500g。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C017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561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C81F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D754D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0C1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ED8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三氧化二铁</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8E9242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试剂 ，AR500g。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94A5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523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7396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CBBF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47B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A07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氧化铜</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9C3BB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试剂 ，AR500g。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493B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C44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B80E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55A0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ECB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490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氧化钙</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B8BFAC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试剂 ，AR500g。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F6F7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4DA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3F9E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280F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B09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F3B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氯化钾</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CA8FF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试剂 ，AR500g。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A173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4F2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2DE5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B593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240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756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氯化钠(试剂）</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FD806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试剂 ，AR500g。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611A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871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9EEB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1524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B6E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A98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氯化钠(工业）</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F225D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工业 ，500g。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0D62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9AC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9183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B051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5F5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D1B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氯化钙</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DCE04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试剂 ，AR500g。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5E95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57F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94CE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FF25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152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940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无水氯化钙</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65866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工业 ，AR500g。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94A5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D52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6E6A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71A5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0AE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AA1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氯化镁</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C75E0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试剂 ，AR500g。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8B66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C49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2A2C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E2D2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984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DBE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三氯化铁</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877FC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试剂 ，AR500g。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B11C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C85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E868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7A1D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E32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3FE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氯化铵</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2FA199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工业 ，AR500g。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B815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B6E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1C1A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F072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B20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567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氯化钡</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5E0331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试剂 ，AR500g。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42BA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386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5DAC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1E0E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070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660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硫酸钾</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9FCFC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试剂 ，AR500g。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4DC9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12C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1A1E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CD3E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F2F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AF3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硫酸铝</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8F54D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试剂 ，AR500g。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4404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6EB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982A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55E3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953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857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硫酸铜(蓝矾、胆矾）</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34255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工业 ，AR500g。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320D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A40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76B1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0243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B83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9A7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无水硫酸铜</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FAF4A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试剂 ，AR500g。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7230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34B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4295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5AB3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873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077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硫酸铵</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5B73D1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工业 ，AR100g。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C035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6AA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E5CD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D9BE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FEA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6E7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硫酸铝钾</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41ECB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工业 ，AR500g。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D26E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F3A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C657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5082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815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9C3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碳酸钾</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94DE5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试剂 ，AR500g。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1AF9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48F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BB5D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D730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C8C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CCA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碳酸钠</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93D4D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工业 ，AR500g。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FD5D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D0E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49CE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C73A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935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677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碳酸氢钠</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27FEF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工业 ，AR500g。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B9CB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BF4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347F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8058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122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98A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大理石</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7CFEF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块状 ，AR500g。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C73A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袋</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D13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601B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4E69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105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737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碳酸氢铵</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D3822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工业 ，AR500g。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82EB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04E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9BCA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534B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402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252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碱式碳酸铜</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4304D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试剂 ，AR500g。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D13F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529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E831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2D9B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A22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1F5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硝酸银</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6C4E40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试剂 ，AR100g。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132B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DD5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12B0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AC0B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D92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140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硝酸钡</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FA94B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试剂 ，AR500g。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CBC3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3E8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75FF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E2DA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819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E7A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硝酸钠</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6772F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试剂 ，AR500g。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4171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586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D11C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94AE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0D7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495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硝酸钾</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44F47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试剂 ，AR500g。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467A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8B8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E704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8E182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B50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106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氢氧化钠（试剂）</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48B36B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试剂 ，AR500g。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EAAA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A46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67B6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3FF7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390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60F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氢氧化钠（工业）</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1D57D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工业 ，AR500g。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5F08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9DE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2263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2C7F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115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41C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氢氧化钾</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684A18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试剂 ，AR500g。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A792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738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C9F3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1B8D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27D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2F1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氢氧化钡</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39997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试剂 ，AR500g。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EB11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21F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DB43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F6E6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F96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C52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氨水</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67AE3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试剂 ，AR500ml。</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07D3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496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A5C0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7AF7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7A6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196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氢氧化钙（熟石灰)</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50364A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试剂 ，AR500g。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ACFE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EEE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F7C1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DB0B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8A2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797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碱石灰</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24AA61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工业 ，AR500g。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B50A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1DD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9F8E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59AA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457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9B4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煤油</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1DA70B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试剂 ，AR500ml。</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F24B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8CE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DB2C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35EB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A0B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D33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酒精（工业）</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E2B64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95% ，工业 ，AR500ml。</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475F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A60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49C1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7A02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C38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E70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汽油</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19FD1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工业 ，AR500ml。</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9A15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FE3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7FA6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AB8E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A17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AD6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乙酸（醋酸）</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AB542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试剂 ，AR500ml。</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BF0B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640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BEAD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5021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60E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9CF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葡萄糖</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97892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试剂 ，AR500g。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0381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CB7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885F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4FCF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7BD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7FC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蔗糖</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DED65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试剂 ，AR500g。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AC23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A06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42BE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6F854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1E4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82F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石蕊</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9018C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指示剂 ，AR5g。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7EBA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2B0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647F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92D5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090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443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酚酞</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CF09F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指示剂 ，AR25g。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3C2F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031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300E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5D41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41A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A7E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品红</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3E259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染料 ，BS25g。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AE99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5FB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2E93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7ED1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D69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C2A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PH广范围试纸</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56F3C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 14 ，50张 ， 1～ 14 ，50张。</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447A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本</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EFE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FA1A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FF9C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20C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B14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蓝石蕊试纸</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7EE8C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检验溶液的酸碱性</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10A0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盒</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5A2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AB94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D693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D8D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E88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红石蕊试纸</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58FC4B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检验溶液的酸碱性</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599D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盒</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42F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7546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D708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13F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3F7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定性滤纸（90mm）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BCD58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快速，9cm，100张</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E537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盒</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459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0D04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EFFA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A74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2A5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定性滤纸（150mm)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1ECE2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快速，15cm，100张</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D785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盒</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6AE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3140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B505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1511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E6B1931">
            <w:pPr>
              <w:keepNext w:val="0"/>
              <w:keepLines w:val="0"/>
              <w:suppressLineNumbers w:val="0"/>
              <w:spacing w:before="0" w:beforeAutospacing="0" w:after="0" w:afterAutospacing="0"/>
              <w:ind w:left="0" w:right="0"/>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4、初中生物常规仪器配备方案</w:t>
            </w:r>
          </w:p>
        </w:tc>
      </w:tr>
      <w:tr w14:paraId="59CD5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D7F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214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名称</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9A02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技术规格</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5DCD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单位</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EE68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数量</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4FC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备注</w:t>
            </w:r>
          </w:p>
        </w:tc>
      </w:tr>
      <w:tr w14:paraId="2D168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891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D9A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紧急喷淋器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8A668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不锈钢，喷淋流量120L/min~180L/min</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7A3A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EAC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A21F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1C33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AB3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8AE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洗眼器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7397FB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台式双口，铜质阀体，软性橡胶喷淋头，水流锁定开关，1.5m供水软管，PVC管外覆不锈钢网，流量12L/min~18L/min</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1156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F3C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3749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EF08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1EB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DDC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灭火毯</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72899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玻璃纤维材质，≥1200mm×1800mm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5B55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22F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A709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44AF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062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7AE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简易急救箱</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DAB8C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箱内包括：烧伤药膏，医用酒精，碘伏，创可贴，胶布，绷带，卫生棉签，剪刀，镊子，止血带(长度≥30cm)等</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F988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B19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D608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A5B3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895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FE5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实验服</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0FA48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可分为大中小号</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DE9B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98E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04DD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16D0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4DE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765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护目镜</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29BD2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侧面完全遮挡，耐酸碱，抗冲击，耐磨，便于清洗</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D83F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3BE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1F3D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2B7B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EAB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2E9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防护面罩</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14D769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防冲击面屏，聚碳酸酯材质，耐45m/s粒子冲击，通过弹簧箍与安全帽相连，面屏可更换，起到头部与面部双重保护作用，光洁，透明度高</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2395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E29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62A8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8776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F38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743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一次性乳胶手套</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FA117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耐酸碱。</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AE90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副</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3D7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6B6E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0FCC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777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181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一次性PE手套</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21497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塑料</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FAF9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包</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1B6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89A9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78BA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73D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A41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废液分类回收桶</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F80C6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塑料制，25L</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02EA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9C4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6154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0870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B41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B27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电冰箱</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EE2E4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1、适用于实验室设备，制取低温物品，保存生化制剂；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2、有效容积不小于180L。</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AF62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91C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557B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3431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DB3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60A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微波炉</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834D0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≥20L</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E80D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21F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3D9C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3ABE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38E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267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电磁炉</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8A7F7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功率可调，额定功率≥1600W</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6694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721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0310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DB23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B33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87F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恒温水浴锅</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79403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水浴控温范围：室温+5℃~99.9℃，水温控制±0.5℃，不锈钢内胆，数字显示</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8942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340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BA6F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F926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B88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134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蒸馏水器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B5B3C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不锈钢材质，出水量≥5L/h，额定功率≥4500W，外接地保护，有缺水报警或自动补水装置</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2EA5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8FD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D0C6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3AD8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332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7D3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榨汁机</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33D03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≥18000r/min，≥1.0L</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3BC7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C5F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1C24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FC9B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63B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AA6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电动离心机</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BCBD3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0r/min~4000r/min，10mL×8，无刷电机，带电锁</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B3F6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250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908E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ACC3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080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99A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全金属大功率塑封机</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E2A1C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冷裱/热裱功能，多档位温度</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1959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E1D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1F53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E59F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883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F99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烘干箱</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17EEF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电热鼓风型，功率≥600W，1.5级(温度均匀性为±0.03℃，温度波动性为1.5℃)，烘干温度250℃以下，箱体内有隔板，内部容积≥350mm×350mm×350mm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F55F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A5E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18AA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AE2A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C18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198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高压灭菌器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A634A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≥30L，立式，有超高温、超高压自动保护设置</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F037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9BF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BDB1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0053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8CD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437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超净工作台</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2F92A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不锈钢，可调风机系统，双侧电源插座，有紫外照射和照明</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18D1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985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1AD7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A00C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350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A43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恒温培养箱</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CF911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控温范围：室温+5℃~65℃，±1℃</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967C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FF0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DD86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F7B1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5BD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532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光照培养箱</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7D4A1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光照强度：0lx~12000lx分级可调，控温范围：10℃~50℃(有光照)，温度波动性：±1℃，温度均匀度：±2℃</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F1BC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C9A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D71F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423E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56D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A66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光照培养架</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B1682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多层，插孔暗式布线，独立开关，光照强度3000lx/5000lx/7000lx三档可调</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9F04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89B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F865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976C5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68A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58F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小型无土栽培智能装置</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84B78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可连接电脑等设备，进行实时监控，配有自动换气，光照强度可调，灯光、排风、水培、雾培、基培、管培均可独立编程设计开关</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4692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F70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F203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0D55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1E9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0E1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孵化器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2ACB3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可自动控温、控湿，温度波动性：±1℃，可孵化10~20个蛋</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9A7B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EB2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DF9A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3EEF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0AA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795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超声波清洗机</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C5F81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20L~30L</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9C55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3D2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56B2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4044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2FE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F65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酸度计</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5075C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笔式，pH测量范围0~14，分辨力0.1，读数清晰，配校准试剂</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4B4E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B2E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67AD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1F658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769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ECD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仪器车</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DB1E3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600mm×400mm×800mm，不锈钢材质，至少两层，各层带可拆卸护栏，总载重≥60kg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DC83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辆</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228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903C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0619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7CD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B6F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整理箱</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BBE7F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PP材质，储存及分发试剂用</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9A45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518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1F3D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D38D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824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9E5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大托盘</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01020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400mm×300mm×60mm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7580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BC4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B289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3953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FAE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A32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小托盘</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64579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300mm×200mm×40mm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ADED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9CC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C143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5553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055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0C1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实验用品提篮</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AFDE9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木制，配有提手，带抽屉，490mm×360mm×290mm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F9A4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685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16C5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0027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C8B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600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打孔夹板</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E31133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硬木或硬塑料制</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9D68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2C6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A17E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4600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8B1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8D5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打孔器刮刀</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0B4F43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刮刀宜用65M板制成，表面热处理，55HRC~60HRC，总长为70mm±0.5mm，宽14.5mm±0.1mm，厚1.8mm±0.5mm；刀口角度宜为60°±5°，锋刃＜0.1mm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3FC2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953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1137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9162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E20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1B5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电动钻孔器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263FFF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钻头可拆卸，应配有2个以上不同孔径的钻头</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6C9D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6DD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F606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1ED0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A34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DAE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低压测电器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44E6C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笔式，氖泡式，测电极长≤10mm，测量范围100V~500V，辉光应稳定不闪烁</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F9AF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支</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80F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C020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906D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04C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4D0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一字螺丝刀</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DBC75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Φ6mm，长150mm；工作部带磁性，硬度≥48HRC；旋杆采用铬钒钢，旋杆长度≥100mm，应经镀铬防锈处理；手柄采用高强度PP+高强性TPR注塑成型</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77A2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410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39D9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C944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33E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713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十字螺丝刀</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CB7BB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Φ6mm，长150mm；工作部带磁性，硬度≥48HRC；旋杆采用铬钒钢，旋杆长度≥100mm，应经镀铬防锈处理；手柄采用高强度PP+高强性TPR注塑成型</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4C0C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A73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1CA8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027D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D67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ED6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钢手锯</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5E5EF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A型(单面)300mm，齿数：18(每25mm)；可调钢锯架，前后固定销与相应孔的配合间隙≤0.3mm；安装锯条后，锯条中心平面与锯架中心平面的平行度≤2mm；钢锯在达到99N拉力后经1min，不应有永久变形，拉钉不得松动脱落。钢板制锯架在达到900N张力时，侧弯不得超过1.8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5194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把</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953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D0C4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7AEF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2C3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29D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剥线钳</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7EE2EA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自动剥线钳，Φ0.5mm~Φ2.5mm；刃口在闭合状态，刃口间隙应≤0.3mm；刃口错位应≤0.2mm；钳口硬度应≥65HRA或30HRC</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4C3D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把</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72D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0EA8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A679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BC0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D4D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钢丝钳</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F6F5F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160mm，抗弯强度：1120N；扭力：15N·m，15°；嘴顶缝隙：0.4mm；剪切性能：Φ16mm钢丝，580N；夹持面硬度≥44HRC，PVC全新料环保手柄，在≤18N的力作用下撑开角度≥22°</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8777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把</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92E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035B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D26B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ADC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D1A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钢锤</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883A6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0.25kg，羊角锤</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3E9A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把</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4F7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E021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568B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7C4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AE9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活扳手</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2F8EB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200mm，活动扳口和扳体头部以及蜗杆的硬度≥40HRC</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86AA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把</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1EF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BFBB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ED8F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D73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47C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玻璃管切割器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1CB1F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可切割直径20mm以下玻璃管</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F2A5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0A0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3ED3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C586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852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9AF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砂轮片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93893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1.尺寸：直径20~30mm。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2.切割玻璃管。</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BAC7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BC2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46F7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6F0C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72F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BDD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测微尺</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795B5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显微镜用，台式</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ADA3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A90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4269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933D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D32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CE9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软尺</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4E874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1.软塑，1500mm。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2.软尺最小分度值为1mm，分度值之间有相应的数字，刻度线均匀、清晰，无形变。</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8AE4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C59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20D3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C248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E36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BEF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激光测距仪（100m)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05D7F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手持式，1mm~100m，1mm；使用时不要用眼对准发射口直视光源</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1074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F02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97FE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B6C5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B3F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835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托盘天平(200g,0.2g)</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5E05A9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200g，0.2g</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★为保证产品质量，检测依据JY 0001-2003 教学仪器设备产品一般质量要求，并包含以下检测内容：性能的一般要求、安全的一般要求、结构的一般要求、外观的一般要求等，检测结果为合格；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提供第三方权威检测机构出具的检测报告复印件或扫描件并加盖制造厂商公章（检测报告带CMA或者CNAS标识， 通过权威检测机构电话查询真伪，中标后提供原件备查）</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D71B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4FB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8336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1A59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33A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945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电子天平(200g,0.01g)</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052BCA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200g，0.01g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5DB8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BFC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2B10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1242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1ED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0F8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电子天平100g,0.001g</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0DBF4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100g，0.001g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A3B6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4FD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7D07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C96F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768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FF9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电子天平500g,0.01g</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DA880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500g,0.01g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04A5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B80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DBE4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8FE5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8C8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443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电子秒表（0.01s）</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5D89E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专用型，全时段分辨力0.01s；有防震、防水功能，电池更换周期≥1.5年</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FDA1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934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F7A3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1C33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833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254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红液温度计</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E8EE4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0℃~100℃，分度值1℃，示值误差＜1.5℃</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946D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支</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218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17A4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5852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EC3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970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干湿球温度计（-25~50℃)</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0854D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-25℃~50℃，分度值0.2℃；测量湿度0%~100%</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4A64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384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0A0C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9B4D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A28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7AD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计数器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7813A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手持式</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C423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F48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E933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6145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C1D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9CE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解剖器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7CD5E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不锈钢材料，7件，包括：2把解剖剪(直剪、弯剪各1)、2个镊子(直头、弯头各1)、2个解剖刀(圆头、尖头各1)、1个解剖针</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9174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FF3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30D3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696D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004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33C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解剖盘</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A2E67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260mm×200mm×30mm，蜡盘</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2921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742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4BF8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71F4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F57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BE9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双面刀片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DF035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43mm×22mm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D42E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包</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848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A392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97C0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BAA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E3A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尖头镊子</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2FEFA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尖头，140mm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6667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把</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C1F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697F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36AE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761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BF8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弯头镊子</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59C37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弯头，140mm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3FCA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把</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94A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7FBE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CADE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3A8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CFB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研磨过滤器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2F2E5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容量20mL</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E383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83C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2E66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ACAA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9CB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F3A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接种环</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E68C2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接种棒为铜或不锈钢材质，接种丝为耐热合金，环内径2mm~3mm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BE55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把</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CE8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C88C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95E1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C0A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A3F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教学支架</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8A9F0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方形座，含铁夹、复夹、铁圈，重心稳定不晃动，夹持器内侧应有垫衬</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18A0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19D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382E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41D5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CEB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312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三脚架</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6062A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铁质，环内径75mm，高150mm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915D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49F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29</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1191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6CDC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439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17F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试管架(8孔×孔径21mm)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8BF670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木质或塑料质，8孔，孔径21mm，立柱黏结牢固</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A2DC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0B5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0199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9926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9C0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44C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量筒（10mL）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0537A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1.容量：10mL。2.材质：透明钠钙玻璃制。3.分度线、数字和标志应完整、清晰和耐久，容积为20℃时充满量筒刻度线所容纳体积。</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2C1F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675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AAF6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B4BB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E4D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A59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量筒（50mL）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6F4D8B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1.容量：50mL。2.材质：透明钠钙玻璃制，分度线、数字和标志应完整、清晰和耐久。3.容积为20℃时充满量筒刻度线所容纳体积。</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7B39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71C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F7C5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53A2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146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1EC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量筒（100mL）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6514D3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1.容量：100mL。2.材质：透明钠钙玻璃制。3.分度线、数字和标志应完整、清晰和耐久，容积为20℃时充满量筒刻度线所容纳体积。</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A6E2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5CC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02E1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01D1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D71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60C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量筒（500mL）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55000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1.容量：500mL。2.材质：透明钠钙玻璃制。3.分度线、数字和标志应完整、清晰和耐久，容积为20℃时充满量筒刻度线所容纳体积。</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FD72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046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DF81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962C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C79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297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容量瓶（500mL）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CEC7B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1.容量：500mL。2.材质：透明硼硅酸盐玻璃制。3.刻度线应在瓶颈下部三分之二处，清晰耐久，粗细均匀。</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3263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522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17A9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AAA2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140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08E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试管（12×70mm）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22792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直径12mm×高70mm。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EDE1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支</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1F9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E657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D956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1FC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431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试管(15×150mm)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9F446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1.尺寸：Φ15mm×150mm。2.材质:透明，硼硅酸盐玻璃制。</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675E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支</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CB8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3893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F2AD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FAB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3D9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烧杯(50ml)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C0F02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1.容量：50mL。2.材质：透明，硼硅酸盐玻璃制。3.刻度应清晰耐久，应在容量标志下有记号面积。</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03B1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171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2040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F5CD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5FC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E11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烧杯(100ml)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4D036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1.容量：100mL。2.材质：透明，硼硅酸盐玻璃制。3.刻度应清晰耐久，应在容量标志下有记号面积。</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766B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7DB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B454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D420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577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AD3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烧杯(250ml)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BF42C1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250mL，透明硼硅酸盐玻璃制，烧杯的满口容量应超过标称容量的10%或烧杯的满口容量和标称容量的两液面间距不应少于10mm，并应采用容量差值较大的一种</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★为保证产品质量，检测依据JY 0001-2003 教学仪器设备产品一般质量要求，并包含以下检测内容：性能的一般要求、安全的一般要求、结构的一般要求、外观的一般要求等，检测结果为合格；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提供第三方权威检测机构出具的检测报告复印件或扫描件并加盖制造厂商公章（检测报告带CMA或者CNAS标识， 通过权威检测机构电话查询真伪，中标后提供原件备查）</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8DD9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4D3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44E1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EF99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A44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230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烧杯(500ml)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38DA8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1.容量：500mL。2.材质：透明，硼硅酸盐玻璃制。4.刻度应清晰耐久，应在容量标志下有记号面积。</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4A73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A21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9941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D8F4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1C1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A3D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锥形瓶(100ml)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D1C9A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1.容量：100mL。2.材质：透明硼硅酸盐玻璃制。3.放在平台上应直立不摇晃、不转动。</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6CA7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189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040E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F89A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F5C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9A8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锥形瓶(250ml)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D692B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1.容量：250mL。2.材质：透明硼硅酸盐玻璃制。4.放在平台上应直立不摇晃、不转动。</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D131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84D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03E5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77EE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B14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13E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广口瓶（125ml）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EB820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1.容量：125mL。2.材质：透明钠钙玻璃制。3.瓶塞与瓶口紧实，不晃动。口部应圆整光滑，底部应平整，放置平台上不应摇晃或转动。</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EC49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6F2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A01E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F3F3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403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BA8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广口瓶（500ml）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590ADA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1.容量：500mL。2.材质：透明钠钙玻璃制。3.瓶塞与瓶口紧实，不晃动。口部应圆整光滑，底部应平整，放置平台上不应摇晃或转动。</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34FB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8B4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9ACC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51ED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C1E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477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细口瓶（250ml）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F8D0A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1.容量：250mL。2.材质：透明钠钙玻璃制。3.瓶塞与瓶口紧实，不晃动。口部应圆整光滑，底部应 平整，放置平台上不应摇晃或转动。</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ED23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0C2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0880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BB84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E9B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0DC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细口瓶（500ml）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97E33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1.容量：500mL。2.材质：透明钠钙玻璃制。3.瓶塞与瓶口紧实，不晃动。口部应圆整光滑，底部应 平整，放置平台上不应摇晃或转动。</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108D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9AF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B88C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A232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7BA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FC6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滴瓶（30ml）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A458A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30mL</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D18A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4A7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4537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CCC2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221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D65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滴瓶（60ml）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71C39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60mL</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A042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787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48D2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F3BC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19E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7A7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茶色滴瓶（30ml）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B285EA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30mL</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61BB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7A1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5B76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AF15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4F4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3AE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茶色滴瓶（60ml）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221AA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60mL</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82FC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3BB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DA05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4062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6EC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FFA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培养皿(60mm)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6871B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60mm； 玻璃薄厚均匀、耐高温高压</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2545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BDD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517F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81AD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434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316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培养皿(90mm)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7E372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100mm，玻璃薄厚均匀、耐高温高压</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9F1D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307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A25A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49DB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F33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935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干燥器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E2C08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磨口平整，密封严实，隔板大小合适，不少于5个圆孔</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B319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14A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C013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B25A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AD7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E3C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干燥管</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640D2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U型，Φ15mm×150mm，硼硅酸盐玻璃制，玻璃壁厚度适中，球体圆润，导气管长度≥2cm，最好有防滑脱沟槽</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30EF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636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195B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4239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30F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DCB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漏斗（口径60mm）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E2C32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60mm，直径准确，锥度适中</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B2FF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A4B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C976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6F68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DBA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5AB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三通连接管（Y形)</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CD9A2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Y形，Φ7mm~Φ8mm，连接完好，管口应作打磨或烧结处理</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427B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F28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BBBA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2F61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91F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1FF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滴管</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38584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100mm，直形，滴管尖嘴口径1mm，上端有防滑脱翻口，翻口处直径比滴管直径略多1mm~2mm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3F53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支</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342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8E70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287B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11F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14F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玻璃钟罩</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B75632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Φ150mm×280mm，玻璃壁厚度＞3mm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F9DB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D3B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C690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1B32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E93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BCB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载玻片</w:t>
            </w:r>
          </w:p>
        </w:tc>
        <w:tc>
          <w:tcPr>
            <w:tcW w:w="11274" w:type="dxa"/>
            <w:gridSpan w:val="3"/>
            <w:tcBorders>
              <w:top w:val="single" w:color="000000" w:sz="4" w:space="0"/>
              <w:left w:val="nil"/>
              <w:bottom w:val="single" w:color="000000" w:sz="4" w:space="0"/>
              <w:right w:val="single" w:color="000000" w:sz="4" w:space="0"/>
            </w:tcBorders>
            <w:shd w:val="clear" w:color="auto" w:fill="auto"/>
            <w:vAlign w:val="center"/>
          </w:tcPr>
          <w:p w14:paraId="7FEAB7C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玻璃制品，无色透明，平整。尺寸≥25×75mm，厚度不小于1mm，50片/盒。</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载玻片是用显微镜观察标本时用来放标本的玻璃片，制作样本时，将细胞或组织切片放在载玻片上，将盖玻片放置其上，用作观察。</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3EDB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盒</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D9C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18D5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AD87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1A7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599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盖玻片</w:t>
            </w:r>
          </w:p>
        </w:tc>
        <w:tc>
          <w:tcPr>
            <w:tcW w:w="11274" w:type="dxa"/>
            <w:gridSpan w:val="3"/>
            <w:tcBorders>
              <w:top w:val="nil"/>
              <w:left w:val="nil"/>
              <w:bottom w:val="nil"/>
              <w:right w:val="nil"/>
            </w:tcBorders>
            <w:shd w:val="clear" w:color="auto" w:fill="auto"/>
            <w:vAlign w:val="center"/>
          </w:tcPr>
          <w:p w14:paraId="24235E5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玻璃制品，无色透明，平整。尺寸≥18*18mm，厚度不小于0．15mm，50片/盒。</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盖玻片是盖在材料上，避免液体和物镜相接触，以免污染镜头，呈正方形。</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2984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包</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E4A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9F22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D942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612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44F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酒精灯（150mL）</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262F0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150mL，透明钠钙玻璃制，无明显黄绿色；灯口应平整，瓷灯头与灯口平面间隙不应超过1.5mm；玻璃灯罩应磨口；瓷灯头应为白色，完全覆盖灯口，表面无缺陷，配置与灯口孔径相适应的整齐完整的棉线灯芯</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0F98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9F9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A30D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FF87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27E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009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酒精喷灯</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7F8BA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1．实验室常用工具，供中学理化实验进行弯曲玻管（棒）和熔接玻璃管用。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2.结构为座式，采用全铜金属材质。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3.由壶体预燃杯、壶咀、喷管、火苗调节杆和铜帽等部分组成，壶体容积250ml，温度可达800-1000℃，壶体焊缝紧密，不漏洒酒精和漏气，喷管各焊接处用银铜料焊接，不会因喷火燃烧而熔化焊接处。</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5F13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DD6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9848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2D12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807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CA5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玻璃管(直径5~6mm）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171C77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Φ5mm~Φ6mm，中性料，管口应打磨或烧结，避免划伤事故</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F128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kg</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0AC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0966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D6D2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FC1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AC5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玻璃弯管</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25393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Φ7mm~Φ8mm，一端长度为6cm~7cm，一端长度约20cm，形状为直角和钝角两种，管口应打磨或烧结，避免划伤事故</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D3CC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kg</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C54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80BD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C566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2D0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535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玻璃棒(直径3~4mm）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6A44E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Φ3mm~Φ4mm，粗细均匀</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6F5B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kg</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FEB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2A4C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C3C3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E43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026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试管夹</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8E85EB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1.木制或者竹制，长度≥200mm，宽度约20mm，厚度约20mm。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2.试管夹闭口缝≤1mm，开口距离≥25mm。毡块粘接牢固，试管夹弹簧作防锈处理。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3.试管夹持部位圆弧内径≤15mm.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0582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C03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6DF3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C53DB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A2C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0F9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止水皮管夹</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14E8F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Φ3mm钢丝制成，作防锈处理，夹持角度≥60º，弹性好，不漏液</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9AEE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3E3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49</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A604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0EBD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EE7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E3E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陶土网</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2A6E0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功能等同于石棉网，尺寸≥125mm×125mm，耐火材料为陶土</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E6BA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541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E7DC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8990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E76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B06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燃烧匙</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AEC3F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铜勺，勺Φ18mm，深10mm，铁柄，柄长300mm，长柄和铜勺连接稳定结实</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C6AD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D9D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35D5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8768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FC2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6DF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药匙</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5EEEE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长度≥13cm，带小勺，材质可选金属、牛角、塑料</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428E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9EA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2D9A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586E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212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417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橡胶塞</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B8AD8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000、00、0~10号，白色，质地均匀</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1A77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kg</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CFB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7F29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826A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902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BCB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橡胶管</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2E6C8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外径9mm，内径6mm，乳白色，具有耐油、耐酸碱、耐压等特性</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B4F7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kg</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200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7014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37CC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D61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053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试管刷(直径12mm）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43780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Φ12mm，手持部分顶端应为环状，顶部要有刷丝，铁丝不可外露</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29B7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2F0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123A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6186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489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E3C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试管刷(直径18mm）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0D411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Φ18mm，手持部分顶端应为环状，顶部要有刷丝，铁丝不可外露</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9222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23B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87</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0D80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3C0A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2B2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BE7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研钵</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BD68D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90mm，瓷或玻璃制，配有研杵，内部粗糙便于研磨，外部光滑</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4B6F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D23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0949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E915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685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EF3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记数载玻片（计数板)</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F9CB2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计数区边长为1mm，由400个小方格组成</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DB87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1C6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37C8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549C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EEC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593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枝剪</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68AD2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高碳钢</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C63F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把</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A05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885A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F4FF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EA1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3AF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花盆</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B5DA2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塑料材质</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AC40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AF8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A3BC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CFDF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1F7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85C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种植工具包</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AEE52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含铲子(长30cm~32cm，宽5.5cm~8cm)、耙子(长30cm~32cm，宽7.5cm~8.5cm)；铁质，软橡胶手柄</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8F38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8C7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39</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78AB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7848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4F7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46A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种植辅助材料</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D7E76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砾石、珍珠岩、腐殖土等</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AE75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kg</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266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C204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1CA2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1AB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76C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育苗盘</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9C647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塑料材质</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CC29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AA2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6DDE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6227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E6C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268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水网</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87B95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网口内径50cm，网身长145cm，网目孔径≤1mm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51F6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把</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FFB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0645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CA55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9DE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708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保温桶</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B7DAE2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1L~2L</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C673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D33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7E0A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96C4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AD1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F24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饲养笼</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175C4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笼体金属材质，底盘塑料材质，内配食盒和饮水器</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FE58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99B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8A77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C135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1A3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3A7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昆虫针</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9EA30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七种，即00、0、1、2、3、4、5号，00号针最细，5号针最粗</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4E44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盒</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31B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B8D4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1031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029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F39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昆虫网</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FC26F6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网兜直径30cm~40cm，网兜深60cm~80cm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062B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把</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496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D557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5F76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29A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091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昆虫盒</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8557C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透明塑料材质，高6cm~10cm，带透气孔，盒盖可配放大镜</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5FB5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盒</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2EF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2A5A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7155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860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83B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展翅版</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C2355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中缝可调节，材质和大小根据需要自定</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CE23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7B7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207E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ED2E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AB6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897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标记笔</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DED26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双头，油性墨水</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1B0C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支</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5D9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1447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1CD6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C5F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4A7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字母装片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DDC08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“e”或“b”，多重染色</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BE17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122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39C9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77A9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FFC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47B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双目立体显微镜</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C97DC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双目，消色差物镜：4×、10×、40×、100×；广视场目镜：WF10×；带照明光源和聚光镜，亮度连续可调；双层移动式载物台</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F6DE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CA3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107</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F715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5EBD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356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7B7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初中教师用数码显微镜</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8989B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消色差物镜：4×、10×、40×、100×；广视场目镜：WF10×；带照明光源和聚光镜，双层移动式载物台；自带液晶屏(液晶屏≥10.1寸，分辨率≥1920×1200)，拍照≥140万像素，录像分辨率≥1080p/30fps</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D559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CB3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C178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C2E0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6CB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D09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放大镜</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1136C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手持式，有效通光孔径≥40mm，5倍</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B8D5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1EC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B00A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0176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097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3E7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望远镜</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C3C18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1.双筒7x35，倍率7倍，物镜直径50mm，目镜直径19mm，视场范围8M～1000M；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2.棱镜系统BaK4，全光学棱镜，中央调焦，多层宽带镀膜；</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3.物镜目镜盖，.PP袋，擦镜布，防潮干燥剂，说明书，无纺布包。</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628C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779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6378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A8DB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202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FDC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口腔上皮细胞装片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57A4D8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细胞质着色均匀，细胞核明显，细胞界限清晰</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7583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2C2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1C61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07CB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44A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F42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洋葱林片叶表皮装片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83213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细胞质着色均匀，细胞核明显，细胞界限清晰</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D191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21D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3A43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1424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079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77A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蚕豆叶下表皮装片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D9036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细胞质着色均匀，细胞核明显，细胞界限清晰，保卫细胞形态应正常，应清晰可见细胞核和叶绿体</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F9AF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944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E3A1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8A81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9FB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C11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草履虫结合生殖装片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035502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虫体形态正常，无收缩、膨胀、压碎、断裂等现象</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0D6A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DA3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9530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A671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4BC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09D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草履虫分裂生殖装片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091D60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虫体形态正常，无收缩、膨胀、压碎、断裂等现象</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DAA1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39F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0FE7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6992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A1A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9E8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植物细胞模型</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97A6AE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以洋葱表皮细胞为参考材料，示细胞壁、细胞膜、细胞质、细胞核、核仁和液泡等结构</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AC93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5F9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56AF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50B5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7D9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A1A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动物细胞模型</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C2356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示细胞膜、细胞质、细胞核、核仁等结构</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BD16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F84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798B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F990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31F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D32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草履虫模型</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43B19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草履虫纵剖模型，各部着色应协调，并能相互区分</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5B6F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2F7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9AA5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02B9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BBD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9D4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植物细胞有丝分裂切片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3595A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洋葱根尖纵切，应显示处于分裂前期、中期、后期、末期的细胞，分裂各期染色体的形态特征典型，分裂中期和后期纺锤丝隐约可见，细胞核、核仁、染色体应着色明显，细胞质色淡</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D0DB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F0E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2955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896F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754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4A3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单层扁平上皮装片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95860E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取材于动物的肠系膜等，应能看清由边缘不规则而呈锯齿状的扁平细胞组成的单层上皮</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D424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3B7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3587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5679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CE1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DB2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复层扁平上皮装片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10509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取材于幼小哺乳动物的食道或上颚，细胞核、细胞质着色对比应明显，上皮细胞界限应清晰</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7D06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699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765A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1DB8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FF1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7E8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纤维结缔组织切片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0C1276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腱纵切，取材于哺乳动物或两栖动物的跟腱或尾腱，应能看清平行排列的胶原纤维束和呈不规则四边形的腱细胞</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9378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A81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A65B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46D4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5DD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12B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疏松结缔组织装片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21675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取材于哺乳细胞的皮下结缔组织，应能看清纵横交错的胶原纤维和弹力纤维以及大量的成纤维细胞</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D775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B1E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E5CE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D011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AF6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9CC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骨骼肌纵横切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2EBBF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取材于哺乳动物的膈肌，应能看清肌外膜、肌束膜、肌纤维膜、肌纤维及其细胞核和小血管等</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051A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BC5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5820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2B54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C42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3F6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平滑肌分离装片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B2F46D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取材于两栖动物或哺乳动物消化管的基层，应能看清大部分被分离成单个的长梭形平滑肌细胞</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7CA2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823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FB9A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0ED3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2C7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17C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心肌切片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41684F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取材于哺乳动物的心脏，应能看清柱状并具有分枝的肌纤维(肌细胞)</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E1A9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540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CC0B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207A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3C9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4E0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运动神经元装片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BC8A6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应能看清运动神经元的细胞体和突起、细胞核以及少量的神经纤维</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197C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B78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9FF0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BCB9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2F0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880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竹节虫拟态标本</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7148F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干制，虫体≥70mm，虫体腹面向下，植株的颜色、形状及主干的粗细应与虫体相似</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8D3B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盒</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30D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C619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3D38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5C4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38D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水质检测工具箱</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EDF05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含水质测试笔、氨氮试剂、磷酸盐试剂、溶解氧试剂等</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533D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5E3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92F1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813E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672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3C9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空气质量检测仪</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E03C3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可检测甲醛、PM2.5等；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甲醛检测范围：0-1.999mg/m³；</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TVOC检测范围：0-9.999mg/m³；</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PM2.5检测范围：:0-999ug/m3</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F9B3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91C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33A7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A195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AD7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009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玉米种子纵切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CCBA1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应显示子叶、胚芽、胚芽鞘、胚轴、胚根和胚根鞘</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7417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586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F12C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24BA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245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496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根纵剖模型</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19BDE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应以单子叶植物玉米的根尖为参考材料，示根尖的解剖结构，根尖中部做不同方向的纵剖面，突出维管柱，示根冠、分生区、伸长区、成熟区和原形成层等</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CC2A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5B8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0A7E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D2E0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697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808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植物根尖纵切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62735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应取材于玉米根，取材部位为根冠至根毛区，应明显显示根冠、分生区、伸长区、根毛区和原形成层等</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A556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62B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3614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3227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29F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F96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顶芽纵切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CD6BD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应取材于黑藻顶芽，应能看清生长锥、叶原基、幼叶、腋芽原基和芽轴，生长锥及幼叶处细胞不应有明显的“质壁分离”现象</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1D61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BD0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F37F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9327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0F9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BE3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桃花模型</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BA755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放大的盛开状态的桃花模型，花冠的直径330mm±15mm，示花柄、花托、花萼、花冠、雄蕊和雌蕊，花瓣、雌蕊可拆装，子房做纵剖</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3DA0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25A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AF59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3766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C7B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520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花粉萌发装片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C33D6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示花粉粒和花粉管的结构</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EFB8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9FB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E69F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BB703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812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80B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百合子房切片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17393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应示子房横切面的背缝线、腹缝线、子房壁、子房室和胚珠的结构</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E1FC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2EA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6BE7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4332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41D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D02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百合花药切片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3AA2D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应示花药横切面的花粉囊壁、药隔及其维管束、药室、花药的裂口和花粉粒</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5AC2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7B8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DC22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EEC6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061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C27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荠菜幼胚切片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C509C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纵切面应显示果皮、胚珠和幼胚，幼胚中应示基细胞、胚柄、原胚或分化胚、核型胚乳和珠心等结构</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D683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2B5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FE52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8F142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2F2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398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荠菜老胚切片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ED77D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纵切片应显示果皮、胚珠和成熟胚，成熟胚中应示胚根、胚轴、胚芽、子叶和种皮等结构</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B92F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0A8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8661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CD8C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C6B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DF7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单子叶植物茎模型</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50602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应明显显示表皮、机械组织、薄壁细胞、维管束、维管束鞘、环纹导管、螺纹导管、孔纹导管、筛管和伴胞、气道，各结构应位置准确，修饰自然、正确</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0FDD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C64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B61A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F00B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8FC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7AD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双子叶草本植物茎模型</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73DDD3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应以向日葵茎为参考材料，示双子叶草本植物茎纵、横切面的结构，应示角质层、表皮、厚角组织、薄壁组织、维管束、髓、髓射线、环纹导管、螺纹导管、孔纹导管、筛管和伴胞、形成层各部位</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C4FF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036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C62D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BF06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7B5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9C1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导管、筛管结构模型</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462AC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显微结构的立体放大模型，包括环纹导管、螺纹导管、网纹导管、孔纹导管及筛管，形态结构应正确、自然</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DA33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9EE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C9E4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EF73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1C7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E00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木本双子叶植物茎横切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2FED9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取材于三年生椴木枝，应能看清表皮、木栓层、厚角组织、皮层、韧皮部、形成层、木质部、髓部和髓射线</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352B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CB9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18F2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B17C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685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77D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南瓜茎纵切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06F51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应能看清皮层、机械组织、薄壁组织、双韧维管束和髓腔，在双韧维管束的纵断面上应能看清网纹导管或环纹导管或螺纹导管中的两种和筛管、筛板等结构</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200F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636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4D19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FB98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3F1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FE6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叶构造模型</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E3C769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以蚕豆叶为参考材料，示双子叶植物叶的构造，示上表皮、下表皮、栅栏组织、海绵组织、主脉、侧脉、木质部、韧皮部、形成层、气孔等部位</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BD72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820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B064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840D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58F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1B6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松叶横切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956BF4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应能看清表皮、厚壁组织、内陷的气孔、树脂道、内皮层、维管束、薄壁组织和叶肉组织等</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6550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53B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1919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56C8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4F4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C21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蕨叶切片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4A30E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应显示叶片横断面的上下表皮、栅栏组织、海绵组织及维管束等；应至少显示1个完整的孢子囊群的纵切面</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E8E1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535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7C81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395E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1A3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345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迎春叶横切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DD582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应显示叶片横断面的上下表皮、栅栏组织、海绵组织及叶脉等</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0B08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830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545A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F728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825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569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植物光合作用、呼吸作用、蒸腾作用演示器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9F9FF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由透明的有机透明容器，漏斗、上盖板、试管及试管架组合而成</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127B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669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8D72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934B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0EA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2CB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人体半身模型</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164D0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自然大，PVC材质，示消化系统、呼吸系统、泌尿系统</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A157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183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4968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EB01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E02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B12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胃壁切片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E9C9D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应能看清粘膜皱襞、粘膜、粘膜肌层、粘膜下层、肌层、浆膜、胃小凹和胃底腺等</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BDA2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208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65BB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DA8A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326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5C9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小肠切片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1556B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应能看清粘膜，包括绒毛、粘膜肌层和肠腺，粘膜下层、肌层和浆膜等</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2CE3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96C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4E5D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167F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607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B2C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喉解剖模型</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BAAC79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应正确显示喉软骨、喉肌、喉腔、喉口等结构特征</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DBDC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56F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66E9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F607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35F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C85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肺泡模型</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C21B5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应正确显示细支气管、呼吸性细支气管、肺泡管、肺泡囊、肺泡、肺泡隔、肺动脉、肺静脉、肺泡毛细血管网、支气管动脉、支气管静脉、平滑肌、弹性纤维等结构特征</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8175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E25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8387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CDB8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9F7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FC7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人体呼吸运动模型</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42370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电动式，通过胸骨、肋、肺、气管、膈等模型部件，结合动力驱动组成呼吸运动模型的运行系统，应能模拟人体呼吸运动过程</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78DF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E08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CC6D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0271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246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BD2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膈肌运动模拟器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14F80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高度250mm±15mm，宽度或直径220mm±15mm，膈的直径(或长径)≥170mm；应模拟显示胸腔、膈、气管、支气管、肺(或肺泡)等结构</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8A1F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75C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7716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5303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115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E6C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肺活量计</w:t>
            </w:r>
          </w:p>
        </w:tc>
        <w:tc>
          <w:tcPr>
            <w:tcW w:w="11274" w:type="dxa"/>
            <w:gridSpan w:val="3"/>
            <w:tcBorders>
              <w:top w:val="single" w:color="000000" w:sz="4" w:space="0"/>
              <w:left w:val="nil"/>
              <w:bottom w:val="single" w:color="000000" w:sz="4" w:space="0"/>
              <w:right w:val="single" w:color="000000" w:sz="4" w:space="0"/>
            </w:tcBorders>
            <w:shd w:val="clear" w:color="auto" w:fill="auto"/>
            <w:vAlign w:val="center"/>
          </w:tcPr>
          <w:p w14:paraId="7A7161A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量程0mL～9999mL，分辨力5mL产品尺寸：180*130*40mm</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F6C3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8BC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3B2A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42AE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D00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9D9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人血涂片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488E1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染色均匀，能看清红血细胞和白血细胞，细胞不重叠、无变形和自溶现象</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A2C3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545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BCD1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A46E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04E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03F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动静脉血管横切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18C7AF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取材于哺乳动物的腹主动脉和下腔静脉，内皮应90%以上完整</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8A6A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8C9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11C3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1E29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FDF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EE6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肺血管注射切片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2205E2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能看清由肺动脉形成的包绕肺泡外的毛细血管网</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7D13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90A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1218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C129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618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DD5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肾血管注射切片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FB78E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能看清肾皮质中血管的分布，肾小体的毛细血管网和髓质中并行的血管</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2339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D1B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AD8F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43AD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195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6AE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心脏解剖模型(三倍自然大)</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EC1D4F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三倍自然大，示上腔静脉、下腔静脉、主动脉、肺动脉、动脉韧带、左冠状动脉、右冠状动脉、冠状窦，左心房、右心房、左心室、右心室、二尖瓣、三尖瓣、主动脉瓣、肺动脉瓣、卵圆窝、冠状窦口</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EAD8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49B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15F7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0F6A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57D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D93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心脏解剖模型(自然大)</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1361B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自然大，示上腔静脉、下腔静脉、主动脉、肺动脉、左心房、右心房、左心室、右心室</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8454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029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B3B4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BBD8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E50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198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心搏与血液循环模型</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171C0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动态演示心动周期及大小循环，心壁可收缩及瓣膜可启闭</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8FCD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84C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AB9F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68E3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EDC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9DA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男性泌尿生殖系统模型</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22565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自然大，结构清晰，位置精准，比例适宜</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122D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B54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43D5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752D9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EC3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D55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女性泌尿生殖系统模型</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0913C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自然大，结构清晰，位置精准，比例适宜</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C308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DE6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02D5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BA1B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EC2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CD5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肾单位、肾小体模型</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4E8FE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肾单位模型≥400mm×240mm，示肾小体、肾小管和集合管等；肾小体模型直径≥100mm，半剖，示肾小球、肾小囊、入球小动脉和出球小动脉等</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74F8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5CC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3E0A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E728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A11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0B1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肾脏纵切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79C70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应能看清经过肾门的肾脏整体纵断面，并区分皮质、髓质和皮质外的被膜</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656C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D93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7430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E8CD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7D6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9DD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尿的形成动态模型</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ED9C3E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应清晰显示1个肾单位和集合管，以及小叶间动脉、小叶间静脉和包绕在肾小管周围的球后毛细血管网等组成的模式结构，能动态显示滤过和重吸收的过程</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2161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62C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BDD6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3534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D1D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268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皮肤结构模型</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E64EC0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可看到表皮层、真皮层、汗腺及毛囊，表皮层可看到角质层与表皮深层形态结构、真皮层可看到神经末梢和血管</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FE89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968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5709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8E78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44B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F90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人皮过毛囊切片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177F9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应能看清表皮、真皮和皮下组织</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25E8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F20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8383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B64C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0E9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546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人体过汗腺切片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43190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应能看清表皮、真皮和皮下组织</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6610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8BC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4F69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1853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3D7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02C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眼球解剖模型</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C643B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6倍自然大，应采用硬质热塑性塑料制作，角膜、虹膜应完整显示，两者和眼球内的晶状体、玻璃体分别可拆下，各部的肌肉、膜壁、血管和神经等的形态结构、位置、比例、颜色均应正确自然</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E348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EAE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137C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5592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6E8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BAC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眼球仪</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2EEDC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由放大的成人眼球模型、晶状体曲度调节器、光源、矫正镜盘、视网膜成像显示屏及手持式显示屏等组成</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34F0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038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EBAF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08D67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6E3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550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耳解剖模型</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FB4FE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6倍自然大，应完整显示外耳道、鼓膜、听小骨、鼓室、咽鼓管、鼓膜张肌、乳突窦、前庭、骨半规管、耳蜗、前庭窗、蜗窗、前庭蜗神经等结构</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4899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03D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7BD3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340A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224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0FA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脑解剖模型</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4967D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自然大，大脑做正中矢状切面，左侧脑半球经外侧沟向枕部再做水平切面，并保留完整的脑干形态，应示大脑、小脑、延髓、脑桥、上下丘、胼胝体、透明隔、嗅球、视神经、动眼神经等部位</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10FA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192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E229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C601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EA7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5F8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脊髓横切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B5DFE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应能看清被膜、灰质和白质</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0721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5F5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E68D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384B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514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03B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运动神经末梢装片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ADEE5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应能看清完整的神经纤维及其分枝伸向肌纤维形成运动终板</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A52D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5B0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F5DB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F60F3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CDB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E4B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橡皮锤</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15D79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膝跳反射用</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19D8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把</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416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3CE8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E624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A75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A5E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人体骨骼模型（高851mm）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8185B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850mm，各部分骨的形态特征，应正确清晰，富有真实感，骨缝应清楚，骨性鼻腔，眶及所有孔，管、沟、裂显示应正确自然</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4B37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236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903B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C477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D8D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004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人体骨骼模型（高1701mm）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F1AA68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1700mm，各部分骨的形态特征，应正确清晰，富有真实感，骨缝应清楚，骨性鼻腔，眶及所有孔，管、沟、裂显示应正确自然</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C4CA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F44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7A3B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421C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105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270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人体肌肉模型</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0CD18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850mm全身，示浅层肌及部分深层肌</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12A9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7F4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3B69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FBCC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DF2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78E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肘关节活动模型</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E8848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附肩胛骨</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D00E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A2B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76D4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1217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BB0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809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兔骨骼标本</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5AF90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干制</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EB1B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FF3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CB55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C4C9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039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AFB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鱼骨骼标本（干制)</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8A444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干制</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D145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693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E3C2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B6CC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4FE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3E4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蛙骨骼标本</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FAD7E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干制</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B65D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362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BC85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18F0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B1B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ABE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鸽骨骼标本</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5EF82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干制</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56B2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C0E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19C9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A1AD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369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0FF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卵巢切片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40858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应能看清卵巢上皮、白膜、皮质、髓质和卵巢门等结构；示成熟卵泡中的卵丘、卵细胞、透明带等结构</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DEF7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DC9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D8A6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B285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3C1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A24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精巢切片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61741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应能看清精巢外层的致密结缔组织白膜，曲细精管的各种断面和结缔组织间质等</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809F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81F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6D0C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62BE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61C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E45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精子涂片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552785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应能看清精子头、颈和尾三部</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9987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5AF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738D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D6DE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574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7C2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家蚕生活史标本</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BC8D9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干制</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9B66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盒</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678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EDFB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FDD5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9DF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FC2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蝗虫生活史标本</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E1329C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干制</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279A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盒</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01C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01B3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85F0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54B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B53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蜜蜂生活史标本</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5CBBAB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干制</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EF57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盒</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255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7889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EB87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4B8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B70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菜粉蝶生活史标本</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715F5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干制</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1A3B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盒</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F95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6BAF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3253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132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430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蛙发育顺序标本</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99874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浸制</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05DC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94E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DAC3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2521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E51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BA4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正常人染色体装片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4CC7C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多重染色</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4288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0B4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3C8E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70EC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831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8B6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验证基因分离规律玉米标本</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2D073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干制，玉米穗，呈现玉米遗传的性状表现规律</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1FB1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3F7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E5AC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0B72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5D4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0F1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海葵标本</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FDB46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浸制c或包埋</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BF06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800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B28D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9C8B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601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AD4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海蜇标本</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693E8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浸制c或包埋</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F3B9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3A5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0F18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1F54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26C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A38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珊瑚标本</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FC5FE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干制</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6B5E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盒</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C8A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5977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78C7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30F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DE4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水螅带芽整体装片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6DE0E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结构应清晰且典型</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AAC8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D4C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4559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DAC8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CBC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AD2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水螅纵切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5A93D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触手处可见刺细胞，消化道剖面完整</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4293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BC8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9E9C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F54C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BBC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585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水螅过精巢横切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97AF73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应能看清精巢、外胚层、内胚层、中胶层和消化循环腔</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7CC0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4D7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793E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2D7C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487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282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水螅过卵巢横切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E8F177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应能看清卵巢、外胚层、内胚层、中胶层和消化循环腔</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4EAA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DCC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96B0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A9E3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484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5FA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囊虫装片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3DD53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应能看清头节上的4个吸盘和顶突部分的小钩</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1454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898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21C2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7A78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0C0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7A4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血吸虫模型</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196249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雌雄合抱，可拆装</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94AF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37A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D15F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345A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E62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67A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血吸虫雌雄合抱装片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17E8D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应能看清雌、雄虫的各部主要结构：口吸盘、腹吸盘、精巢和卵巢等</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2026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242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8049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5B6A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EF7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B03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血吸虫雄虫装片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04DF9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应能看清雄虫体较短粗，虫体应形态正常、不扭曲</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F051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38D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43C1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EBDA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62F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4E2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血吸虫雌虫装片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ED19C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应能看清雌性虫体细长，后半部较粗，虫体应形态正常、不扭曲</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9C48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AB9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9B16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67BF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7D6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493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蛔虫标本</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6BE27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雌、雄各一条，浸制c或包埋</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0300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9D4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70CA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1E85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D27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92B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蚯蚓横切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4AA13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应能看清表皮、肌层、体腔等结构</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4176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0D0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319F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C5C7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552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E6D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蚯蚓解剖模型</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914976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一半完整，可见环带；另一半剖面，示消化系统、循环系统、神经系统</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F85B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C7F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C827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D879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AA9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4E1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节肢动物标本</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090367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常见六种以上，干制或包埋</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4810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8F8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7939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24DC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C4B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552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昆虫标本</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1B641D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常见六种以上，干制或包埋</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2CFC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盒</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6F1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E250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6E43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36A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31B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家蚊(雌)吸式口器装片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E7EA07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应显示复眼、触角、上唇、舌、上颚、下颚、下唇、下颚须和唇瓣等结构</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F498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3EE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71B1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812F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F17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CC8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蝶虹吸式口器装片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5483A5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应显示盘卷的下颚外叶、下唇须，复眼和触角等结构</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BBCA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291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A32A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359C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9F6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010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蝗虫咀嚼式口器装片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C155D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应显示上唇、左上颚、右上颚、左下颚、右下颚、舌和下唇等结构</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AC5F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308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8B3D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7FB3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C09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C74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鱼解剖标本（浸制)</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1B37E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浸制c或包埋</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D08F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8F5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4F40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8B8C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369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C3C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蛙解剖标本</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7758B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浸制c或包埋</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B9E6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1CC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DABC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74DE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07E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9F2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鸽解剖标本</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647CA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浸制c或包埋</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B197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8DE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E1A6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D937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7D4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A32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兔解剖标本</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7FF20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浸制c或包埋</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9A94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ECB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BDC7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2836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AAF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66C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苔藓类植物标本</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B5BF5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浸制c或包埋</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EE28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86F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AF9C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D97C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5B5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FD4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蕨类植物标本</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89B7D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浸制c或包埋</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3C75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5E7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BE14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A255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2E3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EF7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裸子植物标本</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B773C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浸制c或包埋</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F9B9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A73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9BE8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705E9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BF4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32B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被子植物标本</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41CE7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棉、大豆、小麦和玉米四种，浸制c或包埋</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0566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EFB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07FC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5F06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A26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10E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珍贵植物保色标本</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E4DD1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浸制c或包埋</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D2FE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0D0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A639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7A8F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514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678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团藻装片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77294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团藻应基本呈球形，无明显收缩、压碎等情况</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393B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330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7E60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9835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4FC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75E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胞间连丝切片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7DF01B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应能看清胞间连丝将两个相邻细胞的原生质体连在一起</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7DA4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11D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124F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4D1D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192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47E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褐藻类标本</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116D6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海带等四种，浸制c或包埋或覆膜，清楚显示组成藻体的“叶片”、柄部和固着器等基本结构</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C029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3D9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BD69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F82B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184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14E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红藻类标本</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34D80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紫菜等四种，浸制c或包埋或覆膜，各标本应形态完整，能清楚显示组成藻体的“叶片”、柄部和固着器等基本结构</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6B70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17D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3652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D566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C9A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513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衣藻模型</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3A208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一半完整，一半为剖面展示内部结构，杯状叶绿体可以分离、拆卸</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7AE6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ED1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7278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0840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A98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0FA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衣藻装片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37651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应显示细胞壁、杯状叶绿体、细胞核、鞭毛等结构</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E59D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FC3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536A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49F2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283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319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水绵装片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334960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结构应清晰且典型</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33B2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223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7757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3879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168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B34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水绵结合生殖装片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13C68A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应包括有营养细胞和接合生殖各期的藻丝，细胞不收缩，藻丝不堆集或缠绕</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AA25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7A8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4277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2CDF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E6C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098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病毒模型</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FB880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放大100万倍，示噬菌体的解剖结构和特征</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6C89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AF9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F623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00E2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5A4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1A1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细菌模型</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5E81EE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示细菌的横截面，鞭毛、包涵体、质粒和染色体的典型构造</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E89D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01E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604A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76A6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8EE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3BE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细菌三型涂片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F3E02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示球菌、杆菌、螺旋菌三种形态</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DFF0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5B6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5E16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2351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AED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CD2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酵母菌装片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7D4FE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应能看清细胞壁、细胞核、细胞质、液泡和细胞膜等结构，可见芽体</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7F6F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5F5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A523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96E4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A28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FBB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青霉装片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5C7EE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应能看清分生孢子梗和顶端的扫帚枝，菌丝、孢子梗、孢子应无收缩</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9EA3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282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47BF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D16B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283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F5D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曲霉装片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8B8096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应能看清营养菌丝及其上的分生孢子梗、顶囊和顶端的分生孢子</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51B5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2D7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2B70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2226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FA1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B7D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黑根霉装片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A0F87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结构应清晰且典型</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2C28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F2F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1E0D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0B01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056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CDD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伞蕈切片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DB631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菌柄居中，菌褶、担子和担孢子不收缩</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BA33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5A6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DE16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9E6A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94C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662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酸奶机</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25682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全自动，304不锈钢或食品级塑料内胆</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2749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A09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8820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E4F5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C91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897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果酒果醋发酵装置</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843009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透明，最大容积1L，采用安全、环保材质，具水封及气泡限速装置</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A9BB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7C0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7A8F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AD8E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2F1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255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蛔虫卵装片</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22068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结构应清晰且典型</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F15C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片</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68B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9268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E3C9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19E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799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护理人模型</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0CDCD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1700mm；采用热塑弹性体混合胶材料；解剖标志准确，可支持心肺复苏(胸外按压、人工呼吸)等急救操作</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0751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32D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D665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382B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A91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7DE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虚拟仿真生物实验实验系统</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0FEB5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1.★初中生物虚拟实验支持初中生物演示实验、分组实验、动物实验、观察实验不少于40个。</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2.★支持用WebGL引擎、用Unity引擎开发的生物全三维实验资源，为学生直观的展示生物实验的宏观和微观世界。</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3.可随意平移、旋转实验视角，支持用户从任意视角、任意距离观察实验台，能够高度自由交互操作。</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4.系统须优化处理，确保实时运行帧数高于25帧/秒。</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5.支持键盘鼠标与触屏操作自由转换，良好适配触摸一体机、电子白板及课堂电脑。</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6.★初中生物操作模拟真实实验操作过程，不可采用下一步下一页等自动化动画以及大量文字按钮替代仿真操作。</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7.探究类和操作类实验，支持用户自由拖拽、移动、旋转实验器材和药品，并能抽象的反应过程，用户可以直观的观察真实的实验现象和实验结果。</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8.★系统能够快速完成周期长类实验，数据结果随机性高、科学真实，不能使用计算机模拟写死的动画代替变化的实验结果，锻炼学生的数据分析处理能力。</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提供显微镜仿真实验，每一部件均可仿真操作，可以一键调整也可分步操作。提供显微镜下高清图像，可全屏展示，可拖动平移图像，转换倍数。显微图像配有多种颜色的画笔，支持板书功能，并设有橡皮、清除等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10.提供动物三维模型、三维动画，对模型进行结构剖析，直观认知动植物。</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11.★学生可以自主设定实验条件，进行探究实验操作，如探究种子萌发的环境条件，学生可以设置温度、光照、水份、空气等条件，并可以将多个培养皿对照实验。</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12.★系统对于学生的错误操作要给与提示，高度仿真错误及异常现象。如光合作用实验，学生可以自由探究实验步骤，对于错误步骤系统产生不同的实验结果，滴加碘液叶子呈现不同的颜色。</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13.系统提供实验详情，为用户呈现实验目的、实验现象、实验器材以及实验步骤，用户在实验过程中可以随时点击查看，并进行实验操作。</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14.系统提供实验数据记录、实验表格填写以及实验报告撰写功能。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15.实验结构清晰，覆盖教学知识点，能快速高效完成课堂演示。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16.学生在实验过程中可以一键还原实验状态，重新开始做实验。</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17.★系统提供中考实验操作实验不少于5个，分为练习和考试两种模式，支持学生自主练习与测试；在练习模式下提供实验操作自动指导功能，在实验过程中可以随时点击查看，方便学生按照正确的步骤练习；在考试模式下提供倒计时功能，要求学生在规定的时间内完成实验操作，学生提交之后可以自动显示分数。</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18.★招标现场进行现场演示《酸雨对生物的影响》实验，需将演示过程进行完整的操作录屏，并生成mp4格式视频文件，压制在U盘或光盘中，同招标文件一并提交。现场演示以下功能：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（1）采用3D真实模型；</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（2）支持用户从任意视角、任意距离观察实验台；</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（3）系统具备良好交互性，支持用户平移、旋转视角；</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（4）多次实验的实验数据应该提供数据随机性。</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B99B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EC8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61B7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57CA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EF8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A03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数字教材（教师）</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C42DB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正规印刷手册，有详细指导</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33B1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 教  师/ 年</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A4A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4B53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64C4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67D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A9A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无线智能温度传感器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808DEF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一、结构及外观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由传感器主体和前端探头连接构成。主体正面有电源按钮、电源和蓝牙指示灯、传感器名称；背面有蓝牙编号及电池仓，机身外壳与电池仓用密封圈密封。</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二、功能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1.用于测量物体表面、气体、酸碱等液体的温度。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2.传感器内置蓝牙模块，采用蓝牙5.0技术，具备低功耗运行和待机能力。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3.传感器与数据采集终端（电脑、平板或手机）直接通过蓝牙无线连接，便于运动情况下的数据测量及各种实验环境中的数据采集，无需数据采集器。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4.可脱机进行数据采集。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5.传感器具有唯一蓝牙编号，便于数据终端选择性连接。</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6.使用纽扣电池，电池可更换，一枚电池可正常课堂使用1年以上。</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7.可实现微小的温度变化快速采样。</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8.无需校准，即连即用。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9.连接方式：蓝牙无线。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10.节能方式：传感器打开电源，无连接或连接无活动，几分钟后自动关闭电源。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11.支持固件空中升级。</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12.可切换单位：℃、℉、K。                                                                                              13.支持平台：Windows、Android、iOS/iPadOS、MacOS、 Linux、Harmony OS、统信UOS、麒麟等。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三、规格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1.量程：-40℃~125℃</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2.分辨率：0.01℃</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3.精度：±0.5℃</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4.采样速率：10次/秒</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5.连续使用时间：≥120小时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6.防水等级：IP67</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7.通讯距离：≥30m（空旷无遮挡）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8.电池型号：CR2032</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D3FC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907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5236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16C11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182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EB3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无线智能绝对压强传感器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16499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一、结构及外观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由传感器主体正面有电源按钮、电源和蓝牙指示灯、传感器名称；背面有蓝牙编号；底部有Type-C接口，前端是鲁尔公接头，可连接软管等多种附件接入环境中进行测量。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二、功能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1.用于测量大气环境下或密闭空间内的气体的压强。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2.传感器内置蓝牙模块，采用蓝牙5.0技术，具备低功耗运行和待机能力。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3.传感器与数据采集终端（电脑、平板或手机）直接通过蓝牙无线连接，便于运动情况下的数据测量及各种实验环境中的数据采集，无需数据采集器。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4.可脱机进行数据采集。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5.传感器具有唯一蓝牙编号，便于数据终端选择性连接。</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6.可实现校准功能。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7.连接方式：蓝牙无线或有线。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8.节能方式：传感器打开电源，但无连接或连接无活动，几分钟后自动关闭电源。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9.支持固件空中升级。                                                                                                 10.支持平台：Windows、Android、iOS/iPadOS、MacOS、 Linux、Harmony OS、统信UOS、麒麟等。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三、规格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1.量程：0~400kPa</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2.分辨率：0.1kPa</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3.精度：±2%</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4.采样速率：500次/秒</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5.连续使用时间：≥30小时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6.通讯距离：≥30m（空旷无遮挡）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7.可充电锂电池，电池型号：3.7V 250mAh</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114A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DFE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DDE0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537CD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DC5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CAE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无线智能pH传感器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0B4E9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一、结构及外观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由传感器主体和pH探头构成。主体正面有电源按钮、电源和蓝牙指示灯、传感器名称；背面有蓝牙编号及电池仓，机身外壳与电池仓用密封圈密封。主体前端为BNC接口，可与pH探头连接用于测量溶液pH值。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二、功能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1.用于测量溶液的pH值。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2.传感器内置蓝牙模块，采用蓝牙5.0技术，具备低功耗运行和待机能力。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3.传感器与数据采集终端（电脑、平板或手机）直接通过蓝牙无线连接，便于运动情况下的数据测量及各种实验环境中的数据采集，无需数据采集器。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4.可脱机进行数据采集。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5.传感器具有唯一蓝牙编号，便于数据终端选择性连接。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6.使用纽扣电池，电池可更换，一枚电池可正常课堂使用1年以上。</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7.可实现标定功能。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8.连接方式：蓝牙无线。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9.节能方式：传感器打开电源，但无连接或连接无活动，几分钟后自动关闭电源。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10.支持固件空中升级。                                                                                                       11.支持平台：Windows、Android、iOS/iPadOS、MacOS、 Linux、Harmony OS、统信UOS、麒麟等。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三、规格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1.量程：0~14</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2.分辨率：0.01</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3.采样速率：100次/秒</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4.连续使用时间：≥120小时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5.防水等级：IP67</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6.通讯距离：≥30m（空旷无遮挡）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7.电池型号：CR2032</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271D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BAB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518F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BDF1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082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47F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无线智能溶氧气氧传感器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3C971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一、结构及外观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由传感器主体和溶解氧气氧探头构成。主体正面有电源按钮、电源和蓝牙指示灯、传感器名称；背面有蓝牙编号；底部有Type-C接口；主体前端为BNC接口，可与溶解氧气氧探头连接用于测量溶解氧/氧气含量。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二、功能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★1.用于测量气体和液体中的氧气含量。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2.传感器内置蓝牙模块，采用蓝牙5.0技术，具备低功耗运行和待机能力。</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3.传感器与数据采集终端（电脑、平板或手机）直接通过蓝牙无线连接，便于运动情况下的数据测量及各种实验环境中的数据采集，无需数据采集器；传感器多种测量多合一，可测量溶解氧、气氧。</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★4.可脱机进行数据采集。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5.传感器具有唯一蓝牙编号，便于数据终端选择性连接。</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6.可实现溶解氧标定，气氧校准功能。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★7.连接方式：蓝牙无线或有线。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8.节能方式：传感器打开电源，但无连接或连接无活动，几分钟后自动关闭电源。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9.支持固件空中升级。                                                                                               10.支持平台：Windows、Android、iOS/iPadOS、MacOS、 Linux、Harmony OS、统信UOS、麒麟等。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三、规格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1.量程</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★溶解氧：0~20 mg/L；氧气：0~100%</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2.分辨率</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★溶解氧：0.01 mg/L；氧气：0.1%</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3.精度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溶解氧：±0.5mg/L（10~35℃）；氧气：±2%F.S</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4.采样速率:100次/秒</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5.连续使用时间:≥30小时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6.通讯距离:≥30m（空旷无遮挡）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7.可充电锂电池，电池型号：3.7V 250mAh</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提供由CMA、CNAS认证通过的第三方检测机构出具的检测报告佐证产品带★项关键参数指标。</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7B71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B28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56AE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AE53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409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812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无线智能二氧化碳传感器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43D7D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一、结构及外观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由传感器主体和前端探头连接构成。主体正面有电源按钮、电源和蓝牙指示灯、传感器名称；背面有蓝牙编号；底部有Type-C接口。探头外壳为黑色塑料，通过数个栅栏与外界相通，栅栏内有过滤层。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二、功能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1.用于测量气体中二氧化碳的含量。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2.传感器内置蓝牙模块，采用蓝牙5.0技术，具备低功耗运行和待机能力。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3.传感器与数据采集终端（电脑、平板或手机）直接通过蓝牙无线连接，便于运动情况下的数据测量及各种实验环境中的数据采集，无需数据采集器。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4.可脱机进行数据采集。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5.传感器具有唯一蓝牙编号，便于数据终端选择性连接。</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6.无需校准，即连即用。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7.连接方式：蓝牙无线或有线。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8.节能方式：传感器打开电源，但无连接或连接无活动，几分钟后自动关闭电源。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9.支持固件空中升级。                                                                                               10.支持平台：Windows、Android、iOS/iPadOS、MacOS、 Linux、Harmony OS、统信UOS、麒麟等。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三、规格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1.量程：0~100000 ppm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2.分辨率：1ppm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3.精度：±100ppm(0~1000ppm)；±(100ppm＋5%读数值)(1000~10000ppm)；±10%(10000~50000ppm)；±15%(50000~100000ppm)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4.采样速率:1次/秒</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5.连续使用时间:≥10小时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6.通讯距离:≥30m（空旷无遮挡）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7.可充电锂电池，电池型号：3.7V 1000mAh</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C84C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7F6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E4D6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FAAB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E18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F0E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无线智能相对湿度传感器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6DB8E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一、结构及外观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由传感器主体和前端探头连接构成。主体正面有电源按钮、电源和蓝牙指示灯、传感器名称；背面有蓝牙编号；底部有Type-C接口。</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二、功能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1.用于测量空气的相对湿度。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2.传感器内置蓝牙模块，采用蓝牙5.0技术，具备低功耗运行和待机能力。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3.传感器与数据采集终端（电脑、平板或手机）直接通过蓝牙无线连接，便于运动情况下的数据测量及各种实验环境中的数据采集，无需数据采集器。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4.可脱机进行数据采集。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5.传感器具有唯一蓝牙编号，便于数据终端选择性连接。</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6.无需校准，即连即用。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7.连接方式：蓝牙无线或有线。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8.节能方式：传感器打开电源，但无连接或连接无活动，几分钟后自动关闭电源。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9.支持固件空中升级。                                                                                            10.支持平台：Windows、Android、iOS/iPadOS、MacOS、 Linux、Harmony OS、统信UOS、麒麟等。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三、规格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1.量程：0~100%</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2.分辨率：0.1%</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3.精度:±4%  (0~80%)</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4.采样速率：10次/秒</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5.连续使用时间:≥20小时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6.通讯距离:≥30m（空旷无遮挡）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7.可充电锂电池，电池型号：3.7V 150mAh</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71A0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E22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03EB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BAC0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A11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4D5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无线智能光强传感器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681B5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一、结构及外观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由传感器主体正面有电源按钮、电源和蓝牙指示灯、传感器名称、进光孔；背面有蓝牙编号；底部有Type-C接口。</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二、功能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1.用于测量被测环境的光强值。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2.传感器内置蓝牙模块，采用蓝牙5.0技术，具备低功耗运行和待机能力。</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3.传感器与数据采集终端（电脑、平板或手机）直接通过蓝牙无线连接，便于运动情况下的数据测量及各种实验环境中的数据采集，无需数据采集器。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4.可脱机进行数据采集。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5.传感器具有唯一蓝牙编号，便于数据终端选择性连接。</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6.无需校准，即连即用。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7.连接方式：蓝牙无线或有线。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8.节能方式：传感器打开电源，但无连接或连接无活动，几分钟后自动关闭电源。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9.支持固件空中升级。                                                                                          10.支持平台：Windows、Android、iOS/iPadOS、MacOS、 Linux、Harmony OS、统信UOS、麒麟等。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三、规格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1.量程：0~128kLux</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2.分辨率：1Lux</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3.精度：±4%F.S</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4.采样速率：10次/秒</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5.连续使用时间：≥20小时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6.通讯距离：≥30m（空旷无遮挡）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7.可充电锂电池，电池型号：3.7V 250mAh</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D694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7BC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6F56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6768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B82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106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无线智能表面温度传感器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BD8E4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一、结构及外观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由传感器主体和表面温度传感器探头组成。主体正面有电源按钮、电源和蓝牙指示灯、传感器名称；背面有蓝牙编号；底部有Type-C接口。</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二、功能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1.用于测量物体的表面温度。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2.传感器内置蓝牙无线模块，使用蓝牙5.0技术，低功耗运行和待机。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3.传感器与数据采集终端（电脑、平板或手机）直接通过蓝牙无线连接，便于运动情况下的数据测量及各种实验环境中的数据采集，无需数据采集器。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4.可脱机进行数据采集。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5.传感器具有唯一蓝牙编号，便于数据终端选择性连接。</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6.无需校准，即连即用。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7.连接方式：蓝牙无线或有线。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8.节能方式：传感器打开电源，但无连接或连接无活动，几分钟后自动关闭电源。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9.支持固件空中升级。                                                                                           10.支持平台：Windows、Android、iOS/iPadOS、MacOS、 Linux、Harmony OS、统信UOS、麒麟等。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三、规格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1.量程:-25℃~125℃</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2.分辨率:0.1℃</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3.精度:±0.5℃</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4.采样速率:10次/秒</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5.连续使用时间:≥30小时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6.通讯距离:≥30m（空旷无遮挡）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7.可充电锂电池，电池型号：3.7V 250mAh</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C33D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7CE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CFF8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CD88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A2B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E95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无线智能心率传感器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C5C67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一、结构及外观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传感器正面有电源按钮、电源和蓝牙指示灯、传感器名称；背面有蓝牙编号；底部有Type-C接口；前端设有标准3.5mm音频接口，用于连接心率耳夹，数据以每分钟心跳次数 (BPM) 显示。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二、功能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1.用于测量人体的心率值。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2.传感器内置蓝牙模块，采用蓝牙5.0技术，具备低功耗运行和待机能力。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3.传感器与数据采集终端（电脑、平板或手机）直接通过蓝牙无线连接，便于运动情况下的数据测量及各种实验环境中的数据采集，无需数据采集器。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4.可脱机进行数据采集。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5.传感器具有唯一蓝牙编号，便于数据终端选择性连接。</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6.无需校准，即连即用。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7.连接方式：蓝牙无线或有线。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8.节能方式：传感器打开电源，但无连接或连接无活动，几分钟后自动关闭电源。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9.支持固件空中升级。                                                                                                10.支持平台：Windows、Android、iOS/iPadOS、MacOS、 Linux、Harmony OS、统信UOS、麒麟等。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三、规格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1.量程：0~200BPM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2.分辨率：1BPM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3.精度：±2BPM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4.采样速率：10次/秒</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5.连续使用时间：≥30小时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6.通讯距离：≥30m（空旷无遮挡）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7.可充电锂电池，电池型号：3.7V 250mAh</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BBD7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39D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EA21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8ED7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878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9A4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无线智能呼吸率传感器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3221D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一、结构及外观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传感器正面有电源按钮、电源和蓝牙指示灯、传感器名称、蓝牙编号；底部有Type-C接口；前端透明部分的中央有一个筛网，被吹入的气体在筛网前后会形成压强差，传感器可以将所得的压强数据转化为气流的速率。</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二、功能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1.用于测量呼出肺部的空气的量。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2.传感器内置蓝牙无线模块，使用蓝牙5.0技术，低功耗运行和待机功耗。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3.传感器与数据采集终端（电脑、平板或手机）直接通过蓝牙无线连接，便于运动情况下的数据测量及各种实验环境中的数据采集，无需数据采集器。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4.可脱机进行数据采集，脱机采集数据时间可达30小时（电量充足）。</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5.传感器具有唯一蓝牙编号，便于数据终端选择性连接。</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6.可实现校准功能。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7.连接方式：蓝牙无线或有线。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8.节能方式：传感器打开电源，但无连接或连接无活动，几分钟后自动关闭电源。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9.支持固件空中升级。                                                                                                  10.支持平台：Windows、Android、iOS/iPadOS、MacOS、 Linux、Harmony OS、统信UOS、麒麟等。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三、规格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1.量程：-10L/s~10L/s</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2.分辨率：0.01L/s</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3.精度：±3%</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4.采样速率：1000次/秒</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5.连续使用时间：≥30小时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6.通讯距离：≥30m（空旷无遮挡）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7.可充电锂电池，电池型号：3.7V 250mAh</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588A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F6E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479F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E0BE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35A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3A5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无线智能心电图传感器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B5053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一、结构及外观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传感器正面有电源按钮、电源和蓝牙指示灯、传感器名称；背面有蓝牙编号；底部有Type-C接口；前端设有标准3.5mm音频接口，用于连接电极片，从心脏收缩检测到的电压 (mV) 直观地显示在心电图轨迹中。</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二、功能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1.用于测量人体心电图的波形图形。</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2.传感器内置蓝牙模块，采用蓝牙5.0技术，具备低功耗运行和待机能力。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3.传感器与数据采集终端（电脑、平板或手机）直接通过蓝牙无线连接，便于运动情况下的数据测量及各种实验环境中的数据采集，无需数据采集器。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4.可脱机进行数据采集。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5.传感器具有唯一蓝牙编号，便于数据终端选择性连接。</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6.无需校准，即连即用。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7.连接方式：蓝牙无线或有线。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8.节能方式：传感器打开电源，但无连接或连接无活动，几分钟后自动关闭电源。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9.支持固件空中升级。                                                                                                                        10.支持平台：Windows、Android、iOS/iPadOS、MacOS、 Linux、Harmony OS、统信UOS、麒麟等。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三、规格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1.量程：-4.5mV~4.5mV</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2.分辨率：0.01mV</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3.采样速率：1000次/秒</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4.连续使用时间：≥30小时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5.通讯距离：≥30m（空旷无遮挡）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6.可充电锂电池，电池型号：3.7V 250mAh</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E3B9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302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8D9F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CC56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E50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3D5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无线智能血压传感器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8AEB5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一、结构及外观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由传感器主体和血压计袖带构成。主体正面有电源按钮、电源和蓝牙指示灯、传感器名称；背面有蓝牙编号；底部有Type-C接口；前端是鲁尔接口，可与测血压袖带相连。</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二、功能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1.用于测量血压。</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2.传感器内置蓝牙模块，采用蓝牙5.0技术，具备低功耗运行和待机能力。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3.传感器与数据采集终端（电脑、平板或手机）直接通过蓝牙无线连接，便于运动情况下的数据测量及各种实验环境中的数据采集，无需数据采集器。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4.可脱机进行数据采集。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5.传感器具有唯一蓝牙编号，便于数据终端选择性连接。</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6.无需校准，即连即用。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7.连接方式：蓝牙无线或有线。</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8.节能方式：传感器打开电源，但无连接或连接无活动，几分钟后自动关闭电源。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9.支持固件空中升级。                                                                                          10.支持平台：Windows、Android、iOS/iPadOS、MacOS、 Linux、Harmony OS、统信UOS、麒麟等。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三、规格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1.量程：0~300mmHg</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2.分辨率：0.1mmHg</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3.精度：±3mmHg</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4.连续使用时间：≥30小时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5.通讯距离：≥30m（空旷无遮挡）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6.可充电锂电池，电池型号：3.7V 250mAh</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6A47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只</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4C1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4818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9ADC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2911" w:type="dxa"/>
            <w:gridSpan w:val="3"/>
            <w:tcBorders>
              <w:top w:val="single" w:color="000000" w:sz="4" w:space="0"/>
              <w:left w:val="single" w:color="000000" w:sz="4" w:space="0"/>
              <w:bottom w:val="single" w:color="000000" w:sz="4" w:space="0"/>
              <w:right w:val="nil"/>
            </w:tcBorders>
            <w:shd w:val="clear" w:color="auto" w:fill="auto"/>
            <w:vAlign w:val="center"/>
          </w:tcPr>
          <w:p w14:paraId="29868A1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5、初中生物试剂常规仪器配备方案</w:t>
            </w:r>
          </w:p>
        </w:tc>
        <w:tc>
          <w:tcPr>
            <w:tcW w:w="564" w:type="dxa"/>
            <w:tcBorders>
              <w:top w:val="single" w:color="000000" w:sz="4" w:space="0"/>
              <w:left w:val="nil"/>
              <w:bottom w:val="single" w:color="000000" w:sz="4" w:space="0"/>
              <w:right w:val="nil"/>
            </w:tcBorders>
            <w:shd w:val="clear" w:color="auto" w:fill="auto"/>
            <w:vAlign w:val="center"/>
          </w:tcPr>
          <w:p w14:paraId="1E5AF3A2">
            <w:pPr>
              <w:keepNext w:val="0"/>
              <w:keepLines w:val="0"/>
              <w:suppressLineNumbers w:val="0"/>
              <w:spacing w:before="0" w:beforeAutospacing="0" w:after="0" w:afterAutospacing="0"/>
              <w:ind w:left="0" w:right="0"/>
              <w:rPr>
                <w:rFonts w:hint="eastAsia" w:ascii="宋体" w:hAnsi="宋体" w:eastAsia="宋体" w:cs="宋体"/>
                <w:b/>
                <w:bCs/>
                <w:i w:val="0"/>
                <w:iCs w:val="0"/>
                <w:color w:val="auto"/>
                <w:sz w:val="24"/>
                <w:szCs w:val="24"/>
                <w:highlight w:val="none"/>
                <w:u w:val="none"/>
              </w:rPr>
            </w:pPr>
          </w:p>
        </w:tc>
        <w:tc>
          <w:tcPr>
            <w:tcW w:w="500" w:type="dxa"/>
            <w:gridSpan w:val="2"/>
            <w:tcBorders>
              <w:top w:val="single" w:color="000000" w:sz="4" w:space="0"/>
              <w:left w:val="nil"/>
              <w:bottom w:val="single" w:color="000000" w:sz="4" w:space="0"/>
              <w:right w:val="nil"/>
            </w:tcBorders>
            <w:shd w:val="clear" w:color="auto" w:fill="auto"/>
            <w:vAlign w:val="center"/>
          </w:tcPr>
          <w:p w14:paraId="20AFEB7A">
            <w:pPr>
              <w:keepNext w:val="0"/>
              <w:keepLines w:val="0"/>
              <w:suppressLineNumbers w:val="0"/>
              <w:spacing w:before="0" w:beforeAutospacing="0" w:after="0" w:afterAutospacing="0"/>
              <w:ind w:left="0" w:right="0"/>
              <w:rPr>
                <w:rFonts w:hint="eastAsia" w:ascii="宋体" w:hAnsi="宋体" w:eastAsia="宋体" w:cs="宋体"/>
                <w:b/>
                <w:bCs/>
                <w:i w:val="0"/>
                <w:iCs w:val="0"/>
                <w:color w:val="auto"/>
                <w:sz w:val="24"/>
                <w:szCs w:val="24"/>
                <w:highlight w:val="none"/>
                <w:u w:val="none"/>
              </w:rPr>
            </w:pPr>
          </w:p>
        </w:tc>
        <w:tc>
          <w:tcPr>
            <w:tcW w:w="1138" w:type="dxa"/>
            <w:gridSpan w:val="4"/>
            <w:tcBorders>
              <w:top w:val="single" w:color="000000" w:sz="4" w:space="0"/>
              <w:left w:val="nil"/>
              <w:bottom w:val="single" w:color="000000" w:sz="4" w:space="0"/>
              <w:right w:val="nil"/>
            </w:tcBorders>
            <w:shd w:val="clear" w:color="auto" w:fill="auto"/>
            <w:vAlign w:val="center"/>
          </w:tcPr>
          <w:p w14:paraId="1380A46F">
            <w:pPr>
              <w:keepNext w:val="0"/>
              <w:keepLines w:val="0"/>
              <w:suppressLineNumbers w:val="0"/>
              <w:spacing w:before="0" w:beforeAutospacing="0" w:after="0" w:afterAutospacing="0"/>
              <w:ind w:left="0" w:right="0"/>
              <w:rPr>
                <w:rFonts w:hint="eastAsia" w:ascii="宋体" w:hAnsi="宋体" w:eastAsia="宋体" w:cs="宋体"/>
                <w:b/>
                <w:bCs/>
                <w:i w:val="0"/>
                <w:iCs w:val="0"/>
                <w:color w:val="auto"/>
                <w:sz w:val="24"/>
                <w:szCs w:val="24"/>
                <w:highlight w:val="none"/>
                <w:u w:val="none"/>
              </w:rPr>
            </w:pPr>
          </w:p>
        </w:tc>
      </w:tr>
      <w:tr w14:paraId="1A823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62D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7CC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名称</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D5C7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技术规格</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0F55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单位</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CC4D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数量</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CF0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备注</w:t>
            </w:r>
          </w:p>
        </w:tc>
      </w:tr>
      <w:tr w14:paraId="16DAB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D58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DC2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ABO血型鉴定实验盒</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B653E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包含4种模拟血液样品(A型、B型、AB型、O型)，2种模拟抗体(抗A和抗B)，反应卡，塑料签，吸水纸</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3078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盒</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032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15EC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F009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99B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A45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牛肉膏</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714E3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试剂，BR500g。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55C7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340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95BB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AADC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E5A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54C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蛋白胨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09A7B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试剂，BR250g。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3D98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E92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159B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2DB0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573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B20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碘</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C6579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试剂，AR250g。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47AB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EB7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6AF2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9914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15C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C29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碘化钾</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C15C1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试剂，AR500g。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B8B9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F8C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D05D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7351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251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956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氯化钠(试剂)</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065D9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试剂，AR500g。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3D4C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EA4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F9B2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7DD2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DB4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AC3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碳酸氢钠</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DD749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工业，AR500g。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DB0D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A1F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17EB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44F2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282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85B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氢氧化钙（熟石灰)</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B5F91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试剂，AR500g。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89F5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AF6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D4B9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1BFD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6AF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ECF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氢氧化钠（试剂）</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2F832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试剂，AR500g。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2CA9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7E8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3F82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2626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F23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B37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丙三醇(甘油)</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7DB94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试剂，AR500ml。</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0DA7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A4D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5E2A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D215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313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AA3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酒精（工业）</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9A67B8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95%，工业，AR500ml。</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C72D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A72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2E20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60DA3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456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5C8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酒精（医用）</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A304A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医用，AR500ml。</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30B2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206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A095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D010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77B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3D7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柠檬酸钠</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235E2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试剂，AR500g。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796C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4B3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4FE5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5980B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2D3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156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蔗糖</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68814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试剂，AR500g。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5054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8D8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4FAF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A1F4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C94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49D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可溶性淀粉</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989F3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试剂，AR500g。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1A49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000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F7D6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225F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FE8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1A3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琼脂</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F06A8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试剂，BR250g。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D53F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8BE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99FA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2585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DB0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3E1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葡萄糖</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A2133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试剂，AR500g。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075F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BC7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19AF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5A41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29D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A0B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乙酸（醋酸）</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22D43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试剂，AR500ml。</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C5F4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951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53BE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2FEF6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EAB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CAA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酚酞</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99EB5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指示剂，AR25g。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6839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2B8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1D9B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0BBFE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CA9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62D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溴麝香草粉蓝</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BECC3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试剂，AR25g。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DEEC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19E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A979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746C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300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BC8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胭脂红</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821F9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试剂，试剂500g。</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35CE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瓶</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A11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52E5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41A8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594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B80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pH广范围试纸</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8B40F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1～14，50张， 1～14，50张。</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4497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本</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07E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74</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E348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43420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CBC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29B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尿糖试纸</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BFD49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半定量或定性</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D116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盒</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322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2123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363E1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1F4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AE6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定性滤纸（150mm)</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068F8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快速，9cm，100张</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998B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盒</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F7A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9BDF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r w14:paraId="75B53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F7F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D99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酒精试纸</w:t>
            </w:r>
          </w:p>
        </w:tc>
        <w:tc>
          <w:tcPr>
            <w:tcW w:w="112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086FC2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半定量或定性</w:t>
            </w:r>
          </w:p>
        </w:tc>
        <w:tc>
          <w:tcPr>
            <w:tcW w:w="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9D35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盒</w:t>
            </w:r>
          </w:p>
        </w:tc>
        <w:tc>
          <w:tcPr>
            <w:tcW w:w="5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0BC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7A10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4"/>
                <w:szCs w:val="24"/>
                <w:highlight w:val="none"/>
                <w:u w:val="none"/>
              </w:rPr>
            </w:pPr>
          </w:p>
        </w:tc>
      </w:tr>
    </w:tbl>
    <w:p w14:paraId="285FE2B2">
      <w:pPr>
        <w:rPr>
          <w:rFonts w:hint="eastAsia"/>
          <w:color w:val="auto"/>
          <w:highlight w:val="none"/>
          <w:lang w:val="en-US" w:eastAsia="zh-CN"/>
        </w:rPr>
      </w:pPr>
    </w:p>
    <w:p w14:paraId="05B31DAC">
      <w:pPr>
        <w:rPr>
          <w:rFonts w:hint="eastAsia"/>
          <w:color w:val="auto"/>
          <w:highlight w:val="none"/>
          <w:lang w:val="en-US" w:eastAsia="zh-CN"/>
        </w:rPr>
      </w:pPr>
    </w:p>
    <w:p w14:paraId="1AEC9CC7">
      <w:pPr>
        <w:bidi w:val="0"/>
        <w:rPr>
          <w:rFonts w:hint="eastAsia"/>
          <w:color w:val="auto"/>
          <w:highlight w:val="none"/>
          <w:lang w:val="en-US" w:eastAsia="zh-CN"/>
        </w:rPr>
        <w:sectPr>
          <w:pgSz w:w="16838" w:h="11906" w:orient="landscape"/>
          <w:pgMar w:top="1417" w:right="1417" w:bottom="1417" w:left="1417" w:header="851" w:footer="850" w:gutter="0"/>
          <w:pgBorders>
            <w:top w:val="none" w:sz="0" w:space="0"/>
            <w:left w:val="none" w:sz="0" w:space="0"/>
            <w:bottom w:val="none" w:sz="0" w:space="0"/>
            <w:right w:val="none" w:sz="0" w:space="0"/>
          </w:pgBorders>
          <w:pgNumType w:fmt="decimal"/>
          <w:cols w:space="0" w:num="1"/>
          <w:titlePg/>
          <w:rtlGutter w:val="0"/>
          <w:docGrid w:type="linesAndChars" w:linePitch="312" w:charSpace="530"/>
        </w:sectPr>
      </w:pPr>
    </w:p>
    <w:bookmarkEnd w:id="155"/>
    <w:p w14:paraId="231C71F5">
      <w:pPr>
        <w:keepNext w:val="0"/>
        <w:tabs>
          <w:tab w:val="left" w:pos="420"/>
          <w:tab w:val="left" w:pos="5527"/>
        </w:tabs>
        <w:spacing w:line="360" w:lineRule="auto"/>
        <w:jc w:val="center"/>
        <w:outlineLvl w:val="0"/>
        <w:rPr>
          <w:rStyle w:val="38"/>
          <w:rFonts w:hint="eastAsia" w:ascii="宋体" w:hAnsi="宋体" w:eastAsia="宋体" w:cs="宋体"/>
          <w:b/>
          <w:bCs/>
          <w:color w:val="auto"/>
          <w:sz w:val="32"/>
          <w:szCs w:val="32"/>
          <w:highlight w:val="none"/>
          <w:lang w:val="en-US" w:eastAsia="zh-CN"/>
        </w:rPr>
      </w:pPr>
      <w:bookmarkStart w:id="160" w:name="_Toc29852"/>
      <w:bookmarkStart w:id="161" w:name="_Toc6801"/>
      <w:bookmarkStart w:id="162" w:name="_Toc23713"/>
      <w:bookmarkStart w:id="163" w:name="_Toc16040"/>
      <w:bookmarkStart w:id="164" w:name="_Toc11247"/>
      <w:bookmarkStart w:id="165" w:name="_Toc31107"/>
      <w:r>
        <w:rPr>
          <w:rStyle w:val="38"/>
          <w:rFonts w:hint="eastAsia" w:ascii="宋体" w:hAnsi="宋体" w:eastAsia="宋体" w:cs="宋体"/>
          <w:b/>
          <w:bCs/>
          <w:color w:val="auto"/>
          <w:kern w:val="2"/>
          <w:sz w:val="32"/>
          <w:szCs w:val="32"/>
          <w:highlight w:val="none"/>
          <w:lang w:val="en-US" w:eastAsia="zh-CN"/>
        </w:rPr>
        <w:t>第四章 合同</w:t>
      </w:r>
      <w:r>
        <w:rPr>
          <w:rFonts w:hint="eastAsia" w:ascii="宋体" w:hAnsi="宋体" w:eastAsia="宋体" w:cs="宋体"/>
          <w:b/>
          <w:bCs/>
          <w:color w:val="auto"/>
          <w:sz w:val="32"/>
          <w:szCs w:val="32"/>
          <w:highlight w:val="none"/>
          <w:lang w:val="zh-CN"/>
        </w:rPr>
        <w:t>（</w:t>
      </w:r>
      <w:r>
        <w:rPr>
          <w:rFonts w:hint="eastAsia" w:ascii="宋体" w:hAnsi="宋体" w:eastAsia="宋体" w:cs="宋体"/>
          <w:b/>
          <w:bCs/>
          <w:color w:val="auto"/>
          <w:sz w:val="32"/>
          <w:szCs w:val="32"/>
          <w:highlight w:val="none"/>
        </w:rPr>
        <w:t>以最终签订合同为准</w:t>
      </w:r>
      <w:r>
        <w:rPr>
          <w:rFonts w:hint="eastAsia" w:ascii="宋体" w:hAnsi="宋体" w:eastAsia="宋体" w:cs="宋体"/>
          <w:b/>
          <w:bCs/>
          <w:color w:val="auto"/>
          <w:sz w:val="32"/>
          <w:szCs w:val="32"/>
          <w:highlight w:val="none"/>
          <w:lang w:val="zh-CN"/>
        </w:rPr>
        <w:t>）</w:t>
      </w:r>
    </w:p>
    <w:p w14:paraId="77D2E57F">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w:t>
      </w:r>
    </w:p>
    <w:p w14:paraId="064E5A88">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法定代表人（或负责人）：</w:t>
      </w:r>
    </w:p>
    <w:p w14:paraId="7FB58FAA">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w:t>
      </w:r>
    </w:p>
    <w:p w14:paraId="696A6C1B">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法定代表人（或负责人）：</w:t>
      </w:r>
    </w:p>
    <w:p w14:paraId="1D6E41C5">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根据《中华人民共和国政府采购法》、《中华人民共和国</w:t>
      </w:r>
      <w:r>
        <w:rPr>
          <w:rFonts w:hint="eastAsia" w:ascii="宋体" w:hAnsi="宋体" w:eastAsia="宋体" w:cs="宋体"/>
          <w:color w:val="auto"/>
          <w:sz w:val="24"/>
          <w:szCs w:val="24"/>
          <w:highlight w:val="none"/>
          <w:lang w:val="en-US" w:eastAsia="zh-CN"/>
        </w:rPr>
        <w:t>民法典</w:t>
      </w:r>
      <w:r>
        <w:rPr>
          <w:rFonts w:hint="eastAsia" w:ascii="宋体" w:hAnsi="宋体" w:eastAsia="宋体" w:cs="宋体"/>
          <w:color w:val="auto"/>
          <w:sz w:val="24"/>
          <w:szCs w:val="24"/>
          <w:highlight w:val="none"/>
        </w:rPr>
        <w:t>》之规定，本合同当事人在平等、自愿的基础上，经协商一致，同意按下述条款和条件签署本合同：</w:t>
      </w:r>
    </w:p>
    <w:p w14:paraId="1EBB9892">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第一条 项目名称、规格、型号、数量、金额和质量</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2724"/>
        <w:gridCol w:w="684"/>
        <w:gridCol w:w="1705"/>
        <w:gridCol w:w="1705"/>
      </w:tblGrid>
      <w:tr w14:paraId="58693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14:paraId="025C96E3">
            <w:pPr>
              <w:keepNext w:val="0"/>
              <w:keepLines w:val="0"/>
              <w:suppressLineNumbers w:val="0"/>
              <w:spacing w:before="0" w:beforeAutospacing="0" w:after="0" w:afterAutospacing="0" w:line="360" w:lineRule="auto"/>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采购项目名称</w:t>
            </w:r>
          </w:p>
        </w:tc>
        <w:tc>
          <w:tcPr>
            <w:tcW w:w="2724" w:type="dxa"/>
            <w:vAlign w:val="center"/>
          </w:tcPr>
          <w:p w14:paraId="03CD515A">
            <w:pPr>
              <w:keepNext w:val="0"/>
              <w:keepLines w:val="0"/>
              <w:suppressLineNumbers w:val="0"/>
              <w:spacing w:before="0" w:beforeAutospacing="0" w:after="0" w:afterAutospacing="0" w:line="360" w:lineRule="auto"/>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名称、配置、要求规格</w:t>
            </w:r>
          </w:p>
        </w:tc>
        <w:tc>
          <w:tcPr>
            <w:tcW w:w="684" w:type="dxa"/>
            <w:vAlign w:val="center"/>
          </w:tcPr>
          <w:p w14:paraId="4248E69F">
            <w:pPr>
              <w:keepNext w:val="0"/>
              <w:keepLines w:val="0"/>
              <w:suppressLineNumbers w:val="0"/>
              <w:spacing w:before="0" w:beforeAutospacing="0" w:after="0" w:afterAutospacing="0" w:line="360" w:lineRule="auto"/>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1705" w:type="dxa"/>
            <w:vAlign w:val="center"/>
          </w:tcPr>
          <w:p w14:paraId="245D59DE">
            <w:pPr>
              <w:keepNext w:val="0"/>
              <w:keepLines w:val="0"/>
              <w:suppressLineNumbers w:val="0"/>
              <w:spacing w:before="0" w:beforeAutospacing="0" w:after="0" w:afterAutospacing="0" w:line="360" w:lineRule="auto"/>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单价(元)</w:t>
            </w:r>
          </w:p>
        </w:tc>
        <w:tc>
          <w:tcPr>
            <w:tcW w:w="1705" w:type="dxa"/>
            <w:vAlign w:val="center"/>
          </w:tcPr>
          <w:p w14:paraId="04B3C9B8">
            <w:pPr>
              <w:keepNext w:val="0"/>
              <w:keepLines w:val="0"/>
              <w:suppressLineNumbers w:val="0"/>
              <w:spacing w:before="0" w:beforeAutospacing="0" w:after="0" w:afterAutospacing="0" w:line="360" w:lineRule="auto"/>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小计（元）</w:t>
            </w:r>
          </w:p>
        </w:tc>
      </w:tr>
      <w:tr w14:paraId="6DF2E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4" w:type="dxa"/>
            <w:vMerge w:val="restart"/>
          </w:tcPr>
          <w:p w14:paraId="50066AEE">
            <w:pPr>
              <w:keepNext w:val="0"/>
              <w:keepLines w:val="0"/>
              <w:suppressLineNumbers w:val="0"/>
              <w:spacing w:before="0" w:beforeAutospacing="0" w:after="0" w:afterAutospacing="0" w:line="360" w:lineRule="auto"/>
              <w:ind w:left="0" w:right="0"/>
              <w:outlineLvl w:val="9"/>
              <w:rPr>
                <w:rFonts w:hint="eastAsia" w:ascii="宋体" w:hAnsi="宋体" w:eastAsia="宋体" w:cs="宋体"/>
                <w:color w:val="auto"/>
                <w:sz w:val="24"/>
                <w:szCs w:val="24"/>
                <w:highlight w:val="none"/>
              </w:rPr>
            </w:pPr>
          </w:p>
        </w:tc>
        <w:tc>
          <w:tcPr>
            <w:tcW w:w="2724" w:type="dxa"/>
          </w:tcPr>
          <w:p w14:paraId="077A1ECC">
            <w:pPr>
              <w:keepNext w:val="0"/>
              <w:keepLines w:val="0"/>
              <w:suppressLineNumbers w:val="0"/>
              <w:spacing w:before="0" w:beforeAutospacing="0" w:after="0" w:afterAutospacing="0" w:line="360" w:lineRule="auto"/>
              <w:ind w:left="0" w:right="0"/>
              <w:outlineLvl w:val="9"/>
              <w:rPr>
                <w:rFonts w:hint="eastAsia" w:ascii="宋体" w:hAnsi="宋体" w:eastAsia="宋体" w:cs="宋体"/>
                <w:color w:val="auto"/>
                <w:sz w:val="24"/>
                <w:szCs w:val="24"/>
                <w:highlight w:val="none"/>
              </w:rPr>
            </w:pPr>
          </w:p>
        </w:tc>
        <w:tc>
          <w:tcPr>
            <w:tcW w:w="684" w:type="dxa"/>
          </w:tcPr>
          <w:p w14:paraId="4E55B053">
            <w:pPr>
              <w:keepNext w:val="0"/>
              <w:keepLines w:val="0"/>
              <w:suppressLineNumbers w:val="0"/>
              <w:spacing w:before="0" w:beforeAutospacing="0" w:after="0" w:afterAutospacing="0" w:line="360" w:lineRule="auto"/>
              <w:ind w:left="0" w:right="0"/>
              <w:outlineLvl w:val="9"/>
              <w:rPr>
                <w:rFonts w:hint="eastAsia" w:ascii="宋体" w:hAnsi="宋体" w:eastAsia="宋体" w:cs="宋体"/>
                <w:color w:val="auto"/>
                <w:sz w:val="24"/>
                <w:szCs w:val="24"/>
                <w:highlight w:val="none"/>
              </w:rPr>
            </w:pPr>
          </w:p>
        </w:tc>
        <w:tc>
          <w:tcPr>
            <w:tcW w:w="1705" w:type="dxa"/>
          </w:tcPr>
          <w:p w14:paraId="2C28EB4E">
            <w:pPr>
              <w:keepNext w:val="0"/>
              <w:keepLines w:val="0"/>
              <w:suppressLineNumbers w:val="0"/>
              <w:spacing w:before="0" w:beforeAutospacing="0" w:after="0" w:afterAutospacing="0" w:line="360" w:lineRule="auto"/>
              <w:ind w:left="0" w:right="0"/>
              <w:outlineLvl w:val="9"/>
              <w:rPr>
                <w:rFonts w:hint="eastAsia" w:ascii="宋体" w:hAnsi="宋体" w:eastAsia="宋体" w:cs="宋体"/>
                <w:color w:val="auto"/>
                <w:sz w:val="24"/>
                <w:szCs w:val="24"/>
                <w:highlight w:val="none"/>
              </w:rPr>
            </w:pPr>
          </w:p>
        </w:tc>
        <w:tc>
          <w:tcPr>
            <w:tcW w:w="1705" w:type="dxa"/>
          </w:tcPr>
          <w:p w14:paraId="2EB485D0">
            <w:pPr>
              <w:keepNext w:val="0"/>
              <w:keepLines w:val="0"/>
              <w:suppressLineNumbers w:val="0"/>
              <w:spacing w:before="0" w:beforeAutospacing="0" w:after="0" w:afterAutospacing="0" w:line="360" w:lineRule="auto"/>
              <w:ind w:left="0" w:right="0"/>
              <w:outlineLvl w:val="9"/>
              <w:rPr>
                <w:rFonts w:hint="eastAsia" w:ascii="宋体" w:hAnsi="宋体" w:eastAsia="宋体" w:cs="宋体"/>
                <w:color w:val="auto"/>
                <w:sz w:val="24"/>
                <w:szCs w:val="24"/>
                <w:highlight w:val="none"/>
              </w:rPr>
            </w:pPr>
          </w:p>
        </w:tc>
      </w:tr>
      <w:tr w14:paraId="46E84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4" w:type="dxa"/>
            <w:vMerge w:val="continue"/>
          </w:tcPr>
          <w:p w14:paraId="2C46F639">
            <w:pPr>
              <w:keepNext w:val="0"/>
              <w:keepLines w:val="0"/>
              <w:suppressLineNumbers w:val="0"/>
              <w:spacing w:before="0" w:beforeAutospacing="0" w:after="0" w:afterAutospacing="0" w:line="360" w:lineRule="auto"/>
              <w:ind w:left="0" w:right="0"/>
              <w:outlineLvl w:val="9"/>
              <w:rPr>
                <w:rFonts w:hint="eastAsia" w:ascii="宋体" w:hAnsi="宋体" w:eastAsia="宋体" w:cs="宋体"/>
                <w:color w:val="auto"/>
                <w:sz w:val="24"/>
                <w:szCs w:val="24"/>
                <w:highlight w:val="none"/>
              </w:rPr>
            </w:pPr>
          </w:p>
        </w:tc>
        <w:tc>
          <w:tcPr>
            <w:tcW w:w="2724" w:type="dxa"/>
          </w:tcPr>
          <w:p w14:paraId="77D78265">
            <w:pPr>
              <w:keepNext w:val="0"/>
              <w:keepLines w:val="0"/>
              <w:suppressLineNumbers w:val="0"/>
              <w:spacing w:before="0" w:beforeAutospacing="0" w:after="0" w:afterAutospacing="0" w:line="360" w:lineRule="auto"/>
              <w:ind w:left="0" w:right="0"/>
              <w:outlineLvl w:val="9"/>
              <w:rPr>
                <w:rFonts w:hint="eastAsia" w:ascii="宋体" w:hAnsi="宋体" w:eastAsia="宋体" w:cs="宋体"/>
                <w:color w:val="auto"/>
                <w:sz w:val="24"/>
                <w:szCs w:val="24"/>
                <w:highlight w:val="none"/>
              </w:rPr>
            </w:pPr>
          </w:p>
        </w:tc>
        <w:tc>
          <w:tcPr>
            <w:tcW w:w="684" w:type="dxa"/>
          </w:tcPr>
          <w:p w14:paraId="399A048D">
            <w:pPr>
              <w:keepNext w:val="0"/>
              <w:keepLines w:val="0"/>
              <w:suppressLineNumbers w:val="0"/>
              <w:spacing w:before="0" w:beforeAutospacing="0" w:after="0" w:afterAutospacing="0" w:line="360" w:lineRule="auto"/>
              <w:ind w:left="0" w:right="0"/>
              <w:outlineLvl w:val="9"/>
              <w:rPr>
                <w:rFonts w:hint="eastAsia" w:ascii="宋体" w:hAnsi="宋体" w:eastAsia="宋体" w:cs="宋体"/>
                <w:color w:val="auto"/>
                <w:sz w:val="24"/>
                <w:szCs w:val="24"/>
                <w:highlight w:val="none"/>
              </w:rPr>
            </w:pPr>
          </w:p>
        </w:tc>
        <w:tc>
          <w:tcPr>
            <w:tcW w:w="1705" w:type="dxa"/>
          </w:tcPr>
          <w:p w14:paraId="0579C0AC">
            <w:pPr>
              <w:keepNext w:val="0"/>
              <w:keepLines w:val="0"/>
              <w:suppressLineNumbers w:val="0"/>
              <w:spacing w:before="0" w:beforeAutospacing="0" w:after="0" w:afterAutospacing="0" w:line="360" w:lineRule="auto"/>
              <w:ind w:left="0" w:right="0"/>
              <w:outlineLvl w:val="9"/>
              <w:rPr>
                <w:rFonts w:hint="eastAsia" w:ascii="宋体" w:hAnsi="宋体" w:eastAsia="宋体" w:cs="宋体"/>
                <w:color w:val="auto"/>
                <w:sz w:val="24"/>
                <w:szCs w:val="24"/>
                <w:highlight w:val="none"/>
              </w:rPr>
            </w:pPr>
          </w:p>
        </w:tc>
        <w:tc>
          <w:tcPr>
            <w:tcW w:w="1705" w:type="dxa"/>
          </w:tcPr>
          <w:p w14:paraId="425D284E">
            <w:pPr>
              <w:keepNext w:val="0"/>
              <w:keepLines w:val="0"/>
              <w:suppressLineNumbers w:val="0"/>
              <w:spacing w:before="0" w:beforeAutospacing="0" w:after="0" w:afterAutospacing="0" w:line="360" w:lineRule="auto"/>
              <w:ind w:left="0" w:right="0"/>
              <w:outlineLvl w:val="9"/>
              <w:rPr>
                <w:rFonts w:hint="eastAsia" w:ascii="宋体" w:hAnsi="宋体" w:eastAsia="宋体" w:cs="宋体"/>
                <w:color w:val="auto"/>
                <w:sz w:val="24"/>
                <w:szCs w:val="24"/>
                <w:highlight w:val="none"/>
              </w:rPr>
            </w:pPr>
          </w:p>
        </w:tc>
      </w:tr>
      <w:tr w14:paraId="4E403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4" w:type="dxa"/>
            <w:vAlign w:val="center"/>
          </w:tcPr>
          <w:p w14:paraId="1897D15F">
            <w:pPr>
              <w:keepNext w:val="0"/>
              <w:keepLines w:val="0"/>
              <w:suppressLineNumbers w:val="0"/>
              <w:spacing w:before="0" w:beforeAutospacing="0" w:after="0" w:afterAutospacing="0" w:line="360" w:lineRule="auto"/>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合计（元）</w:t>
            </w:r>
          </w:p>
        </w:tc>
        <w:tc>
          <w:tcPr>
            <w:tcW w:w="6818" w:type="dxa"/>
            <w:gridSpan w:val="4"/>
          </w:tcPr>
          <w:p w14:paraId="040EC2A3">
            <w:pPr>
              <w:keepNext w:val="0"/>
              <w:keepLines w:val="0"/>
              <w:suppressLineNumbers w:val="0"/>
              <w:spacing w:before="0" w:beforeAutospacing="0" w:after="0" w:afterAutospacing="0" w:line="360" w:lineRule="auto"/>
              <w:ind w:left="0" w:right="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小写：</w:t>
            </w:r>
          </w:p>
          <w:p w14:paraId="62A876B9">
            <w:pPr>
              <w:keepNext w:val="0"/>
              <w:keepLines w:val="0"/>
              <w:suppressLineNumbers w:val="0"/>
              <w:spacing w:before="0" w:beforeAutospacing="0" w:after="0" w:afterAutospacing="0" w:line="360" w:lineRule="auto"/>
              <w:ind w:left="0" w:right="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大写：</w:t>
            </w:r>
          </w:p>
        </w:tc>
      </w:tr>
    </w:tbl>
    <w:p w14:paraId="3FEE4946">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1、采购项目的名称、规格、型号、数量、金额：</w:t>
      </w:r>
    </w:p>
    <w:p w14:paraId="7FC264EF">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2、采购项目的技术标准（包括质量要求），按下列第（ ）项执行：</w:t>
      </w:r>
    </w:p>
    <w:p w14:paraId="42A2A9E6">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（1）按国家标准执行；</w:t>
      </w:r>
    </w:p>
    <w:p w14:paraId="38804D41">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（2）按部颁标准执行；</w:t>
      </w:r>
    </w:p>
    <w:p w14:paraId="03874BCC">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（3）按企业标准执行；</w:t>
      </w:r>
    </w:p>
    <w:p w14:paraId="129A2E8B">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（4）按甲乙双方商定的要求执行。（对有特殊要求的技术条件、样品或补充的技术）</w:t>
      </w:r>
    </w:p>
    <w:p w14:paraId="417EE1BB">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3、采购项目的数量计量单位、计量方法按国家或主管部门的规定执行（国家或主管部门无规定的，由甲乙双方商定。）。</w:t>
      </w:r>
    </w:p>
    <w:p w14:paraId="005F2DE4">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第二条 采购项目货物的包装标准</w:t>
      </w:r>
    </w:p>
    <w:p w14:paraId="275F34BF">
      <w:pPr>
        <w:spacing w:line="360" w:lineRule="auto"/>
        <w:ind w:firstLine="484" w:firstLineChars="200"/>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（国家或业务主管部门有技术规定的，按技术规定执行；国家与业务主管部门无技术规定的，由甲乙双方商定。）</w:t>
      </w:r>
    </w:p>
    <w:p w14:paraId="20F16015">
      <w:pPr>
        <w:spacing w:line="360" w:lineRule="auto"/>
        <w:ind w:firstLine="484" w:firstLineChars="200"/>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第三条 采购项目资金的结算：</w:t>
      </w:r>
    </w:p>
    <w:p w14:paraId="1E82B17B">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第四条  供应</w:t>
      </w:r>
    </w:p>
    <w:p w14:paraId="55ADB0F1">
      <w:pPr>
        <w:spacing w:line="360" w:lineRule="auto"/>
        <w:ind w:firstLine="484" w:firstLineChars="20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乙方应在本合同签订后</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rPr>
        <w:t>日内按本合同第一条约定将采购</w:t>
      </w:r>
      <w:r>
        <w:rPr>
          <w:rFonts w:hint="eastAsia" w:ascii="宋体" w:hAnsi="宋体" w:eastAsia="宋体" w:cs="宋体"/>
          <w:color w:val="auto"/>
          <w:sz w:val="24"/>
          <w:szCs w:val="24"/>
          <w:highlight w:val="none"/>
          <w:lang w:val="en-US" w:eastAsia="zh-CN"/>
        </w:rPr>
        <w:t>货物验收合格。</w:t>
      </w:r>
    </w:p>
    <w:bookmarkEnd w:id="143"/>
    <w:bookmarkEnd w:id="144"/>
    <w:bookmarkEnd w:id="145"/>
    <w:bookmarkEnd w:id="146"/>
    <w:bookmarkEnd w:id="147"/>
    <w:bookmarkEnd w:id="148"/>
    <w:bookmarkEnd w:id="149"/>
    <w:bookmarkEnd w:id="160"/>
    <w:bookmarkEnd w:id="161"/>
    <w:bookmarkEnd w:id="162"/>
    <w:bookmarkEnd w:id="163"/>
    <w:bookmarkEnd w:id="164"/>
    <w:bookmarkEnd w:id="165"/>
    <w:p w14:paraId="42C07352">
      <w:pPr>
        <w:spacing w:line="360" w:lineRule="auto"/>
        <w:ind w:firstLine="484" w:firstLineChars="200"/>
        <w:outlineLvl w:val="9"/>
        <w:rPr>
          <w:rFonts w:hint="eastAsia" w:ascii="宋体" w:hAnsi="宋体" w:eastAsia="宋体" w:cs="宋体"/>
          <w:color w:val="auto"/>
          <w:sz w:val="24"/>
          <w:szCs w:val="24"/>
          <w:highlight w:val="none"/>
        </w:rPr>
      </w:pPr>
      <w:bookmarkStart w:id="166" w:name="_Toc16706"/>
      <w:bookmarkStart w:id="167" w:name="_Toc28246"/>
      <w:bookmarkStart w:id="168" w:name="_Toc20911"/>
      <w:bookmarkStart w:id="169" w:name="_Toc16272"/>
      <w:r>
        <w:rPr>
          <w:rFonts w:hint="eastAsia" w:ascii="宋体" w:hAnsi="宋体" w:eastAsia="宋体" w:cs="宋体"/>
          <w:color w:val="auto"/>
          <w:sz w:val="24"/>
          <w:szCs w:val="24"/>
          <w:highlight w:val="none"/>
        </w:rPr>
        <w:t>第五条　采购项目的验收</w:t>
      </w:r>
    </w:p>
    <w:p w14:paraId="238436BD">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乙方按本合同第四条约定将采购项目完成后，甲方应在</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rPr>
        <w:t>日内根据本合同约定的项目技术规格要求和质量标准等，对项目进行检查验收。</w:t>
      </w:r>
    </w:p>
    <w:p w14:paraId="22647357">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甲方在使用过程中发现产品存在技术质量问题，甲方有权向乙方提出书面异议。乙方在接到甲方书面异议后，应在10天内负责处理，否则，即视为默认甲方提出的异议和处理意见。</w:t>
      </w:r>
    </w:p>
    <w:p w14:paraId="776CA692">
      <w:pPr>
        <w:spacing w:line="360" w:lineRule="auto"/>
        <w:ind w:firstLine="484" w:firstLineChars="200"/>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第六条　售后服务：</w:t>
      </w:r>
    </w:p>
    <w:p w14:paraId="1DBE4C99">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第七条  履约保证金约定按招标文件规定执行：</w:t>
      </w:r>
    </w:p>
    <w:p w14:paraId="64D72CB8">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第八条　乙方的违约责任</w:t>
      </w:r>
    </w:p>
    <w:p w14:paraId="2FC66AF9">
      <w:pPr>
        <w:spacing w:line="360" w:lineRule="auto"/>
        <w:ind w:firstLine="444" w:firstLineChars="200"/>
        <w:outlineLvl w:val="9"/>
        <w:rPr>
          <w:rFonts w:hint="eastAsia" w:ascii="宋体" w:hAnsi="宋体" w:eastAsia="宋体" w:cs="宋体"/>
          <w:color w:val="auto"/>
          <w:spacing w:val="-10"/>
          <w:sz w:val="24"/>
          <w:szCs w:val="24"/>
          <w:highlight w:val="none"/>
        </w:rPr>
      </w:pPr>
      <w:r>
        <w:rPr>
          <w:rFonts w:hint="eastAsia" w:ascii="宋体" w:hAnsi="宋体" w:eastAsia="宋体" w:cs="宋体"/>
          <w:color w:val="auto"/>
          <w:spacing w:val="-10"/>
          <w:sz w:val="24"/>
          <w:szCs w:val="24"/>
          <w:highlight w:val="none"/>
        </w:rPr>
        <w:t>1.乙方不能按本合同约定完成采购项目的，乙方应向甲方偿付项目总价款的</w:t>
      </w:r>
      <w:r>
        <w:rPr>
          <w:rFonts w:hint="eastAsia" w:ascii="宋体" w:hAnsi="宋体" w:eastAsia="宋体" w:cs="宋体"/>
          <w:color w:val="auto"/>
          <w:spacing w:val="-10"/>
          <w:sz w:val="24"/>
          <w:szCs w:val="24"/>
          <w:highlight w:val="none"/>
          <w:u w:val="single"/>
        </w:rPr>
        <w:t>　　</w:t>
      </w:r>
      <w:r>
        <w:rPr>
          <w:rFonts w:hint="eastAsia" w:ascii="宋体" w:hAnsi="宋体" w:eastAsia="宋体" w:cs="宋体"/>
          <w:color w:val="auto"/>
          <w:spacing w:val="-10"/>
          <w:sz w:val="24"/>
          <w:szCs w:val="24"/>
          <w:highlight w:val="none"/>
        </w:rPr>
        <w:t>％的违约金。乙方完成部分采购项目的，除甲方同意外，按不能完成采购项目处理。甲方同意的，乙方应向甲方偿付不能完成部分项目价款的</w:t>
      </w:r>
      <w:r>
        <w:rPr>
          <w:rFonts w:hint="eastAsia" w:ascii="宋体" w:hAnsi="宋体" w:eastAsia="宋体" w:cs="宋体"/>
          <w:color w:val="auto"/>
          <w:spacing w:val="-10"/>
          <w:sz w:val="24"/>
          <w:szCs w:val="24"/>
          <w:highlight w:val="none"/>
          <w:u w:val="single"/>
        </w:rPr>
        <w:t>　　</w:t>
      </w:r>
      <w:r>
        <w:rPr>
          <w:rFonts w:hint="eastAsia" w:ascii="宋体" w:hAnsi="宋体" w:eastAsia="宋体" w:cs="宋体"/>
          <w:color w:val="auto"/>
          <w:spacing w:val="-10"/>
          <w:sz w:val="24"/>
          <w:szCs w:val="24"/>
          <w:highlight w:val="none"/>
        </w:rPr>
        <w:t>％的违约金。</w:t>
      </w:r>
    </w:p>
    <w:p w14:paraId="529D941D">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2.乙方所交产品品种、型号、规格、质量或项目完成质量不符合合同规定的，由乙方在日内负责包换或返工，并承担调换、退货或返工而支付的实际费用。乙方不能调换或不予返工的，按不能完成采购项目处理。</w:t>
      </w:r>
    </w:p>
    <w:p w14:paraId="4F805718">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因产品包装不符合合同规定，必须返修或重新包装的，乙方应负责返修或重新包装，并承担支付的费用。甲方不要求返修或重新包装而要求赔偿损失的，乙方应当偿付甲方该不合格包装物低于合格包装物的价值部分。因包装不符合规定造成货物损坏或灭失的，乙方应当负责赔偿。</w:t>
      </w:r>
    </w:p>
    <w:p w14:paraId="15DCA952">
      <w:pPr>
        <w:spacing w:line="360" w:lineRule="auto"/>
        <w:ind w:firstLine="484" w:firstLineChars="200"/>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4.逾期完成采购项目的，如影响采购项目整体使用的，乙方应每日向甲方偿付采购项目总价款的％的违约金，直至采购项目完成为止；如不影响采购项目整体使用的，乙方应每日向甲方偿付逾期完成部分项目价款的％的违约金。乙方应同时承担甲方因此所受的损失费用。</w:t>
      </w:r>
      <w:r>
        <w:rPr>
          <w:rFonts w:hint="eastAsia" w:ascii="宋体" w:hAnsi="宋体" w:eastAsia="宋体" w:cs="宋体"/>
          <w:color w:val="auto"/>
          <w:kern w:val="2"/>
          <w:sz w:val="24"/>
          <w:szCs w:val="24"/>
          <w:highlight w:val="none"/>
          <w:lang w:val="en-US" w:eastAsia="zh-CN" w:bidi="ar-SA"/>
        </w:rPr>
        <w:t>如逾期完成采购项目时间超过十五日（日历日）的，按不能完成采购项目处理，且甲方有权单方解除合同，乙方应同时承担甲方因此所受的损失费用。</w:t>
      </w:r>
    </w:p>
    <w:p w14:paraId="4F5AE09A">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5.未按本合同第五条约定进行售后服务的，乙方应向甲方偿付采购项目总价款的％的违约金。</w:t>
      </w:r>
    </w:p>
    <w:p w14:paraId="2A5DD866">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第九条　甲方的违约责任</w:t>
      </w:r>
    </w:p>
    <w:p w14:paraId="72CA9BFD">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1.甲方无故退货的，应向乙方偿付退货部分货款</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％的违约金。</w:t>
      </w:r>
    </w:p>
    <w:p w14:paraId="3F1FA063">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2.甲方逾期付款的，应按照中国人民银行有关延期付款的规定向乙方偿付逾期付款的违约金。</w:t>
      </w:r>
    </w:p>
    <w:p w14:paraId="123B5A90">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3.甲方违反本合同规定拒绝接货或不履行本合同约定义务的，应当承担由此对乙方造成的损失。</w:t>
      </w:r>
    </w:p>
    <w:p w14:paraId="49A127A0">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第十条　不可抗力</w:t>
      </w:r>
    </w:p>
    <w:p w14:paraId="4A8B76C0">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甲乙双方的任何一方由于不可抗力的原因不能履行合同时，应及时向对方通报不能履行或不能完全履行的理由，经有关部门确认后，允许延期履行、部分履行或者不履行合同，并免予承担违约责任。</w:t>
      </w:r>
    </w:p>
    <w:p w14:paraId="45D0C12C">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第十一条　其他</w:t>
      </w:r>
    </w:p>
    <w:p w14:paraId="2F68F1B8">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1.按本合同规定应该偿付的违约金、赔偿金和各种经济损失，应当在明确责任并10日内付清，否则按逾期付款处理。但任何一方不得自行扣发货物或扣付货款来充抵。</w:t>
      </w:r>
    </w:p>
    <w:p w14:paraId="2BFEAE8B">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2.招标文件和投标文件均作为本合同的组成部分。</w:t>
      </w:r>
    </w:p>
    <w:p w14:paraId="178AA2A2">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第十二条  本合同如发生纠纷，当事人双方应当及时协商解决，协商不成时，任何一方均可请有关部门调解，调解不成，按以下第（ 2 ）项方式处理：</w:t>
      </w:r>
    </w:p>
    <w:p w14:paraId="55D4A33B">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（1）申请仲裁委员会仲裁。</w:t>
      </w:r>
    </w:p>
    <w:p w14:paraId="210C8711">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（2）向</w:t>
      </w:r>
      <w:r>
        <w:rPr>
          <w:rFonts w:hint="eastAsia" w:ascii="宋体" w:hAnsi="宋体" w:cs="宋体"/>
          <w:color w:val="auto"/>
          <w:sz w:val="24"/>
          <w:szCs w:val="24"/>
          <w:highlight w:val="none"/>
          <w:lang w:val="en-US" w:eastAsia="zh-CN"/>
        </w:rPr>
        <w:t>项目所在地</w:t>
      </w:r>
      <w:r>
        <w:rPr>
          <w:rFonts w:hint="eastAsia" w:ascii="宋体" w:hAnsi="宋体" w:eastAsia="宋体" w:cs="宋体"/>
          <w:color w:val="auto"/>
          <w:sz w:val="24"/>
          <w:szCs w:val="24"/>
          <w:highlight w:val="none"/>
        </w:rPr>
        <w:t>人民法院起诉。</w:t>
      </w:r>
    </w:p>
    <w:p w14:paraId="4F3150F8">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第十三条 合同执行期内，甲乙双方均不得随意变更或解除合同。合同如有未尽事宜，须经双方共同协商，作出补充规定，补充规定与本合同具有同等效力。</w:t>
      </w:r>
    </w:p>
    <w:p w14:paraId="3C84301C">
      <w:pPr>
        <w:spacing w:line="360" w:lineRule="auto"/>
        <w:ind w:firstLine="484"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第十四条 本合同经甲乙双方签字、加盖公章后生效。</w:t>
      </w:r>
    </w:p>
    <w:p w14:paraId="1E8F0EB3">
      <w:pPr>
        <w:spacing w:line="360" w:lineRule="auto"/>
        <w:ind w:firstLine="726" w:firstLineChars="300"/>
        <w:outlineLvl w:val="9"/>
        <w:rPr>
          <w:rFonts w:hint="eastAsia" w:ascii="宋体" w:hAnsi="宋体" w:eastAsia="宋体" w:cs="宋体"/>
          <w:color w:val="auto"/>
          <w:sz w:val="24"/>
          <w:szCs w:val="24"/>
          <w:highlight w:val="none"/>
        </w:rPr>
      </w:pPr>
    </w:p>
    <w:p w14:paraId="41AC88B3">
      <w:pPr>
        <w:spacing w:line="360" w:lineRule="auto"/>
        <w:ind w:firstLine="726" w:firstLineChars="3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甲方（盖章）</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　　  乙方（盖章）</w:t>
      </w:r>
    </w:p>
    <w:p w14:paraId="46B1ECDC">
      <w:pPr>
        <w:spacing w:line="360" w:lineRule="auto"/>
        <w:outlineLvl w:val="9"/>
        <w:rPr>
          <w:rFonts w:hint="eastAsia" w:ascii="宋体" w:hAnsi="宋体" w:eastAsia="宋体" w:cs="宋体"/>
          <w:color w:val="auto"/>
          <w:sz w:val="24"/>
          <w:szCs w:val="24"/>
          <w:highlight w:val="none"/>
        </w:rPr>
      </w:pPr>
    </w:p>
    <w:p w14:paraId="6AF27CCD">
      <w:pPr>
        <w:spacing w:line="360" w:lineRule="auto"/>
        <w:ind w:firstLine="726" w:firstLineChars="3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代表：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　　　　　代表：</w:t>
      </w:r>
    </w:p>
    <w:p w14:paraId="63214244">
      <w:pPr>
        <w:spacing w:line="360" w:lineRule="auto"/>
        <w:outlineLvl w:val="9"/>
        <w:rPr>
          <w:rFonts w:hint="eastAsia" w:ascii="宋体" w:hAnsi="宋体" w:eastAsia="宋体" w:cs="宋体"/>
          <w:color w:val="auto"/>
          <w:sz w:val="24"/>
          <w:szCs w:val="24"/>
          <w:highlight w:val="none"/>
        </w:rPr>
      </w:pPr>
    </w:p>
    <w:p w14:paraId="5CAF2E1C">
      <w:pPr>
        <w:spacing w:line="360" w:lineRule="auto"/>
        <w:ind w:firstLine="726" w:firstLineChars="3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　　　　　电话：</w:t>
      </w:r>
    </w:p>
    <w:p w14:paraId="2B4B7E47">
      <w:pPr>
        <w:spacing w:line="360" w:lineRule="auto"/>
        <w:outlineLvl w:val="9"/>
        <w:rPr>
          <w:rFonts w:hint="eastAsia" w:ascii="宋体" w:hAnsi="宋体" w:eastAsia="宋体" w:cs="宋体"/>
          <w:color w:val="auto"/>
          <w:sz w:val="24"/>
          <w:szCs w:val="24"/>
          <w:highlight w:val="none"/>
        </w:rPr>
      </w:pPr>
    </w:p>
    <w:p w14:paraId="60D1FD73">
      <w:pPr>
        <w:spacing w:line="360" w:lineRule="auto"/>
        <w:ind w:firstLine="726" w:firstLineChars="3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　　　　　地址:</w:t>
      </w:r>
    </w:p>
    <w:p w14:paraId="41D735F4">
      <w:pPr>
        <w:tabs>
          <w:tab w:val="left" w:pos="5527"/>
        </w:tabs>
        <w:ind w:firstLine="726" w:firstLineChars="300"/>
        <w:outlineLvl w:val="9"/>
        <w:rPr>
          <w:rStyle w:val="38"/>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rPr>
        <w:t>年   月   日                    年   月   日</w:t>
      </w:r>
    </w:p>
    <w:p w14:paraId="637525EB">
      <w:pPr>
        <w:tabs>
          <w:tab w:val="left" w:pos="5527"/>
        </w:tabs>
        <w:outlineLvl w:val="9"/>
        <w:rPr>
          <w:rStyle w:val="38"/>
          <w:rFonts w:hint="eastAsia" w:ascii="宋体" w:hAnsi="宋体" w:eastAsia="宋体" w:cs="宋体"/>
          <w:b/>
          <w:bCs/>
          <w:color w:val="auto"/>
          <w:sz w:val="32"/>
          <w:szCs w:val="32"/>
          <w:highlight w:val="none"/>
          <w:lang w:val="en-US" w:eastAsia="zh-CN"/>
        </w:rPr>
      </w:pPr>
      <w:r>
        <w:rPr>
          <w:rStyle w:val="38"/>
          <w:rFonts w:hint="eastAsia" w:ascii="宋体" w:hAnsi="宋体" w:eastAsia="宋体" w:cs="宋体"/>
          <w:b/>
          <w:bCs/>
          <w:color w:val="auto"/>
          <w:sz w:val="32"/>
          <w:szCs w:val="32"/>
          <w:highlight w:val="none"/>
          <w:lang w:val="en-US" w:eastAsia="zh-CN"/>
        </w:rPr>
        <w:br w:type="page"/>
      </w:r>
    </w:p>
    <w:bookmarkEnd w:id="166"/>
    <w:bookmarkEnd w:id="167"/>
    <w:bookmarkEnd w:id="168"/>
    <w:bookmarkEnd w:id="169"/>
    <w:p w14:paraId="574D4A2F">
      <w:pPr>
        <w:pStyle w:val="23"/>
        <w:tabs>
          <w:tab w:val="left" w:pos="5527"/>
        </w:tabs>
        <w:spacing w:line="360" w:lineRule="auto"/>
        <w:jc w:val="center"/>
        <w:outlineLvl w:val="0"/>
        <w:rPr>
          <w:rStyle w:val="38"/>
          <w:rFonts w:hint="eastAsia" w:ascii="宋体" w:hAnsi="宋体" w:eastAsia="宋体" w:cs="宋体"/>
          <w:b/>
          <w:bCs/>
          <w:color w:val="auto"/>
          <w:sz w:val="32"/>
          <w:szCs w:val="32"/>
          <w:highlight w:val="none"/>
        </w:rPr>
      </w:pPr>
      <w:bookmarkStart w:id="170" w:name="_Toc24510"/>
      <w:bookmarkStart w:id="171" w:name="_Toc29333"/>
      <w:bookmarkStart w:id="172" w:name="_Toc24105"/>
      <w:bookmarkStart w:id="173" w:name="_Toc18459"/>
      <w:bookmarkStart w:id="174" w:name="_Toc29012"/>
      <w:bookmarkStart w:id="175" w:name="_Toc8066"/>
      <w:r>
        <w:rPr>
          <w:rStyle w:val="38"/>
          <w:rFonts w:hint="eastAsia" w:ascii="宋体" w:hAnsi="宋体" w:eastAsia="宋体" w:cs="宋体"/>
          <w:b/>
          <w:bCs/>
          <w:color w:val="auto"/>
          <w:sz w:val="32"/>
          <w:szCs w:val="32"/>
          <w:highlight w:val="none"/>
          <w:lang w:val="en-US" w:eastAsia="zh-CN"/>
        </w:rPr>
        <w:t>第</w:t>
      </w:r>
      <w:r>
        <w:rPr>
          <w:rStyle w:val="38"/>
          <w:rFonts w:hint="eastAsia" w:ascii="宋体" w:hAnsi="宋体" w:eastAsia="宋体" w:cs="宋体"/>
          <w:b/>
          <w:bCs/>
          <w:color w:val="auto"/>
          <w:sz w:val="32"/>
          <w:szCs w:val="32"/>
          <w:highlight w:val="none"/>
          <w:lang w:eastAsia="zh-CN"/>
        </w:rPr>
        <w:t>五章</w:t>
      </w:r>
      <w:r>
        <w:rPr>
          <w:rStyle w:val="38"/>
          <w:rFonts w:hint="eastAsia" w:ascii="宋体" w:hAnsi="宋体" w:eastAsia="宋体" w:cs="宋体"/>
          <w:b/>
          <w:bCs/>
          <w:color w:val="auto"/>
          <w:sz w:val="32"/>
          <w:szCs w:val="32"/>
          <w:highlight w:val="none"/>
        </w:rPr>
        <w:t xml:space="preserve"> 主要</w:t>
      </w:r>
      <w:r>
        <w:rPr>
          <w:rStyle w:val="38"/>
          <w:rFonts w:hint="eastAsia" w:ascii="宋体" w:hAnsi="宋体" w:eastAsia="宋体" w:cs="宋体"/>
          <w:b/>
          <w:bCs/>
          <w:color w:val="auto"/>
          <w:sz w:val="32"/>
          <w:szCs w:val="32"/>
          <w:highlight w:val="none"/>
          <w:lang w:eastAsia="zh-CN"/>
        </w:rPr>
        <w:t>投标文件</w:t>
      </w:r>
      <w:r>
        <w:rPr>
          <w:rStyle w:val="38"/>
          <w:rFonts w:hint="eastAsia" w:ascii="宋体" w:hAnsi="宋体" w:eastAsia="宋体" w:cs="宋体"/>
          <w:b/>
          <w:bCs/>
          <w:color w:val="auto"/>
          <w:sz w:val="32"/>
          <w:szCs w:val="32"/>
          <w:highlight w:val="none"/>
        </w:rPr>
        <w:t>的格式及其内容</w:t>
      </w:r>
      <w:bookmarkEnd w:id="170"/>
      <w:bookmarkEnd w:id="171"/>
      <w:bookmarkEnd w:id="172"/>
      <w:bookmarkEnd w:id="173"/>
      <w:bookmarkEnd w:id="174"/>
    </w:p>
    <w:bookmarkEnd w:id="175"/>
    <w:p w14:paraId="484787BB">
      <w:pPr>
        <w:pStyle w:val="37"/>
        <w:tabs>
          <w:tab w:val="left" w:pos="5527"/>
        </w:tabs>
        <w:spacing w:line="480" w:lineRule="exact"/>
        <w:jc w:val="both"/>
        <w:outlineLvl w:val="9"/>
        <w:rPr>
          <w:rFonts w:hint="eastAsia" w:ascii="宋体" w:hAnsi="宋体" w:eastAsia="宋体" w:cs="宋体"/>
          <w:b/>
          <w:color w:val="auto"/>
          <w:sz w:val="28"/>
          <w:szCs w:val="28"/>
          <w:highlight w:val="none"/>
        </w:rPr>
      </w:pPr>
    </w:p>
    <w:p w14:paraId="6542D60C">
      <w:pPr>
        <w:pStyle w:val="37"/>
        <w:tabs>
          <w:tab w:val="left" w:pos="5527"/>
        </w:tabs>
        <w:spacing w:line="480" w:lineRule="exact"/>
        <w:jc w:val="both"/>
        <w:outlineLvl w:val="9"/>
        <w:rPr>
          <w:rFonts w:hint="eastAsia" w:ascii="宋体" w:hAnsi="宋体" w:eastAsia="宋体" w:cs="宋体"/>
          <w:b/>
          <w:color w:val="auto"/>
          <w:sz w:val="28"/>
          <w:szCs w:val="28"/>
          <w:highlight w:val="none"/>
        </w:rPr>
      </w:pPr>
    </w:p>
    <w:p w14:paraId="34144D06">
      <w:pPr>
        <w:tabs>
          <w:tab w:val="left" w:pos="5527"/>
        </w:tabs>
        <w:bidi w:val="0"/>
        <w:jc w:val="center"/>
        <w:outlineLvl w:val="9"/>
        <w:rPr>
          <w:rFonts w:hint="eastAsia" w:ascii="宋体" w:hAnsi="宋体" w:eastAsia="宋体" w:cs="宋体"/>
          <w:b/>
          <w:bCs/>
          <w:color w:val="auto"/>
          <w:szCs w:val="72"/>
          <w:highlight w:val="none"/>
        </w:rPr>
      </w:pPr>
      <w:bookmarkStart w:id="176" w:name="_Toc5678"/>
      <w:bookmarkStart w:id="177" w:name="_Toc30405"/>
      <w:bookmarkStart w:id="178" w:name="_Toc8708"/>
      <w:bookmarkStart w:id="179" w:name="_Toc18213"/>
      <w:bookmarkStart w:id="180" w:name="_Toc21730"/>
      <w:bookmarkStart w:id="181" w:name="_Toc20332"/>
      <w:bookmarkStart w:id="182" w:name="_Toc25249"/>
      <w:bookmarkStart w:id="183" w:name="_Toc10519"/>
      <w:bookmarkStart w:id="184" w:name="_Toc5923"/>
      <w:r>
        <w:rPr>
          <w:rFonts w:hint="eastAsia" w:ascii="宋体" w:hAnsi="宋体" w:eastAsia="宋体" w:cs="宋体"/>
          <w:b/>
          <w:bCs/>
          <w:color w:val="auto"/>
          <w:sz w:val="72"/>
          <w:szCs w:val="72"/>
          <w:highlight w:val="none"/>
        </w:rPr>
        <w:t>（项目名称）</w:t>
      </w:r>
      <w:bookmarkEnd w:id="176"/>
      <w:bookmarkEnd w:id="177"/>
      <w:bookmarkEnd w:id="178"/>
      <w:bookmarkEnd w:id="179"/>
      <w:bookmarkEnd w:id="180"/>
      <w:bookmarkEnd w:id="181"/>
      <w:bookmarkEnd w:id="182"/>
      <w:bookmarkEnd w:id="183"/>
      <w:bookmarkEnd w:id="184"/>
    </w:p>
    <w:p w14:paraId="0EB16D4B">
      <w:pPr>
        <w:pStyle w:val="37"/>
        <w:tabs>
          <w:tab w:val="left" w:pos="5527"/>
        </w:tabs>
        <w:spacing w:line="480" w:lineRule="exact"/>
        <w:jc w:val="center"/>
        <w:outlineLvl w:val="9"/>
        <w:rPr>
          <w:rFonts w:hint="eastAsia" w:ascii="宋体" w:hAnsi="宋体" w:eastAsia="宋体" w:cs="宋体"/>
          <w:b/>
          <w:color w:val="auto"/>
          <w:sz w:val="44"/>
          <w:szCs w:val="44"/>
          <w:highlight w:val="none"/>
        </w:rPr>
      </w:pPr>
    </w:p>
    <w:p w14:paraId="523870A3">
      <w:pPr>
        <w:pStyle w:val="37"/>
        <w:tabs>
          <w:tab w:val="left" w:pos="5527"/>
        </w:tabs>
        <w:spacing w:line="480" w:lineRule="exact"/>
        <w:jc w:val="both"/>
        <w:outlineLvl w:val="9"/>
        <w:rPr>
          <w:rFonts w:hint="eastAsia" w:ascii="宋体" w:hAnsi="宋体" w:eastAsia="宋体" w:cs="宋体"/>
          <w:b/>
          <w:color w:val="auto"/>
          <w:sz w:val="44"/>
          <w:szCs w:val="44"/>
          <w:highlight w:val="none"/>
        </w:rPr>
      </w:pPr>
    </w:p>
    <w:p w14:paraId="09B11F21">
      <w:pPr>
        <w:pStyle w:val="37"/>
        <w:tabs>
          <w:tab w:val="left" w:pos="5527"/>
        </w:tabs>
        <w:spacing w:line="480" w:lineRule="exact"/>
        <w:jc w:val="center"/>
        <w:outlineLvl w:val="9"/>
        <w:rPr>
          <w:rFonts w:hint="eastAsia" w:ascii="宋体" w:hAnsi="宋体" w:eastAsia="宋体" w:cs="宋体"/>
          <w:b/>
          <w:color w:val="auto"/>
          <w:sz w:val="44"/>
          <w:szCs w:val="44"/>
          <w:highlight w:val="none"/>
        </w:rPr>
      </w:pPr>
    </w:p>
    <w:p w14:paraId="3DEBEB7A">
      <w:pPr>
        <w:pStyle w:val="37"/>
        <w:tabs>
          <w:tab w:val="left" w:pos="5527"/>
        </w:tabs>
        <w:spacing w:line="360" w:lineRule="auto"/>
        <w:jc w:val="center"/>
        <w:outlineLvl w:val="9"/>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sz w:val="32"/>
          <w:szCs w:val="32"/>
          <w:highlight w:val="none"/>
          <w:lang w:val="en-US" w:eastAsia="zh-CN"/>
        </w:rPr>
        <w:t>项目编号</w:t>
      </w:r>
      <w:r>
        <w:rPr>
          <w:rFonts w:hint="eastAsia" w:ascii="宋体" w:hAnsi="宋体" w:eastAsia="宋体" w:cs="宋体"/>
          <w:b/>
          <w:bCs/>
          <w:color w:val="auto"/>
          <w:kern w:val="2"/>
          <w:sz w:val="32"/>
          <w:szCs w:val="32"/>
          <w:highlight w:val="none"/>
          <w:lang w:val="en-US" w:eastAsia="zh-CN" w:bidi="ar-SA"/>
        </w:rPr>
        <w:t>：</w:t>
      </w:r>
    </w:p>
    <w:p w14:paraId="7B13B97E">
      <w:pPr>
        <w:pStyle w:val="37"/>
        <w:tabs>
          <w:tab w:val="left" w:pos="5527"/>
        </w:tabs>
        <w:spacing w:line="360" w:lineRule="auto"/>
        <w:jc w:val="center"/>
        <w:outlineLvl w:val="9"/>
        <w:rPr>
          <w:rFonts w:hint="eastAsia" w:ascii="宋体" w:hAnsi="宋体" w:eastAsia="宋体" w:cs="宋体"/>
          <w:b/>
          <w:bCs/>
          <w:color w:val="auto"/>
          <w:sz w:val="32"/>
          <w:szCs w:val="32"/>
          <w:highlight w:val="none"/>
          <w:lang w:val="en-US" w:eastAsia="zh-CN"/>
        </w:rPr>
      </w:pPr>
    </w:p>
    <w:p w14:paraId="276969F4">
      <w:pPr>
        <w:pStyle w:val="37"/>
        <w:tabs>
          <w:tab w:val="left" w:pos="5527"/>
        </w:tabs>
        <w:spacing w:line="360" w:lineRule="auto"/>
        <w:jc w:val="center"/>
        <w:outlineLvl w:val="9"/>
        <w:rPr>
          <w:rFonts w:hint="eastAsia" w:ascii="宋体" w:hAnsi="宋体" w:eastAsia="宋体" w:cs="宋体"/>
          <w:b/>
          <w:bCs/>
          <w:color w:val="auto"/>
          <w:sz w:val="32"/>
          <w:szCs w:val="32"/>
          <w:highlight w:val="none"/>
          <w:lang w:val="en-US" w:eastAsia="zh-CN"/>
        </w:rPr>
      </w:pPr>
    </w:p>
    <w:p w14:paraId="2EBEE1C5">
      <w:pPr>
        <w:pStyle w:val="37"/>
        <w:tabs>
          <w:tab w:val="left" w:pos="5527"/>
        </w:tabs>
        <w:spacing w:line="720" w:lineRule="auto"/>
        <w:jc w:val="center"/>
        <w:outlineLvl w:val="9"/>
        <w:rPr>
          <w:rFonts w:hint="eastAsia" w:ascii="宋体" w:hAnsi="宋体" w:eastAsia="宋体" w:cs="宋体"/>
          <w:color w:val="auto"/>
          <w:sz w:val="72"/>
          <w:szCs w:val="72"/>
          <w:highlight w:val="none"/>
          <w:lang w:eastAsia="zh-CN"/>
        </w:rPr>
      </w:pPr>
      <w:bookmarkStart w:id="185" w:name="_Toc337"/>
      <w:r>
        <w:rPr>
          <w:rFonts w:hint="eastAsia" w:ascii="宋体" w:hAnsi="宋体" w:eastAsia="宋体" w:cs="宋体"/>
          <w:b/>
          <w:color w:val="auto"/>
          <w:sz w:val="72"/>
          <w:szCs w:val="72"/>
          <w:highlight w:val="none"/>
          <w:lang w:eastAsia="zh-CN"/>
        </w:rPr>
        <w:t>投标文件</w:t>
      </w:r>
      <w:bookmarkEnd w:id="185"/>
    </w:p>
    <w:p w14:paraId="18232880">
      <w:pPr>
        <w:pStyle w:val="37"/>
        <w:tabs>
          <w:tab w:val="left" w:pos="5527"/>
        </w:tabs>
        <w:spacing w:line="480" w:lineRule="exact"/>
        <w:jc w:val="both"/>
        <w:outlineLvl w:val="9"/>
        <w:rPr>
          <w:rFonts w:hint="eastAsia" w:ascii="宋体" w:hAnsi="宋体" w:eastAsia="宋体" w:cs="宋体"/>
          <w:color w:val="auto"/>
          <w:sz w:val="28"/>
          <w:szCs w:val="28"/>
          <w:highlight w:val="none"/>
        </w:rPr>
      </w:pPr>
    </w:p>
    <w:p w14:paraId="0E6B2905">
      <w:pPr>
        <w:pStyle w:val="37"/>
        <w:tabs>
          <w:tab w:val="left" w:pos="5527"/>
        </w:tabs>
        <w:spacing w:line="480" w:lineRule="exact"/>
        <w:ind w:firstLine="567"/>
        <w:jc w:val="both"/>
        <w:outlineLvl w:val="9"/>
        <w:rPr>
          <w:rFonts w:hint="eastAsia" w:ascii="宋体" w:hAnsi="宋体" w:eastAsia="宋体" w:cs="宋体"/>
          <w:color w:val="auto"/>
          <w:sz w:val="28"/>
          <w:szCs w:val="28"/>
          <w:highlight w:val="none"/>
        </w:rPr>
      </w:pPr>
    </w:p>
    <w:p w14:paraId="4D265DF0">
      <w:pPr>
        <w:pStyle w:val="37"/>
        <w:tabs>
          <w:tab w:val="left" w:pos="5527"/>
        </w:tabs>
        <w:spacing w:line="480" w:lineRule="exact"/>
        <w:ind w:firstLine="567"/>
        <w:jc w:val="both"/>
        <w:outlineLvl w:val="9"/>
        <w:rPr>
          <w:rFonts w:hint="eastAsia" w:ascii="宋体" w:hAnsi="宋体" w:eastAsia="宋体" w:cs="宋体"/>
          <w:color w:val="auto"/>
          <w:sz w:val="28"/>
          <w:szCs w:val="28"/>
          <w:highlight w:val="none"/>
        </w:rPr>
      </w:pPr>
    </w:p>
    <w:p w14:paraId="0AE0BF02">
      <w:pPr>
        <w:pStyle w:val="37"/>
        <w:tabs>
          <w:tab w:val="left" w:pos="5527"/>
        </w:tabs>
        <w:spacing w:line="480" w:lineRule="exact"/>
        <w:ind w:firstLine="567"/>
        <w:jc w:val="both"/>
        <w:outlineLvl w:val="9"/>
        <w:rPr>
          <w:rFonts w:hint="eastAsia" w:ascii="宋体" w:hAnsi="宋体" w:eastAsia="宋体" w:cs="宋体"/>
          <w:color w:val="auto"/>
          <w:sz w:val="28"/>
          <w:szCs w:val="28"/>
          <w:highlight w:val="none"/>
        </w:rPr>
      </w:pPr>
    </w:p>
    <w:p w14:paraId="19673D03">
      <w:pPr>
        <w:pStyle w:val="37"/>
        <w:tabs>
          <w:tab w:val="left" w:pos="5527"/>
        </w:tabs>
        <w:spacing w:line="480" w:lineRule="exact"/>
        <w:ind w:firstLine="567"/>
        <w:jc w:val="both"/>
        <w:outlineLvl w:val="9"/>
        <w:rPr>
          <w:rFonts w:hint="eastAsia" w:ascii="宋体" w:hAnsi="宋体" w:eastAsia="宋体" w:cs="宋体"/>
          <w:color w:val="auto"/>
          <w:sz w:val="28"/>
          <w:szCs w:val="28"/>
          <w:highlight w:val="none"/>
        </w:rPr>
      </w:pPr>
    </w:p>
    <w:p w14:paraId="3DA94AFF">
      <w:pPr>
        <w:pStyle w:val="37"/>
        <w:tabs>
          <w:tab w:val="left" w:pos="5527"/>
        </w:tabs>
        <w:spacing w:line="480" w:lineRule="exact"/>
        <w:jc w:val="both"/>
        <w:outlineLvl w:val="9"/>
        <w:rPr>
          <w:rFonts w:hint="eastAsia" w:ascii="宋体" w:hAnsi="宋体" w:eastAsia="宋体" w:cs="宋体"/>
          <w:color w:val="auto"/>
          <w:sz w:val="28"/>
          <w:szCs w:val="28"/>
          <w:highlight w:val="none"/>
        </w:rPr>
      </w:pPr>
    </w:p>
    <w:p w14:paraId="57B75A57">
      <w:pPr>
        <w:pStyle w:val="37"/>
        <w:tabs>
          <w:tab w:val="left" w:pos="5527"/>
        </w:tabs>
        <w:spacing w:line="360" w:lineRule="auto"/>
        <w:jc w:val="both"/>
        <w:outlineLvl w:val="9"/>
        <w:rPr>
          <w:rFonts w:hint="eastAsia" w:ascii="宋体" w:hAnsi="宋体" w:eastAsia="宋体" w:cs="宋体"/>
          <w:b/>
          <w:bCs/>
          <w:color w:val="auto"/>
          <w:sz w:val="32"/>
          <w:szCs w:val="32"/>
          <w:highlight w:val="none"/>
        </w:rPr>
      </w:pPr>
      <w:bookmarkStart w:id="186" w:name="_Toc29140"/>
      <w:bookmarkStart w:id="187" w:name="_Toc10223"/>
      <w:r>
        <w:rPr>
          <w:rFonts w:hint="eastAsia" w:ascii="宋体" w:hAnsi="宋体" w:eastAsia="宋体" w:cs="宋体"/>
          <w:b/>
          <w:bCs/>
          <w:color w:val="auto"/>
          <w:sz w:val="32"/>
          <w:szCs w:val="32"/>
          <w:highlight w:val="none"/>
        </w:rPr>
        <w:t>供应商名称（盖章）：</w:t>
      </w:r>
    </w:p>
    <w:p w14:paraId="76C76B49">
      <w:pPr>
        <w:pStyle w:val="37"/>
        <w:tabs>
          <w:tab w:val="left" w:pos="5527"/>
        </w:tabs>
        <w:spacing w:line="360" w:lineRule="auto"/>
        <w:ind w:firstLine="567"/>
        <w:jc w:val="both"/>
        <w:outlineLvl w:val="9"/>
        <w:rPr>
          <w:rFonts w:hint="eastAsia" w:ascii="宋体" w:hAnsi="宋体" w:eastAsia="宋体" w:cs="宋体"/>
          <w:b/>
          <w:bCs/>
          <w:color w:val="auto"/>
          <w:sz w:val="32"/>
          <w:szCs w:val="32"/>
          <w:highlight w:val="none"/>
        </w:rPr>
      </w:pPr>
    </w:p>
    <w:p w14:paraId="04580969">
      <w:pPr>
        <w:pStyle w:val="37"/>
        <w:tabs>
          <w:tab w:val="left" w:pos="5527"/>
        </w:tabs>
        <w:spacing w:line="360" w:lineRule="auto"/>
        <w:jc w:val="both"/>
        <w:outlineLvl w:val="9"/>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法定代表人或委托代理人（签字或盖章）：</w:t>
      </w:r>
    </w:p>
    <w:p w14:paraId="5BE7F044">
      <w:pPr>
        <w:pStyle w:val="37"/>
        <w:tabs>
          <w:tab w:val="left" w:pos="5527"/>
        </w:tabs>
        <w:spacing w:line="360" w:lineRule="auto"/>
        <w:ind w:firstLine="567"/>
        <w:jc w:val="both"/>
        <w:outlineLvl w:val="9"/>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 xml:space="preserve">                                </w:t>
      </w:r>
    </w:p>
    <w:p w14:paraId="35003F1C">
      <w:pPr>
        <w:pStyle w:val="37"/>
        <w:tabs>
          <w:tab w:val="left" w:pos="5527"/>
        </w:tabs>
        <w:spacing w:line="360" w:lineRule="auto"/>
        <w:jc w:val="center"/>
        <w:outlineLvl w:val="9"/>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日期：     年   月   日</w:t>
      </w:r>
    </w:p>
    <w:p w14:paraId="0126BDA2">
      <w:pPr>
        <w:tabs>
          <w:tab w:val="left" w:pos="5527"/>
        </w:tabs>
        <w:outlineLvl w:val="9"/>
        <w:rPr>
          <w:rFonts w:hint="eastAsia" w:ascii="宋体" w:hAnsi="宋体" w:eastAsia="宋体" w:cs="宋体"/>
          <w:b/>
          <w:bCs/>
          <w:color w:val="auto"/>
          <w:kern w:val="2"/>
          <w:sz w:val="32"/>
          <w:szCs w:val="21"/>
          <w:highlight w:val="none"/>
          <w:lang w:val="en-US" w:eastAsia="zh-CN"/>
        </w:rPr>
      </w:pPr>
      <w:bookmarkStart w:id="188" w:name="_Toc6990"/>
      <w:r>
        <w:rPr>
          <w:rFonts w:hint="eastAsia" w:ascii="宋体" w:hAnsi="宋体" w:eastAsia="宋体" w:cs="宋体"/>
          <w:b/>
          <w:bCs/>
          <w:color w:val="auto"/>
          <w:kern w:val="2"/>
          <w:sz w:val="32"/>
          <w:szCs w:val="21"/>
          <w:highlight w:val="none"/>
          <w:lang w:val="en-US" w:eastAsia="zh-CN"/>
        </w:rPr>
        <w:br w:type="page"/>
      </w:r>
    </w:p>
    <w:p w14:paraId="1634C148">
      <w:pPr>
        <w:keepNext w:val="0"/>
        <w:tabs>
          <w:tab w:val="left" w:pos="5527"/>
        </w:tabs>
        <w:jc w:val="left"/>
        <w:outlineLvl w:val="9"/>
        <w:rPr>
          <w:rFonts w:hint="eastAsia" w:ascii="宋体" w:hAnsi="宋体" w:eastAsia="宋体" w:cs="宋体"/>
          <w:b/>
          <w:bCs/>
          <w:color w:val="auto"/>
          <w:kern w:val="2"/>
          <w:sz w:val="32"/>
          <w:szCs w:val="21"/>
          <w:highlight w:val="none"/>
          <w:lang w:val="en-US" w:eastAsia="zh-CN"/>
        </w:rPr>
      </w:pPr>
      <w:bookmarkStart w:id="189" w:name="_Toc25986"/>
      <w:r>
        <w:rPr>
          <w:rFonts w:hint="eastAsia" w:ascii="宋体" w:hAnsi="宋体" w:eastAsia="宋体" w:cs="宋体"/>
          <w:b/>
          <w:bCs/>
          <w:color w:val="auto"/>
          <w:kern w:val="2"/>
          <w:sz w:val="32"/>
          <w:szCs w:val="21"/>
          <w:highlight w:val="none"/>
          <w:lang w:val="en-US" w:eastAsia="zh-CN"/>
        </w:rPr>
        <w:t>附件1</w:t>
      </w:r>
      <w:bookmarkEnd w:id="186"/>
      <w:bookmarkEnd w:id="187"/>
      <w:r>
        <w:rPr>
          <w:rFonts w:hint="eastAsia" w:ascii="宋体" w:hAnsi="宋体" w:eastAsia="宋体" w:cs="宋体"/>
          <w:b/>
          <w:bCs/>
          <w:color w:val="auto"/>
          <w:kern w:val="2"/>
          <w:sz w:val="32"/>
          <w:szCs w:val="21"/>
          <w:highlight w:val="none"/>
          <w:lang w:val="en-US" w:eastAsia="zh-CN"/>
        </w:rPr>
        <w:t>:</w:t>
      </w:r>
      <w:bookmarkEnd w:id="188"/>
      <w:bookmarkEnd w:id="189"/>
    </w:p>
    <w:p w14:paraId="7B29468E">
      <w:pPr>
        <w:keepNext w:val="0"/>
        <w:tabs>
          <w:tab w:val="left" w:pos="5527"/>
        </w:tabs>
        <w:jc w:val="center"/>
        <w:outlineLvl w:val="1"/>
        <w:rPr>
          <w:rFonts w:hint="eastAsia" w:ascii="宋体" w:hAnsi="宋体" w:eastAsia="宋体" w:cs="宋体"/>
          <w:b/>
          <w:bCs/>
          <w:color w:val="auto"/>
          <w:kern w:val="2"/>
          <w:sz w:val="32"/>
          <w:szCs w:val="21"/>
          <w:highlight w:val="none"/>
          <w:lang w:val="en-US" w:eastAsia="zh-CN"/>
        </w:rPr>
      </w:pPr>
      <w:bookmarkStart w:id="190" w:name="_Toc9427"/>
      <w:bookmarkStart w:id="191" w:name="_Toc7812"/>
      <w:bookmarkStart w:id="192" w:name="_Toc11981"/>
      <w:bookmarkStart w:id="193" w:name="_Toc10525"/>
      <w:r>
        <w:rPr>
          <w:rFonts w:hint="eastAsia" w:ascii="宋体" w:hAnsi="宋体" w:eastAsia="宋体" w:cs="宋体"/>
          <w:b/>
          <w:bCs/>
          <w:color w:val="auto"/>
          <w:kern w:val="2"/>
          <w:sz w:val="32"/>
          <w:szCs w:val="21"/>
          <w:highlight w:val="none"/>
          <w:lang w:val="en-US" w:eastAsia="zh-CN"/>
        </w:rPr>
        <w:t>投 标 函</w:t>
      </w:r>
      <w:bookmarkEnd w:id="190"/>
      <w:bookmarkEnd w:id="191"/>
      <w:bookmarkEnd w:id="192"/>
      <w:bookmarkEnd w:id="193"/>
    </w:p>
    <w:p w14:paraId="7E7EF063">
      <w:pPr>
        <w:keepNext w:val="0"/>
        <w:keepLines w:val="0"/>
        <w:pageBreakBefore w:val="0"/>
        <w:widowControl w:val="0"/>
        <w:tabs>
          <w:tab w:val="left" w:pos="5527"/>
        </w:tabs>
        <w:kinsoku/>
        <w:wordWrap/>
        <w:overflowPunct/>
        <w:topLinePunct w:val="0"/>
        <w:autoSpaceDE/>
        <w:autoSpaceDN/>
        <w:bidi w:val="0"/>
        <w:adjustRightInd/>
        <w:snapToGrid/>
        <w:spacing w:line="336"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zh-CN"/>
        </w:rPr>
        <w:t>（采购人名称）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28877FE7">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我公司收到贵单位</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w:t>
      </w:r>
      <w:r>
        <w:rPr>
          <w:rFonts w:hint="eastAsia" w:ascii="宋体" w:hAnsi="宋体" w:cs="宋体"/>
          <w:color w:val="auto"/>
          <w:sz w:val="24"/>
          <w:szCs w:val="24"/>
          <w:highlight w:val="none"/>
          <w:u w:val="single"/>
          <w:lang w:eastAsia="zh-CN"/>
        </w:rPr>
        <w:t>项目名称</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，经认真研究，我们决定参加本项目投标。</w:t>
      </w:r>
    </w:p>
    <w:p w14:paraId="68E7B56E">
      <w:pPr>
        <w:keepNext w:val="0"/>
        <w:keepLines w:val="0"/>
        <w:pageBreakBefore w:val="0"/>
        <w:widowControl w:val="0"/>
        <w:numPr>
          <w:ilvl w:val="0"/>
          <w:numId w:val="0"/>
        </w:numPr>
        <w:tabs>
          <w:tab w:val="left" w:pos="5527"/>
        </w:tabs>
        <w:kinsoku/>
        <w:wordWrap/>
        <w:overflowPunct/>
        <w:topLinePunct w:val="0"/>
        <w:autoSpaceDE/>
        <w:autoSpaceDN/>
        <w:bidi w:val="0"/>
        <w:adjustRightInd/>
        <w:snapToGrid/>
        <w:spacing w:line="336"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按照</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中的一切要求，我方完全接受</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的规定和要求愿以</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合同履行期限（供货期限）</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none"/>
          <w:lang w:eastAsia="zh-CN"/>
        </w:rPr>
        <w:t>，</w:t>
      </w:r>
      <w:r>
        <w:rPr>
          <w:rFonts w:hint="eastAsia" w:ascii="宋体" w:hAnsi="宋体" w:eastAsia="宋体" w:cs="宋体"/>
          <w:color w:val="auto"/>
          <w:sz w:val="24"/>
          <w:szCs w:val="24"/>
          <w:highlight w:val="none"/>
        </w:rPr>
        <w:t>完成上述项目的所有工作。</w:t>
      </w:r>
    </w:p>
    <w:p w14:paraId="588916D6">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如果我们的</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被接受，我们将履行</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中规定的每一项要求，按期、按质、按量完成交货和完工任务。</w:t>
      </w:r>
    </w:p>
    <w:p w14:paraId="5EF6EA9A">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我们同意按</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的规定，本</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的有效期为投标截止时间后</w:t>
      </w:r>
      <w:r>
        <w:rPr>
          <w:rFonts w:hint="eastAsia" w:ascii="宋体" w:hAnsi="宋体" w:eastAsia="宋体" w:cs="宋体"/>
          <w:color w:val="auto"/>
          <w:sz w:val="24"/>
          <w:szCs w:val="24"/>
          <w:highlight w:val="none"/>
          <w:u w:val="single"/>
        </w:rPr>
        <w:t xml:space="preserve"> 90 </w:t>
      </w:r>
      <w:r>
        <w:rPr>
          <w:rFonts w:hint="eastAsia" w:ascii="宋体" w:hAnsi="宋体" w:eastAsia="宋体" w:cs="宋体"/>
          <w:color w:val="auto"/>
          <w:sz w:val="24"/>
          <w:szCs w:val="24"/>
          <w:highlight w:val="none"/>
        </w:rPr>
        <w:t>天。</w:t>
      </w:r>
    </w:p>
    <w:p w14:paraId="46DEFE1D">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我们愿意提供采购人在</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中要求的所有资料。</w:t>
      </w:r>
    </w:p>
    <w:p w14:paraId="74D2E79D">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我们认为采购人有选择或拒绝任何供应商中标的权力。我们理解，最低报价不是中标的唯一条件。</w:t>
      </w:r>
    </w:p>
    <w:p w14:paraId="6E98D5A1">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我们愿按合同法履行自己的全部责任。</w:t>
      </w:r>
    </w:p>
    <w:p w14:paraId="1C85FBAE">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我方愿意遵守</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中规定的收费标准，承付采购代理服务费。</w:t>
      </w:r>
    </w:p>
    <w:p w14:paraId="2CD1394B">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460" w:firstLineChars="200"/>
        <w:textAlignment w:val="auto"/>
        <w:outlineLvl w:val="9"/>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lang w:val="en-US" w:eastAsia="zh-CN"/>
        </w:rPr>
        <w:t>8.</w:t>
      </w:r>
      <w:r>
        <w:rPr>
          <w:rFonts w:hint="eastAsia" w:ascii="宋体" w:hAnsi="宋体" w:eastAsia="宋体" w:cs="宋体"/>
          <w:color w:val="auto"/>
          <w:spacing w:val="-6"/>
          <w:sz w:val="24"/>
          <w:szCs w:val="24"/>
          <w:highlight w:val="none"/>
        </w:rPr>
        <w:t>该项投标在投标截止时间后的投标有效期内保持有效，不作任何更改和变动。</w:t>
      </w:r>
    </w:p>
    <w:p w14:paraId="2EF2BB30">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我们同意按</w:t>
      </w:r>
      <w:r>
        <w:rPr>
          <w:rFonts w:hint="eastAsia" w:ascii="宋体" w:hAnsi="宋体" w:eastAsia="宋体" w:cs="宋体"/>
          <w:color w:val="auto"/>
          <w:sz w:val="24"/>
          <w:szCs w:val="24"/>
          <w:highlight w:val="none"/>
          <w:lang w:eastAsia="zh-CN"/>
        </w:rPr>
        <w:t>公开招标文件</w:t>
      </w:r>
      <w:r>
        <w:rPr>
          <w:rFonts w:hint="eastAsia" w:ascii="宋体" w:hAnsi="宋体" w:eastAsia="宋体" w:cs="宋体"/>
          <w:color w:val="auto"/>
          <w:sz w:val="24"/>
          <w:szCs w:val="24"/>
          <w:highlight w:val="none"/>
        </w:rPr>
        <w:t>规定，交纳</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）的投标保证金。</w:t>
      </w:r>
    </w:p>
    <w:p w14:paraId="073A51A2">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所有有关本</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的函电，请按下列地址联系：</w:t>
      </w:r>
    </w:p>
    <w:p w14:paraId="7030B296">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单位名称：</w:t>
      </w:r>
    </w:p>
    <w:p w14:paraId="4FC6D6BA">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    址：</w:t>
      </w:r>
    </w:p>
    <w:p w14:paraId="2949A9A3">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邮政编码：</w:t>
      </w:r>
    </w:p>
    <w:p w14:paraId="0A000940">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 系 人：</w:t>
      </w:r>
    </w:p>
    <w:p w14:paraId="02ECB5A7">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484"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电    话：</w:t>
      </w:r>
      <w:r>
        <w:rPr>
          <w:rFonts w:hint="eastAsia" w:ascii="宋体" w:hAnsi="宋体" w:eastAsia="宋体" w:cs="宋体"/>
          <w:color w:val="auto"/>
          <w:sz w:val="24"/>
          <w:szCs w:val="24"/>
          <w:highlight w:val="none"/>
          <w:lang w:val="en-US" w:eastAsia="zh-CN"/>
        </w:rPr>
        <w:t xml:space="preserve">                 </w:t>
      </w:r>
    </w:p>
    <w:p w14:paraId="013D1C6D">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    真：</w:t>
      </w:r>
    </w:p>
    <w:p w14:paraId="2FDF54B9">
      <w:pPr>
        <w:keepNext w:val="0"/>
        <w:keepLines w:val="0"/>
        <w:pageBreakBefore w:val="0"/>
        <w:widowControl w:val="0"/>
        <w:tabs>
          <w:tab w:val="left" w:pos="5527"/>
        </w:tabs>
        <w:kinsoku/>
        <w:wordWrap/>
        <w:overflowPunct/>
        <w:topLinePunct w:val="0"/>
        <w:autoSpaceDE/>
        <w:autoSpaceDN/>
        <w:bidi w:val="0"/>
        <w:adjustRightInd/>
        <w:snapToGrid/>
        <w:spacing w:line="336" w:lineRule="auto"/>
        <w:ind w:firstLine="484"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电子邮箱：</w:t>
      </w:r>
    </w:p>
    <w:p w14:paraId="2DA9E519">
      <w:pPr>
        <w:tabs>
          <w:tab w:val="left" w:pos="5527"/>
        </w:tabs>
        <w:bidi w:val="0"/>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供应商名称（盖章）：</w:t>
      </w:r>
    </w:p>
    <w:p w14:paraId="533F827A">
      <w:pPr>
        <w:tabs>
          <w:tab w:val="left" w:pos="5527"/>
        </w:tabs>
        <w:bidi w:val="0"/>
        <w:spacing w:line="360" w:lineRule="auto"/>
        <w:jc w:val="righ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法定代表人或委托代理人（签字或盖章）：</w:t>
      </w:r>
    </w:p>
    <w:p w14:paraId="4CF3A14B">
      <w:pPr>
        <w:tabs>
          <w:tab w:val="left" w:pos="5527"/>
        </w:tabs>
        <w:bidi w:val="0"/>
        <w:spacing w:line="360" w:lineRule="auto"/>
        <w:jc w:val="right"/>
        <w:outlineLvl w:val="9"/>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 xml:space="preserve"> 日期：     年   月   日</w:t>
      </w:r>
    </w:p>
    <w:p w14:paraId="1755E8B7">
      <w:pPr>
        <w:keepNext w:val="0"/>
        <w:tabs>
          <w:tab w:val="left" w:pos="5527"/>
        </w:tabs>
        <w:jc w:val="both"/>
        <w:outlineLvl w:val="9"/>
        <w:rPr>
          <w:rFonts w:hint="eastAsia" w:ascii="宋体" w:hAnsi="宋体" w:eastAsia="宋体" w:cs="宋体"/>
          <w:b/>
          <w:bCs/>
          <w:color w:val="auto"/>
          <w:kern w:val="2"/>
          <w:sz w:val="32"/>
          <w:szCs w:val="21"/>
          <w:highlight w:val="none"/>
          <w:lang w:val="en-US" w:eastAsia="zh-CN"/>
        </w:rPr>
      </w:pPr>
      <w:bookmarkStart w:id="194" w:name="_Toc4412"/>
      <w:bookmarkStart w:id="195" w:name="_Toc4872"/>
      <w:r>
        <w:rPr>
          <w:rFonts w:hint="eastAsia" w:ascii="宋体" w:hAnsi="宋体" w:eastAsia="宋体" w:cs="宋体"/>
          <w:b/>
          <w:bCs/>
          <w:color w:val="auto"/>
          <w:kern w:val="2"/>
          <w:sz w:val="32"/>
          <w:szCs w:val="21"/>
          <w:highlight w:val="none"/>
          <w:lang w:val="en-US" w:eastAsia="zh-CN"/>
        </w:rPr>
        <w:br w:type="page"/>
      </w:r>
      <w:bookmarkStart w:id="196" w:name="_Toc31597"/>
      <w:bookmarkStart w:id="197" w:name="_Toc21398"/>
      <w:r>
        <w:rPr>
          <w:rFonts w:hint="eastAsia" w:ascii="宋体" w:hAnsi="宋体" w:eastAsia="宋体" w:cs="宋体"/>
          <w:b/>
          <w:bCs/>
          <w:color w:val="auto"/>
          <w:kern w:val="2"/>
          <w:sz w:val="32"/>
          <w:szCs w:val="32"/>
          <w:highlight w:val="none"/>
          <w:lang w:val="en-US" w:eastAsia="zh-CN"/>
        </w:rPr>
        <w:t>附件2</w:t>
      </w:r>
      <w:bookmarkEnd w:id="194"/>
      <w:bookmarkEnd w:id="195"/>
      <w:r>
        <w:rPr>
          <w:rFonts w:hint="eastAsia" w:ascii="宋体" w:hAnsi="宋体" w:eastAsia="宋体" w:cs="宋体"/>
          <w:b/>
          <w:color w:val="auto"/>
          <w:sz w:val="32"/>
          <w:szCs w:val="32"/>
          <w:highlight w:val="none"/>
          <w:lang w:val="en-US" w:eastAsia="zh-CN"/>
        </w:rPr>
        <w:t>:</w:t>
      </w:r>
      <w:bookmarkEnd w:id="196"/>
      <w:bookmarkEnd w:id="197"/>
    </w:p>
    <w:p w14:paraId="037BC67A">
      <w:pPr>
        <w:keepNext w:val="0"/>
        <w:tabs>
          <w:tab w:val="left" w:pos="5527"/>
        </w:tabs>
        <w:jc w:val="center"/>
        <w:outlineLvl w:val="1"/>
        <w:rPr>
          <w:rFonts w:hint="eastAsia" w:ascii="宋体" w:hAnsi="宋体" w:eastAsia="宋体" w:cs="宋体"/>
          <w:b/>
          <w:bCs/>
          <w:color w:val="auto"/>
          <w:kern w:val="2"/>
          <w:sz w:val="32"/>
          <w:szCs w:val="21"/>
          <w:highlight w:val="none"/>
          <w:lang w:val="en-US" w:eastAsia="zh-CN"/>
        </w:rPr>
      </w:pPr>
      <w:bookmarkStart w:id="198" w:name="_Toc12935"/>
      <w:bookmarkStart w:id="199" w:name="_Toc8520"/>
      <w:bookmarkStart w:id="200" w:name="_Toc25307"/>
      <w:bookmarkStart w:id="201" w:name="_Toc28542"/>
      <w:r>
        <w:rPr>
          <w:rFonts w:hint="eastAsia" w:ascii="宋体" w:hAnsi="宋体" w:eastAsia="宋体" w:cs="宋体"/>
          <w:b/>
          <w:bCs/>
          <w:color w:val="auto"/>
          <w:kern w:val="2"/>
          <w:sz w:val="32"/>
          <w:szCs w:val="21"/>
          <w:highlight w:val="none"/>
          <w:lang w:val="en-US" w:eastAsia="zh-CN"/>
        </w:rPr>
        <w:t>法定代表人身份证明书</w:t>
      </w:r>
      <w:bookmarkEnd w:id="198"/>
      <w:bookmarkEnd w:id="199"/>
      <w:bookmarkEnd w:id="200"/>
      <w:bookmarkEnd w:id="201"/>
    </w:p>
    <w:p w14:paraId="59AB0650">
      <w:pPr>
        <w:tabs>
          <w:tab w:val="left" w:pos="5527"/>
        </w:tabs>
        <w:bidi w:val="0"/>
        <w:spacing w:line="360" w:lineRule="auto"/>
        <w:outlineLvl w:val="9"/>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rPr>
        <w:t>单位名称：</w:t>
      </w:r>
      <w:r>
        <w:rPr>
          <w:rFonts w:hint="eastAsia" w:ascii="宋体" w:hAnsi="宋体" w:eastAsia="宋体" w:cs="宋体"/>
          <w:color w:val="auto"/>
          <w:sz w:val="24"/>
          <w:szCs w:val="24"/>
          <w:highlight w:val="none"/>
          <w:u w:val="none"/>
        </w:rPr>
        <w:t xml:space="preserve">                                            </w:t>
      </w:r>
    </w:p>
    <w:p w14:paraId="6AF59423">
      <w:pPr>
        <w:tabs>
          <w:tab w:val="left" w:pos="5527"/>
        </w:tabs>
        <w:bidi w:val="0"/>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地    址：            </w:t>
      </w:r>
    </w:p>
    <w:p w14:paraId="20EA0FE8">
      <w:pPr>
        <w:tabs>
          <w:tab w:val="left" w:pos="5527"/>
        </w:tabs>
        <w:bidi w:val="0"/>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姓    名：        性别：      年龄：       职务：                            </w:t>
      </w:r>
    </w:p>
    <w:p w14:paraId="25946B32">
      <w:pPr>
        <w:tabs>
          <w:tab w:val="left" w:pos="5527"/>
        </w:tabs>
        <w:bidi w:val="0"/>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系</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的法定代表人。</w:t>
      </w:r>
    </w:p>
    <w:p w14:paraId="5F803B8A">
      <w:pPr>
        <w:tabs>
          <w:tab w:val="left" w:pos="5527"/>
        </w:tabs>
        <w:bidi w:val="0"/>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特此证明。</w:t>
      </w:r>
    </w:p>
    <w:tbl>
      <w:tblPr>
        <w:tblStyle w:val="27"/>
        <w:tblW w:w="87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5"/>
        <w:gridCol w:w="4363"/>
      </w:tblGrid>
      <w:tr w14:paraId="57C74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2" w:hRule="atLeast"/>
          <w:jc w:val="center"/>
        </w:trPr>
        <w:tc>
          <w:tcPr>
            <w:tcW w:w="4385" w:type="dxa"/>
            <w:vAlign w:val="center"/>
          </w:tcPr>
          <w:p w14:paraId="38D9B4D2">
            <w:pPr>
              <w:keepNext w:val="0"/>
              <w:keepLines w:val="0"/>
              <w:suppressLineNumbers w:val="0"/>
              <w:tabs>
                <w:tab w:val="left" w:pos="5527"/>
              </w:tabs>
              <w:bidi w:val="0"/>
              <w:spacing w:before="0" w:beforeAutospacing="0" w:after="0" w:afterAutospacing="0" w:line="360" w:lineRule="auto"/>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法定代表人身份证（</w:t>
            </w:r>
            <w:r>
              <w:rPr>
                <w:rFonts w:hint="eastAsia" w:ascii="宋体" w:hAnsi="宋体" w:cs="宋体"/>
                <w:color w:val="auto"/>
                <w:sz w:val="24"/>
                <w:szCs w:val="24"/>
                <w:highlight w:val="none"/>
                <w:lang w:val="en-US" w:eastAsia="zh-CN"/>
              </w:rPr>
              <w:t>人像面</w:t>
            </w:r>
            <w:r>
              <w:rPr>
                <w:rFonts w:hint="eastAsia" w:ascii="宋体" w:hAnsi="宋体" w:eastAsia="宋体" w:cs="宋体"/>
                <w:color w:val="auto"/>
                <w:sz w:val="24"/>
                <w:szCs w:val="24"/>
                <w:highlight w:val="none"/>
              </w:rPr>
              <w:t>）</w:t>
            </w:r>
          </w:p>
        </w:tc>
        <w:tc>
          <w:tcPr>
            <w:tcW w:w="4363" w:type="dxa"/>
            <w:vAlign w:val="center"/>
          </w:tcPr>
          <w:p w14:paraId="650A2335">
            <w:pPr>
              <w:keepNext w:val="0"/>
              <w:keepLines w:val="0"/>
              <w:suppressLineNumbers w:val="0"/>
              <w:tabs>
                <w:tab w:val="left" w:pos="5527"/>
              </w:tabs>
              <w:bidi w:val="0"/>
              <w:spacing w:before="0" w:beforeAutospacing="0" w:after="0" w:afterAutospacing="0" w:line="360" w:lineRule="auto"/>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w:t>
            </w:r>
            <w:r>
              <w:rPr>
                <w:rFonts w:hint="eastAsia" w:ascii="宋体" w:hAnsi="宋体" w:eastAsia="宋体" w:cs="宋体"/>
                <w:color w:val="auto"/>
                <w:sz w:val="24"/>
                <w:szCs w:val="24"/>
                <w:highlight w:val="none"/>
                <w:lang w:val="en-US" w:eastAsia="zh-CN"/>
              </w:rPr>
              <w:t>定代表人身份证（</w:t>
            </w:r>
            <w:r>
              <w:rPr>
                <w:rFonts w:hint="eastAsia" w:ascii="宋体" w:hAnsi="宋体" w:cs="宋体"/>
                <w:color w:val="auto"/>
                <w:sz w:val="24"/>
                <w:szCs w:val="24"/>
                <w:highlight w:val="none"/>
                <w:lang w:val="en-US" w:eastAsia="zh-CN"/>
              </w:rPr>
              <w:t>国徽面</w:t>
            </w:r>
            <w:r>
              <w:rPr>
                <w:rFonts w:hint="eastAsia" w:ascii="宋体" w:hAnsi="宋体" w:eastAsia="宋体" w:cs="宋体"/>
                <w:color w:val="auto"/>
                <w:sz w:val="24"/>
                <w:szCs w:val="24"/>
                <w:highlight w:val="none"/>
                <w:lang w:val="en-US" w:eastAsia="zh-CN"/>
              </w:rPr>
              <w:t>）</w:t>
            </w:r>
          </w:p>
        </w:tc>
      </w:tr>
    </w:tbl>
    <w:p w14:paraId="0607ADA8">
      <w:pPr>
        <w:pStyle w:val="23"/>
        <w:tabs>
          <w:tab w:val="left" w:pos="5527"/>
        </w:tabs>
        <w:spacing w:line="360" w:lineRule="auto"/>
        <w:ind w:left="0" w:firstLine="0" w:firstLineChars="0"/>
        <w:outlineLvl w:val="9"/>
        <w:rPr>
          <w:rFonts w:hint="eastAsia" w:ascii="宋体" w:hAnsi="宋体" w:eastAsia="宋体" w:cs="宋体"/>
          <w:color w:val="auto"/>
          <w:sz w:val="24"/>
          <w:szCs w:val="24"/>
          <w:highlight w:val="none"/>
        </w:rPr>
      </w:pPr>
    </w:p>
    <w:p w14:paraId="19074506">
      <w:pPr>
        <w:pStyle w:val="18"/>
        <w:tabs>
          <w:tab w:val="left" w:pos="5527"/>
        </w:tabs>
        <w:spacing w:line="360" w:lineRule="auto"/>
        <w:ind w:left="838" w:firstLine="484" w:firstLineChars="20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41E6D462">
      <w:pPr>
        <w:pStyle w:val="18"/>
        <w:tabs>
          <w:tab w:val="left" w:pos="5527"/>
        </w:tabs>
        <w:spacing w:line="360" w:lineRule="auto"/>
        <w:ind w:left="838" w:firstLine="484" w:firstLineChars="20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供应商名称（盖章）：</w:t>
      </w:r>
    </w:p>
    <w:p w14:paraId="655F7937">
      <w:pPr>
        <w:pStyle w:val="37"/>
        <w:tabs>
          <w:tab w:val="left" w:pos="5527"/>
        </w:tabs>
        <w:wordWrap w:val="0"/>
        <w:spacing w:line="360" w:lineRule="auto"/>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56699D29">
      <w:pPr>
        <w:pStyle w:val="37"/>
        <w:tabs>
          <w:tab w:val="left" w:pos="5527"/>
        </w:tabs>
        <w:wordWrap w:val="0"/>
        <w:spacing w:line="360" w:lineRule="auto"/>
        <w:ind w:firstLine="567"/>
        <w:jc w:val="right"/>
        <w:outlineLvl w:val="9"/>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 xml:space="preserve"> 日期：     年   月   日</w:t>
      </w:r>
    </w:p>
    <w:p w14:paraId="628BC37A">
      <w:pPr>
        <w:pStyle w:val="44"/>
        <w:tabs>
          <w:tab w:val="left" w:pos="5527"/>
        </w:tabs>
        <w:spacing w:line="312" w:lineRule="auto"/>
        <w:jc w:val="right"/>
        <w:outlineLvl w:val="9"/>
        <w:rPr>
          <w:rFonts w:hint="eastAsia" w:ascii="宋体" w:hAnsi="宋体" w:eastAsia="宋体" w:cs="宋体"/>
          <w:color w:val="auto"/>
          <w:sz w:val="24"/>
          <w:szCs w:val="24"/>
          <w:highlight w:val="none"/>
        </w:rPr>
      </w:pPr>
    </w:p>
    <w:p w14:paraId="2C9684D9">
      <w:pPr>
        <w:keepNext w:val="0"/>
        <w:numPr>
          <w:ilvl w:val="0"/>
          <w:numId w:val="0"/>
        </w:numPr>
        <w:tabs>
          <w:tab w:val="left" w:pos="420"/>
          <w:tab w:val="left" w:pos="5527"/>
        </w:tabs>
        <w:jc w:val="center"/>
        <w:outlineLvl w:val="2"/>
        <w:rPr>
          <w:rFonts w:hint="eastAsia" w:ascii="宋体" w:hAnsi="宋体" w:eastAsia="宋体" w:cs="宋体"/>
          <w:color w:val="auto"/>
          <w:sz w:val="30"/>
          <w:szCs w:val="30"/>
          <w:highlight w:val="none"/>
          <w:lang w:val="en-US" w:eastAsia="zh-CN"/>
        </w:rPr>
      </w:pPr>
      <w:r>
        <w:rPr>
          <w:rStyle w:val="38"/>
          <w:rFonts w:hint="eastAsia" w:ascii="宋体" w:hAnsi="宋体" w:eastAsia="宋体" w:cs="宋体"/>
          <w:color w:val="auto"/>
          <w:sz w:val="32"/>
          <w:szCs w:val="28"/>
          <w:highlight w:val="none"/>
          <w:lang w:val="en-US" w:eastAsia="zh-CN"/>
        </w:rPr>
        <w:br w:type="page"/>
      </w:r>
      <w:bookmarkStart w:id="202" w:name="_Toc16485"/>
      <w:bookmarkStart w:id="203" w:name="_Toc12505"/>
      <w:bookmarkStart w:id="204" w:name="_Toc11379"/>
      <w:bookmarkStart w:id="205" w:name="_Toc12354"/>
      <w:r>
        <w:rPr>
          <w:rFonts w:hint="eastAsia" w:ascii="宋体" w:hAnsi="宋体" w:eastAsia="宋体" w:cs="宋体"/>
          <w:b/>
          <w:bCs/>
          <w:color w:val="auto"/>
          <w:kern w:val="2"/>
          <w:sz w:val="32"/>
          <w:szCs w:val="21"/>
          <w:highlight w:val="none"/>
          <w:lang w:val="en-US" w:eastAsia="zh-CN"/>
        </w:rPr>
        <w:t>授权委托书</w:t>
      </w:r>
      <w:bookmarkEnd w:id="202"/>
      <w:bookmarkEnd w:id="203"/>
      <w:bookmarkEnd w:id="204"/>
      <w:bookmarkEnd w:id="205"/>
    </w:p>
    <w:p w14:paraId="0B1C2D6A">
      <w:pPr>
        <w:tabs>
          <w:tab w:val="left" w:pos="5527"/>
        </w:tabs>
        <w:bidi w:val="0"/>
        <w:spacing w:line="360" w:lineRule="auto"/>
        <w:ind w:firstLine="484" w:firstLineChars="200"/>
        <w:outlineLvl w:val="9"/>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本授权委托书声明：我</w:t>
      </w:r>
      <w:r>
        <w:rPr>
          <w:rFonts w:hint="eastAsia" w:ascii="宋体" w:hAnsi="宋体" w:eastAsia="宋体" w:cs="宋体"/>
          <w:color w:val="auto"/>
          <w:sz w:val="24"/>
          <w:szCs w:val="22"/>
          <w:highlight w:val="none"/>
          <w:u w:val="single"/>
          <w:lang w:val="en-US" w:eastAsia="zh-CN"/>
        </w:rPr>
        <w:t xml:space="preserve"> </w:t>
      </w:r>
      <w:r>
        <w:rPr>
          <w:rFonts w:hint="eastAsia" w:ascii="宋体" w:hAnsi="宋体" w:eastAsia="宋体" w:cs="宋体"/>
          <w:color w:val="auto"/>
          <w:sz w:val="24"/>
          <w:szCs w:val="22"/>
          <w:highlight w:val="none"/>
          <w:u w:val="single"/>
        </w:rPr>
        <w:t>（姓名）</w:t>
      </w:r>
      <w:r>
        <w:rPr>
          <w:rFonts w:hint="eastAsia" w:ascii="宋体" w:hAnsi="宋体" w:eastAsia="宋体" w:cs="宋体"/>
          <w:color w:val="auto"/>
          <w:sz w:val="24"/>
          <w:szCs w:val="22"/>
          <w:highlight w:val="none"/>
          <w:u w:val="single"/>
          <w:lang w:val="en-US" w:eastAsia="zh-CN"/>
        </w:rPr>
        <w:t xml:space="preserve"> </w:t>
      </w:r>
      <w:r>
        <w:rPr>
          <w:rFonts w:hint="eastAsia" w:ascii="宋体" w:hAnsi="宋体" w:eastAsia="宋体" w:cs="宋体"/>
          <w:color w:val="auto"/>
          <w:sz w:val="24"/>
          <w:szCs w:val="22"/>
          <w:highlight w:val="none"/>
        </w:rPr>
        <w:t>系</w:t>
      </w:r>
      <w:r>
        <w:rPr>
          <w:rFonts w:hint="eastAsia" w:ascii="宋体" w:hAnsi="宋体" w:eastAsia="宋体" w:cs="宋体"/>
          <w:color w:val="auto"/>
          <w:sz w:val="24"/>
          <w:szCs w:val="22"/>
          <w:highlight w:val="none"/>
          <w:u w:val="single"/>
          <w:lang w:val="en-US" w:eastAsia="zh-CN"/>
        </w:rPr>
        <w:t xml:space="preserve"> </w:t>
      </w:r>
      <w:r>
        <w:rPr>
          <w:rFonts w:hint="eastAsia" w:ascii="宋体" w:hAnsi="宋体" w:eastAsia="宋体" w:cs="宋体"/>
          <w:color w:val="auto"/>
          <w:sz w:val="24"/>
          <w:szCs w:val="22"/>
          <w:highlight w:val="none"/>
          <w:u w:val="single"/>
        </w:rPr>
        <w:t>（供应商名称）</w:t>
      </w:r>
      <w:r>
        <w:rPr>
          <w:rFonts w:hint="eastAsia" w:ascii="宋体" w:hAnsi="宋体" w:eastAsia="宋体" w:cs="宋体"/>
          <w:color w:val="auto"/>
          <w:sz w:val="24"/>
          <w:szCs w:val="22"/>
          <w:highlight w:val="none"/>
          <w:u w:val="single"/>
          <w:lang w:val="en-US" w:eastAsia="zh-CN"/>
        </w:rPr>
        <w:t xml:space="preserve"> </w:t>
      </w:r>
      <w:r>
        <w:rPr>
          <w:rFonts w:hint="eastAsia" w:ascii="宋体" w:hAnsi="宋体" w:eastAsia="宋体" w:cs="宋体"/>
          <w:color w:val="auto"/>
          <w:sz w:val="24"/>
          <w:szCs w:val="22"/>
          <w:highlight w:val="none"/>
        </w:rPr>
        <w:t>的法定代表人，现授权委托</w:t>
      </w:r>
      <w:r>
        <w:rPr>
          <w:rFonts w:hint="eastAsia" w:ascii="宋体" w:hAnsi="宋体" w:eastAsia="宋体" w:cs="宋体"/>
          <w:color w:val="auto"/>
          <w:sz w:val="24"/>
          <w:szCs w:val="22"/>
          <w:highlight w:val="none"/>
          <w:u w:val="single"/>
          <w:lang w:val="en-US" w:eastAsia="zh-CN"/>
        </w:rPr>
        <w:t xml:space="preserve"> </w:t>
      </w:r>
      <w:r>
        <w:rPr>
          <w:rFonts w:hint="eastAsia" w:ascii="宋体" w:hAnsi="宋体" w:eastAsia="宋体" w:cs="宋体"/>
          <w:color w:val="auto"/>
          <w:sz w:val="24"/>
          <w:szCs w:val="22"/>
          <w:highlight w:val="none"/>
          <w:u w:val="single"/>
        </w:rPr>
        <w:t>（供应商名称）</w:t>
      </w:r>
      <w:r>
        <w:rPr>
          <w:rFonts w:hint="eastAsia" w:ascii="宋体" w:hAnsi="宋体" w:eastAsia="宋体" w:cs="宋体"/>
          <w:color w:val="auto"/>
          <w:sz w:val="24"/>
          <w:szCs w:val="22"/>
          <w:highlight w:val="none"/>
          <w:u w:val="single"/>
          <w:lang w:val="en-US" w:eastAsia="zh-CN"/>
        </w:rPr>
        <w:t xml:space="preserve"> </w:t>
      </w:r>
      <w:r>
        <w:rPr>
          <w:rFonts w:hint="eastAsia" w:ascii="宋体" w:hAnsi="宋体" w:eastAsia="宋体" w:cs="宋体"/>
          <w:color w:val="auto"/>
          <w:sz w:val="24"/>
          <w:szCs w:val="22"/>
          <w:highlight w:val="none"/>
        </w:rPr>
        <w:t xml:space="preserve">的 </w:t>
      </w:r>
      <w:r>
        <w:rPr>
          <w:rFonts w:hint="eastAsia" w:ascii="宋体" w:hAnsi="宋体" w:eastAsia="宋体" w:cs="宋体"/>
          <w:color w:val="auto"/>
          <w:sz w:val="24"/>
          <w:szCs w:val="22"/>
          <w:highlight w:val="none"/>
          <w:u w:val="single"/>
          <w:lang w:val="en-US" w:eastAsia="zh-CN"/>
        </w:rPr>
        <w:t xml:space="preserve"> </w:t>
      </w:r>
      <w:r>
        <w:rPr>
          <w:rFonts w:hint="eastAsia" w:ascii="宋体" w:hAnsi="宋体" w:eastAsia="宋体" w:cs="宋体"/>
          <w:color w:val="auto"/>
          <w:sz w:val="24"/>
          <w:szCs w:val="22"/>
          <w:highlight w:val="none"/>
          <w:u w:val="single"/>
        </w:rPr>
        <w:t>（姓名、身份证号）</w:t>
      </w:r>
      <w:r>
        <w:rPr>
          <w:rFonts w:hint="eastAsia" w:ascii="宋体" w:hAnsi="宋体" w:eastAsia="宋体" w:cs="宋体"/>
          <w:color w:val="auto"/>
          <w:sz w:val="24"/>
          <w:szCs w:val="22"/>
          <w:highlight w:val="none"/>
          <w:u w:val="single"/>
          <w:lang w:val="en-US" w:eastAsia="zh-CN"/>
        </w:rPr>
        <w:t xml:space="preserve"> </w:t>
      </w:r>
      <w:r>
        <w:rPr>
          <w:rFonts w:hint="eastAsia" w:ascii="宋体" w:hAnsi="宋体" w:eastAsia="宋体" w:cs="宋体"/>
          <w:color w:val="auto"/>
          <w:sz w:val="24"/>
          <w:szCs w:val="22"/>
          <w:highlight w:val="none"/>
        </w:rPr>
        <w:t>我</w:t>
      </w:r>
      <w:r>
        <w:rPr>
          <w:rFonts w:hint="eastAsia" w:ascii="宋体" w:hAnsi="宋体" w:eastAsia="宋体" w:cs="宋体"/>
          <w:color w:val="auto"/>
          <w:sz w:val="24"/>
          <w:szCs w:val="22"/>
          <w:highlight w:val="none"/>
          <w:lang w:val="en-US" w:eastAsia="zh-CN"/>
        </w:rPr>
        <w:t>公司</w:t>
      </w:r>
      <w:r>
        <w:rPr>
          <w:rFonts w:hint="eastAsia" w:ascii="宋体" w:hAnsi="宋体" w:eastAsia="宋体" w:cs="宋体"/>
          <w:color w:val="auto"/>
          <w:sz w:val="24"/>
          <w:szCs w:val="22"/>
          <w:highlight w:val="none"/>
        </w:rPr>
        <w:t>代理人，以本</w:t>
      </w:r>
      <w:r>
        <w:rPr>
          <w:rFonts w:hint="eastAsia" w:ascii="宋体" w:hAnsi="宋体" w:eastAsia="宋体" w:cs="宋体"/>
          <w:color w:val="auto"/>
          <w:sz w:val="24"/>
          <w:szCs w:val="22"/>
          <w:highlight w:val="none"/>
          <w:lang w:val="en-US" w:eastAsia="zh-CN"/>
        </w:rPr>
        <w:t>公司</w:t>
      </w:r>
      <w:r>
        <w:rPr>
          <w:rFonts w:hint="eastAsia" w:ascii="宋体" w:hAnsi="宋体" w:eastAsia="宋体" w:cs="宋体"/>
          <w:color w:val="auto"/>
          <w:sz w:val="24"/>
          <w:szCs w:val="22"/>
          <w:highlight w:val="none"/>
        </w:rPr>
        <w:t>的名义参加</w:t>
      </w:r>
      <w:r>
        <w:rPr>
          <w:rFonts w:hint="eastAsia" w:ascii="宋体" w:hAnsi="宋体" w:eastAsia="宋体" w:cs="宋体"/>
          <w:color w:val="auto"/>
          <w:sz w:val="24"/>
          <w:szCs w:val="22"/>
          <w:highlight w:val="none"/>
          <w:u w:val="single"/>
          <w:lang w:val="en-US" w:eastAsia="zh-CN"/>
        </w:rPr>
        <w:t xml:space="preserve"> </w:t>
      </w:r>
      <w:r>
        <w:rPr>
          <w:rFonts w:hint="eastAsia" w:ascii="宋体" w:hAnsi="宋体" w:eastAsia="宋体" w:cs="宋体"/>
          <w:color w:val="auto"/>
          <w:sz w:val="24"/>
          <w:szCs w:val="22"/>
          <w:highlight w:val="none"/>
          <w:u w:val="single"/>
        </w:rPr>
        <w:t>（</w:t>
      </w:r>
      <w:r>
        <w:rPr>
          <w:rFonts w:hint="eastAsia" w:ascii="宋体" w:hAnsi="宋体" w:cs="宋体"/>
          <w:color w:val="auto"/>
          <w:sz w:val="24"/>
          <w:szCs w:val="22"/>
          <w:highlight w:val="none"/>
          <w:u w:val="single"/>
          <w:lang w:eastAsia="zh-CN"/>
        </w:rPr>
        <w:t>项目名称</w:t>
      </w:r>
      <w:r>
        <w:rPr>
          <w:rFonts w:hint="eastAsia" w:ascii="宋体" w:hAnsi="宋体" w:eastAsia="宋体" w:cs="宋体"/>
          <w:color w:val="auto"/>
          <w:sz w:val="24"/>
          <w:szCs w:val="22"/>
          <w:highlight w:val="none"/>
          <w:u w:val="single"/>
        </w:rPr>
        <w:t>）</w:t>
      </w:r>
      <w:r>
        <w:rPr>
          <w:rFonts w:hint="eastAsia" w:ascii="宋体" w:hAnsi="宋体" w:eastAsia="宋体" w:cs="宋体"/>
          <w:color w:val="auto"/>
          <w:sz w:val="24"/>
          <w:szCs w:val="22"/>
          <w:highlight w:val="none"/>
          <w:u w:val="single"/>
          <w:lang w:val="en-US" w:eastAsia="zh-CN"/>
        </w:rPr>
        <w:t xml:space="preserve"> </w:t>
      </w:r>
      <w:r>
        <w:rPr>
          <w:rFonts w:hint="eastAsia" w:ascii="宋体" w:hAnsi="宋体" w:eastAsia="宋体" w:cs="宋体"/>
          <w:color w:val="auto"/>
          <w:sz w:val="24"/>
          <w:szCs w:val="22"/>
          <w:highlight w:val="none"/>
        </w:rPr>
        <w:t>的投标活动。</w:t>
      </w:r>
    </w:p>
    <w:p w14:paraId="6CD91A00">
      <w:pPr>
        <w:tabs>
          <w:tab w:val="left" w:pos="5527"/>
        </w:tabs>
        <w:bidi w:val="0"/>
        <w:spacing w:line="360" w:lineRule="auto"/>
        <w:ind w:firstLine="484" w:firstLineChars="200"/>
        <w:outlineLvl w:val="9"/>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代理人在处理投标的过程中所签署的一切文件和处理与之有关的一切事务，我均予以承认。</w:t>
      </w:r>
    </w:p>
    <w:p w14:paraId="28822AC9">
      <w:pPr>
        <w:tabs>
          <w:tab w:val="left" w:pos="5527"/>
        </w:tabs>
        <w:bidi w:val="0"/>
        <w:spacing w:line="360" w:lineRule="auto"/>
        <w:ind w:firstLine="484" w:firstLineChars="200"/>
        <w:outlineLvl w:val="9"/>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授权期限</w:t>
      </w:r>
      <w:r>
        <w:rPr>
          <w:rFonts w:hint="eastAsia" w:ascii="宋体" w:hAnsi="宋体" w:eastAsia="宋体" w:cs="宋体"/>
          <w:color w:val="auto"/>
          <w:sz w:val="24"/>
          <w:szCs w:val="22"/>
          <w:highlight w:val="none"/>
          <w:lang w:eastAsia="zh-CN"/>
        </w:rPr>
        <w:t>：</w:t>
      </w:r>
      <w:r>
        <w:rPr>
          <w:rFonts w:hint="eastAsia" w:ascii="宋体" w:hAnsi="宋体" w:eastAsia="宋体" w:cs="宋体"/>
          <w:color w:val="auto"/>
          <w:sz w:val="24"/>
          <w:szCs w:val="22"/>
          <w:highlight w:val="none"/>
          <w:u w:val="single"/>
          <w:lang w:val="en-US" w:eastAsia="zh-CN"/>
        </w:rPr>
        <w:t xml:space="preserve">     </w:t>
      </w:r>
      <w:r>
        <w:rPr>
          <w:rFonts w:hint="eastAsia" w:ascii="宋体" w:hAnsi="宋体" w:eastAsia="宋体" w:cs="宋体"/>
          <w:color w:val="auto"/>
          <w:sz w:val="24"/>
          <w:szCs w:val="22"/>
          <w:highlight w:val="none"/>
        </w:rPr>
        <w:t>年</w:t>
      </w:r>
      <w:r>
        <w:rPr>
          <w:rFonts w:hint="eastAsia" w:ascii="宋体" w:hAnsi="宋体" w:eastAsia="宋体" w:cs="宋体"/>
          <w:color w:val="auto"/>
          <w:sz w:val="24"/>
          <w:szCs w:val="22"/>
          <w:highlight w:val="none"/>
          <w:u w:val="single"/>
          <w:lang w:val="en-US" w:eastAsia="zh-CN"/>
        </w:rPr>
        <w:t xml:space="preserve">   </w:t>
      </w:r>
      <w:r>
        <w:rPr>
          <w:rFonts w:hint="eastAsia" w:ascii="宋体" w:hAnsi="宋体" w:eastAsia="宋体" w:cs="宋体"/>
          <w:color w:val="auto"/>
          <w:sz w:val="24"/>
          <w:szCs w:val="22"/>
          <w:highlight w:val="none"/>
        </w:rPr>
        <w:t>月</w:t>
      </w:r>
      <w:r>
        <w:rPr>
          <w:rFonts w:hint="eastAsia" w:ascii="宋体" w:hAnsi="宋体" w:eastAsia="宋体" w:cs="宋体"/>
          <w:color w:val="auto"/>
          <w:sz w:val="24"/>
          <w:szCs w:val="22"/>
          <w:highlight w:val="none"/>
          <w:u w:val="single"/>
          <w:lang w:val="en-US" w:eastAsia="zh-CN"/>
        </w:rPr>
        <w:t xml:space="preserve">   </w:t>
      </w:r>
      <w:r>
        <w:rPr>
          <w:rFonts w:hint="eastAsia" w:ascii="宋体" w:hAnsi="宋体" w:eastAsia="宋体" w:cs="宋体"/>
          <w:color w:val="auto"/>
          <w:sz w:val="24"/>
          <w:szCs w:val="22"/>
          <w:highlight w:val="none"/>
        </w:rPr>
        <w:t>日至</w:t>
      </w:r>
      <w:r>
        <w:rPr>
          <w:rFonts w:hint="eastAsia" w:ascii="宋体" w:hAnsi="宋体" w:eastAsia="宋体" w:cs="宋体"/>
          <w:color w:val="auto"/>
          <w:sz w:val="24"/>
          <w:szCs w:val="22"/>
          <w:highlight w:val="none"/>
          <w:u w:val="single"/>
          <w:lang w:val="en-US" w:eastAsia="zh-CN"/>
        </w:rPr>
        <w:t xml:space="preserve">     </w:t>
      </w:r>
      <w:r>
        <w:rPr>
          <w:rFonts w:hint="eastAsia" w:ascii="宋体" w:hAnsi="宋体" w:eastAsia="宋体" w:cs="宋体"/>
          <w:color w:val="auto"/>
          <w:sz w:val="24"/>
          <w:szCs w:val="22"/>
          <w:highlight w:val="none"/>
        </w:rPr>
        <w:t>年</w:t>
      </w:r>
      <w:r>
        <w:rPr>
          <w:rFonts w:hint="eastAsia" w:ascii="宋体" w:hAnsi="宋体" w:eastAsia="宋体" w:cs="宋体"/>
          <w:color w:val="auto"/>
          <w:sz w:val="24"/>
          <w:szCs w:val="22"/>
          <w:highlight w:val="none"/>
          <w:u w:val="single"/>
          <w:lang w:val="en-US" w:eastAsia="zh-CN"/>
        </w:rPr>
        <w:t xml:space="preserve">   </w:t>
      </w:r>
      <w:r>
        <w:rPr>
          <w:rFonts w:hint="eastAsia" w:ascii="宋体" w:hAnsi="宋体" w:eastAsia="宋体" w:cs="宋体"/>
          <w:color w:val="auto"/>
          <w:sz w:val="24"/>
          <w:szCs w:val="22"/>
          <w:highlight w:val="none"/>
        </w:rPr>
        <w:t>月</w:t>
      </w:r>
      <w:r>
        <w:rPr>
          <w:rFonts w:hint="eastAsia" w:ascii="宋体" w:hAnsi="宋体" w:eastAsia="宋体" w:cs="宋体"/>
          <w:color w:val="auto"/>
          <w:sz w:val="24"/>
          <w:szCs w:val="22"/>
          <w:highlight w:val="none"/>
          <w:u w:val="single"/>
          <w:lang w:val="en-US" w:eastAsia="zh-CN"/>
        </w:rPr>
        <w:t xml:space="preserve">   </w:t>
      </w:r>
      <w:r>
        <w:rPr>
          <w:rFonts w:hint="eastAsia" w:ascii="宋体" w:hAnsi="宋体" w:eastAsia="宋体" w:cs="宋体"/>
          <w:color w:val="auto"/>
          <w:sz w:val="24"/>
          <w:szCs w:val="22"/>
          <w:highlight w:val="none"/>
        </w:rPr>
        <w:t>日</w:t>
      </w:r>
    </w:p>
    <w:p w14:paraId="03C3C964">
      <w:pPr>
        <w:tabs>
          <w:tab w:val="left" w:pos="5527"/>
        </w:tabs>
        <w:bidi w:val="0"/>
        <w:spacing w:line="360" w:lineRule="auto"/>
        <w:ind w:firstLine="484" w:firstLineChars="200"/>
        <w:outlineLvl w:val="9"/>
        <w:rPr>
          <w:rFonts w:hint="eastAsia" w:ascii="宋体" w:hAnsi="宋体" w:eastAsia="宋体" w:cs="宋体"/>
          <w:color w:val="auto"/>
          <w:sz w:val="24"/>
          <w:szCs w:val="22"/>
          <w:highlight w:val="none"/>
        </w:rPr>
      </w:pPr>
      <w:bookmarkStart w:id="206" w:name="_Toc23318"/>
      <w:bookmarkStart w:id="207" w:name="_Toc6017"/>
      <w:r>
        <w:rPr>
          <w:rFonts w:hint="eastAsia" w:ascii="宋体" w:hAnsi="宋体" w:eastAsia="宋体" w:cs="宋体"/>
          <w:color w:val="auto"/>
          <w:sz w:val="24"/>
          <w:szCs w:val="22"/>
          <w:highlight w:val="none"/>
        </w:rPr>
        <w:t>委托代理人无转委权。特此委托。</w:t>
      </w:r>
    </w:p>
    <w:p w14:paraId="2AB2F9FF">
      <w:pPr>
        <w:tabs>
          <w:tab w:val="left" w:pos="5527"/>
        </w:tabs>
        <w:bidi w:val="0"/>
        <w:spacing w:line="360" w:lineRule="auto"/>
        <w:ind w:firstLine="484" w:firstLineChars="200"/>
        <w:outlineLvl w:val="9"/>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委托代理人：            性  别：</w:t>
      </w:r>
    </w:p>
    <w:p w14:paraId="27B3A81D">
      <w:pPr>
        <w:tabs>
          <w:tab w:val="left" w:pos="5527"/>
        </w:tabs>
        <w:bidi w:val="0"/>
        <w:spacing w:line="360" w:lineRule="auto"/>
        <w:ind w:firstLine="484" w:firstLineChars="200"/>
        <w:outlineLvl w:val="9"/>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身份证号码：            电  话：</w:t>
      </w:r>
    </w:p>
    <w:p w14:paraId="33F14CC6">
      <w:pPr>
        <w:tabs>
          <w:tab w:val="left" w:pos="5527"/>
        </w:tabs>
        <w:bidi w:val="0"/>
        <w:spacing w:line="360" w:lineRule="auto"/>
        <w:ind w:firstLine="484" w:firstLineChars="200"/>
        <w:outlineLvl w:val="9"/>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 xml:space="preserve">部  门：                职  务： </w:t>
      </w:r>
    </w:p>
    <w:tbl>
      <w:tblPr>
        <w:tblStyle w:val="27"/>
        <w:tblW w:w="8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0"/>
        <w:gridCol w:w="4290"/>
      </w:tblGrid>
      <w:tr w14:paraId="59861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jc w:val="center"/>
        </w:trPr>
        <w:tc>
          <w:tcPr>
            <w:tcW w:w="4290" w:type="dxa"/>
            <w:vAlign w:val="center"/>
          </w:tcPr>
          <w:p w14:paraId="2E084FF3">
            <w:pPr>
              <w:keepNext w:val="0"/>
              <w:keepLines w:val="0"/>
              <w:suppressLineNumbers w:val="0"/>
              <w:tabs>
                <w:tab w:val="left" w:pos="5527"/>
              </w:tabs>
              <w:bidi w:val="0"/>
              <w:spacing w:before="0" w:beforeAutospacing="0" w:after="0" w:afterAutospacing="0" w:line="360" w:lineRule="auto"/>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法定代表人身份证（</w:t>
            </w:r>
            <w:r>
              <w:rPr>
                <w:rFonts w:hint="eastAsia" w:ascii="宋体" w:hAnsi="宋体" w:cs="宋体"/>
                <w:color w:val="auto"/>
                <w:sz w:val="24"/>
                <w:szCs w:val="24"/>
                <w:highlight w:val="none"/>
                <w:lang w:eastAsia="zh-CN"/>
              </w:rPr>
              <w:t>人像面</w:t>
            </w:r>
            <w:r>
              <w:rPr>
                <w:rFonts w:hint="eastAsia" w:ascii="宋体" w:hAnsi="宋体" w:eastAsia="宋体" w:cs="宋体"/>
                <w:color w:val="auto"/>
                <w:sz w:val="24"/>
                <w:szCs w:val="24"/>
                <w:highlight w:val="none"/>
              </w:rPr>
              <w:t>）</w:t>
            </w:r>
          </w:p>
        </w:tc>
        <w:tc>
          <w:tcPr>
            <w:tcW w:w="4290" w:type="dxa"/>
            <w:vAlign w:val="center"/>
          </w:tcPr>
          <w:p w14:paraId="57ECDCCD">
            <w:pPr>
              <w:keepNext w:val="0"/>
              <w:keepLines w:val="0"/>
              <w:suppressLineNumbers w:val="0"/>
              <w:tabs>
                <w:tab w:val="left" w:pos="5527"/>
              </w:tabs>
              <w:bidi w:val="0"/>
              <w:spacing w:before="0" w:beforeAutospacing="0" w:after="0" w:afterAutospacing="0" w:line="360" w:lineRule="auto"/>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法定代表人身份证（</w:t>
            </w:r>
            <w:r>
              <w:rPr>
                <w:rFonts w:hint="eastAsia" w:ascii="宋体" w:hAnsi="宋体" w:cs="宋体"/>
                <w:color w:val="auto"/>
                <w:sz w:val="24"/>
                <w:szCs w:val="24"/>
                <w:highlight w:val="none"/>
                <w:lang w:eastAsia="zh-CN"/>
              </w:rPr>
              <w:t>国徽面</w:t>
            </w:r>
            <w:r>
              <w:rPr>
                <w:rFonts w:hint="eastAsia" w:ascii="宋体" w:hAnsi="宋体" w:eastAsia="宋体" w:cs="宋体"/>
                <w:color w:val="auto"/>
                <w:sz w:val="24"/>
                <w:szCs w:val="24"/>
                <w:highlight w:val="none"/>
              </w:rPr>
              <w:t>）</w:t>
            </w:r>
          </w:p>
        </w:tc>
      </w:tr>
      <w:tr w14:paraId="5495C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2" w:hRule="atLeast"/>
          <w:jc w:val="center"/>
        </w:trPr>
        <w:tc>
          <w:tcPr>
            <w:tcW w:w="4290" w:type="dxa"/>
            <w:vAlign w:val="center"/>
          </w:tcPr>
          <w:p w14:paraId="4E369023">
            <w:pPr>
              <w:keepNext w:val="0"/>
              <w:keepLines w:val="0"/>
              <w:suppressLineNumbers w:val="0"/>
              <w:tabs>
                <w:tab w:val="left" w:pos="5527"/>
              </w:tabs>
              <w:bidi w:val="0"/>
              <w:spacing w:before="0" w:beforeAutospacing="0" w:after="0" w:afterAutospacing="0" w:line="360" w:lineRule="auto"/>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委托代理人身份证（</w:t>
            </w:r>
            <w:r>
              <w:rPr>
                <w:rFonts w:hint="eastAsia" w:ascii="宋体" w:hAnsi="宋体" w:cs="宋体"/>
                <w:color w:val="auto"/>
                <w:sz w:val="24"/>
                <w:szCs w:val="24"/>
                <w:highlight w:val="none"/>
                <w:lang w:eastAsia="zh-CN"/>
              </w:rPr>
              <w:t>人像面</w:t>
            </w:r>
            <w:r>
              <w:rPr>
                <w:rFonts w:hint="eastAsia" w:ascii="宋体" w:hAnsi="宋体" w:eastAsia="宋体" w:cs="宋体"/>
                <w:color w:val="auto"/>
                <w:sz w:val="24"/>
                <w:szCs w:val="24"/>
                <w:highlight w:val="none"/>
              </w:rPr>
              <w:t>）</w:t>
            </w:r>
          </w:p>
        </w:tc>
        <w:tc>
          <w:tcPr>
            <w:tcW w:w="4290" w:type="dxa"/>
            <w:vAlign w:val="center"/>
          </w:tcPr>
          <w:p w14:paraId="0C621463">
            <w:pPr>
              <w:keepNext w:val="0"/>
              <w:keepLines w:val="0"/>
              <w:suppressLineNumbers w:val="0"/>
              <w:tabs>
                <w:tab w:val="left" w:pos="5527"/>
              </w:tabs>
              <w:bidi w:val="0"/>
              <w:spacing w:before="0" w:beforeAutospacing="0" w:after="0" w:afterAutospacing="0" w:line="360" w:lineRule="auto"/>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委托代理人身份证（</w:t>
            </w:r>
            <w:r>
              <w:rPr>
                <w:rFonts w:hint="eastAsia" w:ascii="宋体" w:hAnsi="宋体" w:cs="宋体"/>
                <w:color w:val="auto"/>
                <w:sz w:val="24"/>
                <w:szCs w:val="24"/>
                <w:highlight w:val="none"/>
                <w:lang w:eastAsia="zh-CN"/>
              </w:rPr>
              <w:t>国徽面</w:t>
            </w:r>
            <w:r>
              <w:rPr>
                <w:rFonts w:hint="eastAsia" w:ascii="宋体" w:hAnsi="宋体" w:eastAsia="宋体" w:cs="宋体"/>
                <w:color w:val="auto"/>
                <w:sz w:val="24"/>
                <w:szCs w:val="24"/>
                <w:highlight w:val="none"/>
              </w:rPr>
              <w:t>）</w:t>
            </w:r>
          </w:p>
        </w:tc>
      </w:tr>
    </w:tbl>
    <w:p w14:paraId="13D84C91">
      <w:pPr>
        <w:tabs>
          <w:tab w:val="left" w:pos="5527"/>
        </w:tabs>
        <w:bidi w:val="0"/>
        <w:spacing w:line="360" w:lineRule="auto"/>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p>
    <w:p w14:paraId="66B10AD7">
      <w:pPr>
        <w:tabs>
          <w:tab w:val="left" w:pos="5527"/>
        </w:tabs>
        <w:bidi w:val="0"/>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供应商名称（盖章）：</w:t>
      </w:r>
    </w:p>
    <w:p w14:paraId="180C27DD">
      <w:pPr>
        <w:pStyle w:val="23"/>
        <w:tabs>
          <w:tab w:val="left" w:pos="5527"/>
        </w:tabs>
        <w:outlineLvl w:val="9"/>
        <w:rPr>
          <w:rFonts w:hint="eastAsia" w:ascii="宋体" w:hAnsi="宋体" w:eastAsia="宋体" w:cs="宋体"/>
          <w:color w:val="auto"/>
          <w:highlight w:val="none"/>
        </w:rPr>
      </w:pPr>
    </w:p>
    <w:p w14:paraId="0A337466">
      <w:pPr>
        <w:tabs>
          <w:tab w:val="left" w:pos="5527"/>
        </w:tabs>
        <w:bidi w:val="0"/>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法定代表人（签字或盖章）：</w:t>
      </w:r>
    </w:p>
    <w:p w14:paraId="2B6C0BFB">
      <w:pPr>
        <w:pStyle w:val="23"/>
        <w:tabs>
          <w:tab w:val="left" w:pos="5527"/>
        </w:tabs>
        <w:outlineLvl w:val="9"/>
        <w:rPr>
          <w:rFonts w:hint="eastAsia" w:ascii="宋体" w:hAnsi="宋体" w:eastAsia="宋体" w:cs="宋体"/>
          <w:color w:val="auto"/>
          <w:highlight w:val="none"/>
        </w:rPr>
      </w:pPr>
    </w:p>
    <w:p w14:paraId="4F6CD190">
      <w:pPr>
        <w:tabs>
          <w:tab w:val="left" w:pos="5527"/>
        </w:tabs>
        <w:bidi w:val="0"/>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委托代理人（签字或盖章）：</w:t>
      </w:r>
    </w:p>
    <w:p w14:paraId="294D17AE">
      <w:pPr>
        <w:pStyle w:val="23"/>
        <w:tabs>
          <w:tab w:val="left" w:pos="5527"/>
        </w:tabs>
        <w:outlineLvl w:val="9"/>
        <w:rPr>
          <w:rFonts w:hint="eastAsia" w:ascii="宋体" w:hAnsi="宋体" w:eastAsia="宋体" w:cs="宋体"/>
          <w:color w:val="auto"/>
          <w:highlight w:val="none"/>
        </w:rPr>
      </w:pPr>
    </w:p>
    <w:p w14:paraId="453E2ADE">
      <w:pPr>
        <w:tabs>
          <w:tab w:val="left" w:pos="5527"/>
        </w:tabs>
        <w:bidi w:val="0"/>
        <w:spacing w:line="360" w:lineRule="auto"/>
        <w:jc w:val="righ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     年   月   日</w:t>
      </w:r>
    </w:p>
    <w:p w14:paraId="34D09AA9">
      <w:pPr>
        <w:tabs>
          <w:tab w:val="left" w:pos="5527"/>
        </w:tabs>
        <w:bidi w:val="0"/>
        <w:jc w:val="both"/>
        <w:outlineLvl w:val="9"/>
        <w:rPr>
          <w:rStyle w:val="38"/>
          <w:rFonts w:hint="eastAsia" w:ascii="宋体" w:hAnsi="宋体" w:eastAsia="宋体" w:cs="宋体"/>
          <w:color w:val="auto"/>
          <w:szCs w:val="28"/>
          <w:highlight w:val="none"/>
          <w:lang w:val="en-US" w:eastAsia="zh-CN"/>
        </w:rPr>
      </w:pPr>
      <w:r>
        <w:rPr>
          <w:rFonts w:hint="eastAsia" w:ascii="宋体" w:hAnsi="宋体" w:eastAsia="宋体" w:cs="宋体"/>
          <w:color w:val="auto"/>
          <w:sz w:val="28"/>
          <w:szCs w:val="28"/>
          <w:highlight w:val="none"/>
        </w:rPr>
        <w:br w:type="page"/>
      </w:r>
      <w:bookmarkStart w:id="208" w:name="_Toc22081"/>
      <w:bookmarkStart w:id="209" w:name="_Toc32261"/>
      <w:bookmarkStart w:id="210" w:name="_Toc614"/>
      <w:bookmarkStart w:id="211" w:name="_Toc3111"/>
      <w:bookmarkStart w:id="212" w:name="_Toc6312"/>
      <w:bookmarkStart w:id="213" w:name="_Toc12373"/>
      <w:bookmarkStart w:id="214" w:name="_Toc12583"/>
      <w:r>
        <w:rPr>
          <w:rStyle w:val="38"/>
          <w:rFonts w:hint="eastAsia" w:ascii="宋体" w:hAnsi="宋体" w:eastAsia="宋体" w:cs="宋体"/>
          <w:b/>
          <w:bCs/>
          <w:color w:val="auto"/>
          <w:szCs w:val="28"/>
          <w:highlight w:val="none"/>
          <w:lang w:val="en-US" w:eastAsia="zh-CN"/>
        </w:rPr>
        <w:t>附件3</w:t>
      </w:r>
      <w:bookmarkEnd w:id="206"/>
      <w:bookmarkEnd w:id="207"/>
      <w:bookmarkEnd w:id="208"/>
      <w:bookmarkEnd w:id="209"/>
      <w:bookmarkEnd w:id="210"/>
      <w:bookmarkEnd w:id="211"/>
      <w:bookmarkEnd w:id="212"/>
      <w:bookmarkEnd w:id="213"/>
      <w:bookmarkEnd w:id="214"/>
      <w:r>
        <w:rPr>
          <w:rFonts w:hint="eastAsia" w:ascii="宋体" w:hAnsi="宋体" w:eastAsia="宋体" w:cs="宋体"/>
          <w:b/>
          <w:bCs/>
          <w:color w:val="auto"/>
          <w:szCs w:val="28"/>
          <w:highlight w:val="none"/>
          <w:lang w:val="en-US" w:eastAsia="zh-CN"/>
        </w:rPr>
        <w:t>:</w:t>
      </w:r>
    </w:p>
    <w:p w14:paraId="5EE1CB8D">
      <w:pPr>
        <w:keepNext w:val="0"/>
        <w:tabs>
          <w:tab w:val="left" w:pos="5527"/>
        </w:tabs>
        <w:jc w:val="center"/>
        <w:outlineLvl w:val="1"/>
        <w:rPr>
          <w:rFonts w:hint="eastAsia" w:ascii="宋体" w:hAnsi="宋体" w:eastAsia="宋体" w:cs="宋体"/>
          <w:b/>
          <w:bCs/>
          <w:color w:val="auto"/>
          <w:kern w:val="2"/>
          <w:sz w:val="32"/>
          <w:szCs w:val="21"/>
          <w:highlight w:val="none"/>
          <w:lang w:val="en-US" w:eastAsia="zh-CN"/>
        </w:rPr>
      </w:pPr>
      <w:bookmarkStart w:id="215" w:name="_Toc26519"/>
      <w:bookmarkStart w:id="216" w:name="_Toc293"/>
      <w:bookmarkStart w:id="217" w:name="_Toc29902"/>
      <w:bookmarkStart w:id="218" w:name="_Toc19616"/>
      <w:bookmarkStart w:id="219" w:name="_Toc3953"/>
      <w:r>
        <w:rPr>
          <w:rFonts w:hint="eastAsia" w:ascii="宋体" w:hAnsi="宋体" w:eastAsia="宋体" w:cs="宋体"/>
          <w:b/>
          <w:bCs/>
          <w:color w:val="auto"/>
          <w:kern w:val="2"/>
          <w:sz w:val="32"/>
          <w:szCs w:val="21"/>
          <w:highlight w:val="none"/>
          <w:lang w:val="en-US" w:eastAsia="zh-CN"/>
        </w:rPr>
        <w:t>报价一览表</w:t>
      </w:r>
      <w:bookmarkEnd w:id="215"/>
      <w:bookmarkEnd w:id="216"/>
      <w:bookmarkEnd w:id="217"/>
      <w:bookmarkEnd w:id="218"/>
    </w:p>
    <w:bookmarkEnd w:id="219"/>
    <w:tbl>
      <w:tblPr>
        <w:tblStyle w:val="27"/>
        <w:tblW w:w="84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8"/>
        <w:gridCol w:w="6493"/>
      </w:tblGrid>
      <w:tr w14:paraId="03352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998" w:type="dxa"/>
            <w:tcBorders>
              <w:bottom w:val="single" w:color="auto" w:sz="4" w:space="0"/>
            </w:tcBorders>
            <w:vAlign w:val="center"/>
          </w:tcPr>
          <w:p w14:paraId="775B671A">
            <w:pPr>
              <w:keepNext w:val="0"/>
              <w:keepLines w:val="0"/>
              <w:suppressLineNumbers w:val="0"/>
              <w:tabs>
                <w:tab w:val="left" w:pos="5527"/>
              </w:tabs>
              <w:bidi w:val="0"/>
              <w:spacing w:before="0" w:beforeAutospacing="0" w:after="0" w:afterAutospacing="0" w:line="240" w:lineRule="auto"/>
              <w:ind w:left="0" w:right="0"/>
              <w:jc w:val="center"/>
              <w:outlineLvl w:val="9"/>
              <w:rPr>
                <w:rFonts w:hint="eastAsia" w:ascii="宋体" w:hAnsi="宋体" w:eastAsia="宋体" w:cs="宋体"/>
                <w:b/>
                <w:bCs/>
                <w:color w:val="auto"/>
                <w:sz w:val="24"/>
                <w:szCs w:val="24"/>
                <w:highlight w:val="none"/>
              </w:rPr>
            </w:pPr>
            <w:bookmarkStart w:id="220" w:name="_Toc14063"/>
            <w:bookmarkStart w:id="221" w:name="_Toc3980"/>
            <w:r>
              <w:rPr>
                <w:rFonts w:hint="eastAsia" w:ascii="宋体" w:hAnsi="宋体" w:eastAsia="宋体" w:cs="宋体"/>
                <w:b/>
                <w:bCs/>
                <w:color w:val="auto"/>
                <w:sz w:val="24"/>
                <w:szCs w:val="24"/>
                <w:highlight w:val="none"/>
              </w:rPr>
              <w:t>供应商名称</w:t>
            </w:r>
          </w:p>
        </w:tc>
        <w:tc>
          <w:tcPr>
            <w:tcW w:w="6493" w:type="dxa"/>
            <w:tcBorders>
              <w:bottom w:val="single" w:color="auto" w:sz="4" w:space="0"/>
            </w:tcBorders>
            <w:vAlign w:val="center"/>
          </w:tcPr>
          <w:p w14:paraId="0CEFDE1D">
            <w:pPr>
              <w:keepNext w:val="0"/>
              <w:keepLines w:val="0"/>
              <w:suppressLineNumbers w:val="0"/>
              <w:tabs>
                <w:tab w:val="left" w:pos="5527"/>
              </w:tabs>
              <w:bidi w:val="0"/>
              <w:spacing w:before="0" w:beforeAutospacing="0" w:after="0" w:afterAutospacing="0" w:line="240" w:lineRule="auto"/>
              <w:ind w:left="0" w:right="0"/>
              <w:outlineLvl w:val="9"/>
              <w:rPr>
                <w:rFonts w:hint="eastAsia" w:ascii="宋体" w:hAnsi="宋体" w:eastAsia="宋体" w:cs="宋体"/>
                <w:color w:val="auto"/>
                <w:sz w:val="24"/>
                <w:szCs w:val="24"/>
                <w:highlight w:val="none"/>
              </w:rPr>
            </w:pPr>
          </w:p>
        </w:tc>
      </w:tr>
      <w:tr w14:paraId="56C63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998" w:type="dxa"/>
            <w:tcBorders>
              <w:bottom w:val="single" w:color="auto" w:sz="4" w:space="0"/>
            </w:tcBorders>
            <w:vAlign w:val="center"/>
          </w:tcPr>
          <w:p w14:paraId="177E8048">
            <w:pPr>
              <w:keepNext w:val="0"/>
              <w:keepLines w:val="0"/>
              <w:suppressLineNumbers w:val="0"/>
              <w:tabs>
                <w:tab w:val="left" w:pos="5527"/>
              </w:tabs>
              <w:bidi w:val="0"/>
              <w:spacing w:before="0" w:beforeAutospacing="0" w:after="0" w:afterAutospacing="0" w:line="240" w:lineRule="auto"/>
              <w:ind w:left="0" w:right="0"/>
              <w:jc w:val="center"/>
              <w:outlineLvl w:val="9"/>
              <w:rPr>
                <w:rFonts w:hint="eastAsia" w:ascii="宋体" w:hAnsi="宋体" w:eastAsia="宋体" w:cs="宋体"/>
                <w:b/>
                <w:bCs/>
                <w:color w:val="auto"/>
                <w:sz w:val="24"/>
                <w:szCs w:val="24"/>
                <w:highlight w:val="none"/>
                <w:lang w:eastAsia="zh-CN"/>
              </w:rPr>
            </w:pPr>
            <w:r>
              <w:rPr>
                <w:rFonts w:hint="eastAsia" w:ascii="宋体" w:hAnsi="宋体" w:cs="宋体"/>
                <w:b/>
                <w:bCs/>
                <w:color w:val="auto"/>
                <w:sz w:val="24"/>
                <w:szCs w:val="24"/>
                <w:highlight w:val="none"/>
                <w:lang w:eastAsia="zh-CN"/>
              </w:rPr>
              <w:t>项目名称</w:t>
            </w:r>
          </w:p>
        </w:tc>
        <w:tc>
          <w:tcPr>
            <w:tcW w:w="6493" w:type="dxa"/>
            <w:tcBorders>
              <w:bottom w:val="single" w:color="auto" w:sz="4" w:space="0"/>
            </w:tcBorders>
            <w:vAlign w:val="center"/>
          </w:tcPr>
          <w:p w14:paraId="1D9C501F">
            <w:pPr>
              <w:keepNext w:val="0"/>
              <w:keepLines w:val="0"/>
              <w:suppressLineNumbers w:val="0"/>
              <w:tabs>
                <w:tab w:val="left" w:pos="5527"/>
              </w:tabs>
              <w:bidi w:val="0"/>
              <w:spacing w:before="0" w:beforeAutospacing="0" w:after="0" w:afterAutospacing="0" w:line="240" w:lineRule="auto"/>
              <w:ind w:left="0" w:right="0"/>
              <w:outlineLvl w:val="9"/>
              <w:rPr>
                <w:rFonts w:hint="eastAsia" w:ascii="宋体" w:hAnsi="宋体" w:eastAsia="宋体" w:cs="宋体"/>
                <w:color w:val="auto"/>
                <w:sz w:val="24"/>
                <w:szCs w:val="24"/>
                <w:highlight w:val="none"/>
              </w:rPr>
            </w:pPr>
          </w:p>
        </w:tc>
      </w:tr>
      <w:tr w14:paraId="7D09C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998" w:type="dxa"/>
            <w:vAlign w:val="center"/>
          </w:tcPr>
          <w:p w14:paraId="460F95CC">
            <w:pPr>
              <w:keepNext w:val="0"/>
              <w:keepLines w:val="0"/>
              <w:suppressLineNumbers w:val="0"/>
              <w:tabs>
                <w:tab w:val="left" w:pos="5527"/>
              </w:tabs>
              <w:bidi w:val="0"/>
              <w:spacing w:before="0" w:beforeAutospacing="0" w:after="0" w:afterAutospacing="0" w:line="240" w:lineRule="auto"/>
              <w:ind w:left="0" w:right="0"/>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投标报价</w:t>
            </w:r>
          </w:p>
        </w:tc>
        <w:tc>
          <w:tcPr>
            <w:tcW w:w="6493" w:type="dxa"/>
            <w:vAlign w:val="center"/>
          </w:tcPr>
          <w:p w14:paraId="3770EA9C">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157" w:beforeLines="50" w:beforeAutospacing="0" w:after="0" w:afterAutospacing="0" w:line="240" w:lineRule="auto"/>
              <w:ind w:left="0" w:right="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小写：</w:t>
            </w:r>
          </w:p>
          <w:p w14:paraId="37959793">
            <w:pPr>
              <w:keepNext w:val="0"/>
              <w:keepLines w:val="0"/>
              <w:pageBreakBefore w:val="0"/>
              <w:widowControl w:val="0"/>
              <w:suppressLineNumbers w:val="0"/>
              <w:tabs>
                <w:tab w:val="left" w:pos="5527"/>
              </w:tabs>
              <w:kinsoku/>
              <w:wordWrap/>
              <w:overflowPunct/>
              <w:topLinePunct w:val="0"/>
              <w:autoSpaceDE/>
              <w:autoSpaceDN/>
              <w:bidi w:val="0"/>
              <w:adjustRightInd/>
              <w:snapToGrid/>
              <w:spacing w:before="157" w:beforeLines="50" w:beforeAutospacing="0" w:after="0" w:afterAutospacing="0" w:line="240" w:lineRule="auto"/>
              <w:ind w:left="0" w:right="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大写：</w:t>
            </w:r>
          </w:p>
        </w:tc>
      </w:tr>
      <w:tr w14:paraId="0029D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998" w:type="dxa"/>
            <w:vAlign w:val="center"/>
          </w:tcPr>
          <w:p w14:paraId="577B987C">
            <w:pPr>
              <w:keepNext w:val="0"/>
              <w:keepLines w:val="0"/>
              <w:suppressLineNumbers w:val="0"/>
              <w:tabs>
                <w:tab w:val="left" w:pos="5527"/>
              </w:tabs>
              <w:bidi w:val="0"/>
              <w:spacing w:before="0" w:beforeAutospacing="0" w:after="0" w:afterAutospacing="0" w:line="240" w:lineRule="auto"/>
              <w:ind w:left="0" w:right="0"/>
              <w:jc w:val="center"/>
              <w:outlineLvl w:val="9"/>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val="en-US" w:eastAsia="zh-CN"/>
              </w:rPr>
              <w:t>合同履行期限（供货期限）</w:t>
            </w:r>
          </w:p>
        </w:tc>
        <w:tc>
          <w:tcPr>
            <w:tcW w:w="6493" w:type="dxa"/>
            <w:vAlign w:val="center"/>
          </w:tcPr>
          <w:p w14:paraId="664319FF">
            <w:pPr>
              <w:keepNext w:val="0"/>
              <w:keepLines w:val="0"/>
              <w:suppressLineNumbers w:val="0"/>
              <w:tabs>
                <w:tab w:val="left" w:pos="5527"/>
              </w:tabs>
              <w:bidi w:val="0"/>
              <w:spacing w:before="0" w:beforeAutospacing="0" w:after="0" w:afterAutospacing="0" w:line="240" w:lineRule="auto"/>
              <w:ind w:left="0" w:right="0"/>
              <w:outlineLvl w:val="9"/>
              <w:rPr>
                <w:rFonts w:hint="eastAsia" w:ascii="宋体" w:hAnsi="宋体" w:eastAsia="宋体" w:cs="宋体"/>
                <w:color w:val="auto"/>
                <w:sz w:val="24"/>
                <w:szCs w:val="24"/>
                <w:highlight w:val="none"/>
              </w:rPr>
            </w:pPr>
          </w:p>
        </w:tc>
      </w:tr>
      <w:tr w14:paraId="2C1F7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998" w:type="dxa"/>
            <w:vAlign w:val="center"/>
          </w:tcPr>
          <w:p w14:paraId="00A83CD5">
            <w:pPr>
              <w:keepNext w:val="0"/>
              <w:keepLines w:val="0"/>
              <w:suppressLineNumbers w:val="0"/>
              <w:tabs>
                <w:tab w:val="left" w:pos="5527"/>
              </w:tabs>
              <w:bidi w:val="0"/>
              <w:spacing w:before="0" w:beforeAutospacing="0" w:after="0" w:afterAutospacing="0" w:line="240" w:lineRule="auto"/>
              <w:ind w:left="0" w:right="0"/>
              <w:jc w:val="center"/>
              <w:outlineLvl w:val="9"/>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质保期</w:t>
            </w:r>
          </w:p>
        </w:tc>
        <w:tc>
          <w:tcPr>
            <w:tcW w:w="6493" w:type="dxa"/>
            <w:vAlign w:val="center"/>
          </w:tcPr>
          <w:p w14:paraId="0BE4B428">
            <w:pPr>
              <w:keepNext w:val="0"/>
              <w:keepLines w:val="0"/>
              <w:suppressLineNumbers w:val="0"/>
              <w:tabs>
                <w:tab w:val="left" w:pos="5527"/>
              </w:tabs>
              <w:bidi w:val="0"/>
              <w:spacing w:before="0" w:beforeAutospacing="0" w:after="0" w:afterAutospacing="0" w:line="240" w:lineRule="auto"/>
              <w:ind w:left="0" w:right="0"/>
              <w:outlineLvl w:val="9"/>
              <w:rPr>
                <w:rFonts w:hint="eastAsia" w:ascii="宋体" w:hAnsi="宋体" w:eastAsia="宋体" w:cs="宋体"/>
                <w:color w:val="auto"/>
                <w:sz w:val="24"/>
                <w:szCs w:val="24"/>
                <w:highlight w:val="none"/>
              </w:rPr>
            </w:pPr>
          </w:p>
        </w:tc>
      </w:tr>
      <w:tr w14:paraId="4F85B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998" w:type="dxa"/>
            <w:vAlign w:val="center"/>
          </w:tcPr>
          <w:p w14:paraId="5C9A3C08">
            <w:pPr>
              <w:keepNext w:val="0"/>
              <w:keepLines w:val="0"/>
              <w:suppressLineNumbers w:val="0"/>
              <w:tabs>
                <w:tab w:val="left" w:pos="5527"/>
              </w:tabs>
              <w:bidi w:val="0"/>
              <w:spacing w:before="0" w:beforeAutospacing="0" w:after="0" w:afterAutospacing="0" w:line="240" w:lineRule="auto"/>
              <w:ind w:left="0" w:right="0"/>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    注</w:t>
            </w:r>
          </w:p>
        </w:tc>
        <w:tc>
          <w:tcPr>
            <w:tcW w:w="6493" w:type="dxa"/>
            <w:vAlign w:val="center"/>
          </w:tcPr>
          <w:p w14:paraId="43B56FEC">
            <w:pPr>
              <w:keepNext w:val="0"/>
              <w:keepLines w:val="0"/>
              <w:suppressLineNumbers w:val="0"/>
              <w:tabs>
                <w:tab w:val="left" w:pos="5527"/>
              </w:tabs>
              <w:bidi w:val="0"/>
              <w:spacing w:before="0" w:beforeAutospacing="0" w:after="0" w:afterAutospacing="0" w:line="240" w:lineRule="auto"/>
              <w:ind w:left="0" w:right="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rPr>
              <w:t>投标报价不得高于最高限价金额，否则将按无效投标处理</w:t>
            </w:r>
            <w:r>
              <w:rPr>
                <w:rFonts w:hint="eastAsia" w:ascii="宋体" w:hAnsi="宋体" w:eastAsia="宋体" w:cs="宋体"/>
                <w:b/>
                <w:bCs/>
                <w:color w:val="auto"/>
                <w:sz w:val="24"/>
                <w:szCs w:val="24"/>
                <w:highlight w:val="none"/>
                <w:lang w:val="en-US" w:eastAsia="zh-CN"/>
              </w:rPr>
              <w:t>。</w:t>
            </w:r>
          </w:p>
        </w:tc>
      </w:tr>
    </w:tbl>
    <w:p w14:paraId="5CD34699">
      <w:pPr>
        <w:tabs>
          <w:tab w:val="left" w:pos="5527"/>
        </w:tabs>
        <w:spacing w:line="360" w:lineRule="auto"/>
        <w:jc w:val="left"/>
        <w:outlineLvl w:val="9"/>
        <w:rPr>
          <w:rFonts w:hint="eastAsia" w:ascii="宋体" w:hAnsi="宋体" w:eastAsia="宋体" w:cs="宋体"/>
          <w:b/>
          <w:bCs/>
          <w:color w:val="auto"/>
          <w:sz w:val="24"/>
          <w:szCs w:val="24"/>
          <w:highlight w:val="none"/>
        </w:rPr>
      </w:pPr>
    </w:p>
    <w:p w14:paraId="6B02C5D8">
      <w:pPr>
        <w:tabs>
          <w:tab w:val="left" w:pos="5527"/>
        </w:tabs>
        <w:bidi w:val="0"/>
        <w:spacing w:line="360" w:lineRule="auto"/>
        <w:jc w:val="center"/>
        <w:outlineLvl w:val="9"/>
        <w:rPr>
          <w:rFonts w:hint="eastAsia" w:ascii="宋体" w:hAnsi="宋体" w:eastAsia="宋体" w:cs="宋体"/>
          <w:bCs/>
          <w:color w:val="auto"/>
          <w:sz w:val="20"/>
          <w:szCs w:val="18"/>
          <w:highlight w:val="none"/>
          <w:lang w:val="en-US" w:eastAsia="zh-CN"/>
        </w:rPr>
      </w:pPr>
      <w:r>
        <w:rPr>
          <w:rFonts w:hint="eastAsia" w:ascii="宋体" w:hAnsi="宋体" w:eastAsia="宋体" w:cs="宋体"/>
          <w:bCs/>
          <w:color w:val="auto"/>
          <w:sz w:val="20"/>
          <w:szCs w:val="18"/>
          <w:highlight w:val="none"/>
        </w:rPr>
        <w:t xml:space="preserve">    </w:t>
      </w:r>
      <w:r>
        <w:rPr>
          <w:rFonts w:hint="eastAsia" w:ascii="宋体" w:hAnsi="宋体" w:eastAsia="宋体" w:cs="宋体"/>
          <w:bCs/>
          <w:color w:val="auto"/>
          <w:sz w:val="20"/>
          <w:szCs w:val="18"/>
          <w:highlight w:val="none"/>
          <w:lang w:val="en-US" w:eastAsia="zh-CN"/>
        </w:rPr>
        <w:t xml:space="preserve">            </w:t>
      </w:r>
    </w:p>
    <w:p w14:paraId="4751C4EE">
      <w:pPr>
        <w:tabs>
          <w:tab w:val="left" w:pos="5527"/>
        </w:tabs>
        <w:bidi w:val="0"/>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bCs/>
          <w:color w:val="auto"/>
          <w:sz w:val="20"/>
          <w:szCs w:val="18"/>
          <w:highlight w:val="none"/>
          <w:lang w:val="en-US" w:eastAsia="zh-CN"/>
        </w:rPr>
        <w:t xml:space="preserve">                     </w:t>
      </w:r>
      <w:r>
        <w:rPr>
          <w:rFonts w:hint="eastAsia" w:ascii="宋体" w:hAnsi="宋体" w:eastAsia="宋体" w:cs="宋体"/>
          <w:color w:val="auto"/>
          <w:sz w:val="24"/>
          <w:szCs w:val="24"/>
          <w:highlight w:val="none"/>
        </w:rPr>
        <w:t>供应商名称（盖章）：</w:t>
      </w:r>
    </w:p>
    <w:p w14:paraId="095AFF4B">
      <w:pPr>
        <w:tabs>
          <w:tab w:val="left" w:pos="5527"/>
        </w:tabs>
        <w:bidi w:val="0"/>
        <w:spacing w:line="360" w:lineRule="auto"/>
        <w:jc w:val="right"/>
        <w:outlineLvl w:val="9"/>
        <w:rPr>
          <w:rFonts w:hint="eastAsia" w:ascii="宋体" w:hAnsi="宋体" w:eastAsia="宋体" w:cs="宋体"/>
          <w:color w:val="auto"/>
          <w:sz w:val="24"/>
          <w:szCs w:val="24"/>
          <w:highlight w:val="none"/>
        </w:rPr>
      </w:pPr>
    </w:p>
    <w:p w14:paraId="6E1D2E35">
      <w:pPr>
        <w:tabs>
          <w:tab w:val="left" w:pos="5527"/>
        </w:tabs>
        <w:bidi w:val="0"/>
        <w:spacing w:line="360" w:lineRule="auto"/>
        <w:jc w:val="righ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法定代表人或委托代理人（签字或盖章）：</w:t>
      </w:r>
    </w:p>
    <w:p w14:paraId="5F4598AE">
      <w:pPr>
        <w:tabs>
          <w:tab w:val="left" w:pos="5527"/>
        </w:tabs>
        <w:bidi w:val="0"/>
        <w:spacing w:line="360" w:lineRule="auto"/>
        <w:jc w:val="right"/>
        <w:outlineLvl w:val="9"/>
        <w:rPr>
          <w:rFonts w:hint="eastAsia" w:ascii="宋体" w:hAnsi="宋体" w:eastAsia="宋体" w:cs="宋体"/>
          <w:color w:val="auto"/>
          <w:sz w:val="24"/>
          <w:szCs w:val="24"/>
          <w:highlight w:val="none"/>
        </w:rPr>
      </w:pPr>
    </w:p>
    <w:p w14:paraId="412FB106">
      <w:pPr>
        <w:tabs>
          <w:tab w:val="left" w:pos="5527"/>
        </w:tabs>
        <w:bidi w:val="0"/>
        <w:spacing w:line="360" w:lineRule="auto"/>
        <w:jc w:val="right"/>
        <w:outlineLvl w:val="9"/>
        <w:rPr>
          <w:rFonts w:hint="eastAsia" w:ascii="宋体" w:hAnsi="宋体" w:eastAsia="宋体" w:cs="宋体"/>
          <w:color w:val="auto"/>
          <w:sz w:val="28"/>
          <w:szCs w:val="28"/>
          <w:highlight w:val="none"/>
        </w:rPr>
      </w:pPr>
      <w:r>
        <w:rPr>
          <w:rFonts w:hint="eastAsia" w:ascii="宋体" w:hAnsi="宋体" w:eastAsia="宋体" w:cs="宋体"/>
          <w:color w:val="auto"/>
          <w:sz w:val="24"/>
          <w:szCs w:val="24"/>
          <w:highlight w:val="none"/>
        </w:rPr>
        <w:t>日期：     年   月   日</w:t>
      </w:r>
    </w:p>
    <w:p w14:paraId="13017372">
      <w:pPr>
        <w:pStyle w:val="5"/>
        <w:tabs>
          <w:tab w:val="left" w:pos="5527"/>
        </w:tabs>
        <w:ind w:firstLine="0"/>
        <w:jc w:val="right"/>
        <w:outlineLvl w:val="9"/>
        <w:rPr>
          <w:rFonts w:hint="eastAsia" w:ascii="宋体" w:hAnsi="宋体" w:eastAsia="宋体" w:cs="宋体"/>
          <w:color w:val="auto"/>
          <w:highlight w:val="none"/>
        </w:rPr>
      </w:pPr>
    </w:p>
    <w:p w14:paraId="4E4E3675">
      <w:pPr>
        <w:keepNext w:val="0"/>
        <w:numPr>
          <w:ilvl w:val="0"/>
          <w:numId w:val="0"/>
        </w:numPr>
        <w:tabs>
          <w:tab w:val="left" w:pos="420"/>
          <w:tab w:val="left" w:pos="5527"/>
        </w:tabs>
        <w:jc w:val="left"/>
        <w:outlineLvl w:val="9"/>
        <w:rPr>
          <w:rStyle w:val="38"/>
          <w:rFonts w:hint="eastAsia" w:ascii="宋体" w:hAnsi="宋体" w:eastAsia="宋体" w:cs="宋体"/>
          <w:b/>
          <w:bCs/>
          <w:color w:val="auto"/>
          <w:sz w:val="32"/>
          <w:szCs w:val="28"/>
          <w:highlight w:val="none"/>
          <w:lang w:val="en-US" w:eastAsia="zh-CN"/>
        </w:rPr>
      </w:pPr>
      <w:r>
        <w:rPr>
          <w:rStyle w:val="38"/>
          <w:rFonts w:hint="eastAsia" w:ascii="宋体" w:hAnsi="宋体" w:eastAsia="宋体" w:cs="宋体"/>
          <w:color w:val="auto"/>
          <w:sz w:val="32"/>
          <w:szCs w:val="28"/>
          <w:highlight w:val="none"/>
          <w:lang w:val="en-US" w:eastAsia="zh-CN"/>
        </w:rPr>
        <w:br w:type="page"/>
      </w:r>
      <w:bookmarkStart w:id="222" w:name="_Toc25294"/>
      <w:bookmarkStart w:id="223" w:name="_Toc7405"/>
      <w:bookmarkStart w:id="224" w:name="_Toc30475"/>
      <w:bookmarkStart w:id="225" w:name="_Toc22056"/>
      <w:bookmarkStart w:id="226" w:name="_Toc21807"/>
      <w:bookmarkStart w:id="227" w:name="_Toc16510"/>
      <w:bookmarkStart w:id="228" w:name="_Toc21365"/>
      <w:r>
        <w:rPr>
          <w:rStyle w:val="38"/>
          <w:rFonts w:hint="eastAsia" w:ascii="宋体" w:hAnsi="宋体" w:eastAsia="宋体" w:cs="宋体"/>
          <w:b/>
          <w:bCs/>
          <w:color w:val="auto"/>
          <w:sz w:val="32"/>
          <w:szCs w:val="28"/>
          <w:highlight w:val="none"/>
          <w:lang w:val="en-US" w:eastAsia="zh-CN"/>
        </w:rPr>
        <w:t>附件3.1</w:t>
      </w:r>
      <w:bookmarkEnd w:id="220"/>
      <w:bookmarkEnd w:id="221"/>
      <w:bookmarkEnd w:id="222"/>
      <w:bookmarkEnd w:id="223"/>
    </w:p>
    <w:bookmarkEnd w:id="224"/>
    <w:bookmarkEnd w:id="225"/>
    <w:bookmarkEnd w:id="226"/>
    <w:bookmarkEnd w:id="227"/>
    <w:bookmarkEnd w:id="228"/>
    <w:p w14:paraId="3D2345B8">
      <w:pPr>
        <w:keepNext w:val="0"/>
        <w:tabs>
          <w:tab w:val="left" w:pos="5527"/>
        </w:tabs>
        <w:jc w:val="center"/>
        <w:outlineLvl w:val="1"/>
        <w:rPr>
          <w:rFonts w:hint="eastAsia" w:ascii="宋体" w:hAnsi="宋体" w:eastAsia="宋体" w:cs="宋体"/>
          <w:b/>
          <w:bCs/>
          <w:color w:val="auto"/>
          <w:kern w:val="2"/>
          <w:sz w:val="32"/>
          <w:szCs w:val="21"/>
          <w:highlight w:val="none"/>
          <w:lang w:val="en-US" w:eastAsia="zh-CN"/>
        </w:rPr>
      </w:pPr>
      <w:bookmarkStart w:id="229" w:name="_Toc3145"/>
      <w:bookmarkStart w:id="230" w:name="_Toc10756"/>
      <w:bookmarkStart w:id="231" w:name="_Toc71803754"/>
      <w:bookmarkStart w:id="232" w:name="_Toc15432"/>
      <w:bookmarkStart w:id="233" w:name="_Toc23701"/>
      <w:bookmarkStart w:id="234" w:name="_Toc8623"/>
      <w:bookmarkStart w:id="235" w:name="_Toc22472"/>
      <w:bookmarkStart w:id="236" w:name="_Toc22103"/>
      <w:bookmarkStart w:id="237" w:name="_Toc21598"/>
      <w:bookmarkStart w:id="238" w:name="_Toc7675"/>
      <w:r>
        <w:rPr>
          <w:rFonts w:hint="eastAsia" w:ascii="宋体" w:hAnsi="宋体" w:eastAsia="宋体" w:cs="宋体"/>
          <w:b/>
          <w:bCs/>
          <w:color w:val="auto"/>
          <w:kern w:val="2"/>
          <w:sz w:val="32"/>
          <w:szCs w:val="21"/>
          <w:highlight w:val="none"/>
          <w:lang w:val="en-US" w:eastAsia="zh-CN"/>
        </w:rPr>
        <w:t>分项报价明细表</w:t>
      </w:r>
      <w:bookmarkEnd w:id="229"/>
      <w:bookmarkEnd w:id="230"/>
      <w:bookmarkEnd w:id="231"/>
    </w:p>
    <w:bookmarkEnd w:id="232"/>
    <w:bookmarkEnd w:id="233"/>
    <w:tbl>
      <w:tblPr>
        <w:tblStyle w:val="27"/>
        <w:tblW w:w="10543" w:type="dxa"/>
        <w:jc w:val="center"/>
        <w:tblLayout w:type="fixed"/>
        <w:tblCellMar>
          <w:top w:w="0" w:type="dxa"/>
          <w:left w:w="108" w:type="dxa"/>
          <w:bottom w:w="0" w:type="dxa"/>
          <w:right w:w="108" w:type="dxa"/>
        </w:tblCellMar>
      </w:tblPr>
      <w:tblGrid>
        <w:gridCol w:w="1048"/>
        <w:gridCol w:w="1689"/>
        <w:gridCol w:w="1595"/>
        <w:gridCol w:w="803"/>
        <w:gridCol w:w="865"/>
        <w:gridCol w:w="825"/>
        <w:gridCol w:w="1047"/>
        <w:gridCol w:w="929"/>
        <w:gridCol w:w="900"/>
        <w:gridCol w:w="842"/>
      </w:tblGrid>
      <w:tr w14:paraId="16422C21">
        <w:tblPrEx>
          <w:tblCellMar>
            <w:top w:w="0" w:type="dxa"/>
            <w:left w:w="108" w:type="dxa"/>
            <w:bottom w:w="0" w:type="dxa"/>
            <w:right w:w="108" w:type="dxa"/>
          </w:tblCellMar>
        </w:tblPrEx>
        <w:trPr>
          <w:trHeight w:val="664" w:hRule="atLeast"/>
          <w:jc w:val="center"/>
        </w:trPr>
        <w:tc>
          <w:tcPr>
            <w:tcW w:w="1048" w:type="dxa"/>
            <w:tcBorders>
              <w:top w:val="single" w:color="000000" w:sz="4" w:space="0"/>
              <w:left w:val="single" w:color="000000" w:sz="4" w:space="0"/>
              <w:right w:val="single" w:color="000000" w:sz="4" w:space="0"/>
            </w:tcBorders>
            <w:vAlign w:val="center"/>
          </w:tcPr>
          <w:p w14:paraId="3A849F3A">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序号</w:t>
            </w:r>
          </w:p>
        </w:tc>
        <w:tc>
          <w:tcPr>
            <w:tcW w:w="1689" w:type="dxa"/>
            <w:tcBorders>
              <w:top w:val="single" w:color="000000" w:sz="4" w:space="0"/>
              <w:left w:val="single" w:color="000000" w:sz="4" w:space="0"/>
              <w:right w:val="single" w:color="000000" w:sz="4" w:space="0"/>
            </w:tcBorders>
            <w:vAlign w:val="center"/>
          </w:tcPr>
          <w:p w14:paraId="1ABAB0BE">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名称</w:t>
            </w:r>
          </w:p>
        </w:tc>
        <w:tc>
          <w:tcPr>
            <w:tcW w:w="1595" w:type="dxa"/>
            <w:tcBorders>
              <w:top w:val="single" w:color="000000" w:sz="4" w:space="0"/>
              <w:left w:val="single" w:color="000000" w:sz="4" w:space="0"/>
              <w:right w:val="single" w:color="000000" w:sz="4" w:space="0"/>
            </w:tcBorders>
            <w:vAlign w:val="center"/>
          </w:tcPr>
          <w:p w14:paraId="2C9BCD03">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规格</w:t>
            </w:r>
          </w:p>
        </w:tc>
        <w:tc>
          <w:tcPr>
            <w:tcW w:w="803" w:type="dxa"/>
            <w:tcBorders>
              <w:top w:val="single" w:color="000000" w:sz="4" w:space="0"/>
              <w:left w:val="single" w:color="000000" w:sz="4" w:space="0"/>
              <w:right w:val="single" w:color="000000" w:sz="4" w:space="0"/>
            </w:tcBorders>
            <w:vAlign w:val="center"/>
          </w:tcPr>
          <w:p w14:paraId="79F1433C">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单位</w:t>
            </w:r>
          </w:p>
        </w:tc>
        <w:tc>
          <w:tcPr>
            <w:tcW w:w="865" w:type="dxa"/>
            <w:tcBorders>
              <w:top w:val="single" w:color="000000" w:sz="4" w:space="0"/>
              <w:left w:val="single" w:color="000000" w:sz="4" w:space="0"/>
              <w:right w:val="single" w:color="000000" w:sz="4" w:space="0"/>
            </w:tcBorders>
            <w:vAlign w:val="center"/>
          </w:tcPr>
          <w:p w14:paraId="480663EE">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数量</w:t>
            </w:r>
          </w:p>
        </w:tc>
        <w:tc>
          <w:tcPr>
            <w:tcW w:w="825" w:type="dxa"/>
            <w:tcBorders>
              <w:top w:val="single" w:color="000000" w:sz="4" w:space="0"/>
              <w:left w:val="single" w:color="000000" w:sz="4" w:space="0"/>
              <w:right w:val="single" w:color="000000" w:sz="4" w:space="0"/>
            </w:tcBorders>
            <w:vAlign w:val="center"/>
          </w:tcPr>
          <w:p w14:paraId="0897392E">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center"/>
              <w:outlineLvl w:val="9"/>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单价</w:t>
            </w:r>
          </w:p>
        </w:tc>
        <w:tc>
          <w:tcPr>
            <w:tcW w:w="1047" w:type="dxa"/>
            <w:tcBorders>
              <w:top w:val="single" w:color="000000" w:sz="4" w:space="0"/>
              <w:left w:val="single" w:color="000000" w:sz="4" w:space="0"/>
              <w:right w:val="single" w:color="000000" w:sz="4" w:space="0"/>
            </w:tcBorders>
            <w:vAlign w:val="center"/>
          </w:tcPr>
          <w:p w14:paraId="21FDB5B3">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center"/>
              <w:outlineLvl w:val="9"/>
              <w:rPr>
                <w:rFonts w:hint="default" w:ascii="宋体" w:hAnsi="宋体" w:eastAsia="宋体" w:cs="宋体"/>
                <w:b/>
                <w:bCs/>
                <w:color w:val="auto"/>
                <w:kern w:val="0"/>
                <w:sz w:val="24"/>
                <w:szCs w:val="24"/>
                <w:highlight w:val="none"/>
                <w:lang w:val="en-US" w:eastAsia="zh-CN" w:bidi="ar"/>
              </w:rPr>
            </w:pPr>
            <w:r>
              <w:rPr>
                <w:rFonts w:hint="eastAsia" w:ascii="宋体" w:hAnsi="宋体" w:cs="宋体"/>
                <w:b/>
                <w:bCs/>
                <w:color w:val="auto"/>
                <w:kern w:val="0"/>
                <w:sz w:val="24"/>
                <w:szCs w:val="24"/>
                <w:highlight w:val="none"/>
                <w:lang w:val="en-US" w:eastAsia="zh-CN" w:bidi="ar"/>
              </w:rPr>
              <w:t>总价</w:t>
            </w:r>
          </w:p>
        </w:tc>
        <w:tc>
          <w:tcPr>
            <w:tcW w:w="929" w:type="dxa"/>
            <w:tcBorders>
              <w:top w:val="single" w:color="000000" w:sz="4" w:space="0"/>
              <w:left w:val="single" w:color="000000" w:sz="4" w:space="0"/>
              <w:right w:val="single" w:color="000000" w:sz="4" w:space="0"/>
            </w:tcBorders>
            <w:vAlign w:val="center"/>
          </w:tcPr>
          <w:p w14:paraId="7C9655B8">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center"/>
              <w:outlineLvl w:val="9"/>
              <w:rPr>
                <w:rFonts w:hint="default" w:ascii="宋体" w:hAnsi="宋体" w:eastAsia="宋体" w:cs="宋体"/>
                <w:b/>
                <w:bCs/>
                <w:color w:val="auto"/>
                <w:kern w:val="0"/>
                <w:sz w:val="24"/>
                <w:szCs w:val="24"/>
                <w:highlight w:val="none"/>
                <w:lang w:val="en-US" w:eastAsia="zh-CN" w:bidi="ar"/>
              </w:rPr>
            </w:pPr>
            <w:r>
              <w:rPr>
                <w:rFonts w:hint="eastAsia" w:ascii="宋体" w:hAnsi="宋体" w:cs="宋体"/>
                <w:b/>
                <w:bCs/>
                <w:color w:val="auto"/>
                <w:kern w:val="0"/>
                <w:sz w:val="24"/>
                <w:szCs w:val="24"/>
                <w:highlight w:val="none"/>
                <w:lang w:val="en-US" w:eastAsia="zh-CN" w:bidi="ar"/>
              </w:rPr>
              <w:t>品牌</w:t>
            </w:r>
          </w:p>
        </w:tc>
        <w:tc>
          <w:tcPr>
            <w:tcW w:w="900" w:type="dxa"/>
            <w:tcBorders>
              <w:top w:val="single" w:color="000000" w:sz="4" w:space="0"/>
              <w:left w:val="single" w:color="000000" w:sz="4" w:space="0"/>
              <w:right w:val="single" w:color="000000" w:sz="4" w:space="0"/>
            </w:tcBorders>
            <w:vAlign w:val="center"/>
          </w:tcPr>
          <w:p w14:paraId="173C41C5">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center"/>
              <w:outlineLvl w:val="9"/>
              <w:rPr>
                <w:rFonts w:hint="eastAsia" w:ascii="宋体" w:hAnsi="宋体" w:eastAsia="宋体" w:cs="宋体"/>
                <w:b/>
                <w:bCs/>
                <w:color w:val="auto"/>
                <w:kern w:val="0"/>
                <w:sz w:val="24"/>
                <w:szCs w:val="24"/>
                <w:highlight w:val="none"/>
                <w:lang w:val="en-US" w:eastAsia="zh-CN" w:bidi="ar"/>
              </w:rPr>
            </w:pPr>
            <w:r>
              <w:rPr>
                <w:rFonts w:hint="eastAsia" w:ascii="宋体" w:hAnsi="宋体" w:cs="宋体"/>
                <w:b/>
                <w:bCs/>
                <w:color w:val="auto"/>
                <w:kern w:val="0"/>
                <w:sz w:val="24"/>
                <w:szCs w:val="24"/>
                <w:highlight w:val="none"/>
                <w:lang w:val="en-US" w:eastAsia="zh-CN" w:bidi="ar"/>
              </w:rPr>
              <w:t>型号</w:t>
            </w:r>
          </w:p>
        </w:tc>
        <w:tc>
          <w:tcPr>
            <w:tcW w:w="842" w:type="dxa"/>
            <w:tcBorders>
              <w:top w:val="single" w:color="000000" w:sz="4" w:space="0"/>
              <w:left w:val="single" w:color="000000" w:sz="4" w:space="0"/>
              <w:right w:val="single" w:color="000000" w:sz="4" w:space="0"/>
            </w:tcBorders>
            <w:vAlign w:val="center"/>
          </w:tcPr>
          <w:p w14:paraId="56E7E623">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备注</w:t>
            </w:r>
          </w:p>
        </w:tc>
      </w:tr>
      <w:tr w14:paraId="72F667C1">
        <w:tblPrEx>
          <w:tblCellMar>
            <w:top w:w="0" w:type="dxa"/>
            <w:left w:w="108" w:type="dxa"/>
            <w:bottom w:w="0" w:type="dxa"/>
            <w:right w:w="108" w:type="dxa"/>
          </w:tblCellMar>
        </w:tblPrEx>
        <w:trPr>
          <w:trHeight w:val="602" w:hRule="atLeast"/>
          <w:jc w:val="center"/>
        </w:trPr>
        <w:tc>
          <w:tcPr>
            <w:tcW w:w="1048" w:type="dxa"/>
            <w:tcBorders>
              <w:top w:val="single" w:color="000000" w:sz="4" w:space="0"/>
              <w:left w:val="single" w:color="000000" w:sz="4" w:space="0"/>
              <w:bottom w:val="single" w:color="000000" w:sz="4" w:space="0"/>
              <w:right w:val="single" w:color="000000" w:sz="4" w:space="0"/>
            </w:tcBorders>
            <w:vAlign w:val="center"/>
          </w:tcPr>
          <w:p w14:paraId="368637B9">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rPr>
            </w:pPr>
          </w:p>
        </w:tc>
        <w:tc>
          <w:tcPr>
            <w:tcW w:w="1689" w:type="dxa"/>
            <w:tcBorders>
              <w:top w:val="single" w:color="000000" w:sz="4" w:space="0"/>
              <w:left w:val="single" w:color="000000" w:sz="4" w:space="0"/>
              <w:bottom w:val="single" w:color="000000" w:sz="4" w:space="0"/>
              <w:right w:val="single" w:color="000000" w:sz="4" w:space="0"/>
            </w:tcBorders>
            <w:vAlign w:val="center"/>
          </w:tcPr>
          <w:p w14:paraId="6EC7BABD">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rPr>
            </w:pPr>
          </w:p>
        </w:tc>
        <w:tc>
          <w:tcPr>
            <w:tcW w:w="1595" w:type="dxa"/>
            <w:tcBorders>
              <w:top w:val="single" w:color="000000" w:sz="4" w:space="0"/>
              <w:left w:val="single" w:color="000000" w:sz="4" w:space="0"/>
              <w:bottom w:val="single" w:color="000000" w:sz="4" w:space="0"/>
              <w:right w:val="single" w:color="000000" w:sz="4" w:space="0"/>
            </w:tcBorders>
            <w:vAlign w:val="center"/>
          </w:tcPr>
          <w:p w14:paraId="41921B70">
            <w:pPr>
              <w:keepNext w:val="0"/>
              <w:keepLines w:val="0"/>
              <w:pageBreakBefore w:val="0"/>
              <w:widowControl/>
              <w:numPr>
                <w:ilvl w:val="0"/>
                <w:numId w:val="0"/>
              </w:numPr>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left"/>
              <w:textAlignment w:val="center"/>
              <w:outlineLvl w:val="9"/>
              <w:rPr>
                <w:rFonts w:hint="eastAsia" w:ascii="宋体" w:hAnsi="宋体" w:eastAsia="宋体" w:cs="宋体"/>
                <w:color w:val="auto"/>
                <w:kern w:val="0"/>
                <w:sz w:val="24"/>
                <w:szCs w:val="24"/>
                <w:highlight w:val="none"/>
                <w:lang w:val="en-US" w:eastAsia="zh-CN" w:bidi="ar"/>
              </w:rPr>
            </w:pPr>
          </w:p>
        </w:tc>
        <w:tc>
          <w:tcPr>
            <w:tcW w:w="803" w:type="dxa"/>
            <w:tcBorders>
              <w:top w:val="single" w:color="000000" w:sz="4" w:space="0"/>
              <w:left w:val="single" w:color="000000" w:sz="4" w:space="0"/>
              <w:bottom w:val="single" w:color="000000" w:sz="4" w:space="0"/>
              <w:right w:val="single" w:color="000000" w:sz="4" w:space="0"/>
            </w:tcBorders>
            <w:vAlign w:val="center"/>
          </w:tcPr>
          <w:p w14:paraId="6C5921C2">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0"/>
                <w:sz w:val="24"/>
                <w:szCs w:val="24"/>
                <w:highlight w:val="none"/>
                <w:lang w:val="en-US" w:eastAsia="zh-CN" w:bidi="ar"/>
              </w:rPr>
            </w:pPr>
          </w:p>
        </w:tc>
        <w:tc>
          <w:tcPr>
            <w:tcW w:w="865" w:type="dxa"/>
            <w:tcBorders>
              <w:top w:val="single" w:color="000000" w:sz="4" w:space="0"/>
              <w:left w:val="single" w:color="000000" w:sz="4" w:space="0"/>
              <w:bottom w:val="single" w:color="000000" w:sz="4" w:space="0"/>
              <w:right w:val="single" w:color="000000" w:sz="4" w:space="0"/>
            </w:tcBorders>
            <w:vAlign w:val="center"/>
          </w:tcPr>
          <w:p w14:paraId="37EB40B9">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825" w:type="dxa"/>
            <w:tcBorders>
              <w:top w:val="single" w:color="000000" w:sz="4" w:space="0"/>
              <w:left w:val="single" w:color="000000" w:sz="4" w:space="0"/>
              <w:bottom w:val="single" w:color="000000" w:sz="4" w:space="0"/>
              <w:right w:val="single" w:color="000000" w:sz="4" w:space="0"/>
            </w:tcBorders>
            <w:vAlign w:val="center"/>
          </w:tcPr>
          <w:p w14:paraId="2A838662">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1047" w:type="dxa"/>
            <w:tcBorders>
              <w:top w:val="single" w:color="000000" w:sz="4" w:space="0"/>
              <w:left w:val="single" w:color="000000" w:sz="4" w:space="0"/>
              <w:bottom w:val="single" w:color="000000" w:sz="4" w:space="0"/>
              <w:right w:val="single" w:color="000000" w:sz="4" w:space="0"/>
            </w:tcBorders>
            <w:vAlign w:val="center"/>
          </w:tcPr>
          <w:p w14:paraId="3BF91C63">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929" w:type="dxa"/>
            <w:tcBorders>
              <w:top w:val="single" w:color="000000" w:sz="4" w:space="0"/>
              <w:left w:val="single" w:color="000000" w:sz="4" w:space="0"/>
              <w:bottom w:val="single" w:color="000000" w:sz="4" w:space="0"/>
              <w:right w:val="single" w:color="000000" w:sz="4" w:space="0"/>
            </w:tcBorders>
            <w:vAlign w:val="center"/>
          </w:tcPr>
          <w:p w14:paraId="2CD26472">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center"/>
              <w:outlineLvl w:val="9"/>
              <w:rPr>
                <w:rFonts w:hint="eastAsia" w:ascii="宋体" w:hAnsi="宋体" w:eastAsia="宋体" w:cs="宋体"/>
                <w:b/>
                <w:bCs/>
                <w:color w:val="auto"/>
                <w:kern w:val="0"/>
                <w:sz w:val="24"/>
                <w:szCs w:val="24"/>
                <w:highlight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7A547F9E">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center"/>
              <w:outlineLvl w:val="9"/>
              <w:rPr>
                <w:rFonts w:hint="eastAsia" w:ascii="宋体" w:hAnsi="宋体" w:eastAsia="宋体" w:cs="宋体"/>
                <w:b/>
                <w:bCs/>
                <w:color w:val="auto"/>
                <w:kern w:val="0"/>
                <w:sz w:val="24"/>
                <w:szCs w:val="24"/>
                <w:highlight w:val="none"/>
                <w:lang w:val="en-US" w:eastAsia="zh-CN" w:bidi="ar"/>
              </w:rPr>
            </w:pPr>
          </w:p>
        </w:tc>
        <w:tc>
          <w:tcPr>
            <w:tcW w:w="842" w:type="dxa"/>
            <w:tcBorders>
              <w:top w:val="single" w:color="000000" w:sz="4" w:space="0"/>
              <w:left w:val="single" w:color="000000" w:sz="4" w:space="0"/>
              <w:bottom w:val="single" w:color="000000" w:sz="4" w:space="0"/>
              <w:right w:val="single" w:color="000000" w:sz="4" w:space="0"/>
            </w:tcBorders>
            <w:vAlign w:val="center"/>
          </w:tcPr>
          <w:p w14:paraId="54133A0D">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r>
      <w:tr w14:paraId="75314B3B">
        <w:tblPrEx>
          <w:tblCellMar>
            <w:top w:w="0" w:type="dxa"/>
            <w:left w:w="108" w:type="dxa"/>
            <w:bottom w:w="0" w:type="dxa"/>
            <w:right w:w="108" w:type="dxa"/>
          </w:tblCellMar>
        </w:tblPrEx>
        <w:trPr>
          <w:trHeight w:val="602" w:hRule="atLeast"/>
          <w:jc w:val="center"/>
        </w:trPr>
        <w:tc>
          <w:tcPr>
            <w:tcW w:w="1048" w:type="dxa"/>
            <w:tcBorders>
              <w:top w:val="single" w:color="000000" w:sz="4" w:space="0"/>
              <w:left w:val="single" w:color="000000" w:sz="4" w:space="0"/>
              <w:bottom w:val="single" w:color="000000" w:sz="4" w:space="0"/>
              <w:right w:val="single" w:color="000000" w:sz="4" w:space="0"/>
            </w:tcBorders>
            <w:vAlign w:val="center"/>
          </w:tcPr>
          <w:p w14:paraId="2BE89641">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rPr>
            </w:pPr>
          </w:p>
        </w:tc>
        <w:tc>
          <w:tcPr>
            <w:tcW w:w="1689" w:type="dxa"/>
            <w:tcBorders>
              <w:top w:val="single" w:color="000000" w:sz="4" w:space="0"/>
              <w:left w:val="single" w:color="000000" w:sz="4" w:space="0"/>
              <w:bottom w:val="single" w:color="000000" w:sz="4" w:space="0"/>
              <w:right w:val="single" w:color="000000" w:sz="4" w:space="0"/>
            </w:tcBorders>
            <w:vAlign w:val="center"/>
          </w:tcPr>
          <w:p w14:paraId="076405A9">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rPr>
            </w:pPr>
          </w:p>
        </w:tc>
        <w:tc>
          <w:tcPr>
            <w:tcW w:w="1595" w:type="dxa"/>
            <w:tcBorders>
              <w:top w:val="single" w:color="000000" w:sz="4" w:space="0"/>
              <w:left w:val="single" w:color="000000" w:sz="4" w:space="0"/>
              <w:bottom w:val="single" w:color="000000" w:sz="4" w:space="0"/>
              <w:right w:val="single" w:color="000000" w:sz="4" w:space="0"/>
            </w:tcBorders>
            <w:vAlign w:val="center"/>
          </w:tcPr>
          <w:p w14:paraId="291377E9">
            <w:pPr>
              <w:keepNext w:val="0"/>
              <w:keepLines w:val="0"/>
              <w:pageBreakBefore w:val="0"/>
              <w:widowControl/>
              <w:numPr>
                <w:ilvl w:val="0"/>
                <w:numId w:val="0"/>
              </w:numPr>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left"/>
              <w:textAlignment w:val="center"/>
              <w:outlineLvl w:val="9"/>
              <w:rPr>
                <w:rFonts w:hint="eastAsia" w:ascii="宋体" w:hAnsi="宋体" w:eastAsia="宋体" w:cs="宋体"/>
                <w:color w:val="auto"/>
                <w:kern w:val="0"/>
                <w:sz w:val="24"/>
                <w:szCs w:val="24"/>
                <w:highlight w:val="none"/>
                <w:lang w:val="en-US" w:eastAsia="zh-CN" w:bidi="ar"/>
              </w:rPr>
            </w:pPr>
          </w:p>
        </w:tc>
        <w:tc>
          <w:tcPr>
            <w:tcW w:w="803" w:type="dxa"/>
            <w:tcBorders>
              <w:top w:val="single" w:color="000000" w:sz="4" w:space="0"/>
              <w:left w:val="single" w:color="000000" w:sz="4" w:space="0"/>
              <w:bottom w:val="single" w:color="000000" w:sz="4" w:space="0"/>
              <w:right w:val="single" w:color="000000" w:sz="4" w:space="0"/>
            </w:tcBorders>
            <w:vAlign w:val="center"/>
          </w:tcPr>
          <w:p w14:paraId="209EA475">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0"/>
                <w:sz w:val="24"/>
                <w:szCs w:val="24"/>
                <w:highlight w:val="none"/>
                <w:lang w:val="en-US" w:eastAsia="zh-CN" w:bidi="ar"/>
              </w:rPr>
            </w:pPr>
          </w:p>
        </w:tc>
        <w:tc>
          <w:tcPr>
            <w:tcW w:w="865" w:type="dxa"/>
            <w:tcBorders>
              <w:top w:val="single" w:color="000000" w:sz="4" w:space="0"/>
              <w:left w:val="single" w:color="000000" w:sz="4" w:space="0"/>
              <w:bottom w:val="single" w:color="000000" w:sz="4" w:space="0"/>
              <w:right w:val="single" w:color="000000" w:sz="4" w:space="0"/>
            </w:tcBorders>
            <w:vAlign w:val="center"/>
          </w:tcPr>
          <w:p w14:paraId="41B3D68A">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825" w:type="dxa"/>
            <w:tcBorders>
              <w:top w:val="single" w:color="000000" w:sz="4" w:space="0"/>
              <w:left w:val="single" w:color="000000" w:sz="4" w:space="0"/>
              <w:bottom w:val="single" w:color="000000" w:sz="4" w:space="0"/>
              <w:right w:val="single" w:color="000000" w:sz="4" w:space="0"/>
            </w:tcBorders>
            <w:vAlign w:val="center"/>
          </w:tcPr>
          <w:p w14:paraId="4F548E2E">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1047" w:type="dxa"/>
            <w:tcBorders>
              <w:top w:val="single" w:color="000000" w:sz="4" w:space="0"/>
              <w:left w:val="single" w:color="000000" w:sz="4" w:space="0"/>
              <w:bottom w:val="single" w:color="000000" w:sz="4" w:space="0"/>
              <w:right w:val="single" w:color="000000" w:sz="4" w:space="0"/>
            </w:tcBorders>
            <w:vAlign w:val="center"/>
          </w:tcPr>
          <w:p w14:paraId="30533505">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929" w:type="dxa"/>
            <w:tcBorders>
              <w:top w:val="single" w:color="000000" w:sz="4" w:space="0"/>
              <w:left w:val="single" w:color="000000" w:sz="4" w:space="0"/>
              <w:bottom w:val="single" w:color="000000" w:sz="4" w:space="0"/>
              <w:right w:val="single" w:color="000000" w:sz="4" w:space="0"/>
            </w:tcBorders>
            <w:vAlign w:val="center"/>
          </w:tcPr>
          <w:p w14:paraId="534E47F6">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55BABEDD">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842" w:type="dxa"/>
            <w:tcBorders>
              <w:top w:val="single" w:color="000000" w:sz="4" w:space="0"/>
              <w:left w:val="single" w:color="000000" w:sz="4" w:space="0"/>
              <w:bottom w:val="single" w:color="000000" w:sz="4" w:space="0"/>
              <w:right w:val="single" w:color="000000" w:sz="4" w:space="0"/>
            </w:tcBorders>
            <w:vAlign w:val="center"/>
          </w:tcPr>
          <w:p w14:paraId="134A65BB">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r>
      <w:tr w14:paraId="7B307217">
        <w:tblPrEx>
          <w:tblCellMar>
            <w:top w:w="0" w:type="dxa"/>
            <w:left w:w="108" w:type="dxa"/>
            <w:bottom w:w="0" w:type="dxa"/>
            <w:right w:w="108" w:type="dxa"/>
          </w:tblCellMar>
        </w:tblPrEx>
        <w:trPr>
          <w:trHeight w:val="602" w:hRule="atLeast"/>
          <w:jc w:val="center"/>
        </w:trPr>
        <w:tc>
          <w:tcPr>
            <w:tcW w:w="1048" w:type="dxa"/>
            <w:tcBorders>
              <w:top w:val="single" w:color="000000" w:sz="4" w:space="0"/>
              <w:left w:val="single" w:color="000000" w:sz="4" w:space="0"/>
              <w:bottom w:val="single" w:color="000000" w:sz="4" w:space="0"/>
              <w:right w:val="single" w:color="000000" w:sz="4" w:space="0"/>
            </w:tcBorders>
            <w:vAlign w:val="center"/>
          </w:tcPr>
          <w:p w14:paraId="7B6524FA">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rPr>
            </w:pPr>
          </w:p>
        </w:tc>
        <w:tc>
          <w:tcPr>
            <w:tcW w:w="1689" w:type="dxa"/>
            <w:tcBorders>
              <w:top w:val="single" w:color="000000" w:sz="4" w:space="0"/>
              <w:left w:val="single" w:color="000000" w:sz="4" w:space="0"/>
              <w:bottom w:val="single" w:color="000000" w:sz="4" w:space="0"/>
              <w:right w:val="single" w:color="000000" w:sz="4" w:space="0"/>
            </w:tcBorders>
            <w:vAlign w:val="center"/>
          </w:tcPr>
          <w:p w14:paraId="6CF89F3D">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rPr>
            </w:pPr>
          </w:p>
        </w:tc>
        <w:tc>
          <w:tcPr>
            <w:tcW w:w="1595" w:type="dxa"/>
            <w:tcBorders>
              <w:top w:val="single" w:color="000000" w:sz="4" w:space="0"/>
              <w:left w:val="single" w:color="000000" w:sz="4" w:space="0"/>
              <w:bottom w:val="single" w:color="000000" w:sz="4" w:space="0"/>
              <w:right w:val="single" w:color="000000" w:sz="4" w:space="0"/>
            </w:tcBorders>
            <w:vAlign w:val="center"/>
          </w:tcPr>
          <w:p w14:paraId="1C69B5B5">
            <w:pPr>
              <w:keepNext w:val="0"/>
              <w:keepLines w:val="0"/>
              <w:pageBreakBefore w:val="0"/>
              <w:widowControl/>
              <w:numPr>
                <w:ilvl w:val="0"/>
                <w:numId w:val="0"/>
              </w:numPr>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left"/>
              <w:textAlignment w:val="center"/>
              <w:outlineLvl w:val="9"/>
              <w:rPr>
                <w:rFonts w:hint="eastAsia" w:ascii="宋体" w:hAnsi="宋体" w:eastAsia="宋体" w:cs="宋体"/>
                <w:color w:val="auto"/>
                <w:kern w:val="0"/>
                <w:sz w:val="24"/>
                <w:szCs w:val="24"/>
                <w:highlight w:val="none"/>
                <w:lang w:val="en-US" w:eastAsia="zh-CN" w:bidi="ar"/>
              </w:rPr>
            </w:pPr>
          </w:p>
        </w:tc>
        <w:tc>
          <w:tcPr>
            <w:tcW w:w="803" w:type="dxa"/>
            <w:tcBorders>
              <w:top w:val="single" w:color="000000" w:sz="4" w:space="0"/>
              <w:left w:val="single" w:color="000000" w:sz="4" w:space="0"/>
              <w:bottom w:val="single" w:color="000000" w:sz="4" w:space="0"/>
              <w:right w:val="single" w:color="000000" w:sz="4" w:space="0"/>
            </w:tcBorders>
            <w:vAlign w:val="center"/>
          </w:tcPr>
          <w:p w14:paraId="7C1150BA">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0"/>
                <w:sz w:val="24"/>
                <w:szCs w:val="24"/>
                <w:highlight w:val="none"/>
                <w:lang w:val="en-US" w:eastAsia="zh-CN" w:bidi="ar"/>
              </w:rPr>
            </w:pPr>
          </w:p>
        </w:tc>
        <w:tc>
          <w:tcPr>
            <w:tcW w:w="865" w:type="dxa"/>
            <w:tcBorders>
              <w:top w:val="single" w:color="000000" w:sz="4" w:space="0"/>
              <w:left w:val="single" w:color="000000" w:sz="4" w:space="0"/>
              <w:bottom w:val="single" w:color="000000" w:sz="4" w:space="0"/>
              <w:right w:val="single" w:color="000000" w:sz="4" w:space="0"/>
            </w:tcBorders>
            <w:vAlign w:val="center"/>
          </w:tcPr>
          <w:p w14:paraId="08B5BD98">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825" w:type="dxa"/>
            <w:tcBorders>
              <w:top w:val="single" w:color="000000" w:sz="4" w:space="0"/>
              <w:left w:val="single" w:color="000000" w:sz="4" w:space="0"/>
              <w:bottom w:val="single" w:color="000000" w:sz="4" w:space="0"/>
              <w:right w:val="single" w:color="000000" w:sz="4" w:space="0"/>
            </w:tcBorders>
            <w:vAlign w:val="center"/>
          </w:tcPr>
          <w:p w14:paraId="7F74786F">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1047" w:type="dxa"/>
            <w:tcBorders>
              <w:top w:val="single" w:color="000000" w:sz="4" w:space="0"/>
              <w:left w:val="single" w:color="000000" w:sz="4" w:space="0"/>
              <w:bottom w:val="single" w:color="000000" w:sz="4" w:space="0"/>
              <w:right w:val="single" w:color="000000" w:sz="4" w:space="0"/>
            </w:tcBorders>
            <w:vAlign w:val="center"/>
          </w:tcPr>
          <w:p w14:paraId="75346DBB">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929" w:type="dxa"/>
            <w:tcBorders>
              <w:top w:val="single" w:color="000000" w:sz="4" w:space="0"/>
              <w:left w:val="single" w:color="000000" w:sz="4" w:space="0"/>
              <w:bottom w:val="single" w:color="000000" w:sz="4" w:space="0"/>
              <w:right w:val="single" w:color="000000" w:sz="4" w:space="0"/>
            </w:tcBorders>
            <w:vAlign w:val="center"/>
          </w:tcPr>
          <w:p w14:paraId="0EBA0CDD">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1338830C">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842" w:type="dxa"/>
            <w:tcBorders>
              <w:top w:val="single" w:color="000000" w:sz="4" w:space="0"/>
              <w:left w:val="single" w:color="000000" w:sz="4" w:space="0"/>
              <w:bottom w:val="single" w:color="000000" w:sz="4" w:space="0"/>
              <w:right w:val="single" w:color="000000" w:sz="4" w:space="0"/>
            </w:tcBorders>
            <w:vAlign w:val="center"/>
          </w:tcPr>
          <w:p w14:paraId="777F5590">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r>
      <w:tr w14:paraId="51A15107">
        <w:tblPrEx>
          <w:tblCellMar>
            <w:top w:w="0" w:type="dxa"/>
            <w:left w:w="108" w:type="dxa"/>
            <w:bottom w:w="0" w:type="dxa"/>
            <w:right w:w="108" w:type="dxa"/>
          </w:tblCellMar>
        </w:tblPrEx>
        <w:trPr>
          <w:trHeight w:val="602" w:hRule="atLeast"/>
          <w:jc w:val="center"/>
        </w:trPr>
        <w:tc>
          <w:tcPr>
            <w:tcW w:w="1048" w:type="dxa"/>
            <w:tcBorders>
              <w:top w:val="single" w:color="000000" w:sz="4" w:space="0"/>
              <w:left w:val="single" w:color="000000" w:sz="4" w:space="0"/>
              <w:bottom w:val="single" w:color="000000" w:sz="4" w:space="0"/>
              <w:right w:val="single" w:color="000000" w:sz="4" w:space="0"/>
            </w:tcBorders>
            <w:vAlign w:val="center"/>
          </w:tcPr>
          <w:p w14:paraId="6F0C7217">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rPr>
            </w:pPr>
          </w:p>
        </w:tc>
        <w:tc>
          <w:tcPr>
            <w:tcW w:w="1689" w:type="dxa"/>
            <w:tcBorders>
              <w:top w:val="single" w:color="000000" w:sz="4" w:space="0"/>
              <w:left w:val="single" w:color="000000" w:sz="4" w:space="0"/>
              <w:bottom w:val="single" w:color="000000" w:sz="4" w:space="0"/>
              <w:right w:val="single" w:color="000000" w:sz="4" w:space="0"/>
            </w:tcBorders>
            <w:vAlign w:val="center"/>
          </w:tcPr>
          <w:p w14:paraId="395EC4A4">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rPr>
            </w:pPr>
          </w:p>
        </w:tc>
        <w:tc>
          <w:tcPr>
            <w:tcW w:w="1595" w:type="dxa"/>
            <w:tcBorders>
              <w:top w:val="single" w:color="000000" w:sz="4" w:space="0"/>
              <w:left w:val="single" w:color="000000" w:sz="4" w:space="0"/>
              <w:bottom w:val="single" w:color="000000" w:sz="4" w:space="0"/>
              <w:right w:val="single" w:color="000000" w:sz="4" w:space="0"/>
            </w:tcBorders>
            <w:vAlign w:val="center"/>
          </w:tcPr>
          <w:p w14:paraId="3F63FA2F">
            <w:pPr>
              <w:keepNext w:val="0"/>
              <w:keepLines w:val="0"/>
              <w:pageBreakBefore w:val="0"/>
              <w:widowControl/>
              <w:numPr>
                <w:ilvl w:val="0"/>
                <w:numId w:val="0"/>
              </w:numPr>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left"/>
              <w:textAlignment w:val="center"/>
              <w:outlineLvl w:val="9"/>
              <w:rPr>
                <w:rFonts w:hint="eastAsia" w:ascii="宋体" w:hAnsi="宋体" w:eastAsia="宋体" w:cs="宋体"/>
                <w:color w:val="auto"/>
                <w:kern w:val="0"/>
                <w:sz w:val="24"/>
                <w:szCs w:val="24"/>
                <w:highlight w:val="none"/>
                <w:lang w:val="en-US" w:eastAsia="zh-CN" w:bidi="ar"/>
              </w:rPr>
            </w:pPr>
          </w:p>
        </w:tc>
        <w:tc>
          <w:tcPr>
            <w:tcW w:w="803" w:type="dxa"/>
            <w:tcBorders>
              <w:top w:val="single" w:color="000000" w:sz="4" w:space="0"/>
              <w:left w:val="single" w:color="000000" w:sz="4" w:space="0"/>
              <w:bottom w:val="single" w:color="000000" w:sz="4" w:space="0"/>
              <w:right w:val="single" w:color="000000" w:sz="4" w:space="0"/>
            </w:tcBorders>
            <w:vAlign w:val="center"/>
          </w:tcPr>
          <w:p w14:paraId="11C7E957">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0"/>
                <w:sz w:val="24"/>
                <w:szCs w:val="24"/>
                <w:highlight w:val="none"/>
                <w:lang w:val="en-US" w:eastAsia="zh-CN" w:bidi="ar"/>
              </w:rPr>
            </w:pPr>
          </w:p>
        </w:tc>
        <w:tc>
          <w:tcPr>
            <w:tcW w:w="865" w:type="dxa"/>
            <w:tcBorders>
              <w:top w:val="single" w:color="000000" w:sz="4" w:space="0"/>
              <w:left w:val="single" w:color="000000" w:sz="4" w:space="0"/>
              <w:bottom w:val="single" w:color="000000" w:sz="4" w:space="0"/>
              <w:right w:val="single" w:color="000000" w:sz="4" w:space="0"/>
            </w:tcBorders>
            <w:vAlign w:val="center"/>
          </w:tcPr>
          <w:p w14:paraId="078D700D">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825" w:type="dxa"/>
            <w:tcBorders>
              <w:top w:val="single" w:color="000000" w:sz="4" w:space="0"/>
              <w:left w:val="single" w:color="000000" w:sz="4" w:space="0"/>
              <w:bottom w:val="single" w:color="000000" w:sz="4" w:space="0"/>
              <w:right w:val="single" w:color="000000" w:sz="4" w:space="0"/>
            </w:tcBorders>
            <w:vAlign w:val="center"/>
          </w:tcPr>
          <w:p w14:paraId="6204D841">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1047" w:type="dxa"/>
            <w:tcBorders>
              <w:top w:val="single" w:color="000000" w:sz="4" w:space="0"/>
              <w:left w:val="single" w:color="000000" w:sz="4" w:space="0"/>
              <w:bottom w:val="single" w:color="000000" w:sz="4" w:space="0"/>
              <w:right w:val="single" w:color="000000" w:sz="4" w:space="0"/>
            </w:tcBorders>
            <w:vAlign w:val="center"/>
          </w:tcPr>
          <w:p w14:paraId="3D3F1035">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929" w:type="dxa"/>
            <w:tcBorders>
              <w:top w:val="single" w:color="000000" w:sz="4" w:space="0"/>
              <w:left w:val="single" w:color="000000" w:sz="4" w:space="0"/>
              <w:bottom w:val="single" w:color="000000" w:sz="4" w:space="0"/>
              <w:right w:val="single" w:color="000000" w:sz="4" w:space="0"/>
            </w:tcBorders>
            <w:vAlign w:val="center"/>
          </w:tcPr>
          <w:p w14:paraId="57B6F970">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1C692EB0">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842" w:type="dxa"/>
            <w:tcBorders>
              <w:top w:val="single" w:color="000000" w:sz="4" w:space="0"/>
              <w:left w:val="single" w:color="000000" w:sz="4" w:space="0"/>
              <w:bottom w:val="single" w:color="000000" w:sz="4" w:space="0"/>
              <w:right w:val="single" w:color="000000" w:sz="4" w:space="0"/>
            </w:tcBorders>
            <w:vAlign w:val="center"/>
          </w:tcPr>
          <w:p w14:paraId="4E7FF6E4">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r>
      <w:tr w14:paraId="7F524FDA">
        <w:tblPrEx>
          <w:tblCellMar>
            <w:top w:w="0" w:type="dxa"/>
            <w:left w:w="108" w:type="dxa"/>
            <w:bottom w:w="0" w:type="dxa"/>
            <w:right w:w="108" w:type="dxa"/>
          </w:tblCellMar>
        </w:tblPrEx>
        <w:trPr>
          <w:trHeight w:val="602" w:hRule="atLeast"/>
          <w:jc w:val="center"/>
        </w:trPr>
        <w:tc>
          <w:tcPr>
            <w:tcW w:w="1048" w:type="dxa"/>
            <w:tcBorders>
              <w:top w:val="single" w:color="000000" w:sz="4" w:space="0"/>
              <w:left w:val="single" w:color="000000" w:sz="4" w:space="0"/>
              <w:bottom w:val="single" w:color="000000" w:sz="4" w:space="0"/>
              <w:right w:val="single" w:color="000000" w:sz="4" w:space="0"/>
            </w:tcBorders>
            <w:vAlign w:val="center"/>
          </w:tcPr>
          <w:p w14:paraId="4AC50A20">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rPr>
            </w:pPr>
          </w:p>
        </w:tc>
        <w:tc>
          <w:tcPr>
            <w:tcW w:w="1689" w:type="dxa"/>
            <w:tcBorders>
              <w:top w:val="single" w:color="000000" w:sz="4" w:space="0"/>
              <w:left w:val="single" w:color="000000" w:sz="4" w:space="0"/>
              <w:bottom w:val="single" w:color="000000" w:sz="4" w:space="0"/>
              <w:right w:val="single" w:color="000000" w:sz="4" w:space="0"/>
            </w:tcBorders>
            <w:vAlign w:val="center"/>
          </w:tcPr>
          <w:p w14:paraId="42744060">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rPr>
            </w:pPr>
          </w:p>
        </w:tc>
        <w:tc>
          <w:tcPr>
            <w:tcW w:w="1595" w:type="dxa"/>
            <w:tcBorders>
              <w:top w:val="single" w:color="000000" w:sz="4" w:space="0"/>
              <w:left w:val="single" w:color="000000" w:sz="4" w:space="0"/>
              <w:bottom w:val="single" w:color="000000" w:sz="4" w:space="0"/>
              <w:right w:val="single" w:color="000000" w:sz="4" w:space="0"/>
            </w:tcBorders>
            <w:vAlign w:val="center"/>
          </w:tcPr>
          <w:p w14:paraId="2A27C00B">
            <w:pPr>
              <w:keepNext w:val="0"/>
              <w:keepLines w:val="0"/>
              <w:pageBreakBefore w:val="0"/>
              <w:widowControl/>
              <w:numPr>
                <w:ilvl w:val="0"/>
                <w:numId w:val="0"/>
              </w:numPr>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left"/>
              <w:textAlignment w:val="center"/>
              <w:outlineLvl w:val="9"/>
              <w:rPr>
                <w:rFonts w:hint="eastAsia" w:ascii="宋体" w:hAnsi="宋体" w:eastAsia="宋体" w:cs="宋体"/>
                <w:color w:val="auto"/>
                <w:kern w:val="0"/>
                <w:sz w:val="24"/>
                <w:szCs w:val="24"/>
                <w:highlight w:val="none"/>
                <w:lang w:val="en-US" w:eastAsia="zh-CN" w:bidi="ar"/>
              </w:rPr>
            </w:pPr>
          </w:p>
        </w:tc>
        <w:tc>
          <w:tcPr>
            <w:tcW w:w="803" w:type="dxa"/>
            <w:tcBorders>
              <w:top w:val="single" w:color="000000" w:sz="4" w:space="0"/>
              <w:left w:val="single" w:color="000000" w:sz="4" w:space="0"/>
              <w:bottom w:val="single" w:color="000000" w:sz="4" w:space="0"/>
              <w:right w:val="single" w:color="000000" w:sz="4" w:space="0"/>
            </w:tcBorders>
            <w:vAlign w:val="center"/>
          </w:tcPr>
          <w:p w14:paraId="0E43A22C">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0"/>
                <w:sz w:val="24"/>
                <w:szCs w:val="24"/>
                <w:highlight w:val="none"/>
                <w:lang w:val="en-US" w:eastAsia="zh-CN" w:bidi="ar"/>
              </w:rPr>
            </w:pPr>
          </w:p>
        </w:tc>
        <w:tc>
          <w:tcPr>
            <w:tcW w:w="865" w:type="dxa"/>
            <w:tcBorders>
              <w:top w:val="single" w:color="000000" w:sz="4" w:space="0"/>
              <w:left w:val="single" w:color="000000" w:sz="4" w:space="0"/>
              <w:bottom w:val="single" w:color="000000" w:sz="4" w:space="0"/>
              <w:right w:val="single" w:color="000000" w:sz="4" w:space="0"/>
            </w:tcBorders>
            <w:vAlign w:val="center"/>
          </w:tcPr>
          <w:p w14:paraId="7112E99E">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825" w:type="dxa"/>
            <w:tcBorders>
              <w:top w:val="single" w:color="000000" w:sz="4" w:space="0"/>
              <w:left w:val="single" w:color="000000" w:sz="4" w:space="0"/>
              <w:bottom w:val="single" w:color="000000" w:sz="4" w:space="0"/>
              <w:right w:val="single" w:color="000000" w:sz="4" w:space="0"/>
            </w:tcBorders>
            <w:vAlign w:val="center"/>
          </w:tcPr>
          <w:p w14:paraId="1BD71CF2">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1047" w:type="dxa"/>
            <w:tcBorders>
              <w:top w:val="single" w:color="000000" w:sz="4" w:space="0"/>
              <w:left w:val="single" w:color="000000" w:sz="4" w:space="0"/>
              <w:bottom w:val="single" w:color="000000" w:sz="4" w:space="0"/>
              <w:right w:val="single" w:color="000000" w:sz="4" w:space="0"/>
            </w:tcBorders>
            <w:vAlign w:val="center"/>
          </w:tcPr>
          <w:p w14:paraId="5F5996B5">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929" w:type="dxa"/>
            <w:tcBorders>
              <w:top w:val="single" w:color="000000" w:sz="4" w:space="0"/>
              <w:left w:val="single" w:color="000000" w:sz="4" w:space="0"/>
              <w:bottom w:val="single" w:color="000000" w:sz="4" w:space="0"/>
              <w:right w:val="single" w:color="000000" w:sz="4" w:space="0"/>
            </w:tcBorders>
            <w:vAlign w:val="center"/>
          </w:tcPr>
          <w:p w14:paraId="05BBADDD">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38AA66A9">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842" w:type="dxa"/>
            <w:tcBorders>
              <w:top w:val="single" w:color="000000" w:sz="4" w:space="0"/>
              <w:left w:val="single" w:color="000000" w:sz="4" w:space="0"/>
              <w:bottom w:val="single" w:color="000000" w:sz="4" w:space="0"/>
              <w:right w:val="single" w:color="000000" w:sz="4" w:space="0"/>
            </w:tcBorders>
            <w:vAlign w:val="center"/>
          </w:tcPr>
          <w:p w14:paraId="5929B79B">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r>
      <w:tr w14:paraId="6C3E1EEE">
        <w:tblPrEx>
          <w:tblCellMar>
            <w:top w:w="0" w:type="dxa"/>
            <w:left w:w="108" w:type="dxa"/>
            <w:bottom w:w="0" w:type="dxa"/>
            <w:right w:w="108" w:type="dxa"/>
          </w:tblCellMar>
        </w:tblPrEx>
        <w:trPr>
          <w:trHeight w:val="602" w:hRule="atLeast"/>
          <w:jc w:val="center"/>
        </w:trPr>
        <w:tc>
          <w:tcPr>
            <w:tcW w:w="1048" w:type="dxa"/>
            <w:tcBorders>
              <w:top w:val="single" w:color="000000" w:sz="4" w:space="0"/>
              <w:left w:val="single" w:color="000000" w:sz="4" w:space="0"/>
              <w:bottom w:val="single" w:color="000000" w:sz="4" w:space="0"/>
              <w:right w:val="single" w:color="000000" w:sz="4" w:space="0"/>
            </w:tcBorders>
            <w:vAlign w:val="center"/>
          </w:tcPr>
          <w:p w14:paraId="22DED037">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rPr>
            </w:pPr>
          </w:p>
        </w:tc>
        <w:tc>
          <w:tcPr>
            <w:tcW w:w="1689" w:type="dxa"/>
            <w:tcBorders>
              <w:top w:val="single" w:color="000000" w:sz="4" w:space="0"/>
              <w:left w:val="single" w:color="000000" w:sz="4" w:space="0"/>
              <w:bottom w:val="single" w:color="000000" w:sz="4" w:space="0"/>
              <w:right w:val="single" w:color="000000" w:sz="4" w:space="0"/>
            </w:tcBorders>
            <w:vAlign w:val="center"/>
          </w:tcPr>
          <w:p w14:paraId="603F5BF3">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rPr>
            </w:pPr>
          </w:p>
        </w:tc>
        <w:tc>
          <w:tcPr>
            <w:tcW w:w="1595" w:type="dxa"/>
            <w:tcBorders>
              <w:top w:val="single" w:color="000000" w:sz="4" w:space="0"/>
              <w:left w:val="single" w:color="000000" w:sz="4" w:space="0"/>
              <w:bottom w:val="single" w:color="000000" w:sz="4" w:space="0"/>
              <w:right w:val="single" w:color="000000" w:sz="4" w:space="0"/>
            </w:tcBorders>
            <w:vAlign w:val="center"/>
          </w:tcPr>
          <w:p w14:paraId="5320C76A">
            <w:pPr>
              <w:keepNext w:val="0"/>
              <w:keepLines w:val="0"/>
              <w:pageBreakBefore w:val="0"/>
              <w:widowControl/>
              <w:numPr>
                <w:ilvl w:val="0"/>
                <w:numId w:val="0"/>
              </w:numPr>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left"/>
              <w:textAlignment w:val="center"/>
              <w:outlineLvl w:val="9"/>
              <w:rPr>
                <w:rFonts w:hint="eastAsia" w:ascii="宋体" w:hAnsi="宋体" w:eastAsia="宋体" w:cs="宋体"/>
                <w:color w:val="auto"/>
                <w:kern w:val="0"/>
                <w:sz w:val="24"/>
                <w:szCs w:val="24"/>
                <w:highlight w:val="none"/>
                <w:lang w:val="en-US" w:eastAsia="zh-CN" w:bidi="ar"/>
              </w:rPr>
            </w:pPr>
          </w:p>
        </w:tc>
        <w:tc>
          <w:tcPr>
            <w:tcW w:w="803" w:type="dxa"/>
            <w:tcBorders>
              <w:top w:val="single" w:color="000000" w:sz="4" w:space="0"/>
              <w:left w:val="single" w:color="000000" w:sz="4" w:space="0"/>
              <w:bottom w:val="single" w:color="000000" w:sz="4" w:space="0"/>
              <w:right w:val="single" w:color="000000" w:sz="4" w:space="0"/>
            </w:tcBorders>
            <w:vAlign w:val="center"/>
          </w:tcPr>
          <w:p w14:paraId="62CC71B0">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0"/>
                <w:sz w:val="24"/>
                <w:szCs w:val="24"/>
                <w:highlight w:val="none"/>
                <w:lang w:val="en-US" w:eastAsia="zh-CN" w:bidi="ar"/>
              </w:rPr>
            </w:pPr>
          </w:p>
        </w:tc>
        <w:tc>
          <w:tcPr>
            <w:tcW w:w="865" w:type="dxa"/>
            <w:tcBorders>
              <w:top w:val="single" w:color="000000" w:sz="4" w:space="0"/>
              <w:left w:val="single" w:color="000000" w:sz="4" w:space="0"/>
              <w:bottom w:val="single" w:color="000000" w:sz="4" w:space="0"/>
              <w:right w:val="single" w:color="000000" w:sz="4" w:space="0"/>
            </w:tcBorders>
            <w:vAlign w:val="center"/>
          </w:tcPr>
          <w:p w14:paraId="18614607">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825" w:type="dxa"/>
            <w:tcBorders>
              <w:top w:val="single" w:color="000000" w:sz="4" w:space="0"/>
              <w:left w:val="single" w:color="000000" w:sz="4" w:space="0"/>
              <w:bottom w:val="single" w:color="000000" w:sz="4" w:space="0"/>
              <w:right w:val="single" w:color="000000" w:sz="4" w:space="0"/>
            </w:tcBorders>
            <w:vAlign w:val="center"/>
          </w:tcPr>
          <w:p w14:paraId="234432A0">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1047" w:type="dxa"/>
            <w:tcBorders>
              <w:top w:val="single" w:color="000000" w:sz="4" w:space="0"/>
              <w:left w:val="single" w:color="000000" w:sz="4" w:space="0"/>
              <w:bottom w:val="single" w:color="000000" w:sz="4" w:space="0"/>
              <w:right w:val="single" w:color="000000" w:sz="4" w:space="0"/>
            </w:tcBorders>
            <w:vAlign w:val="center"/>
          </w:tcPr>
          <w:p w14:paraId="28D4E607">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929" w:type="dxa"/>
            <w:tcBorders>
              <w:top w:val="single" w:color="000000" w:sz="4" w:space="0"/>
              <w:left w:val="single" w:color="000000" w:sz="4" w:space="0"/>
              <w:bottom w:val="single" w:color="000000" w:sz="4" w:space="0"/>
              <w:right w:val="single" w:color="000000" w:sz="4" w:space="0"/>
            </w:tcBorders>
            <w:vAlign w:val="center"/>
          </w:tcPr>
          <w:p w14:paraId="118FEF75">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004405BB">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842" w:type="dxa"/>
            <w:tcBorders>
              <w:top w:val="single" w:color="000000" w:sz="4" w:space="0"/>
              <w:left w:val="single" w:color="000000" w:sz="4" w:space="0"/>
              <w:bottom w:val="single" w:color="000000" w:sz="4" w:space="0"/>
              <w:right w:val="single" w:color="000000" w:sz="4" w:space="0"/>
            </w:tcBorders>
            <w:vAlign w:val="center"/>
          </w:tcPr>
          <w:p w14:paraId="5F1F64C3">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r>
      <w:tr w14:paraId="5763E1D8">
        <w:tblPrEx>
          <w:tblCellMar>
            <w:top w:w="0" w:type="dxa"/>
            <w:left w:w="108" w:type="dxa"/>
            <w:bottom w:w="0" w:type="dxa"/>
            <w:right w:w="108" w:type="dxa"/>
          </w:tblCellMar>
        </w:tblPrEx>
        <w:trPr>
          <w:trHeight w:val="602" w:hRule="atLeast"/>
          <w:jc w:val="center"/>
        </w:trPr>
        <w:tc>
          <w:tcPr>
            <w:tcW w:w="1048" w:type="dxa"/>
            <w:tcBorders>
              <w:top w:val="single" w:color="000000" w:sz="4" w:space="0"/>
              <w:left w:val="single" w:color="000000" w:sz="4" w:space="0"/>
              <w:bottom w:val="single" w:color="000000" w:sz="4" w:space="0"/>
              <w:right w:val="single" w:color="000000" w:sz="4" w:space="0"/>
            </w:tcBorders>
            <w:vAlign w:val="center"/>
          </w:tcPr>
          <w:p w14:paraId="75EE5A6B">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rPr>
            </w:pPr>
          </w:p>
        </w:tc>
        <w:tc>
          <w:tcPr>
            <w:tcW w:w="1689" w:type="dxa"/>
            <w:tcBorders>
              <w:top w:val="single" w:color="000000" w:sz="4" w:space="0"/>
              <w:left w:val="single" w:color="000000" w:sz="4" w:space="0"/>
              <w:bottom w:val="single" w:color="000000" w:sz="4" w:space="0"/>
              <w:right w:val="single" w:color="000000" w:sz="4" w:space="0"/>
            </w:tcBorders>
            <w:vAlign w:val="center"/>
          </w:tcPr>
          <w:p w14:paraId="6FFFBDFE">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rPr>
            </w:pPr>
          </w:p>
        </w:tc>
        <w:tc>
          <w:tcPr>
            <w:tcW w:w="1595" w:type="dxa"/>
            <w:tcBorders>
              <w:top w:val="single" w:color="000000" w:sz="4" w:space="0"/>
              <w:left w:val="single" w:color="000000" w:sz="4" w:space="0"/>
              <w:bottom w:val="single" w:color="000000" w:sz="4" w:space="0"/>
              <w:right w:val="single" w:color="000000" w:sz="4" w:space="0"/>
            </w:tcBorders>
            <w:vAlign w:val="center"/>
          </w:tcPr>
          <w:p w14:paraId="6FA785A5">
            <w:pPr>
              <w:keepNext w:val="0"/>
              <w:keepLines w:val="0"/>
              <w:pageBreakBefore w:val="0"/>
              <w:widowControl/>
              <w:numPr>
                <w:ilvl w:val="0"/>
                <w:numId w:val="0"/>
              </w:numPr>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left"/>
              <w:textAlignment w:val="center"/>
              <w:outlineLvl w:val="9"/>
              <w:rPr>
                <w:rFonts w:hint="eastAsia" w:ascii="宋体" w:hAnsi="宋体" w:eastAsia="宋体" w:cs="宋体"/>
                <w:color w:val="auto"/>
                <w:kern w:val="0"/>
                <w:sz w:val="24"/>
                <w:szCs w:val="24"/>
                <w:highlight w:val="none"/>
                <w:lang w:val="en-US" w:eastAsia="zh-CN" w:bidi="ar"/>
              </w:rPr>
            </w:pPr>
          </w:p>
        </w:tc>
        <w:tc>
          <w:tcPr>
            <w:tcW w:w="803" w:type="dxa"/>
            <w:tcBorders>
              <w:top w:val="single" w:color="000000" w:sz="4" w:space="0"/>
              <w:left w:val="single" w:color="000000" w:sz="4" w:space="0"/>
              <w:bottom w:val="single" w:color="000000" w:sz="4" w:space="0"/>
              <w:right w:val="single" w:color="000000" w:sz="4" w:space="0"/>
            </w:tcBorders>
            <w:vAlign w:val="center"/>
          </w:tcPr>
          <w:p w14:paraId="3BD4A976">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0"/>
                <w:sz w:val="24"/>
                <w:szCs w:val="24"/>
                <w:highlight w:val="none"/>
                <w:lang w:val="en-US" w:eastAsia="zh-CN" w:bidi="ar"/>
              </w:rPr>
            </w:pPr>
          </w:p>
        </w:tc>
        <w:tc>
          <w:tcPr>
            <w:tcW w:w="865" w:type="dxa"/>
            <w:tcBorders>
              <w:top w:val="single" w:color="000000" w:sz="4" w:space="0"/>
              <w:left w:val="single" w:color="000000" w:sz="4" w:space="0"/>
              <w:bottom w:val="single" w:color="000000" w:sz="4" w:space="0"/>
              <w:right w:val="single" w:color="000000" w:sz="4" w:space="0"/>
            </w:tcBorders>
            <w:vAlign w:val="center"/>
          </w:tcPr>
          <w:p w14:paraId="29F90E88">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825" w:type="dxa"/>
            <w:tcBorders>
              <w:top w:val="single" w:color="000000" w:sz="4" w:space="0"/>
              <w:left w:val="single" w:color="000000" w:sz="4" w:space="0"/>
              <w:bottom w:val="single" w:color="000000" w:sz="4" w:space="0"/>
              <w:right w:val="single" w:color="000000" w:sz="4" w:space="0"/>
            </w:tcBorders>
            <w:vAlign w:val="center"/>
          </w:tcPr>
          <w:p w14:paraId="34DE16BC">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1047" w:type="dxa"/>
            <w:tcBorders>
              <w:top w:val="single" w:color="000000" w:sz="4" w:space="0"/>
              <w:left w:val="single" w:color="000000" w:sz="4" w:space="0"/>
              <w:bottom w:val="single" w:color="000000" w:sz="4" w:space="0"/>
              <w:right w:val="single" w:color="000000" w:sz="4" w:space="0"/>
            </w:tcBorders>
            <w:vAlign w:val="center"/>
          </w:tcPr>
          <w:p w14:paraId="35DB83FD">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929" w:type="dxa"/>
            <w:tcBorders>
              <w:top w:val="single" w:color="000000" w:sz="4" w:space="0"/>
              <w:left w:val="single" w:color="000000" w:sz="4" w:space="0"/>
              <w:bottom w:val="single" w:color="000000" w:sz="4" w:space="0"/>
              <w:right w:val="single" w:color="000000" w:sz="4" w:space="0"/>
            </w:tcBorders>
            <w:vAlign w:val="center"/>
          </w:tcPr>
          <w:p w14:paraId="38E7225E">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13692A3F">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842" w:type="dxa"/>
            <w:tcBorders>
              <w:top w:val="single" w:color="000000" w:sz="4" w:space="0"/>
              <w:left w:val="single" w:color="000000" w:sz="4" w:space="0"/>
              <w:bottom w:val="single" w:color="000000" w:sz="4" w:space="0"/>
              <w:right w:val="single" w:color="000000" w:sz="4" w:space="0"/>
            </w:tcBorders>
            <w:vAlign w:val="center"/>
          </w:tcPr>
          <w:p w14:paraId="1361DF28">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r>
      <w:tr w14:paraId="377B46E5">
        <w:tblPrEx>
          <w:tblCellMar>
            <w:top w:w="0" w:type="dxa"/>
            <w:left w:w="108" w:type="dxa"/>
            <w:bottom w:w="0" w:type="dxa"/>
            <w:right w:w="108" w:type="dxa"/>
          </w:tblCellMar>
        </w:tblPrEx>
        <w:trPr>
          <w:trHeight w:val="602" w:hRule="atLeast"/>
          <w:jc w:val="center"/>
        </w:trPr>
        <w:tc>
          <w:tcPr>
            <w:tcW w:w="1048" w:type="dxa"/>
            <w:tcBorders>
              <w:top w:val="single" w:color="000000" w:sz="4" w:space="0"/>
              <w:left w:val="single" w:color="000000" w:sz="4" w:space="0"/>
              <w:bottom w:val="single" w:color="000000" w:sz="4" w:space="0"/>
              <w:right w:val="single" w:color="000000" w:sz="4" w:space="0"/>
            </w:tcBorders>
            <w:vAlign w:val="center"/>
          </w:tcPr>
          <w:p w14:paraId="25F707D4">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rPr>
            </w:pPr>
          </w:p>
        </w:tc>
        <w:tc>
          <w:tcPr>
            <w:tcW w:w="1689" w:type="dxa"/>
            <w:tcBorders>
              <w:top w:val="single" w:color="000000" w:sz="4" w:space="0"/>
              <w:left w:val="single" w:color="000000" w:sz="4" w:space="0"/>
              <w:bottom w:val="single" w:color="000000" w:sz="4" w:space="0"/>
              <w:right w:val="single" w:color="000000" w:sz="4" w:space="0"/>
            </w:tcBorders>
            <w:vAlign w:val="center"/>
          </w:tcPr>
          <w:p w14:paraId="12A15CF3">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rPr>
            </w:pPr>
          </w:p>
        </w:tc>
        <w:tc>
          <w:tcPr>
            <w:tcW w:w="1595" w:type="dxa"/>
            <w:tcBorders>
              <w:top w:val="single" w:color="000000" w:sz="4" w:space="0"/>
              <w:left w:val="single" w:color="000000" w:sz="4" w:space="0"/>
              <w:bottom w:val="single" w:color="000000" w:sz="4" w:space="0"/>
              <w:right w:val="single" w:color="000000" w:sz="4" w:space="0"/>
            </w:tcBorders>
            <w:vAlign w:val="center"/>
          </w:tcPr>
          <w:p w14:paraId="0C786F3D">
            <w:pPr>
              <w:keepNext w:val="0"/>
              <w:keepLines w:val="0"/>
              <w:pageBreakBefore w:val="0"/>
              <w:widowControl/>
              <w:numPr>
                <w:ilvl w:val="0"/>
                <w:numId w:val="0"/>
              </w:numPr>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left"/>
              <w:textAlignment w:val="center"/>
              <w:outlineLvl w:val="9"/>
              <w:rPr>
                <w:rFonts w:hint="eastAsia" w:ascii="宋体" w:hAnsi="宋体" w:eastAsia="宋体" w:cs="宋体"/>
                <w:color w:val="auto"/>
                <w:kern w:val="0"/>
                <w:sz w:val="24"/>
                <w:szCs w:val="24"/>
                <w:highlight w:val="none"/>
                <w:lang w:val="en-US" w:eastAsia="zh-CN" w:bidi="ar"/>
              </w:rPr>
            </w:pPr>
          </w:p>
        </w:tc>
        <w:tc>
          <w:tcPr>
            <w:tcW w:w="803" w:type="dxa"/>
            <w:tcBorders>
              <w:top w:val="single" w:color="000000" w:sz="4" w:space="0"/>
              <w:left w:val="single" w:color="000000" w:sz="4" w:space="0"/>
              <w:bottom w:val="single" w:color="000000" w:sz="4" w:space="0"/>
              <w:right w:val="single" w:color="000000" w:sz="4" w:space="0"/>
            </w:tcBorders>
            <w:vAlign w:val="center"/>
          </w:tcPr>
          <w:p w14:paraId="66615303">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0"/>
                <w:sz w:val="24"/>
                <w:szCs w:val="24"/>
                <w:highlight w:val="none"/>
                <w:lang w:val="en-US" w:eastAsia="zh-CN" w:bidi="ar"/>
              </w:rPr>
            </w:pPr>
          </w:p>
        </w:tc>
        <w:tc>
          <w:tcPr>
            <w:tcW w:w="865" w:type="dxa"/>
            <w:tcBorders>
              <w:top w:val="single" w:color="000000" w:sz="4" w:space="0"/>
              <w:left w:val="single" w:color="000000" w:sz="4" w:space="0"/>
              <w:bottom w:val="single" w:color="000000" w:sz="4" w:space="0"/>
              <w:right w:val="single" w:color="000000" w:sz="4" w:space="0"/>
            </w:tcBorders>
            <w:vAlign w:val="center"/>
          </w:tcPr>
          <w:p w14:paraId="2286423B">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825" w:type="dxa"/>
            <w:tcBorders>
              <w:top w:val="single" w:color="000000" w:sz="4" w:space="0"/>
              <w:left w:val="single" w:color="000000" w:sz="4" w:space="0"/>
              <w:bottom w:val="single" w:color="000000" w:sz="4" w:space="0"/>
              <w:right w:val="single" w:color="000000" w:sz="4" w:space="0"/>
            </w:tcBorders>
            <w:vAlign w:val="center"/>
          </w:tcPr>
          <w:p w14:paraId="5A5B342A">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1047" w:type="dxa"/>
            <w:tcBorders>
              <w:top w:val="single" w:color="000000" w:sz="4" w:space="0"/>
              <w:left w:val="single" w:color="000000" w:sz="4" w:space="0"/>
              <w:bottom w:val="single" w:color="000000" w:sz="4" w:space="0"/>
              <w:right w:val="single" w:color="000000" w:sz="4" w:space="0"/>
            </w:tcBorders>
            <w:vAlign w:val="center"/>
          </w:tcPr>
          <w:p w14:paraId="5B79CA19">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929" w:type="dxa"/>
            <w:tcBorders>
              <w:top w:val="single" w:color="000000" w:sz="4" w:space="0"/>
              <w:left w:val="single" w:color="000000" w:sz="4" w:space="0"/>
              <w:bottom w:val="single" w:color="000000" w:sz="4" w:space="0"/>
              <w:right w:val="single" w:color="000000" w:sz="4" w:space="0"/>
            </w:tcBorders>
            <w:vAlign w:val="center"/>
          </w:tcPr>
          <w:p w14:paraId="76554430">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5167337E">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842" w:type="dxa"/>
            <w:tcBorders>
              <w:top w:val="single" w:color="000000" w:sz="4" w:space="0"/>
              <w:left w:val="single" w:color="000000" w:sz="4" w:space="0"/>
              <w:bottom w:val="single" w:color="000000" w:sz="4" w:space="0"/>
              <w:right w:val="single" w:color="000000" w:sz="4" w:space="0"/>
            </w:tcBorders>
            <w:vAlign w:val="center"/>
          </w:tcPr>
          <w:p w14:paraId="36C04B8F">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r>
      <w:tr w14:paraId="7782C253">
        <w:tblPrEx>
          <w:tblCellMar>
            <w:top w:w="0" w:type="dxa"/>
            <w:left w:w="108" w:type="dxa"/>
            <w:bottom w:w="0" w:type="dxa"/>
            <w:right w:w="108" w:type="dxa"/>
          </w:tblCellMar>
        </w:tblPrEx>
        <w:trPr>
          <w:trHeight w:val="602" w:hRule="atLeast"/>
          <w:jc w:val="center"/>
        </w:trPr>
        <w:tc>
          <w:tcPr>
            <w:tcW w:w="1048" w:type="dxa"/>
            <w:tcBorders>
              <w:top w:val="single" w:color="000000" w:sz="4" w:space="0"/>
              <w:left w:val="single" w:color="000000" w:sz="4" w:space="0"/>
              <w:bottom w:val="single" w:color="000000" w:sz="4" w:space="0"/>
              <w:right w:val="single" w:color="000000" w:sz="4" w:space="0"/>
            </w:tcBorders>
            <w:vAlign w:val="center"/>
          </w:tcPr>
          <w:p w14:paraId="370A6B3F">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c>
          <w:tcPr>
            <w:tcW w:w="1689" w:type="dxa"/>
            <w:tcBorders>
              <w:top w:val="single" w:color="000000" w:sz="4" w:space="0"/>
              <w:left w:val="single" w:color="000000" w:sz="4" w:space="0"/>
              <w:bottom w:val="single" w:color="000000" w:sz="4" w:space="0"/>
              <w:right w:val="single" w:color="000000" w:sz="4" w:space="0"/>
            </w:tcBorders>
            <w:vAlign w:val="center"/>
          </w:tcPr>
          <w:p w14:paraId="4326AADE">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rPr>
            </w:pPr>
          </w:p>
        </w:tc>
        <w:tc>
          <w:tcPr>
            <w:tcW w:w="1595" w:type="dxa"/>
            <w:tcBorders>
              <w:top w:val="single" w:color="000000" w:sz="4" w:space="0"/>
              <w:left w:val="single" w:color="000000" w:sz="4" w:space="0"/>
              <w:bottom w:val="single" w:color="000000" w:sz="4" w:space="0"/>
              <w:right w:val="single" w:color="auto" w:sz="4" w:space="0"/>
            </w:tcBorders>
            <w:vAlign w:val="center"/>
          </w:tcPr>
          <w:p w14:paraId="65ECC64A">
            <w:pPr>
              <w:keepNext w:val="0"/>
              <w:keepLines w:val="0"/>
              <w:pageBreakBefore w:val="0"/>
              <w:widowControl/>
              <w:numPr>
                <w:ilvl w:val="0"/>
                <w:numId w:val="0"/>
              </w:numPr>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left"/>
              <w:textAlignment w:val="center"/>
              <w:outlineLvl w:val="9"/>
              <w:rPr>
                <w:rFonts w:hint="eastAsia" w:ascii="宋体" w:hAnsi="宋体" w:eastAsia="宋体" w:cs="宋体"/>
                <w:color w:val="auto"/>
                <w:sz w:val="24"/>
                <w:szCs w:val="24"/>
                <w:highlight w:val="none"/>
              </w:rPr>
            </w:pPr>
          </w:p>
        </w:tc>
        <w:tc>
          <w:tcPr>
            <w:tcW w:w="803" w:type="dxa"/>
            <w:tcBorders>
              <w:top w:val="single" w:color="000000" w:sz="4" w:space="0"/>
              <w:left w:val="single" w:color="auto" w:sz="4" w:space="0"/>
              <w:bottom w:val="single" w:color="000000" w:sz="4" w:space="0"/>
              <w:right w:val="single" w:color="000000" w:sz="4" w:space="0"/>
            </w:tcBorders>
            <w:vAlign w:val="center"/>
          </w:tcPr>
          <w:p w14:paraId="4E4CCCB9">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0"/>
                <w:sz w:val="24"/>
                <w:szCs w:val="24"/>
                <w:highlight w:val="none"/>
                <w:lang w:val="en-US" w:eastAsia="zh-CN" w:bidi="ar"/>
              </w:rPr>
            </w:pPr>
          </w:p>
        </w:tc>
        <w:tc>
          <w:tcPr>
            <w:tcW w:w="865" w:type="dxa"/>
            <w:tcBorders>
              <w:top w:val="single" w:color="000000" w:sz="4" w:space="0"/>
              <w:left w:val="single" w:color="000000" w:sz="4" w:space="0"/>
              <w:bottom w:val="single" w:color="000000" w:sz="4" w:space="0"/>
              <w:right w:val="single" w:color="000000" w:sz="4" w:space="0"/>
            </w:tcBorders>
            <w:vAlign w:val="center"/>
          </w:tcPr>
          <w:p w14:paraId="1A6798EC">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825" w:type="dxa"/>
            <w:tcBorders>
              <w:top w:val="single" w:color="000000" w:sz="4" w:space="0"/>
              <w:left w:val="single" w:color="000000" w:sz="4" w:space="0"/>
              <w:bottom w:val="single" w:color="000000" w:sz="4" w:space="0"/>
              <w:right w:val="single" w:color="000000" w:sz="4" w:space="0"/>
            </w:tcBorders>
            <w:vAlign w:val="center"/>
          </w:tcPr>
          <w:p w14:paraId="2CA24D1C">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1047" w:type="dxa"/>
            <w:tcBorders>
              <w:top w:val="single" w:color="000000" w:sz="4" w:space="0"/>
              <w:left w:val="single" w:color="000000" w:sz="4" w:space="0"/>
              <w:bottom w:val="single" w:color="000000" w:sz="4" w:space="0"/>
              <w:right w:val="single" w:color="000000" w:sz="4" w:space="0"/>
            </w:tcBorders>
            <w:vAlign w:val="center"/>
          </w:tcPr>
          <w:p w14:paraId="5BBF3F18">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929" w:type="dxa"/>
            <w:tcBorders>
              <w:top w:val="single" w:color="000000" w:sz="4" w:space="0"/>
              <w:left w:val="single" w:color="000000" w:sz="4" w:space="0"/>
              <w:bottom w:val="single" w:color="000000" w:sz="4" w:space="0"/>
              <w:right w:val="single" w:color="000000" w:sz="4" w:space="0"/>
            </w:tcBorders>
            <w:vAlign w:val="center"/>
          </w:tcPr>
          <w:p w14:paraId="0D9466A6">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6F02DD9D">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842" w:type="dxa"/>
            <w:tcBorders>
              <w:top w:val="single" w:color="000000" w:sz="4" w:space="0"/>
              <w:left w:val="single" w:color="000000" w:sz="4" w:space="0"/>
              <w:bottom w:val="single" w:color="000000" w:sz="4" w:space="0"/>
              <w:right w:val="single" w:color="000000" w:sz="4" w:space="0"/>
            </w:tcBorders>
            <w:vAlign w:val="center"/>
          </w:tcPr>
          <w:p w14:paraId="75A5CC68">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r>
      <w:tr w14:paraId="44757CF7">
        <w:tblPrEx>
          <w:tblCellMar>
            <w:top w:w="0" w:type="dxa"/>
            <w:left w:w="108" w:type="dxa"/>
            <w:bottom w:w="0" w:type="dxa"/>
            <w:right w:w="108" w:type="dxa"/>
          </w:tblCellMar>
        </w:tblPrEx>
        <w:trPr>
          <w:trHeight w:val="612" w:hRule="atLeast"/>
          <w:jc w:val="center"/>
        </w:trPr>
        <w:tc>
          <w:tcPr>
            <w:tcW w:w="1048" w:type="dxa"/>
            <w:tcBorders>
              <w:top w:val="single" w:color="000000" w:sz="4" w:space="0"/>
              <w:left w:val="single" w:color="000000" w:sz="4" w:space="0"/>
              <w:bottom w:val="single" w:color="000000" w:sz="4" w:space="0"/>
              <w:right w:val="single" w:color="000000" w:sz="4" w:space="0"/>
            </w:tcBorders>
            <w:vAlign w:val="center"/>
          </w:tcPr>
          <w:p w14:paraId="4817C5E9">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合计</w:t>
            </w:r>
          </w:p>
        </w:tc>
        <w:tc>
          <w:tcPr>
            <w:tcW w:w="1689" w:type="dxa"/>
            <w:tcBorders>
              <w:top w:val="single" w:color="000000" w:sz="4" w:space="0"/>
              <w:left w:val="single" w:color="000000" w:sz="4" w:space="0"/>
              <w:bottom w:val="single" w:color="000000" w:sz="4" w:space="0"/>
              <w:right w:val="single" w:color="000000" w:sz="4" w:space="0"/>
            </w:tcBorders>
            <w:vAlign w:val="center"/>
          </w:tcPr>
          <w:p w14:paraId="6C54F539">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sz w:val="24"/>
                <w:szCs w:val="24"/>
                <w:highlight w:val="none"/>
              </w:rPr>
            </w:pPr>
          </w:p>
        </w:tc>
        <w:tc>
          <w:tcPr>
            <w:tcW w:w="1595" w:type="dxa"/>
            <w:tcBorders>
              <w:top w:val="single" w:color="000000" w:sz="4" w:space="0"/>
              <w:left w:val="single" w:color="000000" w:sz="4" w:space="0"/>
              <w:bottom w:val="single" w:color="000000" w:sz="4" w:space="0"/>
              <w:right w:val="single" w:color="auto" w:sz="4" w:space="0"/>
            </w:tcBorders>
            <w:vAlign w:val="center"/>
          </w:tcPr>
          <w:p w14:paraId="5DBCABCF">
            <w:pPr>
              <w:keepNext w:val="0"/>
              <w:keepLines w:val="0"/>
              <w:pageBreakBefore w:val="0"/>
              <w:widowControl/>
              <w:numPr>
                <w:ilvl w:val="0"/>
                <w:numId w:val="0"/>
              </w:numPr>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left"/>
              <w:textAlignment w:val="center"/>
              <w:outlineLvl w:val="9"/>
              <w:rPr>
                <w:rFonts w:hint="eastAsia" w:ascii="宋体" w:hAnsi="宋体" w:eastAsia="宋体" w:cs="宋体"/>
                <w:color w:val="auto"/>
                <w:sz w:val="24"/>
                <w:szCs w:val="24"/>
                <w:highlight w:val="none"/>
              </w:rPr>
            </w:pPr>
          </w:p>
        </w:tc>
        <w:tc>
          <w:tcPr>
            <w:tcW w:w="803" w:type="dxa"/>
            <w:tcBorders>
              <w:top w:val="single" w:color="000000" w:sz="4" w:space="0"/>
              <w:left w:val="single" w:color="auto" w:sz="4" w:space="0"/>
              <w:bottom w:val="single" w:color="000000" w:sz="4" w:space="0"/>
              <w:right w:val="single" w:color="000000" w:sz="4" w:space="0"/>
            </w:tcBorders>
            <w:vAlign w:val="center"/>
          </w:tcPr>
          <w:p w14:paraId="0702005A">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0"/>
                <w:sz w:val="24"/>
                <w:szCs w:val="24"/>
                <w:highlight w:val="none"/>
                <w:lang w:val="en-US" w:eastAsia="zh-CN" w:bidi="ar"/>
              </w:rPr>
            </w:pPr>
          </w:p>
        </w:tc>
        <w:tc>
          <w:tcPr>
            <w:tcW w:w="865" w:type="dxa"/>
            <w:tcBorders>
              <w:top w:val="single" w:color="000000" w:sz="4" w:space="0"/>
              <w:left w:val="single" w:color="000000" w:sz="4" w:space="0"/>
              <w:bottom w:val="single" w:color="000000" w:sz="4" w:space="0"/>
              <w:right w:val="single" w:color="000000" w:sz="4" w:space="0"/>
            </w:tcBorders>
            <w:vAlign w:val="center"/>
          </w:tcPr>
          <w:p w14:paraId="48989601">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825" w:type="dxa"/>
            <w:tcBorders>
              <w:top w:val="single" w:color="000000" w:sz="4" w:space="0"/>
              <w:left w:val="single" w:color="000000" w:sz="4" w:space="0"/>
              <w:bottom w:val="single" w:color="000000" w:sz="4" w:space="0"/>
              <w:right w:val="single" w:color="000000" w:sz="4" w:space="0"/>
            </w:tcBorders>
            <w:vAlign w:val="center"/>
          </w:tcPr>
          <w:p w14:paraId="7C13B6F3">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1047" w:type="dxa"/>
            <w:tcBorders>
              <w:top w:val="single" w:color="000000" w:sz="4" w:space="0"/>
              <w:left w:val="single" w:color="000000" w:sz="4" w:space="0"/>
              <w:bottom w:val="single" w:color="000000" w:sz="4" w:space="0"/>
              <w:right w:val="single" w:color="000000" w:sz="4" w:space="0"/>
            </w:tcBorders>
            <w:vAlign w:val="center"/>
          </w:tcPr>
          <w:p w14:paraId="670AABE0">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929" w:type="dxa"/>
            <w:tcBorders>
              <w:top w:val="single" w:color="000000" w:sz="4" w:space="0"/>
              <w:left w:val="single" w:color="000000" w:sz="4" w:space="0"/>
              <w:bottom w:val="single" w:color="000000" w:sz="4" w:space="0"/>
              <w:right w:val="single" w:color="000000" w:sz="4" w:space="0"/>
            </w:tcBorders>
            <w:vAlign w:val="center"/>
          </w:tcPr>
          <w:p w14:paraId="24C0AC02">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5525E76D">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c>
          <w:tcPr>
            <w:tcW w:w="842" w:type="dxa"/>
            <w:tcBorders>
              <w:top w:val="single" w:color="000000" w:sz="4" w:space="0"/>
              <w:left w:val="single" w:color="000000" w:sz="4" w:space="0"/>
              <w:bottom w:val="single" w:color="000000" w:sz="4" w:space="0"/>
              <w:right w:val="single" w:color="000000" w:sz="4" w:space="0"/>
            </w:tcBorders>
            <w:vAlign w:val="center"/>
          </w:tcPr>
          <w:p w14:paraId="132B6C5F">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300" w:lineRule="exact"/>
              <w:ind w:left="0" w:right="0"/>
              <w:jc w:val="center"/>
              <w:textAlignment w:val="center"/>
              <w:outlineLvl w:val="9"/>
              <w:rPr>
                <w:rFonts w:hint="eastAsia" w:ascii="宋体" w:hAnsi="宋体" w:eastAsia="宋体" w:cs="宋体"/>
                <w:color w:val="auto"/>
                <w:kern w:val="2"/>
                <w:sz w:val="24"/>
                <w:szCs w:val="24"/>
                <w:highlight w:val="none"/>
                <w:lang w:val="en-US" w:eastAsia="zh-CN" w:bidi="ar-SA"/>
              </w:rPr>
            </w:pPr>
          </w:p>
        </w:tc>
      </w:tr>
    </w:tbl>
    <w:p w14:paraId="7F1422D7">
      <w:pPr>
        <w:pStyle w:val="18"/>
        <w:tabs>
          <w:tab w:val="left" w:pos="5527"/>
        </w:tabs>
        <w:ind w:firstLine="0"/>
        <w:jc w:val="left"/>
        <w:outlineLvl w:val="9"/>
        <w:rPr>
          <w:rFonts w:hint="eastAsia" w:ascii="宋体" w:hAnsi="宋体" w:eastAsia="宋体" w:cs="宋体"/>
          <w:bCs/>
          <w:color w:val="auto"/>
          <w:sz w:val="24"/>
          <w:szCs w:val="18"/>
          <w:highlight w:val="none"/>
        </w:rPr>
      </w:pPr>
      <w:r>
        <w:rPr>
          <w:rFonts w:hint="eastAsia" w:ascii="宋体" w:hAnsi="宋体" w:eastAsia="宋体" w:cs="宋体"/>
          <w:color w:val="auto"/>
          <w:sz w:val="24"/>
          <w:szCs w:val="24"/>
          <w:highlight w:val="none"/>
        </w:rPr>
        <w:t>注：如表格数量不足可延伸，</w:t>
      </w:r>
      <w:r>
        <w:rPr>
          <w:rFonts w:hint="eastAsia" w:ascii="宋体" w:hAnsi="宋体" w:eastAsia="宋体" w:cs="宋体"/>
          <w:b/>
          <w:bCs/>
          <w:color w:val="auto"/>
          <w:sz w:val="24"/>
          <w:szCs w:val="24"/>
          <w:highlight w:val="none"/>
        </w:rPr>
        <w:t xml:space="preserve">此表响应“第三章 </w:t>
      </w:r>
      <w:r>
        <w:rPr>
          <w:rFonts w:hint="eastAsia" w:ascii="宋体" w:hAnsi="宋体" w:eastAsia="宋体" w:cs="宋体"/>
          <w:b/>
          <w:bCs/>
          <w:color w:val="auto"/>
          <w:sz w:val="24"/>
          <w:szCs w:val="24"/>
          <w:highlight w:val="none"/>
          <w:lang w:val="en-US" w:eastAsia="zh-CN"/>
        </w:rPr>
        <w:t xml:space="preserve">采购清单 </w:t>
      </w:r>
      <w:r>
        <w:rPr>
          <w:rFonts w:hint="eastAsia" w:ascii="宋体" w:hAnsi="宋体" w:eastAsia="宋体" w:cs="宋体"/>
          <w:b/>
          <w:bCs/>
          <w:color w:val="auto"/>
          <w:sz w:val="24"/>
          <w:szCs w:val="24"/>
          <w:highlight w:val="none"/>
        </w:rPr>
        <w:t>”，不得少项漏项，</w:t>
      </w:r>
      <w:r>
        <w:rPr>
          <w:rFonts w:hint="eastAsia" w:ascii="宋体" w:hAnsi="宋体" w:eastAsia="宋体" w:cs="宋体"/>
          <w:b/>
          <w:bCs/>
          <w:color w:val="auto"/>
          <w:sz w:val="24"/>
          <w:szCs w:val="24"/>
          <w:highlight w:val="none"/>
          <w:lang w:val="en-US" w:eastAsia="zh-CN"/>
        </w:rPr>
        <w:t>报</w:t>
      </w:r>
      <w:r>
        <w:rPr>
          <w:rFonts w:hint="eastAsia" w:ascii="宋体" w:hAnsi="宋体" w:eastAsia="宋体" w:cs="宋体"/>
          <w:b/>
          <w:bCs/>
          <w:color w:val="auto"/>
          <w:sz w:val="24"/>
          <w:szCs w:val="24"/>
          <w:highlight w:val="none"/>
        </w:rPr>
        <w:t>价保留小数点后两位数。</w:t>
      </w:r>
      <w:r>
        <w:rPr>
          <w:rFonts w:hint="eastAsia" w:ascii="宋体" w:hAnsi="宋体" w:eastAsia="宋体" w:cs="宋体"/>
          <w:bCs/>
          <w:color w:val="auto"/>
          <w:sz w:val="24"/>
          <w:szCs w:val="18"/>
          <w:highlight w:val="none"/>
        </w:rPr>
        <w:t xml:space="preserve">  </w:t>
      </w:r>
    </w:p>
    <w:p w14:paraId="4AD894B7">
      <w:pPr>
        <w:pStyle w:val="18"/>
        <w:tabs>
          <w:tab w:val="left" w:pos="5527"/>
        </w:tabs>
        <w:ind w:firstLine="0"/>
        <w:jc w:val="left"/>
        <w:outlineLvl w:val="9"/>
        <w:rPr>
          <w:rFonts w:hint="eastAsia" w:ascii="宋体" w:hAnsi="宋体" w:eastAsia="宋体" w:cs="宋体"/>
          <w:b/>
          <w:bCs/>
          <w:color w:val="auto"/>
          <w:highlight w:val="none"/>
        </w:rPr>
      </w:pPr>
      <w:r>
        <w:rPr>
          <w:rFonts w:hint="eastAsia" w:ascii="宋体" w:hAnsi="宋体" w:eastAsia="宋体" w:cs="宋体"/>
          <w:bCs/>
          <w:color w:val="auto"/>
          <w:highlight w:val="none"/>
        </w:rPr>
        <w:t xml:space="preserve">  </w:t>
      </w:r>
    </w:p>
    <w:p w14:paraId="14423B45">
      <w:pPr>
        <w:tabs>
          <w:tab w:val="left" w:pos="5527"/>
        </w:tabs>
        <w:spacing w:line="480" w:lineRule="auto"/>
        <w:jc w:val="center"/>
        <w:outlineLvl w:val="9"/>
        <w:rPr>
          <w:rFonts w:hint="eastAsia" w:ascii="宋体" w:hAnsi="宋体" w:eastAsia="宋体" w:cs="宋体"/>
          <w:color w:val="auto"/>
          <w:sz w:val="28"/>
          <w:szCs w:val="28"/>
          <w:highlight w:val="none"/>
        </w:rPr>
      </w:pPr>
      <w:r>
        <w:rPr>
          <w:rFonts w:hint="eastAsia" w:ascii="宋体" w:hAnsi="宋体" w:eastAsia="宋体" w:cs="宋体"/>
          <w:bCs/>
          <w:color w:val="auto"/>
          <w:highlight w:val="none"/>
        </w:rPr>
        <w:t xml:space="preserve">          </w:t>
      </w:r>
      <w:r>
        <w:rPr>
          <w:rFonts w:hint="eastAsia" w:ascii="宋体" w:hAnsi="宋体" w:eastAsia="宋体" w:cs="宋体"/>
          <w:color w:val="auto"/>
          <w:sz w:val="28"/>
          <w:szCs w:val="28"/>
          <w:highlight w:val="none"/>
        </w:rPr>
        <w:t>供应商名称（盖章）：</w:t>
      </w:r>
    </w:p>
    <w:p w14:paraId="7DAA8488">
      <w:pPr>
        <w:tabs>
          <w:tab w:val="left" w:pos="5527"/>
        </w:tabs>
        <w:spacing w:line="480" w:lineRule="auto"/>
        <w:jc w:val="right"/>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法定代表人或委托代理人（签字或盖章）：</w:t>
      </w:r>
    </w:p>
    <w:p w14:paraId="33506BD3">
      <w:pPr>
        <w:tabs>
          <w:tab w:val="left" w:pos="5527"/>
        </w:tabs>
        <w:wordWrap w:val="0"/>
        <w:spacing w:line="480" w:lineRule="auto"/>
        <w:jc w:val="right"/>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日期：   年   月   日</w:t>
      </w:r>
    </w:p>
    <w:p w14:paraId="6C62AC58">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br w:type="page"/>
      </w:r>
    </w:p>
    <w:p w14:paraId="3E6D6F61">
      <w:pPr>
        <w:pStyle w:val="46"/>
        <w:rPr>
          <w:rStyle w:val="38"/>
          <w:rFonts w:hint="eastAsia" w:ascii="宋体" w:hAnsi="宋体" w:cs="宋体"/>
          <w:color w:val="auto"/>
          <w:sz w:val="32"/>
          <w:szCs w:val="28"/>
          <w:highlight w:val="none"/>
          <w:lang w:val="en-US" w:eastAsia="zh-CN"/>
        </w:rPr>
      </w:pPr>
      <w:r>
        <w:rPr>
          <w:rStyle w:val="38"/>
          <w:rFonts w:hint="eastAsia" w:ascii="宋体" w:hAnsi="宋体" w:eastAsia="宋体" w:cs="宋体"/>
          <w:color w:val="auto"/>
          <w:sz w:val="32"/>
          <w:szCs w:val="28"/>
          <w:highlight w:val="none"/>
          <w:lang w:val="en-US" w:eastAsia="zh-CN"/>
        </w:rPr>
        <w:t>附件3.</w:t>
      </w:r>
      <w:r>
        <w:rPr>
          <w:rStyle w:val="38"/>
          <w:rFonts w:hint="eastAsia" w:ascii="宋体" w:hAnsi="宋体" w:cs="宋体"/>
          <w:color w:val="auto"/>
          <w:sz w:val="32"/>
          <w:szCs w:val="28"/>
          <w:highlight w:val="none"/>
          <w:lang w:val="en-US" w:eastAsia="zh-CN"/>
        </w:rPr>
        <w:t>2</w:t>
      </w:r>
    </w:p>
    <w:p w14:paraId="31A06780">
      <w:pPr>
        <w:keepNext w:val="0"/>
        <w:tabs>
          <w:tab w:val="left" w:pos="5527"/>
        </w:tabs>
        <w:spacing w:line="480" w:lineRule="auto"/>
        <w:jc w:val="center"/>
        <w:outlineLvl w:val="1"/>
        <w:rPr>
          <w:rFonts w:hint="eastAsia" w:ascii="宋体" w:hAnsi="宋体" w:cs="宋体"/>
          <w:b/>
          <w:bCs/>
          <w:color w:val="auto"/>
          <w:kern w:val="2"/>
          <w:sz w:val="32"/>
          <w:szCs w:val="21"/>
          <w:highlight w:val="none"/>
          <w:lang w:val="en-US" w:eastAsia="zh-CN"/>
        </w:rPr>
      </w:pPr>
      <w:r>
        <w:rPr>
          <w:rFonts w:hint="eastAsia" w:ascii="宋体" w:hAnsi="宋体" w:eastAsia="宋体" w:cs="宋体"/>
          <w:b/>
          <w:bCs/>
          <w:color w:val="auto"/>
          <w:kern w:val="2"/>
          <w:sz w:val="32"/>
          <w:szCs w:val="21"/>
          <w:highlight w:val="none"/>
          <w:lang w:val="en-US" w:eastAsia="zh-CN"/>
        </w:rPr>
        <w:t>备品备件清单</w:t>
      </w:r>
      <w:r>
        <w:rPr>
          <w:rFonts w:hint="eastAsia" w:ascii="宋体" w:hAnsi="宋体" w:cs="宋体"/>
          <w:b/>
          <w:bCs/>
          <w:color w:val="auto"/>
          <w:kern w:val="2"/>
          <w:sz w:val="32"/>
          <w:szCs w:val="21"/>
          <w:highlight w:val="none"/>
          <w:lang w:val="en-US" w:eastAsia="zh-CN"/>
        </w:rPr>
        <w:t>（如有）</w:t>
      </w:r>
    </w:p>
    <w:tbl>
      <w:tblPr>
        <w:tblStyle w:val="28"/>
        <w:tblW w:w="9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0"/>
        <w:gridCol w:w="2350"/>
        <w:gridCol w:w="2350"/>
        <w:gridCol w:w="2350"/>
      </w:tblGrid>
      <w:tr w14:paraId="11B14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400" w:type="dxa"/>
            <w:gridSpan w:val="4"/>
          </w:tcPr>
          <w:p w14:paraId="71977B37">
            <w:pPr>
              <w:pStyle w:val="5"/>
              <w:keepNext w:val="0"/>
              <w:keepLines w:val="0"/>
              <w:suppressLineNumbers w:val="0"/>
              <w:tabs>
                <w:tab w:val="center" w:pos="4532"/>
              </w:tabs>
              <w:spacing w:before="0" w:beforeAutospacing="0" w:after="0" w:afterAutospacing="0"/>
              <w:ind w:left="0" w:right="0" w:firstLine="0"/>
              <w:jc w:val="center"/>
              <w:rPr>
                <w:rFonts w:hint="default"/>
                <w:b/>
                <w:bCs/>
                <w:color w:val="auto"/>
                <w:sz w:val="24"/>
                <w:szCs w:val="22"/>
                <w:highlight w:val="none"/>
              </w:rPr>
            </w:pPr>
            <w:bookmarkStart w:id="239" w:name="_Toc7767"/>
            <w:bookmarkStart w:id="240" w:name="_Toc6308"/>
            <w:bookmarkStart w:id="241" w:name="_Toc1905"/>
            <w:bookmarkStart w:id="242" w:name="_Toc32751"/>
            <w:bookmarkStart w:id="243" w:name="_Toc5660"/>
            <w:bookmarkStart w:id="244" w:name="_Toc5595"/>
            <w:r>
              <w:rPr>
                <w:rFonts w:hint="eastAsia"/>
                <w:b/>
                <w:bCs/>
                <w:color w:val="auto"/>
                <w:sz w:val="24"/>
                <w:szCs w:val="22"/>
                <w:highlight w:val="none"/>
              </w:rPr>
              <w:t>免费提供备损耗件备品备件及耗材清单</w:t>
            </w:r>
          </w:p>
        </w:tc>
      </w:tr>
      <w:tr w14:paraId="06828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2350" w:type="dxa"/>
            <w:vAlign w:val="center"/>
          </w:tcPr>
          <w:p w14:paraId="5E809AF2">
            <w:pPr>
              <w:pStyle w:val="5"/>
              <w:keepNext w:val="0"/>
              <w:keepLines w:val="0"/>
              <w:suppressLineNumbers w:val="0"/>
              <w:spacing w:before="0" w:beforeAutospacing="0" w:after="0" w:afterAutospacing="0"/>
              <w:ind w:left="0" w:right="0" w:firstLine="0"/>
              <w:jc w:val="center"/>
              <w:rPr>
                <w:rFonts w:hint="default"/>
                <w:b/>
                <w:bCs/>
                <w:color w:val="auto"/>
                <w:sz w:val="24"/>
                <w:szCs w:val="22"/>
                <w:highlight w:val="none"/>
              </w:rPr>
            </w:pPr>
            <w:r>
              <w:rPr>
                <w:rFonts w:hint="eastAsia"/>
                <w:b/>
                <w:bCs/>
                <w:color w:val="auto"/>
                <w:sz w:val="24"/>
                <w:szCs w:val="22"/>
                <w:highlight w:val="none"/>
              </w:rPr>
              <w:t>序号</w:t>
            </w:r>
          </w:p>
        </w:tc>
        <w:tc>
          <w:tcPr>
            <w:tcW w:w="2350" w:type="dxa"/>
            <w:vAlign w:val="center"/>
          </w:tcPr>
          <w:p w14:paraId="2300EA34">
            <w:pPr>
              <w:pStyle w:val="5"/>
              <w:keepNext w:val="0"/>
              <w:keepLines w:val="0"/>
              <w:suppressLineNumbers w:val="0"/>
              <w:spacing w:before="0" w:beforeAutospacing="0" w:after="0" w:afterAutospacing="0"/>
              <w:ind w:left="0" w:right="0" w:firstLine="0"/>
              <w:jc w:val="center"/>
              <w:rPr>
                <w:rFonts w:hint="default"/>
                <w:b/>
                <w:bCs/>
                <w:color w:val="auto"/>
                <w:sz w:val="24"/>
                <w:szCs w:val="22"/>
                <w:highlight w:val="none"/>
              </w:rPr>
            </w:pPr>
            <w:r>
              <w:rPr>
                <w:rFonts w:hint="eastAsia"/>
                <w:b/>
                <w:bCs/>
                <w:color w:val="auto"/>
                <w:sz w:val="24"/>
                <w:szCs w:val="22"/>
                <w:highlight w:val="none"/>
              </w:rPr>
              <w:t>备品备件名称</w:t>
            </w:r>
          </w:p>
        </w:tc>
        <w:tc>
          <w:tcPr>
            <w:tcW w:w="2350" w:type="dxa"/>
            <w:vAlign w:val="center"/>
          </w:tcPr>
          <w:p w14:paraId="57028A03">
            <w:pPr>
              <w:pStyle w:val="5"/>
              <w:keepNext w:val="0"/>
              <w:keepLines w:val="0"/>
              <w:suppressLineNumbers w:val="0"/>
              <w:spacing w:before="0" w:beforeAutospacing="0" w:after="0" w:afterAutospacing="0"/>
              <w:ind w:left="0" w:right="0" w:firstLine="0"/>
              <w:jc w:val="center"/>
              <w:rPr>
                <w:rFonts w:hint="default"/>
                <w:b/>
                <w:bCs/>
                <w:color w:val="auto"/>
                <w:sz w:val="24"/>
                <w:szCs w:val="22"/>
                <w:highlight w:val="none"/>
              </w:rPr>
            </w:pPr>
            <w:r>
              <w:rPr>
                <w:rFonts w:hint="eastAsia"/>
                <w:b/>
                <w:bCs/>
                <w:color w:val="auto"/>
                <w:sz w:val="24"/>
                <w:szCs w:val="22"/>
                <w:highlight w:val="none"/>
              </w:rPr>
              <w:t>价格</w:t>
            </w:r>
          </w:p>
        </w:tc>
        <w:tc>
          <w:tcPr>
            <w:tcW w:w="2350" w:type="dxa"/>
            <w:vAlign w:val="center"/>
          </w:tcPr>
          <w:p w14:paraId="0A4FC048">
            <w:pPr>
              <w:pStyle w:val="5"/>
              <w:keepNext w:val="0"/>
              <w:keepLines w:val="0"/>
              <w:suppressLineNumbers w:val="0"/>
              <w:spacing w:before="0" w:beforeAutospacing="0" w:after="0" w:afterAutospacing="0"/>
              <w:ind w:left="0" w:right="0" w:firstLine="0"/>
              <w:jc w:val="center"/>
              <w:rPr>
                <w:rFonts w:hint="default"/>
                <w:b/>
                <w:bCs/>
                <w:color w:val="auto"/>
                <w:sz w:val="24"/>
                <w:szCs w:val="22"/>
                <w:highlight w:val="none"/>
              </w:rPr>
            </w:pPr>
            <w:r>
              <w:rPr>
                <w:rFonts w:hint="eastAsia"/>
                <w:b/>
                <w:bCs/>
                <w:color w:val="auto"/>
                <w:sz w:val="24"/>
                <w:szCs w:val="22"/>
                <w:highlight w:val="none"/>
              </w:rPr>
              <w:t>备注</w:t>
            </w:r>
          </w:p>
        </w:tc>
      </w:tr>
      <w:tr w14:paraId="48482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2350" w:type="dxa"/>
          </w:tcPr>
          <w:p w14:paraId="1C6E6602">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0C2929C4">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29C802D0">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6CAB241A">
            <w:pPr>
              <w:pStyle w:val="5"/>
              <w:keepNext w:val="0"/>
              <w:keepLines w:val="0"/>
              <w:suppressLineNumbers w:val="0"/>
              <w:spacing w:before="0" w:beforeAutospacing="0" w:after="0" w:afterAutospacing="0"/>
              <w:ind w:left="0" w:right="0"/>
              <w:rPr>
                <w:rFonts w:hint="default"/>
                <w:b/>
                <w:bCs/>
                <w:color w:val="auto"/>
                <w:sz w:val="24"/>
                <w:szCs w:val="22"/>
                <w:highlight w:val="none"/>
              </w:rPr>
            </w:pPr>
          </w:p>
        </w:tc>
      </w:tr>
      <w:tr w14:paraId="0F12F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2350" w:type="dxa"/>
          </w:tcPr>
          <w:p w14:paraId="299D3982">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247681AA">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23F4DC0A">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2B35C686">
            <w:pPr>
              <w:pStyle w:val="5"/>
              <w:keepNext w:val="0"/>
              <w:keepLines w:val="0"/>
              <w:suppressLineNumbers w:val="0"/>
              <w:spacing w:before="0" w:beforeAutospacing="0" w:after="0" w:afterAutospacing="0"/>
              <w:ind w:left="0" w:right="0"/>
              <w:rPr>
                <w:rFonts w:hint="default"/>
                <w:b/>
                <w:bCs/>
                <w:color w:val="auto"/>
                <w:sz w:val="24"/>
                <w:szCs w:val="22"/>
                <w:highlight w:val="none"/>
              </w:rPr>
            </w:pPr>
          </w:p>
        </w:tc>
      </w:tr>
      <w:tr w14:paraId="3C0FB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2350" w:type="dxa"/>
          </w:tcPr>
          <w:p w14:paraId="353DD99C">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349DC250">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0F3AF446">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6F31E031">
            <w:pPr>
              <w:pStyle w:val="5"/>
              <w:keepNext w:val="0"/>
              <w:keepLines w:val="0"/>
              <w:suppressLineNumbers w:val="0"/>
              <w:spacing w:before="0" w:beforeAutospacing="0" w:after="0" w:afterAutospacing="0"/>
              <w:ind w:left="0" w:right="0"/>
              <w:rPr>
                <w:rFonts w:hint="default"/>
                <w:b/>
                <w:bCs/>
                <w:color w:val="auto"/>
                <w:sz w:val="24"/>
                <w:szCs w:val="22"/>
                <w:highlight w:val="none"/>
              </w:rPr>
            </w:pPr>
          </w:p>
        </w:tc>
      </w:tr>
      <w:tr w14:paraId="4314D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2350" w:type="dxa"/>
          </w:tcPr>
          <w:p w14:paraId="326ED147">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320AC361">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5EB72DB3">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5798DC6E">
            <w:pPr>
              <w:pStyle w:val="5"/>
              <w:keepNext w:val="0"/>
              <w:keepLines w:val="0"/>
              <w:suppressLineNumbers w:val="0"/>
              <w:spacing w:before="0" w:beforeAutospacing="0" w:after="0" w:afterAutospacing="0"/>
              <w:ind w:left="0" w:right="0"/>
              <w:rPr>
                <w:rFonts w:hint="default"/>
                <w:b/>
                <w:bCs/>
                <w:color w:val="auto"/>
                <w:sz w:val="24"/>
                <w:szCs w:val="22"/>
                <w:highlight w:val="none"/>
              </w:rPr>
            </w:pPr>
          </w:p>
        </w:tc>
      </w:tr>
      <w:tr w14:paraId="4054A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2350" w:type="dxa"/>
          </w:tcPr>
          <w:p w14:paraId="2997A07E">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2C66D3BC">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64EA1150">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40AE8D80">
            <w:pPr>
              <w:pStyle w:val="5"/>
              <w:keepNext w:val="0"/>
              <w:keepLines w:val="0"/>
              <w:suppressLineNumbers w:val="0"/>
              <w:spacing w:before="0" w:beforeAutospacing="0" w:after="0" w:afterAutospacing="0"/>
              <w:ind w:left="0" w:right="0"/>
              <w:rPr>
                <w:rFonts w:hint="default"/>
                <w:b/>
                <w:bCs/>
                <w:color w:val="auto"/>
                <w:sz w:val="24"/>
                <w:szCs w:val="22"/>
                <w:highlight w:val="none"/>
              </w:rPr>
            </w:pPr>
          </w:p>
        </w:tc>
      </w:tr>
      <w:tr w14:paraId="52814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2350" w:type="dxa"/>
          </w:tcPr>
          <w:p w14:paraId="6A297BCB">
            <w:pPr>
              <w:pStyle w:val="5"/>
              <w:keepNext w:val="0"/>
              <w:keepLines w:val="0"/>
              <w:suppressLineNumbers w:val="0"/>
              <w:spacing w:before="0" w:beforeAutospacing="0" w:after="0" w:afterAutospacing="0"/>
              <w:ind w:left="0" w:right="0"/>
              <w:rPr>
                <w:rFonts w:hint="default"/>
                <w:b/>
                <w:bCs/>
                <w:color w:val="auto"/>
                <w:sz w:val="24"/>
                <w:szCs w:val="22"/>
                <w:highlight w:val="none"/>
              </w:rPr>
            </w:pPr>
            <w:r>
              <w:rPr>
                <w:rFonts w:hint="eastAsia"/>
                <w:b/>
                <w:bCs/>
                <w:color w:val="auto"/>
                <w:sz w:val="24"/>
                <w:szCs w:val="22"/>
                <w:highlight w:val="none"/>
              </w:rPr>
              <w:t>...</w:t>
            </w:r>
          </w:p>
        </w:tc>
        <w:tc>
          <w:tcPr>
            <w:tcW w:w="2350" w:type="dxa"/>
          </w:tcPr>
          <w:p w14:paraId="7180F003">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735D3084">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25866181">
            <w:pPr>
              <w:pStyle w:val="5"/>
              <w:keepNext w:val="0"/>
              <w:keepLines w:val="0"/>
              <w:suppressLineNumbers w:val="0"/>
              <w:spacing w:before="0" w:beforeAutospacing="0" w:after="0" w:afterAutospacing="0"/>
              <w:ind w:left="0" w:right="0"/>
              <w:rPr>
                <w:rFonts w:hint="default"/>
                <w:b/>
                <w:bCs/>
                <w:color w:val="auto"/>
                <w:sz w:val="24"/>
                <w:szCs w:val="22"/>
                <w:highlight w:val="none"/>
              </w:rPr>
            </w:pPr>
          </w:p>
        </w:tc>
      </w:tr>
      <w:tr w14:paraId="1EC75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400" w:type="dxa"/>
            <w:gridSpan w:val="4"/>
          </w:tcPr>
          <w:p w14:paraId="7978A52B">
            <w:pPr>
              <w:pStyle w:val="5"/>
              <w:keepNext w:val="0"/>
              <w:keepLines w:val="0"/>
              <w:suppressLineNumbers w:val="0"/>
              <w:spacing w:before="0" w:beforeAutospacing="0" w:after="0" w:afterAutospacing="0"/>
              <w:ind w:left="0" w:right="0" w:firstLine="0"/>
              <w:jc w:val="center"/>
              <w:rPr>
                <w:rFonts w:hint="default"/>
                <w:b/>
                <w:bCs/>
                <w:color w:val="auto"/>
                <w:sz w:val="24"/>
                <w:szCs w:val="22"/>
                <w:highlight w:val="none"/>
              </w:rPr>
            </w:pPr>
            <w:r>
              <w:rPr>
                <w:rFonts w:hint="eastAsia"/>
                <w:b/>
                <w:bCs/>
                <w:color w:val="auto"/>
                <w:sz w:val="24"/>
                <w:szCs w:val="22"/>
                <w:highlight w:val="none"/>
              </w:rPr>
              <w:t>收费损耗备品备件清单</w:t>
            </w:r>
          </w:p>
        </w:tc>
      </w:tr>
      <w:tr w14:paraId="2233C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2350" w:type="dxa"/>
            <w:vAlign w:val="center"/>
          </w:tcPr>
          <w:p w14:paraId="19ADB2CB">
            <w:pPr>
              <w:pStyle w:val="5"/>
              <w:keepNext w:val="0"/>
              <w:keepLines w:val="0"/>
              <w:suppressLineNumbers w:val="0"/>
              <w:spacing w:before="0" w:beforeAutospacing="0" w:after="0" w:afterAutospacing="0"/>
              <w:ind w:left="0" w:right="0" w:firstLine="0"/>
              <w:rPr>
                <w:rFonts w:hint="default"/>
                <w:b/>
                <w:bCs/>
                <w:color w:val="auto"/>
                <w:sz w:val="24"/>
                <w:szCs w:val="22"/>
                <w:highlight w:val="none"/>
              </w:rPr>
            </w:pPr>
            <w:r>
              <w:rPr>
                <w:rFonts w:hint="eastAsia"/>
                <w:b/>
                <w:bCs/>
                <w:color w:val="auto"/>
                <w:sz w:val="24"/>
                <w:szCs w:val="22"/>
                <w:highlight w:val="none"/>
              </w:rPr>
              <w:t>序号</w:t>
            </w:r>
          </w:p>
        </w:tc>
        <w:tc>
          <w:tcPr>
            <w:tcW w:w="2350" w:type="dxa"/>
            <w:vAlign w:val="center"/>
          </w:tcPr>
          <w:p w14:paraId="5362EB54">
            <w:pPr>
              <w:pStyle w:val="5"/>
              <w:keepNext w:val="0"/>
              <w:keepLines w:val="0"/>
              <w:suppressLineNumbers w:val="0"/>
              <w:spacing w:before="0" w:beforeAutospacing="0" w:after="0" w:afterAutospacing="0"/>
              <w:ind w:left="0" w:right="0" w:firstLine="0"/>
              <w:jc w:val="center"/>
              <w:rPr>
                <w:rFonts w:hint="default"/>
                <w:b/>
                <w:bCs/>
                <w:color w:val="auto"/>
                <w:sz w:val="24"/>
                <w:szCs w:val="22"/>
                <w:highlight w:val="none"/>
              </w:rPr>
            </w:pPr>
            <w:r>
              <w:rPr>
                <w:rFonts w:hint="eastAsia"/>
                <w:b/>
                <w:bCs/>
                <w:color w:val="auto"/>
                <w:sz w:val="24"/>
                <w:szCs w:val="22"/>
                <w:highlight w:val="none"/>
              </w:rPr>
              <w:t>备品备件名称</w:t>
            </w:r>
          </w:p>
        </w:tc>
        <w:tc>
          <w:tcPr>
            <w:tcW w:w="2350" w:type="dxa"/>
            <w:vAlign w:val="center"/>
          </w:tcPr>
          <w:p w14:paraId="78208BD1">
            <w:pPr>
              <w:pStyle w:val="5"/>
              <w:keepNext w:val="0"/>
              <w:keepLines w:val="0"/>
              <w:suppressLineNumbers w:val="0"/>
              <w:spacing w:before="0" w:beforeAutospacing="0" w:after="0" w:afterAutospacing="0"/>
              <w:ind w:left="0" w:right="0" w:firstLine="0"/>
              <w:jc w:val="center"/>
              <w:rPr>
                <w:rFonts w:hint="default"/>
                <w:b/>
                <w:bCs/>
                <w:color w:val="auto"/>
                <w:sz w:val="24"/>
                <w:szCs w:val="22"/>
                <w:highlight w:val="none"/>
              </w:rPr>
            </w:pPr>
            <w:r>
              <w:rPr>
                <w:rFonts w:hint="eastAsia"/>
                <w:b/>
                <w:bCs/>
                <w:color w:val="auto"/>
                <w:sz w:val="24"/>
                <w:szCs w:val="22"/>
                <w:highlight w:val="none"/>
              </w:rPr>
              <w:t>价格</w:t>
            </w:r>
          </w:p>
        </w:tc>
        <w:tc>
          <w:tcPr>
            <w:tcW w:w="2350" w:type="dxa"/>
            <w:vAlign w:val="center"/>
          </w:tcPr>
          <w:p w14:paraId="4E7C58F3">
            <w:pPr>
              <w:pStyle w:val="5"/>
              <w:keepNext w:val="0"/>
              <w:keepLines w:val="0"/>
              <w:suppressLineNumbers w:val="0"/>
              <w:spacing w:before="0" w:beforeAutospacing="0" w:after="0" w:afterAutospacing="0"/>
              <w:ind w:left="0" w:right="0" w:firstLine="0"/>
              <w:jc w:val="center"/>
              <w:rPr>
                <w:rFonts w:hint="default"/>
                <w:b/>
                <w:bCs/>
                <w:color w:val="auto"/>
                <w:sz w:val="24"/>
                <w:szCs w:val="22"/>
                <w:highlight w:val="none"/>
              </w:rPr>
            </w:pPr>
            <w:r>
              <w:rPr>
                <w:rFonts w:hint="eastAsia"/>
                <w:b/>
                <w:bCs/>
                <w:color w:val="auto"/>
                <w:sz w:val="24"/>
                <w:szCs w:val="22"/>
                <w:highlight w:val="none"/>
              </w:rPr>
              <w:t>备注</w:t>
            </w:r>
          </w:p>
        </w:tc>
      </w:tr>
      <w:tr w14:paraId="3B0E6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2350" w:type="dxa"/>
          </w:tcPr>
          <w:p w14:paraId="344079CA">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186FDCB1">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1FB49A7D">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14D7FF14">
            <w:pPr>
              <w:pStyle w:val="5"/>
              <w:keepNext w:val="0"/>
              <w:keepLines w:val="0"/>
              <w:suppressLineNumbers w:val="0"/>
              <w:spacing w:before="0" w:beforeAutospacing="0" w:after="0" w:afterAutospacing="0"/>
              <w:ind w:left="0" w:right="0"/>
              <w:rPr>
                <w:rFonts w:hint="default"/>
                <w:b/>
                <w:bCs/>
                <w:color w:val="auto"/>
                <w:sz w:val="24"/>
                <w:szCs w:val="22"/>
                <w:highlight w:val="none"/>
              </w:rPr>
            </w:pPr>
          </w:p>
        </w:tc>
      </w:tr>
      <w:tr w14:paraId="3CF1E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2350" w:type="dxa"/>
          </w:tcPr>
          <w:p w14:paraId="76E06A34">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51ABF92B">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3FDAD140">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799C60CD">
            <w:pPr>
              <w:pStyle w:val="5"/>
              <w:keepNext w:val="0"/>
              <w:keepLines w:val="0"/>
              <w:suppressLineNumbers w:val="0"/>
              <w:spacing w:before="0" w:beforeAutospacing="0" w:after="0" w:afterAutospacing="0"/>
              <w:ind w:left="0" w:right="0"/>
              <w:rPr>
                <w:rFonts w:hint="default"/>
                <w:b/>
                <w:bCs/>
                <w:color w:val="auto"/>
                <w:sz w:val="24"/>
                <w:szCs w:val="22"/>
                <w:highlight w:val="none"/>
              </w:rPr>
            </w:pPr>
          </w:p>
        </w:tc>
      </w:tr>
      <w:tr w14:paraId="5A8E5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2350" w:type="dxa"/>
          </w:tcPr>
          <w:p w14:paraId="78A6A087">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142E8A92">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7755D6B4">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139A83F8">
            <w:pPr>
              <w:pStyle w:val="5"/>
              <w:keepNext w:val="0"/>
              <w:keepLines w:val="0"/>
              <w:suppressLineNumbers w:val="0"/>
              <w:spacing w:before="0" w:beforeAutospacing="0" w:after="0" w:afterAutospacing="0"/>
              <w:ind w:left="0" w:right="0"/>
              <w:rPr>
                <w:rFonts w:hint="default"/>
                <w:b/>
                <w:bCs/>
                <w:color w:val="auto"/>
                <w:sz w:val="24"/>
                <w:szCs w:val="22"/>
                <w:highlight w:val="none"/>
              </w:rPr>
            </w:pPr>
          </w:p>
        </w:tc>
      </w:tr>
      <w:tr w14:paraId="4E0A6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2350" w:type="dxa"/>
          </w:tcPr>
          <w:p w14:paraId="425D7C3B">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667C3ED8">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23924E4D">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4E62610F">
            <w:pPr>
              <w:pStyle w:val="5"/>
              <w:keepNext w:val="0"/>
              <w:keepLines w:val="0"/>
              <w:suppressLineNumbers w:val="0"/>
              <w:spacing w:before="0" w:beforeAutospacing="0" w:after="0" w:afterAutospacing="0"/>
              <w:ind w:left="0" w:right="0"/>
              <w:rPr>
                <w:rFonts w:hint="default"/>
                <w:b/>
                <w:bCs/>
                <w:color w:val="auto"/>
                <w:sz w:val="24"/>
                <w:szCs w:val="22"/>
                <w:highlight w:val="none"/>
              </w:rPr>
            </w:pPr>
          </w:p>
        </w:tc>
      </w:tr>
      <w:tr w14:paraId="30629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2350" w:type="dxa"/>
          </w:tcPr>
          <w:p w14:paraId="4ACABA98">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3A50695E">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5A7E7364">
            <w:pPr>
              <w:pStyle w:val="5"/>
              <w:keepNext w:val="0"/>
              <w:keepLines w:val="0"/>
              <w:suppressLineNumbers w:val="0"/>
              <w:spacing w:before="0" w:beforeAutospacing="0" w:after="0" w:afterAutospacing="0"/>
              <w:ind w:left="0" w:right="0"/>
              <w:rPr>
                <w:rFonts w:hint="default"/>
                <w:b/>
                <w:bCs/>
                <w:color w:val="auto"/>
                <w:sz w:val="24"/>
                <w:szCs w:val="22"/>
                <w:highlight w:val="none"/>
              </w:rPr>
            </w:pPr>
          </w:p>
        </w:tc>
        <w:tc>
          <w:tcPr>
            <w:tcW w:w="2350" w:type="dxa"/>
          </w:tcPr>
          <w:p w14:paraId="4C3FF996">
            <w:pPr>
              <w:pStyle w:val="5"/>
              <w:keepNext w:val="0"/>
              <w:keepLines w:val="0"/>
              <w:suppressLineNumbers w:val="0"/>
              <w:spacing w:before="0" w:beforeAutospacing="0" w:after="0" w:afterAutospacing="0"/>
              <w:ind w:left="0" w:right="0"/>
              <w:rPr>
                <w:rFonts w:hint="default"/>
                <w:b/>
                <w:bCs/>
                <w:color w:val="auto"/>
                <w:sz w:val="24"/>
                <w:szCs w:val="22"/>
                <w:highlight w:val="none"/>
              </w:rPr>
            </w:pPr>
          </w:p>
        </w:tc>
      </w:tr>
    </w:tbl>
    <w:p w14:paraId="0D522C80">
      <w:pPr>
        <w:pStyle w:val="5"/>
        <w:rPr>
          <w:color w:val="auto"/>
          <w:highlight w:val="none"/>
        </w:rPr>
      </w:pPr>
    </w:p>
    <w:p w14:paraId="5F313CB6">
      <w:pPr>
        <w:pStyle w:val="6"/>
        <w:spacing w:line="240" w:lineRule="auto"/>
        <w:ind w:left="0" w:leftChars="0" w:firstLine="0" w:firstLineChars="0"/>
        <w:rPr>
          <w:color w:val="auto"/>
          <w:highlight w:val="none"/>
        </w:rPr>
      </w:pPr>
      <w:r>
        <w:rPr>
          <w:rFonts w:hint="eastAsia" w:ascii="宋体" w:hAnsi="宋体" w:eastAsia="宋体" w:cs="宋体"/>
          <w:color w:val="auto"/>
          <w:sz w:val="24"/>
          <w:szCs w:val="18"/>
          <w:highlight w:val="none"/>
        </w:rPr>
        <w:t>服务质保期内免费提供损耗件备品备件，如有耗材需提供配套耗材价格表。</w:t>
      </w:r>
    </w:p>
    <w:p w14:paraId="3DBD8CDD">
      <w:pPr>
        <w:rPr>
          <w:rStyle w:val="38"/>
          <w:rFonts w:hint="eastAsia" w:ascii="宋体" w:hAnsi="宋体" w:eastAsia="宋体" w:cs="宋体"/>
          <w:b/>
          <w:bCs/>
          <w:color w:val="auto"/>
          <w:sz w:val="32"/>
          <w:szCs w:val="28"/>
          <w:highlight w:val="none"/>
          <w:lang w:val="en-US" w:eastAsia="zh-CN"/>
        </w:rPr>
      </w:pPr>
      <w:r>
        <w:rPr>
          <w:rStyle w:val="38"/>
          <w:rFonts w:hint="eastAsia" w:ascii="宋体" w:hAnsi="宋体" w:eastAsia="宋体" w:cs="宋体"/>
          <w:b/>
          <w:bCs/>
          <w:color w:val="auto"/>
          <w:sz w:val="32"/>
          <w:szCs w:val="28"/>
          <w:highlight w:val="none"/>
          <w:lang w:val="en-US" w:eastAsia="zh-CN"/>
        </w:rPr>
        <w:br w:type="page"/>
      </w:r>
    </w:p>
    <w:p w14:paraId="51ED0BFD">
      <w:pPr>
        <w:pStyle w:val="5"/>
        <w:tabs>
          <w:tab w:val="left" w:pos="5527"/>
        </w:tabs>
        <w:jc w:val="left"/>
        <w:outlineLvl w:val="9"/>
        <w:rPr>
          <w:rStyle w:val="38"/>
          <w:rFonts w:hint="eastAsia" w:ascii="宋体" w:hAnsi="宋体" w:eastAsia="宋体" w:cs="宋体"/>
          <w:color w:val="auto"/>
          <w:sz w:val="32"/>
          <w:szCs w:val="28"/>
          <w:highlight w:val="none"/>
          <w:lang w:val="en-US" w:eastAsia="zh-CN"/>
        </w:rPr>
      </w:pPr>
      <w:r>
        <w:rPr>
          <w:rStyle w:val="38"/>
          <w:rFonts w:hint="eastAsia" w:ascii="宋体" w:hAnsi="宋体" w:eastAsia="宋体" w:cs="宋体"/>
          <w:b/>
          <w:bCs/>
          <w:color w:val="auto"/>
          <w:sz w:val="32"/>
          <w:szCs w:val="28"/>
          <w:highlight w:val="none"/>
          <w:lang w:val="en-US" w:eastAsia="zh-CN"/>
        </w:rPr>
        <w:t>附件4:</w:t>
      </w:r>
      <w:bookmarkEnd w:id="234"/>
      <w:bookmarkEnd w:id="235"/>
    </w:p>
    <w:bookmarkEnd w:id="236"/>
    <w:bookmarkEnd w:id="239"/>
    <w:bookmarkEnd w:id="240"/>
    <w:bookmarkEnd w:id="241"/>
    <w:bookmarkEnd w:id="242"/>
    <w:bookmarkEnd w:id="243"/>
    <w:bookmarkEnd w:id="244"/>
    <w:p w14:paraId="30F5D59D">
      <w:pPr>
        <w:keepNext w:val="0"/>
        <w:tabs>
          <w:tab w:val="left" w:pos="5527"/>
        </w:tabs>
        <w:jc w:val="center"/>
        <w:outlineLvl w:val="1"/>
        <w:rPr>
          <w:rFonts w:hint="eastAsia" w:ascii="宋体" w:hAnsi="宋体" w:eastAsia="宋体" w:cs="宋体"/>
          <w:b/>
          <w:bCs/>
          <w:color w:val="auto"/>
          <w:kern w:val="2"/>
          <w:sz w:val="32"/>
          <w:szCs w:val="21"/>
          <w:highlight w:val="none"/>
          <w:lang w:val="en-US" w:eastAsia="zh-CN"/>
        </w:rPr>
      </w:pPr>
      <w:bookmarkStart w:id="245" w:name="_Toc27427"/>
      <w:bookmarkStart w:id="246" w:name="_Toc25246"/>
      <w:bookmarkStart w:id="247" w:name="_Toc11446"/>
      <w:bookmarkStart w:id="248" w:name="_Toc15203"/>
      <w:bookmarkStart w:id="249" w:name="_Toc18659"/>
      <w:bookmarkStart w:id="250" w:name="_Toc18133"/>
      <w:bookmarkStart w:id="251" w:name="_Toc24267"/>
      <w:r>
        <w:rPr>
          <w:rFonts w:hint="eastAsia" w:ascii="宋体" w:hAnsi="宋体" w:eastAsia="宋体" w:cs="宋体"/>
          <w:b/>
          <w:bCs/>
          <w:color w:val="auto"/>
          <w:kern w:val="2"/>
          <w:sz w:val="32"/>
          <w:szCs w:val="21"/>
          <w:highlight w:val="none"/>
          <w:lang w:val="en-US" w:eastAsia="zh-CN"/>
        </w:rPr>
        <w:t>供应商概况表</w:t>
      </w:r>
      <w:bookmarkEnd w:id="245"/>
      <w:bookmarkEnd w:id="246"/>
      <w:bookmarkEnd w:id="247"/>
      <w:bookmarkEnd w:id="248"/>
      <w:bookmarkEnd w:id="249"/>
      <w:bookmarkEnd w:id="250"/>
    </w:p>
    <w:bookmarkEnd w:id="251"/>
    <w:tbl>
      <w:tblPr>
        <w:tblStyle w:val="27"/>
        <w:tblW w:w="8699" w:type="dxa"/>
        <w:jc w:val="center"/>
        <w:tblLayout w:type="fixed"/>
        <w:tblCellMar>
          <w:top w:w="0" w:type="dxa"/>
          <w:left w:w="108" w:type="dxa"/>
          <w:bottom w:w="0" w:type="dxa"/>
          <w:right w:w="108" w:type="dxa"/>
        </w:tblCellMar>
      </w:tblPr>
      <w:tblGrid>
        <w:gridCol w:w="2051"/>
        <w:gridCol w:w="2965"/>
        <w:gridCol w:w="1446"/>
        <w:gridCol w:w="2237"/>
      </w:tblGrid>
      <w:tr w14:paraId="7216B271">
        <w:tblPrEx>
          <w:tblCellMar>
            <w:top w:w="0" w:type="dxa"/>
            <w:left w:w="108" w:type="dxa"/>
            <w:bottom w:w="0" w:type="dxa"/>
            <w:right w:w="108" w:type="dxa"/>
          </w:tblCellMar>
        </w:tblPrEx>
        <w:trPr>
          <w:trHeight w:val="664" w:hRule="atLeast"/>
          <w:jc w:val="center"/>
        </w:trPr>
        <w:tc>
          <w:tcPr>
            <w:tcW w:w="2051" w:type="dxa"/>
            <w:tcBorders>
              <w:top w:val="single" w:color="auto" w:sz="4" w:space="0"/>
              <w:left w:val="single" w:color="auto" w:sz="4" w:space="0"/>
              <w:bottom w:val="single" w:color="auto" w:sz="4" w:space="0"/>
              <w:right w:val="single" w:color="auto" w:sz="4" w:space="0"/>
            </w:tcBorders>
            <w:vAlign w:val="center"/>
          </w:tcPr>
          <w:p w14:paraId="1FF9E842">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企业名称</w:t>
            </w:r>
          </w:p>
        </w:tc>
        <w:tc>
          <w:tcPr>
            <w:tcW w:w="6648" w:type="dxa"/>
            <w:gridSpan w:val="3"/>
            <w:tcBorders>
              <w:top w:val="single" w:color="auto" w:sz="4" w:space="0"/>
              <w:left w:val="single" w:color="auto" w:sz="4" w:space="0"/>
              <w:bottom w:val="single" w:color="auto" w:sz="4" w:space="0"/>
              <w:right w:val="single" w:color="auto" w:sz="4" w:space="0"/>
            </w:tcBorders>
            <w:vAlign w:val="center"/>
          </w:tcPr>
          <w:p w14:paraId="7EB2B774">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firstLine="480"/>
              <w:jc w:val="center"/>
              <w:textAlignment w:val="auto"/>
              <w:outlineLvl w:val="9"/>
              <w:rPr>
                <w:rFonts w:hint="eastAsia" w:ascii="宋体" w:hAnsi="宋体" w:eastAsia="宋体" w:cs="宋体"/>
                <w:color w:val="auto"/>
                <w:sz w:val="24"/>
                <w:szCs w:val="24"/>
                <w:highlight w:val="none"/>
              </w:rPr>
            </w:pPr>
          </w:p>
        </w:tc>
      </w:tr>
      <w:tr w14:paraId="3AE02FDA">
        <w:tblPrEx>
          <w:tblCellMar>
            <w:top w:w="0" w:type="dxa"/>
            <w:left w:w="108" w:type="dxa"/>
            <w:bottom w:w="0" w:type="dxa"/>
            <w:right w:w="108" w:type="dxa"/>
          </w:tblCellMar>
        </w:tblPrEx>
        <w:trPr>
          <w:trHeight w:val="933" w:hRule="atLeast"/>
          <w:jc w:val="center"/>
        </w:trPr>
        <w:tc>
          <w:tcPr>
            <w:tcW w:w="2051" w:type="dxa"/>
            <w:tcBorders>
              <w:top w:val="single" w:color="auto" w:sz="4" w:space="0"/>
              <w:left w:val="single" w:color="auto" w:sz="4" w:space="0"/>
              <w:bottom w:val="single" w:color="auto" w:sz="4" w:space="0"/>
              <w:right w:val="single" w:color="auto" w:sz="4" w:space="0"/>
            </w:tcBorders>
            <w:vAlign w:val="center"/>
          </w:tcPr>
          <w:p w14:paraId="1478EC14">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企业法人营业</w:t>
            </w:r>
          </w:p>
          <w:p w14:paraId="3AC0E963">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执照注册号</w:t>
            </w:r>
          </w:p>
        </w:tc>
        <w:tc>
          <w:tcPr>
            <w:tcW w:w="6648" w:type="dxa"/>
            <w:gridSpan w:val="3"/>
            <w:tcBorders>
              <w:top w:val="single" w:color="auto" w:sz="4" w:space="0"/>
              <w:left w:val="single" w:color="auto" w:sz="4" w:space="0"/>
              <w:bottom w:val="single" w:color="auto" w:sz="4" w:space="0"/>
              <w:right w:val="single" w:color="auto" w:sz="4" w:space="0"/>
            </w:tcBorders>
            <w:vAlign w:val="center"/>
          </w:tcPr>
          <w:p w14:paraId="78816BC6">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firstLine="480"/>
              <w:jc w:val="center"/>
              <w:textAlignment w:val="auto"/>
              <w:outlineLvl w:val="9"/>
              <w:rPr>
                <w:rFonts w:hint="eastAsia" w:ascii="宋体" w:hAnsi="宋体" w:eastAsia="宋体" w:cs="宋体"/>
                <w:color w:val="auto"/>
                <w:sz w:val="24"/>
                <w:szCs w:val="24"/>
                <w:highlight w:val="none"/>
              </w:rPr>
            </w:pPr>
          </w:p>
        </w:tc>
      </w:tr>
      <w:tr w14:paraId="3E538CED">
        <w:tblPrEx>
          <w:tblCellMar>
            <w:top w:w="0" w:type="dxa"/>
            <w:left w:w="108" w:type="dxa"/>
            <w:bottom w:w="0" w:type="dxa"/>
            <w:right w:w="108" w:type="dxa"/>
          </w:tblCellMar>
        </w:tblPrEx>
        <w:trPr>
          <w:trHeight w:val="664" w:hRule="atLeast"/>
          <w:jc w:val="center"/>
        </w:trPr>
        <w:tc>
          <w:tcPr>
            <w:tcW w:w="2051" w:type="dxa"/>
            <w:tcBorders>
              <w:top w:val="single" w:color="auto" w:sz="4" w:space="0"/>
              <w:left w:val="single" w:color="auto" w:sz="4" w:space="0"/>
              <w:bottom w:val="single" w:color="auto" w:sz="4" w:space="0"/>
              <w:right w:val="single" w:color="auto" w:sz="4" w:space="0"/>
            </w:tcBorders>
            <w:vAlign w:val="center"/>
          </w:tcPr>
          <w:p w14:paraId="34F89532">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地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址</w:t>
            </w:r>
          </w:p>
        </w:tc>
        <w:tc>
          <w:tcPr>
            <w:tcW w:w="6648" w:type="dxa"/>
            <w:gridSpan w:val="3"/>
            <w:tcBorders>
              <w:top w:val="single" w:color="auto" w:sz="4" w:space="0"/>
              <w:left w:val="single" w:color="auto" w:sz="4" w:space="0"/>
              <w:bottom w:val="single" w:color="auto" w:sz="4" w:space="0"/>
              <w:right w:val="single" w:color="auto" w:sz="4" w:space="0"/>
            </w:tcBorders>
            <w:vAlign w:val="center"/>
          </w:tcPr>
          <w:p w14:paraId="0C08E821">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firstLine="480"/>
              <w:jc w:val="center"/>
              <w:textAlignment w:val="auto"/>
              <w:outlineLvl w:val="9"/>
              <w:rPr>
                <w:rFonts w:hint="eastAsia" w:ascii="宋体" w:hAnsi="宋体" w:eastAsia="宋体" w:cs="宋体"/>
                <w:color w:val="auto"/>
                <w:sz w:val="24"/>
                <w:szCs w:val="24"/>
                <w:highlight w:val="none"/>
              </w:rPr>
            </w:pPr>
          </w:p>
        </w:tc>
      </w:tr>
      <w:tr w14:paraId="07DC9415">
        <w:tblPrEx>
          <w:tblCellMar>
            <w:top w:w="0" w:type="dxa"/>
            <w:left w:w="108" w:type="dxa"/>
            <w:bottom w:w="0" w:type="dxa"/>
            <w:right w:w="108" w:type="dxa"/>
          </w:tblCellMar>
        </w:tblPrEx>
        <w:trPr>
          <w:trHeight w:val="664" w:hRule="atLeast"/>
          <w:jc w:val="center"/>
        </w:trPr>
        <w:tc>
          <w:tcPr>
            <w:tcW w:w="2051" w:type="dxa"/>
            <w:tcBorders>
              <w:top w:val="single" w:color="auto" w:sz="4" w:space="0"/>
              <w:left w:val="single" w:color="auto" w:sz="4" w:space="0"/>
              <w:bottom w:val="single" w:color="auto" w:sz="4" w:space="0"/>
              <w:right w:val="single" w:color="auto" w:sz="4" w:space="0"/>
            </w:tcBorders>
            <w:vAlign w:val="center"/>
          </w:tcPr>
          <w:p w14:paraId="4816ED3B">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注册资本</w:t>
            </w:r>
          </w:p>
        </w:tc>
        <w:tc>
          <w:tcPr>
            <w:tcW w:w="2965" w:type="dxa"/>
            <w:tcBorders>
              <w:top w:val="single" w:color="auto" w:sz="4" w:space="0"/>
              <w:left w:val="single" w:color="auto" w:sz="4" w:space="0"/>
              <w:bottom w:val="single" w:color="auto" w:sz="4" w:space="0"/>
              <w:right w:val="single" w:color="auto" w:sz="4" w:space="0"/>
            </w:tcBorders>
            <w:vAlign w:val="center"/>
          </w:tcPr>
          <w:p w14:paraId="4EB667D4">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firstLine="480"/>
              <w:jc w:val="center"/>
              <w:textAlignment w:val="auto"/>
              <w:outlineLvl w:val="9"/>
              <w:rPr>
                <w:rFonts w:hint="eastAsia" w:ascii="宋体" w:hAnsi="宋体" w:eastAsia="宋体" w:cs="宋体"/>
                <w:color w:val="auto"/>
                <w:sz w:val="24"/>
                <w:szCs w:val="24"/>
                <w:highlight w:val="none"/>
              </w:rPr>
            </w:pPr>
          </w:p>
        </w:tc>
        <w:tc>
          <w:tcPr>
            <w:tcW w:w="1446" w:type="dxa"/>
            <w:tcBorders>
              <w:top w:val="single" w:color="auto" w:sz="4" w:space="0"/>
              <w:left w:val="single" w:color="auto" w:sz="4" w:space="0"/>
              <w:bottom w:val="single" w:color="auto" w:sz="4" w:space="0"/>
              <w:right w:val="single" w:color="auto" w:sz="4" w:space="0"/>
            </w:tcBorders>
            <w:vAlign w:val="center"/>
          </w:tcPr>
          <w:p w14:paraId="583DF7FA">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企业类型</w:t>
            </w:r>
          </w:p>
        </w:tc>
        <w:tc>
          <w:tcPr>
            <w:tcW w:w="2237" w:type="dxa"/>
            <w:tcBorders>
              <w:top w:val="single" w:color="auto" w:sz="4" w:space="0"/>
              <w:left w:val="single" w:color="auto" w:sz="4" w:space="0"/>
              <w:bottom w:val="single" w:color="auto" w:sz="4" w:space="0"/>
              <w:right w:val="single" w:color="auto" w:sz="4" w:space="0"/>
            </w:tcBorders>
            <w:vAlign w:val="center"/>
          </w:tcPr>
          <w:p w14:paraId="20DC4C48">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firstLine="480"/>
              <w:jc w:val="both"/>
              <w:textAlignment w:val="auto"/>
              <w:outlineLvl w:val="9"/>
              <w:rPr>
                <w:rFonts w:hint="eastAsia" w:ascii="宋体" w:hAnsi="宋体" w:eastAsia="宋体" w:cs="宋体"/>
                <w:color w:val="auto"/>
                <w:sz w:val="24"/>
                <w:szCs w:val="24"/>
                <w:highlight w:val="none"/>
              </w:rPr>
            </w:pPr>
          </w:p>
        </w:tc>
      </w:tr>
      <w:tr w14:paraId="439A7EF3">
        <w:tblPrEx>
          <w:tblCellMar>
            <w:top w:w="0" w:type="dxa"/>
            <w:left w:w="108" w:type="dxa"/>
            <w:bottom w:w="0" w:type="dxa"/>
            <w:right w:w="108" w:type="dxa"/>
          </w:tblCellMar>
        </w:tblPrEx>
        <w:trPr>
          <w:trHeight w:val="664" w:hRule="atLeast"/>
          <w:jc w:val="center"/>
        </w:trPr>
        <w:tc>
          <w:tcPr>
            <w:tcW w:w="2051" w:type="dxa"/>
            <w:tcBorders>
              <w:top w:val="single" w:color="auto" w:sz="4" w:space="0"/>
              <w:left w:val="single" w:color="auto" w:sz="4" w:space="0"/>
              <w:bottom w:val="single" w:color="auto" w:sz="4" w:space="0"/>
              <w:right w:val="single" w:color="auto" w:sz="4" w:space="0"/>
            </w:tcBorders>
            <w:vAlign w:val="center"/>
          </w:tcPr>
          <w:p w14:paraId="4B693138">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p>
        </w:tc>
        <w:tc>
          <w:tcPr>
            <w:tcW w:w="2965" w:type="dxa"/>
            <w:tcBorders>
              <w:top w:val="single" w:color="auto" w:sz="4" w:space="0"/>
              <w:left w:val="single" w:color="auto" w:sz="4" w:space="0"/>
              <w:bottom w:val="single" w:color="auto" w:sz="4" w:space="0"/>
              <w:right w:val="single" w:color="auto" w:sz="4" w:space="0"/>
            </w:tcBorders>
            <w:vAlign w:val="center"/>
          </w:tcPr>
          <w:p w14:paraId="63F33276">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firstLine="480"/>
              <w:jc w:val="center"/>
              <w:textAlignment w:val="auto"/>
              <w:outlineLvl w:val="9"/>
              <w:rPr>
                <w:rFonts w:hint="eastAsia" w:ascii="宋体" w:hAnsi="宋体" w:eastAsia="宋体" w:cs="宋体"/>
                <w:color w:val="auto"/>
                <w:sz w:val="24"/>
                <w:szCs w:val="24"/>
                <w:highlight w:val="none"/>
              </w:rPr>
            </w:pPr>
          </w:p>
        </w:tc>
        <w:tc>
          <w:tcPr>
            <w:tcW w:w="1446" w:type="dxa"/>
            <w:tcBorders>
              <w:top w:val="single" w:color="auto" w:sz="4" w:space="0"/>
              <w:left w:val="single" w:color="auto" w:sz="4" w:space="0"/>
              <w:bottom w:val="single" w:color="auto" w:sz="4" w:space="0"/>
              <w:right w:val="single" w:color="auto" w:sz="4" w:space="0"/>
            </w:tcBorders>
            <w:vAlign w:val="center"/>
          </w:tcPr>
          <w:p w14:paraId="496454C2">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成立时间</w:t>
            </w:r>
          </w:p>
        </w:tc>
        <w:tc>
          <w:tcPr>
            <w:tcW w:w="2237" w:type="dxa"/>
            <w:tcBorders>
              <w:top w:val="single" w:color="auto" w:sz="4" w:space="0"/>
              <w:left w:val="single" w:color="auto" w:sz="4" w:space="0"/>
              <w:bottom w:val="single" w:color="auto" w:sz="4" w:space="0"/>
              <w:right w:val="single" w:color="auto" w:sz="4" w:space="0"/>
            </w:tcBorders>
            <w:vAlign w:val="center"/>
          </w:tcPr>
          <w:p w14:paraId="077F3798">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firstLine="480"/>
              <w:jc w:val="both"/>
              <w:textAlignment w:val="auto"/>
              <w:outlineLvl w:val="9"/>
              <w:rPr>
                <w:rFonts w:hint="eastAsia" w:ascii="宋体" w:hAnsi="宋体" w:eastAsia="宋体" w:cs="宋体"/>
                <w:color w:val="auto"/>
                <w:sz w:val="24"/>
                <w:szCs w:val="24"/>
                <w:highlight w:val="none"/>
              </w:rPr>
            </w:pPr>
          </w:p>
        </w:tc>
      </w:tr>
      <w:tr w14:paraId="3E34E1C9">
        <w:tblPrEx>
          <w:tblCellMar>
            <w:top w:w="0" w:type="dxa"/>
            <w:left w:w="108" w:type="dxa"/>
            <w:bottom w:w="0" w:type="dxa"/>
            <w:right w:w="108" w:type="dxa"/>
          </w:tblCellMar>
        </w:tblPrEx>
        <w:trPr>
          <w:trHeight w:val="664" w:hRule="atLeast"/>
          <w:jc w:val="center"/>
        </w:trPr>
        <w:tc>
          <w:tcPr>
            <w:tcW w:w="2051" w:type="dxa"/>
            <w:tcBorders>
              <w:top w:val="single" w:color="auto" w:sz="4" w:space="0"/>
              <w:left w:val="single" w:color="auto" w:sz="4" w:space="0"/>
              <w:bottom w:val="single" w:color="auto" w:sz="4" w:space="0"/>
              <w:right w:val="single" w:color="auto" w:sz="4" w:space="0"/>
            </w:tcBorders>
            <w:vAlign w:val="center"/>
          </w:tcPr>
          <w:p w14:paraId="5070E666">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资质类型</w:t>
            </w:r>
          </w:p>
        </w:tc>
        <w:tc>
          <w:tcPr>
            <w:tcW w:w="2965" w:type="dxa"/>
            <w:tcBorders>
              <w:top w:val="single" w:color="auto" w:sz="4" w:space="0"/>
              <w:left w:val="single" w:color="auto" w:sz="4" w:space="0"/>
              <w:bottom w:val="single" w:color="auto" w:sz="4" w:space="0"/>
              <w:right w:val="single" w:color="auto" w:sz="4" w:space="0"/>
            </w:tcBorders>
            <w:vAlign w:val="center"/>
          </w:tcPr>
          <w:p w14:paraId="44A3BD62">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firstLine="480"/>
              <w:jc w:val="center"/>
              <w:textAlignment w:val="auto"/>
              <w:outlineLvl w:val="9"/>
              <w:rPr>
                <w:rFonts w:hint="eastAsia" w:ascii="宋体" w:hAnsi="宋体" w:eastAsia="宋体" w:cs="宋体"/>
                <w:color w:val="auto"/>
                <w:sz w:val="24"/>
                <w:szCs w:val="24"/>
                <w:highlight w:val="none"/>
              </w:rPr>
            </w:pPr>
          </w:p>
        </w:tc>
        <w:tc>
          <w:tcPr>
            <w:tcW w:w="1446" w:type="dxa"/>
            <w:tcBorders>
              <w:top w:val="single" w:color="auto" w:sz="4" w:space="0"/>
              <w:left w:val="single" w:color="auto" w:sz="4" w:space="0"/>
              <w:bottom w:val="single" w:color="auto" w:sz="4" w:space="0"/>
              <w:right w:val="single" w:color="auto" w:sz="4" w:space="0"/>
            </w:tcBorders>
            <w:vAlign w:val="center"/>
          </w:tcPr>
          <w:p w14:paraId="1BAB5F37">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资质等级</w:t>
            </w:r>
          </w:p>
        </w:tc>
        <w:tc>
          <w:tcPr>
            <w:tcW w:w="2237" w:type="dxa"/>
            <w:tcBorders>
              <w:top w:val="single" w:color="auto" w:sz="4" w:space="0"/>
              <w:left w:val="single" w:color="auto" w:sz="4" w:space="0"/>
              <w:bottom w:val="single" w:color="auto" w:sz="4" w:space="0"/>
              <w:right w:val="single" w:color="auto" w:sz="4" w:space="0"/>
            </w:tcBorders>
            <w:vAlign w:val="center"/>
          </w:tcPr>
          <w:p w14:paraId="1C1CB93E">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firstLine="480"/>
              <w:textAlignment w:val="auto"/>
              <w:outlineLvl w:val="9"/>
              <w:rPr>
                <w:rFonts w:hint="eastAsia" w:ascii="宋体" w:hAnsi="宋体" w:eastAsia="宋体" w:cs="宋体"/>
                <w:color w:val="auto"/>
                <w:sz w:val="24"/>
                <w:szCs w:val="24"/>
                <w:highlight w:val="none"/>
              </w:rPr>
            </w:pPr>
          </w:p>
        </w:tc>
      </w:tr>
      <w:tr w14:paraId="251CBCC5">
        <w:tblPrEx>
          <w:tblCellMar>
            <w:top w:w="0" w:type="dxa"/>
            <w:left w:w="108" w:type="dxa"/>
            <w:bottom w:w="0" w:type="dxa"/>
            <w:right w:w="108" w:type="dxa"/>
          </w:tblCellMar>
        </w:tblPrEx>
        <w:trPr>
          <w:trHeight w:val="664" w:hRule="atLeast"/>
          <w:jc w:val="center"/>
        </w:trPr>
        <w:tc>
          <w:tcPr>
            <w:tcW w:w="2051" w:type="dxa"/>
            <w:tcBorders>
              <w:top w:val="single" w:color="auto" w:sz="4" w:space="0"/>
              <w:left w:val="single" w:color="auto" w:sz="4" w:space="0"/>
              <w:bottom w:val="single" w:color="auto" w:sz="4" w:space="0"/>
              <w:right w:val="single" w:color="auto" w:sz="4" w:space="0"/>
            </w:tcBorders>
            <w:vAlign w:val="center"/>
          </w:tcPr>
          <w:p w14:paraId="1BB95491">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开户银行</w:t>
            </w:r>
          </w:p>
        </w:tc>
        <w:tc>
          <w:tcPr>
            <w:tcW w:w="6648" w:type="dxa"/>
            <w:gridSpan w:val="3"/>
            <w:tcBorders>
              <w:top w:val="single" w:color="auto" w:sz="4" w:space="0"/>
              <w:left w:val="single" w:color="auto" w:sz="4" w:space="0"/>
              <w:bottom w:val="single" w:color="auto" w:sz="4" w:space="0"/>
              <w:right w:val="single" w:color="auto" w:sz="4" w:space="0"/>
            </w:tcBorders>
            <w:vAlign w:val="center"/>
          </w:tcPr>
          <w:p w14:paraId="58E60FFD">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firstLine="480" w:firstLineChars="0"/>
              <w:jc w:val="center"/>
              <w:textAlignment w:val="auto"/>
              <w:outlineLvl w:val="9"/>
              <w:rPr>
                <w:rFonts w:hint="eastAsia" w:ascii="宋体" w:hAnsi="宋体" w:eastAsia="宋体" w:cs="宋体"/>
                <w:color w:val="auto"/>
                <w:kern w:val="2"/>
                <w:sz w:val="24"/>
                <w:szCs w:val="24"/>
                <w:highlight w:val="none"/>
                <w:lang w:val="en-US" w:eastAsia="zh-CN" w:bidi="ar-SA"/>
              </w:rPr>
            </w:pPr>
          </w:p>
        </w:tc>
      </w:tr>
      <w:tr w14:paraId="48E44312">
        <w:tblPrEx>
          <w:tblCellMar>
            <w:top w:w="0" w:type="dxa"/>
            <w:left w:w="108" w:type="dxa"/>
            <w:bottom w:w="0" w:type="dxa"/>
            <w:right w:w="108" w:type="dxa"/>
          </w:tblCellMar>
        </w:tblPrEx>
        <w:trPr>
          <w:trHeight w:val="664" w:hRule="atLeast"/>
          <w:jc w:val="center"/>
        </w:trPr>
        <w:tc>
          <w:tcPr>
            <w:tcW w:w="2051" w:type="dxa"/>
            <w:tcBorders>
              <w:top w:val="single" w:color="auto" w:sz="4" w:space="0"/>
              <w:left w:val="single" w:color="auto" w:sz="4" w:space="0"/>
              <w:bottom w:val="single" w:color="auto" w:sz="4" w:space="0"/>
              <w:right w:val="single" w:color="auto" w:sz="4" w:space="0"/>
            </w:tcBorders>
            <w:vAlign w:val="center"/>
          </w:tcPr>
          <w:p w14:paraId="26761F7B">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开户行号</w:t>
            </w:r>
          </w:p>
        </w:tc>
        <w:tc>
          <w:tcPr>
            <w:tcW w:w="6648" w:type="dxa"/>
            <w:gridSpan w:val="3"/>
            <w:tcBorders>
              <w:top w:val="single" w:color="auto" w:sz="4" w:space="0"/>
              <w:left w:val="single" w:color="auto" w:sz="4" w:space="0"/>
              <w:bottom w:val="single" w:color="auto" w:sz="4" w:space="0"/>
              <w:right w:val="single" w:color="auto" w:sz="4" w:space="0"/>
            </w:tcBorders>
            <w:vAlign w:val="center"/>
          </w:tcPr>
          <w:p w14:paraId="4AF4672D">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firstLine="480" w:firstLineChars="0"/>
              <w:jc w:val="center"/>
              <w:textAlignment w:val="auto"/>
              <w:outlineLvl w:val="9"/>
              <w:rPr>
                <w:rFonts w:hint="eastAsia" w:ascii="宋体" w:hAnsi="宋体" w:eastAsia="宋体" w:cs="宋体"/>
                <w:color w:val="auto"/>
                <w:kern w:val="2"/>
                <w:sz w:val="24"/>
                <w:szCs w:val="24"/>
                <w:highlight w:val="none"/>
                <w:lang w:val="en-US" w:eastAsia="zh-CN" w:bidi="ar-SA"/>
              </w:rPr>
            </w:pPr>
          </w:p>
        </w:tc>
      </w:tr>
      <w:tr w14:paraId="4BF613D3">
        <w:tblPrEx>
          <w:tblCellMar>
            <w:top w:w="0" w:type="dxa"/>
            <w:left w:w="108" w:type="dxa"/>
            <w:bottom w:w="0" w:type="dxa"/>
            <w:right w:w="108" w:type="dxa"/>
          </w:tblCellMar>
        </w:tblPrEx>
        <w:trPr>
          <w:trHeight w:val="664" w:hRule="atLeast"/>
          <w:jc w:val="center"/>
        </w:trPr>
        <w:tc>
          <w:tcPr>
            <w:tcW w:w="2051" w:type="dxa"/>
            <w:tcBorders>
              <w:top w:val="single" w:color="auto" w:sz="4" w:space="0"/>
              <w:left w:val="single" w:color="auto" w:sz="4" w:space="0"/>
              <w:bottom w:val="single" w:color="auto" w:sz="4" w:space="0"/>
              <w:right w:val="single" w:color="auto" w:sz="4" w:space="0"/>
            </w:tcBorders>
            <w:vAlign w:val="center"/>
          </w:tcPr>
          <w:p w14:paraId="412BC4EE">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银行账号</w:t>
            </w:r>
          </w:p>
        </w:tc>
        <w:tc>
          <w:tcPr>
            <w:tcW w:w="6648" w:type="dxa"/>
            <w:gridSpan w:val="3"/>
            <w:tcBorders>
              <w:top w:val="single" w:color="auto" w:sz="4" w:space="0"/>
              <w:left w:val="single" w:color="auto" w:sz="4" w:space="0"/>
              <w:bottom w:val="single" w:color="auto" w:sz="4" w:space="0"/>
              <w:right w:val="single" w:color="auto" w:sz="4" w:space="0"/>
            </w:tcBorders>
            <w:vAlign w:val="center"/>
          </w:tcPr>
          <w:p w14:paraId="56AE3783">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firstLine="480" w:firstLineChars="0"/>
              <w:jc w:val="center"/>
              <w:textAlignment w:val="auto"/>
              <w:outlineLvl w:val="9"/>
              <w:rPr>
                <w:rFonts w:hint="eastAsia" w:ascii="宋体" w:hAnsi="宋体" w:eastAsia="宋体" w:cs="宋体"/>
                <w:color w:val="auto"/>
                <w:kern w:val="2"/>
                <w:sz w:val="24"/>
                <w:szCs w:val="24"/>
                <w:highlight w:val="none"/>
                <w:lang w:val="en-US" w:eastAsia="zh-CN" w:bidi="ar-SA"/>
              </w:rPr>
            </w:pPr>
          </w:p>
        </w:tc>
      </w:tr>
      <w:tr w14:paraId="7420972D">
        <w:tblPrEx>
          <w:tblCellMar>
            <w:top w:w="0" w:type="dxa"/>
            <w:left w:w="108" w:type="dxa"/>
            <w:bottom w:w="0" w:type="dxa"/>
            <w:right w:w="108" w:type="dxa"/>
          </w:tblCellMar>
        </w:tblPrEx>
        <w:trPr>
          <w:trHeight w:val="664" w:hRule="atLeast"/>
          <w:jc w:val="center"/>
        </w:trPr>
        <w:tc>
          <w:tcPr>
            <w:tcW w:w="2051" w:type="dxa"/>
            <w:tcBorders>
              <w:top w:val="single" w:color="auto" w:sz="4" w:space="0"/>
              <w:left w:val="single" w:color="auto" w:sz="4" w:space="0"/>
              <w:bottom w:val="single" w:color="auto" w:sz="4" w:space="0"/>
              <w:right w:val="single" w:color="auto" w:sz="4" w:space="0"/>
            </w:tcBorders>
            <w:vAlign w:val="center"/>
          </w:tcPr>
          <w:p w14:paraId="6F5F5BB8">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主营业务</w:t>
            </w:r>
          </w:p>
        </w:tc>
        <w:tc>
          <w:tcPr>
            <w:tcW w:w="6648" w:type="dxa"/>
            <w:gridSpan w:val="3"/>
            <w:tcBorders>
              <w:top w:val="single" w:color="auto" w:sz="4" w:space="0"/>
              <w:left w:val="single" w:color="auto" w:sz="4" w:space="0"/>
              <w:bottom w:val="single" w:color="auto" w:sz="4" w:space="0"/>
              <w:right w:val="single" w:color="auto" w:sz="4" w:space="0"/>
            </w:tcBorders>
            <w:vAlign w:val="center"/>
          </w:tcPr>
          <w:p w14:paraId="46443CF1">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firstLine="480"/>
              <w:jc w:val="center"/>
              <w:textAlignment w:val="auto"/>
              <w:outlineLvl w:val="9"/>
              <w:rPr>
                <w:rFonts w:hint="eastAsia" w:ascii="宋体" w:hAnsi="宋体" w:eastAsia="宋体" w:cs="宋体"/>
                <w:color w:val="auto"/>
                <w:sz w:val="24"/>
                <w:szCs w:val="24"/>
                <w:highlight w:val="none"/>
              </w:rPr>
            </w:pPr>
          </w:p>
        </w:tc>
      </w:tr>
      <w:tr w14:paraId="73F89625">
        <w:tblPrEx>
          <w:tblCellMar>
            <w:top w:w="0" w:type="dxa"/>
            <w:left w:w="108" w:type="dxa"/>
            <w:bottom w:w="0" w:type="dxa"/>
            <w:right w:w="108" w:type="dxa"/>
          </w:tblCellMar>
        </w:tblPrEx>
        <w:trPr>
          <w:trHeight w:val="664" w:hRule="atLeast"/>
          <w:jc w:val="center"/>
        </w:trPr>
        <w:tc>
          <w:tcPr>
            <w:tcW w:w="2051" w:type="dxa"/>
            <w:tcBorders>
              <w:top w:val="single" w:color="auto" w:sz="4" w:space="0"/>
              <w:left w:val="single" w:color="auto" w:sz="4" w:space="0"/>
              <w:bottom w:val="single" w:color="auto" w:sz="4" w:space="0"/>
              <w:right w:val="single" w:color="auto" w:sz="4" w:space="0"/>
            </w:tcBorders>
            <w:vAlign w:val="center"/>
          </w:tcPr>
          <w:p w14:paraId="5FB64F4F">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系</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人</w:t>
            </w:r>
          </w:p>
        </w:tc>
        <w:tc>
          <w:tcPr>
            <w:tcW w:w="2965" w:type="dxa"/>
            <w:tcBorders>
              <w:top w:val="single" w:color="auto" w:sz="4" w:space="0"/>
              <w:left w:val="single" w:color="auto" w:sz="4" w:space="0"/>
              <w:bottom w:val="single" w:color="auto" w:sz="4" w:space="0"/>
              <w:right w:val="single" w:color="auto" w:sz="4" w:space="0"/>
            </w:tcBorders>
            <w:vAlign w:val="center"/>
          </w:tcPr>
          <w:p w14:paraId="1BD939B7">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firstLine="480"/>
              <w:jc w:val="center"/>
              <w:textAlignment w:val="auto"/>
              <w:outlineLvl w:val="9"/>
              <w:rPr>
                <w:rFonts w:hint="eastAsia" w:ascii="宋体" w:hAnsi="宋体" w:eastAsia="宋体" w:cs="宋体"/>
                <w:color w:val="auto"/>
                <w:sz w:val="24"/>
                <w:szCs w:val="24"/>
                <w:highlight w:val="none"/>
              </w:rPr>
            </w:pPr>
          </w:p>
        </w:tc>
        <w:tc>
          <w:tcPr>
            <w:tcW w:w="1446" w:type="dxa"/>
            <w:tcBorders>
              <w:top w:val="single" w:color="auto" w:sz="4" w:space="0"/>
              <w:left w:val="single" w:color="auto" w:sz="4" w:space="0"/>
              <w:bottom w:val="single" w:color="auto" w:sz="4" w:space="0"/>
              <w:right w:val="single" w:color="auto" w:sz="4" w:space="0"/>
            </w:tcBorders>
            <w:vAlign w:val="center"/>
          </w:tcPr>
          <w:p w14:paraId="1DC11FA2">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联系方式</w:t>
            </w:r>
          </w:p>
        </w:tc>
        <w:tc>
          <w:tcPr>
            <w:tcW w:w="2237" w:type="dxa"/>
            <w:tcBorders>
              <w:top w:val="single" w:color="auto" w:sz="4" w:space="0"/>
              <w:left w:val="single" w:color="auto" w:sz="4" w:space="0"/>
              <w:bottom w:val="single" w:color="auto" w:sz="4" w:space="0"/>
              <w:right w:val="single" w:color="auto" w:sz="4" w:space="0"/>
            </w:tcBorders>
            <w:vAlign w:val="center"/>
          </w:tcPr>
          <w:p w14:paraId="54929E5E">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firstLine="480"/>
              <w:textAlignment w:val="auto"/>
              <w:outlineLvl w:val="9"/>
              <w:rPr>
                <w:rFonts w:hint="eastAsia" w:ascii="宋体" w:hAnsi="宋体" w:eastAsia="宋体" w:cs="宋体"/>
                <w:color w:val="auto"/>
                <w:sz w:val="24"/>
                <w:szCs w:val="24"/>
                <w:highlight w:val="none"/>
              </w:rPr>
            </w:pPr>
          </w:p>
        </w:tc>
      </w:tr>
      <w:tr w14:paraId="7C53BD8D">
        <w:tblPrEx>
          <w:tblCellMar>
            <w:top w:w="0" w:type="dxa"/>
            <w:left w:w="108" w:type="dxa"/>
            <w:bottom w:w="0" w:type="dxa"/>
            <w:right w:w="108" w:type="dxa"/>
          </w:tblCellMar>
        </w:tblPrEx>
        <w:trPr>
          <w:trHeight w:val="676" w:hRule="atLeast"/>
          <w:jc w:val="center"/>
        </w:trPr>
        <w:tc>
          <w:tcPr>
            <w:tcW w:w="2051" w:type="dxa"/>
            <w:tcBorders>
              <w:top w:val="single" w:color="auto" w:sz="4" w:space="0"/>
              <w:left w:val="single" w:color="auto" w:sz="4" w:space="0"/>
              <w:bottom w:val="single" w:color="auto" w:sz="4" w:space="0"/>
              <w:right w:val="single" w:color="auto" w:sz="4" w:space="0"/>
            </w:tcBorders>
            <w:vAlign w:val="center"/>
          </w:tcPr>
          <w:p w14:paraId="4D13C1CA">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邮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箱</w:t>
            </w:r>
          </w:p>
        </w:tc>
        <w:tc>
          <w:tcPr>
            <w:tcW w:w="2965" w:type="dxa"/>
            <w:tcBorders>
              <w:top w:val="single" w:color="auto" w:sz="4" w:space="0"/>
              <w:left w:val="single" w:color="auto" w:sz="4" w:space="0"/>
              <w:bottom w:val="single" w:color="auto" w:sz="4" w:space="0"/>
              <w:right w:val="single" w:color="auto" w:sz="4" w:space="0"/>
            </w:tcBorders>
            <w:vAlign w:val="center"/>
          </w:tcPr>
          <w:p w14:paraId="71CEBC3B">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firstLine="480"/>
              <w:jc w:val="center"/>
              <w:textAlignment w:val="auto"/>
              <w:outlineLvl w:val="9"/>
              <w:rPr>
                <w:rFonts w:hint="eastAsia" w:ascii="宋体" w:hAnsi="宋体" w:eastAsia="宋体" w:cs="宋体"/>
                <w:color w:val="auto"/>
                <w:sz w:val="24"/>
                <w:szCs w:val="24"/>
                <w:highlight w:val="none"/>
              </w:rPr>
            </w:pPr>
          </w:p>
        </w:tc>
        <w:tc>
          <w:tcPr>
            <w:tcW w:w="1446" w:type="dxa"/>
            <w:tcBorders>
              <w:top w:val="single" w:color="auto" w:sz="4" w:space="0"/>
              <w:left w:val="single" w:color="auto" w:sz="4" w:space="0"/>
              <w:bottom w:val="single" w:color="auto" w:sz="4" w:space="0"/>
              <w:right w:val="single" w:color="auto" w:sz="4" w:space="0"/>
            </w:tcBorders>
            <w:vAlign w:val="center"/>
          </w:tcPr>
          <w:p w14:paraId="580F8836">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传    真</w:t>
            </w:r>
          </w:p>
        </w:tc>
        <w:tc>
          <w:tcPr>
            <w:tcW w:w="2237" w:type="dxa"/>
            <w:tcBorders>
              <w:top w:val="single" w:color="auto" w:sz="4" w:space="0"/>
              <w:left w:val="single" w:color="auto" w:sz="4" w:space="0"/>
              <w:bottom w:val="single" w:color="auto" w:sz="4" w:space="0"/>
              <w:right w:val="single" w:color="auto" w:sz="4" w:space="0"/>
            </w:tcBorders>
            <w:vAlign w:val="center"/>
          </w:tcPr>
          <w:p w14:paraId="54F62962">
            <w:pPr>
              <w:keepNext w:val="0"/>
              <w:keepLines w:val="0"/>
              <w:pageBreakBefore w:val="0"/>
              <w:widowControl/>
              <w:suppressLineNumbers w:val="0"/>
              <w:tabs>
                <w:tab w:val="left" w:pos="5527"/>
              </w:tabs>
              <w:kinsoku/>
              <w:wordWrap/>
              <w:overflowPunct/>
              <w:topLinePunct w:val="0"/>
              <w:autoSpaceDE/>
              <w:autoSpaceDN/>
              <w:bidi w:val="0"/>
              <w:adjustRightInd/>
              <w:snapToGrid/>
              <w:spacing w:before="0" w:beforeAutospacing="0" w:after="0" w:afterAutospacing="0" w:line="400" w:lineRule="exact"/>
              <w:ind w:left="0" w:right="0" w:firstLine="480"/>
              <w:textAlignment w:val="auto"/>
              <w:outlineLvl w:val="9"/>
              <w:rPr>
                <w:rFonts w:hint="eastAsia" w:ascii="宋体" w:hAnsi="宋体" w:eastAsia="宋体" w:cs="宋体"/>
                <w:color w:val="auto"/>
                <w:sz w:val="24"/>
                <w:szCs w:val="24"/>
                <w:highlight w:val="none"/>
              </w:rPr>
            </w:pPr>
          </w:p>
        </w:tc>
      </w:tr>
    </w:tbl>
    <w:p w14:paraId="3326A985">
      <w:pPr>
        <w:pStyle w:val="5"/>
        <w:tabs>
          <w:tab w:val="left" w:pos="5527"/>
        </w:tabs>
        <w:ind w:firstLine="0"/>
        <w:outlineLvl w:val="9"/>
        <w:rPr>
          <w:rFonts w:hint="eastAsia" w:ascii="宋体" w:hAnsi="宋体" w:eastAsia="宋体" w:cs="宋体"/>
          <w:color w:val="auto"/>
          <w:highlight w:val="none"/>
        </w:rPr>
      </w:pPr>
    </w:p>
    <w:p w14:paraId="40755511">
      <w:pPr>
        <w:tabs>
          <w:tab w:val="left" w:pos="5527"/>
        </w:tabs>
        <w:bidi w:val="0"/>
        <w:spacing w:line="360" w:lineRule="auto"/>
        <w:jc w:val="center"/>
        <w:outlineLvl w:val="9"/>
        <w:rPr>
          <w:rFonts w:hint="eastAsia" w:ascii="宋体" w:hAnsi="宋体" w:eastAsia="宋体" w:cs="宋体"/>
          <w:color w:val="auto"/>
          <w:sz w:val="28"/>
          <w:szCs w:val="28"/>
          <w:highlight w:val="none"/>
        </w:rPr>
      </w:pPr>
      <w:bookmarkStart w:id="252" w:name="_Toc20796"/>
      <w:bookmarkStart w:id="253" w:name="_Toc24382"/>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8"/>
          <w:szCs w:val="28"/>
          <w:highlight w:val="none"/>
        </w:rPr>
        <w:t>供应商名称（盖章）：</w:t>
      </w:r>
    </w:p>
    <w:p w14:paraId="74F9B40D">
      <w:pPr>
        <w:tabs>
          <w:tab w:val="left" w:pos="5527"/>
        </w:tabs>
        <w:bidi w:val="0"/>
        <w:spacing w:line="360" w:lineRule="auto"/>
        <w:jc w:val="right"/>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法定代表人或委托代理人（签字或盖章）：</w:t>
      </w:r>
    </w:p>
    <w:p w14:paraId="05D4958C">
      <w:pPr>
        <w:keepNext w:val="0"/>
        <w:numPr>
          <w:ilvl w:val="0"/>
          <w:numId w:val="0"/>
        </w:numPr>
        <w:tabs>
          <w:tab w:val="left" w:pos="420"/>
          <w:tab w:val="left" w:pos="5527"/>
        </w:tabs>
        <w:jc w:val="center"/>
        <w:outlineLvl w:val="9"/>
        <w:rPr>
          <w:rFonts w:hint="eastAsia" w:ascii="宋体" w:hAnsi="宋体" w:eastAsia="宋体" w:cs="宋体"/>
          <w:b w:val="0"/>
          <w:color w:val="auto"/>
          <w:kern w:val="2"/>
          <w:sz w:val="28"/>
          <w:szCs w:val="28"/>
          <w:highlight w:val="none"/>
          <w:lang w:val="en-US" w:eastAsia="zh-CN" w:bidi="ar-SA"/>
        </w:rPr>
      </w:pPr>
      <w:bookmarkStart w:id="254" w:name="_Toc626"/>
      <w:bookmarkStart w:id="255" w:name="_Toc6597"/>
      <w:bookmarkStart w:id="256" w:name="_Toc16984"/>
      <w:bookmarkStart w:id="257" w:name="_Toc31872"/>
      <w:bookmarkStart w:id="258" w:name="_Toc6732"/>
      <w:r>
        <w:rPr>
          <w:rFonts w:hint="eastAsia" w:ascii="宋体" w:hAnsi="宋体" w:eastAsia="宋体" w:cs="宋体"/>
          <w:b w:val="0"/>
          <w:color w:val="auto"/>
          <w:kern w:val="2"/>
          <w:sz w:val="28"/>
          <w:szCs w:val="28"/>
          <w:highlight w:val="none"/>
          <w:lang w:val="en-US" w:eastAsia="zh-CN" w:bidi="ar-SA"/>
        </w:rPr>
        <w:t xml:space="preserve">           日期：     年   月   日</w:t>
      </w:r>
      <w:bookmarkEnd w:id="254"/>
      <w:bookmarkEnd w:id="255"/>
      <w:bookmarkEnd w:id="256"/>
      <w:bookmarkEnd w:id="257"/>
      <w:bookmarkEnd w:id="258"/>
    </w:p>
    <w:p w14:paraId="13765DC2">
      <w:pPr>
        <w:tabs>
          <w:tab w:val="left" w:pos="5527"/>
        </w:tabs>
        <w:outlineLvl w:val="9"/>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br w:type="page"/>
      </w:r>
    </w:p>
    <w:bookmarkEnd w:id="237"/>
    <w:bookmarkEnd w:id="238"/>
    <w:bookmarkEnd w:id="252"/>
    <w:bookmarkEnd w:id="253"/>
    <w:p w14:paraId="0780E2D3">
      <w:pPr>
        <w:keepNext w:val="0"/>
        <w:numPr>
          <w:ilvl w:val="0"/>
          <w:numId w:val="0"/>
        </w:numPr>
        <w:tabs>
          <w:tab w:val="left" w:pos="420"/>
          <w:tab w:val="left" w:pos="5527"/>
        </w:tabs>
        <w:jc w:val="left"/>
        <w:outlineLvl w:val="9"/>
        <w:rPr>
          <w:rStyle w:val="40"/>
          <w:rFonts w:hint="eastAsia" w:ascii="宋体" w:hAnsi="宋体" w:eastAsia="宋体" w:cs="宋体"/>
          <w:color w:val="auto"/>
          <w:sz w:val="32"/>
          <w:szCs w:val="28"/>
          <w:highlight w:val="none"/>
        </w:rPr>
      </w:pPr>
      <w:bookmarkStart w:id="259" w:name="_Toc27272"/>
      <w:bookmarkStart w:id="260" w:name="_Toc30623"/>
      <w:bookmarkStart w:id="261" w:name="_Toc9308"/>
      <w:bookmarkStart w:id="262" w:name="_Toc11040"/>
      <w:bookmarkStart w:id="263" w:name="_Toc14734"/>
      <w:bookmarkStart w:id="264" w:name="_Toc25996"/>
      <w:bookmarkStart w:id="265" w:name="_Toc7587"/>
      <w:bookmarkStart w:id="266" w:name="_Toc22473"/>
      <w:bookmarkStart w:id="267" w:name="_Toc5939"/>
      <w:bookmarkStart w:id="268" w:name="_Toc15866"/>
      <w:r>
        <w:rPr>
          <w:rStyle w:val="40"/>
          <w:rFonts w:hint="eastAsia" w:ascii="宋体" w:hAnsi="宋体" w:eastAsia="宋体" w:cs="宋体"/>
          <w:color w:val="auto"/>
          <w:sz w:val="32"/>
          <w:szCs w:val="28"/>
          <w:highlight w:val="none"/>
        </w:rPr>
        <w:t>附件</w:t>
      </w:r>
      <w:r>
        <w:rPr>
          <w:rStyle w:val="40"/>
          <w:rFonts w:hint="eastAsia" w:ascii="宋体" w:hAnsi="宋体" w:cs="宋体"/>
          <w:color w:val="auto"/>
          <w:sz w:val="32"/>
          <w:szCs w:val="28"/>
          <w:highlight w:val="none"/>
          <w:lang w:val="en-US" w:eastAsia="zh-CN"/>
        </w:rPr>
        <w:t>5</w:t>
      </w:r>
      <w:r>
        <w:rPr>
          <w:rStyle w:val="40"/>
          <w:rFonts w:hint="eastAsia" w:ascii="宋体" w:hAnsi="宋体" w:eastAsia="宋体" w:cs="宋体"/>
          <w:color w:val="auto"/>
          <w:sz w:val="32"/>
          <w:szCs w:val="28"/>
          <w:highlight w:val="none"/>
        </w:rPr>
        <w:t>：</w:t>
      </w:r>
      <w:bookmarkEnd w:id="259"/>
      <w:bookmarkEnd w:id="260"/>
    </w:p>
    <w:bookmarkEnd w:id="261"/>
    <w:bookmarkEnd w:id="262"/>
    <w:bookmarkEnd w:id="263"/>
    <w:bookmarkEnd w:id="264"/>
    <w:bookmarkEnd w:id="265"/>
    <w:p w14:paraId="7151688C">
      <w:pPr>
        <w:keepNext w:val="0"/>
        <w:tabs>
          <w:tab w:val="left" w:pos="5527"/>
        </w:tabs>
        <w:jc w:val="center"/>
        <w:outlineLvl w:val="1"/>
        <w:rPr>
          <w:rFonts w:hint="eastAsia" w:ascii="宋体" w:hAnsi="宋体" w:eastAsia="宋体" w:cs="宋体"/>
          <w:b/>
          <w:bCs/>
          <w:color w:val="auto"/>
          <w:kern w:val="2"/>
          <w:sz w:val="32"/>
          <w:szCs w:val="21"/>
          <w:highlight w:val="none"/>
          <w:lang w:val="en-US" w:eastAsia="zh-CN"/>
        </w:rPr>
      </w:pPr>
      <w:bookmarkStart w:id="269" w:name="_Toc10269"/>
      <w:bookmarkStart w:id="270" w:name="_Toc627"/>
      <w:bookmarkStart w:id="271" w:name="_Toc16420"/>
      <w:bookmarkStart w:id="272" w:name="_Toc31215"/>
      <w:bookmarkStart w:id="273" w:name="_Toc2347"/>
      <w:r>
        <w:rPr>
          <w:rFonts w:hint="eastAsia" w:ascii="宋体" w:hAnsi="宋体" w:eastAsia="宋体" w:cs="宋体"/>
          <w:b/>
          <w:bCs/>
          <w:color w:val="auto"/>
          <w:kern w:val="2"/>
          <w:sz w:val="32"/>
          <w:szCs w:val="21"/>
          <w:highlight w:val="none"/>
          <w:lang w:val="en-US" w:eastAsia="zh-CN"/>
        </w:rPr>
        <w:t>资格证明文件</w:t>
      </w:r>
      <w:bookmarkEnd w:id="269"/>
      <w:bookmarkEnd w:id="270"/>
      <w:bookmarkEnd w:id="271"/>
      <w:bookmarkEnd w:id="272"/>
    </w:p>
    <w:bookmarkEnd w:id="273"/>
    <w:p w14:paraId="19D9E618">
      <w:pPr>
        <w:tabs>
          <w:tab w:val="left" w:pos="5527"/>
        </w:tabs>
        <w:outlineLvl w:val="9"/>
        <w:rPr>
          <w:rFonts w:hint="eastAsia" w:ascii="宋体" w:hAnsi="宋体" w:eastAsia="宋体" w:cs="宋体"/>
          <w:color w:val="auto"/>
          <w:highlight w:val="none"/>
        </w:rPr>
      </w:pPr>
    </w:p>
    <w:p w14:paraId="3543B886">
      <w:pPr>
        <w:pStyle w:val="13"/>
        <w:spacing w:line="240" w:lineRule="auto"/>
        <w:jc w:val="center"/>
        <w:rPr>
          <w:rFonts w:hint="eastAsia" w:ascii="宋体" w:hAnsi="宋体" w:cs="宋体"/>
          <w:color w:val="auto"/>
          <w:sz w:val="28"/>
          <w:szCs w:val="28"/>
          <w:highlight w:val="none"/>
          <w:lang w:val="en-US" w:eastAsia="zh-CN"/>
        </w:rPr>
      </w:pPr>
      <w:r>
        <w:rPr>
          <w:rFonts w:hint="eastAsia" w:ascii="宋体" w:hAnsi="宋体" w:cs="宋体"/>
          <w:color w:val="auto"/>
          <w:sz w:val="28"/>
          <w:szCs w:val="28"/>
          <w:highlight w:val="none"/>
          <w:lang w:val="en-US" w:eastAsia="zh-CN"/>
        </w:rPr>
        <w:t>根据资格审查表自行编制</w:t>
      </w:r>
    </w:p>
    <w:p w14:paraId="47456808">
      <w:pPr>
        <w:keepNext w:val="0"/>
        <w:numPr>
          <w:ilvl w:val="0"/>
          <w:numId w:val="0"/>
        </w:numPr>
        <w:tabs>
          <w:tab w:val="left" w:pos="420"/>
          <w:tab w:val="left" w:pos="5527"/>
        </w:tabs>
        <w:jc w:val="left"/>
        <w:outlineLvl w:val="9"/>
        <w:rPr>
          <w:rStyle w:val="40"/>
          <w:rFonts w:hint="eastAsia" w:ascii="宋体" w:hAnsi="宋体" w:eastAsia="宋体" w:cs="宋体"/>
          <w:color w:val="auto"/>
          <w:sz w:val="32"/>
          <w:szCs w:val="28"/>
          <w:highlight w:val="none"/>
        </w:rPr>
      </w:pPr>
      <w:r>
        <w:rPr>
          <w:rStyle w:val="40"/>
          <w:rFonts w:hint="eastAsia" w:ascii="宋体" w:hAnsi="宋体" w:eastAsia="宋体" w:cs="宋体"/>
          <w:b w:val="0"/>
          <w:color w:val="auto"/>
          <w:kern w:val="2"/>
          <w:sz w:val="24"/>
          <w:szCs w:val="22"/>
          <w:highlight w:val="none"/>
          <w:lang w:val="en-US" w:eastAsia="zh-CN" w:bidi="ar-SA"/>
        </w:rPr>
        <w:br w:type="page"/>
      </w:r>
    </w:p>
    <w:p w14:paraId="45FBC38D">
      <w:pPr>
        <w:keepNext w:val="0"/>
        <w:numPr>
          <w:ilvl w:val="0"/>
          <w:numId w:val="0"/>
        </w:numPr>
        <w:tabs>
          <w:tab w:val="left" w:pos="420"/>
          <w:tab w:val="left" w:pos="5527"/>
        </w:tabs>
        <w:jc w:val="both"/>
        <w:outlineLvl w:val="9"/>
        <w:rPr>
          <w:rStyle w:val="40"/>
          <w:rFonts w:hint="eastAsia" w:ascii="宋体" w:hAnsi="宋体" w:eastAsia="宋体" w:cs="宋体"/>
          <w:color w:val="auto"/>
          <w:sz w:val="32"/>
          <w:szCs w:val="28"/>
          <w:highlight w:val="none"/>
          <w:lang w:val="en-US" w:eastAsia="zh-CN"/>
        </w:rPr>
      </w:pPr>
      <w:r>
        <w:rPr>
          <w:rStyle w:val="40"/>
          <w:rFonts w:hint="eastAsia" w:ascii="宋体" w:hAnsi="宋体" w:eastAsia="宋体" w:cs="宋体"/>
          <w:color w:val="auto"/>
          <w:sz w:val="32"/>
          <w:szCs w:val="28"/>
          <w:highlight w:val="none"/>
          <w:lang w:val="en-US" w:eastAsia="zh-CN"/>
        </w:rPr>
        <w:t>附件</w:t>
      </w:r>
      <w:r>
        <w:rPr>
          <w:rStyle w:val="40"/>
          <w:rFonts w:hint="eastAsia" w:ascii="宋体" w:hAnsi="宋体" w:cs="宋体"/>
          <w:color w:val="auto"/>
          <w:sz w:val="32"/>
          <w:szCs w:val="28"/>
          <w:highlight w:val="none"/>
          <w:lang w:val="en-US" w:eastAsia="zh-CN"/>
        </w:rPr>
        <w:t>5</w:t>
      </w:r>
      <w:r>
        <w:rPr>
          <w:rStyle w:val="40"/>
          <w:rFonts w:hint="eastAsia" w:ascii="宋体" w:hAnsi="宋体" w:eastAsia="宋体" w:cs="宋体"/>
          <w:color w:val="auto"/>
          <w:sz w:val="32"/>
          <w:szCs w:val="28"/>
          <w:highlight w:val="none"/>
          <w:lang w:val="en-US" w:eastAsia="zh-CN"/>
        </w:rPr>
        <w:t>.1：</w:t>
      </w:r>
    </w:p>
    <w:p w14:paraId="7D7964C4">
      <w:pPr>
        <w:keepNext w:val="0"/>
        <w:tabs>
          <w:tab w:val="left" w:pos="5527"/>
        </w:tabs>
        <w:jc w:val="center"/>
        <w:outlineLvl w:val="1"/>
        <w:rPr>
          <w:rFonts w:hint="eastAsia" w:ascii="宋体" w:hAnsi="宋体" w:eastAsia="宋体" w:cs="宋体"/>
          <w:b/>
          <w:bCs/>
          <w:color w:val="auto"/>
          <w:kern w:val="2"/>
          <w:sz w:val="32"/>
          <w:szCs w:val="21"/>
          <w:highlight w:val="none"/>
          <w:lang w:val="en-US" w:eastAsia="zh-CN"/>
        </w:rPr>
      </w:pPr>
      <w:r>
        <w:rPr>
          <w:rFonts w:hint="eastAsia" w:ascii="宋体" w:hAnsi="宋体" w:eastAsia="宋体" w:cs="宋体"/>
          <w:b/>
          <w:bCs/>
          <w:color w:val="auto"/>
          <w:kern w:val="2"/>
          <w:sz w:val="32"/>
          <w:szCs w:val="21"/>
          <w:highlight w:val="none"/>
          <w:lang w:val="en-US" w:eastAsia="zh-CN"/>
        </w:rPr>
        <w:t>诚信声明</w:t>
      </w:r>
    </w:p>
    <w:p w14:paraId="4D07E352">
      <w:pPr>
        <w:tabs>
          <w:tab w:val="left" w:pos="5527"/>
        </w:tabs>
        <w:snapToGrid w:val="0"/>
        <w:spacing w:line="312" w:lineRule="auto"/>
        <w:ind w:firstLine="570"/>
        <w:outlineLvl w:val="9"/>
        <w:rPr>
          <w:rFonts w:hint="eastAsia" w:ascii="宋体" w:hAnsi="宋体" w:eastAsia="宋体" w:cs="宋体"/>
          <w:color w:val="auto"/>
          <w:sz w:val="24"/>
          <w:szCs w:val="24"/>
          <w:highlight w:val="none"/>
          <w:lang w:eastAsia="zh-CN"/>
        </w:rPr>
      </w:pPr>
    </w:p>
    <w:p w14:paraId="07D4DD24">
      <w:pPr>
        <w:keepNext w:val="0"/>
        <w:keepLines w:val="0"/>
        <w:pageBreakBefore w:val="0"/>
        <w:widowControl w:val="0"/>
        <w:tabs>
          <w:tab w:val="left" w:pos="5527"/>
        </w:tabs>
        <w:kinsoku/>
        <w:wordWrap/>
        <w:overflowPunct/>
        <w:topLinePunct w:val="0"/>
        <w:autoSpaceDE/>
        <w:autoSpaceDN/>
        <w:bidi w:val="0"/>
        <w:adjustRightInd/>
        <w:snapToGrid w:val="0"/>
        <w:spacing w:before="157" w:beforeLines="50" w:line="360" w:lineRule="auto"/>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致：（采购人名称）：</w:t>
      </w:r>
    </w:p>
    <w:p w14:paraId="37B57525">
      <w:pPr>
        <w:keepNext w:val="0"/>
        <w:keepLines w:val="0"/>
        <w:pageBreakBefore w:val="0"/>
        <w:widowControl w:val="0"/>
        <w:tabs>
          <w:tab w:val="left" w:pos="5527"/>
        </w:tabs>
        <w:kinsoku/>
        <w:wordWrap/>
        <w:overflowPunct/>
        <w:topLinePunct w:val="0"/>
        <w:autoSpaceDE/>
        <w:autoSpaceDN/>
        <w:bidi w:val="0"/>
        <w:adjustRightInd/>
        <w:snapToGrid w:val="0"/>
        <w:spacing w:before="157" w:beforeLines="50" w:line="360" w:lineRule="auto"/>
        <w:ind w:firstLine="564"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供应商名称）郑重声明，我公司具有良好的商业信誉和健全的财务会计制度，具有履行合同所必需的设备和专业技术能力，有依法缴纳税收和社会保障资金的良好记录，参加本项目采购活动前三年内无重大违法活动记录，在合同签订前后随时愿意提供相关证明材料；我公司还同时声明未列入在信用中国网站（www.creditchina.gov.cn）“失信被执行人”、“重大税收违法案件当事人名单”中，也未列入中国政府采购网（www.ccgp.gov.cn）“政府采购严重违法失信行为记录名单”中，并随时接受采购人的检查验证，符合《政府采购法》规定的</w:t>
      </w:r>
      <w:r>
        <w:rPr>
          <w:rFonts w:hint="eastAsia" w:ascii="宋体" w:hAnsi="宋体" w:eastAsia="宋体" w:cs="宋体"/>
          <w:color w:val="auto"/>
          <w:sz w:val="28"/>
          <w:szCs w:val="28"/>
          <w:highlight w:val="none"/>
          <w:lang w:eastAsia="zh-CN"/>
        </w:rPr>
        <w:t>投标供应商</w:t>
      </w:r>
      <w:r>
        <w:rPr>
          <w:rFonts w:hint="eastAsia" w:ascii="宋体" w:hAnsi="宋体" w:eastAsia="宋体" w:cs="宋体"/>
          <w:color w:val="auto"/>
          <w:sz w:val="28"/>
          <w:szCs w:val="28"/>
          <w:highlight w:val="none"/>
        </w:rPr>
        <w:t>资格条件。我方对以上声明负全部法律责任。</w:t>
      </w:r>
    </w:p>
    <w:p w14:paraId="02549564">
      <w:pPr>
        <w:keepNext w:val="0"/>
        <w:keepLines w:val="0"/>
        <w:pageBreakBefore w:val="0"/>
        <w:widowControl w:val="0"/>
        <w:tabs>
          <w:tab w:val="left" w:pos="5527"/>
        </w:tabs>
        <w:kinsoku/>
        <w:wordWrap/>
        <w:overflowPunct/>
        <w:topLinePunct w:val="0"/>
        <w:autoSpaceDE/>
        <w:autoSpaceDN/>
        <w:bidi w:val="0"/>
        <w:adjustRightInd/>
        <w:snapToGrid w:val="0"/>
        <w:spacing w:before="157" w:beforeLines="50" w:line="360" w:lineRule="auto"/>
        <w:ind w:firstLine="564"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特此声明。</w:t>
      </w:r>
    </w:p>
    <w:p w14:paraId="128C6237">
      <w:pPr>
        <w:keepNext w:val="0"/>
        <w:keepLines w:val="0"/>
        <w:pageBreakBefore w:val="0"/>
        <w:widowControl w:val="0"/>
        <w:tabs>
          <w:tab w:val="left" w:pos="5527"/>
        </w:tabs>
        <w:kinsoku/>
        <w:wordWrap/>
        <w:overflowPunct/>
        <w:topLinePunct w:val="0"/>
        <w:autoSpaceDE/>
        <w:autoSpaceDN/>
        <w:bidi w:val="0"/>
        <w:adjustRightInd/>
        <w:snapToGrid w:val="0"/>
        <w:spacing w:before="157" w:beforeLines="50" w:line="360" w:lineRule="auto"/>
        <w:ind w:leftChars="1400" w:firstLine="564" w:firstLineChars="200"/>
        <w:textAlignment w:val="auto"/>
        <w:outlineLvl w:val="9"/>
        <w:rPr>
          <w:rFonts w:hint="eastAsia" w:ascii="宋体" w:hAnsi="宋体" w:eastAsia="宋体" w:cs="宋体"/>
          <w:color w:val="auto"/>
          <w:sz w:val="28"/>
          <w:szCs w:val="28"/>
          <w:highlight w:val="none"/>
        </w:rPr>
      </w:pPr>
    </w:p>
    <w:p w14:paraId="657B0901">
      <w:pPr>
        <w:keepNext w:val="0"/>
        <w:keepLines w:val="0"/>
        <w:pageBreakBefore w:val="0"/>
        <w:widowControl w:val="0"/>
        <w:tabs>
          <w:tab w:val="left" w:pos="5527"/>
        </w:tabs>
        <w:kinsoku/>
        <w:wordWrap/>
        <w:overflowPunct/>
        <w:topLinePunct w:val="0"/>
        <w:autoSpaceDE/>
        <w:autoSpaceDN/>
        <w:bidi w:val="0"/>
        <w:adjustRightInd/>
        <w:snapToGrid w:val="0"/>
        <w:spacing w:before="157" w:beforeLines="50" w:line="360" w:lineRule="auto"/>
        <w:ind w:leftChars="1400" w:firstLine="564" w:firstLineChars="200"/>
        <w:textAlignment w:val="auto"/>
        <w:outlineLvl w:val="9"/>
        <w:rPr>
          <w:rFonts w:hint="eastAsia" w:ascii="宋体" w:hAnsi="宋体" w:eastAsia="宋体" w:cs="宋体"/>
          <w:color w:val="auto"/>
          <w:sz w:val="28"/>
          <w:szCs w:val="28"/>
          <w:highlight w:val="none"/>
        </w:rPr>
      </w:pPr>
    </w:p>
    <w:p w14:paraId="692B2F6D">
      <w:pPr>
        <w:keepNext w:val="0"/>
        <w:keepLines w:val="0"/>
        <w:pageBreakBefore w:val="0"/>
        <w:widowControl w:val="0"/>
        <w:tabs>
          <w:tab w:val="left" w:pos="5527"/>
        </w:tabs>
        <w:kinsoku/>
        <w:wordWrap/>
        <w:overflowPunct/>
        <w:topLinePunct w:val="0"/>
        <w:autoSpaceDE/>
        <w:autoSpaceDN/>
        <w:bidi w:val="0"/>
        <w:adjustRightInd/>
        <w:snapToGrid w:val="0"/>
        <w:spacing w:before="157" w:beforeLines="50" w:line="360" w:lineRule="auto"/>
        <w:ind w:leftChars="1400" w:firstLine="564"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供应商名称（盖章）：</w:t>
      </w:r>
    </w:p>
    <w:p w14:paraId="59876BAF">
      <w:pPr>
        <w:keepNext w:val="0"/>
        <w:keepLines w:val="0"/>
        <w:pageBreakBefore w:val="0"/>
        <w:widowControl w:val="0"/>
        <w:tabs>
          <w:tab w:val="left" w:pos="5527"/>
        </w:tabs>
        <w:kinsoku/>
        <w:wordWrap/>
        <w:overflowPunct/>
        <w:topLinePunct w:val="0"/>
        <w:autoSpaceDE/>
        <w:autoSpaceDN/>
        <w:bidi w:val="0"/>
        <w:adjustRightInd/>
        <w:snapToGrid w:val="0"/>
        <w:spacing w:before="157" w:beforeLines="50" w:line="360" w:lineRule="auto"/>
        <w:ind w:leftChars="1400" w:firstLine="564"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法定代表人或委托代理人（签字或盖章）：</w:t>
      </w:r>
    </w:p>
    <w:p w14:paraId="54EDD21C">
      <w:pPr>
        <w:keepNext w:val="0"/>
        <w:keepLines w:val="0"/>
        <w:pageBreakBefore w:val="0"/>
        <w:widowControl w:val="0"/>
        <w:tabs>
          <w:tab w:val="left" w:pos="5527"/>
        </w:tabs>
        <w:kinsoku/>
        <w:wordWrap/>
        <w:overflowPunct/>
        <w:topLinePunct w:val="0"/>
        <w:autoSpaceDE/>
        <w:autoSpaceDN/>
        <w:bidi w:val="0"/>
        <w:adjustRightInd/>
        <w:snapToGrid w:val="0"/>
        <w:spacing w:before="157" w:beforeLines="50" w:line="360" w:lineRule="auto"/>
        <w:ind w:leftChars="1400" w:firstLine="564"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日期：</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日</w:t>
      </w:r>
    </w:p>
    <w:p w14:paraId="61A2BA77">
      <w:pPr>
        <w:pStyle w:val="13"/>
        <w:tabs>
          <w:tab w:val="left" w:pos="5527"/>
        </w:tabs>
        <w:outlineLvl w:val="9"/>
        <w:rPr>
          <w:rFonts w:hint="eastAsia" w:ascii="宋体" w:hAnsi="宋体" w:eastAsia="宋体" w:cs="宋体"/>
          <w:color w:val="auto"/>
          <w:sz w:val="28"/>
          <w:szCs w:val="28"/>
          <w:highlight w:val="none"/>
          <w:lang w:val="en-US" w:eastAsia="zh-CN"/>
        </w:rPr>
      </w:pPr>
    </w:p>
    <w:p w14:paraId="54953168">
      <w:pPr>
        <w:keepNext w:val="0"/>
        <w:numPr>
          <w:ilvl w:val="0"/>
          <w:numId w:val="0"/>
        </w:numPr>
        <w:tabs>
          <w:tab w:val="left" w:pos="420"/>
          <w:tab w:val="left" w:pos="5527"/>
        </w:tabs>
        <w:jc w:val="left"/>
        <w:outlineLvl w:val="9"/>
        <w:rPr>
          <w:rStyle w:val="38"/>
          <w:rFonts w:hint="default" w:ascii="宋体" w:hAnsi="宋体" w:eastAsia="宋体" w:cs="宋体"/>
          <w:color w:val="auto"/>
          <w:sz w:val="32"/>
          <w:szCs w:val="28"/>
          <w:highlight w:val="none"/>
          <w:lang w:val="en-US" w:eastAsia="zh-CN"/>
        </w:rPr>
      </w:pPr>
      <w:r>
        <w:rPr>
          <w:rStyle w:val="38"/>
          <w:rFonts w:hint="eastAsia" w:ascii="宋体" w:hAnsi="宋体" w:eastAsia="宋体" w:cs="宋体"/>
          <w:color w:val="auto"/>
          <w:sz w:val="32"/>
          <w:szCs w:val="28"/>
          <w:highlight w:val="none"/>
          <w:lang w:val="en-US" w:eastAsia="zh-CN"/>
        </w:rPr>
        <w:br w:type="page"/>
      </w:r>
      <w:r>
        <w:rPr>
          <w:rStyle w:val="38"/>
          <w:rFonts w:hint="eastAsia" w:ascii="宋体" w:hAnsi="宋体" w:eastAsia="宋体" w:cs="宋体"/>
          <w:color w:val="auto"/>
          <w:sz w:val="32"/>
          <w:szCs w:val="28"/>
          <w:highlight w:val="none"/>
          <w:lang w:val="en-US" w:eastAsia="zh-CN"/>
        </w:rPr>
        <w:t>附件</w:t>
      </w:r>
      <w:r>
        <w:rPr>
          <w:rStyle w:val="38"/>
          <w:rFonts w:hint="eastAsia" w:ascii="宋体" w:hAnsi="宋体" w:cs="宋体"/>
          <w:color w:val="auto"/>
          <w:sz w:val="32"/>
          <w:szCs w:val="28"/>
          <w:highlight w:val="none"/>
          <w:lang w:val="en-US" w:eastAsia="zh-CN"/>
        </w:rPr>
        <w:t>5</w:t>
      </w:r>
      <w:r>
        <w:rPr>
          <w:rStyle w:val="38"/>
          <w:rFonts w:hint="eastAsia" w:ascii="宋体" w:hAnsi="宋体" w:eastAsia="宋体" w:cs="宋体"/>
          <w:color w:val="auto"/>
          <w:sz w:val="32"/>
          <w:szCs w:val="28"/>
          <w:highlight w:val="none"/>
          <w:lang w:val="en-US" w:eastAsia="zh-CN"/>
        </w:rPr>
        <w:t>.2</w:t>
      </w:r>
    </w:p>
    <w:p w14:paraId="042DAB58">
      <w:pPr>
        <w:keepNext w:val="0"/>
        <w:tabs>
          <w:tab w:val="left" w:pos="5527"/>
        </w:tabs>
        <w:jc w:val="center"/>
        <w:outlineLvl w:val="1"/>
        <w:rPr>
          <w:rFonts w:hint="eastAsia" w:ascii="宋体" w:hAnsi="宋体" w:eastAsia="宋体" w:cs="宋体"/>
          <w:b/>
          <w:bCs/>
          <w:color w:val="auto"/>
          <w:kern w:val="2"/>
          <w:sz w:val="32"/>
          <w:szCs w:val="21"/>
          <w:highlight w:val="none"/>
          <w:lang w:val="en-US" w:eastAsia="zh-CN"/>
        </w:rPr>
      </w:pPr>
      <w:r>
        <w:rPr>
          <w:rFonts w:hint="eastAsia" w:ascii="宋体" w:hAnsi="宋体" w:eastAsia="宋体" w:cs="宋体"/>
          <w:b/>
          <w:bCs/>
          <w:color w:val="auto"/>
          <w:kern w:val="2"/>
          <w:sz w:val="32"/>
          <w:szCs w:val="21"/>
          <w:highlight w:val="none"/>
          <w:lang w:val="en-US" w:eastAsia="zh-CN"/>
        </w:rPr>
        <w:t>财务状况报告，依法缴纳税收和社会保障资金的相关材料</w:t>
      </w:r>
    </w:p>
    <w:p w14:paraId="6A1CEB28">
      <w:pPr>
        <w:tabs>
          <w:tab w:val="left" w:pos="5527"/>
        </w:tabs>
        <w:spacing w:line="360" w:lineRule="auto"/>
        <w:ind w:firstLine="484" w:firstLineChars="200"/>
        <w:rPr>
          <w:rFonts w:ascii="宋体" w:hAnsi="宋体" w:cs="宋体"/>
          <w:b w:val="0"/>
          <w:bCs w:val="0"/>
          <w:color w:val="auto"/>
          <w:kern w:val="0"/>
          <w:sz w:val="24"/>
          <w:szCs w:val="24"/>
          <w:highlight w:val="none"/>
        </w:rPr>
      </w:pPr>
      <w:r>
        <w:rPr>
          <w:rFonts w:hint="eastAsia" w:ascii="宋体" w:hAnsi="宋体" w:cs="宋体"/>
          <w:b w:val="0"/>
          <w:bCs w:val="0"/>
          <w:color w:val="auto"/>
          <w:kern w:val="0"/>
          <w:sz w:val="24"/>
          <w:szCs w:val="24"/>
          <w:highlight w:val="none"/>
        </w:rPr>
        <w:t>（1）财务状况报告提供近</w:t>
      </w:r>
      <w:r>
        <w:rPr>
          <w:rFonts w:hint="eastAsia" w:ascii="宋体" w:hAnsi="宋体" w:cs="宋体"/>
          <w:b w:val="0"/>
          <w:bCs w:val="0"/>
          <w:color w:val="auto"/>
          <w:kern w:val="0"/>
          <w:sz w:val="24"/>
          <w:szCs w:val="24"/>
          <w:highlight w:val="none"/>
          <w:lang w:val="en-US" w:eastAsia="zh-CN"/>
        </w:rPr>
        <w:t>一</w:t>
      </w:r>
      <w:r>
        <w:rPr>
          <w:rFonts w:hint="eastAsia" w:ascii="宋体" w:hAnsi="宋体" w:cs="宋体"/>
          <w:b w:val="0"/>
          <w:bCs w:val="0"/>
          <w:color w:val="auto"/>
          <w:kern w:val="0"/>
          <w:sz w:val="24"/>
          <w:szCs w:val="24"/>
          <w:highlight w:val="none"/>
        </w:rPr>
        <w:t>年</w:t>
      </w:r>
      <w:r>
        <w:rPr>
          <w:rFonts w:hint="eastAsia" w:ascii="宋体" w:hAnsi="宋体" w:cs="宋体"/>
          <w:b w:val="0"/>
          <w:bCs w:val="0"/>
          <w:color w:val="auto"/>
          <w:kern w:val="0"/>
          <w:sz w:val="24"/>
          <w:szCs w:val="24"/>
          <w:highlight w:val="none"/>
          <w:lang w:eastAsia="zh-CN"/>
        </w:rPr>
        <w:t>（</w:t>
      </w:r>
      <w:r>
        <w:rPr>
          <w:rFonts w:hint="eastAsia" w:ascii="宋体" w:hAnsi="宋体" w:cs="宋体"/>
          <w:b w:val="0"/>
          <w:bCs w:val="0"/>
          <w:color w:val="auto"/>
          <w:kern w:val="0"/>
          <w:sz w:val="24"/>
          <w:szCs w:val="24"/>
          <w:highlight w:val="none"/>
          <w:lang w:val="en-US" w:eastAsia="zh-CN"/>
        </w:rPr>
        <w:t>2024</w:t>
      </w:r>
      <w:r>
        <w:rPr>
          <w:rFonts w:hint="eastAsia" w:ascii="宋体" w:hAnsi="宋体" w:cs="宋体"/>
          <w:b w:val="0"/>
          <w:bCs w:val="0"/>
          <w:color w:val="auto"/>
          <w:kern w:val="0"/>
          <w:sz w:val="24"/>
          <w:szCs w:val="24"/>
          <w:highlight w:val="none"/>
        </w:rPr>
        <w:t>年度</w:t>
      </w:r>
      <w:r>
        <w:rPr>
          <w:rFonts w:hint="eastAsia" w:ascii="宋体" w:hAnsi="宋体" w:cs="宋体"/>
          <w:b w:val="0"/>
          <w:bCs w:val="0"/>
          <w:color w:val="auto"/>
          <w:kern w:val="0"/>
          <w:sz w:val="24"/>
          <w:szCs w:val="24"/>
          <w:highlight w:val="none"/>
          <w:lang w:eastAsia="zh-CN"/>
        </w:rPr>
        <w:t>）</w:t>
      </w:r>
      <w:r>
        <w:rPr>
          <w:rFonts w:hint="eastAsia" w:ascii="宋体" w:hAnsi="宋体" w:cs="宋体"/>
          <w:b w:val="0"/>
          <w:bCs w:val="0"/>
          <w:color w:val="auto"/>
          <w:kern w:val="0"/>
          <w:sz w:val="24"/>
          <w:szCs w:val="24"/>
          <w:highlight w:val="none"/>
        </w:rPr>
        <w:t>经会计事务所或审计机构审计的财务会计报表，包括资产负债表、利润表、现金流量表、所有者权益变动（如有）及其附注（</w:t>
      </w:r>
      <w:r>
        <w:rPr>
          <w:rFonts w:hint="eastAsia" w:ascii="宋体" w:hAnsi="宋体" w:cs="宋体"/>
          <w:b w:val="0"/>
          <w:bCs w:val="0"/>
          <w:color w:val="auto"/>
          <w:kern w:val="0"/>
          <w:sz w:val="24"/>
          <w:szCs w:val="24"/>
          <w:highlight w:val="none"/>
          <w:lang w:eastAsia="zh-CN"/>
        </w:rPr>
        <w:t>扫描件</w:t>
      </w:r>
      <w:r>
        <w:rPr>
          <w:rFonts w:hint="eastAsia" w:ascii="宋体" w:hAnsi="宋体" w:cs="宋体"/>
          <w:b w:val="0"/>
          <w:bCs w:val="0"/>
          <w:color w:val="auto"/>
          <w:kern w:val="0"/>
          <w:sz w:val="24"/>
          <w:szCs w:val="24"/>
          <w:highlight w:val="none"/>
        </w:rPr>
        <w:t>并加盖本单位公章）。（注：若无会计事务所或审计机构审计的财务会计报表，可提供公司内部财务报表</w:t>
      </w:r>
      <w:r>
        <w:rPr>
          <w:rFonts w:hint="eastAsia" w:ascii="宋体" w:hAnsi="宋体" w:cs="宋体"/>
          <w:b w:val="0"/>
          <w:bCs w:val="0"/>
          <w:color w:val="auto"/>
          <w:kern w:val="0"/>
          <w:sz w:val="24"/>
          <w:szCs w:val="24"/>
          <w:highlight w:val="none"/>
          <w:lang w:eastAsia="zh-CN"/>
        </w:rPr>
        <w:t>扫描件</w:t>
      </w:r>
      <w:r>
        <w:rPr>
          <w:rFonts w:hint="eastAsia" w:ascii="宋体" w:hAnsi="宋体" w:cs="宋体"/>
          <w:b w:val="0"/>
          <w:bCs w:val="0"/>
          <w:color w:val="auto"/>
          <w:kern w:val="0"/>
          <w:sz w:val="24"/>
          <w:szCs w:val="24"/>
          <w:highlight w:val="none"/>
        </w:rPr>
        <w:t>加盖公章）；</w:t>
      </w:r>
    </w:p>
    <w:p w14:paraId="779D471C">
      <w:pPr>
        <w:tabs>
          <w:tab w:val="left" w:pos="5527"/>
        </w:tabs>
        <w:spacing w:line="360" w:lineRule="auto"/>
        <w:ind w:firstLine="484" w:firstLineChars="200"/>
        <w:rPr>
          <w:rStyle w:val="38"/>
          <w:rFonts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（2）投标人须提供响应文件递交截止日期之前六个月内任意</w:t>
      </w:r>
      <w:r>
        <w:rPr>
          <w:rStyle w:val="38"/>
          <w:rFonts w:hint="eastAsia" w:ascii="宋体" w:hAnsi="宋体" w:eastAsia="宋体" w:cs="宋体"/>
          <w:b w:val="0"/>
          <w:bCs w:val="0"/>
          <w:color w:val="auto"/>
          <w:sz w:val="24"/>
          <w:szCs w:val="24"/>
          <w:highlight w:val="none"/>
          <w:lang w:val="en-US" w:eastAsia="zh-CN"/>
        </w:rPr>
        <w:t>1</w:t>
      </w:r>
      <w:r>
        <w:rPr>
          <w:rStyle w:val="38"/>
          <w:rFonts w:hint="eastAsia" w:ascii="宋体" w:hAnsi="宋体" w:eastAsia="宋体" w:cs="宋体"/>
          <w:b w:val="0"/>
          <w:bCs w:val="0"/>
          <w:color w:val="auto"/>
          <w:sz w:val="24"/>
          <w:szCs w:val="24"/>
          <w:highlight w:val="none"/>
        </w:rPr>
        <w:t>个月的纳税记录或证明文件</w:t>
      </w:r>
      <w:r>
        <w:rPr>
          <w:rStyle w:val="38"/>
          <w:rFonts w:hint="eastAsia" w:ascii="宋体" w:hAnsi="宋体" w:eastAsia="宋体" w:cs="宋体"/>
          <w:b w:val="0"/>
          <w:bCs w:val="0"/>
          <w:color w:val="auto"/>
          <w:sz w:val="24"/>
          <w:szCs w:val="24"/>
          <w:highlight w:val="none"/>
          <w:lang w:eastAsia="zh-CN"/>
        </w:rPr>
        <w:t>扫描件</w:t>
      </w:r>
      <w:r>
        <w:rPr>
          <w:rStyle w:val="38"/>
          <w:rFonts w:hint="eastAsia" w:ascii="宋体" w:hAnsi="宋体" w:eastAsia="宋体" w:cs="宋体"/>
          <w:b w:val="0"/>
          <w:bCs w:val="0"/>
          <w:color w:val="auto"/>
          <w:sz w:val="24"/>
          <w:szCs w:val="24"/>
          <w:highlight w:val="none"/>
        </w:rPr>
        <w:t>加盖公章。</w:t>
      </w:r>
    </w:p>
    <w:p w14:paraId="75D1591C">
      <w:pPr>
        <w:tabs>
          <w:tab w:val="left" w:pos="5527"/>
        </w:tabs>
        <w:spacing w:line="360" w:lineRule="auto"/>
        <w:ind w:firstLine="484" w:firstLineChars="200"/>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【依法免税的投标人应提供相应文件证明其依法免税。</w:t>
      </w:r>
    </w:p>
    <w:p w14:paraId="4F525625">
      <w:pPr>
        <w:tabs>
          <w:tab w:val="left" w:pos="5527"/>
        </w:tabs>
        <w:spacing w:line="360" w:lineRule="auto"/>
        <w:ind w:firstLine="484" w:firstLineChars="200"/>
        <w:rPr>
          <w:rStyle w:val="38"/>
          <w:rFonts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新成立不足3个月的按实际情况发生提供，成立时间超过3个月的零申报的需提供依法报税资料】</w:t>
      </w:r>
    </w:p>
    <w:p w14:paraId="5EBD6865">
      <w:pPr>
        <w:tabs>
          <w:tab w:val="left" w:pos="5527"/>
        </w:tabs>
        <w:spacing w:line="360" w:lineRule="auto"/>
        <w:ind w:firstLine="484" w:firstLineChars="200"/>
        <w:rPr>
          <w:rStyle w:val="38"/>
          <w:rFonts w:hint="eastAsia" w:ascii="宋体" w:hAnsi="宋体" w:eastAsia="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（3）投标人须提供响应文件递交截止日期之前六个月内任意</w:t>
      </w:r>
      <w:r>
        <w:rPr>
          <w:rStyle w:val="38"/>
          <w:rFonts w:hint="eastAsia" w:ascii="宋体" w:hAnsi="宋体" w:eastAsia="宋体" w:cs="宋体"/>
          <w:b w:val="0"/>
          <w:bCs w:val="0"/>
          <w:color w:val="auto"/>
          <w:sz w:val="24"/>
          <w:szCs w:val="24"/>
          <w:highlight w:val="none"/>
          <w:lang w:val="en-US" w:eastAsia="zh-CN"/>
        </w:rPr>
        <w:t>3</w:t>
      </w:r>
      <w:r>
        <w:rPr>
          <w:rStyle w:val="38"/>
          <w:rFonts w:hint="eastAsia" w:ascii="宋体" w:hAnsi="宋体" w:eastAsia="宋体" w:cs="宋体"/>
          <w:b w:val="0"/>
          <w:bCs w:val="0"/>
          <w:color w:val="auto"/>
          <w:sz w:val="24"/>
          <w:szCs w:val="24"/>
          <w:highlight w:val="none"/>
        </w:rPr>
        <w:t>个月为员工缴纳社会保障资金的证明材料</w:t>
      </w:r>
      <w:r>
        <w:rPr>
          <w:rStyle w:val="38"/>
          <w:rFonts w:hint="eastAsia" w:ascii="宋体" w:hAnsi="宋体" w:eastAsia="宋体" w:cs="宋体"/>
          <w:b w:val="0"/>
          <w:bCs w:val="0"/>
          <w:color w:val="auto"/>
          <w:sz w:val="24"/>
          <w:szCs w:val="24"/>
          <w:highlight w:val="none"/>
          <w:lang w:eastAsia="zh-CN"/>
        </w:rPr>
        <w:t>扫描件</w:t>
      </w:r>
      <w:r>
        <w:rPr>
          <w:rStyle w:val="38"/>
          <w:rFonts w:hint="eastAsia" w:ascii="宋体" w:hAnsi="宋体" w:eastAsia="宋体" w:cs="宋体"/>
          <w:b w:val="0"/>
          <w:bCs w:val="0"/>
          <w:color w:val="auto"/>
          <w:sz w:val="24"/>
          <w:szCs w:val="24"/>
          <w:highlight w:val="none"/>
        </w:rPr>
        <w:t>加盖公章，证明材料是缴纳社会保险的凭据（专用收据或社会保险缴纳清单）。</w:t>
      </w:r>
    </w:p>
    <w:p w14:paraId="0A5EB301">
      <w:pPr>
        <w:tabs>
          <w:tab w:val="left" w:pos="5527"/>
        </w:tabs>
        <w:spacing w:line="360" w:lineRule="auto"/>
        <w:ind w:firstLine="484" w:firstLineChars="200"/>
        <w:rPr>
          <w:rFonts w:ascii="宋体" w:hAnsi="宋体" w:cs="宋体"/>
          <w:b w:val="0"/>
          <w:bCs w:val="0"/>
          <w:color w:val="auto"/>
          <w:sz w:val="24"/>
          <w:szCs w:val="24"/>
          <w:highlight w:val="none"/>
        </w:rPr>
      </w:pPr>
      <w:r>
        <w:rPr>
          <w:rStyle w:val="38"/>
          <w:rFonts w:hint="eastAsia" w:ascii="宋体" w:hAnsi="宋体" w:eastAsia="宋体" w:cs="宋体"/>
          <w:b w:val="0"/>
          <w:bCs w:val="0"/>
          <w:color w:val="auto"/>
          <w:sz w:val="24"/>
          <w:szCs w:val="24"/>
          <w:highlight w:val="none"/>
        </w:rPr>
        <w:t>【依法不需要缴纳社保的投标人应做书面说明和证明文件。】</w:t>
      </w:r>
    </w:p>
    <w:p w14:paraId="7E916C41">
      <w:pPr>
        <w:tabs>
          <w:tab w:val="left" w:pos="5527"/>
        </w:tabs>
        <w:spacing w:line="600" w:lineRule="auto"/>
        <w:ind w:leftChars="1600"/>
        <w:jc w:val="both"/>
        <w:outlineLvl w:val="9"/>
        <w:rPr>
          <w:rFonts w:hint="eastAsia" w:ascii="宋体" w:hAnsi="宋体" w:eastAsia="宋体" w:cs="宋体"/>
          <w:color w:val="auto"/>
          <w:sz w:val="24"/>
          <w:szCs w:val="24"/>
          <w:highlight w:val="none"/>
        </w:rPr>
      </w:pPr>
    </w:p>
    <w:p w14:paraId="2E775C70">
      <w:pPr>
        <w:tabs>
          <w:tab w:val="left" w:pos="5527"/>
        </w:tabs>
        <w:spacing w:line="600" w:lineRule="auto"/>
        <w:ind w:leftChars="16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供应商名称（盖章）：</w:t>
      </w:r>
    </w:p>
    <w:p w14:paraId="49BAD0DE">
      <w:pPr>
        <w:tabs>
          <w:tab w:val="left" w:pos="5527"/>
        </w:tabs>
        <w:spacing w:line="600" w:lineRule="auto"/>
        <w:ind w:leftChars="16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法定代表人或委托代理人（签字或盖章）：</w:t>
      </w:r>
    </w:p>
    <w:p w14:paraId="59D54AF3">
      <w:pPr>
        <w:tabs>
          <w:tab w:val="left" w:pos="5527"/>
        </w:tabs>
        <w:spacing w:line="600" w:lineRule="auto"/>
        <w:ind w:leftChars="1600"/>
        <w:jc w:val="both"/>
        <w:outlineLvl w:val="9"/>
        <w:rPr>
          <w:rFonts w:hint="eastAsia" w:ascii="宋体" w:hAnsi="宋体" w:eastAsia="宋体" w:cs="宋体"/>
          <w:color w:val="auto"/>
          <w:sz w:val="28"/>
          <w:szCs w:val="28"/>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8"/>
          <w:szCs w:val="28"/>
          <w:highlight w:val="none"/>
        </w:rPr>
        <w:t>日</w:t>
      </w:r>
    </w:p>
    <w:p w14:paraId="395BBE1D">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0" w:firstLineChars="0"/>
        <w:textAlignment w:val="auto"/>
        <w:outlineLvl w:val="9"/>
        <w:rPr>
          <w:rStyle w:val="38"/>
          <w:rFonts w:hint="eastAsia" w:ascii="宋体" w:hAnsi="宋体" w:eastAsia="宋体" w:cs="宋体"/>
          <w:b/>
          <w:color w:val="auto"/>
          <w:kern w:val="2"/>
          <w:sz w:val="32"/>
          <w:szCs w:val="28"/>
          <w:highlight w:val="none"/>
          <w:lang w:val="en-US" w:eastAsia="zh-CN" w:bidi="ar-SA"/>
        </w:rPr>
      </w:pPr>
      <w:r>
        <w:rPr>
          <w:rStyle w:val="38"/>
          <w:rFonts w:hint="eastAsia" w:ascii="宋体" w:hAnsi="宋体" w:eastAsia="宋体" w:cs="宋体"/>
          <w:color w:val="auto"/>
          <w:sz w:val="32"/>
          <w:szCs w:val="28"/>
          <w:highlight w:val="none"/>
          <w:lang w:val="en-US" w:eastAsia="zh-CN"/>
        </w:rPr>
        <w:br w:type="page"/>
      </w:r>
      <w:r>
        <w:rPr>
          <w:rStyle w:val="38"/>
          <w:rFonts w:hint="eastAsia" w:ascii="宋体" w:hAnsi="宋体" w:eastAsia="宋体" w:cs="宋体"/>
          <w:b/>
          <w:color w:val="auto"/>
          <w:kern w:val="2"/>
          <w:sz w:val="32"/>
          <w:szCs w:val="28"/>
          <w:highlight w:val="none"/>
          <w:lang w:val="en-US" w:eastAsia="zh-CN" w:bidi="ar-SA"/>
        </w:rPr>
        <w:t>附件</w:t>
      </w:r>
      <w:r>
        <w:rPr>
          <w:rStyle w:val="38"/>
          <w:rFonts w:hint="eastAsia" w:ascii="宋体" w:hAnsi="宋体" w:cs="宋体"/>
          <w:b/>
          <w:color w:val="auto"/>
          <w:kern w:val="2"/>
          <w:sz w:val="32"/>
          <w:szCs w:val="28"/>
          <w:highlight w:val="none"/>
          <w:lang w:val="en-US" w:eastAsia="zh-CN" w:bidi="ar-SA"/>
        </w:rPr>
        <w:t>5</w:t>
      </w:r>
      <w:r>
        <w:rPr>
          <w:rStyle w:val="38"/>
          <w:rFonts w:hint="eastAsia" w:ascii="宋体" w:hAnsi="宋体" w:eastAsia="宋体" w:cs="宋体"/>
          <w:b/>
          <w:color w:val="auto"/>
          <w:kern w:val="2"/>
          <w:sz w:val="32"/>
          <w:szCs w:val="28"/>
          <w:highlight w:val="none"/>
          <w:lang w:val="en-US" w:eastAsia="zh-CN" w:bidi="ar-SA"/>
        </w:rPr>
        <w:t>.3：</w:t>
      </w:r>
    </w:p>
    <w:p w14:paraId="0F33FEED">
      <w:pPr>
        <w:keepNext w:val="0"/>
        <w:tabs>
          <w:tab w:val="left" w:pos="5527"/>
        </w:tabs>
        <w:jc w:val="center"/>
        <w:outlineLvl w:val="1"/>
        <w:rPr>
          <w:rFonts w:hint="eastAsia" w:ascii="宋体" w:hAnsi="宋体" w:eastAsia="宋体" w:cs="宋体"/>
          <w:b/>
          <w:bCs/>
          <w:color w:val="auto"/>
          <w:kern w:val="2"/>
          <w:sz w:val="32"/>
          <w:szCs w:val="21"/>
          <w:highlight w:val="none"/>
          <w:lang w:val="en-US" w:eastAsia="zh-CN"/>
        </w:rPr>
      </w:pPr>
      <w:r>
        <w:rPr>
          <w:rFonts w:hint="eastAsia" w:ascii="宋体" w:hAnsi="宋体" w:eastAsia="宋体" w:cs="宋体"/>
          <w:b/>
          <w:bCs/>
          <w:color w:val="auto"/>
          <w:kern w:val="2"/>
          <w:sz w:val="32"/>
          <w:szCs w:val="21"/>
          <w:highlight w:val="none"/>
          <w:lang w:val="en-US" w:eastAsia="zh-CN"/>
        </w:rPr>
        <w:t>无重大违法记录的书面声明</w:t>
      </w:r>
    </w:p>
    <w:p w14:paraId="1B12F8E6">
      <w:pPr>
        <w:tabs>
          <w:tab w:val="left" w:pos="5527"/>
        </w:tabs>
        <w:spacing w:line="360" w:lineRule="auto"/>
        <w:ind w:firstLine="564" w:firstLineChars="200"/>
        <w:outlineLvl w:val="9"/>
        <w:rPr>
          <w:rFonts w:hint="eastAsia" w:ascii="宋体" w:hAnsi="宋体" w:eastAsia="宋体" w:cs="宋体"/>
          <w:color w:val="auto"/>
          <w:kern w:val="0"/>
          <w:sz w:val="28"/>
          <w:szCs w:val="28"/>
          <w:highlight w:val="none"/>
        </w:rPr>
      </w:pPr>
    </w:p>
    <w:p w14:paraId="66A0DCAD">
      <w:pPr>
        <w:tabs>
          <w:tab w:val="left" w:pos="5527"/>
        </w:tabs>
        <w:spacing w:line="360" w:lineRule="auto"/>
        <w:ind w:firstLine="564" w:firstLineChars="200"/>
        <w:outlineLvl w:val="9"/>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供应商应当提供参加政府采购活动前3年内在经营活动中没有重大违法记录的书面声明。</w:t>
      </w:r>
    </w:p>
    <w:p w14:paraId="07CCE8B2">
      <w:pPr>
        <w:tabs>
          <w:tab w:val="left" w:pos="5527"/>
        </w:tabs>
        <w:spacing w:line="600" w:lineRule="auto"/>
        <w:ind w:leftChars="1600"/>
        <w:jc w:val="both"/>
        <w:outlineLvl w:val="9"/>
        <w:rPr>
          <w:rFonts w:hint="eastAsia" w:ascii="宋体" w:hAnsi="宋体" w:eastAsia="宋体" w:cs="宋体"/>
          <w:color w:val="auto"/>
          <w:sz w:val="28"/>
          <w:szCs w:val="28"/>
          <w:highlight w:val="none"/>
        </w:rPr>
      </w:pPr>
    </w:p>
    <w:p w14:paraId="3DC07D02">
      <w:pPr>
        <w:tabs>
          <w:tab w:val="left" w:pos="5527"/>
        </w:tabs>
        <w:spacing w:line="600" w:lineRule="auto"/>
        <w:ind w:leftChars="1600"/>
        <w:jc w:val="both"/>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供应商名称（盖章）：</w:t>
      </w:r>
    </w:p>
    <w:p w14:paraId="1FDF897C">
      <w:pPr>
        <w:tabs>
          <w:tab w:val="left" w:pos="5527"/>
        </w:tabs>
        <w:spacing w:line="600" w:lineRule="auto"/>
        <w:ind w:leftChars="1600"/>
        <w:jc w:val="both"/>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法定代表人或委托代理人（签字或盖章）：</w:t>
      </w:r>
    </w:p>
    <w:p w14:paraId="515E4EAE">
      <w:pPr>
        <w:tabs>
          <w:tab w:val="left" w:pos="5527"/>
        </w:tabs>
        <w:spacing w:line="600" w:lineRule="auto"/>
        <w:ind w:leftChars="1600"/>
        <w:jc w:val="both"/>
        <w:outlineLvl w:val="9"/>
        <w:rPr>
          <w:rFonts w:hint="eastAsia" w:ascii="宋体" w:hAnsi="宋体" w:eastAsia="宋体" w:cs="宋体"/>
          <w:color w:val="auto"/>
          <w:sz w:val="32"/>
          <w:szCs w:val="32"/>
          <w:highlight w:val="none"/>
        </w:rPr>
      </w:pPr>
      <w:r>
        <w:rPr>
          <w:rFonts w:hint="eastAsia" w:ascii="宋体" w:hAnsi="宋体" w:eastAsia="宋体" w:cs="宋体"/>
          <w:color w:val="auto"/>
          <w:sz w:val="28"/>
          <w:szCs w:val="28"/>
          <w:highlight w:val="none"/>
        </w:rPr>
        <w:t>日期：</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32"/>
          <w:szCs w:val="32"/>
          <w:highlight w:val="none"/>
        </w:rPr>
        <w:t>日</w:t>
      </w:r>
    </w:p>
    <w:p w14:paraId="499FEF37">
      <w:pPr>
        <w:rPr>
          <w:rFonts w:hint="eastAsia" w:ascii="宋体" w:hAnsi="宋体" w:eastAsia="宋体" w:cs="宋体"/>
          <w:b/>
          <w:bCs/>
          <w:color w:val="auto"/>
          <w:kern w:val="2"/>
          <w:sz w:val="32"/>
          <w:szCs w:val="21"/>
          <w:highlight w:val="none"/>
          <w:lang w:val="en-US" w:eastAsia="zh-CN"/>
        </w:rPr>
      </w:pPr>
      <w:r>
        <w:rPr>
          <w:rFonts w:hint="eastAsia" w:ascii="宋体" w:hAnsi="宋体" w:eastAsia="宋体" w:cs="宋体"/>
          <w:b/>
          <w:bCs/>
          <w:color w:val="auto"/>
          <w:kern w:val="2"/>
          <w:sz w:val="32"/>
          <w:szCs w:val="21"/>
          <w:highlight w:val="none"/>
          <w:lang w:val="en-US" w:eastAsia="zh-CN"/>
        </w:rPr>
        <w:br w:type="page"/>
      </w:r>
    </w:p>
    <w:p w14:paraId="39A2D577">
      <w:pPr>
        <w:keepNext w:val="0"/>
        <w:tabs>
          <w:tab w:val="left" w:pos="5527"/>
        </w:tabs>
        <w:jc w:val="left"/>
        <w:outlineLvl w:val="9"/>
        <w:rPr>
          <w:rFonts w:hint="default" w:ascii="宋体" w:hAnsi="宋体" w:eastAsia="宋体" w:cs="宋体"/>
          <w:b/>
          <w:bCs/>
          <w:color w:val="auto"/>
          <w:kern w:val="2"/>
          <w:sz w:val="32"/>
          <w:szCs w:val="21"/>
          <w:highlight w:val="none"/>
          <w:lang w:val="en-US" w:eastAsia="zh-CN"/>
        </w:rPr>
      </w:pPr>
      <w:r>
        <w:rPr>
          <w:rFonts w:hint="eastAsia" w:ascii="宋体" w:hAnsi="宋体" w:eastAsia="宋体" w:cs="宋体"/>
          <w:b/>
          <w:bCs/>
          <w:color w:val="auto"/>
          <w:kern w:val="2"/>
          <w:sz w:val="32"/>
          <w:szCs w:val="21"/>
          <w:highlight w:val="none"/>
          <w:lang w:val="en-US" w:eastAsia="zh-CN"/>
        </w:rPr>
        <w:t>附件</w:t>
      </w:r>
      <w:r>
        <w:rPr>
          <w:rFonts w:hint="eastAsia" w:ascii="宋体" w:hAnsi="宋体" w:cs="宋体"/>
          <w:b/>
          <w:bCs/>
          <w:color w:val="auto"/>
          <w:kern w:val="2"/>
          <w:sz w:val="32"/>
          <w:szCs w:val="21"/>
          <w:highlight w:val="none"/>
          <w:lang w:val="en-US" w:eastAsia="zh-CN"/>
        </w:rPr>
        <w:t>5.</w:t>
      </w:r>
      <w:r>
        <w:rPr>
          <w:rFonts w:hint="eastAsia" w:ascii="宋体" w:hAnsi="宋体" w:eastAsia="宋体" w:cs="宋体"/>
          <w:b/>
          <w:bCs/>
          <w:color w:val="auto"/>
          <w:kern w:val="2"/>
          <w:sz w:val="32"/>
          <w:szCs w:val="21"/>
          <w:highlight w:val="none"/>
          <w:lang w:val="en-US" w:eastAsia="zh-CN"/>
        </w:rPr>
        <w:t>4：</w:t>
      </w:r>
    </w:p>
    <w:p w14:paraId="061A6251">
      <w:pPr>
        <w:keepNext w:val="0"/>
        <w:tabs>
          <w:tab w:val="left" w:pos="5527"/>
        </w:tabs>
        <w:jc w:val="center"/>
        <w:outlineLvl w:val="1"/>
        <w:rPr>
          <w:rFonts w:hint="eastAsia" w:ascii="宋体" w:hAnsi="宋体" w:eastAsia="宋体" w:cs="宋体"/>
          <w:b/>
          <w:bCs/>
          <w:color w:val="auto"/>
          <w:kern w:val="2"/>
          <w:sz w:val="32"/>
          <w:szCs w:val="21"/>
          <w:highlight w:val="none"/>
          <w:lang w:val="en-US" w:eastAsia="zh-CN"/>
        </w:rPr>
      </w:pPr>
      <w:r>
        <w:rPr>
          <w:rFonts w:hint="eastAsia" w:ascii="宋体" w:hAnsi="宋体" w:eastAsia="宋体" w:cs="宋体"/>
          <w:b/>
          <w:bCs/>
          <w:color w:val="auto"/>
          <w:kern w:val="2"/>
          <w:sz w:val="32"/>
          <w:szCs w:val="21"/>
          <w:highlight w:val="none"/>
          <w:lang w:val="en-US" w:eastAsia="zh-CN"/>
        </w:rPr>
        <w:t>投标保证金缴纳证明</w:t>
      </w:r>
    </w:p>
    <w:p w14:paraId="2BC58C98">
      <w:pPr>
        <w:tabs>
          <w:tab w:val="left" w:pos="5527"/>
        </w:tabs>
        <w:spacing w:line="600" w:lineRule="auto"/>
        <w:ind w:leftChars="1600"/>
        <w:jc w:val="both"/>
        <w:outlineLvl w:val="9"/>
        <w:rPr>
          <w:rFonts w:hint="eastAsia" w:ascii="宋体" w:hAnsi="宋体" w:eastAsia="宋体" w:cs="宋体"/>
          <w:color w:val="auto"/>
          <w:sz w:val="24"/>
          <w:szCs w:val="24"/>
          <w:highlight w:val="none"/>
        </w:rPr>
      </w:pPr>
    </w:p>
    <w:p w14:paraId="5322825A">
      <w:pPr>
        <w:pStyle w:val="5"/>
        <w:outlineLvl w:val="9"/>
        <w:rPr>
          <w:rFonts w:hint="eastAsia" w:ascii="宋体" w:hAnsi="宋体" w:eastAsia="宋体" w:cs="宋体"/>
          <w:color w:val="auto"/>
          <w:sz w:val="24"/>
          <w:szCs w:val="24"/>
          <w:highlight w:val="none"/>
        </w:rPr>
      </w:pPr>
    </w:p>
    <w:p w14:paraId="244D1D9F">
      <w:pPr>
        <w:outlineLvl w:val="9"/>
        <w:rPr>
          <w:rFonts w:hint="eastAsia" w:ascii="宋体" w:hAnsi="宋体" w:eastAsia="宋体" w:cs="宋体"/>
          <w:color w:val="auto"/>
          <w:sz w:val="24"/>
          <w:szCs w:val="24"/>
          <w:highlight w:val="none"/>
        </w:rPr>
      </w:pPr>
    </w:p>
    <w:p w14:paraId="063813FA">
      <w:pPr>
        <w:pStyle w:val="5"/>
        <w:outlineLvl w:val="9"/>
        <w:rPr>
          <w:rFonts w:hint="eastAsia" w:ascii="宋体" w:hAnsi="宋体" w:eastAsia="宋体" w:cs="宋体"/>
          <w:color w:val="auto"/>
          <w:sz w:val="24"/>
          <w:szCs w:val="24"/>
          <w:highlight w:val="none"/>
        </w:rPr>
      </w:pPr>
    </w:p>
    <w:p w14:paraId="43F67447">
      <w:pPr>
        <w:outlineLvl w:val="9"/>
        <w:rPr>
          <w:rFonts w:hint="eastAsia" w:ascii="宋体" w:hAnsi="宋体" w:eastAsia="宋体" w:cs="宋体"/>
          <w:color w:val="auto"/>
          <w:sz w:val="24"/>
          <w:szCs w:val="24"/>
          <w:highlight w:val="none"/>
        </w:rPr>
      </w:pPr>
    </w:p>
    <w:p w14:paraId="5489BD5D">
      <w:pPr>
        <w:pStyle w:val="5"/>
        <w:outlineLvl w:val="9"/>
        <w:rPr>
          <w:rFonts w:hint="eastAsia" w:ascii="宋体" w:hAnsi="宋体" w:eastAsia="宋体" w:cs="宋体"/>
          <w:color w:val="auto"/>
          <w:sz w:val="24"/>
          <w:szCs w:val="24"/>
          <w:highlight w:val="none"/>
        </w:rPr>
      </w:pPr>
    </w:p>
    <w:p w14:paraId="59A1A50B">
      <w:pPr>
        <w:outlineLvl w:val="9"/>
        <w:rPr>
          <w:rFonts w:hint="eastAsia" w:ascii="宋体" w:hAnsi="宋体" w:eastAsia="宋体" w:cs="宋体"/>
          <w:color w:val="auto"/>
          <w:sz w:val="24"/>
          <w:szCs w:val="24"/>
          <w:highlight w:val="none"/>
        </w:rPr>
      </w:pPr>
    </w:p>
    <w:p w14:paraId="5928C7A7">
      <w:pPr>
        <w:pStyle w:val="5"/>
        <w:outlineLvl w:val="9"/>
        <w:rPr>
          <w:rFonts w:hint="eastAsia" w:ascii="宋体" w:hAnsi="宋体" w:eastAsia="宋体" w:cs="宋体"/>
          <w:color w:val="auto"/>
          <w:sz w:val="24"/>
          <w:szCs w:val="24"/>
          <w:highlight w:val="none"/>
        </w:rPr>
      </w:pPr>
    </w:p>
    <w:p w14:paraId="22E731B7">
      <w:pPr>
        <w:outlineLvl w:val="9"/>
        <w:rPr>
          <w:rFonts w:hint="eastAsia" w:ascii="宋体" w:hAnsi="宋体" w:eastAsia="宋体" w:cs="宋体"/>
          <w:color w:val="auto"/>
          <w:sz w:val="24"/>
          <w:szCs w:val="24"/>
          <w:highlight w:val="none"/>
        </w:rPr>
      </w:pPr>
    </w:p>
    <w:p w14:paraId="08CC72E4">
      <w:pPr>
        <w:pStyle w:val="5"/>
        <w:outlineLvl w:val="9"/>
        <w:rPr>
          <w:rFonts w:hint="eastAsia" w:ascii="宋体" w:hAnsi="宋体" w:eastAsia="宋体" w:cs="宋体"/>
          <w:color w:val="auto"/>
          <w:sz w:val="24"/>
          <w:szCs w:val="24"/>
          <w:highlight w:val="none"/>
        </w:rPr>
      </w:pPr>
    </w:p>
    <w:p w14:paraId="323D4DED">
      <w:pPr>
        <w:outlineLvl w:val="9"/>
        <w:rPr>
          <w:rFonts w:hint="eastAsia" w:ascii="宋体" w:hAnsi="宋体" w:eastAsia="宋体" w:cs="宋体"/>
          <w:color w:val="auto"/>
          <w:sz w:val="24"/>
          <w:szCs w:val="24"/>
          <w:highlight w:val="none"/>
        </w:rPr>
      </w:pPr>
    </w:p>
    <w:p w14:paraId="5F37C90A">
      <w:pPr>
        <w:pStyle w:val="5"/>
        <w:outlineLvl w:val="9"/>
        <w:rPr>
          <w:rFonts w:hint="eastAsia" w:ascii="宋体" w:hAnsi="宋体" w:eastAsia="宋体" w:cs="宋体"/>
          <w:color w:val="auto"/>
          <w:sz w:val="24"/>
          <w:szCs w:val="24"/>
          <w:highlight w:val="none"/>
        </w:rPr>
      </w:pPr>
    </w:p>
    <w:p w14:paraId="44604991">
      <w:pPr>
        <w:outlineLvl w:val="9"/>
        <w:rPr>
          <w:rFonts w:hint="eastAsia" w:ascii="宋体" w:hAnsi="宋体" w:eastAsia="宋体" w:cs="宋体"/>
          <w:color w:val="auto"/>
          <w:sz w:val="24"/>
          <w:szCs w:val="24"/>
          <w:highlight w:val="none"/>
        </w:rPr>
      </w:pPr>
    </w:p>
    <w:p w14:paraId="5864207E">
      <w:pPr>
        <w:pStyle w:val="5"/>
        <w:outlineLvl w:val="9"/>
        <w:rPr>
          <w:rFonts w:hint="eastAsia" w:ascii="宋体" w:hAnsi="宋体" w:eastAsia="宋体" w:cs="宋体"/>
          <w:color w:val="auto"/>
          <w:sz w:val="24"/>
          <w:szCs w:val="24"/>
          <w:highlight w:val="none"/>
        </w:rPr>
      </w:pPr>
    </w:p>
    <w:p w14:paraId="29C1E1A9">
      <w:pPr>
        <w:outlineLvl w:val="9"/>
        <w:rPr>
          <w:rFonts w:hint="eastAsia" w:ascii="宋体" w:hAnsi="宋体" w:eastAsia="宋体" w:cs="宋体"/>
          <w:color w:val="auto"/>
          <w:sz w:val="24"/>
          <w:szCs w:val="24"/>
          <w:highlight w:val="none"/>
        </w:rPr>
      </w:pPr>
    </w:p>
    <w:p w14:paraId="2AC07B49">
      <w:pPr>
        <w:pStyle w:val="5"/>
        <w:outlineLvl w:val="9"/>
        <w:rPr>
          <w:rFonts w:hint="eastAsia" w:ascii="宋体" w:hAnsi="宋体" w:eastAsia="宋体" w:cs="宋体"/>
          <w:color w:val="auto"/>
          <w:sz w:val="24"/>
          <w:szCs w:val="24"/>
          <w:highlight w:val="none"/>
        </w:rPr>
      </w:pPr>
    </w:p>
    <w:p w14:paraId="2C6990A6">
      <w:pPr>
        <w:outlineLvl w:val="9"/>
        <w:rPr>
          <w:rFonts w:hint="eastAsia" w:ascii="宋体" w:hAnsi="宋体" w:eastAsia="宋体" w:cs="宋体"/>
          <w:color w:val="auto"/>
          <w:sz w:val="24"/>
          <w:szCs w:val="24"/>
          <w:highlight w:val="none"/>
        </w:rPr>
      </w:pPr>
    </w:p>
    <w:p w14:paraId="59F88613">
      <w:pPr>
        <w:pStyle w:val="5"/>
        <w:outlineLvl w:val="9"/>
        <w:rPr>
          <w:rFonts w:hint="eastAsia" w:ascii="宋体" w:hAnsi="宋体" w:eastAsia="宋体" w:cs="宋体"/>
          <w:color w:val="auto"/>
          <w:sz w:val="24"/>
          <w:szCs w:val="24"/>
          <w:highlight w:val="none"/>
        </w:rPr>
      </w:pPr>
    </w:p>
    <w:p w14:paraId="50233989">
      <w:pPr>
        <w:outlineLvl w:val="9"/>
        <w:rPr>
          <w:rFonts w:hint="eastAsia" w:ascii="宋体" w:hAnsi="宋体" w:eastAsia="宋体" w:cs="宋体"/>
          <w:color w:val="auto"/>
          <w:sz w:val="24"/>
          <w:szCs w:val="24"/>
          <w:highlight w:val="none"/>
        </w:rPr>
      </w:pPr>
    </w:p>
    <w:p w14:paraId="6B40B6BD">
      <w:pPr>
        <w:pStyle w:val="5"/>
        <w:outlineLvl w:val="9"/>
        <w:rPr>
          <w:rFonts w:hint="eastAsia" w:ascii="宋体" w:hAnsi="宋体" w:eastAsia="宋体" w:cs="宋体"/>
          <w:color w:val="auto"/>
          <w:highlight w:val="none"/>
        </w:rPr>
      </w:pPr>
    </w:p>
    <w:p w14:paraId="25FF0EB3">
      <w:pPr>
        <w:tabs>
          <w:tab w:val="left" w:pos="5527"/>
        </w:tabs>
        <w:spacing w:line="600" w:lineRule="auto"/>
        <w:ind w:leftChars="1600"/>
        <w:jc w:val="both"/>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供应商名称（盖章）：</w:t>
      </w:r>
    </w:p>
    <w:p w14:paraId="2B5AA1E7">
      <w:pPr>
        <w:tabs>
          <w:tab w:val="left" w:pos="5527"/>
        </w:tabs>
        <w:spacing w:line="600" w:lineRule="auto"/>
        <w:ind w:leftChars="1600"/>
        <w:jc w:val="both"/>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法定代表人或委托代理人（签字或盖章）：</w:t>
      </w:r>
    </w:p>
    <w:p w14:paraId="6403329A">
      <w:pPr>
        <w:tabs>
          <w:tab w:val="left" w:pos="5527"/>
        </w:tabs>
        <w:spacing w:line="600" w:lineRule="auto"/>
        <w:ind w:leftChars="1600"/>
        <w:jc w:val="both"/>
        <w:outlineLvl w:val="9"/>
        <w:rPr>
          <w:rFonts w:hint="eastAsia" w:ascii="宋体" w:hAnsi="宋体" w:eastAsia="宋体" w:cs="宋体"/>
          <w:color w:val="auto"/>
          <w:sz w:val="32"/>
          <w:szCs w:val="32"/>
          <w:highlight w:val="none"/>
        </w:rPr>
      </w:pPr>
      <w:r>
        <w:rPr>
          <w:rFonts w:hint="eastAsia" w:ascii="宋体" w:hAnsi="宋体" w:eastAsia="宋体" w:cs="宋体"/>
          <w:color w:val="auto"/>
          <w:sz w:val="28"/>
          <w:szCs w:val="28"/>
          <w:highlight w:val="none"/>
        </w:rPr>
        <w:t>日期：</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32"/>
          <w:szCs w:val="32"/>
          <w:highlight w:val="none"/>
        </w:rPr>
        <w:t>日</w:t>
      </w:r>
    </w:p>
    <w:p w14:paraId="5A02CF3F">
      <w:pPr>
        <w:rPr>
          <w:rFonts w:hint="eastAsia" w:ascii="宋体" w:hAnsi="宋体" w:eastAsia="宋体" w:cs="宋体"/>
          <w:b/>
          <w:bCs/>
          <w:color w:val="auto"/>
          <w:kern w:val="2"/>
          <w:sz w:val="32"/>
          <w:szCs w:val="21"/>
          <w:highlight w:val="none"/>
          <w:lang w:val="en-US" w:eastAsia="zh-CN"/>
        </w:rPr>
      </w:pPr>
    </w:p>
    <w:p w14:paraId="7852CE66">
      <w:pPr>
        <w:keepNext w:val="0"/>
        <w:keepLines w:val="0"/>
        <w:pageBreakBefore w:val="0"/>
        <w:widowControl w:val="0"/>
        <w:tabs>
          <w:tab w:val="left" w:pos="5527"/>
        </w:tabs>
        <w:kinsoku/>
        <w:wordWrap/>
        <w:overflowPunct/>
        <w:topLinePunct w:val="0"/>
        <w:bidi w:val="0"/>
        <w:snapToGrid/>
        <w:spacing w:line="336" w:lineRule="auto"/>
        <w:ind w:firstLine="1128" w:firstLineChars="400"/>
        <w:textAlignment w:val="auto"/>
        <w:outlineLvl w:val="9"/>
        <w:rPr>
          <w:rFonts w:hint="eastAsia" w:ascii="宋体" w:hAnsi="宋体" w:eastAsia="宋体" w:cs="宋体"/>
          <w:b/>
          <w:bCs/>
          <w:color w:val="auto"/>
          <w:sz w:val="28"/>
          <w:szCs w:val="28"/>
          <w:highlight w:val="none"/>
          <w:lang w:val="en-US" w:eastAsia="zh-CN"/>
        </w:rPr>
      </w:pPr>
    </w:p>
    <w:p w14:paraId="1F770E61">
      <w:pPr>
        <w:keepNext w:val="0"/>
        <w:keepLines w:val="0"/>
        <w:pageBreakBefore w:val="0"/>
        <w:widowControl w:val="0"/>
        <w:tabs>
          <w:tab w:val="left" w:pos="5527"/>
        </w:tabs>
        <w:kinsoku/>
        <w:wordWrap/>
        <w:overflowPunct/>
        <w:topLinePunct w:val="0"/>
        <w:bidi w:val="0"/>
        <w:snapToGrid/>
        <w:spacing w:line="336" w:lineRule="auto"/>
        <w:textAlignment w:val="auto"/>
        <w:outlineLvl w:val="9"/>
        <w:rPr>
          <w:rStyle w:val="40"/>
          <w:rFonts w:hint="eastAsia" w:ascii="宋体" w:hAnsi="宋体" w:eastAsia="宋体" w:cs="宋体"/>
          <w:b/>
          <w:bCs/>
          <w:color w:val="auto"/>
          <w:sz w:val="32"/>
          <w:szCs w:val="28"/>
          <w:highlight w:val="none"/>
        </w:rPr>
      </w:pPr>
      <w:r>
        <w:rPr>
          <w:rFonts w:hint="eastAsia" w:ascii="宋体" w:hAnsi="宋体" w:eastAsia="宋体" w:cs="宋体"/>
          <w:b/>
          <w:bCs/>
          <w:color w:val="auto"/>
          <w:sz w:val="28"/>
          <w:szCs w:val="28"/>
          <w:highlight w:val="none"/>
          <w:lang w:val="en-US" w:eastAsia="zh-CN"/>
        </w:rPr>
        <w:br w:type="page"/>
      </w:r>
      <w:r>
        <w:rPr>
          <w:rStyle w:val="40"/>
          <w:rFonts w:hint="eastAsia" w:ascii="宋体" w:hAnsi="宋体" w:eastAsia="宋体" w:cs="宋体"/>
          <w:b/>
          <w:bCs/>
          <w:color w:val="auto"/>
          <w:sz w:val="32"/>
          <w:szCs w:val="28"/>
          <w:highlight w:val="none"/>
        </w:rPr>
        <w:t>附件</w:t>
      </w:r>
      <w:r>
        <w:rPr>
          <w:rStyle w:val="40"/>
          <w:rFonts w:hint="eastAsia" w:ascii="宋体" w:hAnsi="宋体" w:cs="宋体"/>
          <w:b/>
          <w:bCs/>
          <w:color w:val="auto"/>
          <w:sz w:val="32"/>
          <w:szCs w:val="28"/>
          <w:highlight w:val="none"/>
          <w:lang w:val="en-US" w:eastAsia="zh-CN"/>
        </w:rPr>
        <w:t>5.5</w:t>
      </w:r>
      <w:r>
        <w:rPr>
          <w:rStyle w:val="40"/>
          <w:rFonts w:hint="eastAsia" w:ascii="宋体" w:hAnsi="宋体" w:eastAsia="宋体" w:cs="宋体"/>
          <w:b/>
          <w:bCs/>
          <w:color w:val="auto"/>
          <w:sz w:val="32"/>
          <w:szCs w:val="28"/>
          <w:highlight w:val="none"/>
        </w:rPr>
        <w:t>：</w:t>
      </w:r>
    </w:p>
    <w:p w14:paraId="4B4D583C">
      <w:pPr>
        <w:keepNext w:val="0"/>
        <w:tabs>
          <w:tab w:val="left" w:pos="5527"/>
        </w:tabs>
        <w:jc w:val="center"/>
        <w:outlineLvl w:val="1"/>
        <w:rPr>
          <w:rFonts w:hint="eastAsia" w:ascii="宋体" w:hAnsi="宋体" w:eastAsia="宋体" w:cs="宋体"/>
          <w:b/>
          <w:bCs/>
          <w:color w:val="auto"/>
          <w:kern w:val="2"/>
          <w:sz w:val="32"/>
          <w:szCs w:val="21"/>
          <w:highlight w:val="none"/>
          <w:lang w:val="en-US" w:eastAsia="zh-CN"/>
        </w:rPr>
      </w:pPr>
      <w:r>
        <w:rPr>
          <w:rFonts w:hint="eastAsia" w:ascii="宋体" w:hAnsi="宋体" w:eastAsia="宋体" w:cs="宋体"/>
          <w:b/>
          <w:bCs/>
          <w:color w:val="auto"/>
          <w:kern w:val="2"/>
          <w:sz w:val="32"/>
          <w:szCs w:val="21"/>
          <w:highlight w:val="none"/>
          <w:lang w:val="en-US" w:eastAsia="zh-CN"/>
        </w:rPr>
        <w:t>主要股东或出资人信息</w:t>
      </w:r>
    </w:p>
    <w:tbl>
      <w:tblPr>
        <w:tblStyle w:val="27"/>
        <w:tblW w:w="9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287"/>
        <w:gridCol w:w="2340"/>
        <w:gridCol w:w="1404"/>
        <w:gridCol w:w="1493"/>
        <w:gridCol w:w="1315"/>
        <w:gridCol w:w="957"/>
      </w:tblGrid>
      <w:tr w14:paraId="0E273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810" w:type="dxa"/>
            <w:vAlign w:val="center"/>
          </w:tcPr>
          <w:p w14:paraId="0AA58FD4">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287" w:type="dxa"/>
            <w:vAlign w:val="center"/>
          </w:tcPr>
          <w:p w14:paraId="4451E6C4">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名称</w:t>
            </w:r>
          </w:p>
          <w:p w14:paraId="783B68F6">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2340" w:type="dxa"/>
            <w:vAlign w:val="center"/>
          </w:tcPr>
          <w:p w14:paraId="5F1256E1">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统一社会信用代码</w:t>
            </w:r>
          </w:p>
          <w:p w14:paraId="7125791E">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（身份证号）</w:t>
            </w:r>
          </w:p>
        </w:tc>
        <w:tc>
          <w:tcPr>
            <w:tcW w:w="1404" w:type="dxa"/>
            <w:vAlign w:val="center"/>
          </w:tcPr>
          <w:p w14:paraId="40AC87C0">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出资方式</w:t>
            </w:r>
          </w:p>
        </w:tc>
        <w:tc>
          <w:tcPr>
            <w:tcW w:w="1493" w:type="dxa"/>
            <w:vAlign w:val="center"/>
          </w:tcPr>
          <w:p w14:paraId="071E6B50">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出资金额</w:t>
            </w:r>
          </w:p>
          <w:p w14:paraId="652692C2">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（万元）</w:t>
            </w:r>
          </w:p>
        </w:tc>
        <w:tc>
          <w:tcPr>
            <w:tcW w:w="1315" w:type="dxa"/>
            <w:vAlign w:val="center"/>
          </w:tcPr>
          <w:p w14:paraId="0377DA76">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占全部股份比例</w:t>
            </w:r>
          </w:p>
        </w:tc>
        <w:tc>
          <w:tcPr>
            <w:tcW w:w="957" w:type="dxa"/>
            <w:vAlign w:val="center"/>
          </w:tcPr>
          <w:p w14:paraId="21B3C3F3">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61223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0" w:type="dxa"/>
            <w:vAlign w:val="center"/>
          </w:tcPr>
          <w:p w14:paraId="476DEB6D">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1287" w:type="dxa"/>
            <w:vAlign w:val="center"/>
          </w:tcPr>
          <w:p w14:paraId="4A11768B">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2340" w:type="dxa"/>
            <w:vAlign w:val="center"/>
          </w:tcPr>
          <w:p w14:paraId="0AE4D4C2">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1404" w:type="dxa"/>
            <w:vAlign w:val="center"/>
          </w:tcPr>
          <w:p w14:paraId="7F94BD2E">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1493" w:type="dxa"/>
            <w:vAlign w:val="center"/>
          </w:tcPr>
          <w:p w14:paraId="019DB1AA">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1315" w:type="dxa"/>
            <w:vAlign w:val="center"/>
          </w:tcPr>
          <w:p w14:paraId="43FBD1DC">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957" w:type="dxa"/>
            <w:vAlign w:val="center"/>
          </w:tcPr>
          <w:p w14:paraId="39AD2C54">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r>
      <w:tr w14:paraId="04CA0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0" w:type="dxa"/>
            <w:vAlign w:val="center"/>
          </w:tcPr>
          <w:p w14:paraId="4F0D6FBF">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1287" w:type="dxa"/>
            <w:vAlign w:val="center"/>
          </w:tcPr>
          <w:p w14:paraId="40A17A19">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2340" w:type="dxa"/>
            <w:vAlign w:val="center"/>
          </w:tcPr>
          <w:p w14:paraId="5BA96556">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1404" w:type="dxa"/>
            <w:vAlign w:val="center"/>
          </w:tcPr>
          <w:p w14:paraId="7B723740">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1493" w:type="dxa"/>
            <w:vAlign w:val="center"/>
          </w:tcPr>
          <w:p w14:paraId="5729914B">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1315" w:type="dxa"/>
            <w:vAlign w:val="center"/>
          </w:tcPr>
          <w:p w14:paraId="5A4B8B2A">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957" w:type="dxa"/>
            <w:vAlign w:val="center"/>
          </w:tcPr>
          <w:p w14:paraId="380E8F9E">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r>
      <w:tr w14:paraId="563F3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0" w:type="dxa"/>
            <w:vAlign w:val="center"/>
          </w:tcPr>
          <w:p w14:paraId="3B70270D">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1287" w:type="dxa"/>
            <w:vAlign w:val="center"/>
          </w:tcPr>
          <w:p w14:paraId="56CFC25B">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2340" w:type="dxa"/>
            <w:vAlign w:val="center"/>
          </w:tcPr>
          <w:p w14:paraId="337EEB8C">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1404" w:type="dxa"/>
            <w:vAlign w:val="center"/>
          </w:tcPr>
          <w:p w14:paraId="1F3FA946">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1493" w:type="dxa"/>
            <w:vAlign w:val="center"/>
          </w:tcPr>
          <w:p w14:paraId="34619DA3">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1315" w:type="dxa"/>
            <w:vAlign w:val="center"/>
          </w:tcPr>
          <w:p w14:paraId="330D59E3">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957" w:type="dxa"/>
            <w:vAlign w:val="center"/>
          </w:tcPr>
          <w:p w14:paraId="26DA7EBD">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r>
      <w:tr w14:paraId="7588E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0" w:type="dxa"/>
            <w:vAlign w:val="center"/>
          </w:tcPr>
          <w:p w14:paraId="0F67E7E4">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1287" w:type="dxa"/>
            <w:vAlign w:val="center"/>
          </w:tcPr>
          <w:p w14:paraId="1185B1ED">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2340" w:type="dxa"/>
            <w:vAlign w:val="center"/>
          </w:tcPr>
          <w:p w14:paraId="642FB689">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1404" w:type="dxa"/>
            <w:vAlign w:val="center"/>
          </w:tcPr>
          <w:p w14:paraId="2C312339">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1493" w:type="dxa"/>
            <w:vAlign w:val="center"/>
          </w:tcPr>
          <w:p w14:paraId="50AA27A0">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1315" w:type="dxa"/>
            <w:vAlign w:val="center"/>
          </w:tcPr>
          <w:p w14:paraId="058B06C0">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957" w:type="dxa"/>
            <w:vAlign w:val="center"/>
          </w:tcPr>
          <w:p w14:paraId="59FFDF4D">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r>
      <w:tr w14:paraId="20277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0" w:type="dxa"/>
            <w:vAlign w:val="center"/>
          </w:tcPr>
          <w:p w14:paraId="209E218F">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1287" w:type="dxa"/>
            <w:vAlign w:val="center"/>
          </w:tcPr>
          <w:p w14:paraId="00A96286">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2340" w:type="dxa"/>
            <w:vAlign w:val="center"/>
          </w:tcPr>
          <w:p w14:paraId="7F838C35">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1404" w:type="dxa"/>
            <w:vAlign w:val="center"/>
          </w:tcPr>
          <w:p w14:paraId="5A1608BC">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1493" w:type="dxa"/>
            <w:vAlign w:val="center"/>
          </w:tcPr>
          <w:p w14:paraId="2A27A433">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1315" w:type="dxa"/>
            <w:vAlign w:val="center"/>
          </w:tcPr>
          <w:p w14:paraId="6667EDC9">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c>
          <w:tcPr>
            <w:tcW w:w="957" w:type="dxa"/>
            <w:vAlign w:val="center"/>
          </w:tcPr>
          <w:p w14:paraId="61CFD0B5">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color w:val="auto"/>
                <w:sz w:val="24"/>
                <w:szCs w:val="24"/>
                <w:highlight w:val="none"/>
              </w:rPr>
            </w:pPr>
          </w:p>
        </w:tc>
      </w:tr>
    </w:tbl>
    <w:p w14:paraId="7A555A11">
      <w:pPr>
        <w:tabs>
          <w:tab w:val="left" w:pos="5527"/>
        </w:tabs>
        <w:spacing w:line="480" w:lineRule="exact"/>
        <w:ind w:firstLine="564" w:firstLineChars="2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我方承诺，以上信息真实可靠；如填报的股东出资额、出资比例等与实际不符，视为放弃中标资格。</w:t>
      </w:r>
    </w:p>
    <w:p w14:paraId="132EC880">
      <w:pPr>
        <w:tabs>
          <w:tab w:val="left" w:pos="5527"/>
        </w:tabs>
        <w:spacing w:line="480" w:lineRule="exact"/>
        <w:ind w:left="720" w:hanging="666" w:hangingChars="300"/>
        <w:outlineLvl w:val="9"/>
        <w:rPr>
          <w:rFonts w:hint="eastAsia" w:ascii="宋体" w:hAnsi="宋体" w:eastAsia="宋体" w:cs="宋体"/>
          <w:color w:val="auto"/>
          <w:sz w:val="22"/>
          <w:szCs w:val="21"/>
          <w:highlight w:val="none"/>
        </w:rPr>
      </w:pPr>
    </w:p>
    <w:p w14:paraId="43B16FFD">
      <w:pPr>
        <w:tabs>
          <w:tab w:val="left" w:pos="5527"/>
        </w:tabs>
        <w:spacing w:line="480" w:lineRule="exact"/>
        <w:ind w:firstLine="564" w:firstLineChars="2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注：1.主要股东或出资人为法人的，填写法人全称及统一社会信用代码（尚未办理三证合一的填写组织机构代码）；为自然人的，填写自然人姓名和身份证号。</w:t>
      </w:r>
    </w:p>
    <w:p w14:paraId="1EFDB1FD">
      <w:pPr>
        <w:tabs>
          <w:tab w:val="left" w:pos="5527"/>
        </w:tabs>
        <w:spacing w:line="480" w:lineRule="exact"/>
        <w:ind w:firstLine="1128" w:firstLineChars="4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2.出资方式填写货币、实物、工艺产权和非专利技术、土地使用权等。</w:t>
      </w:r>
    </w:p>
    <w:p w14:paraId="0E8E6396">
      <w:pPr>
        <w:tabs>
          <w:tab w:val="left" w:pos="5527"/>
        </w:tabs>
        <w:spacing w:line="480" w:lineRule="exact"/>
        <w:ind w:firstLine="1128" w:firstLineChars="4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w:t>
      </w:r>
      <w:r>
        <w:rPr>
          <w:rFonts w:hint="eastAsia" w:ascii="宋体" w:hAnsi="宋体" w:eastAsia="宋体" w:cs="宋体"/>
          <w:color w:val="auto"/>
          <w:sz w:val="28"/>
          <w:szCs w:val="28"/>
          <w:highlight w:val="none"/>
          <w:lang w:eastAsia="zh-CN"/>
        </w:rPr>
        <w:t>投标供应商</w:t>
      </w:r>
      <w:r>
        <w:rPr>
          <w:rFonts w:hint="eastAsia" w:ascii="宋体" w:hAnsi="宋体" w:eastAsia="宋体" w:cs="宋体"/>
          <w:color w:val="auto"/>
          <w:sz w:val="28"/>
          <w:szCs w:val="28"/>
          <w:highlight w:val="none"/>
        </w:rPr>
        <w:t>应按照占全部股份比例从大到小依次逐个股东填写。</w:t>
      </w:r>
    </w:p>
    <w:p w14:paraId="42A34250">
      <w:pPr>
        <w:tabs>
          <w:tab w:val="left" w:pos="5527"/>
        </w:tabs>
        <w:spacing w:line="480" w:lineRule="exact"/>
        <w:ind w:left="535" w:leftChars="200" w:hanging="111" w:hangingChars="50"/>
        <w:outlineLvl w:val="9"/>
        <w:rPr>
          <w:rFonts w:hint="eastAsia" w:ascii="宋体" w:hAnsi="宋体" w:eastAsia="宋体" w:cs="宋体"/>
          <w:color w:val="auto"/>
          <w:sz w:val="22"/>
          <w:szCs w:val="21"/>
          <w:highlight w:val="none"/>
        </w:rPr>
      </w:pPr>
    </w:p>
    <w:p w14:paraId="20671EF7">
      <w:pPr>
        <w:tabs>
          <w:tab w:val="left" w:pos="5527"/>
        </w:tabs>
        <w:spacing w:line="480" w:lineRule="exact"/>
        <w:ind w:left="565" w:leftChars="200" w:hanging="141" w:hangingChars="50"/>
        <w:outlineLvl w:val="9"/>
        <w:rPr>
          <w:rFonts w:hint="eastAsia" w:ascii="宋体" w:hAnsi="宋体" w:eastAsia="宋体" w:cs="宋体"/>
          <w:color w:val="auto"/>
          <w:sz w:val="28"/>
          <w:szCs w:val="28"/>
          <w:highlight w:val="none"/>
        </w:rPr>
      </w:pPr>
    </w:p>
    <w:p w14:paraId="479EE3FD">
      <w:pPr>
        <w:tabs>
          <w:tab w:val="left" w:pos="5527"/>
        </w:tabs>
        <w:spacing w:line="600" w:lineRule="auto"/>
        <w:ind w:leftChars="1600"/>
        <w:jc w:val="both"/>
        <w:outlineLvl w:val="9"/>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z w:val="28"/>
          <w:szCs w:val="28"/>
          <w:highlight w:val="none"/>
        </w:rPr>
        <w:t>供应商名称（盖章）：</w:t>
      </w:r>
    </w:p>
    <w:p w14:paraId="3F2FE412">
      <w:pPr>
        <w:tabs>
          <w:tab w:val="left" w:pos="5527"/>
        </w:tabs>
        <w:spacing w:line="600" w:lineRule="auto"/>
        <w:ind w:leftChars="1600"/>
        <w:jc w:val="both"/>
        <w:outlineLvl w:val="9"/>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z w:val="28"/>
          <w:szCs w:val="28"/>
          <w:highlight w:val="none"/>
        </w:rPr>
        <w:t>法定代表人或委托代理人（签字或盖章）：</w:t>
      </w:r>
    </w:p>
    <w:p w14:paraId="7B782721">
      <w:pPr>
        <w:tabs>
          <w:tab w:val="left" w:pos="5527"/>
        </w:tabs>
        <w:spacing w:line="600" w:lineRule="auto"/>
        <w:ind w:leftChars="1600"/>
        <w:jc w:val="both"/>
        <w:outlineLvl w:val="9"/>
        <w:rPr>
          <w:rFonts w:hint="eastAsia" w:ascii="宋体" w:hAnsi="宋体" w:eastAsia="宋体" w:cs="宋体"/>
          <w:b/>
          <w:bCs/>
          <w:color w:val="auto"/>
          <w:sz w:val="28"/>
          <w:szCs w:val="28"/>
          <w:highlight w:val="none"/>
          <w:lang w:val="en-US" w:eastAsia="zh-CN"/>
        </w:rPr>
      </w:pPr>
      <w:r>
        <w:rPr>
          <w:rFonts w:hint="eastAsia" w:ascii="宋体" w:hAnsi="宋体" w:eastAsia="宋体" w:cs="宋体"/>
          <w:b w:val="0"/>
          <w:bCs w:val="0"/>
          <w:color w:val="auto"/>
          <w:sz w:val="28"/>
          <w:szCs w:val="28"/>
          <w:highlight w:val="none"/>
        </w:rPr>
        <w:t>日期：</w:t>
      </w:r>
      <w:r>
        <w:rPr>
          <w:rFonts w:hint="eastAsia" w:ascii="宋体" w:hAnsi="宋体" w:eastAsia="宋体" w:cs="宋体"/>
          <w:b w:val="0"/>
          <w:bCs w:val="0"/>
          <w:color w:val="auto"/>
          <w:sz w:val="28"/>
          <w:szCs w:val="28"/>
          <w:highlight w:val="none"/>
          <w:lang w:val="en-US" w:eastAsia="zh-CN"/>
        </w:rPr>
        <w:t xml:space="preserve">    </w:t>
      </w:r>
      <w:r>
        <w:rPr>
          <w:rFonts w:hint="eastAsia" w:ascii="宋体" w:hAnsi="宋体" w:eastAsia="宋体" w:cs="宋体"/>
          <w:b w:val="0"/>
          <w:bCs w:val="0"/>
          <w:color w:val="auto"/>
          <w:sz w:val="28"/>
          <w:szCs w:val="28"/>
          <w:highlight w:val="none"/>
        </w:rPr>
        <w:t>年</w:t>
      </w:r>
      <w:r>
        <w:rPr>
          <w:rFonts w:hint="eastAsia" w:ascii="宋体" w:hAnsi="宋体" w:eastAsia="宋体" w:cs="宋体"/>
          <w:b w:val="0"/>
          <w:bCs w:val="0"/>
          <w:color w:val="auto"/>
          <w:sz w:val="28"/>
          <w:szCs w:val="28"/>
          <w:highlight w:val="none"/>
          <w:lang w:val="en-US" w:eastAsia="zh-CN"/>
        </w:rPr>
        <w:t xml:space="preserve">  </w:t>
      </w:r>
      <w:r>
        <w:rPr>
          <w:rFonts w:hint="eastAsia" w:ascii="宋体" w:hAnsi="宋体" w:eastAsia="宋体" w:cs="宋体"/>
          <w:b w:val="0"/>
          <w:bCs w:val="0"/>
          <w:color w:val="auto"/>
          <w:sz w:val="28"/>
          <w:szCs w:val="28"/>
          <w:highlight w:val="none"/>
        </w:rPr>
        <w:t>月</w:t>
      </w:r>
      <w:r>
        <w:rPr>
          <w:rFonts w:hint="eastAsia" w:ascii="宋体" w:hAnsi="宋体" w:eastAsia="宋体" w:cs="宋体"/>
          <w:b w:val="0"/>
          <w:bCs w:val="0"/>
          <w:color w:val="auto"/>
          <w:sz w:val="28"/>
          <w:szCs w:val="28"/>
          <w:highlight w:val="none"/>
          <w:lang w:val="en-US" w:eastAsia="zh-CN"/>
        </w:rPr>
        <w:t xml:space="preserve">  </w:t>
      </w:r>
      <w:r>
        <w:rPr>
          <w:rFonts w:hint="eastAsia" w:ascii="宋体" w:hAnsi="宋体" w:eastAsia="宋体" w:cs="宋体"/>
          <w:b w:val="0"/>
          <w:bCs w:val="0"/>
          <w:color w:val="auto"/>
          <w:sz w:val="32"/>
          <w:szCs w:val="32"/>
          <w:highlight w:val="none"/>
        </w:rPr>
        <w:t>日</w:t>
      </w:r>
    </w:p>
    <w:p w14:paraId="0ABF524A">
      <w:pPr>
        <w:keepNext w:val="0"/>
        <w:numPr>
          <w:ilvl w:val="0"/>
          <w:numId w:val="0"/>
        </w:numPr>
        <w:tabs>
          <w:tab w:val="left" w:pos="420"/>
          <w:tab w:val="left" w:pos="5527"/>
        </w:tabs>
        <w:jc w:val="left"/>
        <w:outlineLvl w:val="9"/>
        <w:rPr>
          <w:rStyle w:val="38"/>
          <w:rFonts w:hint="eastAsia" w:ascii="宋体" w:hAnsi="宋体" w:eastAsia="宋体" w:cs="宋体"/>
          <w:b/>
          <w:bCs/>
          <w:color w:val="auto"/>
          <w:sz w:val="32"/>
          <w:szCs w:val="28"/>
          <w:highlight w:val="none"/>
          <w:lang w:val="en-US" w:eastAsia="zh-CN"/>
        </w:rPr>
      </w:pPr>
      <w:r>
        <w:rPr>
          <w:rFonts w:hint="eastAsia" w:ascii="宋体" w:hAnsi="宋体" w:eastAsia="宋体" w:cs="宋体"/>
          <w:b/>
          <w:bCs/>
          <w:color w:val="auto"/>
          <w:sz w:val="28"/>
          <w:szCs w:val="28"/>
          <w:highlight w:val="none"/>
          <w:lang w:val="en-US" w:eastAsia="zh-CN"/>
        </w:rPr>
        <w:br w:type="page"/>
      </w:r>
      <w:bookmarkStart w:id="274" w:name="_Toc2823"/>
      <w:bookmarkStart w:id="275" w:name="_Toc3838"/>
      <w:bookmarkStart w:id="276" w:name="_Toc24425"/>
      <w:bookmarkStart w:id="277" w:name="_Toc13819"/>
      <w:bookmarkStart w:id="278" w:name="_Toc4149"/>
      <w:bookmarkStart w:id="279" w:name="_Toc4146"/>
      <w:bookmarkStart w:id="280" w:name="_Toc26562"/>
      <w:bookmarkStart w:id="281" w:name="_Toc32377"/>
      <w:bookmarkStart w:id="282" w:name="_Toc16327"/>
      <w:r>
        <w:rPr>
          <w:rStyle w:val="38"/>
          <w:rFonts w:hint="eastAsia" w:ascii="宋体" w:hAnsi="宋体" w:eastAsia="宋体" w:cs="宋体"/>
          <w:b/>
          <w:bCs/>
          <w:color w:val="auto"/>
          <w:sz w:val="32"/>
          <w:szCs w:val="28"/>
          <w:highlight w:val="none"/>
          <w:lang w:val="en-US" w:eastAsia="zh-CN"/>
        </w:rPr>
        <w:t>附件</w:t>
      </w:r>
      <w:bookmarkEnd w:id="274"/>
      <w:bookmarkEnd w:id="275"/>
      <w:r>
        <w:rPr>
          <w:rStyle w:val="38"/>
          <w:rFonts w:hint="eastAsia" w:ascii="宋体" w:hAnsi="宋体" w:cs="宋体"/>
          <w:b/>
          <w:bCs/>
          <w:color w:val="auto"/>
          <w:sz w:val="32"/>
          <w:szCs w:val="28"/>
          <w:highlight w:val="none"/>
          <w:lang w:val="en-US" w:eastAsia="zh-CN"/>
        </w:rPr>
        <w:t>6</w:t>
      </w:r>
      <w:r>
        <w:rPr>
          <w:rStyle w:val="38"/>
          <w:rFonts w:hint="eastAsia" w:ascii="宋体" w:hAnsi="宋体" w:eastAsia="宋体" w:cs="宋体"/>
          <w:b/>
          <w:bCs/>
          <w:color w:val="auto"/>
          <w:kern w:val="2"/>
          <w:sz w:val="32"/>
          <w:szCs w:val="28"/>
          <w:highlight w:val="none"/>
          <w:lang w:val="en-US" w:eastAsia="zh-CN" w:bidi="ar-SA"/>
        </w:rPr>
        <w:t>：</w:t>
      </w:r>
      <w:bookmarkEnd w:id="276"/>
      <w:bookmarkEnd w:id="277"/>
    </w:p>
    <w:bookmarkEnd w:id="278"/>
    <w:bookmarkEnd w:id="279"/>
    <w:bookmarkEnd w:id="280"/>
    <w:bookmarkEnd w:id="281"/>
    <w:bookmarkEnd w:id="282"/>
    <w:p w14:paraId="6E8756FB">
      <w:pPr>
        <w:keepNext w:val="0"/>
        <w:tabs>
          <w:tab w:val="left" w:pos="5527"/>
        </w:tabs>
        <w:jc w:val="center"/>
        <w:outlineLvl w:val="1"/>
        <w:rPr>
          <w:rFonts w:hint="eastAsia" w:ascii="宋体" w:hAnsi="宋体" w:eastAsia="宋体" w:cs="宋体"/>
          <w:b/>
          <w:bCs/>
          <w:color w:val="auto"/>
          <w:kern w:val="2"/>
          <w:sz w:val="32"/>
          <w:szCs w:val="21"/>
          <w:highlight w:val="none"/>
          <w:lang w:val="en-US" w:eastAsia="zh-CN"/>
        </w:rPr>
      </w:pPr>
      <w:bookmarkStart w:id="283" w:name="_Toc11037"/>
      <w:bookmarkStart w:id="284" w:name="_Toc22602"/>
      <w:bookmarkStart w:id="285" w:name="_Toc122"/>
      <w:bookmarkStart w:id="286" w:name="_Toc5616"/>
      <w:bookmarkStart w:id="287" w:name="_Toc2268"/>
      <w:bookmarkStart w:id="288" w:name="_Toc24088"/>
      <w:bookmarkStart w:id="289" w:name="_Toc16880"/>
      <w:r>
        <w:rPr>
          <w:rFonts w:hint="eastAsia" w:ascii="宋体" w:hAnsi="宋体" w:eastAsia="宋体" w:cs="宋体"/>
          <w:b/>
          <w:bCs/>
          <w:color w:val="auto"/>
          <w:kern w:val="2"/>
          <w:sz w:val="32"/>
          <w:szCs w:val="21"/>
          <w:highlight w:val="none"/>
          <w:lang w:val="en-US" w:eastAsia="zh-CN"/>
        </w:rPr>
        <w:t>“重法纪、讲诚信”承诺书</w:t>
      </w:r>
      <w:bookmarkEnd w:id="283"/>
      <w:bookmarkEnd w:id="284"/>
      <w:bookmarkEnd w:id="285"/>
      <w:bookmarkEnd w:id="286"/>
      <w:bookmarkEnd w:id="287"/>
      <w:bookmarkEnd w:id="288"/>
    </w:p>
    <w:bookmarkEnd w:id="289"/>
    <w:p w14:paraId="02E94F41">
      <w:pPr>
        <w:tabs>
          <w:tab w:val="left" w:pos="5527"/>
        </w:tabs>
        <w:bidi w:val="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u w:val="single"/>
          <w:lang w:val="zh-CN"/>
        </w:rPr>
        <w:t>（采购人名称）</w:t>
      </w:r>
      <w:r>
        <w:rPr>
          <w:rFonts w:hint="eastAsia" w:ascii="宋体" w:hAnsi="宋体" w:eastAsia="宋体" w:cs="宋体"/>
          <w:color w:val="auto"/>
          <w:sz w:val="28"/>
          <w:szCs w:val="28"/>
          <w:highlight w:val="none"/>
        </w:rPr>
        <w:t>：</w:t>
      </w:r>
    </w:p>
    <w:p w14:paraId="195446F7">
      <w:pPr>
        <w:tabs>
          <w:tab w:val="left" w:pos="5527"/>
        </w:tabs>
        <w:bidi w:val="0"/>
        <w:ind w:firstLine="564" w:firstLineChars="2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为积极配合防范和遏制招投标活动中不公平竞争和违规违纪行为的发生，确保招标工作公平、公正、公开、有序进行，我公司在参与贵公司</w:t>
      </w:r>
      <w:r>
        <w:rPr>
          <w:rFonts w:hint="eastAsia" w:ascii="宋体" w:hAnsi="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u w:val="single"/>
        </w:rPr>
        <w:t xml:space="preserve">（项目名称） </w:t>
      </w:r>
      <w:r>
        <w:rPr>
          <w:rFonts w:hint="eastAsia" w:ascii="宋体" w:hAnsi="宋体" w:eastAsia="宋体" w:cs="宋体"/>
          <w:color w:val="auto"/>
          <w:sz w:val="28"/>
          <w:szCs w:val="28"/>
          <w:highlight w:val="none"/>
        </w:rPr>
        <w:t>采购活动中，保证自觉遵守《中华人民共和国政府采购法》、《中华人民共和国政府采购法实施条例》 等国家法律法规以及廉洁自律有关规章制度，并向贵公司承诺如下事项：</w:t>
      </w:r>
    </w:p>
    <w:p w14:paraId="4D54A7CC">
      <w:pPr>
        <w:tabs>
          <w:tab w:val="left" w:pos="5527"/>
        </w:tabs>
        <w:bidi w:val="0"/>
        <w:ind w:firstLine="564" w:firstLineChars="2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1.</w:t>
      </w:r>
      <w:r>
        <w:rPr>
          <w:rFonts w:hint="eastAsia" w:ascii="宋体" w:hAnsi="宋体" w:eastAsia="宋体" w:cs="宋体"/>
          <w:color w:val="auto"/>
          <w:sz w:val="28"/>
          <w:szCs w:val="28"/>
          <w:highlight w:val="none"/>
        </w:rPr>
        <w:t>不以任何形式通过社会上的“代理”、“中介”、“掮客”等采取不正当手段谋取中标；</w:t>
      </w:r>
    </w:p>
    <w:p w14:paraId="28D03DB4">
      <w:pPr>
        <w:tabs>
          <w:tab w:val="left" w:pos="5527"/>
        </w:tabs>
        <w:bidi w:val="0"/>
        <w:ind w:firstLine="564" w:firstLineChars="2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rPr>
        <w:t>不以任何形式打着领导及其亲友旗号或冒充领导及其亲友等采取不正当手段谋取中标；</w:t>
      </w:r>
    </w:p>
    <w:p w14:paraId="0FFD084C">
      <w:pPr>
        <w:tabs>
          <w:tab w:val="left" w:pos="5527"/>
        </w:tabs>
        <w:bidi w:val="0"/>
        <w:ind w:firstLine="564" w:firstLineChars="2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rPr>
        <w:t>不以任何名义向参与采购活动、评标工作的有关人员赠送回扣、红包、礼金、购物卡、有价证券、贵重物品和好处费、感谢费等；不以任何名义向参与采购活动、评标工作的有关人员提供高消费宴请及娱乐活动；</w:t>
      </w:r>
    </w:p>
    <w:p w14:paraId="08FD4EA7">
      <w:pPr>
        <w:tabs>
          <w:tab w:val="left" w:pos="5527"/>
        </w:tabs>
        <w:bidi w:val="0"/>
        <w:ind w:firstLine="564" w:firstLineChars="2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4.</w:t>
      </w:r>
      <w:r>
        <w:rPr>
          <w:rFonts w:hint="eastAsia" w:ascii="宋体" w:hAnsi="宋体" w:eastAsia="宋体" w:cs="宋体"/>
          <w:color w:val="auto"/>
          <w:sz w:val="28"/>
          <w:szCs w:val="28"/>
          <w:highlight w:val="none"/>
        </w:rPr>
        <w:t>不以任何名义为参与采购活动、评标工作的有关人员报销应由参与采购活动、评标工作的有关人员支付的任何费用；</w:t>
      </w:r>
    </w:p>
    <w:p w14:paraId="739256F1">
      <w:pPr>
        <w:tabs>
          <w:tab w:val="left" w:pos="5527"/>
        </w:tabs>
        <w:bidi w:val="0"/>
        <w:ind w:firstLine="564" w:firstLineChars="2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5.</w:t>
      </w:r>
      <w:r>
        <w:rPr>
          <w:rFonts w:hint="eastAsia" w:ascii="宋体" w:hAnsi="宋体" w:eastAsia="宋体" w:cs="宋体"/>
          <w:color w:val="auto"/>
          <w:sz w:val="28"/>
          <w:szCs w:val="28"/>
          <w:highlight w:val="none"/>
        </w:rPr>
        <w:t>不以谋取非正当利益为目的，与参与采购活动、评标工作的有关人员就业务问题进行私下商谈或者达成利益默契；</w:t>
      </w:r>
    </w:p>
    <w:p w14:paraId="1EC9CE1D">
      <w:pPr>
        <w:tabs>
          <w:tab w:val="left" w:pos="5527"/>
        </w:tabs>
        <w:bidi w:val="0"/>
        <w:ind w:firstLine="564" w:firstLineChars="2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6.</w:t>
      </w:r>
      <w:r>
        <w:rPr>
          <w:rFonts w:hint="eastAsia" w:ascii="宋体" w:hAnsi="宋体" w:eastAsia="宋体" w:cs="宋体"/>
          <w:color w:val="auto"/>
          <w:sz w:val="28"/>
          <w:szCs w:val="28"/>
          <w:highlight w:val="none"/>
        </w:rPr>
        <w:t>不以任何名义接受或暗示为参与采购活动、评标工作的有关人员装修住房、婚丧嫁娶以及境内外旅游等提供方便；</w:t>
      </w:r>
    </w:p>
    <w:p w14:paraId="24F1DE5E">
      <w:pPr>
        <w:tabs>
          <w:tab w:val="left" w:pos="5527"/>
        </w:tabs>
        <w:bidi w:val="0"/>
        <w:ind w:firstLine="564" w:firstLineChars="2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7.</w:t>
      </w:r>
      <w:r>
        <w:rPr>
          <w:rFonts w:hint="eastAsia" w:ascii="宋体" w:hAnsi="宋体" w:eastAsia="宋体" w:cs="宋体"/>
          <w:color w:val="auto"/>
          <w:sz w:val="28"/>
          <w:szCs w:val="28"/>
          <w:highlight w:val="none"/>
        </w:rPr>
        <w:t>不与采购人、采购代理机构工作人员串通投标，损害国家利益、企业利益以及他人的合法利益；</w:t>
      </w:r>
    </w:p>
    <w:p w14:paraId="2519ECE7">
      <w:pPr>
        <w:tabs>
          <w:tab w:val="left" w:pos="5527"/>
        </w:tabs>
        <w:bidi w:val="0"/>
        <w:ind w:firstLine="564" w:firstLineChars="2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8.</w:t>
      </w:r>
      <w:r>
        <w:rPr>
          <w:rFonts w:hint="eastAsia" w:ascii="宋体" w:hAnsi="宋体" w:eastAsia="宋体" w:cs="宋体"/>
          <w:color w:val="auto"/>
          <w:sz w:val="28"/>
          <w:szCs w:val="28"/>
          <w:highlight w:val="none"/>
        </w:rPr>
        <w:t>不以任何方式与其他供应商相互串通投标，不排挤其他供应商，不损害采购人或其他供应商的合法权益；</w:t>
      </w:r>
    </w:p>
    <w:p w14:paraId="2FFBDC1F">
      <w:pPr>
        <w:tabs>
          <w:tab w:val="left" w:pos="5527"/>
        </w:tabs>
        <w:bidi w:val="0"/>
        <w:ind w:firstLine="564" w:firstLineChars="2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9.</w:t>
      </w:r>
      <w:r>
        <w:rPr>
          <w:rFonts w:hint="eastAsia" w:ascii="宋体" w:hAnsi="宋体" w:eastAsia="宋体" w:cs="宋体"/>
          <w:color w:val="auto"/>
          <w:sz w:val="28"/>
          <w:szCs w:val="28"/>
          <w:highlight w:val="none"/>
        </w:rPr>
        <w:t>不采取捏造事实或者提供虚假投诉材料，恶意投诉、诋毁、排挤其他供应商；</w:t>
      </w:r>
    </w:p>
    <w:p w14:paraId="64857C9F">
      <w:pPr>
        <w:tabs>
          <w:tab w:val="left" w:pos="5527"/>
        </w:tabs>
        <w:bidi w:val="0"/>
        <w:ind w:firstLine="564" w:firstLineChars="2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10.</w:t>
      </w:r>
      <w:r>
        <w:rPr>
          <w:rFonts w:hint="eastAsia" w:ascii="宋体" w:hAnsi="宋体" w:eastAsia="宋体" w:cs="宋体"/>
          <w:color w:val="auto"/>
          <w:sz w:val="28"/>
          <w:szCs w:val="28"/>
          <w:highlight w:val="none"/>
        </w:rPr>
        <w:t>参与采购活动时不以任何形式提供任何虚假信息或证明文件。</w:t>
      </w:r>
    </w:p>
    <w:p w14:paraId="603A6942">
      <w:pPr>
        <w:tabs>
          <w:tab w:val="left" w:pos="5527"/>
        </w:tabs>
        <w:bidi w:val="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贵单位既可根据国家有关单位的判决、裁定等有效文书认定我公司是否违反承诺，也有权通过对贵公司相关人员的调查来认定我公司是否违反承诺。如违反以上承诺，我公司自愿接受贵公司依据有关规定对我公司的处理（包括但不限于实施市场禁入、取消投、中标资格以及终止合同等），给贵公司造成损失的，予以赔偿。</w:t>
      </w:r>
    </w:p>
    <w:p w14:paraId="03A7B0B2">
      <w:pPr>
        <w:tabs>
          <w:tab w:val="left" w:pos="5527"/>
        </w:tabs>
        <w:bidi w:val="0"/>
        <w:ind w:firstLine="564" w:firstLineChars="2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本承诺函为我公司</w:t>
      </w:r>
      <w:r>
        <w:rPr>
          <w:rFonts w:hint="eastAsia" w:ascii="宋体" w:hAnsi="宋体" w:cs="宋体"/>
          <w:color w:val="auto"/>
          <w:sz w:val="28"/>
          <w:szCs w:val="28"/>
          <w:highlight w:val="none"/>
          <w:lang w:eastAsia="zh-CN"/>
        </w:rPr>
        <w:t>响应</w:t>
      </w:r>
      <w:r>
        <w:rPr>
          <w:rFonts w:hint="eastAsia" w:ascii="宋体" w:hAnsi="宋体" w:eastAsia="宋体" w:cs="宋体"/>
          <w:color w:val="auto"/>
          <w:sz w:val="28"/>
          <w:szCs w:val="28"/>
          <w:highlight w:val="none"/>
        </w:rPr>
        <w:t>此次采购项目正式文件的附件，与其他</w:t>
      </w:r>
      <w:r>
        <w:rPr>
          <w:rFonts w:hint="eastAsia" w:ascii="宋体" w:hAnsi="宋体" w:eastAsia="宋体" w:cs="宋体"/>
          <w:color w:val="auto"/>
          <w:sz w:val="28"/>
          <w:szCs w:val="28"/>
          <w:highlight w:val="none"/>
          <w:lang w:eastAsia="zh-CN"/>
        </w:rPr>
        <w:t>响应文件</w:t>
      </w:r>
      <w:r>
        <w:rPr>
          <w:rFonts w:hint="eastAsia" w:ascii="宋体" w:hAnsi="宋体" w:eastAsia="宋体" w:cs="宋体"/>
          <w:color w:val="auto"/>
          <w:sz w:val="28"/>
          <w:szCs w:val="28"/>
          <w:highlight w:val="none"/>
        </w:rPr>
        <w:t>具有同等法律效力，经我公司盖章后立即生效。</w:t>
      </w:r>
    </w:p>
    <w:p w14:paraId="754BDE89">
      <w:pPr>
        <w:tabs>
          <w:tab w:val="left" w:pos="5527"/>
        </w:tabs>
        <w:bidi w:val="0"/>
        <w:outlineLvl w:val="9"/>
        <w:rPr>
          <w:rFonts w:hint="eastAsia" w:ascii="宋体" w:hAnsi="宋体" w:eastAsia="宋体" w:cs="宋体"/>
          <w:color w:val="auto"/>
          <w:sz w:val="28"/>
          <w:szCs w:val="28"/>
          <w:highlight w:val="none"/>
        </w:rPr>
      </w:pPr>
    </w:p>
    <w:p w14:paraId="08727C51">
      <w:pPr>
        <w:tabs>
          <w:tab w:val="left" w:pos="5527"/>
        </w:tabs>
        <w:bidi w:val="0"/>
        <w:outlineLvl w:val="9"/>
        <w:rPr>
          <w:rFonts w:hint="eastAsia" w:ascii="宋体" w:hAnsi="宋体" w:eastAsia="宋体" w:cs="宋体"/>
          <w:color w:val="auto"/>
          <w:sz w:val="28"/>
          <w:szCs w:val="28"/>
          <w:highlight w:val="none"/>
        </w:rPr>
      </w:pPr>
    </w:p>
    <w:p w14:paraId="1DF5B8D2">
      <w:pPr>
        <w:tabs>
          <w:tab w:val="left" w:pos="5527"/>
        </w:tabs>
        <w:bidi w:val="0"/>
        <w:spacing w:line="600" w:lineRule="auto"/>
        <w:jc w:val="center"/>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w:t>
      </w:r>
      <w:r>
        <w:rPr>
          <w:rFonts w:hint="eastAsia" w:ascii="宋体" w:hAnsi="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供应商名称（盖章）：</w:t>
      </w:r>
    </w:p>
    <w:p w14:paraId="5638612D">
      <w:pPr>
        <w:tabs>
          <w:tab w:val="left" w:pos="5527"/>
        </w:tabs>
        <w:bidi w:val="0"/>
        <w:spacing w:line="600" w:lineRule="auto"/>
        <w:jc w:val="right"/>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法定代表人或委托代理人（签字或盖章）：</w:t>
      </w:r>
    </w:p>
    <w:p w14:paraId="6D7CECF2">
      <w:pPr>
        <w:tabs>
          <w:tab w:val="left" w:pos="5527"/>
        </w:tabs>
        <w:bidi w:val="0"/>
        <w:spacing w:line="600" w:lineRule="auto"/>
        <w:jc w:val="right"/>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日期：     年   月   日</w:t>
      </w:r>
    </w:p>
    <w:p w14:paraId="078DE5BB">
      <w:pPr>
        <w:tabs>
          <w:tab w:val="left" w:pos="5527"/>
        </w:tabs>
        <w:bidi w:val="0"/>
        <w:outlineLvl w:val="9"/>
        <w:rPr>
          <w:rFonts w:hint="eastAsia" w:ascii="宋体" w:hAnsi="宋体" w:eastAsia="宋体" w:cs="宋体"/>
          <w:color w:val="auto"/>
          <w:sz w:val="28"/>
          <w:szCs w:val="28"/>
          <w:highlight w:val="none"/>
        </w:rPr>
      </w:pPr>
    </w:p>
    <w:p w14:paraId="225FDBBA">
      <w:pPr>
        <w:keepNext w:val="0"/>
        <w:numPr>
          <w:ilvl w:val="0"/>
          <w:numId w:val="0"/>
        </w:numPr>
        <w:tabs>
          <w:tab w:val="left" w:pos="420"/>
          <w:tab w:val="left" w:pos="5527"/>
        </w:tabs>
        <w:jc w:val="left"/>
        <w:outlineLvl w:val="9"/>
        <w:rPr>
          <w:rStyle w:val="38"/>
          <w:rFonts w:hint="eastAsia" w:ascii="宋体" w:hAnsi="宋体" w:eastAsia="宋体" w:cs="宋体"/>
          <w:b/>
          <w:bCs/>
          <w:color w:val="auto"/>
          <w:sz w:val="32"/>
          <w:szCs w:val="28"/>
          <w:highlight w:val="none"/>
          <w:lang w:val="en-US" w:eastAsia="zh-CN"/>
        </w:rPr>
      </w:pPr>
      <w:bookmarkStart w:id="290" w:name="_Toc30133"/>
      <w:bookmarkStart w:id="291" w:name="_Toc24465"/>
      <w:r>
        <w:rPr>
          <w:rStyle w:val="38"/>
          <w:rFonts w:hint="eastAsia" w:ascii="宋体" w:hAnsi="宋体" w:eastAsia="宋体" w:cs="宋体"/>
          <w:color w:val="auto"/>
          <w:sz w:val="32"/>
          <w:szCs w:val="28"/>
          <w:highlight w:val="none"/>
          <w:lang w:val="en-US" w:eastAsia="zh-CN"/>
        </w:rPr>
        <w:br w:type="page"/>
      </w:r>
      <w:bookmarkStart w:id="292" w:name="_Toc4663"/>
      <w:bookmarkStart w:id="293" w:name="_Toc24590"/>
      <w:bookmarkStart w:id="294" w:name="_Toc12233"/>
      <w:bookmarkStart w:id="295" w:name="_Toc13711"/>
      <w:bookmarkStart w:id="296" w:name="_Toc13644"/>
      <w:bookmarkStart w:id="297" w:name="_Toc19980"/>
      <w:bookmarkStart w:id="298" w:name="_Toc17732"/>
      <w:r>
        <w:rPr>
          <w:rStyle w:val="38"/>
          <w:rFonts w:hint="eastAsia" w:ascii="宋体" w:hAnsi="宋体" w:eastAsia="宋体" w:cs="宋体"/>
          <w:b/>
          <w:bCs/>
          <w:color w:val="auto"/>
          <w:sz w:val="32"/>
          <w:szCs w:val="28"/>
          <w:highlight w:val="none"/>
          <w:lang w:val="en-US" w:eastAsia="zh-CN"/>
        </w:rPr>
        <w:t>附件</w:t>
      </w:r>
      <w:bookmarkEnd w:id="290"/>
      <w:bookmarkEnd w:id="291"/>
      <w:r>
        <w:rPr>
          <w:rStyle w:val="38"/>
          <w:rFonts w:hint="eastAsia" w:ascii="宋体" w:hAnsi="宋体" w:cs="宋体"/>
          <w:b/>
          <w:bCs/>
          <w:color w:val="auto"/>
          <w:sz w:val="32"/>
          <w:szCs w:val="28"/>
          <w:highlight w:val="none"/>
          <w:lang w:val="en-US" w:eastAsia="zh-CN"/>
        </w:rPr>
        <w:t>7</w:t>
      </w:r>
      <w:r>
        <w:rPr>
          <w:rStyle w:val="38"/>
          <w:rFonts w:hint="eastAsia" w:ascii="宋体" w:hAnsi="宋体" w:eastAsia="宋体" w:cs="宋体"/>
          <w:b/>
          <w:bCs/>
          <w:color w:val="auto"/>
          <w:kern w:val="2"/>
          <w:sz w:val="32"/>
          <w:szCs w:val="28"/>
          <w:highlight w:val="none"/>
          <w:lang w:val="en-US" w:eastAsia="zh-CN" w:bidi="ar-SA"/>
        </w:rPr>
        <w:t>：</w:t>
      </w:r>
      <w:bookmarkEnd w:id="292"/>
      <w:bookmarkEnd w:id="293"/>
    </w:p>
    <w:bookmarkEnd w:id="294"/>
    <w:bookmarkEnd w:id="295"/>
    <w:bookmarkEnd w:id="296"/>
    <w:bookmarkEnd w:id="297"/>
    <w:bookmarkEnd w:id="298"/>
    <w:p w14:paraId="473A315D">
      <w:pPr>
        <w:keepNext w:val="0"/>
        <w:tabs>
          <w:tab w:val="left" w:pos="5527"/>
        </w:tabs>
        <w:jc w:val="center"/>
        <w:outlineLvl w:val="1"/>
        <w:rPr>
          <w:rFonts w:hint="eastAsia" w:ascii="宋体" w:hAnsi="宋体" w:eastAsia="宋体" w:cs="宋体"/>
          <w:b/>
          <w:bCs/>
          <w:color w:val="auto"/>
          <w:kern w:val="2"/>
          <w:sz w:val="32"/>
          <w:szCs w:val="21"/>
          <w:highlight w:val="none"/>
          <w:lang w:val="en-US" w:eastAsia="zh-CN"/>
        </w:rPr>
      </w:pPr>
      <w:bookmarkStart w:id="299" w:name="_Toc11427"/>
      <w:bookmarkStart w:id="300" w:name="_Toc10393"/>
      <w:bookmarkStart w:id="301" w:name="_Toc32330"/>
      <w:bookmarkStart w:id="302" w:name="_Toc8673"/>
      <w:bookmarkStart w:id="303" w:name="_Toc25088"/>
      <w:bookmarkStart w:id="304" w:name="_Toc17566"/>
      <w:bookmarkStart w:id="305" w:name="_Toc20770"/>
      <w:r>
        <w:rPr>
          <w:rFonts w:hint="eastAsia" w:ascii="宋体" w:hAnsi="宋体" w:eastAsia="宋体" w:cs="宋体"/>
          <w:b/>
          <w:bCs/>
          <w:color w:val="auto"/>
          <w:kern w:val="2"/>
          <w:sz w:val="32"/>
          <w:szCs w:val="21"/>
          <w:highlight w:val="none"/>
          <w:lang w:val="en-US" w:eastAsia="zh-CN"/>
        </w:rPr>
        <w:t>反商业贿赂承诺书</w:t>
      </w:r>
      <w:bookmarkEnd w:id="299"/>
      <w:bookmarkEnd w:id="300"/>
      <w:bookmarkEnd w:id="301"/>
      <w:bookmarkEnd w:id="302"/>
      <w:bookmarkEnd w:id="303"/>
      <w:bookmarkEnd w:id="304"/>
    </w:p>
    <w:bookmarkEnd w:id="305"/>
    <w:p w14:paraId="36EFBDC1">
      <w:pPr>
        <w:tabs>
          <w:tab w:val="left" w:pos="5527"/>
        </w:tabs>
        <w:adjustRightInd w:val="0"/>
        <w:snapToGrid w:val="0"/>
        <w:spacing w:line="360" w:lineRule="auto"/>
        <w:ind w:firstLine="564" w:firstLineChars="200"/>
        <w:jc w:val="left"/>
        <w:outlineLvl w:val="9"/>
        <w:rPr>
          <w:rFonts w:hint="eastAsia" w:ascii="宋体" w:hAnsi="宋体" w:eastAsia="宋体" w:cs="宋体"/>
          <w:color w:val="auto"/>
          <w:sz w:val="28"/>
          <w:szCs w:val="28"/>
          <w:highlight w:val="none"/>
        </w:rPr>
      </w:pPr>
    </w:p>
    <w:p w14:paraId="1714CAA8">
      <w:pPr>
        <w:tabs>
          <w:tab w:val="left" w:pos="5527"/>
        </w:tabs>
        <w:adjustRightInd w:val="0"/>
        <w:snapToGrid w:val="0"/>
        <w:spacing w:line="360" w:lineRule="auto"/>
        <w:ind w:firstLine="564" w:firstLineChars="200"/>
        <w:jc w:val="left"/>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为了从源头上防治腐败，杜绝商业贿赂行为的发生，更好地配合采购代理机构的工作，我们供应商承诺如下：</w:t>
      </w:r>
    </w:p>
    <w:p w14:paraId="43801327">
      <w:pPr>
        <w:tabs>
          <w:tab w:val="left" w:pos="5527"/>
        </w:tabs>
        <w:adjustRightInd w:val="0"/>
        <w:snapToGrid w:val="0"/>
        <w:spacing w:line="360" w:lineRule="auto"/>
        <w:ind w:firstLine="564" w:firstLineChars="200"/>
        <w:jc w:val="left"/>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1、不以各种名义给采购代理工作人员借或送现金、有价证券及物品。</w:t>
      </w:r>
    </w:p>
    <w:p w14:paraId="0197A459">
      <w:pPr>
        <w:tabs>
          <w:tab w:val="left" w:pos="5527"/>
        </w:tabs>
        <w:adjustRightInd w:val="0"/>
        <w:snapToGrid w:val="0"/>
        <w:spacing w:line="360" w:lineRule="auto"/>
        <w:ind w:firstLine="564" w:firstLineChars="200"/>
        <w:jc w:val="left"/>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2、不以个人名义邀请采购代理工作人员参与考察旅游活动和宴请活动。</w:t>
      </w:r>
    </w:p>
    <w:p w14:paraId="018F9729">
      <w:pPr>
        <w:tabs>
          <w:tab w:val="left" w:pos="5527"/>
        </w:tabs>
        <w:adjustRightInd w:val="0"/>
        <w:snapToGrid w:val="0"/>
        <w:spacing w:line="360" w:lineRule="auto"/>
        <w:ind w:firstLine="564" w:firstLineChars="200"/>
        <w:jc w:val="left"/>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3、不发生与采购事项有关的其他违规违纪行为。</w:t>
      </w:r>
    </w:p>
    <w:p w14:paraId="63FA9ED0">
      <w:pPr>
        <w:tabs>
          <w:tab w:val="left" w:pos="5527"/>
        </w:tabs>
        <w:adjustRightInd w:val="0"/>
        <w:snapToGrid w:val="0"/>
        <w:spacing w:line="360" w:lineRule="auto"/>
        <w:ind w:firstLine="560"/>
        <w:jc w:val="left"/>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4、如违反其中一项，同意将我公司列入政府采购黑名单并终止投标资格，今后不得参与</w:t>
      </w:r>
      <w:r>
        <w:rPr>
          <w:rFonts w:hint="eastAsia" w:ascii="宋体" w:hAnsi="宋体" w:eastAsia="宋体" w:cs="宋体"/>
          <w:color w:val="auto"/>
          <w:sz w:val="28"/>
          <w:szCs w:val="28"/>
          <w:highlight w:val="none"/>
          <w:lang w:val="en-US" w:eastAsia="zh-CN"/>
        </w:rPr>
        <w:t>本地区</w:t>
      </w:r>
      <w:r>
        <w:rPr>
          <w:rFonts w:hint="eastAsia" w:ascii="宋体" w:hAnsi="宋体" w:eastAsia="宋体" w:cs="宋体"/>
          <w:color w:val="auto"/>
          <w:sz w:val="28"/>
          <w:szCs w:val="28"/>
          <w:highlight w:val="none"/>
        </w:rPr>
        <w:t>政府采购活动，触犯法律由司法部门处理。</w:t>
      </w:r>
    </w:p>
    <w:p w14:paraId="16C71F30">
      <w:pPr>
        <w:tabs>
          <w:tab w:val="left" w:pos="5527"/>
        </w:tabs>
        <w:bidi w:val="0"/>
        <w:spacing w:line="600" w:lineRule="auto"/>
        <w:jc w:val="center"/>
        <w:outlineLvl w:val="9"/>
        <w:rPr>
          <w:rFonts w:hint="eastAsia" w:ascii="宋体" w:hAnsi="宋体" w:eastAsia="宋体" w:cs="宋体"/>
          <w:bCs/>
          <w:color w:val="auto"/>
          <w:highlight w:val="none"/>
        </w:rPr>
      </w:pPr>
    </w:p>
    <w:p w14:paraId="2AC5BD33">
      <w:pPr>
        <w:tabs>
          <w:tab w:val="left" w:pos="5527"/>
        </w:tabs>
        <w:bidi w:val="0"/>
        <w:spacing w:line="600" w:lineRule="auto"/>
        <w:jc w:val="center"/>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供应商名称（盖章）：</w:t>
      </w:r>
    </w:p>
    <w:p w14:paraId="2DACC4F8">
      <w:pPr>
        <w:tabs>
          <w:tab w:val="left" w:pos="5527"/>
        </w:tabs>
        <w:bidi w:val="0"/>
        <w:spacing w:line="600" w:lineRule="auto"/>
        <w:jc w:val="right"/>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法定代表人或委托代理人（签字或盖章）：</w:t>
      </w:r>
    </w:p>
    <w:p w14:paraId="0EECB401">
      <w:pPr>
        <w:tabs>
          <w:tab w:val="left" w:pos="5527"/>
        </w:tabs>
        <w:wordWrap w:val="0"/>
        <w:bidi w:val="0"/>
        <w:spacing w:line="600" w:lineRule="auto"/>
        <w:jc w:val="right"/>
        <w:outlineLvl w:val="9"/>
        <w:rPr>
          <w:rFonts w:hint="eastAsia" w:ascii="宋体" w:hAnsi="宋体" w:eastAsia="宋体" w:cs="宋体"/>
          <w:color w:val="auto"/>
          <w:sz w:val="28"/>
          <w:szCs w:val="28"/>
          <w:highlight w:val="none"/>
          <w:lang w:val="en-US" w:eastAsia="zh-CN"/>
        </w:rPr>
        <w:sectPr>
          <w:headerReference r:id="rId14" w:type="first"/>
          <w:headerReference r:id="rId13" w:type="default"/>
          <w:pgSz w:w="11906" w:h="16838"/>
          <w:pgMar w:top="1417" w:right="1417" w:bottom="1417" w:left="1417" w:header="851" w:footer="850" w:gutter="0"/>
          <w:pgBorders>
            <w:top w:val="none" w:sz="0" w:space="0"/>
            <w:left w:val="none" w:sz="0" w:space="0"/>
            <w:bottom w:val="none" w:sz="0" w:space="0"/>
            <w:right w:val="none" w:sz="0" w:space="0"/>
          </w:pgBorders>
          <w:pgNumType w:fmt="decimal"/>
          <w:cols w:space="0" w:num="1"/>
          <w:titlePg/>
          <w:rtlGutter w:val="0"/>
          <w:docGrid w:type="linesAndChars" w:linePitch="312" w:charSpace="530"/>
        </w:sectPr>
      </w:pPr>
      <w:r>
        <w:rPr>
          <w:rFonts w:hint="eastAsia" w:ascii="宋体" w:hAnsi="宋体" w:eastAsia="宋体" w:cs="宋体"/>
          <w:color w:val="auto"/>
          <w:sz w:val="28"/>
          <w:szCs w:val="28"/>
          <w:highlight w:val="none"/>
        </w:rPr>
        <w:t>日期：     年   月</w:t>
      </w:r>
      <w:r>
        <w:rPr>
          <w:rFonts w:hint="eastAsia" w:ascii="宋体" w:hAnsi="宋体" w:eastAsia="宋体" w:cs="宋体"/>
          <w:color w:val="auto"/>
          <w:sz w:val="28"/>
          <w:szCs w:val="28"/>
          <w:highlight w:val="none"/>
          <w:lang w:val="en-US" w:eastAsia="zh-CN"/>
        </w:rPr>
        <w:t xml:space="preserve">   日</w:t>
      </w:r>
    </w:p>
    <w:p w14:paraId="5EEF75C8">
      <w:pPr>
        <w:tabs>
          <w:tab w:val="left" w:pos="5527"/>
        </w:tabs>
        <w:bidi w:val="0"/>
        <w:spacing w:line="600" w:lineRule="auto"/>
        <w:jc w:val="both"/>
        <w:outlineLvl w:val="9"/>
        <w:rPr>
          <w:rStyle w:val="38"/>
          <w:rFonts w:hint="eastAsia" w:ascii="宋体" w:hAnsi="宋体" w:eastAsia="宋体" w:cs="宋体"/>
          <w:b/>
          <w:bCs/>
          <w:color w:val="auto"/>
          <w:sz w:val="32"/>
          <w:szCs w:val="28"/>
          <w:highlight w:val="none"/>
          <w:lang w:val="en-US" w:eastAsia="zh-CN"/>
        </w:rPr>
      </w:pPr>
      <w:bookmarkStart w:id="306" w:name="_Toc10265"/>
      <w:bookmarkStart w:id="307" w:name="_Toc27806"/>
      <w:bookmarkStart w:id="308" w:name="_Toc2791"/>
      <w:bookmarkStart w:id="309" w:name="_Toc2951"/>
      <w:bookmarkStart w:id="310" w:name="_Toc18853"/>
      <w:bookmarkStart w:id="311" w:name="_Toc17300"/>
      <w:bookmarkStart w:id="312" w:name="_Toc30778"/>
      <w:r>
        <w:rPr>
          <w:rStyle w:val="38"/>
          <w:rFonts w:hint="eastAsia" w:ascii="宋体" w:hAnsi="宋体" w:eastAsia="宋体" w:cs="宋体"/>
          <w:b/>
          <w:bCs/>
          <w:color w:val="auto"/>
          <w:sz w:val="32"/>
          <w:szCs w:val="28"/>
          <w:highlight w:val="none"/>
          <w:lang w:val="en-US" w:eastAsia="zh-CN"/>
        </w:rPr>
        <w:t>附件</w:t>
      </w:r>
      <w:r>
        <w:rPr>
          <w:rStyle w:val="38"/>
          <w:rFonts w:hint="eastAsia" w:ascii="宋体" w:hAnsi="宋体" w:cs="宋体"/>
          <w:b/>
          <w:bCs/>
          <w:color w:val="auto"/>
          <w:sz w:val="32"/>
          <w:szCs w:val="28"/>
          <w:highlight w:val="none"/>
          <w:lang w:val="en-US" w:eastAsia="zh-CN"/>
        </w:rPr>
        <w:t>8</w:t>
      </w:r>
      <w:r>
        <w:rPr>
          <w:rStyle w:val="38"/>
          <w:rFonts w:hint="eastAsia" w:ascii="宋体" w:hAnsi="宋体" w:eastAsia="宋体" w:cs="宋体"/>
          <w:b/>
          <w:color w:val="auto"/>
          <w:kern w:val="2"/>
          <w:sz w:val="32"/>
          <w:szCs w:val="28"/>
          <w:highlight w:val="none"/>
          <w:lang w:val="en-US" w:eastAsia="zh-CN" w:bidi="ar-SA"/>
        </w:rPr>
        <w:t>：</w:t>
      </w:r>
    </w:p>
    <w:bookmarkEnd w:id="306"/>
    <w:bookmarkEnd w:id="307"/>
    <w:bookmarkEnd w:id="308"/>
    <w:bookmarkEnd w:id="309"/>
    <w:bookmarkEnd w:id="310"/>
    <w:bookmarkEnd w:id="311"/>
    <w:bookmarkEnd w:id="312"/>
    <w:p w14:paraId="1A975ECC">
      <w:pPr>
        <w:keepNext w:val="0"/>
        <w:tabs>
          <w:tab w:val="left" w:pos="5527"/>
        </w:tabs>
        <w:jc w:val="center"/>
        <w:outlineLvl w:val="1"/>
        <w:rPr>
          <w:rFonts w:hint="eastAsia" w:ascii="宋体" w:hAnsi="宋体" w:eastAsia="宋体" w:cs="宋体"/>
          <w:b/>
          <w:bCs/>
          <w:color w:val="auto"/>
          <w:kern w:val="2"/>
          <w:sz w:val="32"/>
          <w:szCs w:val="21"/>
          <w:highlight w:val="none"/>
          <w:lang w:val="en-US" w:eastAsia="zh-CN"/>
        </w:rPr>
      </w:pPr>
      <w:bookmarkStart w:id="313" w:name="_Toc27259"/>
      <w:bookmarkStart w:id="314" w:name="_Toc24684"/>
      <w:bookmarkStart w:id="315" w:name="_Toc13267"/>
      <w:bookmarkStart w:id="316" w:name="_Toc20023"/>
      <w:bookmarkStart w:id="317" w:name="_Toc30262"/>
      <w:bookmarkStart w:id="318" w:name="_Toc6467"/>
      <w:bookmarkStart w:id="319" w:name="_Toc12982"/>
      <w:r>
        <w:rPr>
          <w:rFonts w:hint="eastAsia" w:ascii="宋体" w:hAnsi="宋体" w:eastAsia="宋体" w:cs="宋体"/>
          <w:b/>
          <w:bCs/>
          <w:color w:val="auto"/>
          <w:kern w:val="2"/>
          <w:sz w:val="32"/>
          <w:szCs w:val="21"/>
          <w:highlight w:val="none"/>
          <w:lang w:val="en-US" w:eastAsia="zh-CN"/>
        </w:rPr>
        <w:t>商务条款偏离表</w:t>
      </w:r>
      <w:bookmarkEnd w:id="313"/>
      <w:bookmarkEnd w:id="314"/>
      <w:bookmarkEnd w:id="315"/>
      <w:bookmarkEnd w:id="316"/>
      <w:bookmarkEnd w:id="317"/>
      <w:bookmarkEnd w:id="318"/>
    </w:p>
    <w:bookmarkEnd w:id="319"/>
    <w:p w14:paraId="77FD0B52">
      <w:pPr>
        <w:pStyle w:val="37"/>
        <w:tabs>
          <w:tab w:val="left" w:pos="5527"/>
        </w:tabs>
        <w:spacing w:line="480" w:lineRule="exact"/>
        <w:ind w:firstLine="120" w:firstLineChars="43"/>
        <w:jc w:val="both"/>
        <w:outlineLvl w:val="9"/>
        <w:rPr>
          <w:rFonts w:hint="eastAsia" w:ascii="宋体" w:hAnsi="宋体" w:eastAsia="宋体" w:cs="宋体"/>
          <w:color w:val="auto"/>
          <w:sz w:val="28"/>
          <w:szCs w:val="28"/>
          <w:highlight w:val="none"/>
        </w:rPr>
      </w:pPr>
      <w:r>
        <w:rPr>
          <w:rFonts w:hint="eastAsia" w:ascii="宋体" w:hAnsi="宋体" w:cs="宋体"/>
          <w:color w:val="auto"/>
          <w:sz w:val="28"/>
          <w:szCs w:val="28"/>
          <w:highlight w:val="none"/>
          <w:lang w:val="en-US" w:eastAsia="zh-CN"/>
        </w:rPr>
        <w:t>项目名称</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kern w:val="2"/>
          <w:sz w:val="28"/>
          <w:szCs w:val="28"/>
          <w:highlight w:val="none"/>
          <w:lang w:val="en-US" w:eastAsia="zh-CN" w:bidi="ar-SA"/>
        </w:rPr>
        <w:t xml:space="preserve"> </w:t>
      </w:r>
    </w:p>
    <w:tbl>
      <w:tblPr>
        <w:tblStyle w:val="27"/>
        <w:tblW w:w="94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1695"/>
        <w:gridCol w:w="2232"/>
        <w:gridCol w:w="2157"/>
        <w:gridCol w:w="1368"/>
        <w:gridCol w:w="1112"/>
      </w:tblGrid>
      <w:tr w14:paraId="7DF87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jc w:val="center"/>
        </w:trPr>
        <w:tc>
          <w:tcPr>
            <w:tcW w:w="874" w:type="dxa"/>
            <w:vAlign w:val="center"/>
          </w:tcPr>
          <w:p w14:paraId="552EA88A">
            <w:pPr>
              <w:keepNext w:val="0"/>
              <w:keepLines w:val="0"/>
              <w:suppressLineNumbers w:val="0"/>
              <w:tabs>
                <w:tab w:val="left" w:pos="5527"/>
              </w:tabs>
              <w:bidi w:val="0"/>
              <w:spacing w:before="0" w:beforeAutospacing="0" w:after="0" w:afterAutospacing="0"/>
              <w:ind w:left="0" w:right="0"/>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1695" w:type="dxa"/>
            <w:vAlign w:val="center"/>
          </w:tcPr>
          <w:p w14:paraId="6C73F32D">
            <w:pPr>
              <w:keepNext w:val="0"/>
              <w:keepLines w:val="0"/>
              <w:suppressLineNumbers w:val="0"/>
              <w:tabs>
                <w:tab w:val="left" w:pos="5527"/>
              </w:tabs>
              <w:bidi w:val="0"/>
              <w:spacing w:before="0" w:beforeAutospacing="0" w:after="0" w:afterAutospacing="0"/>
              <w:ind w:left="0" w:right="0"/>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招标文件</w:t>
            </w:r>
            <w:r>
              <w:rPr>
                <w:rFonts w:hint="eastAsia" w:ascii="宋体" w:hAnsi="宋体" w:eastAsia="宋体" w:cs="宋体"/>
                <w:b/>
                <w:bCs/>
                <w:color w:val="auto"/>
                <w:sz w:val="24"/>
                <w:szCs w:val="24"/>
                <w:highlight w:val="none"/>
              </w:rPr>
              <w:t>条目号</w:t>
            </w:r>
          </w:p>
        </w:tc>
        <w:tc>
          <w:tcPr>
            <w:tcW w:w="2232" w:type="dxa"/>
            <w:vAlign w:val="center"/>
          </w:tcPr>
          <w:p w14:paraId="57D11400">
            <w:pPr>
              <w:keepNext w:val="0"/>
              <w:keepLines w:val="0"/>
              <w:suppressLineNumbers w:val="0"/>
              <w:tabs>
                <w:tab w:val="left" w:pos="5527"/>
              </w:tabs>
              <w:bidi w:val="0"/>
              <w:spacing w:before="0" w:beforeAutospacing="0" w:after="0" w:afterAutospacing="0"/>
              <w:ind w:left="0" w:right="0"/>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招标文件</w:t>
            </w:r>
            <w:r>
              <w:rPr>
                <w:rFonts w:hint="eastAsia" w:ascii="宋体" w:hAnsi="宋体" w:eastAsia="宋体" w:cs="宋体"/>
                <w:b/>
                <w:bCs/>
                <w:color w:val="auto"/>
                <w:sz w:val="24"/>
                <w:szCs w:val="24"/>
                <w:highlight w:val="none"/>
              </w:rPr>
              <w:t>的商务条款</w:t>
            </w:r>
          </w:p>
        </w:tc>
        <w:tc>
          <w:tcPr>
            <w:tcW w:w="2157" w:type="dxa"/>
            <w:vAlign w:val="center"/>
          </w:tcPr>
          <w:p w14:paraId="3E251BC7">
            <w:pPr>
              <w:keepNext w:val="0"/>
              <w:keepLines w:val="0"/>
              <w:suppressLineNumbers w:val="0"/>
              <w:tabs>
                <w:tab w:val="left" w:pos="5527"/>
              </w:tabs>
              <w:bidi w:val="0"/>
              <w:spacing w:before="0" w:beforeAutospacing="0" w:after="0" w:afterAutospacing="0"/>
              <w:ind w:left="0" w:right="0"/>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投标</w:t>
            </w:r>
            <w:r>
              <w:rPr>
                <w:rFonts w:hint="eastAsia" w:ascii="宋体" w:hAnsi="宋体" w:eastAsia="宋体" w:cs="宋体"/>
                <w:b/>
                <w:bCs/>
                <w:color w:val="auto"/>
                <w:sz w:val="24"/>
                <w:szCs w:val="24"/>
                <w:highlight w:val="none"/>
                <w:lang w:eastAsia="zh-CN"/>
              </w:rPr>
              <w:t>文件</w:t>
            </w:r>
            <w:r>
              <w:rPr>
                <w:rFonts w:hint="eastAsia" w:ascii="宋体" w:hAnsi="宋体" w:eastAsia="宋体" w:cs="宋体"/>
                <w:b/>
                <w:bCs/>
                <w:color w:val="auto"/>
                <w:sz w:val="24"/>
                <w:szCs w:val="24"/>
                <w:highlight w:val="none"/>
              </w:rPr>
              <w:t>的商务条款</w:t>
            </w:r>
          </w:p>
        </w:tc>
        <w:tc>
          <w:tcPr>
            <w:tcW w:w="1368" w:type="dxa"/>
            <w:vAlign w:val="center"/>
          </w:tcPr>
          <w:p w14:paraId="42042D98">
            <w:pPr>
              <w:keepNext w:val="0"/>
              <w:keepLines w:val="0"/>
              <w:suppressLineNumbers w:val="0"/>
              <w:tabs>
                <w:tab w:val="left" w:pos="5527"/>
              </w:tabs>
              <w:bidi w:val="0"/>
              <w:spacing w:before="0" w:beforeAutospacing="0" w:after="0" w:afterAutospacing="0"/>
              <w:ind w:left="0" w:right="0"/>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偏离</w:t>
            </w:r>
          </w:p>
        </w:tc>
        <w:tc>
          <w:tcPr>
            <w:tcW w:w="1112" w:type="dxa"/>
            <w:vAlign w:val="center"/>
          </w:tcPr>
          <w:p w14:paraId="3B17CB4F">
            <w:pPr>
              <w:keepNext w:val="0"/>
              <w:keepLines w:val="0"/>
              <w:suppressLineNumbers w:val="0"/>
              <w:tabs>
                <w:tab w:val="left" w:pos="5527"/>
              </w:tabs>
              <w:bidi w:val="0"/>
              <w:spacing w:before="0" w:beforeAutospacing="0" w:after="0" w:afterAutospacing="0"/>
              <w:ind w:left="0" w:right="0"/>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p>
        </w:tc>
      </w:tr>
      <w:tr w14:paraId="57098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874" w:type="dxa"/>
            <w:vAlign w:val="top"/>
          </w:tcPr>
          <w:p w14:paraId="355B2505">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1695" w:type="dxa"/>
            <w:vAlign w:val="top"/>
          </w:tcPr>
          <w:p w14:paraId="01ADB60B">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2232" w:type="dxa"/>
            <w:vAlign w:val="top"/>
          </w:tcPr>
          <w:p w14:paraId="6ADE9BA5">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2157" w:type="dxa"/>
            <w:vAlign w:val="top"/>
          </w:tcPr>
          <w:p w14:paraId="61E16176">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1368" w:type="dxa"/>
            <w:vAlign w:val="top"/>
          </w:tcPr>
          <w:p w14:paraId="6A71898B">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1112" w:type="dxa"/>
            <w:vAlign w:val="top"/>
          </w:tcPr>
          <w:p w14:paraId="45C5002C">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r>
      <w:tr w14:paraId="19E0D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874" w:type="dxa"/>
            <w:vAlign w:val="top"/>
          </w:tcPr>
          <w:p w14:paraId="1F4D6083">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1695" w:type="dxa"/>
            <w:vAlign w:val="top"/>
          </w:tcPr>
          <w:p w14:paraId="4DBC97C5">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2232" w:type="dxa"/>
            <w:vAlign w:val="top"/>
          </w:tcPr>
          <w:p w14:paraId="1916A06B">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2157" w:type="dxa"/>
            <w:vAlign w:val="top"/>
          </w:tcPr>
          <w:p w14:paraId="0AB47E29">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1368" w:type="dxa"/>
            <w:vAlign w:val="top"/>
          </w:tcPr>
          <w:p w14:paraId="44D84444">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1112" w:type="dxa"/>
            <w:vAlign w:val="top"/>
          </w:tcPr>
          <w:p w14:paraId="6004AF28">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r>
      <w:tr w14:paraId="422E8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874" w:type="dxa"/>
            <w:vAlign w:val="top"/>
          </w:tcPr>
          <w:p w14:paraId="33891837">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1695" w:type="dxa"/>
            <w:vAlign w:val="top"/>
          </w:tcPr>
          <w:p w14:paraId="75EEECE2">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2232" w:type="dxa"/>
            <w:vAlign w:val="top"/>
          </w:tcPr>
          <w:p w14:paraId="6FAB4F0A">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2157" w:type="dxa"/>
            <w:vAlign w:val="top"/>
          </w:tcPr>
          <w:p w14:paraId="047BAF16">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1368" w:type="dxa"/>
            <w:vAlign w:val="top"/>
          </w:tcPr>
          <w:p w14:paraId="7EAD20B1">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1112" w:type="dxa"/>
            <w:vAlign w:val="top"/>
          </w:tcPr>
          <w:p w14:paraId="1619C2FE">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r>
      <w:tr w14:paraId="1D99C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874" w:type="dxa"/>
            <w:vAlign w:val="top"/>
          </w:tcPr>
          <w:p w14:paraId="11424276">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1695" w:type="dxa"/>
            <w:vAlign w:val="top"/>
          </w:tcPr>
          <w:p w14:paraId="000ADC7C">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2232" w:type="dxa"/>
            <w:vAlign w:val="top"/>
          </w:tcPr>
          <w:p w14:paraId="518ACCD8">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2157" w:type="dxa"/>
            <w:vAlign w:val="top"/>
          </w:tcPr>
          <w:p w14:paraId="455CF443">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1368" w:type="dxa"/>
            <w:vAlign w:val="top"/>
          </w:tcPr>
          <w:p w14:paraId="4D852DCB">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1112" w:type="dxa"/>
            <w:vAlign w:val="top"/>
          </w:tcPr>
          <w:p w14:paraId="52AD6E53">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r>
      <w:tr w14:paraId="5D6EA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874" w:type="dxa"/>
            <w:vAlign w:val="top"/>
          </w:tcPr>
          <w:p w14:paraId="6ECD94E4">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1695" w:type="dxa"/>
            <w:vAlign w:val="top"/>
          </w:tcPr>
          <w:p w14:paraId="6521B599">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2232" w:type="dxa"/>
            <w:vAlign w:val="top"/>
          </w:tcPr>
          <w:p w14:paraId="75D5FBF8">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2157" w:type="dxa"/>
            <w:vAlign w:val="top"/>
          </w:tcPr>
          <w:p w14:paraId="0D8271A0">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1368" w:type="dxa"/>
            <w:vAlign w:val="top"/>
          </w:tcPr>
          <w:p w14:paraId="10093776">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1112" w:type="dxa"/>
            <w:vAlign w:val="top"/>
          </w:tcPr>
          <w:p w14:paraId="7369A460">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r>
      <w:tr w14:paraId="1BE4C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874" w:type="dxa"/>
            <w:vAlign w:val="top"/>
          </w:tcPr>
          <w:p w14:paraId="4DA89B59">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1695" w:type="dxa"/>
            <w:vAlign w:val="top"/>
          </w:tcPr>
          <w:p w14:paraId="7AF5CDF5">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2232" w:type="dxa"/>
            <w:vAlign w:val="top"/>
          </w:tcPr>
          <w:p w14:paraId="3B9941F4">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2157" w:type="dxa"/>
            <w:vAlign w:val="top"/>
          </w:tcPr>
          <w:p w14:paraId="0B3C2D71">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1368" w:type="dxa"/>
            <w:vAlign w:val="top"/>
          </w:tcPr>
          <w:p w14:paraId="77D563DA">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c>
          <w:tcPr>
            <w:tcW w:w="1112" w:type="dxa"/>
            <w:vAlign w:val="top"/>
          </w:tcPr>
          <w:p w14:paraId="6F2B01BE">
            <w:pPr>
              <w:keepNext w:val="0"/>
              <w:keepLines w:val="0"/>
              <w:suppressLineNumbers w:val="0"/>
              <w:tabs>
                <w:tab w:val="left" w:pos="5527"/>
              </w:tabs>
              <w:bidi w:val="0"/>
              <w:spacing w:before="0" w:beforeAutospacing="0" w:after="0" w:afterAutospacing="0"/>
              <w:ind w:left="0" w:right="0"/>
              <w:outlineLvl w:val="9"/>
              <w:rPr>
                <w:rFonts w:hint="eastAsia" w:ascii="宋体" w:hAnsi="宋体" w:eastAsia="宋体" w:cs="宋体"/>
                <w:color w:val="auto"/>
                <w:sz w:val="24"/>
                <w:szCs w:val="24"/>
                <w:highlight w:val="none"/>
              </w:rPr>
            </w:pPr>
          </w:p>
        </w:tc>
      </w:tr>
    </w:tbl>
    <w:p w14:paraId="5D001827">
      <w:pPr>
        <w:tabs>
          <w:tab w:val="left" w:pos="5527"/>
        </w:tabs>
        <w:bidi w:val="0"/>
        <w:spacing w:line="360" w:lineRule="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注</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若有偏离</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请将具体偏离条款在“偏离”一栏中详细说明</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若无偏离</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请在“偏离”一栏中标注“无”字样。</w:t>
      </w:r>
    </w:p>
    <w:p w14:paraId="1BE9A899">
      <w:pPr>
        <w:tabs>
          <w:tab w:val="left" w:pos="5527"/>
        </w:tabs>
        <w:bidi w:val="0"/>
        <w:spacing w:line="600" w:lineRule="auto"/>
        <w:ind w:leftChars="1600"/>
        <w:outlineLvl w:val="9"/>
        <w:rPr>
          <w:rFonts w:hint="eastAsia" w:ascii="宋体" w:hAnsi="宋体" w:eastAsia="宋体" w:cs="宋体"/>
          <w:color w:val="auto"/>
          <w:sz w:val="28"/>
          <w:szCs w:val="28"/>
          <w:highlight w:val="none"/>
        </w:rPr>
      </w:pPr>
    </w:p>
    <w:p w14:paraId="00801A1F">
      <w:pPr>
        <w:tabs>
          <w:tab w:val="left" w:pos="5527"/>
        </w:tabs>
        <w:bidi w:val="0"/>
        <w:spacing w:line="600" w:lineRule="auto"/>
        <w:ind w:leftChars="16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供应商名称（盖章）：</w:t>
      </w:r>
    </w:p>
    <w:p w14:paraId="377630C4">
      <w:pPr>
        <w:tabs>
          <w:tab w:val="left" w:pos="5527"/>
        </w:tabs>
        <w:bidi w:val="0"/>
        <w:spacing w:line="600" w:lineRule="auto"/>
        <w:ind w:leftChars="16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法定代表人或委托代理人（签字或盖章）：</w:t>
      </w:r>
    </w:p>
    <w:p w14:paraId="5DA0D543">
      <w:pPr>
        <w:tabs>
          <w:tab w:val="left" w:pos="5527"/>
        </w:tabs>
        <w:bidi w:val="0"/>
        <w:spacing w:line="600" w:lineRule="auto"/>
        <w:ind w:leftChars="16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日期：     年   月   日</w:t>
      </w:r>
      <w:bookmarkStart w:id="320" w:name="_Toc2824"/>
      <w:bookmarkStart w:id="321" w:name="_Toc5781"/>
    </w:p>
    <w:p w14:paraId="01ACBC3C">
      <w:pPr>
        <w:tabs>
          <w:tab w:val="left" w:pos="5527"/>
        </w:tabs>
        <w:bidi w:val="0"/>
        <w:spacing w:line="600" w:lineRule="auto"/>
        <w:outlineLvl w:val="9"/>
        <w:rPr>
          <w:rStyle w:val="38"/>
          <w:rFonts w:hint="eastAsia" w:ascii="宋体" w:hAnsi="宋体" w:eastAsia="宋体" w:cs="宋体"/>
          <w:color w:val="auto"/>
          <w:sz w:val="32"/>
          <w:szCs w:val="28"/>
          <w:highlight w:val="none"/>
          <w:lang w:val="en-US" w:eastAsia="zh-CN"/>
        </w:rPr>
      </w:pPr>
      <w:r>
        <w:rPr>
          <w:rFonts w:hint="eastAsia" w:ascii="宋体" w:hAnsi="宋体" w:eastAsia="宋体" w:cs="宋体"/>
          <w:color w:val="auto"/>
          <w:sz w:val="28"/>
          <w:szCs w:val="28"/>
          <w:highlight w:val="none"/>
        </w:rPr>
        <w:br w:type="page"/>
      </w:r>
      <w:bookmarkStart w:id="322" w:name="_Toc16505"/>
      <w:bookmarkStart w:id="323" w:name="_Toc1360"/>
      <w:bookmarkStart w:id="324" w:name="_Toc13300"/>
      <w:bookmarkStart w:id="325" w:name="_Toc19177"/>
      <w:bookmarkStart w:id="326" w:name="_Toc25564"/>
      <w:bookmarkStart w:id="327" w:name="_Toc3729"/>
      <w:bookmarkStart w:id="328" w:name="_Toc15792"/>
      <w:r>
        <w:rPr>
          <w:rStyle w:val="38"/>
          <w:rFonts w:hint="eastAsia" w:ascii="宋体" w:hAnsi="宋体" w:eastAsia="宋体" w:cs="宋体"/>
          <w:b/>
          <w:bCs/>
          <w:color w:val="auto"/>
          <w:sz w:val="32"/>
          <w:szCs w:val="28"/>
          <w:highlight w:val="none"/>
          <w:lang w:val="en-US" w:eastAsia="zh-CN"/>
        </w:rPr>
        <w:t>附件</w:t>
      </w:r>
      <w:bookmarkEnd w:id="320"/>
      <w:bookmarkEnd w:id="321"/>
      <w:r>
        <w:rPr>
          <w:rStyle w:val="38"/>
          <w:rFonts w:hint="eastAsia" w:ascii="宋体" w:hAnsi="宋体" w:cs="宋体"/>
          <w:b/>
          <w:bCs/>
          <w:color w:val="auto"/>
          <w:sz w:val="32"/>
          <w:szCs w:val="28"/>
          <w:highlight w:val="none"/>
          <w:lang w:val="en-US" w:eastAsia="zh-CN"/>
        </w:rPr>
        <w:t>9</w:t>
      </w:r>
      <w:r>
        <w:rPr>
          <w:rStyle w:val="38"/>
          <w:rFonts w:hint="eastAsia" w:ascii="宋体" w:hAnsi="宋体" w:eastAsia="宋体" w:cs="宋体"/>
          <w:b/>
          <w:color w:val="auto"/>
          <w:kern w:val="2"/>
          <w:sz w:val="32"/>
          <w:szCs w:val="28"/>
          <w:highlight w:val="none"/>
          <w:lang w:val="en-US" w:eastAsia="zh-CN" w:bidi="ar-SA"/>
        </w:rPr>
        <w:t>：</w:t>
      </w:r>
    </w:p>
    <w:bookmarkEnd w:id="322"/>
    <w:bookmarkEnd w:id="323"/>
    <w:bookmarkEnd w:id="324"/>
    <w:bookmarkEnd w:id="325"/>
    <w:bookmarkEnd w:id="326"/>
    <w:bookmarkEnd w:id="327"/>
    <w:bookmarkEnd w:id="328"/>
    <w:p w14:paraId="1235367A">
      <w:pPr>
        <w:keepNext w:val="0"/>
        <w:tabs>
          <w:tab w:val="left" w:pos="5527"/>
        </w:tabs>
        <w:jc w:val="center"/>
        <w:outlineLvl w:val="1"/>
        <w:rPr>
          <w:rFonts w:hint="eastAsia" w:ascii="宋体" w:hAnsi="宋体" w:eastAsia="宋体" w:cs="宋体"/>
          <w:b/>
          <w:bCs/>
          <w:color w:val="auto"/>
          <w:kern w:val="2"/>
          <w:sz w:val="32"/>
          <w:szCs w:val="21"/>
          <w:highlight w:val="none"/>
          <w:lang w:val="en-US" w:eastAsia="zh-CN"/>
        </w:rPr>
      </w:pPr>
      <w:bookmarkStart w:id="329" w:name="_Toc8429"/>
      <w:bookmarkStart w:id="330" w:name="_Toc8532"/>
      <w:bookmarkStart w:id="331" w:name="_Toc29247"/>
      <w:bookmarkStart w:id="332" w:name="_Toc16533"/>
      <w:bookmarkStart w:id="333" w:name="_Toc31360"/>
      <w:bookmarkStart w:id="334" w:name="_Toc22625"/>
      <w:bookmarkStart w:id="335" w:name="_Toc26256"/>
      <w:r>
        <w:rPr>
          <w:rFonts w:hint="eastAsia" w:ascii="宋体" w:hAnsi="宋体" w:eastAsia="宋体" w:cs="宋体"/>
          <w:b/>
          <w:bCs/>
          <w:color w:val="auto"/>
          <w:kern w:val="2"/>
          <w:sz w:val="32"/>
          <w:szCs w:val="21"/>
          <w:highlight w:val="none"/>
          <w:lang w:val="en-US" w:eastAsia="zh-CN"/>
        </w:rPr>
        <w:t>技术规格偏离表</w:t>
      </w:r>
      <w:bookmarkEnd w:id="329"/>
      <w:bookmarkEnd w:id="330"/>
      <w:bookmarkEnd w:id="331"/>
      <w:bookmarkEnd w:id="332"/>
      <w:bookmarkEnd w:id="333"/>
      <w:bookmarkEnd w:id="334"/>
    </w:p>
    <w:bookmarkEnd w:id="335"/>
    <w:p w14:paraId="28B993BA">
      <w:pPr>
        <w:pStyle w:val="37"/>
        <w:tabs>
          <w:tab w:val="left" w:pos="5527"/>
        </w:tabs>
        <w:spacing w:line="480" w:lineRule="exact"/>
        <w:ind w:firstLine="564" w:firstLineChars="200"/>
        <w:jc w:val="both"/>
        <w:outlineLvl w:val="9"/>
        <w:rPr>
          <w:rFonts w:hint="eastAsia" w:ascii="宋体" w:hAnsi="宋体" w:eastAsia="宋体" w:cs="宋体"/>
          <w:color w:val="auto"/>
          <w:sz w:val="28"/>
          <w:szCs w:val="28"/>
          <w:highlight w:val="none"/>
        </w:rPr>
      </w:pPr>
      <w:r>
        <w:rPr>
          <w:rFonts w:hint="eastAsia" w:ascii="宋体" w:hAnsi="宋体" w:cs="宋体"/>
          <w:color w:val="auto"/>
          <w:sz w:val="28"/>
          <w:szCs w:val="28"/>
          <w:highlight w:val="none"/>
          <w:lang w:val="en-US" w:eastAsia="zh-CN"/>
        </w:rPr>
        <w:t>项目名称</w:t>
      </w:r>
      <w:r>
        <w:rPr>
          <w:rFonts w:hint="eastAsia" w:ascii="宋体" w:hAnsi="宋体" w:eastAsia="宋体" w:cs="宋体"/>
          <w:color w:val="auto"/>
          <w:sz w:val="28"/>
          <w:szCs w:val="28"/>
          <w:highlight w:val="none"/>
          <w:lang w:val="en-US" w:eastAsia="zh-CN"/>
        </w:rPr>
        <w:t>：</w:t>
      </w:r>
    </w:p>
    <w:tbl>
      <w:tblPr>
        <w:tblStyle w:val="27"/>
        <w:tblW w:w="9118" w:type="dxa"/>
        <w:tblInd w:w="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
        <w:gridCol w:w="2634"/>
        <w:gridCol w:w="1884"/>
        <w:gridCol w:w="1447"/>
        <w:gridCol w:w="1168"/>
        <w:gridCol w:w="1101"/>
      </w:tblGrid>
      <w:tr w14:paraId="10F0C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884" w:type="dxa"/>
            <w:vAlign w:val="center"/>
          </w:tcPr>
          <w:p w14:paraId="60956EA5">
            <w:pPr>
              <w:keepNext w:val="0"/>
              <w:keepLines w:val="0"/>
              <w:suppressLineNumbers w:val="0"/>
              <w:tabs>
                <w:tab w:val="left" w:pos="5527"/>
              </w:tabs>
              <w:bidi w:val="0"/>
              <w:spacing w:before="0" w:beforeAutospacing="0" w:after="0" w:afterAutospacing="0"/>
              <w:ind w:left="0" w:right="0"/>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2634" w:type="dxa"/>
            <w:vAlign w:val="center"/>
          </w:tcPr>
          <w:p w14:paraId="785ACCB0">
            <w:pPr>
              <w:keepNext w:val="0"/>
              <w:keepLines w:val="0"/>
              <w:suppressLineNumbers w:val="0"/>
              <w:tabs>
                <w:tab w:val="left" w:pos="5527"/>
              </w:tabs>
              <w:bidi w:val="0"/>
              <w:spacing w:before="0" w:beforeAutospacing="0" w:after="0" w:afterAutospacing="0"/>
              <w:ind w:left="0" w:right="0"/>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招标文件</w:t>
            </w:r>
            <w:r>
              <w:rPr>
                <w:rFonts w:hint="eastAsia" w:ascii="宋体" w:hAnsi="宋体" w:eastAsia="宋体" w:cs="宋体"/>
                <w:b/>
                <w:bCs/>
                <w:color w:val="auto"/>
                <w:sz w:val="24"/>
                <w:szCs w:val="24"/>
                <w:highlight w:val="none"/>
              </w:rPr>
              <w:t>条目号</w:t>
            </w:r>
          </w:p>
        </w:tc>
        <w:tc>
          <w:tcPr>
            <w:tcW w:w="1884" w:type="dxa"/>
            <w:vAlign w:val="center"/>
          </w:tcPr>
          <w:p w14:paraId="2CA23592">
            <w:pPr>
              <w:keepNext w:val="0"/>
              <w:keepLines w:val="0"/>
              <w:suppressLineNumbers w:val="0"/>
              <w:tabs>
                <w:tab w:val="left" w:pos="5527"/>
              </w:tabs>
              <w:bidi w:val="0"/>
              <w:spacing w:before="0" w:beforeAutospacing="0" w:after="0" w:afterAutospacing="0"/>
              <w:ind w:left="0" w:right="0"/>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招标规格</w:t>
            </w:r>
          </w:p>
        </w:tc>
        <w:tc>
          <w:tcPr>
            <w:tcW w:w="1447" w:type="dxa"/>
            <w:vAlign w:val="center"/>
          </w:tcPr>
          <w:p w14:paraId="5AD339E8">
            <w:pPr>
              <w:keepNext w:val="0"/>
              <w:keepLines w:val="0"/>
              <w:suppressLineNumbers w:val="0"/>
              <w:tabs>
                <w:tab w:val="left" w:pos="5527"/>
              </w:tabs>
              <w:bidi w:val="0"/>
              <w:spacing w:before="0" w:beforeAutospacing="0" w:after="0" w:afterAutospacing="0"/>
              <w:ind w:left="0" w:right="0"/>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投标规格</w:t>
            </w:r>
          </w:p>
        </w:tc>
        <w:tc>
          <w:tcPr>
            <w:tcW w:w="1168" w:type="dxa"/>
            <w:vAlign w:val="center"/>
          </w:tcPr>
          <w:p w14:paraId="25AFB615">
            <w:pPr>
              <w:keepNext w:val="0"/>
              <w:keepLines w:val="0"/>
              <w:suppressLineNumbers w:val="0"/>
              <w:tabs>
                <w:tab w:val="left" w:pos="5527"/>
              </w:tabs>
              <w:bidi w:val="0"/>
              <w:spacing w:before="0" w:beforeAutospacing="0" w:after="0" w:afterAutospacing="0"/>
              <w:ind w:left="0" w:right="0"/>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偏离</w:t>
            </w:r>
          </w:p>
        </w:tc>
        <w:tc>
          <w:tcPr>
            <w:tcW w:w="1101" w:type="dxa"/>
            <w:vAlign w:val="center"/>
          </w:tcPr>
          <w:p w14:paraId="05FD0B34">
            <w:pPr>
              <w:keepNext w:val="0"/>
              <w:keepLines w:val="0"/>
              <w:suppressLineNumbers w:val="0"/>
              <w:tabs>
                <w:tab w:val="left" w:pos="5527"/>
              </w:tabs>
              <w:bidi w:val="0"/>
              <w:spacing w:before="0" w:beforeAutospacing="0" w:after="0" w:afterAutospacing="0"/>
              <w:ind w:left="0" w:right="0"/>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p>
        </w:tc>
      </w:tr>
      <w:tr w14:paraId="4E633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884" w:type="dxa"/>
            <w:vAlign w:val="top"/>
          </w:tcPr>
          <w:p w14:paraId="647071BB">
            <w:pPr>
              <w:pStyle w:val="37"/>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2634" w:type="dxa"/>
            <w:vAlign w:val="top"/>
          </w:tcPr>
          <w:p w14:paraId="4C8E9ADA">
            <w:pPr>
              <w:pStyle w:val="37"/>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884" w:type="dxa"/>
            <w:vAlign w:val="top"/>
          </w:tcPr>
          <w:p w14:paraId="1F154CE3">
            <w:pPr>
              <w:keepNext w:val="0"/>
              <w:keepLines w:val="0"/>
              <w:suppressLineNumbers w:val="0"/>
              <w:tabs>
                <w:tab w:val="left" w:pos="5527"/>
              </w:tabs>
              <w:spacing w:before="0" w:beforeAutospacing="0" w:after="0" w:afterAutospacing="0" w:line="480" w:lineRule="exact"/>
              <w:ind w:left="0" w:right="0"/>
              <w:jc w:val="left"/>
              <w:outlineLvl w:val="9"/>
              <w:rPr>
                <w:rFonts w:hint="eastAsia" w:ascii="宋体" w:hAnsi="宋体" w:eastAsia="宋体" w:cs="宋体"/>
                <w:color w:val="auto"/>
                <w:kern w:val="0"/>
                <w:sz w:val="24"/>
                <w:szCs w:val="24"/>
                <w:highlight w:val="none"/>
              </w:rPr>
            </w:pPr>
          </w:p>
          <w:p w14:paraId="61454EE2">
            <w:pPr>
              <w:pStyle w:val="37"/>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447" w:type="dxa"/>
            <w:vAlign w:val="top"/>
          </w:tcPr>
          <w:p w14:paraId="00A6B210">
            <w:pPr>
              <w:pStyle w:val="37"/>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168" w:type="dxa"/>
            <w:vAlign w:val="top"/>
          </w:tcPr>
          <w:p w14:paraId="2513CF2C">
            <w:pPr>
              <w:pStyle w:val="37"/>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101" w:type="dxa"/>
            <w:vAlign w:val="top"/>
          </w:tcPr>
          <w:p w14:paraId="1D21FECB">
            <w:pPr>
              <w:pStyle w:val="37"/>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r>
      <w:tr w14:paraId="28204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884" w:type="dxa"/>
            <w:vAlign w:val="top"/>
          </w:tcPr>
          <w:p w14:paraId="68D4CC98">
            <w:pPr>
              <w:pStyle w:val="37"/>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2634" w:type="dxa"/>
            <w:vAlign w:val="top"/>
          </w:tcPr>
          <w:p w14:paraId="093D5ACA">
            <w:pPr>
              <w:pStyle w:val="37"/>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884" w:type="dxa"/>
            <w:vAlign w:val="top"/>
          </w:tcPr>
          <w:p w14:paraId="2B495E8F">
            <w:pPr>
              <w:keepNext w:val="0"/>
              <w:keepLines w:val="0"/>
              <w:suppressLineNumbers w:val="0"/>
              <w:tabs>
                <w:tab w:val="left" w:pos="5527"/>
              </w:tabs>
              <w:spacing w:before="0" w:beforeAutospacing="0" w:after="0" w:afterAutospacing="0" w:line="480" w:lineRule="exact"/>
              <w:ind w:left="0" w:right="0"/>
              <w:jc w:val="left"/>
              <w:outlineLvl w:val="9"/>
              <w:rPr>
                <w:rFonts w:hint="eastAsia" w:ascii="宋体" w:hAnsi="宋体" w:eastAsia="宋体" w:cs="宋体"/>
                <w:color w:val="auto"/>
                <w:kern w:val="0"/>
                <w:sz w:val="24"/>
                <w:szCs w:val="24"/>
                <w:highlight w:val="none"/>
              </w:rPr>
            </w:pPr>
          </w:p>
          <w:p w14:paraId="4036B0F2">
            <w:pPr>
              <w:pStyle w:val="37"/>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447" w:type="dxa"/>
            <w:vAlign w:val="top"/>
          </w:tcPr>
          <w:p w14:paraId="5639324D">
            <w:pPr>
              <w:pStyle w:val="37"/>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168" w:type="dxa"/>
            <w:vAlign w:val="top"/>
          </w:tcPr>
          <w:p w14:paraId="3245E972">
            <w:pPr>
              <w:pStyle w:val="37"/>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101" w:type="dxa"/>
            <w:vAlign w:val="top"/>
          </w:tcPr>
          <w:p w14:paraId="61D3629A">
            <w:pPr>
              <w:pStyle w:val="37"/>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r>
      <w:tr w14:paraId="4EC8E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884" w:type="dxa"/>
            <w:vAlign w:val="top"/>
          </w:tcPr>
          <w:p w14:paraId="08280BA2">
            <w:pPr>
              <w:pStyle w:val="37"/>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2634" w:type="dxa"/>
            <w:vAlign w:val="top"/>
          </w:tcPr>
          <w:p w14:paraId="1D95FD63">
            <w:pPr>
              <w:pStyle w:val="37"/>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884" w:type="dxa"/>
            <w:vAlign w:val="top"/>
          </w:tcPr>
          <w:p w14:paraId="739AFCE2">
            <w:pPr>
              <w:keepNext w:val="0"/>
              <w:keepLines w:val="0"/>
              <w:suppressLineNumbers w:val="0"/>
              <w:tabs>
                <w:tab w:val="left" w:pos="5527"/>
              </w:tabs>
              <w:spacing w:before="0" w:beforeAutospacing="0" w:after="0" w:afterAutospacing="0" w:line="480" w:lineRule="exact"/>
              <w:ind w:left="0" w:right="0"/>
              <w:jc w:val="left"/>
              <w:outlineLvl w:val="9"/>
              <w:rPr>
                <w:rFonts w:hint="eastAsia" w:ascii="宋体" w:hAnsi="宋体" w:eastAsia="宋体" w:cs="宋体"/>
                <w:color w:val="auto"/>
                <w:kern w:val="0"/>
                <w:sz w:val="24"/>
                <w:szCs w:val="24"/>
                <w:highlight w:val="none"/>
              </w:rPr>
            </w:pPr>
          </w:p>
          <w:p w14:paraId="3800A769">
            <w:pPr>
              <w:pStyle w:val="37"/>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447" w:type="dxa"/>
            <w:vAlign w:val="top"/>
          </w:tcPr>
          <w:p w14:paraId="782B8759">
            <w:pPr>
              <w:pStyle w:val="37"/>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168" w:type="dxa"/>
            <w:vAlign w:val="top"/>
          </w:tcPr>
          <w:p w14:paraId="1178DEE9">
            <w:pPr>
              <w:pStyle w:val="37"/>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101" w:type="dxa"/>
            <w:vAlign w:val="top"/>
          </w:tcPr>
          <w:p w14:paraId="428917F9">
            <w:pPr>
              <w:pStyle w:val="37"/>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r>
      <w:tr w14:paraId="10BFA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884" w:type="dxa"/>
            <w:vAlign w:val="top"/>
          </w:tcPr>
          <w:p w14:paraId="548E4B64">
            <w:pPr>
              <w:pStyle w:val="37"/>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bookmarkStart w:id="336" w:name="_Toc19858"/>
            <w:bookmarkStart w:id="337" w:name="_Toc32067"/>
          </w:p>
        </w:tc>
        <w:tc>
          <w:tcPr>
            <w:tcW w:w="2634" w:type="dxa"/>
            <w:vAlign w:val="top"/>
          </w:tcPr>
          <w:p w14:paraId="5E9A4F95">
            <w:pPr>
              <w:pStyle w:val="37"/>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884" w:type="dxa"/>
            <w:vAlign w:val="top"/>
          </w:tcPr>
          <w:p w14:paraId="2DAF30E3">
            <w:pPr>
              <w:pStyle w:val="37"/>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447" w:type="dxa"/>
            <w:vAlign w:val="top"/>
          </w:tcPr>
          <w:p w14:paraId="5A26862C">
            <w:pPr>
              <w:pStyle w:val="37"/>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168" w:type="dxa"/>
            <w:vAlign w:val="top"/>
          </w:tcPr>
          <w:p w14:paraId="48581BA0">
            <w:pPr>
              <w:pStyle w:val="37"/>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101" w:type="dxa"/>
            <w:vAlign w:val="top"/>
          </w:tcPr>
          <w:p w14:paraId="1287DAA0">
            <w:pPr>
              <w:pStyle w:val="37"/>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r>
      <w:tr w14:paraId="1BF93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884" w:type="dxa"/>
            <w:vAlign w:val="top"/>
          </w:tcPr>
          <w:p w14:paraId="1892D2B2">
            <w:pPr>
              <w:pStyle w:val="37"/>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2634" w:type="dxa"/>
            <w:vAlign w:val="top"/>
          </w:tcPr>
          <w:p w14:paraId="7263D96C">
            <w:pPr>
              <w:pStyle w:val="37"/>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884" w:type="dxa"/>
            <w:vAlign w:val="top"/>
          </w:tcPr>
          <w:p w14:paraId="3D02CA3E">
            <w:pPr>
              <w:pStyle w:val="37"/>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447" w:type="dxa"/>
            <w:vAlign w:val="top"/>
          </w:tcPr>
          <w:p w14:paraId="10FF9B2B">
            <w:pPr>
              <w:pStyle w:val="37"/>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168" w:type="dxa"/>
            <w:vAlign w:val="top"/>
          </w:tcPr>
          <w:p w14:paraId="1B141667">
            <w:pPr>
              <w:pStyle w:val="37"/>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c>
          <w:tcPr>
            <w:tcW w:w="1101" w:type="dxa"/>
            <w:vAlign w:val="top"/>
          </w:tcPr>
          <w:p w14:paraId="6982E587">
            <w:pPr>
              <w:pStyle w:val="37"/>
              <w:keepNext w:val="0"/>
              <w:keepLines w:val="0"/>
              <w:suppressLineNumbers w:val="0"/>
              <w:tabs>
                <w:tab w:val="left" w:pos="5527"/>
              </w:tabs>
              <w:spacing w:before="0" w:beforeAutospacing="0" w:after="0" w:afterAutospacing="0" w:line="480" w:lineRule="exact"/>
              <w:ind w:left="0" w:right="0"/>
              <w:outlineLvl w:val="9"/>
              <w:rPr>
                <w:rFonts w:hint="eastAsia" w:ascii="宋体" w:hAnsi="宋体" w:eastAsia="宋体" w:cs="宋体"/>
                <w:color w:val="auto"/>
                <w:sz w:val="24"/>
                <w:szCs w:val="24"/>
                <w:highlight w:val="none"/>
              </w:rPr>
            </w:pPr>
          </w:p>
        </w:tc>
      </w:tr>
    </w:tbl>
    <w:p w14:paraId="25819BF7">
      <w:pPr>
        <w:tabs>
          <w:tab w:val="left" w:pos="5527"/>
        </w:tabs>
        <w:bidi w:val="0"/>
        <w:spacing w:line="360" w:lineRule="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注</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1、投标人应对招标文件第三章“</w:t>
      </w:r>
      <w:r>
        <w:rPr>
          <w:rFonts w:hint="eastAsia" w:ascii="宋体" w:hAnsi="宋体" w:cs="宋体"/>
          <w:b/>
          <w:bCs/>
          <w:color w:val="auto"/>
          <w:sz w:val="24"/>
          <w:szCs w:val="24"/>
          <w:highlight w:val="none"/>
          <w:lang w:val="en-US" w:eastAsia="zh-CN"/>
        </w:rPr>
        <w:t>采购清单</w:t>
      </w:r>
      <w:r>
        <w:rPr>
          <w:rFonts w:hint="eastAsia" w:ascii="宋体" w:hAnsi="宋体" w:eastAsia="宋体" w:cs="宋体"/>
          <w:b/>
          <w:bCs/>
          <w:color w:val="auto"/>
          <w:sz w:val="24"/>
          <w:szCs w:val="24"/>
          <w:highlight w:val="none"/>
        </w:rPr>
        <w:t>”的内容给予逐条响应</w:t>
      </w:r>
      <w:r>
        <w:rPr>
          <w:rFonts w:hint="eastAsia" w:ascii="宋体" w:hAnsi="宋体" w:cs="宋体"/>
          <w:b/>
          <w:bCs/>
          <w:color w:val="auto"/>
          <w:sz w:val="24"/>
          <w:szCs w:val="24"/>
          <w:highlight w:val="none"/>
          <w:lang w:eastAsia="zh-CN"/>
        </w:rPr>
        <w:t>。</w:t>
      </w:r>
    </w:p>
    <w:p w14:paraId="617FAD93">
      <w:pPr>
        <w:tabs>
          <w:tab w:val="left" w:pos="5527"/>
        </w:tabs>
        <w:bidi w:val="0"/>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投标规格以投标产品和服务所能达到的内容予以填写，而不应复印招标的技术要求作为响应内容，有具体参数的应填写具体参数。</w:t>
      </w:r>
    </w:p>
    <w:p w14:paraId="61081F75">
      <w:pPr>
        <w:numPr>
          <w:ilvl w:val="0"/>
          <w:numId w:val="9"/>
        </w:numPr>
        <w:tabs>
          <w:tab w:val="left" w:pos="5527"/>
        </w:tabs>
        <w:bidi w:val="0"/>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若有偏离</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请将具体偏离条款在“偏离”一栏中详细说明</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若无偏离</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请在“偏离”一栏中标注“无”字样。</w:t>
      </w:r>
    </w:p>
    <w:bookmarkEnd w:id="336"/>
    <w:bookmarkEnd w:id="337"/>
    <w:p w14:paraId="65F3749C">
      <w:pPr>
        <w:tabs>
          <w:tab w:val="left" w:pos="5527"/>
        </w:tabs>
        <w:bidi w:val="0"/>
        <w:spacing w:line="600" w:lineRule="auto"/>
        <w:ind w:leftChars="1600"/>
        <w:outlineLvl w:val="9"/>
        <w:rPr>
          <w:rFonts w:hint="eastAsia" w:ascii="宋体" w:hAnsi="宋体" w:eastAsia="宋体" w:cs="宋体"/>
          <w:color w:val="auto"/>
          <w:sz w:val="28"/>
          <w:szCs w:val="28"/>
          <w:highlight w:val="none"/>
        </w:rPr>
      </w:pPr>
      <w:bookmarkStart w:id="338" w:name="_Toc6379"/>
      <w:bookmarkStart w:id="339" w:name="_Toc10091"/>
    </w:p>
    <w:p w14:paraId="2AE476E3">
      <w:pPr>
        <w:tabs>
          <w:tab w:val="left" w:pos="5527"/>
        </w:tabs>
        <w:bidi w:val="0"/>
        <w:spacing w:line="600" w:lineRule="auto"/>
        <w:ind w:leftChars="16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供应商名称（盖章）：</w:t>
      </w:r>
    </w:p>
    <w:p w14:paraId="38B585B4">
      <w:pPr>
        <w:tabs>
          <w:tab w:val="left" w:pos="5527"/>
        </w:tabs>
        <w:bidi w:val="0"/>
        <w:spacing w:line="600" w:lineRule="auto"/>
        <w:ind w:leftChars="16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法定代表人或委托代理人（签字或盖章）：</w:t>
      </w:r>
    </w:p>
    <w:p w14:paraId="1A4BCEF0">
      <w:pPr>
        <w:tabs>
          <w:tab w:val="left" w:pos="5527"/>
        </w:tabs>
        <w:bidi w:val="0"/>
        <w:spacing w:line="600" w:lineRule="auto"/>
        <w:ind w:leftChars="16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日期：     年   月   日</w:t>
      </w:r>
    </w:p>
    <w:p w14:paraId="3C146E9D">
      <w:pPr>
        <w:tabs>
          <w:tab w:val="left" w:pos="5527"/>
        </w:tabs>
        <w:outlineLvl w:val="9"/>
        <w:rPr>
          <w:rFonts w:hint="eastAsia" w:ascii="宋体" w:hAnsi="宋体" w:eastAsia="宋体" w:cs="宋体"/>
          <w:b w:val="0"/>
          <w:bCs/>
          <w:color w:val="auto"/>
          <w:sz w:val="28"/>
          <w:szCs w:val="28"/>
          <w:highlight w:val="none"/>
        </w:rPr>
      </w:pPr>
    </w:p>
    <w:p w14:paraId="500C3A1D">
      <w:pPr>
        <w:pStyle w:val="14"/>
        <w:tabs>
          <w:tab w:val="left" w:pos="5527"/>
        </w:tabs>
        <w:outlineLvl w:val="9"/>
        <w:rPr>
          <w:rFonts w:hint="eastAsia" w:ascii="宋体" w:hAnsi="宋体" w:eastAsia="宋体" w:cs="宋体"/>
          <w:color w:val="auto"/>
          <w:highlight w:val="none"/>
        </w:rPr>
        <w:sectPr>
          <w:headerReference r:id="rId16" w:type="first"/>
          <w:footerReference r:id="rId18" w:type="first"/>
          <w:headerReference r:id="rId15" w:type="default"/>
          <w:footerReference r:id="rId17" w:type="default"/>
          <w:pgSz w:w="11906" w:h="16838"/>
          <w:pgMar w:top="1417" w:right="1418" w:bottom="1417" w:left="1417" w:header="851" w:footer="850" w:gutter="0"/>
          <w:pgBorders>
            <w:top w:val="none" w:sz="0" w:space="0"/>
            <w:left w:val="none" w:sz="0" w:space="0"/>
            <w:bottom w:val="none" w:sz="0" w:space="0"/>
            <w:right w:val="none" w:sz="0" w:space="0"/>
          </w:pgBorders>
          <w:pgNumType w:fmt="decimal"/>
          <w:cols w:space="0" w:num="1"/>
          <w:titlePg/>
          <w:rtlGutter w:val="0"/>
          <w:docGrid w:type="linesAndChars" w:linePitch="312" w:charSpace="530"/>
        </w:sectPr>
      </w:pPr>
    </w:p>
    <w:p w14:paraId="1FE8AA88">
      <w:pPr>
        <w:keepNext w:val="0"/>
        <w:numPr>
          <w:ilvl w:val="0"/>
          <w:numId w:val="0"/>
        </w:numPr>
        <w:tabs>
          <w:tab w:val="left" w:pos="420"/>
          <w:tab w:val="left" w:pos="5527"/>
        </w:tabs>
        <w:jc w:val="left"/>
        <w:outlineLvl w:val="9"/>
        <w:rPr>
          <w:rStyle w:val="38"/>
          <w:rFonts w:hint="eastAsia" w:ascii="宋体" w:hAnsi="宋体" w:eastAsia="宋体" w:cs="宋体"/>
          <w:b/>
          <w:bCs/>
          <w:color w:val="auto"/>
          <w:sz w:val="32"/>
          <w:szCs w:val="28"/>
          <w:highlight w:val="none"/>
          <w:lang w:val="en-US" w:eastAsia="zh-CN"/>
        </w:rPr>
      </w:pPr>
      <w:bookmarkStart w:id="340" w:name="_Toc14463"/>
      <w:bookmarkStart w:id="341" w:name="_Toc27743"/>
      <w:bookmarkStart w:id="342" w:name="_Toc20068"/>
      <w:bookmarkStart w:id="343" w:name="_Toc10125"/>
      <w:bookmarkStart w:id="344" w:name="_Toc13891"/>
      <w:bookmarkStart w:id="345" w:name="_Toc17347"/>
      <w:bookmarkStart w:id="346" w:name="_Toc2950"/>
      <w:r>
        <w:rPr>
          <w:rStyle w:val="38"/>
          <w:rFonts w:hint="eastAsia" w:ascii="宋体" w:hAnsi="宋体" w:eastAsia="宋体" w:cs="宋体"/>
          <w:b/>
          <w:bCs/>
          <w:color w:val="auto"/>
          <w:sz w:val="32"/>
          <w:szCs w:val="28"/>
          <w:highlight w:val="none"/>
          <w:lang w:val="en-US" w:eastAsia="zh-CN"/>
        </w:rPr>
        <w:t>附件1</w:t>
      </w:r>
      <w:bookmarkEnd w:id="338"/>
      <w:bookmarkEnd w:id="339"/>
      <w:r>
        <w:rPr>
          <w:rStyle w:val="38"/>
          <w:rFonts w:hint="eastAsia" w:ascii="宋体" w:hAnsi="宋体" w:cs="宋体"/>
          <w:b/>
          <w:bCs/>
          <w:color w:val="auto"/>
          <w:sz w:val="32"/>
          <w:szCs w:val="28"/>
          <w:highlight w:val="none"/>
          <w:lang w:val="en-US" w:eastAsia="zh-CN"/>
        </w:rPr>
        <w:t>0</w:t>
      </w:r>
      <w:r>
        <w:rPr>
          <w:rStyle w:val="38"/>
          <w:rFonts w:hint="eastAsia" w:ascii="宋体" w:hAnsi="宋体" w:eastAsia="宋体" w:cs="宋体"/>
          <w:b/>
          <w:bCs/>
          <w:color w:val="auto"/>
          <w:kern w:val="2"/>
          <w:sz w:val="32"/>
          <w:szCs w:val="28"/>
          <w:highlight w:val="none"/>
          <w:lang w:val="en-US" w:eastAsia="zh-CN" w:bidi="ar-SA"/>
        </w:rPr>
        <w:t>：</w:t>
      </w:r>
      <w:bookmarkEnd w:id="340"/>
      <w:bookmarkEnd w:id="341"/>
    </w:p>
    <w:bookmarkEnd w:id="342"/>
    <w:bookmarkEnd w:id="343"/>
    <w:bookmarkEnd w:id="344"/>
    <w:bookmarkEnd w:id="345"/>
    <w:bookmarkEnd w:id="346"/>
    <w:p w14:paraId="7EDD9AA2">
      <w:pPr>
        <w:keepNext w:val="0"/>
        <w:tabs>
          <w:tab w:val="left" w:pos="5527"/>
        </w:tabs>
        <w:jc w:val="center"/>
        <w:outlineLvl w:val="1"/>
        <w:rPr>
          <w:rFonts w:hint="eastAsia" w:ascii="宋体" w:hAnsi="宋体" w:eastAsia="宋体" w:cs="宋体"/>
          <w:b/>
          <w:bCs/>
          <w:color w:val="auto"/>
          <w:kern w:val="2"/>
          <w:sz w:val="32"/>
          <w:szCs w:val="21"/>
          <w:highlight w:val="none"/>
          <w:lang w:val="en-US" w:eastAsia="zh-CN"/>
        </w:rPr>
      </w:pPr>
      <w:bookmarkStart w:id="347" w:name="_Toc32245"/>
      <w:bookmarkStart w:id="348" w:name="_Toc15107"/>
      <w:bookmarkStart w:id="349" w:name="_Toc7717"/>
      <w:bookmarkStart w:id="350" w:name="_Toc4069"/>
      <w:bookmarkStart w:id="351" w:name="_Toc25331"/>
      <w:bookmarkStart w:id="352" w:name="_Toc25290"/>
      <w:bookmarkStart w:id="353" w:name="_Toc1745"/>
      <w:r>
        <w:rPr>
          <w:rFonts w:hint="eastAsia" w:ascii="宋体" w:hAnsi="宋体" w:eastAsia="宋体" w:cs="宋体"/>
          <w:b/>
          <w:bCs/>
          <w:color w:val="auto"/>
          <w:kern w:val="2"/>
          <w:sz w:val="32"/>
          <w:szCs w:val="21"/>
          <w:highlight w:val="none"/>
          <w:lang w:val="en-US" w:eastAsia="zh-CN"/>
        </w:rPr>
        <w:t>近三年业绩表</w:t>
      </w:r>
      <w:bookmarkEnd w:id="347"/>
      <w:bookmarkEnd w:id="348"/>
      <w:bookmarkEnd w:id="349"/>
      <w:bookmarkEnd w:id="350"/>
      <w:bookmarkEnd w:id="351"/>
      <w:bookmarkEnd w:id="352"/>
    </w:p>
    <w:bookmarkEnd w:id="353"/>
    <w:tbl>
      <w:tblPr>
        <w:tblStyle w:val="27"/>
        <w:tblW w:w="856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83"/>
        <w:gridCol w:w="1684"/>
        <w:gridCol w:w="1642"/>
        <w:gridCol w:w="1269"/>
        <w:gridCol w:w="1638"/>
        <w:gridCol w:w="1544"/>
      </w:tblGrid>
      <w:tr w14:paraId="0DF83BD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67" w:hRule="atLeast"/>
          <w:jc w:val="center"/>
        </w:trPr>
        <w:tc>
          <w:tcPr>
            <w:tcW w:w="783" w:type="dxa"/>
            <w:tcBorders>
              <w:top w:val="single" w:color="auto" w:sz="4" w:space="0"/>
              <w:bottom w:val="single" w:color="auto" w:sz="4" w:space="0"/>
            </w:tcBorders>
            <w:vAlign w:val="center"/>
          </w:tcPr>
          <w:p w14:paraId="00EB726A">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序号</w:t>
            </w:r>
          </w:p>
        </w:tc>
        <w:tc>
          <w:tcPr>
            <w:tcW w:w="1684" w:type="dxa"/>
            <w:vAlign w:val="center"/>
          </w:tcPr>
          <w:p w14:paraId="1912BD17">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项目名称</w:t>
            </w:r>
          </w:p>
        </w:tc>
        <w:tc>
          <w:tcPr>
            <w:tcW w:w="1642" w:type="dxa"/>
            <w:vAlign w:val="center"/>
          </w:tcPr>
          <w:p w14:paraId="13F901B1">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完成时间</w:t>
            </w:r>
          </w:p>
        </w:tc>
        <w:tc>
          <w:tcPr>
            <w:tcW w:w="1269" w:type="dxa"/>
            <w:vAlign w:val="center"/>
          </w:tcPr>
          <w:p w14:paraId="31ED5369">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合同金额</w:t>
            </w:r>
          </w:p>
        </w:tc>
        <w:tc>
          <w:tcPr>
            <w:tcW w:w="1638" w:type="dxa"/>
            <w:vAlign w:val="center"/>
          </w:tcPr>
          <w:p w14:paraId="2AA44BD6">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采购人名称</w:t>
            </w:r>
          </w:p>
        </w:tc>
        <w:tc>
          <w:tcPr>
            <w:tcW w:w="1544" w:type="dxa"/>
            <w:tcBorders>
              <w:left w:val="single" w:color="auto" w:sz="4" w:space="0"/>
            </w:tcBorders>
            <w:vAlign w:val="center"/>
          </w:tcPr>
          <w:p w14:paraId="4C32C16A">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备注</w:t>
            </w:r>
          </w:p>
        </w:tc>
      </w:tr>
      <w:tr w14:paraId="68CCD84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67" w:hRule="atLeast"/>
          <w:jc w:val="center"/>
        </w:trPr>
        <w:tc>
          <w:tcPr>
            <w:tcW w:w="783" w:type="dxa"/>
            <w:tcBorders>
              <w:top w:val="single" w:color="auto" w:sz="4" w:space="0"/>
              <w:bottom w:val="single" w:color="auto" w:sz="4" w:space="0"/>
            </w:tcBorders>
            <w:vAlign w:val="center"/>
          </w:tcPr>
          <w:p w14:paraId="469B473D">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684" w:type="dxa"/>
            <w:vAlign w:val="center"/>
          </w:tcPr>
          <w:p w14:paraId="78414497">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642" w:type="dxa"/>
            <w:vAlign w:val="center"/>
          </w:tcPr>
          <w:p w14:paraId="5C8FFD7F">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269" w:type="dxa"/>
            <w:vAlign w:val="center"/>
          </w:tcPr>
          <w:p w14:paraId="75CB7BC9">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638" w:type="dxa"/>
            <w:vAlign w:val="center"/>
          </w:tcPr>
          <w:p w14:paraId="5BCA7D35">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544" w:type="dxa"/>
            <w:tcBorders>
              <w:left w:val="single" w:color="auto" w:sz="4" w:space="0"/>
            </w:tcBorders>
            <w:vAlign w:val="center"/>
          </w:tcPr>
          <w:p w14:paraId="5DE12FA9">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r>
      <w:tr w14:paraId="734C5EE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67" w:hRule="atLeast"/>
          <w:jc w:val="center"/>
        </w:trPr>
        <w:tc>
          <w:tcPr>
            <w:tcW w:w="783" w:type="dxa"/>
            <w:tcBorders>
              <w:top w:val="single" w:color="auto" w:sz="4" w:space="0"/>
              <w:bottom w:val="single" w:color="auto" w:sz="4" w:space="0"/>
            </w:tcBorders>
            <w:vAlign w:val="center"/>
          </w:tcPr>
          <w:p w14:paraId="4EB250CE">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684" w:type="dxa"/>
            <w:vAlign w:val="center"/>
          </w:tcPr>
          <w:p w14:paraId="14F04544">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642" w:type="dxa"/>
            <w:vAlign w:val="center"/>
          </w:tcPr>
          <w:p w14:paraId="429EC504">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269" w:type="dxa"/>
            <w:vAlign w:val="center"/>
          </w:tcPr>
          <w:p w14:paraId="66C40B83">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638" w:type="dxa"/>
            <w:vAlign w:val="center"/>
          </w:tcPr>
          <w:p w14:paraId="41E3122C">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544" w:type="dxa"/>
            <w:tcBorders>
              <w:left w:val="single" w:color="auto" w:sz="4" w:space="0"/>
            </w:tcBorders>
            <w:vAlign w:val="center"/>
          </w:tcPr>
          <w:p w14:paraId="45068916">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r>
      <w:tr w14:paraId="69AE73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67" w:hRule="atLeast"/>
          <w:jc w:val="center"/>
        </w:trPr>
        <w:tc>
          <w:tcPr>
            <w:tcW w:w="783" w:type="dxa"/>
            <w:tcBorders>
              <w:top w:val="single" w:color="auto" w:sz="4" w:space="0"/>
              <w:bottom w:val="single" w:color="auto" w:sz="4" w:space="0"/>
            </w:tcBorders>
            <w:vAlign w:val="center"/>
          </w:tcPr>
          <w:p w14:paraId="2E58F55D">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684" w:type="dxa"/>
            <w:vAlign w:val="center"/>
          </w:tcPr>
          <w:p w14:paraId="34BA5200">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642" w:type="dxa"/>
            <w:vAlign w:val="center"/>
          </w:tcPr>
          <w:p w14:paraId="73FAFFBE">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269" w:type="dxa"/>
            <w:vAlign w:val="center"/>
          </w:tcPr>
          <w:p w14:paraId="2AC10531">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638" w:type="dxa"/>
            <w:vAlign w:val="center"/>
          </w:tcPr>
          <w:p w14:paraId="652C036A">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544" w:type="dxa"/>
            <w:tcBorders>
              <w:left w:val="single" w:color="auto" w:sz="4" w:space="0"/>
            </w:tcBorders>
            <w:vAlign w:val="center"/>
          </w:tcPr>
          <w:p w14:paraId="5E207B4C">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r>
      <w:tr w14:paraId="4FF4AC2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67" w:hRule="atLeast"/>
          <w:jc w:val="center"/>
        </w:trPr>
        <w:tc>
          <w:tcPr>
            <w:tcW w:w="783" w:type="dxa"/>
            <w:tcBorders>
              <w:top w:val="single" w:color="auto" w:sz="4" w:space="0"/>
              <w:bottom w:val="single" w:color="auto" w:sz="4" w:space="0"/>
            </w:tcBorders>
            <w:vAlign w:val="center"/>
          </w:tcPr>
          <w:p w14:paraId="5C97107D">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684" w:type="dxa"/>
            <w:vAlign w:val="center"/>
          </w:tcPr>
          <w:p w14:paraId="03E516FA">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642" w:type="dxa"/>
            <w:vAlign w:val="center"/>
          </w:tcPr>
          <w:p w14:paraId="57163689">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269" w:type="dxa"/>
            <w:vAlign w:val="center"/>
          </w:tcPr>
          <w:p w14:paraId="37C7191C">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638" w:type="dxa"/>
            <w:vAlign w:val="center"/>
          </w:tcPr>
          <w:p w14:paraId="42CB4C2B">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544" w:type="dxa"/>
            <w:tcBorders>
              <w:left w:val="single" w:color="auto" w:sz="4" w:space="0"/>
            </w:tcBorders>
            <w:vAlign w:val="center"/>
          </w:tcPr>
          <w:p w14:paraId="630FC8AE">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r>
      <w:tr w14:paraId="0864454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67" w:hRule="atLeast"/>
          <w:jc w:val="center"/>
        </w:trPr>
        <w:tc>
          <w:tcPr>
            <w:tcW w:w="783" w:type="dxa"/>
            <w:tcBorders>
              <w:top w:val="single" w:color="auto" w:sz="4" w:space="0"/>
              <w:bottom w:val="single" w:color="auto" w:sz="4" w:space="0"/>
            </w:tcBorders>
            <w:vAlign w:val="center"/>
          </w:tcPr>
          <w:p w14:paraId="49DD3B7A">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684" w:type="dxa"/>
            <w:vAlign w:val="center"/>
          </w:tcPr>
          <w:p w14:paraId="13CB1E6E">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642" w:type="dxa"/>
            <w:vAlign w:val="center"/>
          </w:tcPr>
          <w:p w14:paraId="1AF94548">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269" w:type="dxa"/>
            <w:vAlign w:val="center"/>
          </w:tcPr>
          <w:p w14:paraId="011DDBAA">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638" w:type="dxa"/>
            <w:vAlign w:val="center"/>
          </w:tcPr>
          <w:p w14:paraId="6853EBD3">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544" w:type="dxa"/>
            <w:tcBorders>
              <w:left w:val="single" w:color="auto" w:sz="4" w:space="0"/>
            </w:tcBorders>
            <w:vAlign w:val="center"/>
          </w:tcPr>
          <w:p w14:paraId="709CC352">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r>
      <w:tr w14:paraId="29B033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67" w:hRule="atLeast"/>
          <w:jc w:val="center"/>
        </w:trPr>
        <w:tc>
          <w:tcPr>
            <w:tcW w:w="783" w:type="dxa"/>
            <w:tcBorders>
              <w:top w:val="single" w:color="auto" w:sz="4" w:space="0"/>
            </w:tcBorders>
            <w:vAlign w:val="center"/>
          </w:tcPr>
          <w:p w14:paraId="0C89FA28">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c>
          <w:tcPr>
            <w:tcW w:w="1684" w:type="dxa"/>
            <w:vAlign w:val="center"/>
          </w:tcPr>
          <w:p w14:paraId="112FAAA9">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642" w:type="dxa"/>
            <w:vAlign w:val="center"/>
          </w:tcPr>
          <w:p w14:paraId="1FB89860">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269" w:type="dxa"/>
            <w:vAlign w:val="center"/>
          </w:tcPr>
          <w:p w14:paraId="621519AB">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638" w:type="dxa"/>
            <w:vAlign w:val="center"/>
          </w:tcPr>
          <w:p w14:paraId="3E207D53">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c>
          <w:tcPr>
            <w:tcW w:w="1544" w:type="dxa"/>
            <w:tcBorders>
              <w:left w:val="single" w:color="auto" w:sz="4" w:space="0"/>
            </w:tcBorders>
            <w:vAlign w:val="center"/>
          </w:tcPr>
          <w:p w14:paraId="727A4194">
            <w:pPr>
              <w:keepNext w:val="0"/>
              <w:keepLines w:val="0"/>
              <w:suppressLineNumbers w:val="0"/>
              <w:tabs>
                <w:tab w:val="left" w:pos="5527"/>
              </w:tabs>
              <w:spacing w:before="0" w:beforeAutospacing="0" w:after="0" w:afterAutospacing="0"/>
              <w:ind w:left="0" w:right="0"/>
              <w:jc w:val="center"/>
              <w:outlineLvl w:val="9"/>
              <w:rPr>
                <w:rFonts w:hint="eastAsia" w:ascii="宋体" w:hAnsi="宋体" w:eastAsia="宋体" w:cs="宋体"/>
                <w:bCs/>
                <w:color w:val="auto"/>
                <w:sz w:val="24"/>
                <w:szCs w:val="24"/>
                <w:highlight w:val="none"/>
              </w:rPr>
            </w:pPr>
          </w:p>
        </w:tc>
      </w:tr>
    </w:tbl>
    <w:p w14:paraId="4C9CD507">
      <w:pPr>
        <w:tabs>
          <w:tab w:val="left" w:pos="5527"/>
        </w:tabs>
        <w:bidi w:val="0"/>
        <w:spacing w:line="360" w:lineRule="auto"/>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注：附业绩证明资料（如中标</w:t>
      </w:r>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成交</w:t>
      </w:r>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rPr>
        <w:t>通知书</w:t>
      </w:r>
      <w:r>
        <w:rPr>
          <w:rFonts w:hint="eastAsia" w:ascii="宋体" w:hAnsi="宋体" w:cs="宋体"/>
          <w:b/>
          <w:bCs/>
          <w:color w:val="auto"/>
          <w:sz w:val="28"/>
          <w:szCs w:val="28"/>
          <w:highlight w:val="none"/>
          <w:lang w:val="en-US" w:eastAsia="zh-CN"/>
        </w:rPr>
        <w:t>或</w:t>
      </w:r>
      <w:r>
        <w:rPr>
          <w:rFonts w:hint="eastAsia" w:ascii="宋体" w:hAnsi="宋体" w:eastAsia="宋体" w:cs="宋体"/>
          <w:b/>
          <w:bCs/>
          <w:color w:val="auto"/>
          <w:sz w:val="28"/>
          <w:szCs w:val="28"/>
          <w:highlight w:val="none"/>
        </w:rPr>
        <w:t>合同</w:t>
      </w:r>
      <w:r>
        <w:rPr>
          <w:rFonts w:hint="eastAsia" w:ascii="宋体" w:hAnsi="宋体" w:cs="宋体"/>
          <w:b/>
          <w:bCs/>
          <w:color w:val="auto"/>
          <w:sz w:val="28"/>
          <w:szCs w:val="28"/>
          <w:highlight w:val="none"/>
          <w:lang w:eastAsia="zh-CN"/>
        </w:rPr>
        <w:t>扫描件</w:t>
      </w:r>
      <w:r>
        <w:rPr>
          <w:rFonts w:hint="eastAsia" w:ascii="宋体" w:hAnsi="宋体" w:eastAsia="宋体" w:cs="宋体"/>
          <w:b/>
          <w:bCs/>
          <w:color w:val="auto"/>
          <w:sz w:val="28"/>
          <w:szCs w:val="28"/>
          <w:highlight w:val="none"/>
        </w:rPr>
        <w:t>）</w:t>
      </w:r>
      <w:r>
        <w:rPr>
          <w:rFonts w:hint="eastAsia" w:ascii="宋体" w:hAnsi="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要点包括签约时间、项目名称、金额和双方盖章</w:t>
      </w:r>
      <w:r>
        <w:rPr>
          <w:rFonts w:hint="eastAsia" w:ascii="宋体" w:hAnsi="宋体" w:cs="宋体"/>
          <w:b/>
          <w:bCs/>
          <w:color w:val="auto"/>
          <w:sz w:val="28"/>
          <w:szCs w:val="28"/>
          <w:highlight w:val="none"/>
          <w:lang w:val="en-US" w:eastAsia="zh-CN"/>
        </w:rPr>
        <w:t>。</w:t>
      </w:r>
    </w:p>
    <w:p w14:paraId="459DB447">
      <w:pPr>
        <w:tabs>
          <w:tab w:val="left" w:pos="5527"/>
        </w:tabs>
        <w:spacing w:line="500" w:lineRule="exact"/>
        <w:outlineLvl w:val="9"/>
        <w:rPr>
          <w:rFonts w:hint="eastAsia" w:ascii="宋体" w:hAnsi="宋体" w:eastAsia="宋体" w:cs="宋体"/>
          <w:b/>
          <w:bCs/>
          <w:color w:val="auto"/>
          <w:sz w:val="28"/>
          <w:szCs w:val="28"/>
          <w:highlight w:val="none"/>
        </w:rPr>
      </w:pPr>
    </w:p>
    <w:p w14:paraId="76637DB9">
      <w:pPr>
        <w:tabs>
          <w:tab w:val="left" w:pos="5527"/>
        </w:tabs>
        <w:bidi w:val="0"/>
        <w:spacing w:line="600" w:lineRule="auto"/>
        <w:ind w:leftChars="1600"/>
        <w:outlineLvl w:val="9"/>
        <w:rPr>
          <w:rFonts w:hint="eastAsia" w:ascii="宋体" w:hAnsi="宋体" w:eastAsia="宋体" w:cs="宋体"/>
          <w:color w:val="auto"/>
          <w:sz w:val="28"/>
          <w:szCs w:val="28"/>
          <w:highlight w:val="none"/>
        </w:rPr>
      </w:pPr>
      <w:bookmarkStart w:id="354" w:name="_Toc597"/>
      <w:bookmarkStart w:id="355" w:name="_Toc27572"/>
      <w:r>
        <w:rPr>
          <w:rFonts w:hint="eastAsia" w:ascii="宋体" w:hAnsi="宋体" w:eastAsia="宋体" w:cs="宋体"/>
          <w:color w:val="auto"/>
          <w:sz w:val="28"/>
          <w:szCs w:val="28"/>
          <w:highlight w:val="none"/>
        </w:rPr>
        <w:t>供应商名称（盖章）：</w:t>
      </w:r>
    </w:p>
    <w:p w14:paraId="3D04BA1D">
      <w:pPr>
        <w:tabs>
          <w:tab w:val="left" w:pos="5527"/>
        </w:tabs>
        <w:bidi w:val="0"/>
        <w:spacing w:line="600" w:lineRule="auto"/>
        <w:ind w:leftChars="16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法定代表人或委托代理人（签字或盖章）：</w:t>
      </w:r>
    </w:p>
    <w:p w14:paraId="6FDA8055">
      <w:pPr>
        <w:tabs>
          <w:tab w:val="left" w:pos="5527"/>
        </w:tabs>
        <w:bidi w:val="0"/>
        <w:spacing w:line="600" w:lineRule="auto"/>
        <w:ind w:leftChars="16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日期：     年   月   日</w:t>
      </w:r>
    </w:p>
    <w:p w14:paraId="4E7A2060">
      <w:pPr>
        <w:tabs>
          <w:tab w:val="left" w:pos="5527"/>
        </w:tabs>
        <w:spacing w:line="500" w:lineRule="exact"/>
        <w:jc w:val="right"/>
        <w:outlineLvl w:val="9"/>
        <w:rPr>
          <w:rFonts w:hint="eastAsia" w:ascii="宋体" w:hAnsi="宋体" w:eastAsia="宋体" w:cs="宋体"/>
          <w:color w:val="auto"/>
          <w:sz w:val="28"/>
          <w:szCs w:val="28"/>
          <w:highlight w:val="none"/>
        </w:rPr>
      </w:pPr>
    </w:p>
    <w:p w14:paraId="0D92A839">
      <w:pPr>
        <w:tabs>
          <w:tab w:val="left" w:pos="5527"/>
        </w:tabs>
        <w:spacing w:line="500" w:lineRule="exact"/>
        <w:jc w:val="both"/>
        <w:outlineLvl w:val="9"/>
        <w:rPr>
          <w:rStyle w:val="38"/>
          <w:rFonts w:hint="eastAsia" w:ascii="宋体" w:hAnsi="宋体" w:eastAsia="宋体" w:cs="宋体"/>
          <w:b/>
          <w:bCs/>
          <w:color w:val="auto"/>
          <w:sz w:val="32"/>
          <w:szCs w:val="28"/>
          <w:highlight w:val="none"/>
          <w:lang w:val="en-US" w:eastAsia="zh-CN"/>
        </w:rPr>
        <w:sectPr>
          <w:headerReference r:id="rId20" w:type="first"/>
          <w:footerReference r:id="rId22" w:type="first"/>
          <w:headerReference r:id="rId19" w:type="default"/>
          <w:footerReference r:id="rId21" w:type="default"/>
          <w:pgSz w:w="11906" w:h="16838"/>
          <w:pgMar w:top="1417" w:right="1701" w:bottom="1417" w:left="1701" w:header="851" w:footer="850" w:gutter="0"/>
          <w:pgBorders>
            <w:top w:val="none" w:sz="0" w:space="0"/>
            <w:left w:val="none" w:sz="0" w:space="0"/>
            <w:bottom w:val="none" w:sz="0" w:space="0"/>
            <w:right w:val="none" w:sz="0" w:space="0"/>
          </w:pgBorders>
          <w:pgNumType w:fmt="decimal"/>
          <w:cols w:space="0" w:num="1"/>
          <w:titlePg/>
          <w:rtlGutter w:val="0"/>
          <w:docGrid w:type="linesAndChars" w:linePitch="312" w:charSpace="530"/>
        </w:sectPr>
      </w:pPr>
      <w:bookmarkStart w:id="356" w:name="_Toc13151"/>
      <w:bookmarkStart w:id="357" w:name="_Toc15132"/>
      <w:bookmarkStart w:id="358" w:name="_Toc4298"/>
    </w:p>
    <w:p w14:paraId="75527AE3">
      <w:pPr>
        <w:tabs>
          <w:tab w:val="left" w:pos="5527"/>
        </w:tabs>
        <w:spacing w:line="500" w:lineRule="exact"/>
        <w:jc w:val="both"/>
        <w:outlineLvl w:val="9"/>
        <w:rPr>
          <w:rStyle w:val="38"/>
          <w:rFonts w:hint="eastAsia" w:ascii="宋体" w:hAnsi="宋体" w:eastAsia="宋体" w:cs="宋体"/>
          <w:color w:val="auto"/>
          <w:sz w:val="32"/>
          <w:szCs w:val="28"/>
          <w:highlight w:val="none"/>
          <w:lang w:val="en-US" w:eastAsia="zh-CN"/>
        </w:rPr>
      </w:pPr>
      <w:bookmarkStart w:id="359" w:name="_Toc8347"/>
      <w:bookmarkStart w:id="360" w:name="_Toc6835"/>
      <w:bookmarkStart w:id="361" w:name="_Toc25435"/>
      <w:bookmarkStart w:id="362" w:name="_Toc30052"/>
      <w:bookmarkStart w:id="363" w:name="_Toc15108"/>
      <w:bookmarkStart w:id="364" w:name="_Toc16822"/>
      <w:r>
        <w:rPr>
          <w:rStyle w:val="38"/>
          <w:rFonts w:hint="eastAsia" w:ascii="宋体" w:hAnsi="宋体" w:eastAsia="宋体" w:cs="宋体"/>
          <w:b/>
          <w:bCs/>
          <w:color w:val="auto"/>
          <w:sz w:val="32"/>
          <w:szCs w:val="28"/>
          <w:highlight w:val="none"/>
          <w:lang w:val="en-US" w:eastAsia="zh-CN"/>
        </w:rPr>
        <w:t>附件1</w:t>
      </w:r>
      <w:r>
        <w:rPr>
          <w:rStyle w:val="38"/>
          <w:rFonts w:hint="eastAsia" w:ascii="宋体" w:hAnsi="宋体" w:cs="宋体"/>
          <w:b/>
          <w:bCs/>
          <w:color w:val="auto"/>
          <w:sz w:val="32"/>
          <w:szCs w:val="28"/>
          <w:highlight w:val="none"/>
          <w:lang w:val="en-US" w:eastAsia="zh-CN"/>
        </w:rPr>
        <w:t>1</w:t>
      </w:r>
      <w:r>
        <w:rPr>
          <w:rStyle w:val="38"/>
          <w:rFonts w:hint="eastAsia" w:ascii="宋体" w:hAnsi="宋体" w:eastAsia="宋体" w:cs="宋体"/>
          <w:b/>
          <w:color w:val="auto"/>
          <w:kern w:val="2"/>
          <w:sz w:val="32"/>
          <w:szCs w:val="28"/>
          <w:highlight w:val="none"/>
          <w:lang w:val="en-US" w:eastAsia="zh-CN" w:bidi="ar-SA"/>
        </w:rPr>
        <w:t>：</w:t>
      </w:r>
    </w:p>
    <w:bookmarkEnd w:id="356"/>
    <w:bookmarkEnd w:id="359"/>
    <w:bookmarkEnd w:id="360"/>
    <w:bookmarkEnd w:id="361"/>
    <w:bookmarkEnd w:id="362"/>
    <w:bookmarkEnd w:id="363"/>
    <w:bookmarkEnd w:id="364"/>
    <w:p w14:paraId="49B310DC">
      <w:pPr>
        <w:keepNext w:val="0"/>
        <w:tabs>
          <w:tab w:val="left" w:pos="5527"/>
        </w:tabs>
        <w:jc w:val="center"/>
        <w:outlineLvl w:val="1"/>
        <w:rPr>
          <w:rFonts w:hint="eastAsia" w:ascii="宋体" w:hAnsi="宋体" w:eastAsia="宋体" w:cs="宋体"/>
          <w:b/>
          <w:bCs/>
          <w:color w:val="auto"/>
          <w:kern w:val="2"/>
          <w:sz w:val="32"/>
          <w:szCs w:val="21"/>
          <w:highlight w:val="none"/>
          <w:lang w:val="en-US" w:eastAsia="zh-CN"/>
        </w:rPr>
      </w:pPr>
      <w:bookmarkStart w:id="365" w:name="_Toc23630"/>
      <w:bookmarkStart w:id="366" w:name="_Toc20699"/>
      <w:bookmarkStart w:id="367" w:name="_Toc13662"/>
      <w:bookmarkStart w:id="368" w:name="_Toc29946"/>
      <w:bookmarkStart w:id="369" w:name="_Toc4526"/>
      <w:r>
        <w:rPr>
          <w:rFonts w:hint="eastAsia" w:ascii="宋体" w:hAnsi="宋体" w:eastAsia="宋体" w:cs="宋体"/>
          <w:b/>
          <w:bCs/>
          <w:color w:val="auto"/>
          <w:kern w:val="2"/>
          <w:sz w:val="32"/>
          <w:szCs w:val="21"/>
          <w:highlight w:val="none"/>
          <w:lang w:val="en-US" w:eastAsia="zh-CN"/>
        </w:rPr>
        <w:t>拟派项目负责人简历表</w:t>
      </w:r>
      <w:bookmarkEnd w:id="357"/>
      <w:bookmarkEnd w:id="358"/>
      <w:bookmarkEnd w:id="365"/>
      <w:bookmarkEnd w:id="366"/>
      <w:bookmarkEnd w:id="367"/>
      <w:bookmarkEnd w:id="368"/>
    </w:p>
    <w:bookmarkEnd w:id="369"/>
    <w:tbl>
      <w:tblPr>
        <w:tblStyle w:val="27"/>
        <w:tblW w:w="8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07"/>
        <w:gridCol w:w="867"/>
        <w:gridCol w:w="960"/>
        <w:gridCol w:w="656"/>
        <w:gridCol w:w="1282"/>
        <w:gridCol w:w="2631"/>
        <w:gridCol w:w="1188"/>
      </w:tblGrid>
      <w:tr w14:paraId="705A8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5" w:type="dxa"/>
            <w:tcBorders>
              <w:top w:val="single" w:color="auto" w:sz="4" w:space="0"/>
              <w:left w:val="single" w:color="auto" w:sz="4" w:space="0"/>
              <w:bottom w:val="single" w:color="auto" w:sz="4" w:space="0"/>
              <w:right w:val="single" w:color="auto" w:sz="4" w:space="0"/>
            </w:tcBorders>
            <w:vAlign w:val="center"/>
          </w:tcPr>
          <w:p w14:paraId="15CF3B62">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姓名</w:t>
            </w:r>
          </w:p>
        </w:tc>
        <w:tc>
          <w:tcPr>
            <w:tcW w:w="1174" w:type="dxa"/>
            <w:gridSpan w:val="2"/>
            <w:tcBorders>
              <w:top w:val="single" w:color="auto" w:sz="4" w:space="0"/>
              <w:left w:val="single" w:color="auto" w:sz="4" w:space="0"/>
              <w:bottom w:val="single" w:color="auto" w:sz="4" w:space="0"/>
              <w:right w:val="single" w:color="auto" w:sz="4" w:space="0"/>
            </w:tcBorders>
            <w:vAlign w:val="center"/>
          </w:tcPr>
          <w:p w14:paraId="68E6D2F5">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616" w:type="dxa"/>
            <w:gridSpan w:val="2"/>
            <w:tcBorders>
              <w:top w:val="single" w:color="auto" w:sz="4" w:space="0"/>
              <w:left w:val="single" w:color="auto" w:sz="4" w:space="0"/>
              <w:bottom w:val="single" w:color="auto" w:sz="4" w:space="0"/>
              <w:right w:val="single" w:color="auto" w:sz="4" w:space="0"/>
            </w:tcBorders>
            <w:vAlign w:val="center"/>
          </w:tcPr>
          <w:p w14:paraId="42663FD7">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性别</w:t>
            </w:r>
          </w:p>
        </w:tc>
        <w:tc>
          <w:tcPr>
            <w:tcW w:w="1282" w:type="dxa"/>
            <w:tcBorders>
              <w:top w:val="single" w:color="auto" w:sz="4" w:space="0"/>
              <w:left w:val="single" w:color="auto" w:sz="4" w:space="0"/>
              <w:bottom w:val="single" w:color="auto" w:sz="4" w:space="0"/>
              <w:right w:val="single" w:color="auto" w:sz="4" w:space="0"/>
            </w:tcBorders>
            <w:vAlign w:val="center"/>
          </w:tcPr>
          <w:p w14:paraId="4B0E6563">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2631" w:type="dxa"/>
            <w:tcBorders>
              <w:top w:val="single" w:color="auto" w:sz="4" w:space="0"/>
              <w:left w:val="single" w:color="auto" w:sz="4" w:space="0"/>
              <w:bottom w:val="single" w:color="auto" w:sz="4" w:space="0"/>
              <w:right w:val="single" w:color="auto" w:sz="4" w:space="0"/>
            </w:tcBorders>
            <w:vAlign w:val="center"/>
          </w:tcPr>
          <w:p w14:paraId="63A794E3">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年龄</w:t>
            </w:r>
          </w:p>
        </w:tc>
        <w:tc>
          <w:tcPr>
            <w:tcW w:w="1188" w:type="dxa"/>
            <w:tcBorders>
              <w:top w:val="single" w:color="auto" w:sz="4" w:space="0"/>
              <w:left w:val="single" w:color="auto" w:sz="4" w:space="0"/>
              <w:bottom w:val="single" w:color="auto" w:sz="4" w:space="0"/>
              <w:right w:val="single" w:color="auto" w:sz="4" w:space="0"/>
            </w:tcBorders>
            <w:vAlign w:val="center"/>
          </w:tcPr>
          <w:p w14:paraId="47F0C0A7">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r>
      <w:tr w14:paraId="24610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5" w:type="dxa"/>
            <w:tcBorders>
              <w:top w:val="single" w:color="auto" w:sz="4" w:space="0"/>
              <w:left w:val="single" w:color="auto" w:sz="4" w:space="0"/>
              <w:bottom w:val="single" w:color="auto" w:sz="4" w:space="0"/>
              <w:right w:val="single" w:color="auto" w:sz="4" w:space="0"/>
            </w:tcBorders>
            <w:vAlign w:val="center"/>
          </w:tcPr>
          <w:p w14:paraId="4AC1A7EB">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职务</w:t>
            </w:r>
          </w:p>
        </w:tc>
        <w:tc>
          <w:tcPr>
            <w:tcW w:w="1174" w:type="dxa"/>
            <w:gridSpan w:val="2"/>
            <w:tcBorders>
              <w:top w:val="single" w:color="auto" w:sz="4" w:space="0"/>
              <w:left w:val="single" w:color="auto" w:sz="4" w:space="0"/>
              <w:bottom w:val="single" w:color="auto" w:sz="4" w:space="0"/>
              <w:right w:val="single" w:color="auto" w:sz="4" w:space="0"/>
            </w:tcBorders>
            <w:vAlign w:val="center"/>
          </w:tcPr>
          <w:p w14:paraId="33A78990">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616" w:type="dxa"/>
            <w:gridSpan w:val="2"/>
            <w:tcBorders>
              <w:top w:val="single" w:color="auto" w:sz="4" w:space="0"/>
              <w:left w:val="single" w:color="auto" w:sz="4" w:space="0"/>
              <w:bottom w:val="single" w:color="auto" w:sz="4" w:space="0"/>
              <w:right w:val="single" w:color="auto" w:sz="4" w:space="0"/>
            </w:tcBorders>
            <w:vAlign w:val="center"/>
          </w:tcPr>
          <w:p w14:paraId="45D1F4F3">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职称</w:t>
            </w:r>
          </w:p>
        </w:tc>
        <w:tc>
          <w:tcPr>
            <w:tcW w:w="1282" w:type="dxa"/>
            <w:tcBorders>
              <w:top w:val="single" w:color="auto" w:sz="4" w:space="0"/>
              <w:left w:val="single" w:color="auto" w:sz="4" w:space="0"/>
              <w:bottom w:val="single" w:color="auto" w:sz="4" w:space="0"/>
              <w:right w:val="single" w:color="auto" w:sz="4" w:space="0"/>
            </w:tcBorders>
            <w:vAlign w:val="center"/>
          </w:tcPr>
          <w:p w14:paraId="03660B4E">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2631" w:type="dxa"/>
            <w:tcBorders>
              <w:top w:val="single" w:color="auto" w:sz="4" w:space="0"/>
              <w:left w:val="single" w:color="auto" w:sz="4" w:space="0"/>
              <w:bottom w:val="single" w:color="auto" w:sz="4" w:space="0"/>
              <w:right w:val="single" w:color="auto" w:sz="4" w:space="0"/>
            </w:tcBorders>
            <w:vAlign w:val="center"/>
          </w:tcPr>
          <w:p w14:paraId="3ADB570C">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拟在本项目担任职务</w:t>
            </w:r>
          </w:p>
        </w:tc>
        <w:tc>
          <w:tcPr>
            <w:tcW w:w="1188" w:type="dxa"/>
            <w:tcBorders>
              <w:top w:val="single" w:color="auto" w:sz="4" w:space="0"/>
              <w:left w:val="single" w:color="auto" w:sz="4" w:space="0"/>
              <w:bottom w:val="single" w:color="auto" w:sz="4" w:space="0"/>
              <w:right w:val="single" w:color="auto" w:sz="4" w:space="0"/>
            </w:tcBorders>
            <w:vAlign w:val="center"/>
          </w:tcPr>
          <w:p w14:paraId="4790914F">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r>
      <w:tr w14:paraId="18370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159" w:type="dxa"/>
            <w:gridSpan w:val="3"/>
            <w:tcBorders>
              <w:top w:val="single" w:color="auto" w:sz="4" w:space="0"/>
              <w:left w:val="single" w:color="auto" w:sz="4" w:space="0"/>
              <w:bottom w:val="single" w:color="auto" w:sz="4" w:space="0"/>
              <w:right w:val="single" w:color="auto" w:sz="4" w:space="0"/>
            </w:tcBorders>
            <w:vAlign w:val="center"/>
          </w:tcPr>
          <w:p w14:paraId="6CE5F676">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参加工作时间</w:t>
            </w:r>
          </w:p>
        </w:tc>
        <w:tc>
          <w:tcPr>
            <w:tcW w:w="1616" w:type="dxa"/>
            <w:gridSpan w:val="2"/>
            <w:tcBorders>
              <w:top w:val="single" w:color="auto" w:sz="4" w:space="0"/>
              <w:left w:val="single" w:color="auto" w:sz="4" w:space="0"/>
              <w:bottom w:val="single" w:color="auto" w:sz="4" w:space="0"/>
              <w:right w:val="single" w:color="auto" w:sz="4" w:space="0"/>
            </w:tcBorders>
            <w:vAlign w:val="center"/>
          </w:tcPr>
          <w:p w14:paraId="1671E902">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3913" w:type="dxa"/>
            <w:gridSpan w:val="2"/>
            <w:tcBorders>
              <w:top w:val="single" w:color="auto" w:sz="4" w:space="0"/>
              <w:left w:val="single" w:color="auto" w:sz="4" w:space="0"/>
              <w:bottom w:val="single" w:color="auto" w:sz="4" w:space="0"/>
              <w:right w:val="single" w:color="auto" w:sz="4" w:space="0"/>
            </w:tcBorders>
            <w:vAlign w:val="center"/>
          </w:tcPr>
          <w:p w14:paraId="7320EF24">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从事本专业工作时间</w:t>
            </w:r>
          </w:p>
        </w:tc>
        <w:tc>
          <w:tcPr>
            <w:tcW w:w="1188" w:type="dxa"/>
            <w:tcBorders>
              <w:top w:val="single" w:color="auto" w:sz="4" w:space="0"/>
              <w:left w:val="single" w:color="auto" w:sz="4" w:space="0"/>
              <w:bottom w:val="single" w:color="auto" w:sz="4" w:space="0"/>
              <w:right w:val="single" w:color="auto" w:sz="4" w:space="0"/>
            </w:tcBorders>
            <w:vAlign w:val="center"/>
          </w:tcPr>
          <w:p w14:paraId="2E7D9425">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r>
      <w:tr w14:paraId="0E528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876" w:type="dxa"/>
            <w:gridSpan w:val="8"/>
            <w:tcBorders>
              <w:top w:val="single" w:color="auto" w:sz="4" w:space="0"/>
              <w:left w:val="single" w:color="auto" w:sz="4" w:space="0"/>
              <w:bottom w:val="single" w:color="auto" w:sz="4" w:space="0"/>
              <w:right w:val="single" w:color="auto" w:sz="4" w:space="0"/>
            </w:tcBorders>
            <w:vAlign w:val="center"/>
          </w:tcPr>
          <w:p w14:paraId="3245A775">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经    历</w:t>
            </w:r>
          </w:p>
        </w:tc>
      </w:tr>
      <w:tr w14:paraId="68C32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92" w:type="dxa"/>
            <w:gridSpan w:val="2"/>
            <w:tcBorders>
              <w:top w:val="single" w:color="auto" w:sz="4" w:space="0"/>
              <w:left w:val="single" w:color="auto" w:sz="4" w:space="0"/>
              <w:bottom w:val="single" w:color="auto" w:sz="4" w:space="0"/>
              <w:right w:val="single" w:color="auto" w:sz="4" w:space="0"/>
            </w:tcBorders>
            <w:vAlign w:val="center"/>
          </w:tcPr>
          <w:p w14:paraId="20B7DD5E">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年份</w:t>
            </w:r>
          </w:p>
        </w:tc>
        <w:tc>
          <w:tcPr>
            <w:tcW w:w="1827" w:type="dxa"/>
            <w:gridSpan w:val="2"/>
            <w:tcBorders>
              <w:top w:val="single" w:color="auto" w:sz="4" w:space="0"/>
              <w:left w:val="single" w:color="auto" w:sz="4" w:space="0"/>
              <w:bottom w:val="single" w:color="auto" w:sz="4" w:space="0"/>
              <w:right w:val="single" w:color="auto" w:sz="4" w:space="0"/>
            </w:tcBorders>
            <w:vAlign w:val="center"/>
          </w:tcPr>
          <w:p w14:paraId="4DF7BFC6">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参加过的</w:t>
            </w:r>
          </w:p>
          <w:p w14:paraId="0F9F80DD">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项目名称</w:t>
            </w:r>
          </w:p>
        </w:tc>
        <w:tc>
          <w:tcPr>
            <w:tcW w:w="1938" w:type="dxa"/>
            <w:gridSpan w:val="2"/>
            <w:tcBorders>
              <w:top w:val="single" w:color="auto" w:sz="4" w:space="0"/>
              <w:left w:val="single" w:color="auto" w:sz="4" w:space="0"/>
              <w:bottom w:val="single" w:color="auto" w:sz="4" w:space="0"/>
              <w:right w:val="single" w:color="auto" w:sz="4" w:space="0"/>
            </w:tcBorders>
            <w:vAlign w:val="center"/>
          </w:tcPr>
          <w:p w14:paraId="76F9BAD1">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采购内容</w:t>
            </w:r>
          </w:p>
        </w:tc>
        <w:tc>
          <w:tcPr>
            <w:tcW w:w="2631" w:type="dxa"/>
            <w:tcBorders>
              <w:top w:val="single" w:color="auto" w:sz="4" w:space="0"/>
              <w:left w:val="single" w:color="auto" w:sz="4" w:space="0"/>
              <w:bottom w:val="single" w:color="auto" w:sz="4" w:space="0"/>
              <w:right w:val="single" w:color="auto" w:sz="4" w:space="0"/>
            </w:tcBorders>
            <w:vAlign w:val="center"/>
          </w:tcPr>
          <w:p w14:paraId="452EDD3E">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担任职务</w:t>
            </w:r>
          </w:p>
        </w:tc>
        <w:tc>
          <w:tcPr>
            <w:tcW w:w="1188" w:type="dxa"/>
            <w:tcBorders>
              <w:top w:val="single" w:color="auto" w:sz="4" w:space="0"/>
              <w:left w:val="single" w:color="auto" w:sz="4" w:space="0"/>
              <w:bottom w:val="single" w:color="auto" w:sz="4" w:space="0"/>
              <w:right w:val="single" w:color="auto" w:sz="4" w:space="0"/>
            </w:tcBorders>
            <w:vAlign w:val="center"/>
          </w:tcPr>
          <w:p w14:paraId="5F19EDA3">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备注</w:t>
            </w:r>
          </w:p>
        </w:tc>
      </w:tr>
      <w:tr w14:paraId="00B6C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92" w:type="dxa"/>
            <w:gridSpan w:val="2"/>
            <w:tcBorders>
              <w:top w:val="single" w:color="auto" w:sz="4" w:space="0"/>
              <w:left w:val="single" w:color="auto" w:sz="4" w:space="0"/>
              <w:bottom w:val="single" w:color="auto" w:sz="4" w:space="0"/>
              <w:right w:val="single" w:color="auto" w:sz="4" w:space="0"/>
            </w:tcBorders>
            <w:vAlign w:val="center"/>
          </w:tcPr>
          <w:p w14:paraId="13439F58">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827" w:type="dxa"/>
            <w:gridSpan w:val="2"/>
            <w:tcBorders>
              <w:top w:val="single" w:color="auto" w:sz="4" w:space="0"/>
              <w:left w:val="single" w:color="auto" w:sz="4" w:space="0"/>
              <w:bottom w:val="single" w:color="auto" w:sz="4" w:space="0"/>
              <w:right w:val="single" w:color="auto" w:sz="4" w:space="0"/>
            </w:tcBorders>
            <w:vAlign w:val="center"/>
          </w:tcPr>
          <w:p w14:paraId="126F9B7C">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938" w:type="dxa"/>
            <w:gridSpan w:val="2"/>
            <w:tcBorders>
              <w:top w:val="single" w:color="auto" w:sz="4" w:space="0"/>
              <w:left w:val="single" w:color="auto" w:sz="4" w:space="0"/>
              <w:bottom w:val="single" w:color="auto" w:sz="4" w:space="0"/>
              <w:right w:val="single" w:color="auto" w:sz="4" w:space="0"/>
            </w:tcBorders>
            <w:vAlign w:val="center"/>
          </w:tcPr>
          <w:p w14:paraId="511EC610">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2631" w:type="dxa"/>
            <w:tcBorders>
              <w:top w:val="single" w:color="auto" w:sz="4" w:space="0"/>
              <w:left w:val="single" w:color="auto" w:sz="4" w:space="0"/>
              <w:bottom w:val="single" w:color="auto" w:sz="4" w:space="0"/>
              <w:right w:val="single" w:color="auto" w:sz="4" w:space="0"/>
            </w:tcBorders>
            <w:vAlign w:val="center"/>
          </w:tcPr>
          <w:p w14:paraId="17D52F51">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14:paraId="0A3A0EC2">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r>
      <w:tr w14:paraId="6840A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92" w:type="dxa"/>
            <w:gridSpan w:val="2"/>
            <w:tcBorders>
              <w:top w:val="single" w:color="auto" w:sz="4" w:space="0"/>
              <w:left w:val="single" w:color="auto" w:sz="4" w:space="0"/>
              <w:bottom w:val="single" w:color="auto" w:sz="4" w:space="0"/>
              <w:right w:val="single" w:color="auto" w:sz="4" w:space="0"/>
            </w:tcBorders>
            <w:vAlign w:val="center"/>
          </w:tcPr>
          <w:p w14:paraId="2C9F5D85">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827" w:type="dxa"/>
            <w:gridSpan w:val="2"/>
            <w:tcBorders>
              <w:top w:val="single" w:color="auto" w:sz="4" w:space="0"/>
              <w:left w:val="single" w:color="auto" w:sz="4" w:space="0"/>
              <w:bottom w:val="single" w:color="auto" w:sz="4" w:space="0"/>
              <w:right w:val="single" w:color="auto" w:sz="4" w:space="0"/>
            </w:tcBorders>
            <w:vAlign w:val="center"/>
          </w:tcPr>
          <w:p w14:paraId="72487CED">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938" w:type="dxa"/>
            <w:gridSpan w:val="2"/>
            <w:tcBorders>
              <w:top w:val="single" w:color="auto" w:sz="4" w:space="0"/>
              <w:left w:val="single" w:color="auto" w:sz="4" w:space="0"/>
              <w:bottom w:val="single" w:color="auto" w:sz="4" w:space="0"/>
              <w:right w:val="single" w:color="auto" w:sz="4" w:space="0"/>
            </w:tcBorders>
            <w:vAlign w:val="center"/>
          </w:tcPr>
          <w:p w14:paraId="1A54322F">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2631" w:type="dxa"/>
            <w:tcBorders>
              <w:top w:val="single" w:color="auto" w:sz="4" w:space="0"/>
              <w:left w:val="single" w:color="auto" w:sz="4" w:space="0"/>
              <w:bottom w:val="single" w:color="auto" w:sz="4" w:space="0"/>
              <w:right w:val="single" w:color="auto" w:sz="4" w:space="0"/>
            </w:tcBorders>
            <w:vAlign w:val="center"/>
          </w:tcPr>
          <w:p w14:paraId="779C3F43">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14:paraId="7523848E">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r>
      <w:tr w14:paraId="25D3E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92" w:type="dxa"/>
            <w:gridSpan w:val="2"/>
            <w:tcBorders>
              <w:top w:val="single" w:color="auto" w:sz="4" w:space="0"/>
              <w:left w:val="single" w:color="auto" w:sz="4" w:space="0"/>
              <w:bottom w:val="single" w:color="auto" w:sz="4" w:space="0"/>
              <w:right w:val="single" w:color="auto" w:sz="4" w:space="0"/>
            </w:tcBorders>
            <w:vAlign w:val="center"/>
          </w:tcPr>
          <w:p w14:paraId="4395933E">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827" w:type="dxa"/>
            <w:gridSpan w:val="2"/>
            <w:tcBorders>
              <w:top w:val="single" w:color="auto" w:sz="4" w:space="0"/>
              <w:left w:val="single" w:color="auto" w:sz="4" w:space="0"/>
              <w:bottom w:val="single" w:color="auto" w:sz="4" w:space="0"/>
              <w:right w:val="single" w:color="auto" w:sz="4" w:space="0"/>
            </w:tcBorders>
            <w:vAlign w:val="center"/>
          </w:tcPr>
          <w:p w14:paraId="73D5846D">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938" w:type="dxa"/>
            <w:gridSpan w:val="2"/>
            <w:tcBorders>
              <w:top w:val="single" w:color="auto" w:sz="4" w:space="0"/>
              <w:left w:val="single" w:color="auto" w:sz="4" w:space="0"/>
              <w:bottom w:val="single" w:color="auto" w:sz="4" w:space="0"/>
              <w:right w:val="single" w:color="auto" w:sz="4" w:space="0"/>
            </w:tcBorders>
            <w:vAlign w:val="center"/>
          </w:tcPr>
          <w:p w14:paraId="5A2ED934">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2631" w:type="dxa"/>
            <w:tcBorders>
              <w:top w:val="single" w:color="auto" w:sz="4" w:space="0"/>
              <w:left w:val="single" w:color="auto" w:sz="4" w:space="0"/>
              <w:bottom w:val="single" w:color="auto" w:sz="4" w:space="0"/>
              <w:right w:val="single" w:color="auto" w:sz="4" w:space="0"/>
            </w:tcBorders>
            <w:vAlign w:val="center"/>
          </w:tcPr>
          <w:p w14:paraId="488B5C55">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14:paraId="480C8FBE">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r>
      <w:tr w14:paraId="32A50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92" w:type="dxa"/>
            <w:gridSpan w:val="2"/>
            <w:tcBorders>
              <w:top w:val="single" w:color="auto" w:sz="4" w:space="0"/>
              <w:left w:val="single" w:color="auto" w:sz="4" w:space="0"/>
              <w:bottom w:val="single" w:color="auto" w:sz="4" w:space="0"/>
              <w:right w:val="single" w:color="auto" w:sz="4" w:space="0"/>
            </w:tcBorders>
            <w:vAlign w:val="center"/>
          </w:tcPr>
          <w:p w14:paraId="6C118183">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827" w:type="dxa"/>
            <w:gridSpan w:val="2"/>
            <w:tcBorders>
              <w:top w:val="single" w:color="auto" w:sz="4" w:space="0"/>
              <w:left w:val="single" w:color="auto" w:sz="4" w:space="0"/>
              <w:bottom w:val="single" w:color="auto" w:sz="4" w:space="0"/>
              <w:right w:val="single" w:color="auto" w:sz="4" w:space="0"/>
            </w:tcBorders>
            <w:vAlign w:val="center"/>
          </w:tcPr>
          <w:p w14:paraId="61AD57BD">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938" w:type="dxa"/>
            <w:gridSpan w:val="2"/>
            <w:tcBorders>
              <w:top w:val="single" w:color="auto" w:sz="4" w:space="0"/>
              <w:left w:val="single" w:color="auto" w:sz="4" w:space="0"/>
              <w:bottom w:val="single" w:color="auto" w:sz="4" w:space="0"/>
              <w:right w:val="single" w:color="auto" w:sz="4" w:space="0"/>
            </w:tcBorders>
            <w:vAlign w:val="center"/>
          </w:tcPr>
          <w:p w14:paraId="18C722F3">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2631" w:type="dxa"/>
            <w:tcBorders>
              <w:top w:val="single" w:color="auto" w:sz="4" w:space="0"/>
              <w:left w:val="single" w:color="auto" w:sz="4" w:space="0"/>
              <w:bottom w:val="single" w:color="auto" w:sz="4" w:space="0"/>
              <w:right w:val="single" w:color="auto" w:sz="4" w:space="0"/>
            </w:tcBorders>
            <w:vAlign w:val="center"/>
          </w:tcPr>
          <w:p w14:paraId="38472CC0">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14:paraId="1069E9AB">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r>
      <w:tr w14:paraId="2E020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92" w:type="dxa"/>
            <w:gridSpan w:val="2"/>
            <w:tcBorders>
              <w:top w:val="single" w:color="auto" w:sz="4" w:space="0"/>
              <w:left w:val="single" w:color="auto" w:sz="4" w:space="0"/>
              <w:bottom w:val="single" w:color="auto" w:sz="4" w:space="0"/>
              <w:right w:val="single" w:color="auto" w:sz="4" w:space="0"/>
            </w:tcBorders>
            <w:vAlign w:val="center"/>
          </w:tcPr>
          <w:p w14:paraId="52EFA832">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827" w:type="dxa"/>
            <w:gridSpan w:val="2"/>
            <w:tcBorders>
              <w:top w:val="single" w:color="auto" w:sz="4" w:space="0"/>
              <w:left w:val="single" w:color="auto" w:sz="4" w:space="0"/>
              <w:bottom w:val="single" w:color="auto" w:sz="4" w:space="0"/>
              <w:right w:val="single" w:color="auto" w:sz="4" w:space="0"/>
            </w:tcBorders>
            <w:vAlign w:val="center"/>
          </w:tcPr>
          <w:p w14:paraId="05BF7CBF">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938" w:type="dxa"/>
            <w:gridSpan w:val="2"/>
            <w:tcBorders>
              <w:top w:val="single" w:color="auto" w:sz="4" w:space="0"/>
              <w:left w:val="single" w:color="auto" w:sz="4" w:space="0"/>
              <w:bottom w:val="single" w:color="auto" w:sz="4" w:space="0"/>
              <w:right w:val="single" w:color="auto" w:sz="4" w:space="0"/>
            </w:tcBorders>
            <w:vAlign w:val="center"/>
          </w:tcPr>
          <w:p w14:paraId="10026C42">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2631" w:type="dxa"/>
            <w:tcBorders>
              <w:top w:val="single" w:color="auto" w:sz="4" w:space="0"/>
              <w:left w:val="single" w:color="auto" w:sz="4" w:space="0"/>
              <w:bottom w:val="single" w:color="auto" w:sz="4" w:space="0"/>
              <w:right w:val="single" w:color="auto" w:sz="4" w:space="0"/>
            </w:tcBorders>
            <w:vAlign w:val="center"/>
          </w:tcPr>
          <w:p w14:paraId="0BCAF8B1">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14:paraId="42FEE3E2">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r>
      <w:tr w14:paraId="15F58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92" w:type="dxa"/>
            <w:gridSpan w:val="2"/>
            <w:tcBorders>
              <w:top w:val="single" w:color="auto" w:sz="4" w:space="0"/>
              <w:left w:val="single" w:color="auto" w:sz="4" w:space="0"/>
              <w:bottom w:val="single" w:color="auto" w:sz="4" w:space="0"/>
              <w:right w:val="single" w:color="auto" w:sz="4" w:space="0"/>
            </w:tcBorders>
            <w:vAlign w:val="center"/>
          </w:tcPr>
          <w:p w14:paraId="6D4A9BFD">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w:t>
            </w:r>
          </w:p>
        </w:tc>
        <w:tc>
          <w:tcPr>
            <w:tcW w:w="1827" w:type="dxa"/>
            <w:gridSpan w:val="2"/>
            <w:tcBorders>
              <w:top w:val="single" w:color="auto" w:sz="4" w:space="0"/>
              <w:left w:val="single" w:color="auto" w:sz="4" w:space="0"/>
              <w:bottom w:val="single" w:color="auto" w:sz="4" w:space="0"/>
              <w:right w:val="single" w:color="auto" w:sz="4" w:space="0"/>
            </w:tcBorders>
            <w:vAlign w:val="center"/>
          </w:tcPr>
          <w:p w14:paraId="06612B6A">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938" w:type="dxa"/>
            <w:gridSpan w:val="2"/>
            <w:tcBorders>
              <w:top w:val="single" w:color="auto" w:sz="4" w:space="0"/>
              <w:left w:val="single" w:color="auto" w:sz="4" w:space="0"/>
              <w:bottom w:val="single" w:color="auto" w:sz="4" w:space="0"/>
              <w:right w:val="single" w:color="auto" w:sz="4" w:space="0"/>
            </w:tcBorders>
            <w:vAlign w:val="center"/>
          </w:tcPr>
          <w:p w14:paraId="32DD8B64">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2631" w:type="dxa"/>
            <w:tcBorders>
              <w:top w:val="single" w:color="auto" w:sz="4" w:space="0"/>
              <w:left w:val="single" w:color="auto" w:sz="4" w:space="0"/>
              <w:bottom w:val="single" w:color="auto" w:sz="4" w:space="0"/>
              <w:right w:val="single" w:color="auto" w:sz="4" w:space="0"/>
            </w:tcBorders>
            <w:vAlign w:val="center"/>
          </w:tcPr>
          <w:p w14:paraId="5121DBBE">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14:paraId="27DD2F8B">
            <w:pPr>
              <w:keepNext w:val="0"/>
              <w:keepLines w:val="0"/>
              <w:pageBreakBefore w:val="0"/>
              <w:suppressLineNumbers w:val="0"/>
              <w:tabs>
                <w:tab w:val="left" w:pos="360"/>
                <w:tab w:val="left" w:pos="1800"/>
                <w:tab w:val="left" w:pos="5527"/>
              </w:tabs>
              <w:kinsoku/>
              <w:overflowPunct/>
              <w:bidi w:val="0"/>
              <w:spacing w:before="0" w:beforeAutospacing="0" w:after="0" w:afterAutospacing="0" w:line="440" w:lineRule="exact"/>
              <w:ind w:left="0" w:right="0"/>
              <w:jc w:val="center"/>
              <w:textAlignment w:val="auto"/>
              <w:outlineLvl w:val="9"/>
              <w:rPr>
                <w:rFonts w:hint="eastAsia" w:ascii="宋体" w:hAnsi="宋体" w:eastAsia="宋体" w:cs="宋体"/>
                <w:b w:val="0"/>
                <w:bCs w:val="0"/>
                <w:color w:val="auto"/>
                <w:sz w:val="24"/>
                <w:szCs w:val="24"/>
                <w:highlight w:val="none"/>
              </w:rPr>
            </w:pPr>
          </w:p>
        </w:tc>
      </w:tr>
    </w:tbl>
    <w:p w14:paraId="15BF9164">
      <w:pPr>
        <w:tabs>
          <w:tab w:val="left" w:pos="5527"/>
        </w:tabs>
        <w:bidi w:val="0"/>
        <w:spacing w:line="360" w:lineRule="auto"/>
        <w:outlineLvl w:val="9"/>
        <w:rPr>
          <w:rFonts w:hint="eastAsia" w:ascii="宋体" w:hAnsi="宋体" w:eastAsia="宋体" w:cs="宋体"/>
          <w:color w:val="auto"/>
          <w:sz w:val="28"/>
          <w:szCs w:val="28"/>
          <w:highlight w:val="none"/>
        </w:rPr>
      </w:pPr>
      <w:bookmarkStart w:id="370" w:name="_Toc27273"/>
      <w:bookmarkStart w:id="371" w:name="_Toc23652"/>
      <w:bookmarkStart w:id="372" w:name="_Toc25963"/>
      <w:r>
        <w:rPr>
          <w:rFonts w:hint="eastAsia" w:ascii="宋体" w:hAnsi="宋体" w:eastAsia="宋体" w:cs="宋体"/>
          <w:color w:val="auto"/>
          <w:sz w:val="28"/>
          <w:szCs w:val="28"/>
          <w:highlight w:val="none"/>
        </w:rPr>
        <w:t>注：附项目负责人相关</w:t>
      </w:r>
      <w:r>
        <w:rPr>
          <w:rFonts w:hint="eastAsia" w:ascii="宋体" w:hAnsi="宋体" w:cs="宋体"/>
          <w:color w:val="auto"/>
          <w:sz w:val="28"/>
          <w:szCs w:val="28"/>
          <w:highlight w:val="none"/>
          <w:lang w:val="en-US" w:eastAsia="zh-CN"/>
        </w:rPr>
        <w:t>证件</w:t>
      </w:r>
      <w:r>
        <w:rPr>
          <w:rFonts w:hint="eastAsia" w:ascii="宋体" w:hAnsi="宋体" w:eastAsia="宋体" w:cs="宋体"/>
          <w:color w:val="auto"/>
          <w:sz w:val="28"/>
          <w:szCs w:val="28"/>
          <w:highlight w:val="none"/>
        </w:rPr>
        <w:t>，作为本表的附件。</w:t>
      </w:r>
    </w:p>
    <w:bookmarkEnd w:id="370"/>
    <w:bookmarkEnd w:id="371"/>
    <w:bookmarkEnd w:id="372"/>
    <w:p w14:paraId="5CA96103">
      <w:pPr>
        <w:tabs>
          <w:tab w:val="left" w:pos="5527"/>
        </w:tabs>
        <w:bidi w:val="0"/>
        <w:spacing w:line="600" w:lineRule="auto"/>
        <w:ind w:leftChars="1600"/>
        <w:outlineLvl w:val="9"/>
        <w:rPr>
          <w:rFonts w:hint="eastAsia" w:ascii="宋体" w:hAnsi="宋体" w:eastAsia="宋体" w:cs="宋体"/>
          <w:color w:val="auto"/>
          <w:sz w:val="28"/>
          <w:szCs w:val="28"/>
          <w:highlight w:val="none"/>
        </w:rPr>
      </w:pPr>
    </w:p>
    <w:p w14:paraId="041EF051">
      <w:pPr>
        <w:tabs>
          <w:tab w:val="left" w:pos="5527"/>
        </w:tabs>
        <w:bidi w:val="0"/>
        <w:spacing w:line="600" w:lineRule="auto"/>
        <w:ind w:leftChars="16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供应商名称（盖章）：</w:t>
      </w:r>
    </w:p>
    <w:p w14:paraId="058E283A">
      <w:pPr>
        <w:tabs>
          <w:tab w:val="left" w:pos="5527"/>
        </w:tabs>
        <w:bidi w:val="0"/>
        <w:spacing w:line="600" w:lineRule="auto"/>
        <w:ind w:leftChars="16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法定代表人或委托代理人（签字或盖章）：</w:t>
      </w:r>
    </w:p>
    <w:p w14:paraId="424DFEA6">
      <w:pPr>
        <w:tabs>
          <w:tab w:val="left" w:pos="5527"/>
        </w:tabs>
        <w:bidi w:val="0"/>
        <w:spacing w:line="600" w:lineRule="auto"/>
        <w:ind w:leftChars="16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日期：     年   月   日</w:t>
      </w:r>
    </w:p>
    <w:p w14:paraId="1309FA5C">
      <w:pPr>
        <w:keepLines w:val="0"/>
        <w:pageBreakBefore w:val="0"/>
        <w:tabs>
          <w:tab w:val="left" w:pos="5527"/>
        </w:tabs>
        <w:kinsoku/>
        <w:overflowPunct/>
        <w:bidi w:val="0"/>
        <w:spacing w:line="440" w:lineRule="exact"/>
        <w:jc w:val="right"/>
        <w:textAlignment w:val="auto"/>
        <w:outlineLvl w:val="9"/>
        <w:rPr>
          <w:rFonts w:hint="eastAsia" w:ascii="宋体" w:hAnsi="宋体" w:eastAsia="宋体" w:cs="宋体"/>
          <w:color w:val="auto"/>
          <w:sz w:val="28"/>
          <w:szCs w:val="28"/>
          <w:highlight w:val="none"/>
        </w:rPr>
      </w:pPr>
    </w:p>
    <w:p w14:paraId="1198F90A">
      <w:pPr>
        <w:tabs>
          <w:tab w:val="left" w:pos="5527"/>
        </w:tabs>
        <w:spacing w:line="500" w:lineRule="exact"/>
        <w:jc w:val="both"/>
        <w:outlineLvl w:val="9"/>
        <w:rPr>
          <w:rStyle w:val="38"/>
          <w:rFonts w:hint="eastAsia" w:ascii="宋体" w:hAnsi="宋体" w:eastAsia="宋体" w:cs="宋体"/>
          <w:b/>
          <w:bCs/>
          <w:color w:val="auto"/>
          <w:sz w:val="32"/>
          <w:szCs w:val="28"/>
          <w:highlight w:val="none"/>
          <w:lang w:val="en-US" w:eastAsia="zh-CN"/>
        </w:rPr>
      </w:pPr>
    </w:p>
    <w:p w14:paraId="29C530D3">
      <w:pPr>
        <w:tabs>
          <w:tab w:val="left" w:pos="5527"/>
        </w:tabs>
        <w:spacing w:line="500" w:lineRule="exact"/>
        <w:jc w:val="both"/>
        <w:outlineLvl w:val="9"/>
        <w:rPr>
          <w:rStyle w:val="38"/>
          <w:rFonts w:hint="eastAsia" w:ascii="宋体" w:hAnsi="宋体" w:eastAsia="宋体" w:cs="宋体"/>
          <w:b/>
          <w:bCs/>
          <w:color w:val="auto"/>
          <w:sz w:val="32"/>
          <w:szCs w:val="28"/>
          <w:highlight w:val="none"/>
          <w:lang w:val="en-US" w:eastAsia="zh-CN"/>
        </w:rPr>
      </w:pPr>
    </w:p>
    <w:p w14:paraId="101CE794">
      <w:pPr>
        <w:rPr>
          <w:rStyle w:val="38"/>
          <w:rFonts w:hint="eastAsia" w:ascii="宋体" w:hAnsi="宋体" w:eastAsia="宋体" w:cs="宋体"/>
          <w:b/>
          <w:bCs/>
          <w:color w:val="auto"/>
          <w:sz w:val="32"/>
          <w:szCs w:val="28"/>
          <w:highlight w:val="none"/>
          <w:lang w:val="en-US" w:eastAsia="zh-CN"/>
        </w:rPr>
      </w:pPr>
      <w:bookmarkStart w:id="373" w:name="_Toc28105"/>
      <w:bookmarkStart w:id="374" w:name="_Toc7241"/>
      <w:bookmarkStart w:id="375" w:name="_Toc7884"/>
      <w:bookmarkStart w:id="376" w:name="_Toc31933"/>
      <w:bookmarkStart w:id="377" w:name="_Toc9896"/>
      <w:bookmarkStart w:id="378" w:name="_Toc5820"/>
      <w:bookmarkStart w:id="379" w:name="_Toc9529"/>
      <w:r>
        <w:rPr>
          <w:rStyle w:val="38"/>
          <w:rFonts w:hint="eastAsia" w:ascii="宋体" w:hAnsi="宋体" w:eastAsia="宋体" w:cs="宋体"/>
          <w:b/>
          <w:bCs/>
          <w:color w:val="auto"/>
          <w:sz w:val="32"/>
          <w:szCs w:val="28"/>
          <w:highlight w:val="none"/>
          <w:lang w:val="en-US" w:eastAsia="zh-CN"/>
        </w:rPr>
        <w:br w:type="page"/>
      </w:r>
    </w:p>
    <w:p w14:paraId="63E50198">
      <w:pPr>
        <w:tabs>
          <w:tab w:val="left" w:pos="5527"/>
        </w:tabs>
        <w:spacing w:line="500" w:lineRule="exact"/>
        <w:jc w:val="both"/>
        <w:outlineLvl w:val="9"/>
        <w:rPr>
          <w:rStyle w:val="38"/>
          <w:rFonts w:hint="eastAsia" w:ascii="宋体" w:hAnsi="宋体" w:eastAsia="宋体" w:cs="宋体"/>
          <w:color w:val="auto"/>
          <w:sz w:val="32"/>
          <w:szCs w:val="28"/>
          <w:highlight w:val="none"/>
          <w:lang w:val="en-US" w:eastAsia="zh-CN"/>
        </w:rPr>
      </w:pPr>
      <w:r>
        <w:rPr>
          <w:rStyle w:val="38"/>
          <w:rFonts w:hint="eastAsia" w:ascii="宋体" w:hAnsi="宋体" w:eastAsia="宋体" w:cs="宋体"/>
          <w:b/>
          <w:bCs/>
          <w:color w:val="auto"/>
          <w:sz w:val="32"/>
          <w:szCs w:val="28"/>
          <w:highlight w:val="none"/>
          <w:lang w:val="en-US" w:eastAsia="zh-CN"/>
        </w:rPr>
        <w:t>附件</w:t>
      </w:r>
      <w:bookmarkEnd w:id="354"/>
      <w:bookmarkEnd w:id="355"/>
      <w:r>
        <w:rPr>
          <w:rStyle w:val="38"/>
          <w:rFonts w:hint="eastAsia" w:ascii="宋体" w:hAnsi="宋体" w:eastAsia="宋体" w:cs="宋体"/>
          <w:b/>
          <w:bCs/>
          <w:color w:val="auto"/>
          <w:sz w:val="32"/>
          <w:szCs w:val="28"/>
          <w:highlight w:val="none"/>
          <w:lang w:val="en-US" w:eastAsia="zh-CN"/>
        </w:rPr>
        <w:t>1</w:t>
      </w:r>
      <w:r>
        <w:rPr>
          <w:rStyle w:val="38"/>
          <w:rFonts w:hint="eastAsia" w:ascii="宋体" w:hAnsi="宋体" w:cs="宋体"/>
          <w:b/>
          <w:bCs/>
          <w:color w:val="auto"/>
          <w:sz w:val="32"/>
          <w:szCs w:val="28"/>
          <w:highlight w:val="none"/>
          <w:lang w:val="en-US" w:eastAsia="zh-CN"/>
        </w:rPr>
        <w:t>2</w:t>
      </w:r>
      <w:r>
        <w:rPr>
          <w:rStyle w:val="38"/>
          <w:rFonts w:hint="eastAsia" w:ascii="宋体" w:hAnsi="宋体" w:eastAsia="宋体" w:cs="宋体"/>
          <w:b/>
          <w:color w:val="auto"/>
          <w:kern w:val="2"/>
          <w:sz w:val="32"/>
          <w:szCs w:val="28"/>
          <w:highlight w:val="none"/>
          <w:lang w:val="en-US" w:eastAsia="zh-CN" w:bidi="ar-SA"/>
        </w:rPr>
        <w:t>：</w:t>
      </w:r>
    </w:p>
    <w:bookmarkEnd w:id="373"/>
    <w:bookmarkEnd w:id="374"/>
    <w:bookmarkEnd w:id="375"/>
    <w:bookmarkEnd w:id="376"/>
    <w:bookmarkEnd w:id="377"/>
    <w:bookmarkEnd w:id="378"/>
    <w:bookmarkEnd w:id="379"/>
    <w:p w14:paraId="7FF25433">
      <w:pPr>
        <w:keepNext w:val="0"/>
        <w:tabs>
          <w:tab w:val="left" w:pos="5527"/>
        </w:tabs>
        <w:jc w:val="center"/>
        <w:outlineLvl w:val="1"/>
        <w:rPr>
          <w:rFonts w:hint="eastAsia" w:ascii="宋体" w:hAnsi="宋体" w:eastAsia="宋体" w:cs="宋体"/>
          <w:b/>
          <w:bCs/>
          <w:color w:val="auto"/>
          <w:kern w:val="2"/>
          <w:sz w:val="32"/>
          <w:szCs w:val="21"/>
          <w:highlight w:val="none"/>
          <w:lang w:val="en-US" w:eastAsia="zh-CN"/>
        </w:rPr>
      </w:pPr>
      <w:bookmarkStart w:id="380" w:name="_Toc2396"/>
      <w:bookmarkStart w:id="381" w:name="_Toc24975"/>
      <w:bookmarkStart w:id="382" w:name="_Toc445"/>
      <w:bookmarkStart w:id="383" w:name="_Toc3025"/>
      <w:bookmarkStart w:id="384" w:name="_Toc15935"/>
      <w:bookmarkStart w:id="385" w:name="_Toc3171"/>
      <w:bookmarkStart w:id="386" w:name="_Toc17246"/>
      <w:r>
        <w:rPr>
          <w:rFonts w:hint="eastAsia" w:ascii="宋体" w:hAnsi="宋体" w:eastAsia="宋体" w:cs="宋体"/>
          <w:b/>
          <w:bCs/>
          <w:color w:val="auto"/>
          <w:kern w:val="2"/>
          <w:sz w:val="32"/>
          <w:szCs w:val="21"/>
          <w:highlight w:val="none"/>
          <w:lang w:val="en-US" w:eastAsia="zh-CN"/>
        </w:rPr>
        <w:t>拟投入人员配置情况表</w:t>
      </w:r>
      <w:bookmarkEnd w:id="380"/>
      <w:bookmarkEnd w:id="381"/>
      <w:bookmarkEnd w:id="382"/>
      <w:bookmarkEnd w:id="383"/>
      <w:bookmarkEnd w:id="384"/>
      <w:bookmarkEnd w:id="385"/>
    </w:p>
    <w:bookmarkEnd w:id="386"/>
    <w:tbl>
      <w:tblPr>
        <w:tblStyle w:val="27"/>
        <w:tblW w:w="86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9"/>
        <w:gridCol w:w="1326"/>
        <w:gridCol w:w="2024"/>
        <w:gridCol w:w="1304"/>
        <w:gridCol w:w="1065"/>
        <w:gridCol w:w="1089"/>
      </w:tblGrid>
      <w:tr w14:paraId="0F076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889" w:type="dxa"/>
            <w:tcBorders>
              <w:top w:val="single" w:color="auto" w:sz="8" w:space="0"/>
              <w:left w:val="single" w:color="auto" w:sz="8" w:space="0"/>
            </w:tcBorders>
            <w:vAlign w:val="center"/>
          </w:tcPr>
          <w:p w14:paraId="095173E3">
            <w:pPr>
              <w:keepNext w:val="0"/>
              <w:keepLines w:val="0"/>
              <w:suppressLineNumbers w:val="0"/>
              <w:tabs>
                <w:tab w:val="left" w:pos="5527"/>
              </w:tabs>
              <w:spacing w:before="0" w:beforeAutospacing="0" w:after="0" w:afterAutospacing="0" w:line="440" w:lineRule="exact"/>
              <w:ind w:left="0" w:right="0"/>
              <w:jc w:val="center"/>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职务</w:t>
            </w:r>
          </w:p>
        </w:tc>
        <w:tc>
          <w:tcPr>
            <w:tcW w:w="1326" w:type="dxa"/>
            <w:tcBorders>
              <w:top w:val="single" w:color="auto" w:sz="8" w:space="0"/>
            </w:tcBorders>
            <w:vAlign w:val="center"/>
          </w:tcPr>
          <w:p w14:paraId="1C3A7A02">
            <w:pPr>
              <w:keepNext w:val="0"/>
              <w:keepLines w:val="0"/>
              <w:suppressLineNumbers w:val="0"/>
              <w:tabs>
                <w:tab w:val="left" w:pos="5527"/>
              </w:tabs>
              <w:spacing w:before="0" w:beforeAutospacing="0" w:after="0" w:afterAutospacing="0" w:line="440" w:lineRule="exact"/>
              <w:ind w:left="0" w:right="0"/>
              <w:jc w:val="center"/>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姓名</w:t>
            </w:r>
          </w:p>
        </w:tc>
        <w:tc>
          <w:tcPr>
            <w:tcW w:w="2024" w:type="dxa"/>
            <w:tcBorders>
              <w:top w:val="single" w:color="auto" w:sz="8" w:space="0"/>
              <w:right w:val="single" w:color="auto" w:sz="8" w:space="0"/>
            </w:tcBorders>
            <w:vAlign w:val="center"/>
          </w:tcPr>
          <w:p w14:paraId="3F98CA43">
            <w:pPr>
              <w:keepNext w:val="0"/>
              <w:keepLines w:val="0"/>
              <w:suppressLineNumbers w:val="0"/>
              <w:tabs>
                <w:tab w:val="left" w:pos="5527"/>
              </w:tabs>
              <w:spacing w:before="0" w:beforeAutospacing="0" w:after="0" w:afterAutospacing="0" w:line="440" w:lineRule="exact"/>
              <w:ind w:left="0" w:right="0"/>
              <w:jc w:val="center"/>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证书名称</w:t>
            </w:r>
          </w:p>
        </w:tc>
        <w:tc>
          <w:tcPr>
            <w:tcW w:w="1304" w:type="dxa"/>
            <w:tcBorders>
              <w:top w:val="single" w:color="auto" w:sz="8" w:space="0"/>
              <w:right w:val="single" w:color="auto" w:sz="8" w:space="0"/>
            </w:tcBorders>
            <w:vAlign w:val="center"/>
          </w:tcPr>
          <w:p w14:paraId="7F456679">
            <w:pPr>
              <w:keepNext w:val="0"/>
              <w:keepLines w:val="0"/>
              <w:suppressLineNumbers w:val="0"/>
              <w:tabs>
                <w:tab w:val="left" w:pos="5527"/>
              </w:tabs>
              <w:spacing w:before="0" w:beforeAutospacing="0" w:after="0" w:afterAutospacing="0" w:line="440" w:lineRule="exact"/>
              <w:ind w:left="0" w:right="0"/>
              <w:jc w:val="center"/>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证号</w:t>
            </w:r>
          </w:p>
        </w:tc>
        <w:tc>
          <w:tcPr>
            <w:tcW w:w="1065" w:type="dxa"/>
            <w:tcBorders>
              <w:top w:val="single" w:color="auto" w:sz="8" w:space="0"/>
              <w:right w:val="single" w:color="auto" w:sz="8" w:space="0"/>
            </w:tcBorders>
            <w:vAlign w:val="center"/>
          </w:tcPr>
          <w:p w14:paraId="4E500B6E">
            <w:pPr>
              <w:keepNext w:val="0"/>
              <w:keepLines w:val="0"/>
              <w:suppressLineNumbers w:val="0"/>
              <w:tabs>
                <w:tab w:val="left" w:pos="5527"/>
              </w:tabs>
              <w:spacing w:before="0" w:beforeAutospacing="0" w:after="0" w:afterAutospacing="0" w:line="440" w:lineRule="exact"/>
              <w:ind w:left="0" w:right="0"/>
              <w:jc w:val="center"/>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专业</w:t>
            </w:r>
          </w:p>
        </w:tc>
        <w:tc>
          <w:tcPr>
            <w:tcW w:w="1089" w:type="dxa"/>
            <w:tcBorders>
              <w:top w:val="single" w:color="auto" w:sz="8" w:space="0"/>
              <w:right w:val="single" w:color="auto" w:sz="8" w:space="0"/>
            </w:tcBorders>
            <w:vAlign w:val="center"/>
          </w:tcPr>
          <w:p w14:paraId="4C6BB192">
            <w:pPr>
              <w:keepNext w:val="0"/>
              <w:keepLines w:val="0"/>
              <w:suppressLineNumbers w:val="0"/>
              <w:tabs>
                <w:tab w:val="left" w:pos="5527"/>
              </w:tabs>
              <w:spacing w:before="0" w:beforeAutospacing="0" w:after="0" w:afterAutospacing="0" w:line="440" w:lineRule="exact"/>
              <w:ind w:left="0" w:right="0"/>
              <w:jc w:val="center"/>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备注</w:t>
            </w:r>
          </w:p>
        </w:tc>
      </w:tr>
      <w:tr w14:paraId="2DFDB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889" w:type="dxa"/>
            <w:tcBorders>
              <w:left w:val="single" w:color="auto" w:sz="8" w:space="0"/>
            </w:tcBorders>
            <w:vAlign w:val="center"/>
          </w:tcPr>
          <w:p w14:paraId="4CA3C297">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kern w:val="2"/>
                <w:sz w:val="24"/>
                <w:szCs w:val="24"/>
                <w:highlight w:val="none"/>
                <w:lang w:val="en-US" w:eastAsia="zh-CN" w:bidi="ar-SA"/>
              </w:rPr>
            </w:pPr>
          </w:p>
        </w:tc>
        <w:tc>
          <w:tcPr>
            <w:tcW w:w="1326" w:type="dxa"/>
            <w:vAlign w:val="center"/>
          </w:tcPr>
          <w:p w14:paraId="3A167AE6">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2024" w:type="dxa"/>
            <w:vAlign w:val="center"/>
          </w:tcPr>
          <w:p w14:paraId="108DEED6">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304" w:type="dxa"/>
            <w:vAlign w:val="center"/>
          </w:tcPr>
          <w:p w14:paraId="7063A261">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65" w:type="dxa"/>
            <w:tcBorders>
              <w:right w:val="single" w:color="auto" w:sz="8" w:space="0"/>
            </w:tcBorders>
            <w:vAlign w:val="center"/>
          </w:tcPr>
          <w:p w14:paraId="5DB583B8">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89" w:type="dxa"/>
            <w:tcBorders>
              <w:right w:val="single" w:color="auto" w:sz="8" w:space="0"/>
            </w:tcBorders>
            <w:vAlign w:val="center"/>
          </w:tcPr>
          <w:p w14:paraId="73B44ADD">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r>
      <w:tr w14:paraId="61F5E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889" w:type="dxa"/>
            <w:tcBorders>
              <w:left w:val="single" w:color="auto" w:sz="8" w:space="0"/>
            </w:tcBorders>
            <w:vAlign w:val="center"/>
          </w:tcPr>
          <w:p w14:paraId="4A00FEC9">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kern w:val="2"/>
                <w:sz w:val="24"/>
                <w:szCs w:val="24"/>
                <w:highlight w:val="none"/>
                <w:lang w:val="en-US" w:eastAsia="zh-CN" w:bidi="ar-SA"/>
              </w:rPr>
            </w:pPr>
          </w:p>
        </w:tc>
        <w:tc>
          <w:tcPr>
            <w:tcW w:w="1326" w:type="dxa"/>
            <w:vAlign w:val="center"/>
          </w:tcPr>
          <w:p w14:paraId="679F8847">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2024" w:type="dxa"/>
            <w:vAlign w:val="center"/>
          </w:tcPr>
          <w:p w14:paraId="482B9754">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304" w:type="dxa"/>
            <w:vAlign w:val="center"/>
          </w:tcPr>
          <w:p w14:paraId="3C9D043A">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65" w:type="dxa"/>
            <w:tcBorders>
              <w:right w:val="single" w:color="auto" w:sz="8" w:space="0"/>
            </w:tcBorders>
            <w:vAlign w:val="center"/>
          </w:tcPr>
          <w:p w14:paraId="6D46BF43">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89" w:type="dxa"/>
            <w:tcBorders>
              <w:right w:val="single" w:color="auto" w:sz="8" w:space="0"/>
            </w:tcBorders>
            <w:vAlign w:val="center"/>
          </w:tcPr>
          <w:p w14:paraId="46233A1B">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r>
      <w:tr w14:paraId="2850E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889" w:type="dxa"/>
            <w:tcBorders>
              <w:left w:val="single" w:color="auto" w:sz="8" w:space="0"/>
            </w:tcBorders>
            <w:vAlign w:val="center"/>
          </w:tcPr>
          <w:p w14:paraId="14C06A8B">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kern w:val="2"/>
                <w:sz w:val="24"/>
                <w:szCs w:val="24"/>
                <w:highlight w:val="none"/>
                <w:lang w:val="en-US" w:eastAsia="zh-CN" w:bidi="ar-SA"/>
              </w:rPr>
            </w:pPr>
          </w:p>
        </w:tc>
        <w:tc>
          <w:tcPr>
            <w:tcW w:w="1326" w:type="dxa"/>
            <w:vAlign w:val="center"/>
          </w:tcPr>
          <w:p w14:paraId="15E4BD31">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2024" w:type="dxa"/>
            <w:vAlign w:val="center"/>
          </w:tcPr>
          <w:p w14:paraId="50A3B6BE">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304" w:type="dxa"/>
            <w:vAlign w:val="center"/>
          </w:tcPr>
          <w:p w14:paraId="5CB97F06">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65" w:type="dxa"/>
            <w:tcBorders>
              <w:right w:val="single" w:color="auto" w:sz="8" w:space="0"/>
            </w:tcBorders>
            <w:vAlign w:val="center"/>
          </w:tcPr>
          <w:p w14:paraId="6D655CC1">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89" w:type="dxa"/>
            <w:tcBorders>
              <w:right w:val="single" w:color="auto" w:sz="8" w:space="0"/>
            </w:tcBorders>
            <w:vAlign w:val="center"/>
          </w:tcPr>
          <w:p w14:paraId="5511C8A4">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r>
      <w:tr w14:paraId="609D0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889" w:type="dxa"/>
            <w:tcBorders>
              <w:left w:val="single" w:color="auto" w:sz="8" w:space="0"/>
            </w:tcBorders>
            <w:vAlign w:val="center"/>
          </w:tcPr>
          <w:p w14:paraId="49EE3B83">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kern w:val="2"/>
                <w:sz w:val="24"/>
                <w:szCs w:val="24"/>
                <w:highlight w:val="none"/>
                <w:lang w:val="en-US" w:eastAsia="zh-CN" w:bidi="ar-SA"/>
              </w:rPr>
            </w:pPr>
          </w:p>
        </w:tc>
        <w:tc>
          <w:tcPr>
            <w:tcW w:w="1326" w:type="dxa"/>
            <w:vAlign w:val="center"/>
          </w:tcPr>
          <w:p w14:paraId="32F38304">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2024" w:type="dxa"/>
            <w:vAlign w:val="center"/>
          </w:tcPr>
          <w:p w14:paraId="7487B9BA">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304" w:type="dxa"/>
            <w:vAlign w:val="center"/>
          </w:tcPr>
          <w:p w14:paraId="2188B46C">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65" w:type="dxa"/>
            <w:tcBorders>
              <w:right w:val="single" w:color="auto" w:sz="8" w:space="0"/>
            </w:tcBorders>
            <w:vAlign w:val="center"/>
          </w:tcPr>
          <w:p w14:paraId="7DBEC3E2">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89" w:type="dxa"/>
            <w:tcBorders>
              <w:right w:val="single" w:color="auto" w:sz="8" w:space="0"/>
            </w:tcBorders>
            <w:vAlign w:val="center"/>
          </w:tcPr>
          <w:p w14:paraId="320E4899">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r>
      <w:tr w14:paraId="0D851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889" w:type="dxa"/>
            <w:tcBorders>
              <w:left w:val="single" w:color="auto" w:sz="8" w:space="0"/>
            </w:tcBorders>
            <w:vAlign w:val="center"/>
          </w:tcPr>
          <w:p w14:paraId="36835C2D">
            <w:pPr>
              <w:pStyle w:val="23"/>
              <w:tabs>
                <w:tab w:val="left" w:pos="5527"/>
              </w:tabs>
              <w:ind w:left="484" w:leftChars="0" w:right="0" w:rightChars="0" w:hanging="484" w:hangingChars="200"/>
              <w:jc w:val="center"/>
              <w:outlineLvl w:val="9"/>
              <w:rPr>
                <w:rFonts w:hint="eastAsia" w:ascii="宋体" w:hAnsi="宋体" w:eastAsia="宋体" w:cs="宋体"/>
                <w:b w:val="0"/>
                <w:bCs w:val="0"/>
                <w:color w:val="auto"/>
                <w:kern w:val="2"/>
                <w:sz w:val="24"/>
                <w:szCs w:val="24"/>
                <w:highlight w:val="none"/>
                <w:lang w:val="en-US" w:eastAsia="zh-CN" w:bidi="ar"/>
              </w:rPr>
            </w:pPr>
          </w:p>
        </w:tc>
        <w:tc>
          <w:tcPr>
            <w:tcW w:w="1326" w:type="dxa"/>
            <w:vAlign w:val="center"/>
          </w:tcPr>
          <w:p w14:paraId="671E9A28">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2024" w:type="dxa"/>
            <w:vAlign w:val="center"/>
          </w:tcPr>
          <w:p w14:paraId="303C930A">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304" w:type="dxa"/>
            <w:vAlign w:val="center"/>
          </w:tcPr>
          <w:p w14:paraId="304EFD13">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65" w:type="dxa"/>
            <w:tcBorders>
              <w:right w:val="single" w:color="auto" w:sz="8" w:space="0"/>
            </w:tcBorders>
            <w:vAlign w:val="center"/>
          </w:tcPr>
          <w:p w14:paraId="6906D0C2">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89" w:type="dxa"/>
            <w:tcBorders>
              <w:right w:val="single" w:color="auto" w:sz="8" w:space="0"/>
            </w:tcBorders>
            <w:vAlign w:val="center"/>
          </w:tcPr>
          <w:p w14:paraId="4A8B98AE">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r>
      <w:tr w14:paraId="38866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889" w:type="dxa"/>
            <w:tcBorders>
              <w:left w:val="single" w:color="auto" w:sz="8" w:space="0"/>
            </w:tcBorders>
            <w:vAlign w:val="center"/>
          </w:tcPr>
          <w:p w14:paraId="7C444FC1">
            <w:pPr>
              <w:pStyle w:val="23"/>
              <w:tabs>
                <w:tab w:val="left" w:pos="5527"/>
              </w:tabs>
              <w:ind w:left="484" w:leftChars="0" w:right="0" w:rightChars="0" w:hanging="484" w:hangingChars="200"/>
              <w:jc w:val="center"/>
              <w:outlineLvl w:val="9"/>
              <w:rPr>
                <w:rFonts w:hint="eastAsia" w:ascii="宋体" w:hAnsi="宋体" w:eastAsia="宋体" w:cs="宋体"/>
                <w:b w:val="0"/>
                <w:bCs w:val="0"/>
                <w:color w:val="auto"/>
                <w:kern w:val="2"/>
                <w:sz w:val="24"/>
                <w:szCs w:val="24"/>
                <w:highlight w:val="none"/>
                <w:lang w:val="en-US" w:eastAsia="zh-CN" w:bidi="ar"/>
              </w:rPr>
            </w:pPr>
          </w:p>
        </w:tc>
        <w:tc>
          <w:tcPr>
            <w:tcW w:w="1326" w:type="dxa"/>
            <w:vAlign w:val="center"/>
          </w:tcPr>
          <w:p w14:paraId="6CD88E82">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2024" w:type="dxa"/>
            <w:vAlign w:val="center"/>
          </w:tcPr>
          <w:p w14:paraId="4B537B26">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304" w:type="dxa"/>
            <w:vAlign w:val="center"/>
          </w:tcPr>
          <w:p w14:paraId="5DA9BB8C">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65" w:type="dxa"/>
            <w:tcBorders>
              <w:right w:val="single" w:color="auto" w:sz="8" w:space="0"/>
            </w:tcBorders>
            <w:vAlign w:val="center"/>
          </w:tcPr>
          <w:p w14:paraId="15C5E313">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89" w:type="dxa"/>
            <w:tcBorders>
              <w:right w:val="single" w:color="auto" w:sz="8" w:space="0"/>
            </w:tcBorders>
            <w:vAlign w:val="center"/>
          </w:tcPr>
          <w:p w14:paraId="582D11C8">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r>
      <w:tr w14:paraId="0F863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889" w:type="dxa"/>
            <w:tcBorders>
              <w:left w:val="single" w:color="auto" w:sz="8" w:space="0"/>
            </w:tcBorders>
            <w:vAlign w:val="center"/>
          </w:tcPr>
          <w:p w14:paraId="113BD5B0">
            <w:pPr>
              <w:pStyle w:val="23"/>
              <w:tabs>
                <w:tab w:val="left" w:pos="5527"/>
              </w:tabs>
              <w:ind w:left="484" w:leftChars="0" w:right="0" w:rightChars="0" w:hanging="484" w:hangingChars="200"/>
              <w:jc w:val="center"/>
              <w:outlineLvl w:val="9"/>
              <w:rPr>
                <w:rFonts w:hint="eastAsia" w:ascii="宋体" w:hAnsi="宋体" w:eastAsia="宋体" w:cs="宋体"/>
                <w:b w:val="0"/>
                <w:bCs w:val="0"/>
                <w:color w:val="auto"/>
                <w:kern w:val="2"/>
                <w:sz w:val="24"/>
                <w:szCs w:val="24"/>
                <w:highlight w:val="none"/>
                <w:lang w:val="en-US" w:eastAsia="zh-CN" w:bidi="ar"/>
              </w:rPr>
            </w:pPr>
          </w:p>
        </w:tc>
        <w:tc>
          <w:tcPr>
            <w:tcW w:w="1326" w:type="dxa"/>
            <w:vAlign w:val="center"/>
          </w:tcPr>
          <w:p w14:paraId="7E5CC853">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2024" w:type="dxa"/>
            <w:vAlign w:val="center"/>
          </w:tcPr>
          <w:p w14:paraId="31F87010">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304" w:type="dxa"/>
            <w:vAlign w:val="center"/>
          </w:tcPr>
          <w:p w14:paraId="107D8E26">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65" w:type="dxa"/>
            <w:tcBorders>
              <w:right w:val="single" w:color="auto" w:sz="8" w:space="0"/>
            </w:tcBorders>
            <w:vAlign w:val="center"/>
          </w:tcPr>
          <w:p w14:paraId="024E51C1">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89" w:type="dxa"/>
            <w:tcBorders>
              <w:right w:val="single" w:color="auto" w:sz="8" w:space="0"/>
            </w:tcBorders>
            <w:vAlign w:val="center"/>
          </w:tcPr>
          <w:p w14:paraId="5CDD5DCD">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r>
      <w:tr w14:paraId="45C78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889" w:type="dxa"/>
            <w:tcBorders>
              <w:left w:val="single" w:color="auto" w:sz="8" w:space="0"/>
            </w:tcBorders>
            <w:vAlign w:val="center"/>
          </w:tcPr>
          <w:p w14:paraId="2D9E1CA4">
            <w:pPr>
              <w:pStyle w:val="23"/>
              <w:tabs>
                <w:tab w:val="left" w:pos="5527"/>
              </w:tabs>
              <w:ind w:left="484" w:leftChars="0" w:right="0" w:rightChars="0" w:hanging="484" w:hangingChars="200"/>
              <w:jc w:val="center"/>
              <w:outlineLvl w:val="9"/>
              <w:rPr>
                <w:rFonts w:hint="eastAsia" w:ascii="宋体" w:hAnsi="宋体" w:eastAsia="宋体" w:cs="宋体"/>
                <w:b w:val="0"/>
                <w:bCs w:val="0"/>
                <w:color w:val="auto"/>
                <w:kern w:val="2"/>
                <w:sz w:val="24"/>
                <w:szCs w:val="24"/>
                <w:highlight w:val="none"/>
                <w:lang w:val="en-US" w:eastAsia="zh-CN" w:bidi="ar"/>
              </w:rPr>
            </w:pPr>
          </w:p>
        </w:tc>
        <w:tc>
          <w:tcPr>
            <w:tcW w:w="1326" w:type="dxa"/>
            <w:vAlign w:val="center"/>
          </w:tcPr>
          <w:p w14:paraId="788DC28F">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2024" w:type="dxa"/>
            <w:vAlign w:val="center"/>
          </w:tcPr>
          <w:p w14:paraId="4372B100">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304" w:type="dxa"/>
            <w:vAlign w:val="center"/>
          </w:tcPr>
          <w:p w14:paraId="29F42004">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65" w:type="dxa"/>
            <w:tcBorders>
              <w:right w:val="single" w:color="auto" w:sz="8" w:space="0"/>
            </w:tcBorders>
            <w:vAlign w:val="center"/>
          </w:tcPr>
          <w:p w14:paraId="1194AF44">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89" w:type="dxa"/>
            <w:tcBorders>
              <w:right w:val="single" w:color="auto" w:sz="8" w:space="0"/>
            </w:tcBorders>
            <w:vAlign w:val="center"/>
          </w:tcPr>
          <w:p w14:paraId="58989AEC">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r>
      <w:tr w14:paraId="5B837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889" w:type="dxa"/>
            <w:tcBorders>
              <w:left w:val="single" w:color="auto" w:sz="8" w:space="0"/>
            </w:tcBorders>
            <w:vAlign w:val="center"/>
          </w:tcPr>
          <w:p w14:paraId="593F8DB0">
            <w:pPr>
              <w:pStyle w:val="23"/>
              <w:tabs>
                <w:tab w:val="left" w:pos="5527"/>
              </w:tabs>
              <w:ind w:left="484" w:leftChars="0" w:right="0" w:rightChars="0" w:hanging="484" w:hangingChars="200"/>
              <w:jc w:val="center"/>
              <w:outlineLvl w:val="9"/>
              <w:rPr>
                <w:rFonts w:hint="eastAsia" w:ascii="宋体" w:hAnsi="宋体" w:eastAsia="宋体" w:cs="宋体"/>
                <w:b w:val="0"/>
                <w:bCs w:val="0"/>
                <w:color w:val="auto"/>
                <w:kern w:val="2"/>
                <w:sz w:val="24"/>
                <w:szCs w:val="24"/>
                <w:highlight w:val="none"/>
                <w:lang w:val="en-US" w:eastAsia="zh-CN" w:bidi="ar"/>
              </w:rPr>
            </w:pPr>
          </w:p>
        </w:tc>
        <w:tc>
          <w:tcPr>
            <w:tcW w:w="1326" w:type="dxa"/>
            <w:vAlign w:val="center"/>
          </w:tcPr>
          <w:p w14:paraId="2E1C20FA">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2024" w:type="dxa"/>
            <w:vAlign w:val="center"/>
          </w:tcPr>
          <w:p w14:paraId="7D1EEA63">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304" w:type="dxa"/>
            <w:vAlign w:val="center"/>
          </w:tcPr>
          <w:p w14:paraId="348DA965">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65" w:type="dxa"/>
            <w:tcBorders>
              <w:right w:val="single" w:color="auto" w:sz="8" w:space="0"/>
            </w:tcBorders>
            <w:vAlign w:val="center"/>
          </w:tcPr>
          <w:p w14:paraId="7213B420">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89" w:type="dxa"/>
            <w:tcBorders>
              <w:right w:val="single" w:color="auto" w:sz="8" w:space="0"/>
            </w:tcBorders>
            <w:vAlign w:val="center"/>
          </w:tcPr>
          <w:p w14:paraId="08251483">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r>
      <w:tr w14:paraId="30510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889" w:type="dxa"/>
            <w:tcBorders>
              <w:left w:val="single" w:color="auto" w:sz="8" w:space="0"/>
            </w:tcBorders>
            <w:vAlign w:val="center"/>
          </w:tcPr>
          <w:p w14:paraId="39DA135D">
            <w:pPr>
              <w:pStyle w:val="23"/>
              <w:tabs>
                <w:tab w:val="left" w:pos="5527"/>
              </w:tabs>
              <w:ind w:left="484" w:leftChars="0" w:right="0" w:rightChars="0" w:hanging="484" w:hangingChars="200"/>
              <w:jc w:val="center"/>
              <w:outlineLvl w:val="9"/>
              <w:rPr>
                <w:rFonts w:hint="eastAsia" w:ascii="宋体" w:hAnsi="宋体" w:eastAsia="宋体" w:cs="宋体"/>
                <w:b w:val="0"/>
                <w:bCs w:val="0"/>
                <w:color w:val="auto"/>
                <w:kern w:val="2"/>
                <w:sz w:val="24"/>
                <w:szCs w:val="24"/>
                <w:highlight w:val="none"/>
                <w:lang w:val="en-US" w:eastAsia="zh-CN" w:bidi="ar"/>
              </w:rPr>
            </w:pPr>
          </w:p>
        </w:tc>
        <w:tc>
          <w:tcPr>
            <w:tcW w:w="1326" w:type="dxa"/>
            <w:vAlign w:val="center"/>
          </w:tcPr>
          <w:p w14:paraId="72354E46">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2024" w:type="dxa"/>
            <w:vAlign w:val="center"/>
          </w:tcPr>
          <w:p w14:paraId="3F39EE22">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304" w:type="dxa"/>
            <w:vAlign w:val="center"/>
          </w:tcPr>
          <w:p w14:paraId="429DDC49">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65" w:type="dxa"/>
            <w:tcBorders>
              <w:right w:val="single" w:color="auto" w:sz="8" w:space="0"/>
            </w:tcBorders>
            <w:vAlign w:val="center"/>
          </w:tcPr>
          <w:p w14:paraId="5752A802">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89" w:type="dxa"/>
            <w:tcBorders>
              <w:right w:val="single" w:color="auto" w:sz="8" w:space="0"/>
            </w:tcBorders>
            <w:vAlign w:val="center"/>
          </w:tcPr>
          <w:p w14:paraId="516FDAA2">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r>
      <w:tr w14:paraId="20688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889" w:type="dxa"/>
            <w:tcBorders>
              <w:left w:val="single" w:color="auto" w:sz="8" w:space="0"/>
            </w:tcBorders>
            <w:vAlign w:val="center"/>
          </w:tcPr>
          <w:p w14:paraId="3BB84F7B">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lang w:val="en-US" w:eastAsia="zh-CN"/>
              </w:rPr>
            </w:pPr>
            <w:bookmarkStart w:id="387" w:name="_Toc15516"/>
            <w:bookmarkStart w:id="388" w:name="_Toc11835"/>
            <w:bookmarkStart w:id="389" w:name="_Toc14073"/>
            <w:bookmarkStart w:id="390" w:name="_Toc2551"/>
            <w:bookmarkStart w:id="391" w:name="_Toc235"/>
            <w:bookmarkStart w:id="392" w:name="_Toc20218"/>
            <w:r>
              <w:rPr>
                <w:rFonts w:hint="eastAsia" w:ascii="宋体" w:hAnsi="宋体" w:eastAsia="宋体" w:cs="宋体"/>
                <w:b w:val="0"/>
                <w:bCs w:val="0"/>
                <w:color w:val="auto"/>
                <w:sz w:val="24"/>
                <w:szCs w:val="24"/>
                <w:highlight w:val="none"/>
              </w:rPr>
              <w:t>......</w:t>
            </w:r>
            <w:bookmarkEnd w:id="387"/>
            <w:bookmarkEnd w:id="388"/>
            <w:bookmarkEnd w:id="389"/>
            <w:bookmarkEnd w:id="390"/>
            <w:bookmarkEnd w:id="391"/>
            <w:bookmarkEnd w:id="392"/>
          </w:p>
        </w:tc>
        <w:tc>
          <w:tcPr>
            <w:tcW w:w="1326" w:type="dxa"/>
            <w:vAlign w:val="center"/>
          </w:tcPr>
          <w:p w14:paraId="3C8FA211">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2024" w:type="dxa"/>
            <w:vAlign w:val="center"/>
          </w:tcPr>
          <w:p w14:paraId="4292F260">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304" w:type="dxa"/>
            <w:vAlign w:val="center"/>
          </w:tcPr>
          <w:p w14:paraId="58208285">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65" w:type="dxa"/>
            <w:tcBorders>
              <w:right w:val="single" w:color="auto" w:sz="8" w:space="0"/>
            </w:tcBorders>
            <w:vAlign w:val="center"/>
          </w:tcPr>
          <w:p w14:paraId="4AE79FAB">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c>
          <w:tcPr>
            <w:tcW w:w="1089" w:type="dxa"/>
            <w:tcBorders>
              <w:right w:val="single" w:color="auto" w:sz="8" w:space="0"/>
            </w:tcBorders>
            <w:vAlign w:val="center"/>
          </w:tcPr>
          <w:p w14:paraId="6037617F">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center"/>
              <w:outlineLvl w:val="9"/>
              <w:rPr>
                <w:rFonts w:hint="eastAsia" w:ascii="宋体" w:hAnsi="宋体" w:eastAsia="宋体" w:cs="宋体"/>
                <w:b w:val="0"/>
                <w:bCs w:val="0"/>
                <w:color w:val="auto"/>
                <w:sz w:val="24"/>
                <w:szCs w:val="24"/>
                <w:highlight w:val="none"/>
              </w:rPr>
            </w:pPr>
          </w:p>
        </w:tc>
      </w:tr>
      <w:tr w14:paraId="1640C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8697" w:type="dxa"/>
            <w:gridSpan w:val="6"/>
            <w:tcBorders>
              <w:left w:val="single" w:color="auto" w:sz="8" w:space="0"/>
              <w:right w:val="single" w:color="auto" w:sz="8" w:space="0"/>
            </w:tcBorders>
            <w:vAlign w:val="center"/>
          </w:tcPr>
          <w:p w14:paraId="2FD4A24C">
            <w:pPr>
              <w:keepNext w:val="0"/>
              <w:keepLines w:val="0"/>
              <w:pageBreakBefore w:val="0"/>
              <w:widowControl w:val="0"/>
              <w:suppressLineNumbers w:val="0"/>
              <w:tabs>
                <w:tab w:val="left" w:pos="5527"/>
              </w:tabs>
              <w:overflowPunct/>
              <w:bidi w:val="0"/>
              <w:spacing w:before="0" w:beforeAutospacing="0" w:after="0" w:afterAutospacing="0" w:line="240" w:lineRule="auto"/>
              <w:ind w:left="0" w:right="0"/>
              <w:jc w:val="both"/>
              <w:outlineLvl w:val="9"/>
              <w:rPr>
                <w:rFonts w:hint="eastAsia" w:ascii="宋体" w:hAnsi="宋体" w:eastAsia="宋体" w:cs="宋体"/>
                <w:b w:val="0"/>
                <w:bCs w:val="0"/>
                <w:color w:val="auto"/>
                <w:sz w:val="24"/>
                <w:szCs w:val="24"/>
                <w:highlight w:val="none"/>
              </w:rPr>
            </w:pPr>
            <w:bookmarkStart w:id="393" w:name="_Toc18266"/>
            <w:bookmarkStart w:id="394" w:name="_Toc4716"/>
            <w:bookmarkStart w:id="395" w:name="_Toc4089"/>
            <w:bookmarkStart w:id="396" w:name="_Toc27757"/>
            <w:bookmarkStart w:id="397" w:name="_Toc31026"/>
            <w:bookmarkStart w:id="398" w:name="_Toc31409"/>
            <w:bookmarkStart w:id="399" w:name="_Toc17401"/>
            <w:bookmarkStart w:id="400" w:name="_Toc9923"/>
            <w:bookmarkStart w:id="401" w:name="_Toc10338"/>
            <w:r>
              <w:rPr>
                <w:rFonts w:hint="eastAsia" w:ascii="宋体" w:hAnsi="宋体" w:eastAsia="宋体" w:cs="宋体"/>
                <w:b w:val="0"/>
                <w:bCs w:val="0"/>
                <w:color w:val="auto"/>
                <w:sz w:val="24"/>
                <w:szCs w:val="24"/>
                <w:highlight w:val="none"/>
              </w:rPr>
              <w:t>注：未做说明的人员资料由供应商自行考虑提供</w:t>
            </w:r>
            <w:r>
              <w:rPr>
                <w:rFonts w:hint="eastAsia" w:ascii="宋体" w:hAnsi="宋体" w:eastAsia="宋体" w:cs="宋体"/>
                <w:b w:val="0"/>
                <w:bCs w:val="0"/>
                <w:color w:val="auto"/>
                <w:sz w:val="24"/>
                <w:szCs w:val="24"/>
                <w:highlight w:val="none"/>
                <w:lang w:val="en-US" w:eastAsia="zh-CN"/>
              </w:rPr>
              <w:t>并附相关</w:t>
            </w:r>
            <w:r>
              <w:rPr>
                <w:rFonts w:hint="eastAsia" w:ascii="宋体" w:hAnsi="宋体" w:cs="宋体"/>
                <w:b w:val="0"/>
                <w:bCs w:val="0"/>
                <w:color w:val="auto"/>
                <w:sz w:val="24"/>
                <w:szCs w:val="24"/>
                <w:highlight w:val="none"/>
                <w:lang w:val="en-US" w:eastAsia="zh-CN"/>
              </w:rPr>
              <w:t>证件</w:t>
            </w:r>
            <w:r>
              <w:rPr>
                <w:rFonts w:hint="eastAsia" w:ascii="宋体" w:hAnsi="宋体" w:eastAsia="宋体" w:cs="宋体"/>
                <w:b w:val="0"/>
                <w:bCs w:val="0"/>
                <w:color w:val="auto"/>
                <w:sz w:val="24"/>
                <w:szCs w:val="24"/>
                <w:highlight w:val="none"/>
                <w:lang w:val="en-US" w:eastAsia="zh-CN"/>
              </w:rPr>
              <w:t>。</w:t>
            </w:r>
            <w:bookmarkEnd w:id="393"/>
            <w:bookmarkEnd w:id="394"/>
            <w:bookmarkEnd w:id="395"/>
            <w:bookmarkEnd w:id="396"/>
            <w:r>
              <w:rPr>
                <w:rFonts w:hint="eastAsia" w:ascii="宋体" w:hAnsi="宋体" w:eastAsia="宋体" w:cs="宋体"/>
                <w:b w:val="0"/>
                <w:bCs w:val="0"/>
                <w:color w:val="auto"/>
                <w:sz w:val="24"/>
                <w:szCs w:val="24"/>
                <w:highlight w:val="none"/>
              </w:rPr>
              <w:t>所提供的</w:t>
            </w:r>
            <w:r>
              <w:rPr>
                <w:rFonts w:hint="eastAsia" w:ascii="宋体" w:hAnsi="宋体" w:cs="宋体"/>
                <w:b w:val="0"/>
                <w:bCs w:val="0"/>
                <w:color w:val="auto"/>
                <w:sz w:val="24"/>
                <w:szCs w:val="24"/>
                <w:highlight w:val="none"/>
                <w:lang w:val="en-US" w:eastAsia="zh-CN"/>
              </w:rPr>
              <w:t>证件</w:t>
            </w:r>
            <w:r>
              <w:rPr>
                <w:rFonts w:hint="eastAsia" w:ascii="宋体" w:hAnsi="宋体" w:eastAsia="宋体" w:cs="宋体"/>
                <w:b w:val="0"/>
                <w:bCs w:val="0"/>
                <w:color w:val="auto"/>
                <w:sz w:val="24"/>
                <w:szCs w:val="24"/>
                <w:highlight w:val="none"/>
              </w:rPr>
              <w:t>均附于本表后，作为本表的附件。</w:t>
            </w:r>
            <w:bookmarkEnd w:id="397"/>
            <w:bookmarkEnd w:id="398"/>
            <w:bookmarkEnd w:id="399"/>
            <w:bookmarkEnd w:id="400"/>
            <w:bookmarkEnd w:id="401"/>
          </w:p>
        </w:tc>
      </w:tr>
    </w:tbl>
    <w:p w14:paraId="27806681">
      <w:pPr>
        <w:pStyle w:val="18"/>
        <w:tabs>
          <w:tab w:val="left" w:pos="5527"/>
        </w:tabs>
        <w:ind w:firstLine="0"/>
        <w:jc w:val="center"/>
        <w:outlineLvl w:val="9"/>
        <w:rPr>
          <w:rFonts w:hint="eastAsia" w:ascii="宋体" w:hAnsi="宋体" w:eastAsia="宋体" w:cs="宋体"/>
          <w:bCs/>
          <w:color w:val="auto"/>
          <w:highlight w:val="none"/>
        </w:rPr>
      </w:pPr>
      <w:r>
        <w:rPr>
          <w:rFonts w:hint="eastAsia" w:ascii="宋体" w:hAnsi="宋体" w:eastAsia="宋体" w:cs="宋体"/>
          <w:bCs/>
          <w:color w:val="auto"/>
          <w:highlight w:val="none"/>
        </w:rPr>
        <w:t xml:space="preserve">        </w:t>
      </w:r>
    </w:p>
    <w:p w14:paraId="0F7112C9">
      <w:pPr>
        <w:tabs>
          <w:tab w:val="left" w:pos="5527"/>
        </w:tabs>
        <w:bidi w:val="0"/>
        <w:spacing w:line="600" w:lineRule="auto"/>
        <w:ind w:leftChars="1600"/>
        <w:outlineLvl w:val="9"/>
        <w:rPr>
          <w:rFonts w:hint="eastAsia" w:ascii="宋体" w:hAnsi="宋体" w:eastAsia="宋体" w:cs="宋体"/>
          <w:color w:val="auto"/>
          <w:sz w:val="28"/>
          <w:szCs w:val="28"/>
          <w:highlight w:val="none"/>
        </w:rPr>
      </w:pPr>
      <w:bookmarkStart w:id="402" w:name="_Toc7251"/>
      <w:bookmarkStart w:id="403" w:name="_Toc2493"/>
      <w:r>
        <w:rPr>
          <w:rFonts w:hint="eastAsia" w:ascii="宋体" w:hAnsi="宋体" w:eastAsia="宋体" w:cs="宋体"/>
          <w:color w:val="auto"/>
          <w:sz w:val="28"/>
          <w:szCs w:val="28"/>
          <w:highlight w:val="none"/>
        </w:rPr>
        <w:t>供应商名称（盖章）：</w:t>
      </w:r>
    </w:p>
    <w:p w14:paraId="452FFE03">
      <w:pPr>
        <w:tabs>
          <w:tab w:val="left" w:pos="5527"/>
        </w:tabs>
        <w:bidi w:val="0"/>
        <w:spacing w:line="600" w:lineRule="auto"/>
        <w:ind w:leftChars="16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法定代表人或委托代理人（签字或盖章）：</w:t>
      </w:r>
    </w:p>
    <w:p w14:paraId="0799245A">
      <w:pPr>
        <w:tabs>
          <w:tab w:val="left" w:pos="5527"/>
        </w:tabs>
        <w:bidi w:val="0"/>
        <w:spacing w:line="600" w:lineRule="auto"/>
        <w:ind w:leftChars="160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日期：     年   月   日</w:t>
      </w:r>
    </w:p>
    <w:p w14:paraId="6E92EC0C">
      <w:pPr>
        <w:outlineLvl w:val="9"/>
        <w:rPr>
          <w:rStyle w:val="38"/>
          <w:rFonts w:hint="eastAsia" w:ascii="宋体" w:hAnsi="宋体" w:eastAsia="宋体" w:cs="宋体"/>
          <w:b/>
          <w:bCs/>
          <w:color w:val="auto"/>
          <w:sz w:val="32"/>
          <w:szCs w:val="28"/>
          <w:highlight w:val="none"/>
          <w:lang w:val="en-US" w:eastAsia="zh-CN"/>
        </w:rPr>
      </w:pPr>
      <w:r>
        <w:rPr>
          <w:rFonts w:hint="eastAsia" w:ascii="宋体" w:hAnsi="宋体" w:eastAsia="宋体" w:cs="宋体"/>
          <w:color w:val="auto"/>
          <w:sz w:val="28"/>
          <w:szCs w:val="28"/>
          <w:highlight w:val="none"/>
        </w:rPr>
        <w:br w:type="page"/>
      </w:r>
      <w:bookmarkStart w:id="404" w:name="_Toc31275"/>
    </w:p>
    <w:p w14:paraId="738F8D1C">
      <w:pPr>
        <w:tabs>
          <w:tab w:val="left" w:pos="5527"/>
        </w:tabs>
        <w:spacing w:line="500" w:lineRule="exact"/>
        <w:jc w:val="both"/>
        <w:outlineLvl w:val="9"/>
        <w:rPr>
          <w:rStyle w:val="38"/>
          <w:rFonts w:hint="eastAsia" w:ascii="宋体" w:hAnsi="宋体" w:eastAsia="宋体" w:cs="宋体"/>
          <w:b/>
          <w:bCs/>
          <w:color w:val="auto"/>
          <w:sz w:val="32"/>
          <w:szCs w:val="28"/>
          <w:highlight w:val="none"/>
          <w:lang w:val="en-US" w:eastAsia="zh-CN"/>
        </w:rPr>
      </w:pPr>
      <w:bookmarkStart w:id="405" w:name="_Toc5179"/>
      <w:bookmarkStart w:id="406" w:name="_Toc2088"/>
      <w:bookmarkStart w:id="407" w:name="_Toc32169"/>
      <w:bookmarkStart w:id="408" w:name="_Toc30721"/>
      <w:bookmarkStart w:id="409" w:name="_Toc11312"/>
      <w:bookmarkStart w:id="410" w:name="_Toc23163"/>
      <w:r>
        <w:rPr>
          <w:rStyle w:val="38"/>
          <w:rFonts w:hint="eastAsia" w:ascii="宋体" w:hAnsi="宋体" w:eastAsia="宋体" w:cs="宋体"/>
          <w:b/>
          <w:bCs/>
          <w:color w:val="auto"/>
          <w:sz w:val="32"/>
          <w:szCs w:val="28"/>
          <w:highlight w:val="none"/>
          <w:lang w:val="en-US" w:eastAsia="zh-CN"/>
        </w:rPr>
        <w:t>附件</w:t>
      </w:r>
      <w:bookmarkEnd w:id="402"/>
      <w:bookmarkEnd w:id="403"/>
      <w:r>
        <w:rPr>
          <w:rStyle w:val="38"/>
          <w:rFonts w:hint="eastAsia" w:ascii="宋体" w:hAnsi="宋体" w:eastAsia="宋体" w:cs="宋体"/>
          <w:b/>
          <w:bCs/>
          <w:color w:val="auto"/>
          <w:sz w:val="32"/>
          <w:szCs w:val="28"/>
          <w:highlight w:val="none"/>
          <w:lang w:val="en-US" w:eastAsia="zh-CN"/>
        </w:rPr>
        <w:t>1</w:t>
      </w:r>
      <w:r>
        <w:rPr>
          <w:rStyle w:val="38"/>
          <w:rFonts w:hint="eastAsia" w:ascii="宋体" w:hAnsi="宋体" w:cs="宋体"/>
          <w:b/>
          <w:bCs/>
          <w:color w:val="auto"/>
          <w:sz w:val="32"/>
          <w:szCs w:val="28"/>
          <w:highlight w:val="none"/>
          <w:lang w:val="en-US" w:eastAsia="zh-CN"/>
        </w:rPr>
        <w:t>3</w:t>
      </w:r>
      <w:r>
        <w:rPr>
          <w:rStyle w:val="38"/>
          <w:rFonts w:hint="eastAsia" w:ascii="宋体" w:hAnsi="宋体" w:eastAsia="宋体" w:cs="宋体"/>
          <w:b/>
          <w:bCs/>
          <w:color w:val="auto"/>
          <w:sz w:val="32"/>
          <w:szCs w:val="28"/>
          <w:highlight w:val="none"/>
          <w:lang w:val="en-US" w:eastAsia="zh-CN"/>
        </w:rPr>
        <w:t>：</w:t>
      </w:r>
      <w:bookmarkEnd w:id="404"/>
    </w:p>
    <w:bookmarkEnd w:id="405"/>
    <w:bookmarkEnd w:id="406"/>
    <w:bookmarkEnd w:id="407"/>
    <w:bookmarkEnd w:id="408"/>
    <w:bookmarkEnd w:id="409"/>
    <w:bookmarkEnd w:id="410"/>
    <w:p w14:paraId="0C544372">
      <w:pPr>
        <w:keepNext w:val="0"/>
        <w:tabs>
          <w:tab w:val="left" w:pos="5527"/>
        </w:tabs>
        <w:jc w:val="center"/>
        <w:outlineLvl w:val="1"/>
        <w:rPr>
          <w:rFonts w:hint="eastAsia" w:ascii="宋体" w:hAnsi="宋体" w:eastAsia="宋体" w:cs="宋体"/>
          <w:b/>
          <w:bCs/>
          <w:color w:val="auto"/>
          <w:kern w:val="2"/>
          <w:sz w:val="32"/>
          <w:szCs w:val="21"/>
          <w:highlight w:val="none"/>
          <w:lang w:val="en-US" w:eastAsia="zh-CN"/>
        </w:rPr>
      </w:pPr>
      <w:bookmarkStart w:id="411" w:name="_Toc5649"/>
      <w:bookmarkStart w:id="412" w:name="_Toc5671"/>
      <w:bookmarkStart w:id="413" w:name="_Toc11356"/>
      <w:bookmarkStart w:id="414" w:name="_Toc1771"/>
      <w:bookmarkStart w:id="415" w:name="_Toc16106"/>
      <w:r>
        <w:rPr>
          <w:rFonts w:hint="eastAsia" w:ascii="宋体" w:hAnsi="宋体" w:eastAsia="宋体" w:cs="宋体"/>
          <w:b/>
          <w:bCs/>
          <w:color w:val="auto"/>
          <w:kern w:val="2"/>
          <w:sz w:val="32"/>
          <w:szCs w:val="21"/>
          <w:highlight w:val="none"/>
          <w:lang w:val="en-US" w:eastAsia="zh-CN"/>
        </w:rPr>
        <w:t>供货方案</w:t>
      </w:r>
      <w:bookmarkEnd w:id="411"/>
      <w:bookmarkEnd w:id="412"/>
    </w:p>
    <w:bookmarkEnd w:id="413"/>
    <w:bookmarkEnd w:id="414"/>
    <w:p w14:paraId="448097F3">
      <w:pPr>
        <w:outlineLvl w:val="9"/>
        <w:rPr>
          <w:rStyle w:val="38"/>
          <w:rFonts w:hint="default" w:ascii="宋体" w:hAnsi="宋体" w:eastAsia="宋体" w:cs="宋体"/>
          <w:b/>
          <w:bCs/>
          <w:color w:val="auto"/>
          <w:sz w:val="32"/>
          <w:szCs w:val="28"/>
          <w:highlight w:val="none"/>
          <w:lang w:val="en-US" w:eastAsia="zh-CN"/>
        </w:rPr>
      </w:pPr>
    </w:p>
    <w:p w14:paraId="7780171C">
      <w:pPr>
        <w:keepNext w:val="0"/>
        <w:keepLines w:val="0"/>
        <w:widowControl/>
        <w:suppressLineNumbers w:val="0"/>
        <w:spacing w:line="240" w:lineRule="auto"/>
        <w:jc w:val="center"/>
        <w:rPr>
          <w:rFonts w:hint="default" w:ascii="宋体" w:hAnsi="宋体" w:eastAsia="宋体" w:cs="宋体"/>
          <w:color w:val="auto"/>
          <w:kern w:val="0"/>
          <w:sz w:val="28"/>
          <w:szCs w:val="28"/>
          <w:highlight w:val="none"/>
          <w:lang w:val="en-US" w:eastAsia="zh-CN" w:bidi="ar"/>
        </w:rPr>
      </w:pPr>
      <w:bookmarkStart w:id="416" w:name="_Toc6030"/>
      <w:bookmarkStart w:id="417" w:name="_Toc1141"/>
      <w:bookmarkStart w:id="418" w:name="_Toc25922"/>
      <w:bookmarkStart w:id="419" w:name="_Toc28507"/>
      <w:bookmarkStart w:id="420" w:name="_Toc4106"/>
      <w:r>
        <w:rPr>
          <w:rFonts w:hint="eastAsia" w:ascii="宋体" w:hAnsi="宋体" w:eastAsia="宋体" w:cs="宋体"/>
          <w:color w:val="auto"/>
          <w:kern w:val="0"/>
          <w:sz w:val="28"/>
          <w:szCs w:val="28"/>
          <w:highlight w:val="none"/>
          <w:lang w:val="en-US" w:eastAsia="zh-CN" w:bidi="ar"/>
        </w:rPr>
        <w:t>格式自拟</w:t>
      </w:r>
    </w:p>
    <w:p w14:paraId="3BB6EB1F">
      <w:pPr>
        <w:rPr>
          <w:rStyle w:val="38"/>
          <w:rFonts w:hint="eastAsia" w:ascii="宋体" w:hAnsi="宋体" w:eastAsia="宋体" w:cs="宋体"/>
          <w:b/>
          <w:bCs/>
          <w:color w:val="auto"/>
          <w:sz w:val="32"/>
          <w:szCs w:val="28"/>
          <w:highlight w:val="none"/>
          <w:lang w:val="en-US" w:eastAsia="zh-CN"/>
        </w:rPr>
      </w:pPr>
      <w:r>
        <w:rPr>
          <w:rStyle w:val="38"/>
          <w:rFonts w:hint="eastAsia" w:ascii="宋体" w:hAnsi="宋体" w:eastAsia="宋体" w:cs="宋体"/>
          <w:b/>
          <w:bCs/>
          <w:color w:val="auto"/>
          <w:sz w:val="32"/>
          <w:szCs w:val="28"/>
          <w:highlight w:val="none"/>
          <w:lang w:val="en-US" w:eastAsia="zh-CN"/>
        </w:rPr>
        <w:br w:type="page"/>
      </w:r>
    </w:p>
    <w:p w14:paraId="62B66169">
      <w:pPr>
        <w:tabs>
          <w:tab w:val="left" w:pos="5527"/>
        </w:tabs>
        <w:spacing w:line="500" w:lineRule="exact"/>
        <w:jc w:val="both"/>
        <w:outlineLvl w:val="9"/>
        <w:rPr>
          <w:rStyle w:val="38"/>
          <w:rFonts w:hint="eastAsia" w:ascii="宋体" w:hAnsi="宋体" w:eastAsia="宋体" w:cs="宋体"/>
          <w:b/>
          <w:bCs/>
          <w:color w:val="auto"/>
          <w:sz w:val="32"/>
          <w:szCs w:val="28"/>
          <w:highlight w:val="none"/>
          <w:lang w:val="en-US" w:eastAsia="zh-CN"/>
        </w:rPr>
      </w:pPr>
      <w:r>
        <w:rPr>
          <w:rStyle w:val="38"/>
          <w:rFonts w:hint="eastAsia" w:ascii="宋体" w:hAnsi="宋体" w:eastAsia="宋体" w:cs="宋体"/>
          <w:b/>
          <w:bCs/>
          <w:color w:val="auto"/>
          <w:sz w:val="32"/>
          <w:szCs w:val="28"/>
          <w:highlight w:val="none"/>
          <w:lang w:val="en-US" w:eastAsia="zh-CN"/>
        </w:rPr>
        <w:t>附件1</w:t>
      </w:r>
      <w:r>
        <w:rPr>
          <w:rStyle w:val="38"/>
          <w:rFonts w:hint="eastAsia" w:ascii="宋体" w:hAnsi="宋体" w:cs="宋体"/>
          <w:b/>
          <w:bCs/>
          <w:color w:val="auto"/>
          <w:sz w:val="32"/>
          <w:szCs w:val="28"/>
          <w:highlight w:val="none"/>
          <w:lang w:val="en-US" w:eastAsia="zh-CN"/>
        </w:rPr>
        <w:t>4</w:t>
      </w:r>
      <w:r>
        <w:rPr>
          <w:rStyle w:val="38"/>
          <w:rFonts w:hint="eastAsia" w:ascii="宋体" w:hAnsi="宋体" w:eastAsia="宋体" w:cs="宋体"/>
          <w:b/>
          <w:bCs/>
          <w:color w:val="auto"/>
          <w:sz w:val="32"/>
          <w:szCs w:val="28"/>
          <w:highlight w:val="none"/>
          <w:lang w:val="en-US" w:eastAsia="zh-CN"/>
        </w:rPr>
        <w:t>：</w:t>
      </w:r>
    </w:p>
    <w:bookmarkEnd w:id="415"/>
    <w:bookmarkEnd w:id="416"/>
    <w:bookmarkEnd w:id="417"/>
    <w:bookmarkEnd w:id="418"/>
    <w:bookmarkEnd w:id="419"/>
    <w:bookmarkEnd w:id="420"/>
    <w:p w14:paraId="417B64A8">
      <w:pPr>
        <w:keepNext w:val="0"/>
        <w:tabs>
          <w:tab w:val="left" w:pos="5527"/>
        </w:tabs>
        <w:jc w:val="center"/>
        <w:outlineLvl w:val="1"/>
        <w:rPr>
          <w:rFonts w:hint="eastAsia" w:ascii="宋体" w:hAnsi="宋体" w:eastAsia="宋体" w:cs="宋体"/>
          <w:b/>
          <w:bCs/>
          <w:color w:val="auto"/>
          <w:kern w:val="2"/>
          <w:sz w:val="32"/>
          <w:szCs w:val="21"/>
          <w:highlight w:val="none"/>
          <w:lang w:val="en-US" w:eastAsia="zh-CN"/>
        </w:rPr>
      </w:pPr>
      <w:bookmarkStart w:id="421" w:name="_Toc14083"/>
      <w:r>
        <w:rPr>
          <w:rFonts w:hint="eastAsia" w:ascii="宋体" w:hAnsi="宋体" w:eastAsia="宋体" w:cs="宋体"/>
          <w:b/>
          <w:bCs/>
          <w:color w:val="auto"/>
          <w:kern w:val="2"/>
          <w:sz w:val="32"/>
          <w:szCs w:val="21"/>
          <w:highlight w:val="none"/>
          <w:lang w:val="en-US" w:eastAsia="zh-CN"/>
        </w:rPr>
        <w:t xml:space="preserve">中小企业声明函（货物） </w:t>
      </w:r>
    </w:p>
    <w:bookmarkEnd w:id="421"/>
    <w:p w14:paraId="27108F3B">
      <w:pPr>
        <w:keepNext w:val="0"/>
        <w:keepLines w:val="0"/>
        <w:widowControl/>
        <w:suppressLineNumbers w:val="0"/>
        <w:spacing w:line="240" w:lineRule="auto"/>
        <w:ind w:firstLine="564" w:firstLineChars="200"/>
        <w:jc w:val="left"/>
        <w:rPr>
          <w:rFonts w:hint="eastAsia" w:ascii="宋体" w:hAnsi="宋体" w:cs="宋体"/>
          <w:color w:val="auto"/>
          <w:kern w:val="0"/>
          <w:sz w:val="28"/>
          <w:szCs w:val="28"/>
          <w:highlight w:val="none"/>
          <w:u w:val="single"/>
          <w:lang w:val="en-US" w:eastAsia="zh-CN" w:bidi="ar"/>
        </w:rPr>
      </w:pPr>
      <w:r>
        <w:rPr>
          <w:rFonts w:hint="eastAsia" w:ascii="宋体" w:hAnsi="宋体" w:eastAsia="宋体" w:cs="宋体"/>
          <w:color w:val="auto"/>
          <w:kern w:val="0"/>
          <w:sz w:val="28"/>
          <w:szCs w:val="28"/>
          <w:highlight w:val="none"/>
          <w:lang w:val="en-US" w:eastAsia="zh-CN" w:bidi="ar"/>
        </w:rPr>
        <w:t>本公司（联合体）郑重声明，根据《政府采购促进中小企业发展管理办法》（财库﹝2020﹞46 号）的规定，本公司（联合体）参加</w:t>
      </w:r>
      <w:r>
        <w:rPr>
          <w:rFonts w:hint="eastAsia" w:ascii="宋体" w:hAnsi="宋体" w:eastAsia="宋体" w:cs="宋体"/>
          <w:color w:val="auto"/>
          <w:kern w:val="0"/>
          <w:sz w:val="28"/>
          <w:szCs w:val="28"/>
          <w:highlight w:val="none"/>
          <w:u w:val="single"/>
          <w:lang w:val="en-US" w:eastAsia="zh-CN" w:bidi="ar"/>
        </w:rPr>
        <w:t xml:space="preserve"> </w:t>
      </w:r>
      <w:r>
        <w:rPr>
          <w:rFonts w:hint="eastAsia" w:ascii="宋体" w:hAnsi="宋体" w:cs="宋体"/>
          <w:color w:val="auto"/>
          <w:kern w:val="0"/>
          <w:sz w:val="28"/>
          <w:szCs w:val="28"/>
          <w:highlight w:val="none"/>
          <w:u w:val="single"/>
          <w:lang w:val="en-US" w:eastAsia="zh-CN" w:bidi="ar"/>
        </w:rPr>
        <w:t xml:space="preserve"> </w:t>
      </w:r>
    </w:p>
    <w:p w14:paraId="07958FB1">
      <w:pPr>
        <w:keepNext w:val="0"/>
        <w:keepLines w:val="0"/>
        <w:widowControl/>
        <w:suppressLineNumbers w:val="0"/>
        <w:spacing w:line="240" w:lineRule="auto"/>
        <w:jc w:val="left"/>
        <w:rPr>
          <w:rFonts w:hint="eastAsia" w:ascii="宋体" w:hAnsi="宋体" w:eastAsia="宋体" w:cs="宋体"/>
          <w:color w:val="auto"/>
          <w:sz w:val="28"/>
          <w:szCs w:val="28"/>
          <w:highlight w:val="none"/>
        </w:rPr>
      </w:pPr>
      <w:r>
        <w:rPr>
          <w:rFonts w:hint="eastAsia" w:ascii="宋体" w:hAnsi="宋体" w:cs="宋体"/>
          <w:color w:val="auto"/>
          <w:kern w:val="0"/>
          <w:sz w:val="28"/>
          <w:szCs w:val="28"/>
          <w:highlight w:val="none"/>
          <w:u w:val="single"/>
          <w:lang w:val="en-US" w:eastAsia="zh-CN" w:bidi="ar"/>
        </w:rPr>
        <w:t xml:space="preserve"> </w:t>
      </w:r>
      <w:r>
        <w:rPr>
          <w:rFonts w:hint="eastAsia" w:ascii="宋体" w:hAnsi="宋体" w:eastAsia="宋体" w:cs="宋体"/>
          <w:color w:val="auto"/>
          <w:kern w:val="0"/>
          <w:sz w:val="28"/>
          <w:szCs w:val="28"/>
          <w:highlight w:val="none"/>
          <w:u w:val="single"/>
          <w:lang w:val="en-US" w:eastAsia="zh-CN" w:bidi="ar"/>
        </w:rPr>
        <w:t xml:space="preserve">      </w:t>
      </w:r>
      <w:r>
        <w:rPr>
          <w:rFonts w:hint="eastAsia" w:ascii="宋体" w:hAnsi="宋体" w:eastAsia="宋体" w:cs="宋体"/>
          <w:i/>
          <w:iCs/>
          <w:color w:val="auto"/>
          <w:kern w:val="0"/>
          <w:sz w:val="28"/>
          <w:szCs w:val="28"/>
          <w:highlight w:val="none"/>
          <w:lang w:val="en-US" w:eastAsia="zh-CN" w:bidi="ar"/>
        </w:rPr>
        <w:t>（单位名称）</w:t>
      </w:r>
      <w:r>
        <w:rPr>
          <w:rFonts w:hint="eastAsia" w:ascii="宋体" w:hAnsi="宋体" w:eastAsia="宋体" w:cs="宋体"/>
          <w:color w:val="auto"/>
          <w:kern w:val="0"/>
          <w:sz w:val="28"/>
          <w:szCs w:val="28"/>
          <w:highlight w:val="none"/>
          <w:lang w:val="en-US" w:eastAsia="zh-CN" w:bidi="ar"/>
        </w:rPr>
        <w:t>的</w:t>
      </w:r>
      <w:r>
        <w:rPr>
          <w:rFonts w:hint="eastAsia" w:ascii="宋体" w:hAnsi="宋体" w:eastAsia="宋体" w:cs="宋体"/>
          <w:color w:val="auto"/>
          <w:kern w:val="0"/>
          <w:sz w:val="28"/>
          <w:szCs w:val="28"/>
          <w:highlight w:val="none"/>
          <w:u w:val="single"/>
          <w:lang w:val="en-US" w:eastAsia="zh-CN" w:bidi="ar"/>
        </w:rPr>
        <w:t xml:space="preserve">       </w:t>
      </w:r>
      <w:r>
        <w:rPr>
          <w:rFonts w:hint="eastAsia" w:ascii="宋体" w:hAnsi="宋体" w:eastAsia="宋体" w:cs="宋体"/>
          <w:i/>
          <w:iCs/>
          <w:color w:val="auto"/>
          <w:kern w:val="0"/>
          <w:sz w:val="28"/>
          <w:szCs w:val="28"/>
          <w:highlight w:val="none"/>
          <w:lang w:val="en-US" w:eastAsia="zh-CN" w:bidi="ar"/>
        </w:rPr>
        <w:t>（项目名称）</w:t>
      </w:r>
      <w:r>
        <w:rPr>
          <w:rFonts w:hint="eastAsia" w:ascii="宋体" w:hAnsi="宋体" w:eastAsia="宋体" w:cs="宋体"/>
          <w:color w:val="auto"/>
          <w:kern w:val="0"/>
          <w:sz w:val="28"/>
          <w:szCs w:val="28"/>
          <w:highlight w:val="none"/>
          <w:lang w:val="en-US" w:eastAsia="zh-CN" w:bidi="ar"/>
        </w:rPr>
        <w:t xml:space="preserve">采购活动，提供的货物全部由符合政策要求的中小企业制造。相关企业（含联合体中的中小企业、签订分包意向协议的中小企业）的具体情况如下： </w:t>
      </w:r>
    </w:p>
    <w:p w14:paraId="7FE2C1E1">
      <w:pPr>
        <w:keepNext w:val="0"/>
        <w:keepLines w:val="0"/>
        <w:widowControl/>
        <w:suppressLineNumbers w:val="0"/>
        <w:spacing w:line="240" w:lineRule="auto"/>
        <w:jc w:val="left"/>
        <w:rPr>
          <w:rFonts w:hint="eastAsia" w:ascii="宋体" w:hAnsi="宋体" w:eastAsia="宋体" w:cs="宋体"/>
          <w:color w:val="auto"/>
          <w:sz w:val="28"/>
          <w:szCs w:val="28"/>
          <w:highlight w:val="none"/>
        </w:rPr>
      </w:pPr>
      <w:r>
        <w:rPr>
          <w:rFonts w:hint="eastAsia" w:ascii="宋体" w:hAnsi="宋体" w:eastAsia="宋体" w:cs="宋体"/>
          <w:color w:val="auto"/>
          <w:kern w:val="0"/>
          <w:sz w:val="28"/>
          <w:szCs w:val="28"/>
          <w:highlight w:val="none"/>
          <w:lang w:val="en-US" w:eastAsia="zh-CN" w:bidi="ar"/>
        </w:rPr>
        <w:t>1.</w:t>
      </w:r>
      <w:r>
        <w:rPr>
          <w:rFonts w:hint="eastAsia" w:ascii="宋体" w:hAnsi="宋体" w:eastAsia="宋体" w:cs="宋体"/>
          <w:color w:val="auto"/>
          <w:kern w:val="0"/>
          <w:sz w:val="28"/>
          <w:szCs w:val="28"/>
          <w:highlight w:val="none"/>
          <w:u w:val="single"/>
          <w:lang w:val="en-US" w:eastAsia="zh-CN" w:bidi="ar"/>
        </w:rPr>
        <w:t xml:space="preserve">       </w:t>
      </w:r>
      <w:r>
        <w:rPr>
          <w:rFonts w:hint="eastAsia" w:ascii="宋体" w:hAnsi="宋体" w:eastAsia="宋体" w:cs="宋体"/>
          <w:i/>
          <w:iCs/>
          <w:color w:val="auto"/>
          <w:kern w:val="0"/>
          <w:sz w:val="28"/>
          <w:szCs w:val="28"/>
          <w:highlight w:val="none"/>
          <w:lang w:val="en-US" w:eastAsia="zh-CN" w:bidi="ar"/>
        </w:rPr>
        <w:t xml:space="preserve">（标的名称） </w:t>
      </w:r>
      <w:r>
        <w:rPr>
          <w:rFonts w:hint="eastAsia" w:ascii="宋体" w:hAnsi="宋体" w:eastAsia="宋体" w:cs="宋体"/>
          <w:color w:val="auto"/>
          <w:kern w:val="0"/>
          <w:sz w:val="28"/>
          <w:szCs w:val="28"/>
          <w:highlight w:val="none"/>
          <w:lang w:val="en-US" w:eastAsia="zh-CN" w:bidi="ar"/>
        </w:rPr>
        <w:t>，属于</w:t>
      </w:r>
      <w:r>
        <w:rPr>
          <w:rFonts w:hint="eastAsia" w:ascii="宋体" w:hAnsi="宋体" w:eastAsia="宋体" w:cs="宋体"/>
          <w:color w:val="auto"/>
          <w:kern w:val="0"/>
          <w:sz w:val="28"/>
          <w:szCs w:val="28"/>
          <w:highlight w:val="none"/>
          <w:u w:val="single"/>
          <w:lang w:val="en-US" w:eastAsia="zh-CN" w:bidi="ar"/>
        </w:rPr>
        <w:t xml:space="preserve">       </w:t>
      </w:r>
      <w:r>
        <w:rPr>
          <w:rFonts w:hint="eastAsia" w:ascii="宋体" w:hAnsi="宋体" w:eastAsia="宋体" w:cs="宋体"/>
          <w:i/>
          <w:iCs/>
          <w:color w:val="auto"/>
          <w:kern w:val="0"/>
          <w:sz w:val="28"/>
          <w:szCs w:val="28"/>
          <w:highlight w:val="none"/>
          <w:lang w:val="en-US" w:eastAsia="zh-CN" w:bidi="ar"/>
        </w:rPr>
        <w:t>（采购文件中明确的所属行业）</w:t>
      </w:r>
      <w:r>
        <w:rPr>
          <w:rFonts w:hint="eastAsia" w:ascii="宋体" w:hAnsi="宋体" w:eastAsia="宋体" w:cs="宋体"/>
          <w:i w:val="0"/>
          <w:iCs w:val="0"/>
          <w:color w:val="auto"/>
          <w:kern w:val="0"/>
          <w:sz w:val="28"/>
          <w:szCs w:val="28"/>
          <w:highlight w:val="none"/>
          <w:lang w:val="en-US" w:eastAsia="zh-CN" w:bidi="ar"/>
        </w:rPr>
        <w:t>行业</w:t>
      </w:r>
      <w:r>
        <w:rPr>
          <w:rFonts w:hint="eastAsia" w:ascii="宋体" w:hAnsi="宋体" w:eastAsia="宋体" w:cs="宋体"/>
          <w:color w:val="auto"/>
          <w:kern w:val="0"/>
          <w:sz w:val="28"/>
          <w:szCs w:val="28"/>
          <w:highlight w:val="none"/>
          <w:lang w:val="en-US" w:eastAsia="zh-CN" w:bidi="ar"/>
        </w:rPr>
        <w:t>；制造商为</w:t>
      </w:r>
      <w:r>
        <w:rPr>
          <w:rFonts w:hint="eastAsia" w:ascii="宋体" w:hAnsi="宋体" w:eastAsia="宋体" w:cs="宋体"/>
          <w:color w:val="auto"/>
          <w:kern w:val="0"/>
          <w:sz w:val="28"/>
          <w:szCs w:val="28"/>
          <w:highlight w:val="none"/>
          <w:u w:val="single"/>
          <w:lang w:val="en-US" w:eastAsia="zh-CN" w:bidi="ar"/>
        </w:rPr>
        <w:t xml:space="preserve">       </w:t>
      </w:r>
      <w:r>
        <w:rPr>
          <w:rFonts w:hint="eastAsia" w:ascii="宋体" w:hAnsi="宋体" w:eastAsia="宋体" w:cs="宋体"/>
          <w:i/>
          <w:iCs/>
          <w:color w:val="auto"/>
          <w:kern w:val="0"/>
          <w:sz w:val="28"/>
          <w:szCs w:val="28"/>
          <w:highlight w:val="none"/>
          <w:lang w:val="en-US" w:eastAsia="zh-CN" w:bidi="ar"/>
        </w:rPr>
        <w:t>（企业名称）</w:t>
      </w:r>
      <w:r>
        <w:rPr>
          <w:rFonts w:hint="eastAsia" w:ascii="宋体" w:hAnsi="宋体" w:eastAsia="宋体" w:cs="宋体"/>
          <w:color w:val="auto"/>
          <w:kern w:val="0"/>
          <w:sz w:val="28"/>
          <w:szCs w:val="28"/>
          <w:highlight w:val="none"/>
          <w:lang w:val="en-US" w:eastAsia="zh-CN" w:bidi="ar"/>
        </w:rPr>
        <w:t>，从业人员</w:t>
      </w:r>
      <w:r>
        <w:rPr>
          <w:rFonts w:hint="eastAsia" w:ascii="宋体" w:hAnsi="宋体" w:eastAsia="宋体" w:cs="宋体"/>
          <w:color w:val="auto"/>
          <w:kern w:val="0"/>
          <w:sz w:val="28"/>
          <w:szCs w:val="28"/>
          <w:highlight w:val="none"/>
          <w:u w:val="single"/>
          <w:lang w:val="en-US" w:eastAsia="zh-CN" w:bidi="ar"/>
        </w:rPr>
        <w:t xml:space="preserve">       </w:t>
      </w:r>
      <w:r>
        <w:rPr>
          <w:rFonts w:hint="eastAsia" w:ascii="宋体" w:hAnsi="宋体" w:eastAsia="宋体" w:cs="宋体"/>
          <w:color w:val="auto"/>
          <w:kern w:val="0"/>
          <w:sz w:val="28"/>
          <w:szCs w:val="28"/>
          <w:highlight w:val="none"/>
          <w:lang w:val="en-US" w:eastAsia="zh-CN" w:bidi="ar"/>
        </w:rPr>
        <w:t>人，营业收入为</w:t>
      </w:r>
      <w:r>
        <w:rPr>
          <w:rFonts w:hint="eastAsia" w:ascii="宋体" w:hAnsi="宋体" w:eastAsia="宋体" w:cs="宋体"/>
          <w:color w:val="auto"/>
          <w:kern w:val="0"/>
          <w:sz w:val="28"/>
          <w:szCs w:val="28"/>
          <w:highlight w:val="none"/>
          <w:u w:val="single"/>
          <w:lang w:val="en-US" w:eastAsia="zh-CN" w:bidi="ar"/>
        </w:rPr>
        <w:t xml:space="preserve">       </w:t>
      </w:r>
      <w:r>
        <w:rPr>
          <w:rFonts w:hint="eastAsia" w:ascii="宋体" w:hAnsi="宋体" w:eastAsia="宋体" w:cs="宋体"/>
          <w:color w:val="auto"/>
          <w:kern w:val="0"/>
          <w:sz w:val="28"/>
          <w:szCs w:val="28"/>
          <w:highlight w:val="none"/>
          <w:lang w:val="en-US" w:eastAsia="zh-CN" w:bidi="ar"/>
        </w:rPr>
        <w:t>万元，资产总额为</w:t>
      </w:r>
      <w:r>
        <w:rPr>
          <w:rFonts w:hint="eastAsia" w:ascii="宋体" w:hAnsi="宋体" w:eastAsia="宋体" w:cs="宋体"/>
          <w:color w:val="auto"/>
          <w:kern w:val="0"/>
          <w:sz w:val="28"/>
          <w:szCs w:val="28"/>
          <w:highlight w:val="none"/>
          <w:u w:val="single"/>
          <w:lang w:val="en-US" w:eastAsia="zh-CN" w:bidi="ar"/>
        </w:rPr>
        <w:t xml:space="preserve">       </w:t>
      </w:r>
      <w:r>
        <w:rPr>
          <w:rFonts w:hint="eastAsia" w:ascii="宋体" w:hAnsi="宋体" w:eastAsia="宋体" w:cs="宋体"/>
          <w:color w:val="auto"/>
          <w:kern w:val="0"/>
          <w:sz w:val="28"/>
          <w:szCs w:val="28"/>
          <w:highlight w:val="none"/>
          <w:lang w:val="en-US" w:eastAsia="zh-CN" w:bidi="ar"/>
        </w:rPr>
        <w:t>万元 ，属于</w:t>
      </w:r>
      <w:r>
        <w:rPr>
          <w:rFonts w:hint="eastAsia" w:ascii="宋体" w:hAnsi="宋体" w:eastAsia="宋体" w:cs="宋体"/>
          <w:color w:val="auto"/>
          <w:kern w:val="0"/>
          <w:sz w:val="28"/>
          <w:szCs w:val="28"/>
          <w:highlight w:val="none"/>
          <w:u w:val="single"/>
          <w:lang w:val="en-US" w:eastAsia="zh-CN" w:bidi="ar"/>
        </w:rPr>
        <w:t xml:space="preserve">       </w:t>
      </w:r>
      <w:r>
        <w:rPr>
          <w:rFonts w:hint="eastAsia" w:ascii="宋体" w:hAnsi="宋体" w:eastAsia="宋体" w:cs="宋体"/>
          <w:i/>
          <w:iCs/>
          <w:color w:val="auto"/>
          <w:kern w:val="0"/>
          <w:sz w:val="28"/>
          <w:szCs w:val="28"/>
          <w:highlight w:val="none"/>
          <w:lang w:val="en-US" w:eastAsia="zh-CN" w:bidi="ar"/>
        </w:rPr>
        <w:t>（中型企业、小型企业、微型企业）</w:t>
      </w:r>
      <w:r>
        <w:rPr>
          <w:rFonts w:hint="eastAsia" w:ascii="宋体" w:hAnsi="宋体" w:eastAsia="宋体" w:cs="宋体"/>
          <w:color w:val="auto"/>
          <w:kern w:val="0"/>
          <w:sz w:val="28"/>
          <w:szCs w:val="28"/>
          <w:highlight w:val="none"/>
          <w:lang w:val="en-US" w:eastAsia="zh-CN" w:bidi="ar"/>
        </w:rPr>
        <w:t xml:space="preserve">； </w:t>
      </w:r>
    </w:p>
    <w:p w14:paraId="66C61D17">
      <w:pPr>
        <w:keepNext w:val="0"/>
        <w:keepLines w:val="0"/>
        <w:widowControl/>
        <w:suppressLineNumbers w:val="0"/>
        <w:spacing w:line="240" w:lineRule="auto"/>
        <w:jc w:val="left"/>
        <w:rPr>
          <w:rFonts w:hint="eastAsia" w:ascii="宋体" w:hAnsi="宋体" w:eastAsia="宋体" w:cs="宋体"/>
          <w:color w:val="auto"/>
          <w:kern w:val="0"/>
          <w:sz w:val="28"/>
          <w:szCs w:val="28"/>
          <w:highlight w:val="none"/>
          <w:lang w:val="en-US" w:eastAsia="zh-CN" w:bidi="ar"/>
        </w:rPr>
      </w:pPr>
      <w:r>
        <w:rPr>
          <w:rFonts w:hint="eastAsia" w:ascii="宋体" w:hAnsi="宋体" w:eastAsia="宋体" w:cs="宋体"/>
          <w:color w:val="auto"/>
          <w:kern w:val="0"/>
          <w:sz w:val="28"/>
          <w:szCs w:val="28"/>
          <w:highlight w:val="none"/>
          <w:lang w:val="en-US" w:eastAsia="zh-CN" w:bidi="ar"/>
        </w:rPr>
        <w:t>2.</w:t>
      </w:r>
      <w:r>
        <w:rPr>
          <w:rFonts w:hint="eastAsia" w:ascii="宋体" w:hAnsi="宋体" w:eastAsia="宋体" w:cs="宋体"/>
          <w:color w:val="auto"/>
          <w:kern w:val="0"/>
          <w:sz w:val="28"/>
          <w:szCs w:val="28"/>
          <w:highlight w:val="none"/>
          <w:u w:val="single"/>
          <w:lang w:val="en-US" w:eastAsia="zh-CN" w:bidi="ar"/>
        </w:rPr>
        <w:t xml:space="preserve">       </w:t>
      </w:r>
      <w:r>
        <w:rPr>
          <w:rFonts w:hint="eastAsia" w:ascii="宋体" w:hAnsi="宋体" w:eastAsia="宋体" w:cs="宋体"/>
          <w:i/>
          <w:iCs/>
          <w:color w:val="auto"/>
          <w:kern w:val="0"/>
          <w:sz w:val="28"/>
          <w:szCs w:val="28"/>
          <w:highlight w:val="none"/>
          <w:lang w:val="en-US" w:eastAsia="zh-CN" w:bidi="ar"/>
        </w:rPr>
        <w:t xml:space="preserve">（标的名称） </w:t>
      </w:r>
      <w:r>
        <w:rPr>
          <w:rFonts w:hint="eastAsia" w:ascii="宋体" w:hAnsi="宋体" w:eastAsia="宋体" w:cs="宋体"/>
          <w:color w:val="auto"/>
          <w:kern w:val="0"/>
          <w:sz w:val="28"/>
          <w:szCs w:val="28"/>
          <w:highlight w:val="none"/>
          <w:lang w:val="en-US" w:eastAsia="zh-CN" w:bidi="ar"/>
        </w:rPr>
        <w:t>，属于</w:t>
      </w:r>
      <w:r>
        <w:rPr>
          <w:rFonts w:hint="eastAsia" w:ascii="宋体" w:hAnsi="宋体" w:eastAsia="宋体" w:cs="宋体"/>
          <w:color w:val="auto"/>
          <w:kern w:val="0"/>
          <w:sz w:val="28"/>
          <w:szCs w:val="28"/>
          <w:highlight w:val="none"/>
          <w:u w:val="single"/>
          <w:lang w:val="en-US" w:eastAsia="zh-CN" w:bidi="ar"/>
        </w:rPr>
        <w:t xml:space="preserve">       </w:t>
      </w:r>
      <w:r>
        <w:rPr>
          <w:rFonts w:hint="eastAsia" w:ascii="宋体" w:hAnsi="宋体" w:eastAsia="宋体" w:cs="宋体"/>
          <w:i/>
          <w:iCs/>
          <w:color w:val="auto"/>
          <w:kern w:val="0"/>
          <w:sz w:val="28"/>
          <w:szCs w:val="28"/>
          <w:highlight w:val="none"/>
          <w:lang w:val="en-US" w:eastAsia="zh-CN" w:bidi="ar"/>
        </w:rPr>
        <w:t>（采购文件中明确的所属行业）</w:t>
      </w:r>
      <w:r>
        <w:rPr>
          <w:rFonts w:hint="eastAsia" w:ascii="宋体" w:hAnsi="宋体" w:eastAsia="宋体" w:cs="宋体"/>
          <w:i w:val="0"/>
          <w:iCs w:val="0"/>
          <w:color w:val="auto"/>
          <w:kern w:val="0"/>
          <w:sz w:val="28"/>
          <w:szCs w:val="28"/>
          <w:highlight w:val="none"/>
          <w:lang w:val="en-US" w:eastAsia="zh-CN" w:bidi="ar"/>
        </w:rPr>
        <w:t>行业</w:t>
      </w:r>
      <w:r>
        <w:rPr>
          <w:rFonts w:hint="eastAsia" w:ascii="宋体" w:hAnsi="宋体" w:eastAsia="宋体" w:cs="宋体"/>
          <w:color w:val="auto"/>
          <w:kern w:val="0"/>
          <w:sz w:val="28"/>
          <w:szCs w:val="28"/>
          <w:highlight w:val="none"/>
          <w:lang w:val="en-US" w:eastAsia="zh-CN" w:bidi="ar"/>
        </w:rPr>
        <w:t>；制造商为</w:t>
      </w:r>
      <w:r>
        <w:rPr>
          <w:rFonts w:hint="eastAsia" w:ascii="宋体" w:hAnsi="宋体" w:eastAsia="宋体" w:cs="宋体"/>
          <w:color w:val="auto"/>
          <w:kern w:val="0"/>
          <w:sz w:val="28"/>
          <w:szCs w:val="28"/>
          <w:highlight w:val="none"/>
          <w:u w:val="single"/>
          <w:lang w:val="en-US" w:eastAsia="zh-CN" w:bidi="ar"/>
        </w:rPr>
        <w:t xml:space="preserve">       </w:t>
      </w:r>
      <w:r>
        <w:rPr>
          <w:rFonts w:hint="eastAsia" w:ascii="宋体" w:hAnsi="宋体" w:eastAsia="宋体" w:cs="宋体"/>
          <w:i/>
          <w:iCs/>
          <w:color w:val="auto"/>
          <w:kern w:val="0"/>
          <w:sz w:val="28"/>
          <w:szCs w:val="28"/>
          <w:highlight w:val="none"/>
          <w:lang w:val="en-US" w:eastAsia="zh-CN" w:bidi="ar"/>
        </w:rPr>
        <w:t>（企业名称）</w:t>
      </w:r>
      <w:r>
        <w:rPr>
          <w:rFonts w:hint="eastAsia" w:ascii="宋体" w:hAnsi="宋体" w:eastAsia="宋体" w:cs="宋体"/>
          <w:color w:val="auto"/>
          <w:kern w:val="0"/>
          <w:sz w:val="28"/>
          <w:szCs w:val="28"/>
          <w:highlight w:val="none"/>
          <w:lang w:val="en-US" w:eastAsia="zh-CN" w:bidi="ar"/>
        </w:rPr>
        <w:t>，从业人员</w:t>
      </w:r>
      <w:r>
        <w:rPr>
          <w:rFonts w:hint="eastAsia" w:ascii="宋体" w:hAnsi="宋体" w:eastAsia="宋体" w:cs="宋体"/>
          <w:color w:val="auto"/>
          <w:kern w:val="0"/>
          <w:sz w:val="28"/>
          <w:szCs w:val="28"/>
          <w:highlight w:val="none"/>
          <w:u w:val="single"/>
          <w:lang w:val="en-US" w:eastAsia="zh-CN" w:bidi="ar"/>
        </w:rPr>
        <w:t xml:space="preserve">       </w:t>
      </w:r>
      <w:r>
        <w:rPr>
          <w:rFonts w:hint="eastAsia" w:ascii="宋体" w:hAnsi="宋体" w:eastAsia="宋体" w:cs="宋体"/>
          <w:color w:val="auto"/>
          <w:kern w:val="0"/>
          <w:sz w:val="28"/>
          <w:szCs w:val="28"/>
          <w:highlight w:val="none"/>
          <w:lang w:val="en-US" w:eastAsia="zh-CN" w:bidi="ar"/>
        </w:rPr>
        <w:t>人，营业收入为</w:t>
      </w:r>
      <w:r>
        <w:rPr>
          <w:rFonts w:hint="eastAsia" w:ascii="宋体" w:hAnsi="宋体" w:eastAsia="宋体" w:cs="宋体"/>
          <w:color w:val="auto"/>
          <w:kern w:val="0"/>
          <w:sz w:val="28"/>
          <w:szCs w:val="28"/>
          <w:highlight w:val="none"/>
          <w:u w:val="single"/>
          <w:lang w:val="en-US" w:eastAsia="zh-CN" w:bidi="ar"/>
        </w:rPr>
        <w:t xml:space="preserve">       </w:t>
      </w:r>
      <w:r>
        <w:rPr>
          <w:rFonts w:hint="eastAsia" w:ascii="宋体" w:hAnsi="宋体" w:eastAsia="宋体" w:cs="宋体"/>
          <w:color w:val="auto"/>
          <w:kern w:val="0"/>
          <w:sz w:val="28"/>
          <w:szCs w:val="28"/>
          <w:highlight w:val="none"/>
          <w:lang w:val="en-US" w:eastAsia="zh-CN" w:bidi="ar"/>
        </w:rPr>
        <w:t>万元，资产总额为</w:t>
      </w:r>
      <w:r>
        <w:rPr>
          <w:rFonts w:hint="eastAsia" w:ascii="宋体" w:hAnsi="宋体" w:eastAsia="宋体" w:cs="宋体"/>
          <w:color w:val="auto"/>
          <w:kern w:val="0"/>
          <w:sz w:val="28"/>
          <w:szCs w:val="28"/>
          <w:highlight w:val="none"/>
          <w:u w:val="single"/>
          <w:lang w:val="en-US" w:eastAsia="zh-CN" w:bidi="ar"/>
        </w:rPr>
        <w:t xml:space="preserve">       </w:t>
      </w:r>
      <w:r>
        <w:rPr>
          <w:rFonts w:hint="eastAsia" w:ascii="宋体" w:hAnsi="宋体" w:eastAsia="宋体" w:cs="宋体"/>
          <w:color w:val="auto"/>
          <w:kern w:val="0"/>
          <w:sz w:val="28"/>
          <w:szCs w:val="28"/>
          <w:highlight w:val="none"/>
          <w:lang w:val="en-US" w:eastAsia="zh-CN" w:bidi="ar"/>
        </w:rPr>
        <w:t>万元，属于</w:t>
      </w:r>
      <w:r>
        <w:rPr>
          <w:rFonts w:hint="eastAsia" w:ascii="宋体" w:hAnsi="宋体" w:eastAsia="宋体" w:cs="宋体"/>
          <w:color w:val="auto"/>
          <w:kern w:val="0"/>
          <w:sz w:val="28"/>
          <w:szCs w:val="28"/>
          <w:highlight w:val="none"/>
          <w:u w:val="single"/>
          <w:lang w:val="en-US" w:eastAsia="zh-CN" w:bidi="ar"/>
        </w:rPr>
        <w:t xml:space="preserve">       </w:t>
      </w:r>
      <w:r>
        <w:rPr>
          <w:rFonts w:hint="eastAsia" w:ascii="宋体" w:hAnsi="宋体" w:eastAsia="宋体" w:cs="宋体"/>
          <w:i/>
          <w:iCs/>
          <w:color w:val="auto"/>
          <w:kern w:val="0"/>
          <w:sz w:val="28"/>
          <w:szCs w:val="28"/>
          <w:highlight w:val="none"/>
          <w:lang w:val="en-US" w:eastAsia="zh-CN" w:bidi="ar"/>
        </w:rPr>
        <w:t>（中型企业、小型企业、微型企业）</w:t>
      </w:r>
      <w:r>
        <w:rPr>
          <w:rFonts w:hint="eastAsia" w:ascii="宋体" w:hAnsi="宋体" w:eastAsia="宋体" w:cs="宋体"/>
          <w:color w:val="auto"/>
          <w:kern w:val="0"/>
          <w:sz w:val="28"/>
          <w:szCs w:val="28"/>
          <w:highlight w:val="none"/>
          <w:lang w:val="en-US" w:eastAsia="zh-CN" w:bidi="ar"/>
        </w:rPr>
        <w:t>；</w:t>
      </w:r>
    </w:p>
    <w:p w14:paraId="5B80321D">
      <w:pPr>
        <w:keepNext w:val="0"/>
        <w:keepLines w:val="0"/>
        <w:widowControl/>
        <w:suppressLineNumbers w:val="0"/>
        <w:spacing w:line="240" w:lineRule="auto"/>
        <w:jc w:val="left"/>
        <w:rPr>
          <w:rFonts w:hint="eastAsia" w:ascii="宋体" w:hAnsi="宋体" w:eastAsia="宋体" w:cs="宋体"/>
          <w:color w:val="auto"/>
          <w:sz w:val="28"/>
          <w:szCs w:val="28"/>
          <w:highlight w:val="none"/>
        </w:rPr>
      </w:pPr>
      <w:r>
        <w:rPr>
          <w:rFonts w:hint="eastAsia" w:ascii="宋体" w:hAnsi="宋体" w:eastAsia="宋体" w:cs="宋体"/>
          <w:color w:val="auto"/>
          <w:kern w:val="0"/>
          <w:sz w:val="28"/>
          <w:szCs w:val="28"/>
          <w:highlight w:val="none"/>
          <w:lang w:val="en-US" w:eastAsia="zh-CN" w:bidi="ar"/>
        </w:rPr>
        <w:t xml:space="preserve">…… </w:t>
      </w:r>
    </w:p>
    <w:p w14:paraId="2F4265DD">
      <w:pPr>
        <w:keepNext w:val="0"/>
        <w:keepLines w:val="0"/>
        <w:widowControl/>
        <w:suppressLineNumbers w:val="0"/>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以上企业，不属于大企业的分支机构，不存在控股股东为大企业的情形，也不存在与大企业的负责人为同一人的情形。 </w:t>
      </w:r>
    </w:p>
    <w:p w14:paraId="5C7EED07">
      <w:pPr>
        <w:keepNext w:val="0"/>
        <w:keepLines w:val="0"/>
        <w:widowControl/>
        <w:suppressLineNumbers w:val="0"/>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本企业对上述声明内容的真实性负责。如有虚假，将依法承担相应责任。 </w:t>
      </w:r>
    </w:p>
    <w:p w14:paraId="006574CE">
      <w:pPr>
        <w:keepNext w:val="0"/>
        <w:keepLines w:val="0"/>
        <w:widowControl/>
        <w:suppressLineNumbers w:val="0"/>
        <w:spacing w:line="240" w:lineRule="auto"/>
        <w:jc w:val="left"/>
        <w:rPr>
          <w:rFonts w:hint="eastAsia" w:ascii="宋体" w:hAnsi="宋体" w:eastAsia="宋体" w:cs="宋体"/>
          <w:color w:val="auto"/>
          <w:sz w:val="28"/>
          <w:szCs w:val="28"/>
          <w:highlight w:val="none"/>
        </w:rPr>
      </w:pPr>
      <w:r>
        <w:rPr>
          <w:rFonts w:hint="eastAsia" w:ascii="宋体" w:hAnsi="宋体" w:eastAsia="宋体" w:cs="宋体"/>
          <w:color w:val="auto"/>
          <w:kern w:val="0"/>
          <w:sz w:val="28"/>
          <w:szCs w:val="28"/>
          <w:highlight w:val="none"/>
          <w:lang w:val="en-US" w:eastAsia="zh-CN" w:bidi="ar"/>
        </w:rPr>
        <w:t xml:space="preserve">企业名称（盖章）： </w:t>
      </w:r>
    </w:p>
    <w:p w14:paraId="6F795ABE">
      <w:pPr>
        <w:keepNext w:val="0"/>
        <w:keepLines w:val="0"/>
        <w:widowControl/>
        <w:suppressLineNumbers w:val="0"/>
        <w:spacing w:line="240" w:lineRule="auto"/>
        <w:jc w:val="left"/>
        <w:rPr>
          <w:rFonts w:hint="eastAsia" w:ascii="宋体" w:hAnsi="宋体" w:eastAsia="宋体" w:cs="宋体"/>
          <w:color w:val="auto"/>
          <w:sz w:val="28"/>
          <w:szCs w:val="28"/>
          <w:highlight w:val="none"/>
        </w:rPr>
      </w:pPr>
      <w:r>
        <w:rPr>
          <w:rFonts w:hint="eastAsia" w:ascii="宋体" w:hAnsi="宋体" w:eastAsia="宋体" w:cs="宋体"/>
          <w:color w:val="auto"/>
          <w:kern w:val="0"/>
          <w:sz w:val="28"/>
          <w:szCs w:val="28"/>
          <w:highlight w:val="none"/>
          <w:lang w:val="en-US" w:eastAsia="zh-CN" w:bidi="ar"/>
        </w:rPr>
        <w:t xml:space="preserve">日 期： </w:t>
      </w:r>
    </w:p>
    <w:p w14:paraId="31F42651">
      <w:pPr>
        <w:keepNext w:val="0"/>
        <w:keepLines w:val="0"/>
        <w:pageBreakBefore w:val="0"/>
        <w:widowControl w:val="0"/>
        <w:kinsoku/>
        <w:wordWrap/>
        <w:overflowPunct/>
        <w:topLinePunct w:val="0"/>
        <w:autoSpaceDE/>
        <w:autoSpaceDN/>
        <w:bidi w:val="0"/>
        <w:adjustRightInd w:val="0"/>
        <w:snapToGrid w:val="0"/>
        <w:spacing w:line="360" w:lineRule="auto"/>
        <w:ind w:firstLine="424"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①</w:t>
      </w:r>
      <w:r>
        <w:rPr>
          <w:rFonts w:hint="eastAsia" w:ascii="宋体" w:hAnsi="宋体" w:eastAsia="宋体" w:cs="宋体"/>
          <w:b/>
          <w:bCs/>
          <w:color w:val="auto"/>
          <w:sz w:val="21"/>
          <w:szCs w:val="21"/>
          <w:highlight w:val="none"/>
        </w:rPr>
        <w:t>声明函将对外公开，请认真、慎重填写</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所参与标项</w:t>
      </w:r>
      <w:r>
        <w:rPr>
          <w:rFonts w:hint="eastAsia" w:ascii="宋体" w:hAnsi="宋体" w:eastAsia="宋体" w:cs="宋体"/>
          <w:b/>
          <w:bCs/>
          <w:color w:val="auto"/>
          <w:sz w:val="21"/>
          <w:szCs w:val="21"/>
          <w:highlight w:val="none"/>
          <w:lang w:eastAsia="zh-CN"/>
        </w:rPr>
        <w:t>采购的所有货物</w:t>
      </w:r>
      <w:r>
        <w:rPr>
          <w:rFonts w:hint="eastAsia" w:ascii="宋体" w:hAnsi="宋体" w:eastAsia="宋体" w:cs="宋体"/>
          <w:b/>
          <w:bCs/>
          <w:color w:val="auto"/>
          <w:sz w:val="21"/>
          <w:szCs w:val="21"/>
          <w:highlight w:val="none"/>
          <w:lang w:val="en-US" w:eastAsia="zh-CN"/>
        </w:rPr>
        <w:t>一一</w:t>
      </w:r>
      <w:r>
        <w:rPr>
          <w:rFonts w:hint="eastAsia" w:ascii="宋体" w:hAnsi="宋体" w:eastAsia="宋体" w:cs="宋体"/>
          <w:b/>
          <w:bCs/>
          <w:color w:val="auto"/>
          <w:sz w:val="21"/>
          <w:szCs w:val="21"/>
          <w:highlight w:val="none"/>
          <w:lang w:eastAsia="zh-CN"/>
        </w:rPr>
        <w:t>列明，</w:t>
      </w:r>
      <w:r>
        <w:rPr>
          <w:rFonts w:hint="eastAsia" w:ascii="宋体" w:hAnsi="宋体" w:eastAsia="宋体" w:cs="宋体"/>
          <w:b/>
          <w:bCs/>
          <w:color w:val="auto"/>
          <w:sz w:val="21"/>
          <w:szCs w:val="21"/>
          <w:highlight w:val="none"/>
          <w:lang w:val="en-US" w:eastAsia="zh-CN"/>
        </w:rPr>
        <w:t>不得漏项；</w:t>
      </w:r>
    </w:p>
    <w:p w14:paraId="4EED54EC">
      <w:pPr>
        <w:keepNext w:val="0"/>
        <w:keepLines w:val="0"/>
        <w:pageBreakBefore w:val="0"/>
        <w:widowControl w:val="0"/>
        <w:kinsoku/>
        <w:wordWrap/>
        <w:overflowPunct/>
        <w:topLinePunct w:val="0"/>
        <w:autoSpaceDE/>
        <w:autoSpaceDN/>
        <w:bidi w:val="0"/>
        <w:adjustRightInd w:val="0"/>
        <w:snapToGrid w:val="0"/>
        <w:spacing w:line="360" w:lineRule="auto"/>
        <w:ind w:firstLine="424"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②从业人员、营业收入、资产总额填报上一年数据，无上一年数据的新成立企业可不填报</w:t>
      </w:r>
      <w:r>
        <w:rPr>
          <w:rFonts w:hint="eastAsia" w:ascii="宋体" w:hAnsi="宋体" w:eastAsia="宋体" w:cs="宋体"/>
          <w:color w:val="auto"/>
          <w:sz w:val="21"/>
          <w:szCs w:val="21"/>
          <w:highlight w:val="none"/>
          <w:lang w:val="en-US" w:eastAsia="zh-CN"/>
        </w:rPr>
        <w:t>；</w:t>
      </w:r>
    </w:p>
    <w:p w14:paraId="249047B4">
      <w:pPr>
        <w:keepNext w:val="0"/>
        <w:keepLines w:val="0"/>
        <w:pageBreakBefore w:val="0"/>
        <w:widowControl w:val="0"/>
        <w:kinsoku/>
        <w:wordWrap/>
        <w:overflowPunct/>
        <w:topLinePunct w:val="0"/>
        <w:autoSpaceDE/>
        <w:autoSpaceDN/>
        <w:bidi w:val="0"/>
        <w:adjustRightInd w:val="0"/>
        <w:snapToGrid w:val="0"/>
        <w:spacing w:line="360" w:lineRule="auto"/>
        <w:ind w:firstLine="424"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③供应商</w:t>
      </w:r>
      <w:r>
        <w:rPr>
          <w:rFonts w:hint="eastAsia" w:ascii="宋体" w:hAnsi="宋体" w:eastAsia="宋体" w:cs="宋体"/>
          <w:color w:val="auto"/>
          <w:sz w:val="21"/>
          <w:szCs w:val="21"/>
          <w:highlight w:val="none"/>
        </w:rPr>
        <w:t>应根据《政府采购促进中小企业发展管理办法》（财库﹝2020﹞46号）和《关于印发中小企业划型标准规定的通知》(工信部联企业〔2011〕300号)相关规定，如实填写中小企业声明函。</w:t>
      </w:r>
      <w:r>
        <w:rPr>
          <w:rFonts w:hint="eastAsia" w:ascii="宋体" w:hAnsi="宋体" w:eastAsia="宋体" w:cs="宋体"/>
          <w:color w:val="auto"/>
          <w:sz w:val="21"/>
          <w:szCs w:val="21"/>
          <w:highlight w:val="none"/>
          <w:lang w:val="zh-CN"/>
        </w:rPr>
        <w:t>如有虚假，将依法承担相应责任。</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自行登录工业和信息化部官网进行中小企业规模类型自测（查询网址https://www.miit.gov.cn/）</w:t>
      </w:r>
      <w:r>
        <w:rPr>
          <w:rFonts w:hint="eastAsia" w:ascii="宋体" w:hAnsi="宋体" w:eastAsia="宋体" w:cs="宋体"/>
          <w:color w:val="auto"/>
          <w:sz w:val="21"/>
          <w:szCs w:val="21"/>
          <w:highlight w:val="none"/>
          <w:lang w:val="en-US" w:eastAsia="zh-CN"/>
        </w:rPr>
        <w:t>；</w:t>
      </w:r>
    </w:p>
    <w:p w14:paraId="371BC959">
      <w:pPr>
        <w:keepNext w:val="0"/>
        <w:keepLines w:val="0"/>
        <w:pageBreakBefore w:val="0"/>
        <w:widowControl w:val="0"/>
        <w:kinsoku/>
        <w:wordWrap/>
        <w:overflowPunct/>
        <w:topLinePunct w:val="0"/>
        <w:autoSpaceDE/>
        <w:autoSpaceDN/>
        <w:bidi w:val="0"/>
        <w:adjustRightInd w:val="0"/>
        <w:snapToGrid w:val="0"/>
        <w:spacing w:line="360" w:lineRule="auto"/>
        <w:ind w:firstLine="424"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④</w:t>
      </w:r>
      <w:r>
        <w:rPr>
          <w:rFonts w:hint="eastAsia" w:ascii="宋体" w:hAnsi="宋体" w:eastAsia="宋体" w:cs="宋体"/>
          <w:color w:val="auto"/>
          <w:sz w:val="21"/>
          <w:szCs w:val="21"/>
          <w:highlight w:val="none"/>
        </w:rPr>
        <w:t>上述“</w:t>
      </w:r>
      <w:r>
        <w:rPr>
          <w:rFonts w:hint="eastAsia" w:ascii="宋体" w:hAnsi="宋体" w:eastAsia="宋体" w:cs="宋体"/>
          <w:color w:val="auto"/>
          <w:sz w:val="21"/>
          <w:szCs w:val="21"/>
          <w:highlight w:val="none"/>
          <w:lang w:val="zh-CN"/>
        </w:rPr>
        <w:t>标的名称</w:t>
      </w:r>
      <w:r>
        <w:rPr>
          <w:rFonts w:hint="eastAsia" w:ascii="宋体" w:hAnsi="宋体" w:eastAsia="宋体" w:cs="宋体"/>
          <w:color w:val="auto"/>
          <w:sz w:val="21"/>
          <w:szCs w:val="21"/>
          <w:highlight w:val="none"/>
        </w:rPr>
        <w:t>”，详见第三章</w:t>
      </w:r>
      <w:r>
        <w:rPr>
          <w:rFonts w:hint="eastAsia" w:ascii="宋体" w:hAnsi="宋体" w:eastAsia="宋体" w:cs="宋体"/>
          <w:color w:val="auto"/>
          <w:sz w:val="21"/>
          <w:szCs w:val="21"/>
          <w:highlight w:val="none"/>
          <w:lang w:val="en-US" w:eastAsia="zh-CN"/>
        </w:rPr>
        <w:t>设备技术参数与技术要求中</w:t>
      </w:r>
      <w:r>
        <w:rPr>
          <w:rFonts w:hint="eastAsia" w:ascii="宋体" w:hAnsi="宋体" w:eastAsia="宋体" w:cs="宋体"/>
          <w:color w:val="auto"/>
          <w:sz w:val="21"/>
          <w:szCs w:val="21"/>
          <w:highlight w:val="none"/>
        </w:rPr>
        <w:t>明确的“货物名称”</w:t>
      </w:r>
      <w:r>
        <w:rPr>
          <w:rFonts w:hint="eastAsia" w:ascii="宋体" w:hAnsi="宋体" w:eastAsia="宋体" w:cs="宋体"/>
          <w:color w:val="auto"/>
          <w:sz w:val="21"/>
          <w:szCs w:val="21"/>
          <w:highlight w:val="none"/>
          <w:lang w:val="en-US" w:eastAsia="zh-CN"/>
        </w:rPr>
        <w:t>；</w:t>
      </w:r>
    </w:p>
    <w:p w14:paraId="7A247464">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24" w:firstLineChars="200"/>
        <w:textAlignment w:val="auto"/>
        <w:outlineLvl w:val="9"/>
        <w:rPr>
          <w:rFonts w:hint="eastAsia" w:ascii="宋体" w:hAnsi="宋体" w:eastAsia="宋体" w:cs="宋体"/>
          <w:b w:val="0"/>
          <w:bCs w:val="0"/>
          <w:color w:val="auto"/>
          <w:kern w:val="0"/>
          <w:sz w:val="24"/>
          <w:szCs w:val="24"/>
          <w:highlight w:val="none"/>
        </w:rPr>
      </w:pPr>
      <w:r>
        <w:rPr>
          <w:rFonts w:hint="eastAsia" w:ascii="宋体" w:hAnsi="宋体" w:eastAsia="宋体" w:cs="宋体"/>
          <w:color w:val="auto"/>
          <w:sz w:val="21"/>
          <w:szCs w:val="21"/>
          <w:highlight w:val="none"/>
          <w:lang w:val="en-US" w:eastAsia="zh-CN"/>
        </w:rPr>
        <w:t>⑤</w:t>
      </w:r>
      <w:r>
        <w:rPr>
          <w:rFonts w:hint="eastAsia" w:ascii="宋体" w:hAnsi="宋体" w:eastAsia="宋体" w:cs="宋体"/>
          <w:color w:val="auto"/>
          <w:sz w:val="21"/>
          <w:szCs w:val="21"/>
          <w:highlight w:val="none"/>
        </w:rPr>
        <w:t>上述“采购文件中明确的所属行业”，详见第</w:t>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章</w:t>
      </w:r>
      <w:r>
        <w:rPr>
          <w:rFonts w:hint="eastAsia" w:ascii="宋体" w:hAnsi="宋体" w:eastAsia="宋体" w:cs="宋体"/>
          <w:color w:val="auto"/>
          <w:sz w:val="21"/>
          <w:szCs w:val="21"/>
          <w:highlight w:val="none"/>
          <w:lang w:val="en-US" w:eastAsia="zh-CN"/>
        </w:rPr>
        <w:t>供应商须知前附表</w:t>
      </w:r>
      <w:r>
        <w:rPr>
          <w:rFonts w:hint="eastAsia" w:ascii="宋体" w:hAnsi="宋体" w:eastAsia="宋体" w:cs="宋体"/>
          <w:color w:val="auto"/>
          <w:sz w:val="21"/>
          <w:szCs w:val="21"/>
          <w:highlight w:val="none"/>
        </w:rPr>
        <w:t>中明确的“所属行业”。</w:t>
      </w:r>
    </w:p>
    <w:p w14:paraId="752882B6">
      <w:pPr>
        <w:keepNext w:val="0"/>
        <w:keepLines w:val="0"/>
        <w:pageBreakBefore w:val="0"/>
        <w:widowControl w:val="0"/>
        <w:tabs>
          <w:tab w:val="left" w:pos="5527"/>
        </w:tabs>
        <w:kinsoku/>
        <w:wordWrap/>
        <w:overflowPunct/>
        <w:topLinePunct w:val="0"/>
        <w:autoSpaceDE/>
        <w:autoSpaceDN/>
        <w:bidi w:val="0"/>
        <w:adjustRightInd/>
        <w:snapToGrid/>
        <w:spacing w:line="360" w:lineRule="auto"/>
        <w:ind w:firstLine="484" w:firstLineChars="200"/>
        <w:textAlignment w:val="auto"/>
        <w:outlineLvl w:val="9"/>
        <w:rPr>
          <w:rFonts w:hint="eastAsia" w:ascii="宋体" w:hAnsi="宋体" w:eastAsia="宋体" w:cs="宋体"/>
          <w:b w:val="0"/>
          <w:bCs w:val="0"/>
          <w:color w:val="auto"/>
          <w:kern w:val="0"/>
          <w:sz w:val="24"/>
          <w:szCs w:val="24"/>
          <w:highlight w:val="none"/>
        </w:rPr>
      </w:pPr>
    </w:p>
    <w:p w14:paraId="45192202">
      <w:pPr>
        <w:pStyle w:val="23"/>
        <w:keepNext w:val="0"/>
        <w:keepLines w:val="0"/>
        <w:pageBreakBefore w:val="0"/>
        <w:widowControl w:val="0"/>
        <w:tabs>
          <w:tab w:val="left" w:pos="5527"/>
        </w:tabs>
        <w:kinsoku/>
        <w:wordWrap/>
        <w:overflowPunct/>
        <w:topLinePunct w:val="0"/>
        <w:autoSpaceDE/>
        <w:autoSpaceDN/>
        <w:bidi w:val="0"/>
        <w:adjustRightInd/>
        <w:snapToGrid/>
        <w:textAlignment w:val="auto"/>
        <w:outlineLvl w:val="9"/>
        <w:rPr>
          <w:rFonts w:hint="eastAsia" w:ascii="宋体" w:hAnsi="宋体" w:eastAsia="宋体" w:cs="宋体"/>
          <w:bCs/>
          <w:color w:val="auto"/>
          <w:sz w:val="28"/>
          <w:szCs w:val="28"/>
          <w:highlight w:val="none"/>
        </w:rPr>
      </w:pPr>
    </w:p>
    <w:p w14:paraId="24307D26">
      <w:pPr>
        <w:pStyle w:val="23"/>
        <w:tabs>
          <w:tab w:val="left" w:pos="5527"/>
        </w:tabs>
        <w:outlineLvl w:val="9"/>
        <w:rPr>
          <w:rFonts w:hint="eastAsia" w:ascii="宋体" w:hAnsi="宋体" w:eastAsia="宋体" w:cs="宋体"/>
          <w:bCs/>
          <w:color w:val="auto"/>
          <w:sz w:val="28"/>
          <w:szCs w:val="28"/>
          <w:highlight w:val="none"/>
        </w:rPr>
      </w:pPr>
    </w:p>
    <w:p w14:paraId="626A8A00">
      <w:pPr>
        <w:pStyle w:val="23"/>
        <w:tabs>
          <w:tab w:val="left" w:pos="5527"/>
        </w:tabs>
        <w:outlineLvl w:val="9"/>
        <w:rPr>
          <w:rFonts w:hint="eastAsia" w:ascii="宋体" w:hAnsi="宋体" w:eastAsia="宋体" w:cs="宋体"/>
          <w:bCs/>
          <w:color w:val="auto"/>
          <w:sz w:val="28"/>
          <w:szCs w:val="28"/>
          <w:highlight w:val="none"/>
        </w:rPr>
      </w:pPr>
    </w:p>
    <w:p w14:paraId="1D2AB4C7">
      <w:pPr>
        <w:pStyle w:val="23"/>
        <w:tabs>
          <w:tab w:val="left" w:pos="5527"/>
        </w:tabs>
        <w:outlineLvl w:val="9"/>
        <w:rPr>
          <w:rFonts w:hint="eastAsia" w:ascii="宋体" w:hAnsi="宋体" w:eastAsia="宋体" w:cs="宋体"/>
          <w:bCs/>
          <w:color w:val="auto"/>
          <w:sz w:val="28"/>
          <w:szCs w:val="28"/>
          <w:highlight w:val="none"/>
        </w:rPr>
      </w:pPr>
    </w:p>
    <w:p w14:paraId="135448A0">
      <w:pPr>
        <w:pStyle w:val="23"/>
        <w:tabs>
          <w:tab w:val="left" w:pos="5527"/>
        </w:tabs>
        <w:outlineLvl w:val="9"/>
        <w:rPr>
          <w:rFonts w:hint="eastAsia" w:ascii="宋体" w:hAnsi="宋体" w:eastAsia="宋体" w:cs="宋体"/>
          <w:bCs/>
          <w:color w:val="auto"/>
          <w:sz w:val="28"/>
          <w:szCs w:val="28"/>
          <w:highlight w:val="none"/>
        </w:rPr>
      </w:pPr>
    </w:p>
    <w:p w14:paraId="005E082F">
      <w:pPr>
        <w:pStyle w:val="23"/>
        <w:tabs>
          <w:tab w:val="left" w:pos="5527"/>
        </w:tabs>
        <w:outlineLvl w:val="9"/>
        <w:rPr>
          <w:rFonts w:hint="eastAsia" w:ascii="宋体" w:hAnsi="宋体" w:eastAsia="宋体" w:cs="宋体"/>
          <w:bCs/>
          <w:color w:val="auto"/>
          <w:sz w:val="28"/>
          <w:szCs w:val="28"/>
          <w:highlight w:val="none"/>
        </w:rPr>
      </w:pPr>
    </w:p>
    <w:p w14:paraId="15207330">
      <w:pPr>
        <w:pStyle w:val="23"/>
        <w:tabs>
          <w:tab w:val="left" w:pos="5527"/>
        </w:tabs>
        <w:outlineLvl w:val="9"/>
        <w:rPr>
          <w:rFonts w:hint="eastAsia" w:ascii="宋体" w:hAnsi="宋体" w:eastAsia="宋体" w:cs="宋体"/>
          <w:bCs/>
          <w:color w:val="auto"/>
          <w:sz w:val="28"/>
          <w:szCs w:val="28"/>
          <w:highlight w:val="none"/>
        </w:rPr>
      </w:pPr>
    </w:p>
    <w:p w14:paraId="41861405">
      <w:pPr>
        <w:pStyle w:val="23"/>
        <w:tabs>
          <w:tab w:val="left" w:pos="5527"/>
        </w:tabs>
        <w:outlineLvl w:val="9"/>
        <w:rPr>
          <w:rFonts w:hint="eastAsia" w:ascii="宋体" w:hAnsi="宋体" w:eastAsia="宋体" w:cs="宋体"/>
          <w:bCs/>
          <w:color w:val="auto"/>
          <w:sz w:val="28"/>
          <w:szCs w:val="28"/>
          <w:highlight w:val="none"/>
        </w:rPr>
      </w:pPr>
    </w:p>
    <w:p w14:paraId="10C8D3AF">
      <w:pPr>
        <w:pStyle w:val="23"/>
        <w:tabs>
          <w:tab w:val="left" w:pos="5527"/>
        </w:tabs>
        <w:outlineLvl w:val="9"/>
        <w:rPr>
          <w:rFonts w:hint="eastAsia" w:ascii="宋体" w:hAnsi="宋体" w:eastAsia="宋体" w:cs="宋体"/>
          <w:bCs/>
          <w:color w:val="auto"/>
          <w:sz w:val="28"/>
          <w:szCs w:val="28"/>
          <w:highlight w:val="none"/>
        </w:rPr>
      </w:pPr>
    </w:p>
    <w:p w14:paraId="5FB37FD8">
      <w:pPr>
        <w:pStyle w:val="23"/>
        <w:tabs>
          <w:tab w:val="left" w:pos="5527"/>
        </w:tabs>
        <w:outlineLvl w:val="9"/>
        <w:rPr>
          <w:rFonts w:hint="eastAsia" w:ascii="宋体" w:hAnsi="宋体" w:eastAsia="宋体" w:cs="宋体"/>
          <w:bCs/>
          <w:color w:val="auto"/>
          <w:sz w:val="28"/>
          <w:szCs w:val="28"/>
          <w:highlight w:val="none"/>
        </w:rPr>
      </w:pPr>
    </w:p>
    <w:p w14:paraId="57FBBEED">
      <w:pPr>
        <w:pStyle w:val="23"/>
        <w:tabs>
          <w:tab w:val="left" w:pos="5527"/>
        </w:tabs>
        <w:outlineLvl w:val="9"/>
        <w:rPr>
          <w:rFonts w:hint="eastAsia" w:ascii="宋体" w:hAnsi="宋体" w:eastAsia="宋体" w:cs="宋体"/>
          <w:bCs/>
          <w:color w:val="auto"/>
          <w:sz w:val="28"/>
          <w:szCs w:val="28"/>
          <w:highlight w:val="none"/>
        </w:rPr>
      </w:pPr>
    </w:p>
    <w:p w14:paraId="3D5B6D13">
      <w:pPr>
        <w:pStyle w:val="23"/>
        <w:tabs>
          <w:tab w:val="left" w:pos="5527"/>
        </w:tabs>
        <w:outlineLvl w:val="9"/>
        <w:rPr>
          <w:rFonts w:hint="eastAsia" w:ascii="宋体" w:hAnsi="宋体" w:eastAsia="宋体" w:cs="宋体"/>
          <w:bCs/>
          <w:color w:val="auto"/>
          <w:sz w:val="28"/>
          <w:szCs w:val="28"/>
          <w:highlight w:val="none"/>
        </w:rPr>
      </w:pPr>
    </w:p>
    <w:p w14:paraId="408F313C">
      <w:pPr>
        <w:pStyle w:val="23"/>
        <w:tabs>
          <w:tab w:val="left" w:pos="5527"/>
        </w:tabs>
        <w:outlineLvl w:val="9"/>
        <w:rPr>
          <w:rFonts w:hint="eastAsia" w:ascii="宋体" w:hAnsi="宋体" w:eastAsia="宋体" w:cs="宋体"/>
          <w:bCs/>
          <w:color w:val="auto"/>
          <w:sz w:val="28"/>
          <w:szCs w:val="28"/>
          <w:highlight w:val="none"/>
        </w:rPr>
      </w:pPr>
    </w:p>
    <w:p w14:paraId="324B2F41">
      <w:pPr>
        <w:pStyle w:val="23"/>
        <w:tabs>
          <w:tab w:val="left" w:pos="5527"/>
        </w:tabs>
        <w:outlineLvl w:val="9"/>
        <w:rPr>
          <w:rFonts w:hint="eastAsia" w:ascii="宋体" w:hAnsi="宋体" w:eastAsia="宋体" w:cs="宋体"/>
          <w:bCs/>
          <w:color w:val="auto"/>
          <w:sz w:val="28"/>
          <w:szCs w:val="28"/>
          <w:highlight w:val="none"/>
        </w:rPr>
      </w:pPr>
    </w:p>
    <w:p w14:paraId="0476DDA8">
      <w:pPr>
        <w:pStyle w:val="23"/>
        <w:tabs>
          <w:tab w:val="left" w:pos="5527"/>
        </w:tabs>
        <w:ind w:left="0" w:leftChars="0" w:firstLine="0" w:firstLineChars="0"/>
        <w:outlineLvl w:val="9"/>
        <w:rPr>
          <w:rFonts w:hint="eastAsia" w:ascii="宋体" w:hAnsi="宋体" w:eastAsia="宋体" w:cs="宋体"/>
          <w:bCs/>
          <w:color w:val="auto"/>
          <w:sz w:val="28"/>
          <w:szCs w:val="28"/>
          <w:highlight w:val="none"/>
        </w:rPr>
      </w:pPr>
    </w:p>
    <w:p w14:paraId="43878E64">
      <w:pPr>
        <w:pStyle w:val="24"/>
        <w:tabs>
          <w:tab w:val="left" w:pos="5527"/>
        </w:tabs>
        <w:spacing w:line="360" w:lineRule="auto"/>
        <w:outlineLvl w:val="9"/>
        <w:rPr>
          <w:rFonts w:hint="eastAsia" w:ascii="宋体" w:hAnsi="宋体" w:eastAsia="宋体" w:cs="宋体"/>
          <w:color w:val="auto"/>
          <w:sz w:val="28"/>
          <w:szCs w:val="36"/>
          <w:highlight w:val="none"/>
        </w:rPr>
      </w:pPr>
      <w:bookmarkStart w:id="422" w:name="_Toc29607"/>
      <w:r>
        <w:rPr>
          <w:rStyle w:val="38"/>
          <w:rFonts w:hint="eastAsia" w:ascii="宋体" w:hAnsi="宋体" w:eastAsia="宋体" w:cs="宋体"/>
          <w:color w:val="auto"/>
          <w:sz w:val="32"/>
          <w:szCs w:val="28"/>
          <w:highlight w:val="none"/>
          <w:lang w:val="en-US" w:eastAsia="zh-CN"/>
        </w:rPr>
        <w:br w:type="page"/>
      </w:r>
      <w:bookmarkStart w:id="423" w:name="_Toc8595"/>
      <w:bookmarkStart w:id="424" w:name="_Toc8596"/>
      <w:bookmarkStart w:id="425" w:name="_Toc28333"/>
      <w:bookmarkStart w:id="426" w:name="_Toc31715"/>
      <w:bookmarkStart w:id="427" w:name="_Toc26530"/>
      <w:bookmarkStart w:id="428" w:name="_Toc6305"/>
      <w:r>
        <w:rPr>
          <w:rStyle w:val="38"/>
          <w:rFonts w:hint="eastAsia" w:ascii="宋体" w:hAnsi="宋体" w:eastAsia="宋体" w:cs="宋体"/>
          <w:b/>
          <w:bCs/>
          <w:color w:val="auto"/>
          <w:sz w:val="32"/>
          <w:szCs w:val="28"/>
          <w:highlight w:val="none"/>
          <w:lang w:val="en-US" w:eastAsia="zh-CN"/>
        </w:rPr>
        <w:t>附件15：</w:t>
      </w:r>
      <w:bookmarkEnd w:id="423"/>
      <w:bookmarkEnd w:id="424"/>
      <w:bookmarkEnd w:id="425"/>
      <w:bookmarkEnd w:id="426"/>
      <w:bookmarkEnd w:id="427"/>
      <w:bookmarkEnd w:id="428"/>
    </w:p>
    <w:bookmarkEnd w:id="422"/>
    <w:p w14:paraId="1FB6F6BA">
      <w:pPr>
        <w:keepNext w:val="0"/>
        <w:tabs>
          <w:tab w:val="left" w:pos="5527"/>
        </w:tabs>
        <w:jc w:val="center"/>
        <w:outlineLvl w:val="1"/>
        <w:rPr>
          <w:rFonts w:hint="eastAsia" w:ascii="宋体" w:hAnsi="宋体" w:eastAsia="宋体" w:cs="宋体"/>
          <w:b/>
          <w:bCs/>
          <w:color w:val="auto"/>
          <w:kern w:val="2"/>
          <w:sz w:val="32"/>
          <w:szCs w:val="21"/>
          <w:highlight w:val="none"/>
          <w:lang w:val="en-US" w:eastAsia="zh-CN"/>
        </w:rPr>
      </w:pPr>
      <w:bookmarkStart w:id="429" w:name="_Toc9420"/>
      <w:bookmarkStart w:id="430" w:name="_Toc29487"/>
      <w:bookmarkStart w:id="431" w:name="_Toc14590"/>
      <w:bookmarkStart w:id="432" w:name="_Toc10706"/>
      <w:r>
        <w:rPr>
          <w:rFonts w:hint="eastAsia" w:ascii="宋体" w:hAnsi="宋体" w:eastAsia="宋体" w:cs="宋体"/>
          <w:b/>
          <w:bCs/>
          <w:color w:val="auto"/>
          <w:kern w:val="2"/>
          <w:sz w:val="32"/>
          <w:szCs w:val="21"/>
          <w:highlight w:val="none"/>
          <w:lang w:val="en-US" w:eastAsia="zh-CN"/>
        </w:rPr>
        <w:t>要求提供的其它材料以及供应商认为需要提交的材料</w:t>
      </w:r>
      <w:bookmarkEnd w:id="266"/>
      <w:bookmarkEnd w:id="267"/>
      <w:bookmarkEnd w:id="268"/>
      <w:bookmarkEnd w:id="429"/>
      <w:bookmarkEnd w:id="430"/>
      <w:bookmarkEnd w:id="431"/>
      <w:bookmarkEnd w:id="432"/>
    </w:p>
    <w:p w14:paraId="69A00B08">
      <w:pPr>
        <w:rPr>
          <w:rFonts w:hint="eastAsia" w:ascii="宋体" w:hAnsi="宋体" w:eastAsia="宋体" w:cs="宋体"/>
          <w:b/>
          <w:bCs/>
          <w:color w:val="auto"/>
          <w:kern w:val="2"/>
          <w:sz w:val="32"/>
          <w:szCs w:val="21"/>
          <w:highlight w:val="none"/>
          <w:lang w:val="en-US" w:eastAsia="zh-CN"/>
        </w:rPr>
      </w:pPr>
      <w:r>
        <w:rPr>
          <w:rFonts w:hint="eastAsia" w:ascii="宋体" w:hAnsi="宋体" w:eastAsia="宋体" w:cs="宋体"/>
          <w:b/>
          <w:bCs/>
          <w:color w:val="auto"/>
          <w:kern w:val="2"/>
          <w:sz w:val="32"/>
          <w:szCs w:val="21"/>
          <w:highlight w:val="none"/>
          <w:lang w:val="en-US" w:eastAsia="zh-CN"/>
        </w:rPr>
        <w:br w:type="page"/>
      </w:r>
    </w:p>
    <w:p w14:paraId="704FE1BE">
      <w:pPr>
        <w:spacing w:before="154" w:line="360" w:lineRule="auto"/>
        <w:jc w:val="center"/>
        <w:outlineLvl w:val="0"/>
        <w:rPr>
          <w:rFonts w:hint="eastAsia" w:ascii="宋体" w:hAnsi="宋体" w:eastAsia="宋体" w:cs="宋体"/>
          <w:b/>
          <w:bCs/>
          <w:color w:val="auto"/>
          <w:sz w:val="32"/>
          <w:szCs w:val="32"/>
          <w:highlight w:val="none"/>
        </w:rPr>
      </w:pPr>
      <w:r>
        <w:rPr>
          <w:rFonts w:hint="eastAsia" w:ascii="宋体" w:hAnsi="宋体" w:eastAsia="宋体" w:cs="宋体"/>
          <w:b/>
          <w:bCs/>
          <w:color w:val="auto"/>
          <w:spacing w:val="10"/>
          <w:position w:val="-2"/>
          <w:sz w:val="32"/>
          <w:szCs w:val="32"/>
          <w:highlight w:val="none"/>
        </w:rPr>
        <w:t>政府采购活动现场确认声明书</w:t>
      </w:r>
    </w:p>
    <w:p w14:paraId="5D54BB6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新疆德泰工程项目管理服务有限公司 :</w:t>
      </w:r>
    </w:p>
    <w:p w14:paraId="0CCDDA1F">
      <w:pPr>
        <w:keepNext w:val="0"/>
        <w:keepLines w:val="0"/>
        <w:pageBreakBefore w:val="0"/>
        <w:widowControl w:val="0"/>
        <w:kinsoku/>
        <w:wordWrap/>
        <w:overflowPunct/>
        <w:topLinePunct w:val="0"/>
        <w:autoSpaceDE/>
        <w:autoSpaceDN/>
        <w:bidi w:val="0"/>
        <w:adjustRightInd/>
        <w:snapToGrid/>
        <w:spacing w:line="360" w:lineRule="auto"/>
        <w:ind w:firstLine="484"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（授权代表姓名），经由</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（法定代表人姓名）合法授权参加</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val="en-US" w:eastAsia="zh-CN"/>
        </w:rPr>
        <w:t>项目名称</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项目</w:t>
      </w:r>
      <w:r>
        <w:rPr>
          <w:rFonts w:hint="eastAsia" w:ascii="宋体" w:hAnsi="宋体" w:eastAsia="宋体" w:cs="宋体"/>
          <w:color w:val="auto"/>
          <w:sz w:val="24"/>
          <w:szCs w:val="24"/>
          <w:highlight w:val="none"/>
        </w:rPr>
        <w:t>编号</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）政府采购活动．经与本单位法人代表（负责人）联系确认，现就有关公平竞争事项郑重声明如下:</w:t>
      </w:r>
    </w:p>
    <w:p w14:paraId="643EA92F">
      <w:pPr>
        <w:keepNext w:val="0"/>
        <w:keepLines w:val="0"/>
        <w:pageBreakBefore w:val="0"/>
        <w:widowControl w:val="0"/>
        <w:kinsoku/>
        <w:wordWrap/>
        <w:overflowPunct/>
        <w:topLinePunct w:val="0"/>
        <w:autoSpaceDE/>
        <w:autoSpaceDN/>
        <w:bidi w:val="0"/>
        <w:adjustRightInd/>
        <w:snapToGrid/>
        <w:spacing w:line="360" w:lineRule="auto"/>
        <w:ind w:firstLine="484"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一、本单位与采购人之间口不存在利害关系口存在下列利害关系:</w:t>
      </w:r>
    </w:p>
    <w:p w14:paraId="13A15FFB">
      <w:pPr>
        <w:keepNext w:val="0"/>
        <w:keepLines w:val="0"/>
        <w:pageBreakBefore w:val="0"/>
        <w:widowControl w:val="0"/>
        <w:kinsoku/>
        <w:wordWrap/>
        <w:overflowPunct/>
        <w:topLinePunct w:val="0"/>
        <w:autoSpaceDE/>
        <w:autoSpaceDN/>
        <w:bidi w:val="0"/>
        <w:adjustRightInd/>
        <w:snapToGrid/>
        <w:spacing w:line="360" w:lineRule="auto"/>
        <w:ind w:firstLine="726" w:firstLineChars="3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A．投资关系</w:t>
      </w:r>
    </w:p>
    <w:p w14:paraId="746AF46E">
      <w:pPr>
        <w:keepNext w:val="0"/>
        <w:keepLines w:val="0"/>
        <w:pageBreakBefore w:val="0"/>
        <w:widowControl w:val="0"/>
        <w:kinsoku/>
        <w:wordWrap/>
        <w:overflowPunct/>
        <w:topLinePunct w:val="0"/>
        <w:autoSpaceDE/>
        <w:autoSpaceDN/>
        <w:bidi w:val="0"/>
        <w:adjustRightInd/>
        <w:snapToGrid/>
        <w:spacing w:line="360" w:lineRule="auto"/>
        <w:ind w:firstLine="726" w:firstLineChars="3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行政隶属关系</w:t>
      </w:r>
    </w:p>
    <w:p w14:paraId="6CB7A6C9">
      <w:pPr>
        <w:keepNext w:val="0"/>
        <w:keepLines w:val="0"/>
        <w:pageBreakBefore w:val="0"/>
        <w:widowControl w:val="0"/>
        <w:kinsoku/>
        <w:wordWrap/>
        <w:overflowPunct/>
        <w:topLinePunct w:val="0"/>
        <w:autoSpaceDE/>
        <w:autoSpaceDN/>
        <w:bidi w:val="0"/>
        <w:adjustRightInd/>
        <w:snapToGrid/>
        <w:spacing w:line="360" w:lineRule="auto"/>
        <w:ind w:firstLine="726" w:firstLineChars="3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C．业务指导关系</w:t>
      </w:r>
    </w:p>
    <w:p w14:paraId="1A21DB99">
      <w:pPr>
        <w:keepNext w:val="0"/>
        <w:keepLines w:val="0"/>
        <w:pageBreakBefore w:val="0"/>
        <w:widowControl w:val="0"/>
        <w:kinsoku/>
        <w:wordWrap/>
        <w:overflowPunct/>
        <w:topLinePunct w:val="0"/>
        <w:autoSpaceDE/>
        <w:autoSpaceDN/>
        <w:bidi w:val="0"/>
        <w:adjustRightInd/>
        <w:snapToGrid/>
        <w:spacing w:line="360" w:lineRule="auto"/>
        <w:ind w:firstLine="726" w:firstLineChars="3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D．其他可能影响采购公正的利害关系（如有，请如实说明）。</w:t>
      </w:r>
    </w:p>
    <w:p w14:paraId="45E2685A">
      <w:pPr>
        <w:keepNext w:val="0"/>
        <w:keepLines w:val="0"/>
        <w:pageBreakBefore w:val="0"/>
        <w:widowControl w:val="0"/>
        <w:kinsoku/>
        <w:wordWrap/>
        <w:overflowPunct/>
        <w:topLinePunct w:val="0"/>
        <w:autoSpaceDE/>
        <w:autoSpaceDN/>
        <w:bidi w:val="0"/>
        <w:adjustRightInd/>
        <w:snapToGrid/>
        <w:spacing w:line="360" w:lineRule="auto"/>
        <w:ind w:firstLine="484"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二、现己清楚知道参加本项目采购活动的其他所有供应商名称，本单位</w:t>
      </w:r>
    </w:p>
    <w:p w14:paraId="5A3AD2D3">
      <w:pPr>
        <w:keepNext w:val="0"/>
        <w:keepLines w:val="0"/>
        <w:pageBreakBefore w:val="0"/>
        <w:widowControl w:val="0"/>
        <w:kinsoku/>
        <w:wordWrap/>
        <w:overflowPunct/>
        <w:topLinePunct w:val="0"/>
        <w:autoSpaceDE/>
        <w:autoSpaceDN/>
        <w:bidi w:val="0"/>
        <w:adjustRightInd/>
        <w:snapToGrid/>
        <w:spacing w:line="360" w:lineRule="auto"/>
        <w:ind w:firstLine="484"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口</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与其他所有供应商之间均不存在利害关系</w:t>
      </w:r>
    </w:p>
    <w:p w14:paraId="747AA195">
      <w:pPr>
        <w:keepNext w:val="0"/>
        <w:keepLines w:val="0"/>
        <w:pageBreakBefore w:val="0"/>
        <w:widowControl w:val="0"/>
        <w:kinsoku/>
        <w:wordWrap/>
        <w:overflowPunct/>
        <w:topLinePunct w:val="0"/>
        <w:autoSpaceDE/>
        <w:autoSpaceDN/>
        <w:bidi w:val="0"/>
        <w:adjustRightInd/>
        <w:snapToGrid/>
        <w:spacing w:line="360" w:lineRule="auto"/>
        <w:ind w:firstLine="484"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口</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（供应商名称）之间存在下列利害关系:</w:t>
      </w:r>
    </w:p>
    <w:p w14:paraId="4245F55B">
      <w:pPr>
        <w:keepNext w:val="0"/>
        <w:keepLines w:val="0"/>
        <w:pageBreakBefore w:val="0"/>
        <w:widowControl w:val="0"/>
        <w:kinsoku/>
        <w:wordWrap/>
        <w:overflowPunct/>
        <w:topLinePunct w:val="0"/>
        <w:autoSpaceDE/>
        <w:autoSpaceDN/>
        <w:bidi w:val="0"/>
        <w:adjustRightInd/>
        <w:snapToGrid/>
        <w:spacing w:line="360" w:lineRule="auto"/>
        <w:ind w:firstLine="726" w:firstLineChars="3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A．法定代表人或负责人或实际控制人是同一人</w:t>
      </w:r>
    </w:p>
    <w:p w14:paraId="09EDC98C">
      <w:pPr>
        <w:keepNext w:val="0"/>
        <w:keepLines w:val="0"/>
        <w:pageBreakBefore w:val="0"/>
        <w:widowControl w:val="0"/>
        <w:kinsoku/>
        <w:wordWrap/>
        <w:overflowPunct/>
        <w:topLinePunct w:val="0"/>
        <w:autoSpaceDE/>
        <w:autoSpaceDN/>
        <w:bidi w:val="0"/>
        <w:adjustRightInd/>
        <w:snapToGrid/>
        <w:spacing w:line="360" w:lineRule="auto"/>
        <w:ind w:firstLine="726" w:firstLineChars="3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B．法定代表人或负责人或实际控制人是夫妻关系</w:t>
      </w:r>
    </w:p>
    <w:p w14:paraId="6C84BD47">
      <w:pPr>
        <w:keepNext w:val="0"/>
        <w:keepLines w:val="0"/>
        <w:pageBreakBefore w:val="0"/>
        <w:widowControl w:val="0"/>
        <w:kinsoku/>
        <w:wordWrap/>
        <w:overflowPunct/>
        <w:topLinePunct w:val="0"/>
        <w:autoSpaceDE/>
        <w:autoSpaceDN/>
        <w:bidi w:val="0"/>
        <w:adjustRightInd/>
        <w:snapToGrid/>
        <w:spacing w:line="360" w:lineRule="auto"/>
        <w:ind w:firstLine="726" w:firstLineChars="3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C．法定代表人或负责人或实际控制人是直系血亲关系</w:t>
      </w:r>
    </w:p>
    <w:p w14:paraId="3FB37EDD">
      <w:pPr>
        <w:keepNext w:val="0"/>
        <w:keepLines w:val="0"/>
        <w:pageBreakBefore w:val="0"/>
        <w:widowControl w:val="0"/>
        <w:kinsoku/>
        <w:wordWrap/>
        <w:overflowPunct/>
        <w:topLinePunct w:val="0"/>
        <w:autoSpaceDE/>
        <w:autoSpaceDN/>
        <w:bidi w:val="0"/>
        <w:adjustRightInd/>
        <w:snapToGrid/>
        <w:spacing w:line="360" w:lineRule="auto"/>
        <w:ind w:firstLine="726" w:firstLineChars="3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D．法定代表人或负责人或实际控制人存在三代以内旁系血亲关系</w:t>
      </w:r>
    </w:p>
    <w:p w14:paraId="65CED0D8">
      <w:pPr>
        <w:keepNext w:val="0"/>
        <w:keepLines w:val="0"/>
        <w:pageBreakBefore w:val="0"/>
        <w:widowControl w:val="0"/>
        <w:kinsoku/>
        <w:wordWrap/>
        <w:overflowPunct/>
        <w:topLinePunct w:val="0"/>
        <w:autoSpaceDE/>
        <w:autoSpaceDN/>
        <w:bidi w:val="0"/>
        <w:adjustRightInd/>
        <w:snapToGrid/>
        <w:spacing w:line="360" w:lineRule="auto"/>
        <w:ind w:firstLine="726" w:firstLineChars="3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E．法定代表人或负责人或实际控制人存在近姻亲关系</w:t>
      </w:r>
    </w:p>
    <w:p w14:paraId="761E4ADD">
      <w:pPr>
        <w:keepNext w:val="0"/>
        <w:keepLines w:val="0"/>
        <w:pageBreakBefore w:val="0"/>
        <w:widowControl w:val="0"/>
        <w:kinsoku/>
        <w:wordWrap/>
        <w:overflowPunct/>
        <w:topLinePunct w:val="0"/>
        <w:autoSpaceDE/>
        <w:autoSpaceDN/>
        <w:bidi w:val="0"/>
        <w:adjustRightInd/>
        <w:snapToGrid/>
        <w:spacing w:line="360" w:lineRule="auto"/>
        <w:ind w:firstLine="726" w:firstLineChars="3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F．法定代表人或负责人或实际控制人存在股份控制或实际控制关系</w:t>
      </w:r>
    </w:p>
    <w:p w14:paraId="085F5431">
      <w:pPr>
        <w:keepNext w:val="0"/>
        <w:keepLines w:val="0"/>
        <w:pageBreakBefore w:val="0"/>
        <w:widowControl w:val="0"/>
        <w:kinsoku/>
        <w:wordWrap/>
        <w:overflowPunct/>
        <w:topLinePunct w:val="0"/>
        <w:autoSpaceDE/>
        <w:autoSpaceDN/>
        <w:bidi w:val="0"/>
        <w:adjustRightInd/>
        <w:snapToGrid/>
        <w:spacing w:line="360" w:lineRule="auto"/>
        <w:ind w:firstLine="726" w:firstLineChars="3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G．存在共同直接或间接投资设立子公司、联营企业和合营企业情况</w:t>
      </w:r>
    </w:p>
    <w:p w14:paraId="11844667">
      <w:pPr>
        <w:keepNext w:val="0"/>
        <w:keepLines w:val="0"/>
        <w:pageBreakBefore w:val="0"/>
        <w:widowControl w:val="0"/>
        <w:kinsoku/>
        <w:wordWrap/>
        <w:overflowPunct/>
        <w:topLinePunct w:val="0"/>
        <w:autoSpaceDE/>
        <w:autoSpaceDN/>
        <w:bidi w:val="0"/>
        <w:adjustRightInd/>
        <w:snapToGrid/>
        <w:spacing w:line="360" w:lineRule="auto"/>
        <w:ind w:firstLine="726" w:firstLineChars="3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H．存在分级代理或代销关系、同一生产制造商关系、管理关系、重要业务（ 占主营业务收入 50 % 以上）或重要财务往来关系（如融资）等其他实质性控制关系</w:t>
      </w:r>
    </w:p>
    <w:p w14:paraId="2DEBAA63">
      <w:pPr>
        <w:keepNext w:val="0"/>
        <w:keepLines w:val="0"/>
        <w:pageBreakBefore w:val="0"/>
        <w:widowControl w:val="0"/>
        <w:kinsoku/>
        <w:wordWrap/>
        <w:overflowPunct/>
        <w:topLinePunct w:val="0"/>
        <w:autoSpaceDE/>
        <w:autoSpaceDN/>
        <w:bidi w:val="0"/>
        <w:adjustRightInd/>
        <w:snapToGrid/>
        <w:spacing w:line="360" w:lineRule="auto"/>
        <w:ind w:firstLine="484"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I．其他利害关系情况</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44D7DC7F">
      <w:pPr>
        <w:keepNext w:val="0"/>
        <w:keepLines w:val="0"/>
        <w:pageBreakBefore w:val="0"/>
        <w:widowControl w:val="0"/>
        <w:kinsoku/>
        <w:wordWrap/>
        <w:overflowPunct/>
        <w:topLinePunct w:val="0"/>
        <w:autoSpaceDE/>
        <w:autoSpaceDN/>
        <w:bidi w:val="0"/>
        <w:adjustRightInd/>
        <w:snapToGrid/>
        <w:spacing w:line="360" w:lineRule="auto"/>
        <w:ind w:firstLine="484"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三、现己清楚知道并严格遵守政府采购法律法规和现场纪律。</w:t>
      </w:r>
    </w:p>
    <w:p w14:paraId="49391B94">
      <w:pPr>
        <w:keepNext w:val="0"/>
        <w:keepLines w:val="0"/>
        <w:pageBreakBefore w:val="0"/>
        <w:widowControl w:val="0"/>
        <w:kinsoku/>
        <w:wordWrap/>
        <w:overflowPunct/>
        <w:topLinePunct w:val="0"/>
        <w:autoSpaceDE/>
        <w:autoSpaceDN/>
        <w:bidi w:val="0"/>
        <w:adjustRightInd/>
        <w:snapToGrid/>
        <w:spacing w:line="360" w:lineRule="auto"/>
        <w:ind w:firstLine="484"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四、我发现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供应商之间存在或可能存在上述第二条第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项利害关系。</w:t>
      </w:r>
    </w:p>
    <w:p w14:paraId="5E3BF8EB">
      <w:pPr>
        <w:keepNext w:val="0"/>
        <w:keepLines w:val="0"/>
        <w:pageBreakBefore w:val="0"/>
        <w:widowControl w:val="0"/>
        <w:kinsoku/>
        <w:wordWrap/>
        <w:overflowPunct/>
        <w:topLinePunct w:val="0"/>
        <w:autoSpaceDE/>
        <w:autoSpaceDN/>
        <w:bidi w:val="0"/>
        <w:adjustRightInd/>
        <w:snapToGrid/>
        <w:spacing w:line="360" w:lineRule="auto"/>
        <w:ind w:firstLine="484" w:firstLineChars="200"/>
        <w:jc w:val="left"/>
        <w:textAlignment w:val="auto"/>
        <w:rPr>
          <w:rFonts w:hint="eastAsia" w:ascii="宋体" w:hAnsi="宋体" w:eastAsia="宋体" w:cs="宋体"/>
          <w:b/>
          <w:bCs/>
          <w:color w:val="auto"/>
          <w:kern w:val="2"/>
          <w:sz w:val="32"/>
          <w:szCs w:val="21"/>
          <w:highlight w:val="none"/>
          <w:lang w:val="en-US" w:eastAsia="zh-CN"/>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供应商代表签名：</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日</w:t>
      </w:r>
    </w:p>
    <w:sectPr>
      <w:footerReference r:id="rId25" w:type="first"/>
      <w:headerReference r:id="rId23" w:type="default"/>
      <w:footerReference r:id="rId24" w:type="default"/>
      <w:pgSz w:w="11906" w:h="16838"/>
      <w:pgMar w:top="1417" w:right="1701" w:bottom="1417" w:left="1701" w:header="851" w:footer="850" w:gutter="0"/>
      <w:pgBorders>
        <w:top w:val="none" w:sz="0" w:space="0"/>
        <w:left w:val="none" w:sz="0" w:space="0"/>
        <w:bottom w:val="none" w:sz="0" w:space="0"/>
        <w:right w:val="none" w:sz="0" w:space="0"/>
      </w:pgBorders>
      <w:pgNumType w:fmt="decimal"/>
      <w:cols w:space="0" w:num="1"/>
      <w:rtlGutter w:val="0"/>
      <w:docGrid w:type="linesAndChars" w:linePitch="312" w:charSpace="53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Verdana">
    <w:panose1 w:val="020B0604030504040204"/>
    <w:charset w:val="00"/>
    <w:family w:val="auto"/>
    <w:pitch w:val="default"/>
    <w:sig w:usb0="A00006FF" w:usb1="4000205B" w:usb2="00000010" w:usb3="00000000" w:csb0="2000019F" w:csb1="00000000"/>
  </w:font>
  <w:font w:name="新宋体">
    <w:panose1 w:val="02010609030101010101"/>
    <w:charset w:val="86"/>
    <w:family w:val="auto"/>
    <w:pitch w:val="default"/>
    <w:sig w:usb0="00000203" w:usb1="288F0000" w:usb2="00000006" w:usb3="00000000" w:csb0="00040001" w:csb1="00000000"/>
  </w:font>
  <w:font w:name="Wingdings 2">
    <w:altName w:val="Wingdings"/>
    <w:panose1 w:val="05020102010507070707"/>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C3651">
    <w:pPr>
      <w:pStyle w:val="20"/>
      <w:pBdr>
        <w:bottom w:val="dashDotStroked" w:color="auto" w:sz="24" w:space="1"/>
      </w:pBdr>
      <w:rPr>
        <w:rFonts w:hint="eastAsia" w:ascii="宋体" w:hAnsi="宋体" w:eastAsia="宋体" w:cs="宋体"/>
      </w:rPr>
    </w:pPr>
  </w:p>
  <w:p w14:paraId="50612530">
    <w:pPr>
      <w:pStyle w:val="19"/>
      <w:jc w:val="right"/>
      <w:rPr>
        <w:rFonts w:hint="eastAsia" w:ascii="宋体" w:hAnsi="宋体" w:eastAsia="宋体" w:cs="宋体"/>
        <w:lang w:val="en-US" w:eastAsia="zh-CN"/>
      </w:rPr>
    </w:pPr>
    <w:r>
      <w:rPr>
        <w:rFonts w:hint="eastAsia" w:ascii="宋体" w:hAnsi="宋体" w:eastAsia="宋体" w:cs="宋体"/>
        <w:b/>
        <w:bCs/>
        <w:sz w:val="18"/>
        <w:szCs w:val="18"/>
        <w:lang w:eastAsia="zh-CN"/>
      </w:rPr>
      <w:t>新疆德泰</w:t>
    </w:r>
    <w:r>
      <w:rPr>
        <w:rFonts w:hint="eastAsia" w:ascii="宋体" w:hAnsi="宋体" w:eastAsia="宋体" w:cs="宋体"/>
        <w:b/>
        <w:bCs/>
        <w:sz w:val="18"/>
        <w:szCs w:val="18"/>
      </w:rPr>
      <w:t>工程项目管理服务有限公司</w:t>
    </w:r>
    <w:r>
      <w:rPr>
        <w:rFonts w:hint="eastAsia" w:ascii="宋体" w:hAnsi="宋体" w:eastAsia="宋体" w:cs="宋体"/>
        <w:b/>
        <w:bCs/>
        <w:sz w:val="18"/>
        <w:szCs w:val="18"/>
        <w:lang w:val="en-US" w:eastAsia="zh-CN"/>
      </w:rPr>
      <w:t>编制</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2EDD7">
    <w:pPr>
      <w:pStyle w:val="20"/>
      <w:pBdr>
        <w:bottom w:val="dashDotStroked" w:color="auto" w:sz="24" w:space="1"/>
      </w:pBdr>
    </w:pPr>
    <w:r>
      <w:rPr>
        <w:sz w:val="18"/>
      </w:rPr>
      <mc:AlternateContent>
        <mc:Choice Requires="wps">
          <w:drawing>
            <wp:anchor distT="0" distB="0" distL="114300" distR="114300" simplePos="0" relativeHeight="251664384" behindDoc="0" locked="0" layoutInCell="1" allowOverlap="1">
              <wp:simplePos x="0" y="0"/>
              <wp:positionH relativeFrom="margin">
                <wp:posOffset>2611120</wp:posOffset>
              </wp:positionH>
              <wp:positionV relativeFrom="paragraph">
                <wp:posOffset>137795</wp:posOffset>
              </wp:positionV>
              <wp:extent cx="189865" cy="219075"/>
              <wp:effectExtent l="0" t="0" r="0" b="0"/>
              <wp:wrapNone/>
              <wp:docPr id="7" name="文本框 7"/>
              <wp:cNvGraphicFramePr/>
              <a:graphic xmlns:a="http://schemas.openxmlformats.org/drawingml/2006/main">
                <a:graphicData uri="http://schemas.microsoft.com/office/word/2010/wordprocessingShape">
                  <wps:wsp>
                    <wps:cNvSpPr txBox="1"/>
                    <wps:spPr>
                      <a:xfrm flipV="1">
                        <a:off x="0" y="0"/>
                        <a:ext cx="189865" cy="2190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9A2421">
                          <w:pPr>
                            <w:pStyle w:val="19"/>
                          </w:pPr>
                          <w:r>
                            <w:fldChar w:fldCharType="begin"/>
                          </w:r>
                          <w:r>
                            <w:instrText xml:space="preserve"> PAGE  \* MERGEFORMAT </w:instrText>
                          </w:r>
                          <w:r>
                            <w:fldChar w:fldCharType="separate"/>
                          </w:r>
                          <w:r>
                            <w:t>126</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flip:y;margin-left:205.6pt;margin-top:10.85pt;height:17.25pt;width:14.95pt;mso-position-horizontal-relative:margin;z-index:251664384;mso-width-relative:page;mso-height-relative:page;" filled="f" stroked="f" coordsize="21600,21600" o:gfxdata="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&#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An1L3YAAAACQEAAA8AAAAAAAAAAQAgAAAAIgAAAGRy&#10;cy9kb3ducmV2LnhtbFBLAQIUABQAAAAIAIdO4kB8UN9BPgIAAGsEAAAOAAAAAAAAAAEAIAAAACcB&#10;AABkcnMvZTJvRG9jLnhtbFBLBQYAAAAABgAGAFkBAADXBQAAAAA=&#10;">
              <v:fill on="f" focussize="0,0"/>
              <v:stroke on="f" weight="0.5pt"/>
              <v:imagedata o:title=""/>
              <o:lock v:ext="edit" aspectratio="f"/>
              <v:textbox inset="0mm,0mm,0mm,0mm">
                <w:txbxContent>
                  <w:p w14:paraId="509A2421">
                    <w:pPr>
                      <w:pStyle w:val="19"/>
                    </w:pPr>
                    <w:r>
                      <w:fldChar w:fldCharType="begin"/>
                    </w:r>
                    <w:r>
                      <w:instrText xml:space="preserve"> PAGE  \* MERGEFORMAT </w:instrText>
                    </w:r>
                    <w:r>
                      <w:fldChar w:fldCharType="separate"/>
                    </w:r>
                    <w:r>
                      <w:t>126</w:t>
                    </w:r>
                    <w:r>
                      <w:fldChar w:fldCharType="end"/>
                    </w:r>
                  </w:p>
                </w:txbxContent>
              </v:textbox>
            </v:shape>
          </w:pict>
        </mc:Fallback>
      </mc:AlternateContent>
    </w:r>
  </w:p>
  <w:p w14:paraId="35A374B9">
    <w:pPr>
      <w:pStyle w:val="19"/>
      <w:jc w:val="right"/>
    </w:pPr>
    <w:r>
      <w:rPr>
        <w:rFonts w:hint="eastAsia" w:ascii="仿宋" w:hAnsi="仿宋" w:eastAsia="仿宋" w:cs="仿宋"/>
        <w:b/>
        <w:bCs/>
        <w:sz w:val="18"/>
        <w:szCs w:val="18"/>
        <w:lang w:eastAsia="zh-CN"/>
      </w:rPr>
      <w:t>新疆德泰</w:t>
    </w:r>
    <w:r>
      <w:rPr>
        <w:rFonts w:hint="eastAsia" w:ascii="仿宋" w:hAnsi="仿宋" w:eastAsia="仿宋" w:cs="仿宋"/>
        <w:b/>
        <w:bCs/>
        <w:sz w:val="18"/>
        <w:szCs w:val="18"/>
      </w:rPr>
      <w:t>工程项目管理服务有限公司</w:t>
    </w:r>
    <w:r>
      <w:rPr>
        <w:rFonts w:hint="eastAsia" w:ascii="仿宋" w:hAnsi="仿宋" w:eastAsia="仿宋" w:cs="仿宋"/>
        <w:b/>
        <w:bCs/>
        <w:sz w:val="18"/>
        <w:szCs w:val="18"/>
        <w:lang w:val="en-US" w:eastAsia="zh-CN"/>
      </w:rPr>
      <w:t>编制</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9EA7E">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8CE8A">
    <w:pPr>
      <w:pStyle w:val="20"/>
      <w:pBdr>
        <w:bottom w:val="dashDotStroked" w:color="auto" w:sz="24" w:space="1"/>
      </w:pBd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1D831C">
                          <w:pPr>
                            <w:pStyle w:val="1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281D831C">
                    <w:pPr>
                      <w:pStyle w:val="19"/>
                    </w:pPr>
                    <w:r>
                      <w:fldChar w:fldCharType="begin"/>
                    </w:r>
                    <w:r>
                      <w:instrText xml:space="preserve"> PAGE  \* MERGEFORMAT </w:instrText>
                    </w:r>
                    <w:r>
                      <w:fldChar w:fldCharType="separate"/>
                    </w:r>
                    <w:r>
                      <w:t>2</w:t>
                    </w:r>
                    <w:r>
                      <w:fldChar w:fldCharType="end"/>
                    </w:r>
                  </w:p>
                </w:txbxContent>
              </v:textbox>
            </v:shape>
          </w:pict>
        </mc:Fallback>
      </mc:AlternateContent>
    </w:r>
  </w:p>
  <w:p w14:paraId="15B19760">
    <w:pPr>
      <w:pStyle w:val="19"/>
      <w:jc w:val="right"/>
    </w:pPr>
    <w:r>
      <w:rPr>
        <w:rFonts w:hint="eastAsia" w:ascii="仿宋" w:hAnsi="仿宋" w:eastAsia="仿宋" w:cs="仿宋"/>
        <w:b/>
        <w:bCs/>
        <w:sz w:val="18"/>
        <w:szCs w:val="18"/>
        <w:lang w:eastAsia="zh-CN"/>
      </w:rPr>
      <w:t>新疆德泰工程项目管理服务有限公司</w:t>
    </w:r>
    <w:r>
      <w:rPr>
        <w:rFonts w:hint="eastAsia" w:ascii="仿宋" w:hAnsi="仿宋" w:eastAsia="仿宋" w:cs="仿宋"/>
        <w:b/>
        <w:bCs/>
        <w:sz w:val="18"/>
        <w:szCs w:val="18"/>
        <w:lang w:val="en-US" w:eastAsia="zh-CN"/>
      </w:rPr>
      <w:t>编制</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0A378">
    <w:pPr>
      <w:pStyle w:val="20"/>
      <w:pBdr>
        <w:bottom w:val="dashDotStroked" w:color="auto" w:sz="24" w:space="1"/>
      </w:pBd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C14A0E">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FZI8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FZI8zAgAAYwQAAA4AAAAAAAAAAQAgAAAAHwEAAGRycy9lMm9Eb2MueG1sUEsF&#10;BgAAAAAGAAYAWQEAAMQFAAAAAA==&#10;">
              <v:fill on="f" focussize="0,0"/>
              <v:stroke on="f" weight="0.5pt"/>
              <v:imagedata o:title=""/>
              <o:lock v:ext="edit" aspectratio="f"/>
              <v:textbox inset="0mm,0mm,0mm,0mm" style="mso-fit-shape-to-text:t;">
                <w:txbxContent>
                  <w:p w14:paraId="52C14A0E">
                    <w:pPr>
                      <w:pStyle w:val="19"/>
                    </w:pPr>
                    <w:r>
                      <w:fldChar w:fldCharType="begin"/>
                    </w:r>
                    <w:r>
                      <w:instrText xml:space="preserve"> PAGE  \* MERGEFORMAT </w:instrText>
                    </w:r>
                    <w:r>
                      <w:fldChar w:fldCharType="separate"/>
                    </w:r>
                    <w:r>
                      <w:t>1</w:t>
                    </w:r>
                    <w:r>
                      <w:fldChar w:fldCharType="end"/>
                    </w:r>
                  </w:p>
                </w:txbxContent>
              </v:textbox>
            </v:shape>
          </w:pict>
        </mc:Fallback>
      </mc:AlternateContent>
    </w:r>
  </w:p>
  <w:p w14:paraId="4A621A58">
    <w:pPr>
      <w:pStyle w:val="19"/>
      <w:jc w:val="right"/>
      <w:rPr>
        <w:rFonts w:hint="eastAsia" w:eastAsia="仿宋"/>
        <w:lang w:val="en-US" w:eastAsia="zh-CN"/>
      </w:rPr>
    </w:pPr>
    <w:r>
      <w:rPr>
        <w:rFonts w:hint="eastAsia" w:ascii="仿宋" w:hAnsi="仿宋" w:eastAsia="仿宋" w:cs="仿宋"/>
        <w:b/>
        <w:bCs/>
        <w:sz w:val="18"/>
        <w:szCs w:val="18"/>
        <w:lang w:eastAsia="zh-CN"/>
      </w:rPr>
      <w:t xml:space="preserve">新疆德泰工程项目管理服务有限公司 </w:t>
    </w:r>
    <w:r>
      <w:rPr>
        <w:rFonts w:hint="eastAsia" w:ascii="仿宋" w:hAnsi="仿宋" w:eastAsia="仿宋" w:cs="仿宋"/>
        <w:b/>
        <w:bCs/>
        <w:sz w:val="18"/>
        <w:szCs w:val="18"/>
        <w:lang w:val="en-US" w:eastAsia="zh-CN"/>
      </w:rPr>
      <w:t>编制</w:t>
    </w:r>
  </w:p>
  <w:p w14:paraId="36BF00EC">
    <w:pPr>
      <w:pStyle w:val="1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9003E">
    <w:pPr>
      <w:pStyle w:val="20"/>
      <w:pBdr>
        <w:bottom w:val="dashDotStroked" w:color="auto" w:sz="24" w:space="1"/>
      </w:pBd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B379C6">
                          <w:pPr>
                            <w:pStyle w:val="19"/>
                          </w:pPr>
                          <w:r>
                            <w:fldChar w:fldCharType="begin"/>
                          </w:r>
                          <w:r>
                            <w:instrText xml:space="preserve"> PAGE  \* MERGEFORMAT </w:instrText>
                          </w:r>
                          <w:r>
                            <w:fldChar w:fldCharType="separate"/>
                          </w:r>
                          <w:r>
                            <w:t>246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82AzAgAAYw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82AzAgAAYwQAAA4AAAAAAAAAAQAgAAAAHwEAAGRycy9lMm9Eb2MueG1sUEsF&#10;BgAAAAAGAAYAWQEAAMQFAAAAAA==&#10;">
              <v:fill on="f" focussize="0,0"/>
              <v:stroke on="f" weight="0.5pt"/>
              <v:imagedata o:title=""/>
              <o:lock v:ext="edit" aspectratio="f"/>
              <v:textbox inset="0mm,0mm,0mm,0mm" style="mso-fit-shape-to-text:t;">
                <w:txbxContent>
                  <w:p w14:paraId="2AB379C6">
                    <w:pPr>
                      <w:pStyle w:val="19"/>
                    </w:pPr>
                    <w:r>
                      <w:fldChar w:fldCharType="begin"/>
                    </w:r>
                    <w:r>
                      <w:instrText xml:space="preserve"> PAGE  \* MERGEFORMAT </w:instrText>
                    </w:r>
                    <w:r>
                      <w:fldChar w:fldCharType="separate"/>
                    </w:r>
                    <w:r>
                      <w:t>246</w:t>
                    </w:r>
                    <w:r>
                      <w:fldChar w:fldCharType="end"/>
                    </w:r>
                  </w:p>
                </w:txbxContent>
              </v:textbox>
            </v:shape>
          </w:pict>
        </mc:Fallback>
      </mc:AlternateContent>
    </w:r>
  </w:p>
  <w:p w14:paraId="7901B353">
    <w:pPr>
      <w:pStyle w:val="19"/>
      <w:jc w:val="right"/>
    </w:pPr>
    <w:r>
      <w:rPr>
        <w:rFonts w:hint="eastAsia" w:ascii="仿宋" w:hAnsi="仿宋" w:eastAsia="仿宋" w:cs="仿宋"/>
        <w:b/>
        <w:bCs/>
        <w:sz w:val="18"/>
        <w:szCs w:val="18"/>
        <w:lang w:eastAsia="zh-CN"/>
      </w:rPr>
      <w:t xml:space="preserve">新疆德泰工程项目管理服务有限公司 </w:t>
    </w:r>
    <w:r>
      <w:rPr>
        <w:rFonts w:hint="eastAsia" w:ascii="仿宋" w:hAnsi="仿宋" w:eastAsia="仿宋" w:cs="仿宋"/>
        <w:b/>
        <w:bCs/>
        <w:sz w:val="18"/>
        <w:szCs w:val="18"/>
        <w:lang w:val="en-US" w:eastAsia="zh-CN"/>
      </w:rPr>
      <w:t>编制</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ED037">
    <w:pPr>
      <w:pStyle w:val="20"/>
      <w:pBdr>
        <w:bottom w:val="dashDotStroked" w:color="auto" w:sz="24" w:space="1"/>
      </w:pBd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4BAAEE">
                          <w:pPr>
                            <w:pStyle w:val="19"/>
                          </w:pPr>
                          <w:r>
                            <w:fldChar w:fldCharType="begin"/>
                          </w:r>
                          <w:r>
                            <w:instrText xml:space="preserve"> PAGE  \* MERGEFORMAT </w:instrText>
                          </w:r>
                          <w:r>
                            <w:fldChar w:fldCharType="separate"/>
                          </w:r>
                          <w:r>
                            <w:t>245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Oos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OoszAgAAYwQAAA4AAAAAAAAAAQAgAAAAHwEAAGRycy9lMm9Eb2MueG1sUEsF&#10;BgAAAAAGAAYAWQEAAMQFAAAAAA==&#10;">
              <v:fill on="f" focussize="0,0"/>
              <v:stroke on="f" weight="0.5pt"/>
              <v:imagedata o:title=""/>
              <o:lock v:ext="edit" aspectratio="f"/>
              <v:textbox inset="0mm,0mm,0mm,0mm" style="mso-fit-shape-to-text:t;">
                <w:txbxContent>
                  <w:p w14:paraId="6E4BAAEE">
                    <w:pPr>
                      <w:pStyle w:val="19"/>
                    </w:pPr>
                    <w:r>
                      <w:fldChar w:fldCharType="begin"/>
                    </w:r>
                    <w:r>
                      <w:instrText xml:space="preserve"> PAGE  \* MERGEFORMAT </w:instrText>
                    </w:r>
                    <w:r>
                      <w:fldChar w:fldCharType="separate"/>
                    </w:r>
                    <w:r>
                      <w:t>245</w:t>
                    </w:r>
                    <w:r>
                      <w:fldChar w:fldCharType="end"/>
                    </w:r>
                  </w:p>
                </w:txbxContent>
              </v:textbox>
            </v:shape>
          </w:pict>
        </mc:Fallback>
      </mc:AlternateContent>
    </w:r>
  </w:p>
  <w:p w14:paraId="05C8D936">
    <w:pPr>
      <w:pStyle w:val="19"/>
      <w:jc w:val="right"/>
    </w:pPr>
    <w:r>
      <w:rPr>
        <w:rFonts w:hint="eastAsia" w:ascii="仿宋" w:hAnsi="仿宋" w:eastAsia="仿宋" w:cs="仿宋"/>
        <w:b/>
        <w:bCs/>
        <w:sz w:val="18"/>
        <w:szCs w:val="18"/>
        <w:lang w:eastAsia="zh-CN"/>
      </w:rPr>
      <w:t xml:space="preserve">新疆德泰工程项目管理服务有限公司 </w:t>
    </w:r>
    <w:r>
      <w:rPr>
        <w:rFonts w:hint="eastAsia" w:ascii="仿宋" w:hAnsi="仿宋" w:eastAsia="仿宋" w:cs="仿宋"/>
        <w:b/>
        <w:bCs/>
        <w:sz w:val="18"/>
        <w:szCs w:val="18"/>
        <w:lang w:val="en-US" w:eastAsia="zh-CN"/>
      </w:rPr>
      <w:t>编制</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AB4D7">
    <w:pPr>
      <w:pStyle w:val="20"/>
      <w:pBdr>
        <w:bottom w:val="dashDotStroked" w:color="auto" w:sz="24" w:space="1"/>
      </w:pBdr>
      <w:rPr>
        <w:rFonts w:hint="eastAsia" w:ascii="宋体" w:hAnsi="宋体" w:eastAsia="宋体" w:cs="宋体"/>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9A9982">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7rWQ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7rWQzAgAAYwQAAA4AAAAAAAAAAQAgAAAAHwEAAGRycy9lMm9Eb2MueG1sUEsF&#10;BgAAAAAGAAYAWQEAAMQFAAAAAA==&#10;">
              <v:fill on="f" focussize="0,0"/>
              <v:stroke on="f" weight="0.5pt"/>
              <v:imagedata o:title=""/>
              <o:lock v:ext="edit" aspectratio="f"/>
              <v:textbox inset="0mm,0mm,0mm,0mm" style="mso-fit-shape-to-text:t;">
                <w:txbxContent>
                  <w:p w14:paraId="219A9982">
                    <w:pPr>
                      <w:pStyle w:val="19"/>
                    </w:pPr>
                    <w:r>
                      <w:fldChar w:fldCharType="begin"/>
                    </w:r>
                    <w:r>
                      <w:instrText xml:space="preserve"> PAGE  \* MERGEFORMAT </w:instrText>
                    </w:r>
                    <w:r>
                      <w:fldChar w:fldCharType="separate"/>
                    </w:r>
                    <w:r>
                      <w:t>1</w:t>
                    </w:r>
                    <w:r>
                      <w:fldChar w:fldCharType="end"/>
                    </w:r>
                  </w:p>
                </w:txbxContent>
              </v:textbox>
            </v:shape>
          </w:pict>
        </mc:Fallback>
      </mc:AlternateContent>
    </w:r>
  </w:p>
  <w:p w14:paraId="26E2CE47">
    <w:pPr>
      <w:pStyle w:val="19"/>
      <w:jc w:val="right"/>
      <w:rPr>
        <w:rFonts w:hint="eastAsia" w:ascii="宋体" w:hAnsi="宋体" w:eastAsia="宋体" w:cs="宋体"/>
      </w:rPr>
    </w:pPr>
    <w:r>
      <w:rPr>
        <w:rFonts w:hint="eastAsia" w:ascii="宋体" w:hAnsi="宋体" w:eastAsia="宋体" w:cs="宋体"/>
        <w:b/>
        <w:bCs/>
        <w:sz w:val="18"/>
        <w:szCs w:val="18"/>
        <w:lang w:eastAsia="zh-CN"/>
      </w:rPr>
      <w:t>新疆德泰</w:t>
    </w:r>
    <w:r>
      <w:rPr>
        <w:rFonts w:hint="eastAsia" w:ascii="宋体" w:hAnsi="宋体" w:eastAsia="宋体" w:cs="宋体"/>
        <w:b/>
        <w:bCs/>
        <w:sz w:val="18"/>
        <w:szCs w:val="18"/>
      </w:rPr>
      <w:t>工程项目管理服务有限公司</w:t>
    </w:r>
    <w:r>
      <w:rPr>
        <w:rFonts w:hint="eastAsia" w:ascii="宋体" w:hAnsi="宋体" w:eastAsia="宋体" w:cs="宋体"/>
        <w:b/>
        <w:bCs/>
        <w:sz w:val="18"/>
        <w:szCs w:val="18"/>
        <w:lang w:val="en-US" w:eastAsia="zh-CN"/>
      </w:rPr>
      <w:t>编制</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F5D79">
    <w:pPr>
      <w:pStyle w:val="20"/>
      <w:pBdr>
        <w:bottom w:val="dashDotStroked" w:color="auto" w:sz="24" w:space="1"/>
      </w:pBd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E8B958">
                          <w:pPr>
                            <w:pStyle w:val="19"/>
                          </w:pPr>
                          <w:r>
                            <w:fldChar w:fldCharType="begin"/>
                          </w:r>
                          <w:r>
                            <w:instrText xml:space="preserve"> PAGE  \* MERGEFORMAT </w:instrText>
                          </w:r>
                          <w:r>
                            <w:fldChar w:fldCharType="separate"/>
                          </w:r>
                          <w:r>
                            <w:t>247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o2Ic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o2IczAgAAYwQAAA4AAAAAAAAAAQAgAAAAHwEAAGRycy9lMm9Eb2MueG1sUEsF&#10;BgAAAAAGAAYAWQEAAMQFAAAAAA==&#10;">
              <v:fill on="f" focussize="0,0"/>
              <v:stroke on="f" weight="0.5pt"/>
              <v:imagedata o:title=""/>
              <o:lock v:ext="edit" aspectratio="f"/>
              <v:textbox inset="0mm,0mm,0mm,0mm" style="mso-fit-shape-to-text:t;">
                <w:txbxContent>
                  <w:p w14:paraId="34E8B958">
                    <w:pPr>
                      <w:pStyle w:val="19"/>
                    </w:pPr>
                    <w:r>
                      <w:fldChar w:fldCharType="begin"/>
                    </w:r>
                    <w:r>
                      <w:instrText xml:space="preserve"> PAGE  \* MERGEFORMAT </w:instrText>
                    </w:r>
                    <w:r>
                      <w:fldChar w:fldCharType="separate"/>
                    </w:r>
                    <w:r>
                      <w:t>247</w:t>
                    </w:r>
                    <w:r>
                      <w:fldChar w:fldCharType="end"/>
                    </w:r>
                  </w:p>
                </w:txbxContent>
              </v:textbox>
            </v:shape>
          </w:pict>
        </mc:Fallback>
      </mc:AlternateContent>
    </w:r>
  </w:p>
  <w:p w14:paraId="7FB90648">
    <w:pPr>
      <w:pStyle w:val="19"/>
      <w:jc w:val="right"/>
    </w:pPr>
    <w:r>
      <w:rPr>
        <w:rFonts w:hint="eastAsia" w:ascii="仿宋" w:hAnsi="仿宋" w:eastAsia="仿宋" w:cs="仿宋"/>
        <w:b/>
        <w:bCs/>
        <w:sz w:val="18"/>
        <w:szCs w:val="18"/>
        <w:lang w:eastAsia="zh-CN"/>
      </w:rPr>
      <w:t>新疆德泰</w:t>
    </w:r>
    <w:r>
      <w:rPr>
        <w:rFonts w:hint="eastAsia" w:ascii="仿宋" w:hAnsi="仿宋" w:eastAsia="仿宋" w:cs="仿宋"/>
        <w:b/>
        <w:bCs/>
        <w:sz w:val="18"/>
        <w:szCs w:val="18"/>
      </w:rPr>
      <w:t>工程项目管理服务有限公司</w:t>
    </w:r>
    <w:r>
      <w:rPr>
        <w:rFonts w:hint="eastAsia" w:ascii="仿宋" w:hAnsi="仿宋" w:eastAsia="仿宋" w:cs="仿宋"/>
        <w:b/>
        <w:bCs/>
        <w:sz w:val="18"/>
        <w:szCs w:val="18"/>
        <w:lang w:val="en-US" w:eastAsia="zh-CN"/>
      </w:rPr>
      <w:t>编制</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CB97C">
    <w:pPr>
      <w:pStyle w:val="20"/>
      <w:pBdr>
        <w:bottom w:val="dashDotStroked" w:color="auto" w:sz="24" w:space="1"/>
      </w:pBdr>
      <w:rPr>
        <w:rFonts w:hint="eastAsia" w:ascii="宋体" w:hAnsi="宋体" w:eastAsia="宋体" w:cs="宋体"/>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8F0315">
                          <w:pPr>
                            <w:pStyle w:val="19"/>
                          </w:pPr>
                          <w:r>
                            <w:fldChar w:fldCharType="begin"/>
                          </w:r>
                          <w:r>
                            <w:instrText xml:space="preserve"> PAGE  \* MERGEFORMAT </w:instrText>
                          </w:r>
                          <w:r>
                            <w:fldChar w:fldCharType="separate"/>
                          </w:r>
                          <w:r>
                            <w:t>248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T2g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AT2gzAgAAYwQAAA4AAAAAAAAAAQAgAAAAHwEAAGRycy9lMm9Eb2MueG1sUEsF&#10;BgAAAAAGAAYAWQEAAMQFAAAAAA==&#10;">
              <v:fill on="f" focussize="0,0"/>
              <v:stroke on="f" weight="0.5pt"/>
              <v:imagedata o:title=""/>
              <o:lock v:ext="edit" aspectratio="f"/>
              <v:textbox inset="0mm,0mm,0mm,0mm" style="mso-fit-shape-to-text:t;">
                <w:txbxContent>
                  <w:p w14:paraId="288F0315">
                    <w:pPr>
                      <w:pStyle w:val="19"/>
                    </w:pPr>
                    <w:r>
                      <w:fldChar w:fldCharType="begin"/>
                    </w:r>
                    <w:r>
                      <w:instrText xml:space="preserve"> PAGE  \* MERGEFORMAT </w:instrText>
                    </w:r>
                    <w:r>
                      <w:fldChar w:fldCharType="separate"/>
                    </w:r>
                    <w:r>
                      <w:t>248</w:t>
                    </w:r>
                    <w:r>
                      <w:fldChar w:fldCharType="end"/>
                    </w:r>
                  </w:p>
                </w:txbxContent>
              </v:textbox>
            </v:shape>
          </w:pict>
        </mc:Fallback>
      </mc:AlternateContent>
    </w:r>
  </w:p>
  <w:p w14:paraId="30984B3F">
    <w:pPr>
      <w:pStyle w:val="19"/>
      <w:jc w:val="right"/>
      <w:rPr>
        <w:rFonts w:hint="eastAsia" w:ascii="宋体" w:hAnsi="宋体" w:eastAsia="宋体" w:cs="宋体"/>
      </w:rPr>
    </w:pPr>
    <w:r>
      <w:rPr>
        <w:rFonts w:hint="eastAsia" w:ascii="宋体" w:hAnsi="宋体" w:eastAsia="宋体" w:cs="宋体"/>
        <w:b/>
        <w:bCs/>
        <w:sz w:val="18"/>
        <w:szCs w:val="18"/>
        <w:lang w:eastAsia="zh-CN"/>
      </w:rPr>
      <w:t>新疆德泰</w:t>
    </w:r>
    <w:r>
      <w:rPr>
        <w:rFonts w:hint="eastAsia" w:ascii="宋体" w:hAnsi="宋体" w:eastAsia="宋体" w:cs="宋体"/>
        <w:b/>
        <w:bCs/>
        <w:sz w:val="18"/>
        <w:szCs w:val="18"/>
      </w:rPr>
      <w:t>工程项目管理服务有限公司</w:t>
    </w:r>
    <w:r>
      <w:rPr>
        <w:rFonts w:hint="eastAsia" w:ascii="宋体" w:hAnsi="宋体" w:eastAsia="宋体" w:cs="宋体"/>
        <w:b/>
        <w:bCs/>
        <w:sz w:val="18"/>
        <w:szCs w:val="18"/>
        <w:lang w:val="en-US" w:eastAsia="zh-CN"/>
      </w:rPr>
      <w:t>编制</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650976">
    <w:pPr>
      <w:pStyle w:val="20"/>
      <w:pBdr>
        <w:bottom w:val="thinThickSmallGap" w:color="auto" w:sz="12" w:space="1"/>
      </w:pBdr>
      <w:ind w:firstLine="723" w:firstLineChars="400"/>
      <w:jc w:val="center"/>
      <w:rPr>
        <w:rFonts w:hint="default" w:ascii="宋体" w:hAnsi="宋体" w:eastAsia="宋体" w:cs="宋体"/>
        <w:sz w:val="21"/>
        <w:szCs w:val="22"/>
        <w:lang w:val="en-US" w:eastAsia="zh-CN"/>
      </w:rPr>
    </w:pPr>
    <w:r>
      <w:rPr>
        <w:rFonts w:hint="eastAsia" w:ascii="宋体" w:hAnsi="宋体" w:eastAsia="宋体" w:cs="宋体"/>
        <w:b/>
        <w:bCs/>
        <w:sz w:val="18"/>
        <w:szCs w:val="18"/>
      </w:rPr>
      <w:drawing>
        <wp:anchor distT="0" distB="0" distL="114300" distR="114300" simplePos="0" relativeHeight="251660288" behindDoc="0" locked="0" layoutInCell="1" allowOverlap="1">
          <wp:simplePos x="0" y="0"/>
          <wp:positionH relativeFrom="column">
            <wp:posOffset>2540</wp:posOffset>
          </wp:positionH>
          <wp:positionV relativeFrom="paragraph">
            <wp:posOffset>-248285</wp:posOffset>
          </wp:positionV>
          <wp:extent cx="539750" cy="431800"/>
          <wp:effectExtent l="0" t="0" r="12700" b="5080"/>
          <wp:wrapSquare wrapText="bothSides"/>
          <wp:docPr id="9" name="图片 1" descr="德泰LOGO"/>
          <wp:cNvGraphicFramePr/>
          <a:graphic xmlns:a="http://schemas.openxmlformats.org/drawingml/2006/main">
            <a:graphicData uri="http://schemas.openxmlformats.org/drawingml/2006/picture">
              <pic:pic xmlns:pic="http://schemas.openxmlformats.org/drawingml/2006/picture">
                <pic:nvPicPr>
                  <pic:cNvPr id="9" name="图片 1" descr="德泰LOGO"/>
                  <pic:cNvPicPr/>
                </pic:nvPicPr>
                <pic:blipFill>
                  <a:blip r:embed="rId1">
                    <a:clrChange>
                      <a:clrFrom>
                        <a:srgbClr val="FFFFFF"/>
                      </a:clrFrom>
                      <a:clrTo>
                        <a:srgbClr val="FFFFFF">
                          <a:alpha val="0"/>
                        </a:srgbClr>
                      </a:clrTo>
                    </a:clrChange>
                  </a:blip>
                  <a:srcRect t="5670" b="17787"/>
                  <a:stretch>
                    <a:fillRect/>
                  </a:stretch>
                </pic:blipFill>
                <pic:spPr>
                  <a:xfrm>
                    <a:off x="0" y="0"/>
                    <a:ext cx="539750" cy="431800"/>
                  </a:xfrm>
                  <a:prstGeom prst="rect">
                    <a:avLst/>
                  </a:prstGeom>
                  <a:noFill/>
                  <a:ln>
                    <a:noFill/>
                  </a:ln>
                </pic:spPr>
              </pic:pic>
            </a:graphicData>
          </a:graphic>
        </wp:anchor>
      </w:drawing>
    </w:r>
    <w:r>
      <w:rPr>
        <w:rFonts w:hint="eastAsia" w:ascii="宋体" w:hAnsi="宋体" w:cs="宋体"/>
        <w:b/>
        <w:bCs/>
        <w:sz w:val="18"/>
        <w:szCs w:val="18"/>
        <w:lang w:val="en-US" w:eastAsia="zh-CN"/>
      </w:rPr>
      <w:t xml:space="preserve"> </w:t>
    </w:r>
    <w:r>
      <w:rPr>
        <w:rFonts w:hint="eastAsia" w:ascii="宋体" w:hAnsi="宋体" w:eastAsia="宋体" w:cs="宋体"/>
        <w:b/>
        <w:bCs/>
        <w:sz w:val="18"/>
        <w:szCs w:val="18"/>
        <w:lang w:eastAsia="zh-CN"/>
      </w:rPr>
      <w:t>新疆德泰</w:t>
    </w:r>
    <w:r>
      <w:rPr>
        <w:rFonts w:hint="eastAsia" w:ascii="宋体" w:hAnsi="宋体" w:eastAsia="宋体" w:cs="宋体"/>
        <w:b/>
        <w:bCs/>
        <w:sz w:val="18"/>
        <w:szCs w:val="18"/>
      </w:rPr>
      <w:t>工程项目管理服务有限公司</w:t>
    </w:r>
    <w:r>
      <w:rPr>
        <w:rFonts w:hint="eastAsia" w:ascii="宋体" w:hAnsi="宋体" w:eastAsia="宋体" w:cs="宋体"/>
        <w:b/>
        <w:bCs/>
        <w:sz w:val="21"/>
        <w:szCs w:val="22"/>
        <w:lang w:val="en-US" w:eastAsia="zh-CN"/>
      </w:rPr>
      <w:t xml:space="preserve">                     </w:t>
    </w:r>
    <w:r>
      <w:rPr>
        <w:rFonts w:hint="eastAsia" w:ascii="宋体" w:hAnsi="宋体" w:cs="宋体"/>
        <w:b/>
        <w:bCs/>
        <w:sz w:val="21"/>
        <w:szCs w:val="22"/>
        <w:lang w:val="en-US" w:eastAsia="zh-CN"/>
      </w:rPr>
      <w:t xml:space="preserve"> </w:t>
    </w:r>
    <w:r>
      <w:rPr>
        <w:rFonts w:hint="eastAsia" w:ascii="宋体" w:hAnsi="宋体" w:eastAsia="宋体" w:cs="宋体"/>
        <w:b/>
        <w:bCs/>
        <w:sz w:val="21"/>
        <w:szCs w:val="22"/>
        <w:lang w:val="en-US" w:eastAsia="zh-CN"/>
      </w:rPr>
      <w:t xml:space="preserve">  </w:t>
    </w:r>
    <w:r>
      <w:rPr>
        <w:rFonts w:hint="eastAsia" w:ascii="宋体" w:hAnsi="宋体" w:eastAsia="宋体" w:cs="宋体"/>
        <w:b/>
        <w:bCs/>
        <w:sz w:val="18"/>
        <w:szCs w:val="18"/>
        <w:lang w:val="en-US" w:eastAsia="zh-CN"/>
      </w:rPr>
      <w:t>联系电话：</w:t>
    </w:r>
    <w:r>
      <w:rPr>
        <w:rFonts w:hint="eastAsia" w:ascii="宋体" w:hAnsi="宋体" w:cs="宋体"/>
        <w:b/>
        <w:bCs/>
        <w:sz w:val="18"/>
        <w:szCs w:val="18"/>
        <w:lang w:val="en-US" w:eastAsia="zh-CN"/>
      </w:rPr>
      <w:t>19999465816</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FA103">
    <w:pPr>
      <w:pStyle w:val="20"/>
      <w:pBdr>
        <w:bottom w:val="thinThickSmallGap" w:color="auto" w:sz="12" w:space="1"/>
      </w:pBdr>
      <w:ind w:firstLine="723" w:firstLineChars="400"/>
      <w:jc w:val="left"/>
      <w:rPr>
        <w:rFonts w:hint="default" w:eastAsia="宋体"/>
        <w:sz w:val="21"/>
        <w:szCs w:val="22"/>
        <w:lang w:val="en-US" w:eastAsia="zh-CN"/>
      </w:rPr>
    </w:pPr>
    <w:r>
      <w:rPr>
        <w:rFonts w:hint="eastAsia" w:ascii="仿宋" w:hAnsi="仿宋" w:eastAsia="仿宋" w:cs="仿宋"/>
        <w:b/>
        <w:bCs/>
        <w:sz w:val="18"/>
        <w:szCs w:val="18"/>
      </w:rPr>
      <w:drawing>
        <wp:anchor distT="0" distB="0" distL="114300" distR="114300" simplePos="0" relativeHeight="251661312" behindDoc="0" locked="0" layoutInCell="1" allowOverlap="1">
          <wp:simplePos x="0" y="0"/>
          <wp:positionH relativeFrom="column">
            <wp:posOffset>-16510</wp:posOffset>
          </wp:positionH>
          <wp:positionV relativeFrom="paragraph">
            <wp:posOffset>-210185</wp:posOffset>
          </wp:positionV>
          <wp:extent cx="539750" cy="431800"/>
          <wp:effectExtent l="0" t="0" r="12700" b="6350"/>
          <wp:wrapSquare wrapText="bothSides"/>
          <wp:docPr id="15" name="图片 12" descr="德泰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德泰LOGO"/>
                  <pic:cNvPicPr>
                    <a:picLocks noChangeAspect="1"/>
                  </pic:cNvPicPr>
                </pic:nvPicPr>
                <pic:blipFill>
                  <a:blip r:embed="rId1"/>
                  <a:srcRect t="5670" b="17787"/>
                  <a:stretch>
                    <a:fillRect/>
                  </a:stretch>
                </pic:blipFill>
                <pic:spPr>
                  <a:xfrm>
                    <a:off x="0" y="0"/>
                    <a:ext cx="539750" cy="431800"/>
                  </a:xfrm>
                  <a:prstGeom prst="rect">
                    <a:avLst/>
                  </a:prstGeom>
                  <a:noFill/>
                  <a:ln>
                    <a:noFill/>
                  </a:ln>
                </pic:spPr>
              </pic:pic>
            </a:graphicData>
          </a:graphic>
        </wp:anchor>
      </w:drawing>
    </w:r>
    <w:r>
      <w:rPr>
        <w:rFonts w:hint="eastAsia" w:ascii="仿宋" w:hAnsi="仿宋" w:eastAsia="仿宋" w:cs="仿宋"/>
        <w:b/>
        <w:bCs/>
        <w:sz w:val="18"/>
        <w:szCs w:val="18"/>
        <w:lang w:eastAsia="zh-CN"/>
      </w:rPr>
      <w:t xml:space="preserve">新疆德泰工程项目管理服务有限公司 </w:t>
    </w:r>
    <w:r>
      <w:rPr>
        <w:rFonts w:hint="eastAsia"/>
        <w:b/>
        <w:bCs/>
        <w:sz w:val="21"/>
        <w:szCs w:val="22"/>
        <w:lang w:val="en-US" w:eastAsia="zh-CN"/>
      </w:rPr>
      <w:t xml:space="preserve">                                </w:t>
    </w:r>
    <w:r>
      <w:rPr>
        <w:rFonts w:hint="eastAsia" w:ascii="仿宋" w:hAnsi="仿宋" w:eastAsia="仿宋" w:cs="仿宋"/>
        <w:b/>
        <w:bCs/>
        <w:sz w:val="18"/>
        <w:szCs w:val="18"/>
        <w:lang w:val="en-US" w:eastAsia="zh-CN"/>
      </w:rPr>
      <w:t>联系电话：19999465816</w:t>
    </w:r>
  </w:p>
  <w:p w14:paraId="7EC76304">
    <w:pPr>
      <w:pStyle w:val="20"/>
      <w:pBdr>
        <w:bottom w:val="none" w:color="auto" w:sz="0" w:space="1"/>
      </w:pBdr>
      <w:rPr>
        <w:rFonts w:hint="eastAsia"/>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68DCD">
    <w:pPr>
      <w:pStyle w:val="20"/>
      <w:pBdr>
        <w:bottom w:val="thinThickSmallGap" w:color="auto" w:sz="12" w:space="1"/>
      </w:pBdr>
      <w:ind w:firstLine="723" w:firstLineChars="400"/>
      <w:jc w:val="right"/>
      <w:rPr>
        <w:rFonts w:hint="eastAsia" w:ascii="宋体" w:hAnsi="宋体" w:eastAsia="宋体" w:cs="宋体"/>
        <w:sz w:val="21"/>
        <w:szCs w:val="22"/>
        <w:lang w:val="en-US" w:eastAsia="zh-CN"/>
      </w:rPr>
    </w:pPr>
    <w:r>
      <w:rPr>
        <w:rFonts w:hint="eastAsia" w:ascii="宋体" w:hAnsi="宋体" w:eastAsia="宋体" w:cs="宋体"/>
        <w:b/>
        <w:bCs/>
        <w:sz w:val="18"/>
        <w:szCs w:val="18"/>
      </w:rPr>
      <w:drawing>
        <wp:anchor distT="0" distB="0" distL="114300" distR="114300" simplePos="0" relativeHeight="251662336" behindDoc="0" locked="0" layoutInCell="1" allowOverlap="1">
          <wp:simplePos x="0" y="0"/>
          <wp:positionH relativeFrom="column">
            <wp:posOffset>-16510</wp:posOffset>
          </wp:positionH>
          <wp:positionV relativeFrom="paragraph">
            <wp:posOffset>-238760</wp:posOffset>
          </wp:positionV>
          <wp:extent cx="539750" cy="431800"/>
          <wp:effectExtent l="0" t="0" r="12700" b="5080"/>
          <wp:wrapSquare wrapText="bothSides"/>
          <wp:docPr id="1" name="图片 8" descr="德泰LOGO"/>
          <wp:cNvGraphicFramePr/>
          <a:graphic xmlns:a="http://schemas.openxmlformats.org/drawingml/2006/main">
            <a:graphicData uri="http://schemas.openxmlformats.org/drawingml/2006/picture">
              <pic:pic xmlns:pic="http://schemas.openxmlformats.org/drawingml/2006/picture">
                <pic:nvPicPr>
                  <pic:cNvPr id="1" name="图片 8" descr="德泰LOGO"/>
                  <pic:cNvPicPr/>
                </pic:nvPicPr>
                <pic:blipFill>
                  <a:blip r:embed="rId1">
                    <a:clrChange>
                      <a:clrFrom>
                        <a:srgbClr val="FFFFFF"/>
                      </a:clrFrom>
                      <a:clrTo>
                        <a:srgbClr val="FFFFFF">
                          <a:alpha val="0"/>
                        </a:srgbClr>
                      </a:clrTo>
                    </a:clrChange>
                  </a:blip>
                  <a:srcRect t="5670" b="17787"/>
                  <a:stretch>
                    <a:fillRect/>
                  </a:stretch>
                </pic:blipFill>
                <pic:spPr>
                  <a:xfrm>
                    <a:off x="0" y="0"/>
                    <a:ext cx="539750" cy="431800"/>
                  </a:xfrm>
                  <a:prstGeom prst="rect">
                    <a:avLst/>
                  </a:prstGeom>
                  <a:noFill/>
                  <a:ln>
                    <a:noFill/>
                  </a:ln>
                </pic:spPr>
              </pic:pic>
            </a:graphicData>
          </a:graphic>
        </wp:anchor>
      </w:drawing>
    </w:r>
    <w:r>
      <w:rPr>
        <w:rFonts w:hint="eastAsia" w:ascii="宋体" w:hAnsi="宋体" w:eastAsia="宋体" w:cs="宋体"/>
        <w:b/>
        <w:bCs/>
        <w:sz w:val="18"/>
        <w:szCs w:val="18"/>
        <w:lang w:eastAsia="zh-CN"/>
      </w:rPr>
      <w:t>新疆德泰</w:t>
    </w:r>
    <w:r>
      <w:rPr>
        <w:rFonts w:hint="eastAsia" w:ascii="宋体" w:hAnsi="宋体" w:eastAsia="宋体" w:cs="宋体"/>
        <w:b/>
        <w:bCs/>
        <w:sz w:val="18"/>
        <w:szCs w:val="18"/>
      </w:rPr>
      <w:t>工程项目管理服务有限公司</w:t>
    </w:r>
    <w:r>
      <w:rPr>
        <w:rFonts w:hint="eastAsia" w:ascii="宋体" w:hAnsi="宋体" w:eastAsia="宋体" w:cs="宋体"/>
        <w:b/>
        <w:bCs/>
        <w:sz w:val="21"/>
        <w:szCs w:val="22"/>
        <w:lang w:val="en-US" w:eastAsia="zh-CN"/>
      </w:rPr>
      <w:t xml:space="preserve">                             </w:t>
    </w:r>
    <w:r>
      <w:rPr>
        <w:rFonts w:hint="eastAsia" w:ascii="宋体" w:hAnsi="宋体" w:eastAsia="宋体" w:cs="宋体"/>
        <w:b/>
        <w:bCs/>
        <w:sz w:val="18"/>
        <w:szCs w:val="18"/>
        <w:lang w:val="en-US" w:eastAsia="zh-CN"/>
      </w:rPr>
      <w:t>联系电话：</w:t>
    </w:r>
    <w:r>
      <w:rPr>
        <w:rFonts w:hint="eastAsia" w:ascii="宋体" w:hAnsi="宋体" w:cs="宋体"/>
        <w:b/>
        <w:bCs/>
        <w:sz w:val="18"/>
        <w:szCs w:val="18"/>
        <w:lang w:val="en-US" w:eastAsia="zh-CN"/>
      </w:rPr>
      <w:t>19999465816</w:t>
    </w:r>
  </w:p>
  <w:p w14:paraId="2EDCDD8F">
    <w:pPr>
      <w:pStyle w:val="20"/>
      <w:pBdr>
        <w:bottom w:val="none" w:color="auto" w:sz="0" w:space="1"/>
      </w:pBdr>
      <w:rPr>
        <w:rFonts w:hint="eastAsia" w:ascii="宋体" w:hAnsi="宋体" w:eastAsia="宋体" w:cs="宋体"/>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9D0C8">
    <w:pPr>
      <w:pStyle w:val="20"/>
      <w:pBdr>
        <w:bottom w:val="thinThickSmallGap" w:color="auto" w:sz="12" w:space="1"/>
      </w:pBdr>
      <w:ind w:firstLine="723" w:firstLineChars="400"/>
      <w:jc w:val="right"/>
      <w:rPr>
        <w:rFonts w:hint="default" w:eastAsia="宋体"/>
        <w:sz w:val="21"/>
        <w:szCs w:val="22"/>
        <w:lang w:val="en-US" w:eastAsia="zh-CN"/>
      </w:rPr>
    </w:pPr>
    <w:r>
      <w:rPr>
        <w:rFonts w:hint="eastAsia" w:ascii="仿宋" w:hAnsi="仿宋" w:eastAsia="仿宋" w:cs="仿宋"/>
        <w:b/>
        <w:bCs/>
        <w:sz w:val="18"/>
        <w:szCs w:val="18"/>
      </w:rPr>
      <w:drawing>
        <wp:anchor distT="0" distB="0" distL="114300" distR="114300" simplePos="0" relativeHeight="251663360" behindDoc="0" locked="0" layoutInCell="1" allowOverlap="1">
          <wp:simplePos x="0" y="0"/>
          <wp:positionH relativeFrom="column">
            <wp:posOffset>-16510</wp:posOffset>
          </wp:positionH>
          <wp:positionV relativeFrom="paragraph">
            <wp:posOffset>-238760</wp:posOffset>
          </wp:positionV>
          <wp:extent cx="539750" cy="431800"/>
          <wp:effectExtent l="0" t="0" r="12700" b="5080"/>
          <wp:wrapSquare wrapText="bothSides"/>
          <wp:docPr id="4" name="图片 6" descr="德泰LOGO"/>
          <wp:cNvGraphicFramePr/>
          <a:graphic xmlns:a="http://schemas.openxmlformats.org/drawingml/2006/main">
            <a:graphicData uri="http://schemas.openxmlformats.org/drawingml/2006/picture">
              <pic:pic xmlns:pic="http://schemas.openxmlformats.org/drawingml/2006/picture">
                <pic:nvPicPr>
                  <pic:cNvPr id="4" name="图片 6" descr="德泰LOGO"/>
                  <pic:cNvPicPr/>
                </pic:nvPicPr>
                <pic:blipFill>
                  <a:blip r:embed="rId1">
                    <a:clrChange>
                      <a:clrFrom>
                        <a:srgbClr val="FFFFFF"/>
                      </a:clrFrom>
                      <a:clrTo>
                        <a:srgbClr val="FFFFFF">
                          <a:alpha val="0"/>
                        </a:srgbClr>
                      </a:clrTo>
                    </a:clrChange>
                  </a:blip>
                  <a:srcRect t="5670" b="17787"/>
                  <a:stretch>
                    <a:fillRect/>
                  </a:stretch>
                </pic:blipFill>
                <pic:spPr>
                  <a:xfrm>
                    <a:off x="0" y="0"/>
                    <a:ext cx="539750" cy="431800"/>
                  </a:xfrm>
                  <a:prstGeom prst="rect">
                    <a:avLst/>
                  </a:prstGeom>
                  <a:noFill/>
                  <a:ln>
                    <a:noFill/>
                  </a:ln>
                </pic:spPr>
              </pic:pic>
            </a:graphicData>
          </a:graphic>
        </wp:anchor>
      </w:drawing>
    </w:r>
    <w:r>
      <w:rPr>
        <w:rFonts w:hint="eastAsia" w:ascii="仿宋" w:hAnsi="仿宋" w:eastAsia="仿宋" w:cs="仿宋"/>
        <w:b/>
        <w:bCs/>
        <w:sz w:val="18"/>
        <w:szCs w:val="18"/>
        <w:lang w:eastAsia="zh-CN"/>
      </w:rPr>
      <w:t>新疆德泰</w:t>
    </w:r>
    <w:r>
      <w:rPr>
        <w:rFonts w:hint="eastAsia" w:ascii="仿宋" w:hAnsi="仿宋" w:eastAsia="仿宋" w:cs="仿宋"/>
        <w:b/>
        <w:bCs/>
        <w:sz w:val="18"/>
        <w:szCs w:val="18"/>
      </w:rPr>
      <w:t>工程项目管理服务有限公司</w:t>
    </w:r>
    <w:r>
      <w:rPr>
        <w:rFonts w:hint="eastAsia"/>
        <w:b/>
        <w:bCs/>
        <w:sz w:val="21"/>
        <w:szCs w:val="22"/>
        <w:lang w:val="en-US" w:eastAsia="zh-CN"/>
      </w:rPr>
      <w:t xml:space="preserve">                           </w:t>
    </w:r>
    <w:r>
      <w:rPr>
        <w:rFonts w:hint="eastAsia" w:ascii="仿宋" w:hAnsi="仿宋" w:eastAsia="仿宋" w:cs="仿宋"/>
        <w:b/>
        <w:bCs/>
        <w:sz w:val="18"/>
        <w:szCs w:val="18"/>
        <w:lang w:val="en-US" w:eastAsia="zh-CN"/>
      </w:rPr>
      <w:t>联系电话：19999465816</w:t>
    </w:r>
  </w:p>
  <w:p w14:paraId="526123ED">
    <w:pPr>
      <w:pStyle w:val="20"/>
      <w:pBdr>
        <w:bottom w:val="none" w:color="auto" w:sz="0" w:space="1"/>
      </w:pBdr>
      <w:rPr>
        <w:rFonts w:hint="eastAsia"/>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154CF">
    <w:pPr>
      <w:pStyle w:val="20"/>
      <w:pBdr>
        <w:bottom w:val="thinThickSmallGap" w:color="auto" w:sz="12" w:space="1"/>
      </w:pBdr>
      <w:ind w:firstLine="723" w:firstLineChars="400"/>
      <w:jc w:val="right"/>
      <w:rPr>
        <w:rFonts w:hint="eastAsia" w:ascii="宋体" w:hAnsi="宋体" w:eastAsia="宋体" w:cs="宋体"/>
        <w:sz w:val="21"/>
        <w:szCs w:val="22"/>
        <w:lang w:val="en-US" w:eastAsia="zh-CN"/>
      </w:rPr>
    </w:pPr>
    <w:r>
      <w:rPr>
        <w:rFonts w:hint="eastAsia" w:ascii="宋体" w:hAnsi="宋体" w:eastAsia="宋体" w:cs="宋体"/>
        <w:b/>
        <w:bCs/>
        <w:sz w:val="18"/>
        <w:szCs w:val="18"/>
      </w:rPr>
      <w:drawing>
        <wp:anchor distT="0" distB="0" distL="114300" distR="114300" simplePos="0" relativeHeight="251662336" behindDoc="0" locked="0" layoutInCell="1" allowOverlap="1">
          <wp:simplePos x="0" y="0"/>
          <wp:positionH relativeFrom="column">
            <wp:posOffset>-16510</wp:posOffset>
          </wp:positionH>
          <wp:positionV relativeFrom="paragraph">
            <wp:posOffset>-238760</wp:posOffset>
          </wp:positionV>
          <wp:extent cx="539750" cy="431800"/>
          <wp:effectExtent l="0" t="0" r="12700" b="5080"/>
          <wp:wrapSquare wrapText="bothSides"/>
          <wp:docPr id="2" name="图片 8" descr="德泰LOGO"/>
          <wp:cNvGraphicFramePr/>
          <a:graphic xmlns:a="http://schemas.openxmlformats.org/drawingml/2006/main">
            <a:graphicData uri="http://schemas.openxmlformats.org/drawingml/2006/picture">
              <pic:pic xmlns:pic="http://schemas.openxmlformats.org/drawingml/2006/picture">
                <pic:nvPicPr>
                  <pic:cNvPr id="2" name="图片 8" descr="德泰LOGO"/>
                  <pic:cNvPicPr/>
                </pic:nvPicPr>
                <pic:blipFill>
                  <a:blip r:embed="rId1">
                    <a:clrChange>
                      <a:clrFrom>
                        <a:srgbClr val="FFFFFF"/>
                      </a:clrFrom>
                      <a:clrTo>
                        <a:srgbClr val="FFFFFF">
                          <a:alpha val="0"/>
                        </a:srgbClr>
                      </a:clrTo>
                    </a:clrChange>
                  </a:blip>
                  <a:srcRect t="5670" b="17787"/>
                  <a:stretch>
                    <a:fillRect/>
                  </a:stretch>
                </pic:blipFill>
                <pic:spPr>
                  <a:xfrm>
                    <a:off x="0" y="0"/>
                    <a:ext cx="539750" cy="431800"/>
                  </a:xfrm>
                  <a:prstGeom prst="rect">
                    <a:avLst/>
                  </a:prstGeom>
                  <a:noFill/>
                  <a:ln>
                    <a:noFill/>
                  </a:ln>
                </pic:spPr>
              </pic:pic>
            </a:graphicData>
          </a:graphic>
        </wp:anchor>
      </w:drawing>
    </w:r>
    <w:r>
      <w:rPr>
        <w:rFonts w:hint="eastAsia" w:ascii="宋体" w:hAnsi="宋体" w:eastAsia="宋体" w:cs="宋体"/>
        <w:b/>
        <w:bCs/>
        <w:sz w:val="18"/>
        <w:szCs w:val="18"/>
        <w:lang w:eastAsia="zh-CN"/>
      </w:rPr>
      <w:t>新疆德泰</w:t>
    </w:r>
    <w:r>
      <w:rPr>
        <w:rFonts w:hint="eastAsia" w:ascii="宋体" w:hAnsi="宋体" w:eastAsia="宋体" w:cs="宋体"/>
        <w:b/>
        <w:bCs/>
        <w:sz w:val="18"/>
        <w:szCs w:val="18"/>
      </w:rPr>
      <w:t>工程项目管理服务有限公司</w:t>
    </w:r>
    <w:r>
      <w:rPr>
        <w:rFonts w:hint="eastAsia" w:ascii="宋体" w:hAnsi="宋体" w:eastAsia="宋体" w:cs="宋体"/>
        <w:b/>
        <w:bCs/>
        <w:sz w:val="21"/>
        <w:szCs w:val="22"/>
        <w:lang w:val="en-US" w:eastAsia="zh-CN"/>
      </w:rPr>
      <w:t xml:space="preserve">                             </w:t>
    </w:r>
    <w:r>
      <w:rPr>
        <w:rFonts w:hint="eastAsia" w:ascii="宋体" w:hAnsi="宋体" w:eastAsia="宋体" w:cs="宋体"/>
        <w:b/>
        <w:bCs/>
        <w:sz w:val="18"/>
        <w:szCs w:val="18"/>
        <w:lang w:val="en-US" w:eastAsia="zh-CN"/>
      </w:rPr>
      <w:t>联系电话：</w:t>
    </w:r>
    <w:r>
      <w:rPr>
        <w:rFonts w:hint="eastAsia" w:ascii="宋体" w:hAnsi="宋体" w:cs="宋体"/>
        <w:b/>
        <w:bCs/>
        <w:sz w:val="18"/>
        <w:szCs w:val="18"/>
        <w:lang w:val="en-US" w:eastAsia="zh-CN"/>
      </w:rPr>
      <w:t>19999465816</w:t>
    </w:r>
  </w:p>
  <w:p w14:paraId="4A77FC00">
    <w:pPr>
      <w:pStyle w:val="20"/>
      <w:pBdr>
        <w:bottom w:val="none" w:color="auto" w:sz="0" w:space="1"/>
      </w:pBdr>
      <w:rPr>
        <w:rFonts w:hint="eastAsia" w:ascii="宋体" w:hAnsi="宋体" w:eastAsia="宋体" w:cs="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31440">
    <w:pPr>
      <w:pStyle w:val="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94C81">
    <w:pPr>
      <w:pStyle w:val="20"/>
      <w:pBdr>
        <w:bottom w:val="thinThickSmallGap" w:color="auto" w:sz="12" w:space="1"/>
      </w:pBdr>
      <w:ind w:firstLine="723" w:firstLineChars="400"/>
      <w:jc w:val="left"/>
      <w:rPr>
        <w:rFonts w:hint="default" w:eastAsia="宋体"/>
        <w:sz w:val="21"/>
        <w:szCs w:val="22"/>
        <w:lang w:val="en-US" w:eastAsia="zh-CN"/>
      </w:rPr>
    </w:pPr>
    <w:r>
      <w:rPr>
        <w:rFonts w:hint="eastAsia" w:ascii="仿宋" w:hAnsi="仿宋" w:eastAsia="仿宋" w:cs="仿宋"/>
        <w:b/>
        <w:bCs/>
        <w:sz w:val="18"/>
        <w:szCs w:val="18"/>
      </w:rPr>
      <w:drawing>
        <wp:anchor distT="0" distB="0" distL="114300" distR="114300" simplePos="0" relativeHeight="251666432" behindDoc="0" locked="0" layoutInCell="1" allowOverlap="1">
          <wp:simplePos x="0" y="0"/>
          <wp:positionH relativeFrom="column">
            <wp:posOffset>-16510</wp:posOffset>
          </wp:positionH>
          <wp:positionV relativeFrom="paragraph">
            <wp:posOffset>-267335</wp:posOffset>
          </wp:positionV>
          <wp:extent cx="539750" cy="431800"/>
          <wp:effectExtent l="0" t="0" r="12700" b="6350"/>
          <wp:wrapSquare wrapText="bothSides"/>
          <wp:docPr id="12" name="图片 10" descr="德泰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德泰LOGO"/>
                  <pic:cNvPicPr>
                    <a:picLocks noChangeAspect="1"/>
                  </pic:cNvPicPr>
                </pic:nvPicPr>
                <pic:blipFill>
                  <a:blip r:embed="rId1"/>
                  <a:srcRect t="5670" b="17787"/>
                  <a:stretch>
                    <a:fillRect/>
                  </a:stretch>
                </pic:blipFill>
                <pic:spPr>
                  <a:xfrm>
                    <a:off x="0" y="0"/>
                    <a:ext cx="539750" cy="431800"/>
                  </a:xfrm>
                  <a:prstGeom prst="rect">
                    <a:avLst/>
                  </a:prstGeom>
                  <a:noFill/>
                  <a:ln>
                    <a:noFill/>
                  </a:ln>
                </pic:spPr>
              </pic:pic>
            </a:graphicData>
          </a:graphic>
        </wp:anchor>
      </w:drawing>
    </w:r>
    <w:r>
      <w:rPr>
        <w:rFonts w:hint="eastAsia" w:ascii="仿宋" w:hAnsi="仿宋" w:eastAsia="仿宋" w:cs="仿宋"/>
        <w:b/>
        <w:bCs/>
        <w:sz w:val="18"/>
        <w:szCs w:val="18"/>
        <w:lang w:val="en-US" w:eastAsia="zh-CN"/>
      </w:rPr>
      <w:t xml:space="preserve"> </w:t>
    </w:r>
    <w:r>
      <w:rPr>
        <w:rFonts w:hint="eastAsia" w:ascii="仿宋" w:hAnsi="仿宋" w:eastAsia="仿宋" w:cs="仿宋"/>
        <w:b/>
        <w:bCs/>
        <w:sz w:val="18"/>
        <w:szCs w:val="18"/>
        <w:lang w:eastAsia="zh-CN"/>
      </w:rPr>
      <w:t xml:space="preserve">新疆德泰工程项目管理服务有限公司 </w:t>
    </w:r>
    <w:r>
      <w:rPr>
        <w:rFonts w:hint="eastAsia"/>
        <w:b/>
        <w:bCs/>
        <w:sz w:val="21"/>
        <w:szCs w:val="22"/>
        <w:lang w:val="en-US" w:eastAsia="zh-CN"/>
      </w:rPr>
      <w:t xml:space="preserve">                               </w:t>
    </w:r>
    <w:r>
      <w:rPr>
        <w:rFonts w:hint="eastAsia" w:ascii="仿宋" w:hAnsi="仿宋" w:eastAsia="仿宋" w:cs="仿宋"/>
        <w:b/>
        <w:bCs/>
        <w:sz w:val="18"/>
        <w:szCs w:val="18"/>
        <w:lang w:val="en-US" w:eastAsia="zh-CN"/>
      </w:rPr>
      <w:t>联系电话：19999465816</w:t>
    </w:r>
  </w:p>
  <w:p w14:paraId="5490EDFE">
    <w:pPr>
      <w:pStyle w:val="20"/>
      <w:pBdr>
        <w:bottom w:val="none" w:color="auto" w:sz="0" w:space="1"/>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6B4C3">
    <w:pPr>
      <w:pStyle w:val="20"/>
      <w:pBdr>
        <w:bottom w:val="thinThickSmallGap" w:color="auto" w:sz="12" w:space="1"/>
      </w:pBdr>
      <w:ind w:firstLine="723" w:firstLineChars="400"/>
      <w:jc w:val="right"/>
      <w:rPr>
        <w:rFonts w:hint="default" w:eastAsia="宋体"/>
        <w:sz w:val="21"/>
        <w:szCs w:val="22"/>
        <w:lang w:val="en-US" w:eastAsia="zh-CN"/>
      </w:rPr>
    </w:pPr>
    <w:r>
      <w:rPr>
        <w:rFonts w:hint="eastAsia" w:ascii="仿宋" w:hAnsi="仿宋" w:eastAsia="仿宋" w:cs="仿宋"/>
        <w:b/>
        <w:bCs/>
        <w:sz w:val="18"/>
        <w:szCs w:val="18"/>
      </w:rPr>
      <w:drawing>
        <wp:anchor distT="0" distB="0" distL="114300" distR="114300" simplePos="0" relativeHeight="251665408" behindDoc="0" locked="0" layoutInCell="1" allowOverlap="1">
          <wp:simplePos x="0" y="0"/>
          <wp:positionH relativeFrom="column">
            <wp:posOffset>-16510</wp:posOffset>
          </wp:positionH>
          <wp:positionV relativeFrom="paragraph">
            <wp:posOffset>-276860</wp:posOffset>
          </wp:positionV>
          <wp:extent cx="539750" cy="431800"/>
          <wp:effectExtent l="0" t="0" r="12700" b="6350"/>
          <wp:wrapSquare wrapText="bothSides"/>
          <wp:docPr id="5" name="图片 8" descr="德泰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德泰LOGO"/>
                  <pic:cNvPicPr>
                    <a:picLocks noChangeAspect="1"/>
                  </pic:cNvPicPr>
                </pic:nvPicPr>
                <pic:blipFill>
                  <a:blip r:embed="rId1"/>
                  <a:srcRect t="5670" b="17787"/>
                  <a:stretch>
                    <a:fillRect/>
                  </a:stretch>
                </pic:blipFill>
                <pic:spPr>
                  <a:xfrm>
                    <a:off x="0" y="0"/>
                    <a:ext cx="539750" cy="431800"/>
                  </a:xfrm>
                  <a:prstGeom prst="rect">
                    <a:avLst/>
                  </a:prstGeom>
                  <a:noFill/>
                  <a:ln>
                    <a:noFill/>
                  </a:ln>
                </pic:spPr>
              </pic:pic>
            </a:graphicData>
          </a:graphic>
        </wp:anchor>
      </w:drawing>
    </w:r>
    <w:r>
      <w:rPr>
        <w:rFonts w:hint="eastAsia" w:ascii="仿宋" w:hAnsi="仿宋" w:eastAsia="仿宋" w:cs="仿宋"/>
        <w:b/>
        <w:bCs/>
        <w:sz w:val="18"/>
        <w:szCs w:val="18"/>
        <w:lang w:val="en-US" w:eastAsia="zh-CN"/>
      </w:rPr>
      <w:t xml:space="preserve"> </w:t>
    </w:r>
    <w:r>
      <w:rPr>
        <w:rFonts w:hint="eastAsia" w:ascii="仿宋" w:hAnsi="仿宋" w:eastAsia="仿宋" w:cs="仿宋"/>
        <w:b/>
        <w:bCs/>
        <w:sz w:val="18"/>
        <w:szCs w:val="18"/>
        <w:lang w:eastAsia="zh-CN"/>
      </w:rPr>
      <w:t xml:space="preserve">新疆德泰工程项目管理服务有限公司 </w:t>
    </w:r>
    <w:r>
      <w:rPr>
        <w:rFonts w:hint="eastAsia"/>
        <w:b/>
        <w:bCs/>
        <w:sz w:val="21"/>
        <w:szCs w:val="22"/>
        <w:lang w:val="en-US" w:eastAsia="zh-CN"/>
      </w:rPr>
      <w:t xml:space="preserve">                                 </w:t>
    </w:r>
    <w:r>
      <w:rPr>
        <w:rFonts w:hint="eastAsia" w:ascii="仿宋" w:hAnsi="仿宋" w:eastAsia="仿宋" w:cs="仿宋"/>
        <w:b/>
        <w:bCs/>
        <w:sz w:val="18"/>
        <w:szCs w:val="18"/>
        <w:lang w:val="en-US" w:eastAsia="zh-CN"/>
      </w:rPr>
      <w:t>联系电话：19999465816</w:t>
    </w:r>
  </w:p>
  <w:p w14:paraId="5401658B">
    <w:pPr>
      <w:pStyle w:val="20"/>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53E9A">
    <w:pPr>
      <w:pStyle w:val="20"/>
      <w:pBdr>
        <w:bottom w:val="thinThickSmallGap" w:color="auto" w:sz="12" w:space="1"/>
      </w:pBdr>
      <w:ind w:firstLine="904" w:firstLineChars="500"/>
      <w:jc w:val="left"/>
      <w:rPr>
        <w:rFonts w:hint="default" w:eastAsia="宋体"/>
        <w:sz w:val="21"/>
        <w:szCs w:val="22"/>
        <w:lang w:val="en-US" w:eastAsia="zh-CN"/>
      </w:rPr>
    </w:pPr>
    <w:r>
      <w:rPr>
        <w:rFonts w:hint="eastAsia" w:ascii="仿宋" w:hAnsi="仿宋" w:eastAsia="仿宋" w:cs="仿宋"/>
        <w:b/>
        <w:bCs/>
        <w:sz w:val="18"/>
        <w:szCs w:val="18"/>
      </w:rPr>
      <w:drawing>
        <wp:anchor distT="0" distB="0" distL="114300" distR="114300" simplePos="0" relativeHeight="251669504" behindDoc="0" locked="0" layoutInCell="1" allowOverlap="1">
          <wp:simplePos x="0" y="0"/>
          <wp:positionH relativeFrom="column">
            <wp:posOffset>-16510</wp:posOffset>
          </wp:positionH>
          <wp:positionV relativeFrom="paragraph">
            <wp:posOffset>-267335</wp:posOffset>
          </wp:positionV>
          <wp:extent cx="539750" cy="431800"/>
          <wp:effectExtent l="0" t="0" r="12700" b="6350"/>
          <wp:wrapSquare wrapText="bothSides"/>
          <wp:docPr id="54" name="图片 10" descr="德泰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0" descr="德泰LOGO"/>
                  <pic:cNvPicPr>
                    <a:picLocks noChangeAspect="1"/>
                  </pic:cNvPicPr>
                </pic:nvPicPr>
                <pic:blipFill>
                  <a:blip r:embed="rId1"/>
                  <a:srcRect t="5670" b="17787"/>
                  <a:stretch>
                    <a:fillRect/>
                  </a:stretch>
                </pic:blipFill>
                <pic:spPr>
                  <a:xfrm>
                    <a:off x="0" y="0"/>
                    <a:ext cx="539750" cy="431800"/>
                  </a:xfrm>
                  <a:prstGeom prst="rect">
                    <a:avLst/>
                  </a:prstGeom>
                  <a:noFill/>
                  <a:ln>
                    <a:noFill/>
                  </a:ln>
                </pic:spPr>
              </pic:pic>
            </a:graphicData>
          </a:graphic>
        </wp:anchor>
      </w:drawing>
    </w:r>
    <w:r>
      <w:rPr>
        <w:rFonts w:hint="eastAsia" w:ascii="仿宋" w:hAnsi="仿宋" w:eastAsia="仿宋" w:cs="仿宋"/>
        <w:b/>
        <w:bCs/>
        <w:sz w:val="18"/>
        <w:szCs w:val="18"/>
        <w:lang w:val="en-US" w:eastAsia="zh-CN"/>
      </w:rPr>
      <w:t xml:space="preserve"> </w:t>
    </w:r>
    <w:r>
      <w:rPr>
        <w:rFonts w:hint="eastAsia" w:ascii="仿宋" w:hAnsi="仿宋" w:eastAsia="仿宋" w:cs="仿宋"/>
        <w:b/>
        <w:bCs/>
        <w:sz w:val="18"/>
        <w:szCs w:val="18"/>
        <w:lang w:eastAsia="zh-CN"/>
      </w:rPr>
      <w:t xml:space="preserve">新疆德泰工程项目管理服务有限公司 </w:t>
    </w:r>
    <w:r>
      <w:rPr>
        <w:rFonts w:hint="eastAsia"/>
        <w:b/>
        <w:bCs/>
        <w:sz w:val="21"/>
        <w:szCs w:val="22"/>
        <w:lang w:val="en-US" w:eastAsia="zh-CN"/>
      </w:rPr>
      <w:t xml:space="preserve">                                                                           </w:t>
    </w:r>
    <w:r>
      <w:rPr>
        <w:rFonts w:hint="eastAsia" w:ascii="仿宋" w:hAnsi="仿宋" w:eastAsia="仿宋" w:cs="仿宋"/>
        <w:b/>
        <w:bCs/>
        <w:sz w:val="18"/>
        <w:szCs w:val="18"/>
        <w:lang w:val="en-US" w:eastAsia="zh-CN"/>
      </w:rPr>
      <w:t>联系电话：19999465816</w:t>
    </w:r>
  </w:p>
  <w:p w14:paraId="6ABF9698">
    <w:pPr>
      <w:pStyle w:val="20"/>
      <w:pBdr>
        <w:bottom w:val="none" w:color="auto" w:sz="0" w:space="1"/>
      </w:pBdr>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CE7EA">
    <w:pPr>
      <w:pStyle w:val="20"/>
      <w:pBdr>
        <w:bottom w:val="thinThickSmallGap" w:color="auto" w:sz="12" w:space="1"/>
      </w:pBdr>
      <w:ind w:firstLine="723" w:firstLineChars="400"/>
      <w:jc w:val="both"/>
      <w:rPr>
        <w:rFonts w:hint="default" w:eastAsia="宋体"/>
        <w:sz w:val="21"/>
        <w:szCs w:val="22"/>
        <w:lang w:val="en-US" w:eastAsia="zh-CN"/>
      </w:rPr>
    </w:pPr>
    <w:r>
      <w:rPr>
        <w:rFonts w:hint="eastAsia" w:ascii="仿宋" w:hAnsi="仿宋" w:eastAsia="仿宋" w:cs="仿宋"/>
        <w:b/>
        <w:bCs/>
        <w:sz w:val="18"/>
        <w:szCs w:val="18"/>
      </w:rPr>
      <w:drawing>
        <wp:anchor distT="0" distB="0" distL="114300" distR="114300" simplePos="0" relativeHeight="251667456" behindDoc="0" locked="0" layoutInCell="1" allowOverlap="1">
          <wp:simplePos x="0" y="0"/>
          <wp:positionH relativeFrom="column">
            <wp:posOffset>-16510</wp:posOffset>
          </wp:positionH>
          <wp:positionV relativeFrom="paragraph">
            <wp:posOffset>-276860</wp:posOffset>
          </wp:positionV>
          <wp:extent cx="539750" cy="431800"/>
          <wp:effectExtent l="0" t="0" r="12700" b="6350"/>
          <wp:wrapSquare wrapText="bothSides"/>
          <wp:docPr id="52" name="图片 8" descr="德泰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descr="德泰LOGO"/>
                  <pic:cNvPicPr>
                    <a:picLocks noChangeAspect="1"/>
                  </pic:cNvPicPr>
                </pic:nvPicPr>
                <pic:blipFill>
                  <a:blip r:embed="rId1"/>
                  <a:srcRect t="5670" b="17787"/>
                  <a:stretch>
                    <a:fillRect/>
                  </a:stretch>
                </pic:blipFill>
                <pic:spPr>
                  <a:xfrm>
                    <a:off x="0" y="0"/>
                    <a:ext cx="539750" cy="431800"/>
                  </a:xfrm>
                  <a:prstGeom prst="rect">
                    <a:avLst/>
                  </a:prstGeom>
                  <a:noFill/>
                  <a:ln>
                    <a:noFill/>
                  </a:ln>
                </pic:spPr>
              </pic:pic>
            </a:graphicData>
          </a:graphic>
        </wp:anchor>
      </w:drawing>
    </w:r>
    <w:r>
      <w:rPr>
        <w:rFonts w:hint="eastAsia" w:ascii="仿宋" w:hAnsi="仿宋" w:eastAsia="仿宋" w:cs="仿宋"/>
        <w:b/>
        <w:bCs/>
        <w:sz w:val="18"/>
        <w:szCs w:val="18"/>
        <w:lang w:val="en-US" w:eastAsia="zh-CN"/>
      </w:rPr>
      <w:t xml:space="preserve"> </w:t>
    </w:r>
    <w:r>
      <w:rPr>
        <w:rFonts w:hint="eastAsia" w:ascii="仿宋" w:hAnsi="仿宋" w:eastAsia="仿宋" w:cs="仿宋"/>
        <w:b/>
        <w:bCs/>
        <w:sz w:val="18"/>
        <w:szCs w:val="18"/>
        <w:lang w:eastAsia="zh-CN"/>
      </w:rPr>
      <w:t xml:space="preserve">新疆德泰工程项目管理服务有限公司 </w:t>
    </w:r>
    <w:r>
      <w:rPr>
        <w:rFonts w:hint="eastAsia"/>
        <w:b/>
        <w:bCs/>
        <w:sz w:val="21"/>
        <w:szCs w:val="22"/>
        <w:lang w:val="en-US" w:eastAsia="zh-CN"/>
      </w:rPr>
      <w:t xml:space="preserve">                                                                              </w:t>
    </w:r>
    <w:r>
      <w:rPr>
        <w:rFonts w:hint="eastAsia" w:ascii="仿宋" w:hAnsi="仿宋" w:eastAsia="仿宋" w:cs="仿宋"/>
        <w:b/>
        <w:bCs/>
        <w:sz w:val="18"/>
        <w:szCs w:val="18"/>
        <w:lang w:val="en-US" w:eastAsia="zh-CN"/>
      </w:rPr>
      <w:t>联系电话：19999465816</w:t>
    </w:r>
  </w:p>
  <w:p w14:paraId="7865306B">
    <w:pPr>
      <w:pStyle w:val="20"/>
      <w:pBdr>
        <w:bottom w:val="none" w:color="auto" w:sz="0" w:space="1"/>
      </w:pBdr>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94623">
    <w:pPr>
      <w:pStyle w:val="20"/>
      <w:pBdr>
        <w:bottom w:val="thinThickSmallGap" w:color="auto" w:sz="12" w:space="1"/>
      </w:pBdr>
      <w:ind w:firstLine="904" w:firstLineChars="500"/>
      <w:jc w:val="left"/>
      <w:rPr>
        <w:rFonts w:hint="default" w:eastAsia="宋体"/>
        <w:sz w:val="21"/>
        <w:szCs w:val="22"/>
        <w:lang w:val="en-US" w:eastAsia="zh-CN"/>
      </w:rPr>
    </w:pPr>
    <w:r>
      <w:rPr>
        <w:rFonts w:hint="eastAsia" w:ascii="仿宋" w:hAnsi="仿宋" w:eastAsia="仿宋" w:cs="仿宋"/>
        <w:b/>
        <w:bCs/>
        <w:sz w:val="18"/>
        <w:szCs w:val="18"/>
      </w:rPr>
      <w:drawing>
        <wp:anchor distT="0" distB="0" distL="114300" distR="114300" simplePos="0" relativeHeight="251670528" behindDoc="0" locked="0" layoutInCell="1" allowOverlap="1">
          <wp:simplePos x="0" y="0"/>
          <wp:positionH relativeFrom="column">
            <wp:posOffset>-16510</wp:posOffset>
          </wp:positionH>
          <wp:positionV relativeFrom="paragraph">
            <wp:posOffset>-267335</wp:posOffset>
          </wp:positionV>
          <wp:extent cx="539750" cy="431800"/>
          <wp:effectExtent l="0" t="0" r="12700" b="6350"/>
          <wp:wrapSquare wrapText="bothSides"/>
          <wp:docPr id="89" name="图片 10" descr="德泰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0" descr="德泰LOGO"/>
                  <pic:cNvPicPr>
                    <a:picLocks noChangeAspect="1"/>
                  </pic:cNvPicPr>
                </pic:nvPicPr>
                <pic:blipFill>
                  <a:blip r:embed="rId1"/>
                  <a:srcRect t="5670" b="17787"/>
                  <a:stretch>
                    <a:fillRect/>
                  </a:stretch>
                </pic:blipFill>
                <pic:spPr>
                  <a:xfrm>
                    <a:off x="0" y="0"/>
                    <a:ext cx="539750" cy="431800"/>
                  </a:xfrm>
                  <a:prstGeom prst="rect">
                    <a:avLst/>
                  </a:prstGeom>
                  <a:noFill/>
                  <a:ln>
                    <a:noFill/>
                  </a:ln>
                </pic:spPr>
              </pic:pic>
            </a:graphicData>
          </a:graphic>
        </wp:anchor>
      </w:drawing>
    </w:r>
    <w:r>
      <w:rPr>
        <w:rFonts w:hint="eastAsia" w:ascii="仿宋" w:hAnsi="仿宋" w:eastAsia="仿宋" w:cs="仿宋"/>
        <w:b/>
        <w:bCs/>
        <w:sz w:val="18"/>
        <w:szCs w:val="18"/>
        <w:lang w:val="en-US" w:eastAsia="zh-CN"/>
      </w:rPr>
      <w:t xml:space="preserve"> </w:t>
    </w:r>
    <w:r>
      <w:rPr>
        <w:rFonts w:hint="eastAsia" w:ascii="仿宋" w:hAnsi="仿宋" w:eastAsia="仿宋" w:cs="仿宋"/>
        <w:b/>
        <w:bCs/>
        <w:sz w:val="18"/>
        <w:szCs w:val="18"/>
        <w:lang w:eastAsia="zh-CN"/>
      </w:rPr>
      <w:t xml:space="preserve">新疆德泰工程项目管理服务有限公司 </w:t>
    </w:r>
    <w:r>
      <w:rPr>
        <w:rFonts w:hint="eastAsia"/>
        <w:b/>
        <w:bCs/>
        <w:sz w:val="21"/>
        <w:szCs w:val="22"/>
        <w:lang w:val="en-US" w:eastAsia="zh-CN"/>
      </w:rPr>
      <w:t xml:space="preserve">                           </w:t>
    </w:r>
    <w:r>
      <w:rPr>
        <w:rFonts w:hint="eastAsia" w:ascii="仿宋" w:hAnsi="仿宋" w:eastAsia="仿宋" w:cs="仿宋"/>
        <w:b/>
        <w:bCs/>
        <w:sz w:val="18"/>
        <w:szCs w:val="18"/>
        <w:lang w:val="en-US" w:eastAsia="zh-CN"/>
      </w:rPr>
      <w:t>联系电话：19999465816</w:t>
    </w:r>
  </w:p>
  <w:p w14:paraId="33D313A2">
    <w:pPr>
      <w:pStyle w:val="20"/>
      <w:pBdr>
        <w:bottom w:val="none" w:color="auto" w:sz="0" w:space="1"/>
      </w:pBdr>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C39C8">
    <w:pPr>
      <w:pStyle w:val="20"/>
      <w:pBdr>
        <w:bottom w:val="thinThickSmallGap" w:color="auto" w:sz="12" w:space="1"/>
      </w:pBdr>
      <w:ind w:firstLine="723" w:firstLineChars="400"/>
      <w:jc w:val="both"/>
      <w:rPr>
        <w:rFonts w:hint="default" w:eastAsia="宋体"/>
        <w:sz w:val="21"/>
        <w:szCs w:val="22"/>
        <w:lang w:val="en-US" w:eastAsia="zh-CN"/>
      </w:rPr>
    </w:pPr>
    <w:r>
      <w:rPr>
        <w:rFonts w:hint="eastAsia" w:ascii="仿宋" w:hAnsi="仿宋" w:eastAsia="仿宋" w:cs="仿宋"/>
        <w:b/>
        <w:bCs/>
        <w:sz w:val="18"/>
        <w:szCs w:val="18"/>
      </w:rPr>
      <w:drawing>
        <wp:anchor distT="0" distB="0" distL="114300" distR="114300" simplePos="0" relativeHeight="251668480" behindDoc="0" locked="0" layoutInCell="1" allowOverlap="1">
          <wp:simplePos x="0" y="0"/>
          <wp:positionH relativeFrom="column">
            <wp:posOffset>-16510</wp:posOffset>
          </wp:positionH>
          <wp:positionV relativeFrom="paragraph">
            <wp:posOffset>-276860</wp:posOffset>
          </wp:positionV>
          <wp:extent cx="539750" cy="431800"/>
          <wp:effectExtent l="0" t="0" r="12700" b="6350"/>
          <wp:wrapSquare wrapText="bothSides"/>
          <wp:docPr id="88" name="图片 8" descr="德泰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 descr="德泰LOGO"/>
                  <pic:cNvPicPr>
                    <a:picLocks noChangeAspect="1"/>
                  </pic:cNvPicPr>
                </pic:nvPicPr>
                <pic:blipFill>
                  <a:blip r:embed="rId1"/>
                  <a:srcRect t="5670" b="17787"/>
                  <a:stretch>
                    <a:fillRect/>
                  </a:stretch>
                </pic:blipFill>
                <pic:spPr>
                  <a:xfrm>
                    <a:off x="0" y="0"/>
                    <a:ext cx="539750" cy="431800"/>
                  </a:xfrm>
                  <a:prstGeom prst="rect">
                    <a:avLst/>
                  </a:prstGeom>
                  <a:noFill/>
                  <a:ln>
                    <a:noFill/>
                  </a:ln>
                </pic:spPr>
              </pic:pic>
            </a:graphicData>
          </a:graphic>
        </wp:anchor>
      </w:drawing>
    </w:r>
    <w:r>
      <w:rPr>
        <w:rFonts w:hint="eastAsia" w:ascii="仿宋" w:hAnsi="仿宋" w:eastAsia="仿宋" w:cs="仿宋"/>
        <w:b/>
        <w:bCs/>
        <w:sz w:val="18"/>
        <w:szCs w:val="18"/>
        <w:lang w:val="en-US" w:eastAsia="zh-CN"/>
      </w:rPr>
      <w:t xml:space="preserve"> </w:t>
    </w:r>
    <w:r>
      <w:rPr>
        <w:rFonts w:hint="eastAsia" w:ascii="仿宋" w:hAnsi="仿宋" w:eastAsia="仿宋" w:cs="仿宋"/>
        <w:b/>
        <w:bCs/>
        <w:sz w:val="18"/>
        <w:szCs w:val="18"/>
        <w:lang w:eastAsia="zh-CN"/>
      </w:rPr>
      <w:t>新疆德泰工程项目管理服务有限公司</w:t>
    </w:r>
    <w:r>
      <w:rPr>
        <w:rFonts w:hint="eastAsia"/>
        <w:b/>
        <w:bCs/>
        <w:sz w:val="21"/>
        <w:szCs w:val="22"/>
        <w:lang w:val="en-US" w:eastAsia="zh-CN"/>
      </w:rPr>
      <w:t xml:space="preserve">                                </w:t>
    </w:r>
    <w:r>
      <w:rPr>
        <w:rFonts w:hint="eastAsia" w:ascii="仿宋" w:hAnsi="仿宋" w:eastAsia="仿宋" w:cs="仿宋"/>
        <w:b/>
        <w:bCs/>
        <w:sz w:val="18"/>
        <w:szCs w:val="18"/>
        <w:lang w:val="en-US" w:eastAsia="zh-CN"/>
      </w:rPr>
      <w:t>联系电话：19999465816</w:t>
    </w:r>
  </w:p>
  <w:p w14:paraId="2327F0BD">
    <w:pPr>
      <w:pStyle w:val="20"/>
      <w:pBdr>
        <w:bottom w:val="none" w:color="auto" w:sz="0" w:space="1"/>
      </w:pBdr>
      <w:rPr>
        <w:rFonts w:hint="eastAsi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47CB8">
    <w:pPr>
      <w:pStyle w:val="20"/>
      <w:pBdr>
        <w:bottom w:val="thinThickSmallGap" w:color="auto" w:sz="12" w:space="1"/>
      </w:pBdr>
      <w:ind w:firstLine="723" w:firstLineChars="400"/>
      <w:jc w:val="left"/>
      <w:rPr>
        <w:rFonts w:hint="default" w:eastAsia="宋体"/>
        <w:sz w:val="21"/>
        <w:szCs w:val="22"/>
        <w:lang w:val="en-US" w:eastAsia="zh-CN"/>
      </w:rPr>
    </w:pPr>
    <w:r>
      <w:rPr>
        <w:rFonts w:hint="eastAsia" w:ascii="仿宋" w:hAnsi="仿宋" w:eastAsia="仿宋" w:cs="仿宋"/>
        <w:b/>
        <w:bCs/>
        <w:sz w:val="18"/>
        <w:szCs w:val="18"/>
      </w:rPr>
      <w:drawing>
        <wp:anchor distT="0" distB="0" distL="114300" distR="114300" simplePos="0" relativeHeight="251662336" behindDoc="0" locked="0" layoutInCell="1" allowOverlap="1">
          <wp:simplePos x="0" y="0"/>
          <wp:positionH relativeFrom="column">
            <wp:posOffset>-16510</wp:posOffset>
          </wp:positionH>
          <wp:positionV relativeFrom="paragraph">
            <wp:posOffset>-210185</wp:posOffset>
          </wp:positionV>
          <wp:extent cx="539750" cy="431800"/>
          <wp:effectExtent l="0" t="0" r="12700" b="6350"/>
          <wp:wrapSquare wrapText="bothSides"/>
          <wp:docPr id="13" name="图片 14" descr="德泰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德泰LOGO"/>
                  <pic:cNvPicPr>
                    <a:picLocks noChangeAspect="1"/>
                  </pic:cNvPicPr>
                </pic:nvPicPr>
                <pic:blipFill>
                  <a:blip r:embed="rId1"/>
                  <a:srcRect t="5670" b="17787"/>
                  <a:stretch>
                    <a:fillRect/>
                  </a:stretch>
                </pic:blipFill>
                <pic:spPr>
                  <a:xfrm>
                    <a:off x="0" y="0"/>
                    <a:ext cx="539750" cy="431800"/>
                  </a:xfrm>
                  <a:prstGeom prst="rect">
                    <a:avLst/>
                  </a:prstGeom>
                  <a:noFill/>
                  <a:ln>
                    <a:noFill/>
                  </a:ln>
                </pic:spPr>
              </pic:pic>
            </a:graphicData>
          </a:graphic>
        </wp:anchor>
      </w:drawing>
    </w:r>
    <w:r>
      <w:rPr>
        <w:rFonts w:hint="eastAsia" w:ascii="仿宋" w:hAnsi="仿宋" w:eastAsia="仿宋" w:cs="仿宋"/>
        <w:b/>
        <w:bCs/>
        <w:sz w:val="18"/>
        <w:szCs w:val="18"/>
        <w:lang w:eastAsia="zh-CN"/>
      </w:rPr>
      <w:t xml:space="preserve">新疆德泰工程项目管理服务有限公司 </w:t>
    </w:r>
    <w:r>
      <w:rPr>
        <w:rFonts w:hint="eastAsia"/>
        <w:b/>
        <w:bCs/>
        <w:sz w:val="21"/>
        <w:szCs w:val="22"/>
        <w:lang w:val="en-US" w:eastAsia="zh-CN"/>
      </w:rPr>
      <w:t xml:space="preserve">                               </w:t>
    </w:r>
    <w:r>
      <w:rPr>
        <w:rFonts w:hint="eastAsia" w:ascii="仿宋" w:hAnsi="仿宋" w:eastAsia="仿宋" w:cs="仿宋"/>
        <w:b/>
        <w:bCs/>
        <w:sz w:val="18"/>
        <w:szCs w:val="18"/>
        <w:lang w:val="en-US" w:eastAsia="zh-CN"/>
      </w:rPr>
      <w:t>联系电话：19999465816</w:t>
    </w:r>
  </w:p>
  <w:p w14:paraId="52F3254A">
    <w:pPr>
      <w:pStyle w:val="20"/>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69C6A3"/>
    <w:multiLevelType w:val="singleLevel"/>
    <w:tmpl w:val="9469C6A3"/>
    <w:lvl w:ilvl="0" w:tentative="0">
      <w:start w:val="1"/>
      <w:numFmt w:val="chineseCounting"/>
      <w:suff w:val="space"/>
      <w:lvlText w:val="%1、"/>
      <w:lvlJc w:val="left"/>
      <w:rPr>
        <w:rFonts w:hint="eastAsia"/>
      </w:rPr>
    </w:lvl>
  </w:abstractNum>
  <w:abstractNum w:abstractNumId="1">
    <w:nsid w:val="B6C17A11"/>
    <w:multiLevelType w:val="singleLevel"/>
    <w:tmpl w:val="B6C17A11"/>
    <w:lvl w:ilvl="0" w:tentative="0">
      <w:start w:val="1"/>
      <w:numFmt w:val="chineseCounting"/>
      <w:suff w:val="nothing"/>
      <w:lvlText w:val="%1、"/>
      <w:lvlJc w:val="left"/>
      <w:rPr>
        <w:rFonts w:hint="eastAsia"/>
      </w:rPr>
    </w:lvl>
  </w:abstractNum>
  <w:abstractNum w:abstractNumId="2">
    <w:nsid w:val="00000003"/>
    <w:multiLevelType w:val="singleLevel"/>
    <w:tmpl w:val="00000003"/>
    <w:lvl w:ilvl="0" w:tentative="0">
      <w:start w:val="1"/>
      <w:numFmt w:val="upperLetter"/>
      <w:pStyle w:val="3"/>
      <w:lvlText w:val="%1."/>
      <w:lvlJc w:val="left"/>
      <w:pPr>
        <w:tabs>
          <w:tab w:val="left" w:pos="330"/>
        </w:tabs>
        <w:ind w:left="330" w:hanging="330"/>
      </w:pPr>
    </w:lvl>
  </w:abstractNum>
  <w:abstractNum w:abstractNumId="3">
    <w:nsid w:val="00000009"/>
    <w:multiLevelType w:val="multilevel"/>
    <w:tmpl w:val="00000009"/>
    <w:lvl w:ilvl="0" w:tentative="0">
      <w:start w:val="1"/>
      <w:numFmt w:val="upperLetter"/>
      <w:pStyle w:val="4"/>
      <w:lvlText w:val="%1."/>
      <w:lvlJc w:val="left"/>
      <w:pPr>
        <w:tabs>
          <w:tab w:val="left" w:pos="752"/>
        </w:tabs>
        <w:ind w:left="752" w:hanging="468"/>
      </w:pPr>
    </w:lvl>
    <w:lvl w:ilvl="1" w:tentative="0">
      <w:start w:val="1"/>
      <w:numFmt w:val="decimal"/>
      <w:lvlText w:val="%2."/>
      <w:lvlJc w:val="left"/>
      <w:pPr>
        <w:tabs>
          <w:tab w:val="left" w:pos="1724"/>
        </w:tabs>
        <w:ind w:left="1724" w:hanging="360"/>
      </w:pPr>
    </w:lvl>
    <w:lvl w:ilvl="2" w:tentative="0">
      <w:start w:val="1"/>
      <w:numFmt w:val="decimal"/>
      <w:lvlText w:val="%3."/>
      <w:lvlJc w:val="left"/>
      <w:pPr>
        <w:tabs>
          <w:tab w:val="left" w:pos="644"/>
        </w:tabs>
        <w:ind w:left="644" w:hanging="360"/>
      </w:pPr>
    </w:lvl>
    <w:lvl w:ilvl="3" w:tentative="0">
      <w:start w:val="1"/>
      <w:numFmt w:val="decimal"/>
      <w:lvlText w:val="%4."/>
      <w:lvlJc w:val="left"/>
      <w:pPr>
        <w:tabs>
          <w:tab w:val="left" w:pos="3164"/>
        </w:tabs>
        <w:ind w:left="3164" w:hanging="360"/>
      </w:pPr>
    </w:lvl>
    <w:lvl w:ilvl="4" w:tentative="0">
      <w:start w:val="1"/>
      <w:numFmt w:val="decimal"/>
      <w:lvlText w:val="%5."/>
      <w:lvlJc w:val="left"/>
      <w:pPr>
        <w:tabs>
          <w:tab w:val="left" w:pos="3884"/>
        </w:tabs>
        <w:ind w:left="3884" w:hanging="360"/>
      </w:pPr>
    </w:lvl>
    <w:lvl w:ilvl="5" w:tentative="0">
      <w:start w:val="1"/>
      <w:numFmt w:val="decimal"/>
      <w:lvlText w:val="%6."/>
      <w:lvlJc w:val="left"/>
      <w:pPr>
        <w:tabs>
          <w:tab w:val="left" w:pos="4604"/>
        </w:tabs>
        <w:ind w:left="4604" w:hanging="360"/>
      </w:pPr>
    </w:lvl>
    <w:lvl w:ilvl="6" w:tentative="0">
      <w:start w:val="1"/>
      <w:numFmt w:val="decimal"/>
      <w:lvlText w:val="%7."/>
      <w:lvlJc w:val="left"/>
      <w:pPr>
        <w:tabs>
          <w:tab w:val="left" w:pos="5324"/>
        </w:tabs>
        <w:ind w:left="5324" w:hanging="360"/>
      </w:pPr>
    </w:lvl>
    <w:lvl w:ilvl="7" w:tentative="0">
      <w:start w:val="1"/>
      <w:numFmt w:val="decimal"/>
      <w:lvlText w:val="%8."/>
      <w:lvlJc w:val="left"/>
      <w:pPr>
        <w:tabs>
          <w:tab w:val="left" w:pos="6044"/>
        </w:tabs>
        <w:ind w:left="6044" w:hanging="360"/>
      </w:pPr>
    </w:lvl>
    <w:lvl w:ilvl="8" w:tentative="0">
      <w:start w:val="1"/>
      <w:numFmt w:val="decimal"/>
      <w:lvlText w:val="%9."/>
      <w:lvlJc w:val="left"/>
      <w:pPr>
        <w:tabs>
          <w:tab w:val="left" w:pos="6764"/>
        </w:tabs>
        <w:ind w:left="6764" w:hanging="360"/>
      </w:pPr>
    </w:lvl>
  </w:abstractNum>
  <w:abstractNum w:abstractNumId="4">
    <w:nsid w:val="0000000D"/>
    <w:multiLevelType w:val="multilevel"/>
    <w:tmpl w:val="0000000D"/>
    <w:lvl w:ilvl="0" w:tentative="0">
      <w:start w:val="1"/>
      <w:numFmt w:val="upperLetter"/>
      <w:pStyle w:val="7"/>
      <w:lvlText w:val="%1."/>
      <w:lvlJc w:val="left"/>
      <w:pPr>
        <w:tabs>
          <w:tab w:val="left" w:pos="435"/>
        </w:tabs>
        <w:ind w:left="435" w:hanging="435"/>
      </w:pPr>
      <w:rPr>
        <w:b w:val="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0EB613E9"/>
    <w:multiLevelType w:val="multilevel"/>
    <w:tmpl w:val="0EB613E9"/>
    <w:lvl w:ilvl="0" w:tentative="0">
      <w:start w:val="1"/>
      <w:numFmt w:val="decimal"/>
      <w:pStyle w:val="8"/>
      <w:lvlText w:val="1.%1"/>
      <w:lvlJc w:val="left"/>
      <w:pPr>
        <w:ind w:left="420" w:firstLine="0"/>
      </w:pPr>
      <w:rPr>
        <w:rFonts w:hint="eastAsia" w:ascii="宋体" w:hAnsi="宋体" w:eastAsia="宋体"/>
      </w:rPr>
    </w:lvl>
    <w:lvl w:ilvl="1" w:tentative="0">
      <w:start w:val="1"/>
      <w:numFmt w:val="lowerLetter"/>
      <w:lvlText w:val="%2)"/>
      <w:lvlJc w:val="left"/>
      <w:pPr>
        <w:ind w:left="1080" w:hanging="420"/>
      </w:pPr>
    </w:lvl>
    <w:lvl w:ilvl="2" w:tentative="0">
      <w:start w:val="1"/>
      <w:numFmt w:val="lowerRoman"/>
      <w:lvlText w:val="%3."/>
      <w:lvlJc w:val="right"/>
      <w:pPr>
        <w:ind w:left="1500" w:hanging="420"/>
      </w:pPr>
    </w:lvl>
    <w:lvl w:ilvl="3" w:tentative="0">
      <w:start w:val="1"/>
      <w:numFmt w:val="decimal"/>
      <w:lvlText w:val="%4."/>
      <w:lvlJc w:val="left"/>
      <w:pPr>
        <w:ind w:left="1920" w:hanging="420"/>
      </w:pPr>
    </w:lvl>
    <w:lvl w:ilvl="4" w:tentative="0">
      <w:start w:val="1"/>
      <w:numFmt w:val="lowerLetter"/>
      <w:lvlText w:val="%5)"/>
      <w:lvlJc w:val="left"/>
      <w:pPr>
        <w:ind w:left="2340" w:hanging="420"/>
      </w:pPr>
    </w:lvl>
    <w:lvl w:ilvl="5" w:tentative="0">
      <w:start w:val="1"/>
      <w:numFmt w:val="lowerRoman"/>
      <w:lvlText w:val="%6."/>
      <w:lvlJc w:val="right"/>
      <w:pPr>
        <w:ind w:left="2760" w:hanging="420"/>
      </w:pPr>
    </w:lvl>
    <w:lvl w:ilvl="6" w:tentative="0">
      <w:start w:val="1"/>
      <w:numFmt w:val="decimal"/>
      <w:lvlText w:val="%7."/>
      <w:lvlJc w:val="left"/>
      <w:pPr>
        <w:ind w:left="3180" w:hanging="420"/>
      </w:pPr>
    </w:lvl>
    <w:lvl w:ilvl="7" w:tentative="0">
      <w:start w:val="1"/>
      <w:numFmt w:val="lowerLetter"/>
      <w:lvlText w:val="%8)"/>
      <w:lvlJc w:val="left"/>
      <w:pPr>
        <w:ind w:left="3600" w:hanging="420"/>
      </w:pPr>
    </w:lvl>
    <w:lvl w:ilvl="8" w:tentative="0">
      <w:start w:val="1"/>
      <w:numFmt w:val="lowerRoman"/>
      <w:lvlText w:val="%9."/>
      <w:lvlJc w:val="right"/>
      <w:pPr>
        <w:ind w:left="4020" w:hanging="420"/>
      </w:pPr>
    </w:lvl>
  </w:abstractNum>
  <w:abstractNum w:abstractNumId="6">
    <w:nsid w:val="3A20C37F"/>
    <w:multiLevelType w:val="singleLevel"/>
    <w:tmpl w:val="3A20C37F"/>
    <w:lvl w:ilvl="0" w:tentative="0">
      <w:start w:val="1"/>
      <w:numFmt w:val="bullet"/>
      <w:pStyle w:val="9"/>
      <w:lvlText w:val=""/>
      <w:lvlJc w:val="left"/>
      <w:pPr>
        <w:tabs>
          <w:tab w:val="left" w:pos="360"/>
        </w:tabs>
        <w:ind w:left="360" w:hanging="360"/>
      </w:pPr>
      <w:rPr>
        <w:rFonts w:hint="default" w:ascii="Wingdings" w:hAnsi="Wingdings"/>
      </w:rPr>
    </w:lvl>
  </w:abstractNum>
  <w:abstractNum w:abstractNumId="7">
    <w:nsid w:val="3B02AB02"/>
    <w:multiLevelType w:val="singleLevel"/>
    <w:tmpl w:val="3B02AB02"/>
    <w:lvl w:ilvl="0" w:tentative="0">
      <w:start w:val="2"/>
      <w:numFmt w:val="decimal"/>
      <w:suff w:val="nothing"/>
      <w:lvlText w:val="%1、"/>
      <w:lvlJc w:val="left"/>
    </w:lvl>
  </w:abstractNum>
  <w:abstractNum w:abstractNumId="8">
    <w:nsid w:val="45951A56"/>
    <w:multiLevelType w:val="singleLevel"/>
    <w:tmpl w:val="45951A56"/>
    <w:lvl w:ilvl="0" w:tentative="0">
      <w:start w:val="1"/>
      <w:numFmt w:val="bullet"/>
      <w:lvlText w:val=""/>
      <w:lvlJc w:val="left"/>
      <w:pPr>
        <w:tabs>
          <w:tab w:val="left" w:pos="0"/>
        </w:tabs>
        <w:ind w:left="420" w:hanging="420"/>
      </w:pPr>
      <w:rPr>
        <w:rFonts w:hint="default" w:ascii="Wingdings" w:hAnsi="Wingdings"/>
      </w:rPr>
    </w:lvl>
  </w:abstractNum>
  <w:num w:numId="1">
    <w:abstractNumId w:val="2"/>
  </w:num>
  <w:num w:numId="2">
    <w:abstractNumId w:val="3"/>
  </w:num>
  <w:num w:numId="3">
    <w:abstractNumId w:val="4"/>
  </w:num>
  <w:num w:numId="4">
    <w:abstractNumId w:val="5"/>
  </w:num>
  <w:num w:numId="5">
    <w:abstractNumId w:val="6"/>
  </w:num>
  <w:num w:numId="6">
    <w:abstractNumId w:val="1"/>
  </w:num>
  <w:num w:numId="7">
    <w:abstractNumId w:val="0"/>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566"/>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3YTE1MTBmYjkxOTc4ZDhiOTNmZWRhNWZmODc4NWYifQ=="/>
  </w:docVars>
  <w:rsids>
    <w:rsidRoot w:val="00000000"/>
    <w:rsid w:val="000C487B"/>
    <w:rsid w:val="002E3D19"/>
    <w:rsid w:val="003D21B2"/>
    <w:rsid w:val="00920750"/>
    <w:rsid w:val="009F4C1B"/>
    <w:rsid w:val="00C14B91"/>
    <w:rsid w:val="00DE3995"/>
    <w:rsid w:val="00E865C2"/>
    <w:rsid w:val="01620359"/>
    <w:rsid w:val="016829A7"/>
    <w:rsid w:val="01B34E22"/>
    <w:rsid w:val="01C42B8B"/>
    <w:rsid w:val="01FF0067"/>
    <w:rsid w:val="02175E3E"/>
    <w:rsid w:val="02290C40"/>
    <w:rsid w:val="027D288D"/>
    <w:rsid w:val="028D5673"/>
    <w:rsid w:val="02902A6D"/>
    <w:rsid w:val="02D82533"/>
    <w:rsid w:val="030D7F39"/>
    <w:rsid w:val="0379139B"/>
    <w:rsid w:val="03920A67"/>
    <w:rsid w:val="03950013"/>
    <w:rsid w:val="03B4069D"/>
    <w:rsid w:val="03DA2C38"/>
    <w:rsid w:val="041224D1"/>
    <w:rsid w:val="0431202E"/>
    <w:rsid w:val="043D4E77"/>
    <w:rsid w:val="04423854"/>
    <w:rsid w:val="045B7473"/>
    <w:rsid w:val="045F303F"/>
    <w:rsid w:val="047D72D7"/>
    <w:rsid w:val="04A51E71"/>
    <w:rsid w:val="04AE18D1"/>
    <w:rsid w:val="04CD3FDF"/>
    <w:rsid w:val="04EA6DAD"/>
    <w:rsid w:val="04F16063"/>
    <w:rsid w:val="05137986"/>
    <w:rsid w:val="052971A9"/>
    <w:rsid w:val="05557F9E"/>
    <w:rsid w:val="056F1060"/>
    <w:rsid w:val="05B64EE1"/>
    <w:rsid w:val="05DB04A3"/>
    <w:rsid w:val="05E84AE6"/>
    <w:rsid w:val="05F533C7"/>
    <w:rsid w:val="06043E9E"/>
    <w:rsid w:val="06A607C0"/>
    <w:rsid w:val="06E710CA"/>
    <w:rsid w:val="06F07F7E"/>
    <w:rsid w:val="071566C7"/>
    <w:rsid w:val="071B60D3"/>
    <w:rsid w:val="07610E7C"/>
    <w:rsid w:val="076646E5"/>
    <w:rsid w:val="07745FD1"/>
    <w:rsid w:val="07746E01"/>
    <w:rsid w:val="07BC60B3"/>
    <w:rsid w:val="07F933E3"/>
    <w:rsid w:val="0807009B"/>
    <w:rsid w:val="080A5070"/>
    <w:rsid w:val="08167EB9"/>
    <w:rsid w:val="083D71F3"/>
    <w:rsid w:val="08626C5A"/>
    <w:rsid w:val="0889664C"/>
    <w:rsid w:val="08A41020"/>
    <w:rsid w:val="08BF5E5A"/>
    <w:rsid w:val="08D833C0"/>
    <w:rsid w:val="08F01FE3"/>
    <w:rsid w:val="093228B7"/>
    <w:rsid w:val="095F390F"/>
    <w:rsid w:val="09927176"/>
    <w:rsid w:val="09D5345C"/>
    <w:rsid w:val="09EE4050"/>
    <w:rsid w:val="09F124DC"/>
    <w:rsid w:val="0A1C5118"/>
    <w:rsid w:val="0A256191"/>
    <w:rsid w:val="0A334D52"/>
    <w:rsid w:val="0A402FCB"/>
    <w:rsid w:val="0A5B7557"/>
    <w:rsid w:val="0A682522"/>
    <w:rsid w:val="0AAA48E8"/>
    <w:rsid w:val="0AC0410C"/>
    <w:rsid w:val="0AEC6174"/>
    <w:rsid w:val="0AF3489C"/>
    <w:rsid w:val="0AFD2C6A"/>
    <w:rsid w:val="0B7207E3"/>
    <w:rsid w:val="0B745622"/>
    <w:rsid w:val="0B9A3783"/>
    <w:rsid w:val="0BA13F3D"/>
    <w:rsid w:val="0C0847F2"/>
    <w:rsid w:val="0C115073"/>
    <w:rsid w:val="0C193AD3"/>
    <w:rsid w:val="0C825B1D"/>
    <w:rsid w:val="0C86289E"/>
    <w:rsid w:val="0CE71E24"/>
    <w:rsid w:val="0CF167FE"/>
    <w:rsid w:val="0D0C56C5"/>
    <w:rsid w:val="0D533015"/>
    <w:rsid w:val="0D660F9A"/>
    <w:rsid w:val="0D6B7368"/>
    <w:rsid w:val="0D6C2329"/>
    <w:rsid w:val="0D813558"/>
    <w:rsid w:val="0D960C75"/>
    <w:rsid w:val="0DDE205B"/>
    <w:rsid w:val="0E034A3B"/>
    <w:rsid w:val="0E370B89"/>
    <w:rsid w:val="0E6B25E0"/>
    <w:rsid w:val="0E71409B"/>
    <w:rsid w:val="0E832BFC"/>
    <w:rsid w:val="0ECA37AB"/>
    <w:rsid w:val="0EDE123B"/>
    <w:rsid w:val="0F270E64"/>
    <w:rsid w:val="0F532408"/>
    <w:rsid w:val="0F6239E3"/>
    <w:rsid w:val="0F803E6A"/>
    <w:rsid w:val="0F8D5FFF"/>
    <w:rsid w:val="0FA67B86"/>
    <w:rsid w:val="0FCB3337"/>
    <w:rsid w:val="103627B1"/>
    <w:rsid w:val="10501A8E"/>
    <w:rsid w:val="105F60A5"/>
    <w:rsid w:val="106C50FC"/>
    <w:rsid w:val="10C87ACB"/>
    <w:rsid w:val="10D92CCC"/>
    <w:rsid w:val="10F93ED3"/>
    <w:rsid w:val="10FE173F"/>
    <w:rsid w:val="113F222E"/>
    <w:rsid w:val="116E51C9"/>
    <w:rsid w:val="118C2E25"/>
    <w:rsid w:val="119A56B6"/>
    <w:rsid w:val="11C7100E"/>
    <w:rsid w:val="11DE546D"/>
    <w:rsid w:val="123E12D1"/>
    <w:rsid w:val="12541D09"/>
    <w:rsid w:val="1274141C"/>
    <w:rsid w:val="12751C80"/>
    <w:rsid w:val="127A1044"/>
    <w:rsid w:val="12955E7E"/>
    <w:rsid w:val="129E09C2"/>
    <w:rsid w:val="12BE3627"/>
    <w:rsid w:val="12CA3D79"/>
    <w:rsid w:val="12EE4F4B"/>
    <w:rsid w:val="12FF2436"/>
    <w:rsid w:val="13653AA2"/>
    <w:rsid w:val="13813B4D"/>
    <w:rsid w:val="13E96481"/>
    <w:rsid w:val="13F607E5"/>
    <w:rsid w:val="13F8694C"/>
    <w:rsid w:val="14380E6B"/>
    <w:rsid w:val="14766128"/>
    <w:rsid w:val="149569C4"/>
    <w:rsid w:val="14CE1A6A"/>
    <w:rsid w:val="14E32ED1"/>
    <w:rsid w:val="14E54E9B"/>
    <w:rsid w:val="14FE20BF"/>
    <w:rsid w:val="15981F0D"/>
    <w:rsid w:val="15A07014"/>
    <w:rsid w:val="15A62B6B"/>
    <w:rsid w:val="16106F8B"/>
    <w:rsid w:val="161F618A"/>
    <w:rsid w:val="1643796A"/>
    <w:rsid w:val="16663026"/>
    <w:rsid w:val="169F5CB4"/>
    <w:rsid w:val="16BB135B"/>
    <w:rsid w:val="16BC60CF"/>
    <w:rsid w:val="16DE1BA1"/>
    <w:rsid w:val="176B7BAE"/>
    <w:rsid w:val="178169D1"/>
    <w:rsid w:val="17832749"/>
    <w:rsid w:val="17852965"/>
    <w:rsid w:val="17926E49"/>
    <w:rsid w:val="17967BF3"/>
    <w:rsid w:val="17A024F1"/>
    <w:rsid w:val="17E31439"/>
    <w:rsid w:val="181635BD"/>
    <w:rsid w:val="181B6E25"/>
    <w:rsid w:val="183E3F7C"/>
    <w:rsid w:val="18452291"/>
    <w:rsid w:val="186C142F"/>
    <w:rsid w:val="189F7A56"/>
    <w:rsid w:val="18AF5EEB"/>
    <w:rsid w:val="18B76B4E"/>
    <w:rsid w:val="18CE65B0"/>
    <w:rsid w:val="18E13BCB"/>
    <w:rsid w:val="18E92A80"/>
    <w:rsid w:val="18F51424"/>
    <w:rsid w:val="190E557B"/>
    <w:rsid w:val="19232435"/>
    <w:rsid w:val="193208CA"/>
    <w:rsid w:val="193A152D"/>
    <w:rsid w:val="196547FC"/>
    <w:rsid w:val="196A0064"/>
    <w:rsid w:val="199944A6"/>
    <w:rsid w:val="19E821F8"/>
    <w:rsid w:val="19EA4D01"/>
    <w:rsid w:val="1A55661F"/>
    <w:rsid w:val="1A5F2FF9"/>
    <w:rsid w:val="1A736AA5"/>
    <w:rsid w:val="1AB21BC2"/>
    <w:rsid w:val="1AB23BA7"/>
    <w:rsid w:val="1AB772D9"/>
    <w:rsid w:val="1AF57E02"/>
    <w:rsid w:val="1B304996"/>
    <w:rsid w:val="1B5543FC"/>
    <w:rsid w:val="1B697EA8"/>
    <w:rsid w:val="1B830F69"/>
    <w:rsid w:val="1BAD6444"/>
    <w:rsid w:val="1BB61BD8"/>
    <w:rsid w:val="1BF16EB2"/>
    <w:rsid w:val="1C4E34A4"/>
    <w:rsid w:val="1C511068"/>
    <w:rsid w:val="1C626DD1"/>
    <w:rsid w:val="1C6F5318"/>
    <w:rsid w:val="1C767EBC"/>
    <w:rsid w:val="1C986C96"/>
    <w:rsid w:val="1C9A0C60"/>
    <w:rsid w:val="1CB3587E"/>
    <w:rsid w:val="1CCF7699"/>
    <w:rsid w:val="1CE7377A"/>
    <w:rsid w:val="1CF86D9E"/>
    <w:rsid w:val="1D3D6906"/>
    <w:rsid w:val="1D3F7112"/>
    <w:rsid w:val="1D4B419C"/>
    <w:rsid w:val="1DAF24EA"/>
    <w:rsid w:val="1DB01DBE"/>
    <w:rsid w:val="1DD106B2"/>
    <w:rsid w:val="1DD737EE"/>
    <w:rsid w:val="1DE20722"/>
    <w:rsid w:val="1DF37CA1"/>
    <w:rsid w:val="1E334EC9"/>
    <w:rsid w:val="1E3D18A3"/>
    <w:rsid w:val="1E426EBA"/>
    <w:rsid w:val="1E450758"/>
    <w:rsid w:val="1E57048B"/>
    <w:rsid w:val="1E8A39BC"/>
    <w:rsid w:val="1EB3600A"/>
    <w:rsid w:val="1ECF4D3F"/>
    <w:rsid w:val="1ED1023E"/>
    <w:rsid w:val="1EDA537F"/>
    <w:rsid w:val="1EFA1543"/>
    <w:rsid w:val="1F0514E0"/>
    <w:rsid w:val="1F212F73"/>
    <w:rsid w:val="1F2C6E50"/>
    <w:rsid w:val="1F3A4035"/>
    <w:rsid w:val="1FB27690"/>
    <w:rsid w:val="1FCB3705"/>
    <w:rsid w:val="1FEA1D0F"/>
    <w:rsid w:val="201A6BC1"/>
    <w:rsid w:val="20210D51"/>
    <w:rsid w:val="202A2351"/>
    <w:rsid w:val="204F58BE"/>
    <w:rsid w:val="20D02EA3"/>
    <w:rsid w:val="20EF1D4B"/>
    <w:rsid w:val="21352D06"/>
    <w:rsid w:val="2157287A"/>
    <w:rsid w:val="21843C8D"/>
    <w:rsid w:val="218872DA"/>
    <w:rsid w:val="21937A2C"/>
    <w:rsid w:val="21DD3C61"/>
    <w:rsid w:val="22031056"/>
    <w:rsid w:val="224050E4"/>
    <w:rsid w:val="22521696"/>
    <w:rsid w:val="2277734E"/>
    <w:rsid w:val="22B26B81"/>
    <w:rsid w:val="22C205C9"/>
    <w:rsid w:val="22DC255A"/>
    <w:rsid w:val="22F36206"/>
    <w:rsid w:val="237C10C0"/>
    <w:rsid w:val="23EE3640"/>
    <w:rsid w:val="243454F7"/>
    <w:rsid w:val="24547676"/>
    <w:rsid w:val="249146F7"/>
    <w:rsid w:val="24FE78B3"/>
    <w:rsid w:val="25076767"/>
    <w:rsid w:val="25357778"/>
    <w:rsid w:val="254774AC"/>
    <w:rsid w:val="256707F1"/>
    <w:rsid w:val="256F3C1D"/>
    <w:rsid w:val="25BC0988"/>
    <w:rsid w:val="25C86490"/>
    <w:rsid w:val="26390ADC"/>
    <w:rsid w:val="2644546E"/>
    <w:rsid w:val="26B62374"/>
    <w:rsid w:val="26DE174A"/>
    <w:rsid w:val="275859A0"/>
    <w:rsid w:val="276E0422"/>
    <w:rsid w:val="27B92902"/>
    <w:rsid w:val="27CF5DEA"/>
    <w:rsid w:val="27E41914"/>
    <w:rsid w:val="28250126"/>
    <w:rsid w:val="28325963"/>
    <w:rsid w:val="28A543BF"/>
    <w:rsid w:val="29191227"/>
    <w:rsid w:val="29300663"/>
    <w:rsid w:val="29583A35"/>
    <w:rsid w:val="29613C3C"/>
    <w:rsid w:val="297B7724"/>
    <w:rsid w:val="29B9024C"/>
    <w:rsid w:val="29E1193C"/>
    <w:rsid w:val="29E25CE2"/>
    <w:rsid w:val="29F37C02"/>
    <w:rsid w:val="29F53B22"/>
    <w:rsid w:val="29F85218"/>
    <w:rsid w:val="2A0451E6"/>
    <w:rsid w:val="2A103E0D"/>
    <w:rsid w:val="2A1A6F3D"/>
    <w:rsid w:val="2A475858"/>
    <w:rsid w:val="2A5B4410"/>
    <w:rsid w:val="2A6B7798"/>
    <w:rsid w:val="2A7A5C2D"/>
    <w:rsid w:val="2AA40C82"/>
    <w:rsid w:val="2AA84549"/>
    <w:rsid w:val="2B0A6FB1"/>
    <w:rsid w:val="2B0C0F7B"/>
    <w:rsid w:val="2B122406"/>
    <w:rsid w:val="2B2107BC"/>
    <w:rsid w:val="2B563FA5"/>
    <w:rsid w:val="2B5B66C2"/>
    <w:rsid w:val="2B886128"/>
    <w:rsid w:val="2BB94533"/>
    <w:rsid w:val="2BD32C68"/>
    <w:rsid w:val="2BEE73B9"/>
    <w:rsid w:val="2BF612E4"/>
    <w:rsid w:val="2C0B6B98"/>
    <w:rsid w:val="2C337C11"/>
    <w:rsid w:val="2C5D1363"/>
    <w:rsid w:val="2C82701B"/>
    <w:rsid w:val="2C9C4430"/>
    <w:rsid w:val="2CF3012F"/>
    <w:rsid w:val="2D986AF6"/>
    <w:rsid w:val="2DAD62B0"/>
    <w:rsid w:val="2DDF4725"/>
    <w:rsid w:val="2DE0224B"/>
    <w:rsid w:val="2E0979F4"/>
    <w:rsid w:val="2E2A34C6"/>
    <w:rsid w:val="2E404EE0"/>
    <w:rsid w:val="2E474A29"/>
    <w:rsid w:val="2E9208AF"/>
    <w:rsid w:val="2EAE13E8"/>
    <w:rsid w:val="2ED578D6"/>
    <w:rsid w:val="2EF0181A"/>
    <w:rsid w:val="2EFF68B0"/>
    <w:rsid w:val="2F1E74CF"/>
    <w:rsid w:val="2F1F0B51"/>
    <w:rsid w:val="2F2B7153"/>
    <w:rsid w:val="2F4C4A27"/>
    <w:rsid w:val="2F4F58DB"/>
    <w:rsid w:val="2F50459E"/>
    <w:rsid w:val="2F8A246F"/>
    <w:rsid w:val="2FA21B63"/>
    <w:rsid w:val="2FAF40EC"/>
    <w:rsid w:val="30442F65"/>
    <w:rsid w:val="309061AB"/>
    <w:rsid w:val="30980BBB"/>
    <w:rsid w:val="30A13F14"/>
    <w:rsid w:val="30FF0C3A"/>
    <w:rsid w:val="314A231E"/>
    <w:rsid w:val="31B82057"/>
    <w:rsid w:val="31EA3699"/>
    <w:rsid w:val="31ED1F75"/>
    <w:rsid w:val="320E6C0A"/>
    <w:rsid w:val="3219248F"/>
    <w:rsid w:val="32BA2DF9"/>
    <w:rsid w:val="32CB7123"/>
    <w:rsid w:val="32DC390A"/>
    <w:rsid w:val="33323549"/>
    <w:rsid w:val="334C56BF"/>
    <w:rsid w:val="33925D96"/>
    <w:rsid w:val="33DC5263"/>
    <w:rsid w:val="3469433F"/>
    <w:rsid w:val="346E546B"/>
    <w:rsid w:val="34733E19"/>
    <w:rsid w:val="347831DE"/>
    <w:rsid w:val="349C3FC4"/>
    <w:rsid w:val="34B306BA"/>
    <w:rsid w:val="34B7092E"/>
    <w:rsid w:val="34D4715C"/>
    <w:rsid w:val="351153E0"/>
    <w:rsid w:val="35246EC1"/>
    <w:rsid w:val="3532636B"/>
    <w:rsid w:val="353763C2"/>
    <w:rsid w:val="3566572C"/>
    <w:rsid w:val="356B4AF0"/>
    <w:rsid w:val="358257B6"/>
    <w:rsid w:val="35B73253"/>
    <w:rsid w:val="363F0F2E"/>
    <w:rsid w:val="36432BB5"/>
    <w:rsid w:val="36593F1B"/>
    <w:rsid w:val="365D6B2F"/>
    <w:rsid w:val="36981915"/>
    <w:rsid w:val="36E7289C"/>
    <w:rsid w:val="36EA627A"/>
    <w:rsid w:val="36F17277"/>
    <w:rsid w:val="370276D6"/>
    <w:rsid w:val="3727738D"/>
    <w:rsid w:val="37321D6A"/>
    <w:rsid w:val="37385D4E"/>
    <w:rsid w:val="3768578B"/>
    <w:rsid w:val="37841E99"/>
    <w:rsid w:val="37880E65"/>
    <w:rsid w:val="37E063E8"/>
    <w:rsid w:val="37FF59C4"/>
    <w:rsid w:val="38010942"/>
    <w:rsid w:val="382C6099"/>
    <w:rsid w:val="386341A5"/>
    <w:rsid w:val="38796AC8"/>
    <w:rsid w:val="387F672B"/>
    <w:rsid w:val="388F0AF6"/>
    <w:rsid w:val="38AD4C0A"/>
    <w:rsid w:val="38F6728A"/>
    <w:rsid w:val="38F800D1"/>
    <w:rsid w:val="39022BD9"/>
    <w:rsid w:val="390239BE"/>
    <w:rsid w:val="392A081F"/>
    <w:rsid w:val="394915ED"/>
    <w:rsid w:val="395A7356"/>
    <w:rsid w:val="395C19B8"/>
    <w:rsid w:val="397A3554"/>
    <w:rsid w:val="397F6DBC"/>
    <w:rsid w:val="39C80763"/>
    <w:rsid w:val="3A0A0D7C"/>
    <w:rsid w:val="3A0C637C"/>
    <w:rsid w:val="3A695377"/>
    <w:rsid w:val="3A7C6534"/>
    <w:rsid w:val="3A9063FC"/>
    <w:rsid w:val="3AA443B0"/>
    <w:rsid w:val="3AC727C9"/>
    <w:rsid w:val="3AFF65F8"/>
    <w:rsid w:val="3BBF475C"/>
    <w:rsid w:val="3BF01595"/>
    <w:rsid w:val="3BF84C04"/>
    <w:rsid w:val="3C3F0A85"/>
    <w:rsid w:val="3C526A0A"/>
    <w:rsid w:val="3C720E5A"/>
    <w:rsid w:val="3CBC3E83"/>
    <w:rsid w:val="3CBD0327"/>
    <w:rsid w:val="3CC66AB0"/>
    <w:rsid w:val="3CD63197"/>
    <w:rsid w:val="3D137E7B"/>
    <w:rsid w:val="3D17730C"/>
    <w:rsid w:val="3D1C4922"/>
    <w:rsid w:val="3D791D75"/>
    <w:rsid w:val="3D793B23"/>
    <w:rsid w:val="3DA8054D"/>
    <w:rsid w:val="3DCC00F6"/>
    <w:rsid w:val="3E0932D7"/>
    <w:rsid w:val="3E1F291C"/>
    <w:rsid w:val="3E3F4D6C"/>
    <w:rsid w:val="3EA370A9"/>
    <w:rsid w:val="3EBC016B"/>
    <w:rsid w:val="3F0F4C63"/>
    <w:rsid w:val="3F147FA7"/>
    <w:rsid w:val="3F2B709E"/>
    <w:rsid w:val="3F3423F7"/>
    <w:rsid w:val="3F3C12AC"/>
    <w:rsid w:val="3F587BC8"/>
    <w:rsid w:val="3F7E3672"/>
    <w:rsid w:val="3F894719"/>
    <w:rsid w:val="3FFB6826"/>
    <w:rsid w:val="4024421A"/>
    <w:rsid w:val="404E1296"/>
    <w:rsid w:val="40786313"/>
    <w:rsid w:val="40A9471F"/>
    <w:rsid w:val="40AE7F87"/>
    <w:rsid w:val="40E125FF"/>
    <w:rsid w:val="40EA5463"/>
    <w:rsid w:val="40F304B2"/>
    <w:rsid w:val="410B7187"/>
    <w:rsid w:val="411A73CB"/>
    <w:rsid w:val="415753EA"/>
    <w:rsid w:val="416845DA"/>
    <w:rsid w:val="419D26E9"/>
    <w:rsid w:val="41D37CA5"/>
    <w:rsid w:val="41ED43F8"/>
    <w:rsid w:val="42066996"/>
    <w:rsid w:val="42071629"/>
    <w:rsid w:val="42A454CF"/>
    <w:rsid w:val="42D31134"/>
    <w:rsid w:val="42D67595"/>
    <w:rsid w:val="431A39DA"/>
    <w:rsid w:val="431B7F41"/>
    <w:rsid w:val="435E7A42"/>
    <w:rsid w:val="436F33FC"/>
    <w:rsid w:val="43890B0D"/>
    <w:rsid w:val="439F2596"/>
    <w:rsid w:val="43B65AD0"/>
    <w:rsid w:val="440950CF"/>
    <w:rsid w:val="440E1469"/>
    <w:rsid w:val="444535B2"/>
    <w:rsid w:val="447D214A"/>
    <w:rsid w:val="44B9344A"/>
    <w:rsid w:val="44D37FBC"/>
    <w:rsid w:val="45280BA9"/>
    <w:rsid w:val="45372C41"/>
    <w:rsid w:val="455F23B5"/>
    <w:rsid w:val="457D6348"/>
    <w:rsid w:val="45965BB9"/>
    <w:rsid w:val="459E681C"/>
    <w:rsid w:val="45D21CF5"/>
    <w:rsid w:val="46127295"/>
    <w:rsid w:val="463E16D3"/>
    <w:rsid w:val="46492C2C"/>
    <w:rsid w:val="468361BB"/>
    <w:rsid w:val="46BA7686"/>
    <w:rsid w:val="46EE37D3"/>
    <w:rsid w:val="46F20EAA"/>
    <w:rsid w:val="471548BC"/>
    <w:rsid w:val="471F1BDF"/>
    <w:rsid w:val="47307948"/>
    <w:rsid w:val="473F534F"/>
    <w:rsid w:val="47401F87"/>
    <w:rsid w:val="475E2707"/>
    <w:rsid w:val="4792415F"/>
    <w:rsid w:val="47BB1907"/>
    <w:rsid w:val="47E10C42"/>
    <w:rsid w:val="4800731A"/>
    <w:rsid w:val="4806210D"/>
    <w:rsid w:val="484F704F"/>
    <w:rsid w:val="488B2930"/>
    <w:rsid w:val="489108BA"/>
    <w:rsid w:val="48A17531"/>
    <w:rsid w:val="48DA2BA9"/>
    <w:rsid w:val="48FA645F"/>
    <w:rsid w:val="49227764"/>
    <w:rsid w:val="495A5150"/>
    <w:rsid w:val="495F016F"/>
    <w:rsid w:val="497E2BEC"/>
    <w:rsid w:val="49861AA1"/>
    <w:rsid w:val="49B4660E"/>
    <w:rsid w:val="49B72FF8"/>
    <w:rsid w:val="49C83E68"/>
    <w:rsid w:val="49CF3448"/>
    <w:rsid w:val="49F70BF1"/>
    <w:rsid w:val="4A11580F"/>
    <w:rsid w:val="4A1452FF"/>
    <w:rsid w:val="4A17397A"/>
    <w:rsid w:val="4A275032"/>
    <w:rsid w:val="4A280DAA"/>
    <w:rsid w:val="4A361719"/>
    <w:rsid w:val="4A370FED"/>
    <w:rsid w:val="4A5077BE"/>
    <w:rsid w:val="4A560A42"/>
    <w:rsid w:val="4ADD7DE7"/>
    <w:rsid w:val="4AF26104"/>
    <w:rsid w:val="4B3A6FE7"/>
    <w:rsid w:val="4B58121B"/>
    <w:rsid w:val="4B86222C"/>
    <w:rsid w:val="4BA6709D"/>
    <w:rsid w:val="4BAB57EF"/>
    <w:rsid w:val="4BC57002"/>
    <w:rsid w:val="4BDC1E4C"/>
    <w:rsid w:val="4C180FBA"/>
    <w:rsid w:val="4C4C033D"/>
    <w:rsid w:val="4C61040C"/>
    <w:rsid w:val="4C8C5B1C"/>
    <w:rsid w:val="4CB701C3"/>
    <w:rsid w:val="4CBE77A4"/>
    <w:rsid w:val="4CCE5C39"/>
    <w:rsid w:val="4CD81DED"/>
    <w:rsid w:val="4CF02BAE"/>
    <w:rsid w:val="4CFD02CC"/>
    <w:rsid w:val="4D487331"/>
    <w:rsid w:val="4D956757"/>
    <w:rsid w:val="4DC25072"/>
    <w:rsid w:val="4DF53699"/>
    <w:rsid w:val="4E296E9F"/>
    <w:rsid w:val="4E5656AA"/>
    <w:rsid w:val="4E571C5E"/>
    <w:rsid w:val="4E766588"/>
    <w:rsid w:val="4E9530CB"/>
    <w:rsid w:val="4E9B7D9D"/>
    <w:rsid w:val="4EA604F0"/>
    <w:rsid w:val="4EB15812"/>
    <w:rsid w:val="4EC310A1"/>
    <w:rsid w:val="4EC72940"/>
    <w:rsid w:val="4ED27537"/>
    <w:rsid w:val="4EF456FF"/>
    <w:rsid w:val="4EF664DD"/>
    <w:rsid w:val="4F111E0D"/>
    <w:rsid w:val="4F31425D"/>
    <w:rsid w:val="4F776469"/>
    <w:rsid w:val="4F7B1EE8"/>
    <w:rsid w:val="4FA7451F"/>
    <w:rsid w:val="4FC60E49"/>
    <w:rsid w:val="4FF254C9"/>
    <w:rsid w:val="501871CB"/>
    <w:rsid w:val="50224539"/>
    <w:rsid w:val="503404A9"/>
    <w:rsid w:val="50493828"/>
    <w:rsid w:val="5052092F"/>
    <w:rsid w:val="50546455"/>
    <w:rsid w:val="5074444A"/>
    <w:rsid w:val="507E7976"/>
    <w:rsid w:val="50827466"/>
    <w:rsid w:val="50E17F44"/>
    <w:rsid w:val="513242BC"/>
    <w:rsid w:val="518A5EA7"/>
    <w:rsid w:val="51B42E84"/>
    <w:rsid w:val="51B502E6"/>
    <w:rsid w:val="51E269DA"/>
    <w:rsid w:val="51FE6812"/>
    <w:rsid w:val="5217598C"/>
    <w:rsid w:val="523302EC"/>
    <w:rsid w:val="52482740"/>
    <w:rsid w:val="524A3FB4"/>
    <w:rsid w:val="528B1ED6"/>
    <w:rsid w:val="52AD5C32"/>
    <w:rsid w:val="52B96A43"/>
    <w:rsid w:val="53071AA0"/>
    <w:rsid w:val="5325232B"/>
    <w:rsid w:val="5340253A"/>
    <w:rsid w:val="53C102A5"/>
    <w:rsid w:val="53C658BC"/>
    <w:rsid w:val="53DB1569"/>
    <w:rsid w:val="53EC109A"/>
    <w:rsid w:val="53FD0BB2"/>
    <w:rsid w:val="54240834"/>
    <w:rsid w:val="54273E81"/>
    <w:rsid w:val="54BD083A"/>
    <w:rsid w:val="54C87412"/>
    <w:rsid w:val="54CE3AA7"/>
    <w:rsid w:val="54F621D1"/>
    <w:rsid w:val="55456CB4"/>
    <w:rsid w:val="554C0043"/>
    <w:rsid w:val="55887E86"/>
    <w:rsid w:val="558C48E3"/>
    <w:rsid w:val="55904008"/>
    <w:rsid w:val="563A7E9B"/>
    <w:rsid w:val="564B20A8"/>
    <w:rsid w:val="565A053D"/>
    <w:rsid w:val="568A7075"/>
    <w:rsid w:val="56BA309F"/>
    <w:rsid w:val="56FE536D"/>
    <w:rsid w:val="577217EE"/>
    <w:rsid w:val="579E445A"/>
    <w:rsid w:val="57BD79EE"/>
    <w:rsid w:val="57D8796C"/>
    <w:rsid w:val="582B03E3"/>
    <w:rsid w:val="587F1376"/>
    <w:rsid w:val="58CC01A5"/>
    <w:rsid w:val="58E16CF4"/>
    <w:rsid w:val="58FD2F9D"/>
    <w:rsid w:val="591440CB"/>
    <w:rsid w:val="59590F80"/>
    <w:rsid w:val="597B2CA5"/>
    <w:rsid w:val="59875AED"/>
    <w:rsid w:val="59BA2DF2"/>
    <w:rsid w:val="59E52814"/>
    <w:rsid w:val="59F40A90"/>
    <w:rsid w:val="59FC02A6"/>
    <w:rsid w:val="5A0A04CC"/>
    <w:rsid w:val="5A117866"/>
    <w:rsid w:val="5A4E2167"/>
    <w:rsid w:val="5A6668F8"/>
    <w:rsid w:val="5B0B62AA"/>
    <w:rsid w:val="5B3227F7"/>
    <w:rsid w:val="5B70610D"/>
    <w:rsid w:val="5B7200D7"/>
    <w:rsid w:val="5BAA7933"/>
    <w:rsid w:val="5C8C3F19"/>
    <w:rsid w:val="5CD03307"/>
    <w:rsid w:val="5D4F0AB0"/>
    <w:rsid w:val="5D713453"/>
    <w:rsid w:val="5D716DC3"/>
    <w:rsid w:val="5D902A97"/>
    <w:rsid w:val="5D973E25"/>
    <w:rsid w:val="5DC310BE"/>
    <w:rsid w:val="5E2C30D6"/>
    <w:rsid w:val="5E40270F"/>
    <w:rsid w:val="5E5C37D3"/>
    <w:rsid w:val="5E6C430F"/>
    <w:rsid w:val="5E7545F0"/>
    <w:rsid w:val="5E787040"/>
    <w:rsid w:val="5E9F7435"/>
    <w:rsid w:val="5ECE1AC8"/>
    <w:rsid w:val="5ED15115"/>
    <w:rsid w:val="5EDC0456"/>
    <w:rsid w:val="5EF41669"/>
    <w:rsid w:val="5F12069A"/>
    <w:rsid w:val="5F1B3EB3"/>
    <w:rsid w:val="5F211443"/>
    <w:rsid w:val="5F2142EE"/>
    <w:rsid w:val="5F6B7317"/>
    <w:rsid w:val="5F7009F3"/>
    <w:rsid w:val="5F8B5C0B"/>
    <w:rsid w:val="5F97635E"/>
    <w:rsid w:val="5FA171DD"/>
    <w:rsid w:val="60017C7C"/>
    <w:rsid w:val="602E2050"/>
    <w:rsid w:val="605B21F0"/>
    <w:rsid w:val="606A5821"/>
    <w:rsid w:val="608B091C"/>
    <w:rsid w:val="6090299C"/>
    <w:rsid w:val="60AF2E29"/>
    <w:rsid w:val="60B43EBD"/>
    <w:rsid w:val="60CA62C0"/>
    <w:rsid w:val="60CB21A4"/>
    <w:rsid w:val="610C6227"/>
    <w:rsid w:val="611C2FBF"/>
    <w:rsid w:val="612313B6"/>
    <w:rsid w:val="6151078F"/>
    <w:rsid w:val="615E35D8"/>
    <w:rsid w:val="6162474A"/>
    <w:rsid w:val="61691F7C"/>
    <w:rsid w:val="61B76844"/>
    <w:rsid w:val="61C32B70"/>
    <w:rsid w:val="621127B9"/>
    <w:rsid w:val="625E281B"/>
    <w:rsid w:val="626E1634"/>
    <w:rsid w:val="62970423"/>
    <w:rsid w:val="62D47AE0"/>
    <w:rsid w:val="62FB09B2"/>
    <w:rsid w:val="63520F1A"/>
    <w:rsid w:val="63A23524"/>
    <w:rsid w:val="63AD5DD7"/>
    <w:rsid w:val="63BC6393"/>
    <w:rsid w:val="63FA378C"/>
    <w:rsid w:val="645804F4"/>
    <w:rsid w:val="64DE2EB8"/>
    <w:rsid w:val="64F943AD"/>
    <w:rsid w:val="6502427A"/>
    <w:rsid w:val="650C50F9"/>
    <w:rsid w:val="651069C0"/>
    <w:rsid w:val="65533539"/>
    <w:rsid w:val="65925B5C"/>
    <w:rsid w:val="65E816C2"/>
    <w:rsid w:val="65FC33BF"/>
    <w:rsid w:val="66061B48"/>
    <w:rsid w:val="6618187B"/>
    <w:rsid w:val="662D3578"/>
    <w:rsid w:val="663761A5"/>
    <w:rsid w:val="664F5205"/>
    <w:rsid w:val="66805D9E"/>
    <w:rsid w:val="66A650D9"/>
    <w:rsid w:val="66CB4B3F"/>
    <w:rsid w:val="66E63727"/>
    <w:rsid w:val="6703077D"/>
    <w:rsid w:val="672A7AB8"/>
    <w:rsid w:val="673232D2"/>
    <w:rsid w:val="67501E9D"/>
    <w:rsid w:val="678A6944"/>
    <w:rsid w:val="67AE693B"/>
    <w:rsid w:val="67CE2B39"/>
    <w:rsid w:val="67EB7247"/>
    <w:rsid w:val="680449C5"/>
    <w:rsid w:val="68183DB4"/>
    <w:rsid w:val="68212C69"/>
    <w:rsid w:val="68356714"/>
    <w:rsid w:val="68500BA5"/>
    <w:rsid w:val="68617509"/>
    <w:rsid w:val="68664B20"/>
    <w:rsid w:val="686F52C0"/>
    <w:rsid w:val="688B7DAF"/>
    <w:rsid w:val="689B5C8E"/>
    <w:rsid w:val="689C6793"/>
    <w:rsid w:val="68C90380"/>
    <w:rsid w:val="68D777CC"/>
    <w:rsid w:val="68DE3EA5"/>
    <w:rsid w:val="68E60CA0"/>
    <w:rsid w:val="68EB3277"/>
    <w:rsid w:val="690A62AB"/>
    <w:rsid w:val="691722BE"/>
    <w:rsid w:val="69AA00CC"/>
    <w:rsid w:val="69BA1A91"/>
    <w:rsid w:val="69E95A08"/>
    <w:rsid w:val="6A2353BE"/>
    <w:rsid w:val="6A5D01A4"/>
    <w:rsid w:val="6A812FE3"/>
    <w:rsid w:val="6AB724ED"/>
    <w:rsid w:val="6AFE7291"/>
    <w:rsid w:val="6B09321A"/>
    <w:rsid w:val="6B43383E"/>
    <w:rsid w:val="6B440119"/>
    <w:rsid w:val="6B4A45E8"/>
    <w:rsid w:val="6B735ED1"/>
    <w:rsid w:val="6B9C7F9F"/>
    <w:rsid w:val="6C054650"/>
    <w:rsid w:val="6C137534"/>
    <w:rsid w:val="6C670D68"/>
    <w:rsid w:val="6C7A3290"/>
    <w:rsid w:val="6C861C34"/>
    <w:rsid w:val="6C8639E2"/>
    <w:rsid w:val="6C89702F"/>
    <w:rsid w:val="6CA837AD"/>
    <w:rsid w:val="6CF05300"/>
    <w:rsid w:val="6D100E7E"/>
    <w:rsid w:val="6D3C6797"/>
    <w:rsid w:val="6D4C69DA"/>
    <w:rsid w:val="6DAA54AF"/>
    <w:rsid w:val="6DBA4861"/>
    <w:rsid w:val="6DBD1686"/>
    <w:rsid w:val="6DEC77F6"/>
    <w:rsid w:val="6DF652D6"/>
    <w:rsid w:val="6E1868BC"/>
    <w:rsid w:val="6E2702A0"/>
    <w:rsid w:val="6E2C174D"/>
    <w:rsid w:val="6E333D17"/>
    <w:rsid w:val="6E565636"/>
    <w:rsid w:val="6E831696"/>
    <w:rsid w:val="6E9A5523"/>
    <w:rsid w:val="6EA345F3"/>
    <w:rsid w:val="6EA6211A"/>
    <w:rsid w:val="6EB83BFB"/>
    <w:rsid w:val="6EC50C9E"/>
    <w:rsid w:val="6EFE1F56"/>
    <w:rsid w:val="6F1A5974"/>
    <w:rsid w:val="6F20011E"/>
    <w:rsid w:val="6F542790"/>
    <w:rsid w:val="6F611903"/>
    <w:rsid w:val="6F8C011E"/>
    <w:rsid w:val="6F9208F0"/>
    <w:rsid w:val="6FC00FB9"/>
    <w:rsid w:val="6FC7059A"/>
    <w:rsid w:val="6FD44A65"/>
    <w:rsid w:val="6FD53F4C"/>
    <w:rsid w:val="6FDB4045"/>
    <w:rsid w:val="7048036F"/>
    <w:rsid w:val="708F4F73"/>
    <w:rsid w:val="709F5073"/>
    <w:rsid w:val="70A7078C"/>
    <w:rsid w:val="70AC4342"/>
    <w:rsid w:val="70DB6A9F"/>
    <w:rsid w:val="70DC1E23"/>
    <w:rsid w:val="70DE203F"/>
    <w:rsid w:val="70FF3ACD"/>
    <w:rsid w:val="7138050E"/>
    <w:rsid w:val="71396B13"/>
    <w:rsid w:val="71725DE1"/>
    <w:rsid w:val="719F3D05"/>
    <w:rsid w:val="71B92164"/>
    <w:rsid w:val="71CF1988"/>
    <w:rsid w:val="71DD6A85"/>
    <w:rsid w:val="71E80C9B"/>
    <w:rsid w:val="71FE7A8B"/>
    <w:rsid w:val="72273572"/>
    <w:rsid w:val="72357D04"/>
    <w:rsid w:val="723B0DCB"/>
    <w:rsid w:val="72430D76"/>
    <w:rsid w:val="72583101"/>
    <w:rsid w:val="726C367A"/>
    <w:rsid w:val="72850298"/>
    <w:rsid w:val="72892454"/>
    <w:rsid w:val="72A252EE"/>
    <w:rsid w:val="72AA6A6D"/>
    <w:rsid w:val="72DA05E4"/>
    <w:rsid w:val="730D0E03"/>
    <w:rsid w:val="736405B5"/>
    <w:rsid w:val="73EB05CF"/>
    <w:rsid w:val="73EF11D1"/>
    <w:rsid w:val="73F86FD9"/>
    <w:rsid w:val="7400407A"/>
    <w:rsid w:val="7439758C"/>
    <w:rsid w:val="74CE23CA"/>
    <w:rsid w:val="74FD680C"/>
    <w:rsid w:val="7524134F"/>
    <w:rsid w:val="753C7334"/>
    <w:rsid w:val="759E3B4B"/>
    <w:rsid w:val="75BF1D13"/>
    <w:rsid w:val="75E95B90"/>
    <w:rsid w:val="76630F42"/>
    <w:rsid w:val="7671125F"/>
    <w:rsid w:val="769B62DC"/>
    <w:rsid w:val="769F41EE"/>
    <w:rsid w:val="76E77774"/>
    <w:rsid w:val="76E84B65"/>
    <w:rsid w:val="77040325"/>
    <w:rsid w:val="77163BB5"/>
    <w:rsid w:val="772B26B3"/>
    <w:rsid w:val="77336515"/>
    <w:rsid w:val="778154D2"/>
    <w:rsid w:val="778D031B"/>
    <w:rsid w:val="778D20C9"/>
    <w:rsid w:val="779A3C96"/>
    <w:rsid w:val="77C2072D"/>
    <w:rsid w:val="77E872FF"/>
    <w:rsid w:val="784A4AEA"/>
    <w:rsid w:val="786854CC"/>
    <w:rsid w:val="7871096B"/>
    <w:rsid w:val="78992912"/>
    <w:rsid w:val="78B95140"/>
    <w:rsid w:val="78EC5693"/>
    <w:rsid w:val="79423F98"/>
    <w:rsid w:val="794C38BE"/>
    <w:rsid w:val="7959789D"/>
    <w:rsid w:val="79607369"/>
    <w:rsid w:val="79677B2E"/>
    <w:rsid w:val="796B01E8"/>
    <w:rsid w:val="797D7F1B"/>
    <w:rsid w:val="798A0AC8"/>
    <w:rsid w:val="7A3A405E"/>
    <w:rsid w:val="7A546F28"/>
    <w:rsid w:val="7A7430CC"/>
    <w:rsid w:val="7A777060"/>
    <w:rsid w:val="7A903524"/>
    <w:rsid w:val="7A91596F"/>
    <w:rsid w:val="7AC1208A"/>
    <w:rsid w:val="7B000E04"/>
    <w:rsid w:val="7B1D5512"/>
    <w:rsid w:val="7B615D46"/>
    <w:rsid w:val="7B8C2698"/>
    <w:rsid w:val="7B914152"/>
    <w:rsid w:val="7BA7127F"/>
    <w:rsid w:val="7BCB31C0"/>
    <w:rsid w:val="7BFC5A6F"/>
    <w:rsid w:val="7C324FED"/>
    <w:rsid w:val="7C360FFB"/>
    <w:rsid w:val="7C3D2105"/>
    <w:rsid w:val="7C4B2553"/>
    <w:rsid w:val="7C8E41ED"/>
    <w:rsid w:val="7C977546"/>
    <w:rsid w:val="7CFE1373"/>
    <w:rsid w:val="7D4F0A19"/>
    <w:rsid w:val="7D6A4E96"/>
    <w:rsid w:val="7D6E02A7"/>
    <w:rsid w:val="7D7D04EA"/>
    <w:rsid w:val="7DA61DA6"/>
    <w:rsid w:val="7DA954AD"/>
    <w:rsid w:val="7DE467BB"/>
    <w:rsid w:val="7DE7505A"/>
    <w:rsid w:val="7E1F77F3"/>
    <w:rsid w:val="7E3C17BB"/>
    <w:rsid w:val="7E885398"/>
    <w:rsid w:val="7EB37821"/>
    <w:rsid w:val="7EC16FCE"/>
    <w:rsid w:val="7ED61CDB"/>
    <w:rsid w:val="7EDB3B9C"/>
    <w:rsid w:val="7EEC1DCB"/>
    <w:rsid w:val="7F0B7D77"/>
    <w:rsid w:val="7F2A644F"/>
    <w:rsid w:val="7F6D207F"/>
    <w:rsid w:val="7FC543CA"/>
    <w:rsid w:val="7FCE14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qFormat="1"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iPriority="99"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40"/>
    <w:autoRedefine/>
    <w:qFormat/>
    <w:uiPriority w:val="0"/>
    <w:pPr>
      <w:keepNext/>
      <w:jc w:val="center"/>
      <w:outlineLvl w:val="0"/>
    </w:pPr>
    <w:rPr>
      <w:rFonts w:ascii="仿宋_GB2312" w:eastAsia="仿宋_GB2312"/>
      <w:kern w:val="0"/>
      <w:sz w:val="28"/>
    </w:rPr>
  </w:style>
  <w:style w:type="paragraph" w:styleId="3">
    <w:name w:val="heading 2"/>
    <w:basedOn w:val="1"/>
    <w:next w:val="1"/>
    <w:link w:val="69"/>
    <w:autoRedefine/>
    <w:qFormat/>
    <w:uiPriority w:val="99"/>
    <w:pPr>
      <w:keepNext/>
      <w:numPr>
        <w:ilvl w:val="0"/>
        <w:numId w:val="1"/>
      </w:numPr>
      <w:tabs>
        <w:tab w:val="left" w:pos="420"/>
        <w:tab w:val="clear" w:pos="330"/>
      </w:tabs>
      <w:spacing w:line="360" w:lineRule="auto"/>
      <w:outlineLvl w:val="1"/>
    </w:pPr>
    <w:rPr>
      <w:b/>
      <w:sz w:val="24"/>
      <w:szCs w:val="24"/>
    </w:rPr>
  </w:style>
  <w:style w:type="paragraph" w:styleId="4">
    <w:name w:val="heading 3"/>
    <w:basedOn w:val="1"/>
    <w:next w:val="5"/>
    <w:autoRedefine/>
    <w:qFormat/>
    <w:uiPriority w:val="0"/>
    <w:pPr>
      <w:keepNext/>
      <w:numPr>
        <w:ilvl w:val="0"/>
        <w:numId w:val="2"/>
      </w:numPr>
      <w:tabs>
        <w:tab w:val="left" w:pos="468"/>
      </w:tabs>
      <w:outlineLvl w:val="2"/>
    </w:pPr>
    <w:rPr>
      <w:b/>
      <w:bCs/>
      <w:sz w:val="28"/>
      <w:szCs w:val="24"/>
    </w:rPr>
  </w:style>
  <w:style w:type="paragraph" w:styleId="7">
    <w:name w:val="heading 4"/>
    <w:basedOn w:val="8"/>
    <w:next w:val="1"/>
    <w:autoRedefine/>
    <w:qFormat/>
    <w:uiPriority w:val="0"/>
    <w:pPr>
      <w:keepNext/>
      <w:numPr>
        <w:ilvl w:val="0"/>
        <w:numId w:val="3"/>
      </w:numPr>
      <w:outlineLvl w:val="3"/>
    </w:pPr>
    <w:rPr>
      <w:b/>
      <w:color w:val="000000"/>
      <w:sz w:val="28"/>
      <w:szCs w:val="24"/>
      <w:u w:val="single"/>
    </w:rPr>
  </w:style>
  <w:style w:type="character" w:default="1" w:styleId="29">
    <w:name w:val="Default Paragraph Font"/>
    <w:autoRedefine/>
    <w:semiHidden/>
    <w:qFormat/>
    <w:uiPriority w:val="0"/>
  </w:style>
  <w:style w:type="table" w:default="1" w:styleId="27">
    <w:name w:val="Normal Table"/>
    <w:autoRedefine/>
    <w:semiHidden/>
    <w:qFormat/>
    <w:uiPriority w:val="0"/>
    <w:pPr>
      <w:keepNext w:val="0"/>
      <w:keepLines w:val="0"/>
      <w:widowControl/>
      <w:suppressLineNumbers w:val="0"/>
      <w:spacing w:before="0" w:beforeAutospacing="0" w:after="0" w:afterAutospacing="0"/>
      <w:ind w:left="0" w:right="0"/>
    </w:pPr>
    <w:rPr>
      <w:rFonts w:hint="default" w:ascii="Arial" w:hAnsi="Arial" w:cs="Arial"/>
      <w:sz w:val="20"/>
      <w:szCs w:val="20"/>
    </w:rPr>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style>
  <w:style w:type="paragraph" w:styleId="6">
    <w:name w:val="Body Text Indent"/>
    <w:basedOn w:val="1"/>
    <w:next w:val="5"/>
    <w:autoRedefine/>
    <w:qFormat/>
    <w:uiPriority w:val="0"/>
    <w:pPr>
      <w:spacing w:line="800" w:lineRule="exact"/>
      <w:ind w:left="315" w:leftChars="150" w:firstLine="664" w:firstLineChars="237"/>
    </w:pPr>
    <w:rPr>
      <w:rFonts w:ascii="仿宋_GB2312" w:eastAsia="仿宋_GB2312"/>
      <w:sz w:val="28"/>
    </w:rPr>
  </w:style>
  <w:style w:type="paragraph" w:customStyle="1" w:styleId="8">
    <w:name w:val="二级标题"/>
    <w:basedOn w:val="2"/>
    <w:next w:val="1"/>
    <w:autoRedefine/>
    <w:qFormat/>
    <w:uiPriority w:val="0"/>
    <w:pPr>
      <w:numPr>
        <w:ilvl w:val="0"/>
        <w:numId w:val="4"/>
      </w:numPr>
      <w:spacing w:line="415" w:lineRule="auto"/>
      <w:ind w:left="226" w:hanging="226" w:hangingChars="75"/>
      <w:outlineLvl w:val="1"/>
    </w:pPr>
    <w:rPr>
      <w:sz w:val="30"/>
    </w:rPr>
  </w:style>
  <w:style w:type="paragraph" w:styleId="9">
    <w:name w:val="List Bullet"/>
    <w:basedOn w:val="1"/>
    <w:next w:val="10"/>
    <w:autoRedefine/>
    <w:qFormat/>
    <w:uiPriority w:val="0"/>
    <w:pPr>
      <w:numPr>
        <w:ilvl w:val="0"/>
        <w:numId w:val="5"/>
      </w:numPr>
    </w:pPr>
  </w:style>
  <w:style w:type="paragraph" w:styleId="10">
    <w:name w:val="Normal (Web)"/>
    <w:basedOn w:val="1"/>
    <w:autoRedefine/>
    <w:qFormat/>
    <w:uiPriority w:val="0"/>
    <w:pPr>
      <w:widowControl/>
      <w:jc w:val="left"/>
    </w:pPr>
    <w:rPr>
      <w:rFonts w:ascii="宋体" w:hAnsi="宋体" w:cs="宋体"/>
      <w:kern w:val="0"/>
      <w:sz w:val="24"/>
      <w:szCs w:val="24"/>
    </w:rPr>
  </w:style>
  <w:style w:type="paragraph" w:styleId="11">
    <w:name w:val="toa heading"/>
    <w:basedOn w:val="1"/>
    <w:next w:val="1"/>
    <w:autoRedefine/>
    <w:unhideWhenUsed/>
    <w:qFormat/>
    <w:uiPriority w:val="99"/>
    <w:pPr>
      <w:widowControl/>
      <w:spacing w:before="100" w:beforeAutospacing="1" w:after="100" w:afterAutospacing="1"/>
      <w:jc w:val="left"/>
    </w:pPr>
    <w:rPr>
      <w:rFonts w:hint="default" w:ascii="宋体" w:hAnsi="宋体" w:cs="宋体"/>
      <w:kern w:val="0"/>
      <w:sz w:val="24"/>
      <w:szCs w:val="24"/>
    </w:rPr>
  </w:style>
  <w:style w:type="paragraph" w:styleId="12">
    <w:name w:val="annotation text"/>
    <w:basedOn w:val="1"/>
    <w:autoRedefine/>
    <w:qFormat/>
    <w:uiPriority w:val="0"/>
    <w:pPr>
      <w:jc w:val="left"/>
    </w:pPr>
  </w:style>
  <w:style w:type="paragraph" w:styleId="13">
    <w:name w:val="Body Text"/>
    <w:basedOn w:val="1"/>
    <w:next w:val="14"/>
    <w:autoRedefine/>
    <w:qFormat/>
    <w:uiPriority w:val="0"/>
    <w:pPr>
      <w:spacing w:after="120" w:afterLines="0"/>
    </w:pPr>
  </w:style>
  <w:style w:type="paragraph" w:styleId="14">
    <w:name w:val="Body Text First Indent"/>
    <w:basedOn w:val="13"/>
    <w:next w:val="1"/>
    <w:autoRedefine/>
    <w:qFormat/>
    <w:uiPriority w:val="0"/>
    <w:pPr>
      <w:spacing w:line="312" w:lineRule="auto"/>
      <w:ind w:firstLine="420"/>
    </w:pPr>
    <w:rPr>
      <w:rFonts w:ascii="Times New Roman" w:hAnsi="Times New Roman" w:eastAsia="宋体" w:cs="Times New Roman"/>
    </w:rPr>
  </w:style>
  <w:style w:type="paragraph" w:styleId="15">
    <w:name w:val="Block Text"/>
    <w:basedOn w:val="1"/>
    <w:unhideWhenUsed/>
    <w:qFormat/>
    <w:uiPriority w:val="99"/>
    <w:pPr>
      <w:spacing w:after="120"/>
      <w:ind w:left="1440" w:leftChars="700" w:right="1440" w:rightChars="700"/>
    </w:pPr>
  </w:style>
  <w:style w:type="paragraph" w:styleId="16">
    <w:name w:val="Plain Text"/>
    <w:basedOn w:val="1"/>
    <w:next w:val="17"/>
    <w:autoRedefine/>
    <w:qFormat/>
    <w:uiPriority w:val="0"/>
    <w:rPr>
      <w:rFonts w:ascii="宋体" w:hAnsi="宋体"/>
    </w:rPr>
  </w:style>
  <w:style w:type="paragraph" w:styleId="17">
    <w:name w:val="toc 2"/>
    <w:basedOn w:val="1"/>
    <w:next w:val="1"/>
    <w:autoRedefine/>
    <w:qFormat/>
    <w:uiPriority w:val="0"/>
    <w:pPr>
      <w:ind w:left="420" w:leftChars="200"/>
    </w:pPr>
  </w:style>
  <w:style w:type="paragraph" w:styleId="18">
    <w:name w:val="Body Text Indent 2"/>
    <w:basedOn w:val="1"/>
    <w:autoRedefine/>
    <w:qFormat/>
    <w:uiPriority w:val="0"/>
    <w:pPr>
      <w:spacing w:line="360" w:lineRule="auto"/>
      <w:ind w:firstLine="555"/>
    </w:pPr>
    <w:rPr>
      <w:rFonts w:ascii="仿宋_GB2312" w:eastAsia="仿宋_GB2312"/>
      <w:sz w:val="28"/>
    </w:rPr>
  </w:style>
  <w:style w:type="paragraph" w:styleId="19">
    <w:name w:val="footer"/>
    <w:basedOn w:val="1"/>
    <w:next w:val="1"/>
    <w:autoRedefine/>
    <w:qFormat/>
    <w:uiPriority w:val="0"/>
    <w:pPr>
      <w:tabs>
        <w:tab w:val="center" w:pos="4153"/>
        <w:tab w:val="right" w:pos="8306"/>
      </w:tabs>
      <w:snapToGrid w:val="0"/>
      <w:jc w:val="left"/>
    </w:pPr>
    <w:rPr>
      <w:sz w:val="18"/>
      <w:szCs w:val="18"/>
    </w:rPr>
  </w:style>
  <w:style w:type="paragraph" w:styleId="20">
    <w:name w:val="header"/>
    <w:basedOn w:val="1"/>
    <w:autoRedefine/>
    <w:qFormat/>
    <w:uiPriority w:val="0"/>
    <w:pPr>
      <w:pBdr>
        <w:bottom w:val="single" w:color="auto" w:sz="6" w:space="1"/>
      </w:pBdr>
      <w:tabs>
        <w:tab w:val="center" w:pos="4153"/>
        <w:tab w:val="right" w:pos="8306"/>
      </w:tabs>
      <w:snapToGrid w:val="0"/>
      <w:jc w:val="center"/>
    </w:pPr>
    <w:rPr>
      <w:sz w:val="18"/>
    </w:rPr>
  </w:style>
  <w:style w:type="paragraph" w:styleId="21">
    <w:name w:val="toc 1"/>
    <w:basedOn w:val="1"/>
    <w:next w:val="1"/>
    <w:autoRedefine/>
    <w:qFormat/>
    <w:uiPriority w:val="0"/>
  </w:style>
  <w:style w:type="paragraph" w:styleId="22">
    <w:name w:val="Subtitle"/>
    <w:next w:val="1"/>
    <w:autoRedefine/>
    <w:qFormat/>
    <w:uiPriority w:val="0"/>
    <w:pPr>
      <w:wordWrap w:val="0"/>
      <w:spacing w:after="60"/>
      <w:ind w:left="1024" w:firstLine="18"/>
      <w:jc w:val="center"/>
    </w:pPr>
    <w:rPr>
      <w:rFonts w:ascii="Calibri" w:hAnsi="Calibri" w:eastAsia="宋体" w:cs="Times New Roman"/>
      <w:sz w:val="21"/>
      <w:szCs w:val="22"/>
      <w:lang w:val="en-US" w:eastAsia="zh-CN" w:bidi="ar-SA"/>
    </w:rPr>
  </w:style>
  <w:style w:type="paragraph" w:styleId="23">
    <w:name w:val="List"/>
    <w:basedOn w:val="1"/>
    <w:autoRedefine/>
    <w:qFormat/>
    <w:uiPriority w:val="0"/>
    <w:pPr>
      <w:keepNext w:val="0"/>
      <w:keepLines w:val="0"/>
      <w:widowControl w:val="0"/>
      <w:suppressLineNumbers w:val="0"/>
      <w:spacing w:before="0" w:beforeAutospacing="0" w:after="0" w:afterAutospacing="0"/>
      <w:ind w:left="200" w:right="0" w:hanging="200" w:hangingChars="200"/>
      <w:contextualSpacing/>
      <w:jc w:val="both"/>
    </w:pPr>
    <w:rPr>
      <w:rFonts w:hint="default" w:ascii="Calibri" w:hAnsi="Calibri" w:eastAsia="宋体" w:cs="Times New Roman"/>
      <w:kern w:val="2"/>
      <w:sz w:val="21"/>
      <w:szCs w:val="24"/>
      <w:lang w:val="en-US" w:eastAsia="zh-CN" w:bidi="ar"/>
    </w:rPr>
  </w:style>
  <w:style w:type="paragraph" w:styleId="24">
    <w:name w:val="footnote text"/>
    <w:basedOn w:val="1"/>
    <w:next w:val="13"/>
    <w:autoRedefine/>
    <w:qFormat/>
    <w:uiPriority w:val="0"/>
    <w:pPr>
      <w:snapToGrid w:val="0"/>
      <w:jc w:val="left"/>
    </w:pPr>
    <w:rPr>
      <w:rFonts w:eastAsia="楷体_GB2312"/>
      <w:sz w:val="18"/>
      <w:szCs w:val="18"/>
    </w:rPr>
  </w:style>
  <w:style w:type="paragraph" w:styleId="25">
    <w:name w:val="Body Text Indent 3"/>
    <w:basedOn w:val="1"/>
    <w:autoRedefine/>
    <w:qFormat/>
    <w:uiPriority w:val="0"/>
    <w:pPr>
      <w:spacing w:after="120"/>
      <w:ind w:left="420" w:leftChars="200"/>
    </w:pPr>
    <w:rPr>
      <w:rFonts w:ascii="Times New Roman" w:hAnsi="Times New Roman" w:eastAsia="宋体" w:cs="Times New Roman"/>
      <w:sz w:val="16"/>
      <w:szCs w:val="16"/>
    </w:rPr>
  </w:style>
  <w:style w:type="paragraph" w:styleId="26">
    <w:name w:val="Body Text First Indent 2"/>
    <w:basedOn w:val="6"/>
    <w:autoRedefine/>
    <w:qFormat/>
    <w:uiPriority w:val="0"/>
    <w:pPr>
      <w:spacing w:after="120" w:afterLines="0" w:afterAutospacing="0" w:line="240" w:lineRule="auto"/>
      <w:ind w:left="420" w:leftChars="200" w:firstLine="420" w:firstLineChars="200"/>
    </w:pPr>
    <w:rPr>
      <w:sz w:val="21"/>
    </w:rPr>
  </w:style>
  <w:style w:type="table" w:styleId="28">
    <w:name w:val="Table Grid"/>
    <w:basedOn w:val="2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Hyperlink"/>
    <w:basedOn w:val="29"/>
    <w:autoRedefine/>
    <w:qFormat/>
    <w:uiPriority w:val="0"/>
    <w:rPr>
      <w:color w:val="0000FF"/>
      <w:u w:val="single"/>
    </w:rPr>
  </w:style>
  <w:style w:type="paragraph" w:customStyle="1" w:styleId="3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32">
    <w:name w:val="No Spacing"/>
    <w:autoRedefine/>
    <w:qFormat/>
    <w:uiPriority w:val="0"/>
    <w:pPr>
      <w:widowControl w:val="0"/>
      <w:spacing w:line="360" w:lineRule="auto"/>
      <w:jc w:val="both"/>
    </w:pPr>
    <w:rPr>
      <w:rFonts w:ascii="宋体" w:hAnsi="宋体" w:eastAsia="宋体" w:cs="Times New Roman"/>
      <w:kern w:val="2"/>
      <w:sz w:val="21"/>
      <w:szCs w:val="21"/>
      <w:lang w:val="en-US" w:eastAsia="zh-CN" w:bidi="ar-SA"/>
    </w:rPr>
  </w:style>
  <w:style w:type="paragraph" w:customStyle="1" w:styleId="33">
    <w:name w:val="样式 方正小标宋_GBK 二号 居中 行距: 固定值 30 磅"/>
    <w:basedOn w:val="2"/>
    <w:autoRedefine/>
    <w:qFormat/>
    <w:uiPriority w:val="0"/>
    <w:pPr>
      <w:keepNext w:val="0"/>
      <w:spacing w:line="600" w:lineRule="exact"/>
      <w:jc w:val="center"/>
    </w:pPr>
    <w:rPr>
      <w:rFonts w:ascii="方正小标宋_GBK" w:eastAsia="方正小标宋_GBK" w:cs="宋体"/>
      <w:kern w:val="2"/>
    </w:rPr>
  </w:style>
  <w:style w:type="paragraph" w:customStyle="1" w:styleId="34">
    <w:name w:val="正文首行缩进1"/>
    <w:basedOn w:val="13"/>
    <w:next w:val="35"/>
    <w:autoRedefine/>
    <w:qFormat/>
    <w:uiPriority w:val="0"/>
    <w:pPr>
      <w:adjustRightInd w:val="0"/>
      <w:spacing w:after="0" w:line="275" w:lineRule="atLeast"/>
      <w:ind w:firstLine="420"/>
      <w:textAlignment w:val="baseline"/>
    </w:pPr>
    <w:rPr>
      <w:rFonts w:eastAsia="楷体_GB2312"/>
      <w:sz w:val="24"/>
      <w:szCs w:val="20"/>
    </w:rPr>
  </w:style>
  <w:style w:type="paragraph" w:customStyle="1" w:styleId="35">
    <w:name w:val="Normal (Web)1"/>
    <w:basedOn w:val="1"/>
    <w:autoRedefine/>
    <w:qFormat/>
    <w:uiPriority w:val="0"/>
    <w:pPr>
      <w:jc w:val="left"/>
    </w:pPr>
    <w:rPr>
      <w:kern w:val="0"/>
      <w:sz w:val="24"/>
    </w:rPr>
  </w:style>
  <w:style w:type="paragraph" w:customStyle="1" w:styleId="36">
    <w:name w:val="_Style 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7">
    <w:name w:val="Default Tex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38">
    <w:name w:val="标题 1 Char"/>
    <w:link w:val="2"/>
    <w:autoRedefine/>
    <w:qFormat/>
    <w:uiPriority w:val="0"/>
    <w:rPr>
      <w:rFonts w:ascii="仿宋_GB2312" w:eastAsia="仿宋_GB2312"/>
      <w:kern w:val="0"/>
      <w:sz w:val="28"/>
    </w:rPr>
  </w:style>
  <w:style w:type="character" w:customStyle="1" w:styleId="39">
    <w:name w:val="标题 2 字符"/>
    <w:autoRedefine/>
    <w:qFormat/>
    <w:uiPriority w:val="99"/>
    <w:rPr>
      <w:b/>
      <w:kern w:val="2"/>
      <w:sz w:val="24"/>
      <w:szCs w:val="24"/>
    </w:rPr>
  </w:style>
  <w:style w:type="character" w:customStyle="1" w:styleId="40">
    <w:name w:val="标题 1 字符"/>
    <w:link w:val="2"/>
    <w:autoRedefine/>
    <w:qFormat/>
    <w:uiPriority w:val="0"/>
    <w:rPr>
      <w:rFonts w:ascii="仿宋_GB2312" w:eastAsia="仿宋_GB2312"/>
      <w:sz w:val="28"/>
    </w:rPr>
  </w:style>
  <w:style w:type="character" w:customStyle="1" w:styleId="41">
    <w:name w:val="标题 2 Char"/>
    <w:link w:val="3"/>
    <w:autoRedefine/>
    <w:qFormat/>
    <w:uiPriority w:val="0"/>
    <w:rPr>
      <w:b/>
      <w:sz w:val="24"/>
      <w:szCs w:val="24"/>
    </w:rPr>
  </w:style>
  <w:style w:type="paragraph" w:styleId="42">
    <w:name w:val="List Paragraph"/>
    <w:basedOn w:val="1"/>
    <w:autoRedefine/>
    <w:qFormat/>
    <w:uiPriority w:val="0"/>
    <w:pPr>
      <w:ind w:firstLine="420" w:firstLineChars="200"/>
    </w:pPr>
    <w:rPr>
      <w:szCs w:val="24"/>
    </w:rPr>
  </w:style>
  <w:style w:type="paragraph" w:customStyle="1" w:styleId="43">
    <w:name w:val="_Style 3"/>
    <w:basedOn w:val="1"/>
    <w:autoRedefine/>
    <w:qFormat/>
    <w:uiPriority w:val="99"/>
    <w:pPr>
      <w:autoSpaceDE w:val="0"/>
      <w:autoSpaceDN w:val="0"/>
      <w:spacing w:line="360" w:lineRule="auto"/>
      <w:ind w:firstLine="420" w:firstLineChars="200"/>
      <w:jc w:val="left"/>
    </w:pPr>
    <w:rPr>
      <w:rFonts w:cs="Times New Roman"/>
      <w:color w:val="auto"/>
      <w:kern w:val="0"/>
      <w:sz w:val="24"/>
      <w:szCs w:val="21"/>
      <w:lang w:val="zh-CN"/>
    </w:rPr>
  </w:style>
  <w:style w:type="paragraph" w:customStyle="1" w:styleId="44">
    <w:name w:val="缺省文本"/>
    <w:autoRedefine/>
    <w:qFormat/>
    <w:uiPriority w:val="0"/>
    <w:pPr>
      <w:widowControl w:val="0"/>
      <w:autoSpaceDE w:val="0"/>
      <w:autoSpaceDN w:val="0"/>
      <w:adjustRightInd w:val="0"/>
    </w:pPr>
    <w:rPr>
      <w:rFonts w:ascii="Times New Roman" w:hAnsi="Times New Roman" w:eastAsia="宋体" w:cs="Times New Roman"/>
      <w:color w:val="000000"/>
      <w:szCs w:val="24"/>
      <w:lang w:val="en-US" w:eastAsia="zh-CN" w:bidi="ar-SA"/>
    </w:rPr>
  </w:style>
  <w:style w:type="paragraph" w:customStyle="1" w:styleId="45">
    <w:name w:val="正文_3"/>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6">
    <w:name w:val="表格文字"/>
    <w:basedOn w:val="1"/>
    <w:next w:val="13"/>
    <w:autoRedefine/>
    <w:qFormat/>
    <w:uiPriority w:val="0"/>
    <w:pPr>
      <w:spacing w:before="25" w:after="25"/>
      <w:jc w:val="left"/>
    </w:pPr>
    <w:rPr>
      <w:bCs/>
      <w:spacing w:val="10"/>
      <w:kern w:val="0"/>
      <w:sz w:val="24"/>
    </w:rPr>
  </w:style>
  <w:style w:type="paragraph" w:customStyle="1" w:styleId="47">
    <w:name w:val="样式 样式 样式 左侧:  2 字符1 + 首行缩进:  2 字符1 + 首行缩进:  2 字符"/>
    <w:basedOn w:val="1"/>
    <w:autoRedefine/>
    <w:qFormat/>
    <w:uiPriority w:val="0"/>
    <w:pPr>
      <w:adjustRightInd w:val="0"/>
      <w:spacing w:before="60" w:after="120" w:line="440" w:lineRule="atLeast"/>
      <w:ind w:firstLine="480"/>
    </w:pPr>
    <w:rPr>
      <w:color w:val="auto"/>
      <w:sz w:val="24"/>
    </w:rPr>
  </w:style>
  <w:style w:type="character" w:customStyle="1" w:styleId="48">
    <w:name w:val="font61"/>
    <w:basedOn w:val="29"/>
    <w:autoRedefine/>
    <w:qFormat/>
    <w:uiPriority w:val="0"/>
    <w:rPr>
      <w:rFonts w:hint="eastAsia" w:ascii="宋体" w:hAnsi="宋体" w:eastAsia="宋体" w:cs="宋体"/>
      <w:color w:val="000000"/>
      <w:sz w:val="18"/>
      <w:szCs w:val="18"/>
      <w:u w:val="none"/>
    </w:rPr>
  </w:style>
  <w:style w:type="character" w:customStyle="1" w:styleId="49">
    <w:name w:val="font121"/>
    <w:basedOn w:val="29"/>
    <w:autoRedefine/>
    <w:qFormat/>
    <w:uiPriority w:val="0"/>
    <w:rPr>
      <w:rFonts w:ascii="Verdana" w:hAnsi="Verdana" w:cs="Verdana"/>
      <w:color w:val="000000"/>
      <w:sz w:val="18"/>
      <w:szCs w:val="18"/>
      <w:u w:val="none"/>
    </w:rPr>
  </w:style>
  <w:style w:type="character" w:customStyle="1" w:styleId="50">
    <w:name w:val="font51"/>
    <w:basedOn w:val="29"/>
    <w:autoRedefine/>
    <w:qFormat/>
    <w:uiPriority w:val="0"/>
    <w:rPr>
      <w:rFonts w:hint="eastAsia" w:ascii="宋体" w:hAnsi="宋体" w:eastAsia="宋体" w:cs="宋体"/>
      <w:color w:val="000000"/>
      <w:sz w:val="18"/>
      <w:szCs w:val="18"/>
      <w:u w:val="none"/>
    </w:rPr>
  </w:style>
  <w:style w:type="paragraph" w:customStyle="1" w:styleId="51">
    <w:name w:val="标题 2_0_0_0"/>
    <w:basedOn w:val="52"/>
    <w:next w:val="52"/>
    <w:autoRedefine/>
    <w:qFormat/>
    <w:uiPriority w:val="0"/>
    <w:pPr>
      <w:keepNext/>
      <w:keepLines/>
      <w:widowControl w:val="0"/>
      <w:spacing w:before="120" w:after="120" w:line="360" w:lineRule="auto"/>
      <w:jc w:val="center"/>
      <w:outlineLvl w:val="1"/>
    </w:pPr>
    <w:rPr>
      <w:rFonts w:ascii="宋体"/>
      <w:b/>
      <w:bCs/>
      <w:kern w:val="0"/>
      <w:sz w:val="36"/>
      <w:szCs w:val="18"/>
    </w:rPr>
  </w:style>
  <w:style w:type="paragraph" w:customStyle="1" w:styleId="52">
    <w:name w:val="正文_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3">
    <w:name w:val="正文文字缩进"/>
    <w:basedOn w:val="1"/>
    <w:next w:val="1"/>
    <w:autoRedefine/>
    <w:qFormat/>
    <w:uiPriority w:val="0"/>
    <w:pPr>
      <w:spacing w:line="400" w:lineRule="atLeast"/>
      <w:ind w:left="210" w:firstLine="210"/>
      <w:jc w:val="both"/>
    </w:pPr>
    <w:rPr>
      <w:rFonts w:ascii="宋体" w:eastAsia="宋体"/>
      <w:color w:val="000000"/>
      <w:sz w:val="21"/>
    </w:rPr>
  </w:style>
  <w:style w:type="character" w:customStyle="1" w:styleId="54">
    <w:name w:val="font71"/>
    <w:basedOn w:val="29"/>
    <w:autoRedefine/>
    <w:qFormat/>
    <w:uiPriority w:val="0"/>
    <w:rPr>
      <w:rFonts w:hint="eastAsia" w:ascii="宋体" w:hAnsi="宋体" w:eastAsia="宋体" w:cs="宋体"/>
      <w:color w:val="000000"/>
      <w:sz w:val="22"/>
      <w:szCs w:val="22"/>
      <w:u w:val="none"/>
    </w:rPr>
  </w:style>
  <w:style w:type="character" w:customStyle="1" w:styleId="55">
    <w:name w:val="font101"/>
    <w:basedOn w:val="29"/>
    <w:autoRedefine/>
    <w:qFormat/>
    <w:uiPriority w:val="0"/>
    <w:rPr>
      <w:rFonts w:hint="eastAsia" w:ascii="宋体" w:hAnsi="宋体" w:eastAsia="宋体" w:cs="宋体"/>
      <w:color w:val="000000"/>
      <w:sz w:val="22"/>
      <w:szCs w:val="22"/>
      <w:u w:val="none"/>
    </w:rPr>
  </w:style>
  <w:style w:type="character" w:customStyle="1" w:styleId="56">
    <w:name w:val="font81"/>
    <w:basedOn w:val="29"/>
    <w:autoRedefine/>
    <w:qFormat/>
    <w:uiPriority w:val="0"/>
    <w:rPr>
      <w:rFonts w:hint="eastAsia" w:ascii="宋体" w:hAnsi="宋体" w:eastAsia="宋体" w:cs="宋体"/>
      <w:color w:val="FF0000"/>
      <w:sz w:val="21"/>
      <w:szCs w:val="21"/>
      <w:u w:val="none"/>
    </w:rPr>
  </w:style>
  <w:style w:type="character" w:customStyle="1" w:styleId="57">
    <w:name w:val="font21"/>
    <w:basedOn w:val="29"/>
    <w:autoRedefine/>
    <w:qFormat/>
    <w:uiPriority w:val="0"/>
    <w:rPr>
      <w:rFonts w:hint="eastAsia" w:ascii="宋体" w:hAnsi="宋体" w:eastAsia="宋体" w:cs="宋体"/>
      <w:color w:val="FF0000"/>
      <w:sz w:val="22"/>
      <w:szCs w:val="22"/>
      <w:u w:val="none"/>
    </w:rPr>
  </w:style>
  <w:style w:type="character" w:customStyle="1" w:styleId="58">
    <w:name w:val="font41"/>
    <w:basedOn w:val="29"/>
    <w:autoRedefine/>
    <w:qFormat/>
    <w:uiPriority w:val="0"/>
    <w:rPr>
      <w:rFonts w:hint="eastAsia" w:ascii="宋体" w:hAnsi="宋体" w:eastAsia="宋体" w:cs="宋体"/>
      <w:color w:val="000000"/>
      <w:sz w:val="22"/>
      <w:szCs w:val="22"/>
      <w:u w:val="none"/>
    </w:rPr>
  </w:style>
  <w:style w:type="character" w:customStyle="1" w:styleId="59">
    <w:name w:val="font91"/>
    <w:basedOn w:val="29"/>
    <w:autoRedefine/>
    <w:qFormat/>
    <w:uiPriority w:val="0"/>
    <w:rPr>
      <w:rFonts w:hint="eastAsia" w:ascii="宋体" w:hAnsi="宋体" w:eastAsia="宋体" w:cs="宋体"/>
      <w:color w:val="000000"/>
      <w:sz w:val="22"/>
      <w:szCs w:val="22"/>
      <w:u w:val="none"/>
    </w:rPr>
  </w:style>
  <w:style w:type="character" w:customStyle="1" w:styleId="60">
    <w:name w:val="font31"/>
    <w:basedOn w:val="29"/>
    <w:autoRedefine/>
    <w:qFormat/>
    <w:uiPriority w:val="0"/>
    <w:rPr>
      <w:rFonts w:hint="eastAsia" w:ascii="宋体" w:hAnsi="宋体" w:eastAsia="宋体" w:cs="宋体"/>
      <w:color w:val="FF0000"/>
      <w:sz w:val="22"/>
      <w:szCs w:val="22"/>
      <w:u w:val="none"/>
    </w:rPr>
  </w:style>
  <w:style w:type="character" w:customStyle="1" w:styleId="61">
    <w:name w:val="font01"/>
    <w:basedOn w:val="29"/>
    <w:autoRedefine/>
    <w:qFormat/>
    <w:uiPriority w:val="0"/>
    <w:rPr>
      <w:rFonts w:hint="eastAsia" w:ascii="仿宋_GB2312" w:eastAsia="仿宋_GB2312" w:cs="仿宋_GB2312"/>
      <w:color w:val="000000"/>
      <w:sz w:val="20"/>
      <w:szCs w:val="20"/>
      <w:u w:val="none"/>
    </w:rPr>
  </w:style>
  <w:style w:type="character" w:customStyle="1" w:styleId="62">
    <w:name w:val="font11"/>
    <w:basedOn w:val="29"/>
    <w:autoRedefine/>
    <w:qFormat/>
    <w:uiPriority w:val="0"/>
    <w:rPr>
      <w:rFonts w:hint="eastAsia" w:ascii="宋体" w:hAnsi="宋体" w:eastAsia="宋体" w:cs="宋体"/>
      <w:color w:val="000000"/>
      <w:sz w:val="21"/>
      <w:szCs w:val="21"/>
      <w:u w:val="none"/>
    </w:rPr>
  </w:style>
  <w:style w:type="character" w:customStyle="1" w:styleId="63">
    <w:name w:val="font201"/>
    <w:basedOn w:val="29"/>
    <w:autoRedefine/>
    <w:qFormat/>
    <w:uiPriority w:val="0"/>
    <w:rPr>
      <w:rFonts w:hint="eastAsia" w:ascii="宋体" w:hAnsi="宋体" w:eastAsia="宋体" w:cs="宋体"/>
      <w:color w:val="000000"/>
      <w:sz w:val="21"/>
      <w:szCs w:val="21"/>
      <w:u w:val="none"/>
    </w:rPr>
  </w:style>
  <w:style w:type="character" w:customStyle="1" w:styleId="64">
    <w:name w:val="font221"/>
    <w:basedOn w:val="29"/>
    <w:autoRedefine/>
    <w:qFormat/>
    <w:uiPriority w:val="0"/>
    <w:rPr>
      <w:rFonts w:hint="eastAsia" w:ascii="宋体" w:hAnsi="宋体" w:eastAsia="宋体" w:cs="宋体"/>
      <w:color w:val="231F20"/>
      <w:sz w:val="20"/>
      <w:szCs w:val="20"/>
      <w:u w:val="none"/>
    </w:rPr>
  </w:style>
  <w:style w:type="character" w:customStyle="1" w:styleId="65">
    <w:name w:val="font212"/>
    <w:basedOn w:val="29"/>
    <w:autoRedefine/>
    <w:qFormat/>
    <w:uiPriority w:val="0"/>
    <w:rPr>
      <w:rFonts w:hint="eastAsia" w:ascii="宋体" w:hAnsi="宋体" w:eastAsia="宋体" w:cs="宋体"/>
      <w:color w:val="000000"/>
      <w:sz w:val="12"/>
      <w:szCs w:val="12"/>
      <w:u w:val="none"/>
    </w:rPr>
  </w:style>
  <w:style w:type="character" w:customStyle="1" w:styleId="66">
    <w:name w:val="font132"/>
    <w:basedOn w:val="29"/>
    <w:autoRedefine/>
    <w:qFormat/>
    <w:uiPriority w:val="0"/>
    <w:rPr>
      <w:rFonts w:hint="default" w:ascii="Times New Roman" w:hAnsi="Times New Roman" w:cs="Times New Roman"/>
      <w:color w:val="000000"/>
      <w:sz w:val="22"/>
      <w:szCs w:val="22"/>
      <w:u w:val="none"/>
    </w:rPr>
  </w:style>
  <w:style w:type="character" w:customStyle="1" w:styleId="67">
    <w:name w:val="font111"/>
    <w:basedOn w:val="29"/>
    <w:autoRedefine/>
    <w:qFormat/>
    <w:uiPriority w:val="0"/>
    <w:rPr>
      <w:rFonts w:hint="eastAsia" w:ascii="宋体" w:hAnsi="宋体" w:eastAsia="宋体" w:cs="宋体"/>
      <w:color w:val="000000"/>
      <w:sz w:val="21"/>
      <w:szCs w:val="21"/>
      <w:u w:val="none"/>
    </w:rPr>
  </w:style>
  <w:style w:type="character" w:customStyle="1" w:styleId="68">
    <w:name w:val="font13"/>
    <w:basedOn w:val="29"/>
    <w:autoRedefine/>
    <w:qFormat/>
    <w:uiPriority w:val="0"/>
    <w:rPr>
      <w:rFonts w:hint="eastAsia" w:ascii="宋体" w:hAnsi="宋体" w:eastAsia="宋体" w:cs="宋体"/>
      <w:color w:val="000000"/>
      <w:sz w:val="22"/>
      <w:szCs w:val="22"/>
      <w:u w:val="none"/>
    </w:rPr>
  </w:style>
  <w:style w:type="character" w:customStyle="1" w:styleId="69">
    <w:name w:val="标题 2 字符2"/>
    <w:link w:val="3"/>
    <w:autoRedefine/>
    <w:qFormat/>
    <w:uiPriority w:val="99"/>
    <w:rPr>
      <w:b/>
      <w:kern w:val="2"/>
      <w:sz w:val="24"/>
      <w:szCs w:val="24"/>
    </w:rPr>
  </w:style>
  <w:style w:type="paragraph" w:customStyle="1" w:styleId="70">
    <w:name w:val="Table Text"/>
    <w:basedOn w:val="1"/>
    <w:autoRedefine/>
    <w:hidden/>
    <w:qFormat/>
    <w:uiPriority w:val="0"/>
    <w:pPr>
      <w:keepNext w:val="0"/>
      <w:keepLines w:val="0"/>
      <w:widowControl/>
      <w:suppressLineNumbers w:val="0"/>
      <w:kinsoku w:val="0"/>
      <w:autoSpaceDE w:val="0"/>
      <w:autoSpaceDN w:val="0"/>
      <w:adjustRightInd w:val="0"/>
      <w:snapToGrid w:val="0"/>
      <w:spacing w:before="0" w:beforeAutospacing="0" w:after="0" w:afterAutospacing="0"/>
      <w:ind w:left="0" w:right="0"/>
      <w:jc w:val="left"/>
    </w:pPr>
    <w:rPr>
      <w:rFonts w:hint="eastAsia" w:ascii="宋体" w:hAnsi="宋体" w:eastAsia="宋体" w:cs="宋体"/>
      <w:snapToGrid/>
      <w:color w:val="000000"/>
      <w:kern w:val="0"/>
      <w:sz w:val="15"/>
      <w:szCs w:val="15"/>
      <w:lang w:val="en-US" w:eastAsia="zh-CN" w:bidi="ar"/>
    </w:rPr>
  </w:style>
  <w:style w:type="table" w:customStyle="1" w:styleId="71">
    <w:name w:val="Table Normal"/>
    <w:basedOn w:val="27"/>
    <w:autoRedefine/>
    <w:semiHidden/>
    <w:qFormat/>
    <w:uiPriority w:val="0"/>
    <w:pPr>
      <w:keepNext w:val="0"/>
      <w:keepLines w:val="0"/>
      <w:widowControl/>
      <w:suppressLineNumbers w:val="0"/>
      <w:spacing w:before="0" w:beforeAutospacing="0" w:after="0" w:afterAutospacing="0"/>
      <w:ind w:left="0" w:right="0"/>
    </w:pPr>
    <w:rPr>
      <w:rFonts w:hint="default" w:ascii="Arial" w:hAnsi="Arial" w:cs="Arial"/>
      <w:sz w:val="20"/>
      <w:szCs w:val="20"/>
    </w:rPr>
    <w:tblPr>
      <w:tblCellMar>
        <w:top w:w="0" w:type="dxa"/>
        <w:left w:w="0" w:type="dxa"/>
        <w:bottom w:w="0" w:type="dxa"/>
        <w:right w:w="0" w:type="dxa"/>
      </w:tblCellMar>
    </w:tblPr>
  </w:style>
  <w:style w:type="table" w:customStyle="1" w:styleId="72">
    <w:name w:val="TableGrid"/>
    <w:basedOn w:val="27"/>
    <w:autoRedefine/>
    <w:qFormat/>
    <w:uiPriority w:val="0"/>
    <w:rPr>
      <w:rFonts w:hint="eastAsia"/>
      <w:kern w:val="2"/>
      <w:sz w:val="21"/>
      <w:szCs w:val="22"/>
    </w:rPr>
    <w:tblPr>
      <w:tblCellMar>
        <w:top w:w="0" w:type="dxa"/>
        <w:left w:w="0" w:type="dxa"/>
        <w:bottom w:w="0" w:type="dxa"/>
        <w:right w:w="0" w:type="dxa"/>
      </w:tblCellMar>
    </w:tblPr>
  </w:style>
  <w:style w:type="character" w:customStyle="1" w:styleId="73">
    <w:name w:val="font122"/>
    <w:basedOn w:val="29"/>
    <w:qFormat/>
    <w:uiPriority w:val="0"/>
    <w:rPr>
      <w:rFonts w:ascii="新宋体" w:hAnsi="新宋体" w:eastAsia="新宋体" w:cs="新宋体"/>
      <w:color w:val="000000"/>
      <w:sz w:val="20"/>
      <w:szCs w:val="20"/>
      <w:u w:val="none"/>
      <w:vertAlign w:val="subscript"/>
    </w:rPr>
  </w:style>
  <w:style w:type="character" w:customStyle="1" w:styleId="74">
    <w:name w:val="font131"/>
    <w:basedOn w:val="29"/>
    <w:qFormat/>
    <w:uiPriority w:val="0"/>
    <w:rPr>
      <w:rFonts w:hint="eastAsia" w:ascii="新宋体" w:hAnsi="新宋体" w:eastAsia="新宋体" w:cs="新宋体"/>
      <w:color w:val="000000"/>
      <w:sz w:val="20"/>
      <w:szCs w:val="20"/>
      <w:u w:val="none"/>
    </w:rPr>
  </w:style>
  <w:style w:type="character" w:customStyle="1" w:styleId="75">
    <w:name w:val="font141"/>
    <w:basedOn w:val="29"/>
    <w:qFormat/>
    <w:uiPriority w:val="0"/>
    <w:rPr>
      <w:rFonts w:hint="eastAsia" w:ascii="宋体" w:hAnsi="宋体" w:eastAsia="宋体" w:cs="宋体"/>
      <w:color w:val="000000"/>
      <w:sz w:val="20"/>
      <w:szCs w:val="20"/>
      <w:u w:val="none"/>
      <w:vertAlign w:val="subscript"/>
    </w:rPr>
  </w:style>
  <w:style w:type="character" w:customStyle="1" w:styleId="76">
    <w:name w:val="font151"/>
    <w:basedOn w:val="29"/>
    <w:qFormat/>
    <w:uiPriority w:val="0"/>
    <w:rPr>
      <w:rFonts w:hint="default" w:ascii="Calibri" w:hAnsi="Calibri" w:cs="Calibri"/>
      <w:color w:val="000000"/>
      <w:sz w:val="18"/>
      <w:szCs w:val="18"/>
      <w:u w:val="none"/>
    </w:rPr>
  </w:style>
  <w:style w:type="character" w:customStyle="1" w:styleId="77">
    <w:name w:val="font12"/>
    <w:basedOn w:val="29"/>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6" Type="http://schemas.openxmlformats.org/officeDocument/2006/relationships/fontTable" Target="fontTable.xml"/><Relationship Id="rId95" Type="http://schemas.openxmlformats.org/officeDocument/2006/relationships/numbering" Target="numbering.xml"/><Relationship Id="rId94" Type="http://schemas.openxmlformats.org/officeDocument/2006/relationships/customXml" Target="../customXml/item1.xml"/><Relationship Id="rId93" Type="http://schemas.openxmlformats.org/officeDocument/2006/relationships/image" Target="media/image68.png"/><Relationship Id="rId92" Type="http://schemas.openxmlformats.org/officeDocument/2006/relationships/image" Target="media/image67.png"/><Relationship Id="rId91" Type="http://schemas.openxmlformats.org/officeDocument/2006/relationships/image" Target="media/image66.png"/><Relationship Id="rId90" Type="http://schemas.openxmlformats.org/officeDocument/2006/relationships/image" Target="media/image65.png"/><Relationship Id="rId9" Type="http://schemas.openxmlformats.org/officeDocument/2006/relationships/footer" Target="footer3.xml"/><Relationship Id="rId89" Type="http://schemas.openxmlformats.org/officeDocument/2006/relationships/image" Target="media/image64.png"/><Relationship Id="rId88" Type="http://schemas.openxmlformats.org/officeDocument/2006/relationships/image" Target="media/image63.png"/><Relationship Id="rId87" Type="http://schemas.openxmlformats.org/officeDocument/2006/relationships/image" Target="media/image62.png"/><Relationship Id="rId86" Type="http://schemas.openxmlformats.org/officeDocument/2006/relationships/image" Target="media/image61.png"/><Relationship Id="rId85" Type="http://schemas.openxmlformats.org/officeDocument/2006/relationships/image" Target="media/image60.png"/><Relationship Id="rId84" Type="http://schemas.openxmlformats.org/officeDocument/2006/relationships/image" Target="media/image59.png"/><Relationship Id="rId83" Type="http://schemas.openxmlformats.org/officeDocument/2006/relationships/image" Target="media/image58.png"/><Relationship Id="rId82" Type="http://schemas.openxmlformats.org/officeDocument/2006/relationships/image" Target="media/image57.png"/><Relationship Id="rId81" Type="http://schemas.openxmlformats.org/officeDocument/2006/relationships/image" Target="media/image56.png"/><Relationship Id="rId80" Type="http://schemas.openxmlformats.org/officeDocument/2006/relationships/image" Target="media/image55.png"/><Relationship Id="rId8" Type="http://schemas.openxmlformats.org/officeDocument/2006/relationships/header" Target="header4.xml"/><Relationship Id="rId79" Type="http://schemas.openxmlformats.org/officeDocument/2006/relationships/image" Target="media/image54.png"/><Relationship Id="rId78" Type="http://schemas.openxmlformats.org/officeDocument/2006/relationships/image" Target="media/image53.png"/><Relationship Id="rId77" Type="http://schemas.openxmlformats.org/officeDocument/2006/relationships/image" Target="media/image52.png"/><Relationship Id="rId76" Type="http://schemas.openxmlformats.org/officeDocument/2006/relationships/image" Target="media/image51.png"/><Relationship Id="rId75" Type="http://schemas.openxmlformats.org/officeDocument/2006/relationships/image" Target="media/image50.png"/><Relationship Id="rId74" Type="http://schemas.openxmlformats.org/officeDocument/2006/relationships/image" Target="media/image49.png"/><Relationship Id="rId73" Type="http://schemas.openxmlformats.org/officeDocument/2006/relationships/image" Target="media/image48.png"/><Relationship Id="rId72" Type="http://schemas.openxmlformats.org/officeDocument/2006/relationships/image" Target="media/image47.png"/><Relationship Id="rId71" Type="http://schemas.openxmlformats.org/officeDocument/2006/relationships/image" Target="media/image46.png"/><Relationship Id="rId70" Type="http://schemas.openxmlformats.org/officeDocument/2006/relationships/image" Target="media/image45.png"/><Relationship Id="rId7" Type="http://schemas.openxmlformats.org/officeDocument/2006/relationships/header" Target="header3.xml"/><Relationship Id="rId69" Type="http://schemas.openxmlformats.org/officeDocument/2006/relationships/image" Target="media/image44.png"/><Relationship Id="rId68" Type="http://schemas.openxmlformats.org/officeDocument/2006/relationships/image" Target="media/image43.png"/><Relationship Id="rId67" Type="http://schemas.openxmlformats.org/officeDocument/2006/relationships/image" Target="media/image42.png"/><Relationship Id="rId66" Type="http://schemas.openxmlformats.org/officeDocument/2006/relationships/image" Target="media/image41.png"/><Relationship Id="rId65" Type="http://schemas.openxmlformats.org/officeDocument/2006/relationships/image" Target="media/image40.png"/><Relationship Id="rId64" Type="http://schemas.openxmlformats.org/officeDocument/2006/relationships/image" Target="media/image39.png"/><Relationship Id="rId63" Type="http://schemas.openxmlformats.org/officeDocument/2006/relationships/image" Target="media/image38.png"/><Relationship Id="rId62" Type="http://schemas.openxmlformats.org/officeDocument/2006/relationships/image" Target="media/image37.png"/><Relationship Id="rId61" Type="http://schemas.openxmlformats.org/officeDocument/2006/relationships/image" Target="media/image36.png"/><Relationship Id="rId60" Type="http://schemas.openxmlformats.org/officeDocument/2006/relationships/image" Target="media/image35.png"/><Relationship Id="rId6" Type="http://schemas.openxmlformats.org/officeDocument/2006/relationships/footer" Target="footer2.xml"/><Relationship Id="rId59" Type="http://schemas.openxmlformats.org/officeDocument/2006/relationships/image" Target="media/image34.png"/><Relationship Id="rId58" Type="http://schemas.openxmlformats.org/officeDocument/2006/relationships/image" Target="media/image33.png"/><Relationship Id="rId57" Type="http://schemas.openxmlformats.org/officeDocument/2006/relationships/image" Target="media/image32.png"/><Relationship Id="rId56" Type="http://schemas.openxmlformats.org/officeDocument/2006/relationships/image" Target="media/image31.png"/><Relationship Id="rId55" Type="http://schemas.openxmlformats.org/officeDocument/2006/relationships/image" Target="media/image30.png"/><Relationship Id="rId54" Type="http://schemas.openxmlformats.org/officeDocument/2006/relationships/image" Target="media/image29.png"/><Relationship Id="rId53" Type="http://schemas.openxmlformats.org/officeDocument/2006/relationships/image" Target="media/image28.png"/><Relationship Id="rId52" Type="http://schemas.openxmlformats.org/officeDocument/2006/relationships/image" Target="media/image27.png"/><Relationship Id="rId51" Type="http://schemas.openxmlformats.org/officeDocument/2006/relationships/image" Target="media/image26.png"/><Relationship Id="rId50" Type="http://schemas.openxmlformats.org/officeDocument/2006/relationships/image" Target="media/image25.png"/><Relationship Id="rId5" Type="http://schemas.openxmlformats.org/officeDocument/2006/relationships/footer" Target="footer1.xml"/><Relationship Id="rId49" Type="http://schemas.openxmlformats.org/officeDocument/2006/relationships/image" Target="media/image24.png"/><Relationship Id="rId48" Type="http://schemas.openxmlformats.org/officeDocument/2006/relationships/image" Target="media/image23.png"/><Relationship Id="rId47" Type="http://schemas.openxmlformats.org/officeDocument/2006/relationships/image" Target="media/image22.png"/><Relationship Id="rId46" Type="http://schemas.openxmlformats.org/officeDocument/2006/relationships/image" Target="media/image21.png"/><Relationship Id="rId45" Type="http://schemas.openxmlformats.org/officeDocument/2006/relationships/image" Target="media/image20.png"/><Relationship Id="rId44" Type="http://schemas.openxmlformats.org/officeDocument/2006/relationships/image" Target="media/image19.png"/><Relationship Id="rId43" Type="http://schemas.openxmlformats.org/officeDocument/2006/relationships/image" Target="media/image18.png"/><Relationship Id="rId42" Type="http://schemas.openxmlformats.org/officeDocument/2006/relationships/image" Target="media/image17.png"/><Relationship Id="rId41" Type="http://schemas.openxmlformats.org/officeDocument/2006/relationships/image" Target="media/image16.png"/><Relationship Id="rId40" Type="http://schemas.openxmlformats.org/officeDocument/2006/relationships/image" Target="media/image15.png"/><Relationship Id="rId4" Type="http://schemas.openxmlformats.org/officeDocument/2006/relationships/header" Target="header2.xml"/><Relationship Id="rId39" Type="http://schemas.openxmlformats.org/officeDocument/2006/relationships/image" Target="media/image14.png"/><Relationship Id="rId38" Type="http://schemas.openxmlformats.org/officeDocument/2006/relationships/image" Target="media/image13.png"/><Relationship Id="rId37" Type="http://schemas.openxmlformats.org/officeDocument/2006/relationships/image" Target="media/image12.png"/><Relationship Id="rId36" Type="http://schemas.openxmlformats.org/officeDocument/2006/relationships/image" Target="media/image11.png"/><Relationship Id="rId35" Type="http://schemas.openxmlformats.org/officeDocument/2006/relationships/image" Target="media/image10.png"/><Relationship Id="rId34" Type="http://schemas.openxmlformats.org/officeDocument/2006/relationships/image" Target="media/image9.png"/><Relationship Id="rId33" Type="http://schemas.openxmlformats.org/officeDocument/2006/relationships/image" Target="media/image8.png"/><Relationship Id="rId32" Type="http://schemas.openxmlformats.org/officeDocument/2006/relationships/image" Target="media/image7.png"/><Relationship Id="rId31" Type="http://schemas.openxmlformats.org/officeDocument/2006/relationships/image" Target="media/image6.png"/><Relationship Id="rId30" Type="http://schemas.openxmlformats.org/officeDocument/2006/relationships/image" Target="media/image5.png"/><Relationship Id="rId3" Type="http://schemas.openxmlformats.org/officeDocument/2006/relationships/header" Target="header1.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image" Target="media/image2.png"/><Relationship Id="rId26" Type="http://schemas.openxmlformats.org/officeDocument/2006/relationships/theme" Target="theme/theme1.xml"/><Relationship Id="rId25" Type="http://schemas.openxmlformats.org/officeDocument/2006/relationships/footer" Target="footer10.xml"/><Relationship Id="rId24" Type="http://schemas.openxmlformats.org/officeDocument/2006/relationships/footer" Target="footer9.xml"/><Relationship Id="rId23" Type="http://schemas.openxmlformats.org/officeDocument/2006/relationships/header" Target="header13.xml"/><Relationship Id="rId22" Type="http://schemas.openxmlformats.org/officeDocument/2006/relationships/footer" Target="footer8.xml"/><Relationship Id="rId21" Type="http://schemas.openxmlformats.org/officeDocument/2006/relationships/footer" Target="footer7.xml"/><Relationship Id="rId20" Type="http://schemas.openxmlformats.org/officeDocument/2006/relationships/header" Target="header12.xml"/><Relationship Id="rId2" Type="http://schemas.openxmlformats.org/officeDocument/2006/relationships/settings" Target="settings.xml"/><Relationship Id="rId19" Type="http://schemas.openxmlformats.org/officeDocument/2006/relationships/header" Target="header11.xml"/><Relationship Id="rId18" Type="http://schemas.openxmlformats.org/officeDocument/2006/relationships/footer" Target="footer6.xml"/><Relationship Id="rId17" Type="http://schemas.openxmlformats.org/officeDocument/2006/relationships/footer" Target="footer5.xml"/><Relationship Id="rId16" Type="http://schemas.openxmlformats.org/officeDocument/2006/relationships/header" Target="header10.xml"/><Relationship Id="rId15" Type="http://schemas.openxmlformats.org/officeDocument/2006/relationships/header" Target="header9.xml"/><Relationship Id="rId14" Type="http://schemas.openxmlformats.org/officeDocument/2006/relationships/header" Target="header8.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258</Pages>
  <Words>2826</Words>
  <Characters>3177</Characters>
  <Lines>0</Lines>
  <Paragraphs>0</Paragraphs>
  <TotalTime>5</TotalTime>
  <ScaleCrop>false</ScaleCrop>
  <LinksUpToDate>false</LinksUpToDate>
  <CharactersWithSpaces>3247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2023-03-20T08:26:00Z</dcterms:created>
  <dc:creator>Administrator</dc:creator>
  <cp:lastModifiedBy>Administrator</cp:lastModifiedBy>
  <cp:lastPrinted>2023-08-30T02:40:00Z</cp:lastPrinted>
  <dcterms:modified xsi:type="dcterms:W3CDTF">2025-07-02T06:18:47Z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5B496ACAEA5549339AA9DCD31DC891D0_13</vt:lpwstr>
  </property>
  <property fmtid="{D5CDD505-2E9C-101B-9397-08002B2CF9AE}" pid="4" name="KSOTemplateDocerSaveRecord">
    <vt:lpwstr>eyJoZGlkIjoiNzEwMDE0YjJkMzc1MWMwZGY2OTI4ZjJlM2RhNWFiYTciLCJ1c2VySWQiOiI0NDk5NTY0ODcifQ==</vt:lpwstr>
  </property>
</Properties>
</file>