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pacing w:before="0"/>
        <w:ind w:left="0"/>
        <w:rPr>
          <w:rFonts w:ascii="Times New Roman"/>
          <w:sz w:val="20"/>
        </w:rPr>
      </w:pPr>
    </w:p>
    <w:p>
      <w:pPr>
        <w:pStyle w:val="10"/>
        <w:ind w:left="0"/>
        <w:rPr>
          <w:rFonts w:ascii="Times New Roman"/>
          <w:sz w:val="28"/>
        </w:rPr>
      </w:pPr>
    </w:p>
    <w:p>
      <w:pPr>
        <w:pStyle w:val="25"/>
        <w:spacing w:line="480" w:lineRule="auto"/>
        <w:jc w:val="center"/>
        <w:rPr>
          <w:rFonts w:hint="eastAsia" w:ascii="宋体" w:hAnsi="宋体" w:cs="宋体"/>
          <w:b/>
          <w:color w:val="auto"/>
          <w:sz w:val="56"/>
          <w:szCs w:val="56"/>
        </w:rPr>
      </w:pPr>
      <w:r>
        <w:rPr>
          <w:rFonts w:hint="eastAsia" w:ascii="宋体" w:hAnsi="宋体" w:cs="宋体"/>
          <w:b/>
          <w:color w:val="auto"/>
          <w:sz w:val="56"/>
          <w:szCs w:val="56"/>
        </w:rPr>
        <w:t>新疆巴音郭楞蒙古自治州</w:t>
      </w:r>
    </w:p>
    <w:p>
      <w:pPr>
        <w:pStyle w:val="25"/>
        <w:spacing w:line="480" w:lineRule="auto"/>
        <w:jc w:val="center"/>
        <w:rPr>
          <w:rFonts w:hint="eastAsia" w:ascii="宋体" w:hAnsi="宋体" w:cs="宋体"/>
          <w:b/>
          <w:color w:val="auto"/>
          <w:sz w:val="56"/>
          <w:szCs w:val="56"/>
        </w:rPr>
      </w:pPr>
      <w:r>
        <w:rPr>
          <w:rFonts w:hint="eastAsia" w:ascii="宋体" w:hAnsi="宋体" w:cs="宋体"/>
          <w:b/>
          <w:color w:val="auto"/>
          <w:sz w:val="56"/>
          <w:szCs w:val="56"/>
        </w:rPr>
        <w:t>政府采购</w:t>
      </w:r>
    </w:p>
    <w:p>
      <w:pPr>
        <w:pStyle w:val="25"/>
        <w:spacing w:line="360" w:lineRule="auto"/>
        <w:jc w:val="center"/>
        <w:rPr>
          <w:rFonts w:hint="eastAsia" w:ascii="宋体" w:hAnsi="宋体" w:cs="宋体"/>
          <w:color w:val="auto"/>
          <w:sz w:val="48"/>
        </w:rPr>
      </w:pPr>
    </w:p>
    <w:p>
      <w:pPr>
        <w:pStyle w:val="25"/>
        <w:spacing w:line="360" w:lineRule="auto"/>
        <w:rPr>
          <w:rFonts w:hint="eastAsia" w:ascii="宋体" w:hAnsi="宋体" w:cs="宋体"/>
          <w:color w:val="auto"/>
          <w:sz w:val="32"/>
        </w:rPr>
      </w:pPr>
    </w:p>
    <w:p>
      <w:pPr>
        <w:pStyle w:val="25"/>
        <w:spacing w:line="360" w:lineRule="auto"/>
        <w:rPr>
          <w:rFonts w:hint="eastAsia" w:ascii="宋体" w:hAnsi="宋体" w:cs="宋体"/>
          <w:color w:val="auto"/>
          <w:sz w:val="32"/>
        </w:rPr>
      </w:pPr>
    </w:p>
    <w:p>
      <w:pPr>
        <w:pStyle w:val="25"/>
        <w:spacing w:line="360" w:lineRule="auto"/>
        <w:jc w:val="center"/>
        <w:rPr>
          <w:rFonts w:hint="eastAsia" w:ascii="宋体" w:hAnsi="宋体" w:cs="宋体"/>
          <w:b/>
          <w:color w:val="auto"/>
          <w:sz w:val="96"/>
          <w:szCs w:val="96"/>
        </w:rPr>
      </w:pPr>
      <w:r>
        <w:rPr>
          <w:rFonts w:hint="eastAsia" w:ascii="宋体" w:hAnsi="宋体" w:cs="宋体"/>
          <w:b/>
          <w:color w:val="auto"/>
          <w:sz w:val="96"/>
          <w:szCs w:val="96"/>
        </w:rPr>
        <w:t>招标文件</w:t>
      </w:r>
    </w:p>
    <w:p>
      <w:pPr>
        <w:pStyle w:val="25"/>
        <w:spacing w:line="360" w:lineRule="auto"/>
        <w:rPr>
          <w:rFonts w:hint="eastAsia" w:ascii="宋体" w:hAnsi="宋体" w:cs="宋体"/>
          <w:color w:val="auto"/>
          <w:sz w:val="32"/>
        </w:rPr>
      </w:pPr>
      <w:r>
        <w:rPr>
          <w:rFonts w:hint="eastAsia" w:ascii="宋体" w:hAnsi="宋体" w:cs="宋体"/>
          <w:color w:val="auto"/>
          <w:sz w:val="32"/>
        </w:rPr>
        <w:t xml:space="preserve">                                               </w:t>
      </w:r>
    </w:p>
    <w:p>
      <w:pPr>
        <w:pStyle w:val="25"/>
        <w:spacing w:line="360" w:lineRule="auto"/>
        <w:ind w:firstLine="1920" w:firstLineChars="600"/>
        <w:rPr>
          <w:rFonts w:hint="eastAsia" w:ascii="宋体" w:hAnsi="宋体" w:cs="宋体"/>
          <w:color w:val="auto"/>
          <w:sz w:val="32"/>
        </w:rPr>
      </w:pPr>
    </w:p>
    <w:p>
      <w:pPr>
        <w:pStyle w:val="25"/>
        <w:spacing w:line="360" w:lineRule="auto"/>
        <w:ind w:firstLine="1920" w:firstLineChars="600"/>
        <w:rPr>
          <w:rFonts w:hint="eastAsia" w:ascii="宋体" w:hAnsi="宋体" w:cs="宋体"/>
          <w:color w:val="auto"/>
          <w:sz w:val="32"/>
        </w:rPr>
      </w:pPr>
    </w:p>
    <w:p>
      <w:pPr>
        <w:pStyle w:val="25"/>
        <w:spacing w:line="360" w:lineRule="auto"/>
        <w:ind w:firstLine="1920" w:firstLineChars="600"/>
        <w:rPr>
          <w:rFonts w:hint="eastAsia" w:ascii="宋体" w:hAnsi="宋体" w:cs="宋体"/>
          <w:color w:val="auto"/>
          <w:sz w:val="32"/>
        </w:rPr>
      </w:pPr>
    </w:p>
    <w:p>
      <w:pPr>
        <w:spacing w:line="420" w:lineRule="exact"/>
        <w:ind w:left="3844" w:leftChars="725" w:hanging="2249" w:hangingChars="700"/>
        <w:jc w:val="left"/>
        <w:rPr>
          <w:rFonts w:hint="eastAsia" w:ascii="宋体" w:hAnsi="宋体" w:eastAsia="宋体" w:cs="宋体"/>
          <w:b/>
          <w:color w:val="auto"/>
          <w:kern w:val="0"/>
          <w:sz w:val="32"/>
          <w:szCs w:val="31"/>
          <w:lang w:val="en-US" w:eastAsia="zh-CN" w:bidi="ar-SA"/>
        </w:rPr>
      </w:pPr>
      <w:r>
        <w:rPr>
          <w:rFonts w:hint="eastAsia" w:ascii="宋体" w:hAnsi="宋体" w:cs="宋体"/>
          <w:b/>
          <w:color w:val="auto"/>
          <w:sz w:val="32"/>
          <w:szCs w:val="31"/>
        </w:rPr>
        <w:t>采购项目名称：</w:t>
      </w:r>
      <w:r>
        <w:rPr>
          <w:rFonts w:hint="eastAsia" w:ascii="宋体" w:hAnsi="宋体" w:cs="宋体"/>
          <w:b/>
          <w:color w:val="auto"/>
          <w:sz w:val="32"/>
          <w:szCs w:val="31"/>
          <w:lang w:val="en-US" w:eastAsia="zh-CN"/>
        </w:rPr>
        <w:t>和硕县消防救援能力提升基础设施建设及车辆装备购置项目</w:t>
      </w:r>
    </w:p>
    <w:p>
      <w:pPr>
        <w:pStyle w:val="25"/>
        <w:spacing w:line="360" w:lineRule="auto"/>
        <w:ind w:firstLine="1606" w:firstLineChars="500"/>
        <w:jc w:val="left"/>
        <w:rPr>
          <w:rFonts w:hint="eastAsia" w:ascii="宋体" w:hAnsi="宋体" w:eastAsia="宋体" w:cs="宋体"/>
          <w:b/>
          <w:color w:val="auto"/>
          <w:sz w:val="32"/>
          <w:szCs w:val="31"/>
          <w:lang w:eastAsia="zh-CN"/>
        </w:rPr>
      </w:pPr>
      <w:r>
        <w:rPr>
          <w:rFonts w:hint="eastAsia" w:ascii="宋体" w:hAnsi="宋体" w:cs="宋体"/>
          <w:b/>
          <w:color w:val="auto"/>
          <w:sz w:val="32"/>
          <w:szCs w:val="31"/>
        </w:rPr>
        <w:t xml:space="preserve">招 标 </w:t>
      </w:r>
      <w:r>
        <w:rPr>
          <w:rFonts w:hint="eastAsia" w:ascii="宋体" w:hAnsi="宋体" w:cs="宋体"/>
          <w:b/>
          <w:color w:val="auto"/>
          <w:sz w:val="32"/>
          <w:szCs w:val="31"/>
          <w:lang w:val="en-US" w:eastAsia="zh-CN"/>
        </w:rPr>
        <w:t>代 理</w:t>
      </w:r>
      <w:r>
        <w:rPr>
          <w:rFonts w:hint="eastAsia" w:ascii="宋体" w:hAnsi="宋体" w:cs="宋体"/>
          <w:b/>
          <w:color w:val="auto"/>
          <w:sz w:val="32"/>
          <w:szCs w:val="31"/>
        </w:rPr>
        <w:t>：</w:t>
      </w:r>
      <w:r>
        <w:rPr>
          <w:rFonts w:hint="eastAsia" w:ascii="宋体" w:hAnsi="宋体" w:cs="宋体"/>
          <w:b/>
          <w:color w:val="auto"/>
          <w:sz w:val="32"/>
          <w:szCs w:val="31"/>
          <w:lang w:eastAsia="zh-CN"/>
        </w:rPr>
        <w:t>新疆正聚方企业管理咨询有限公司</w:t>
      </w:r>
    </w:p>
    <w:p>
      <w:pPr>
        <w:pStyle w:val="25"/>
        <w:spacing w:line="360" w:lineRule="auto"/>
        <w:ind w:firstLine="1574" w:firstLineChars="490"/>
        <w:jc w:val="left"/>
        <w:rPr>
          <w:rFonts w:hint="eastAsia" w:ascii="宋体" w:hAnsi="宋体" w:cs="宋体"/>
          <w:b/>
          <w:color w:val="auto"/>
          <w:sz w:val="32"/>
          <w:szCs w:val="31"/>
        </w:rPr>
      </w:pPr>
      <w:r>
        <w:rPr>
          <w:rFonts w:hint="eastAsia" w:ascii="宋体" w:hAnsi="宋体" w:cs="宋体"/>
          <w:b/>
          <w:color w:val="auto"/>
          <w:sz w:val="32"/>
          <w:szCs w:val="31"/>
        </w:rPr>
        <w:t>招标文件编号：ZJFZFCG2022-002-003</w:t>
      </w:r>
      <w:r>
        <w:rPr>
          <w:rFonts w:hint="default" w:ascii="宋体" w:hAnsi="宋体" w:cs="宋体"/>
          <w:b/>
          <w:color w:val="auto"/>
          <w:sz w:val="32"/>
          <w:szCs w:val="31"/>
          <w:lang w:val="en-US"/>
        </w:rPr>
        <w:t>-004-005</w:t>
      </w:r>
      <w:r>
        <w:rPr>
          <w:rFonts w:hint="eastAsia" w:ascii="宋体" w:hAnsi="宋体" w:cs="宋体"/>
          <w:b/>
          <w:color w:val="auto"/>
          <w:sz w:val="32"/>
          <w:szCs w:val="31"/>
        </w:rPr>
        <w:t>号</w:t>
      </w:r>
    </w:p>
    <w:p>
      <w:pPr>
        <w:pStyle w:val="25"/>
        <w:spacing w:line="360" w:lineRule="auto"/>
        <w:ind w:firstLine="1574" w:firstLineChars="490"/>
        <w:jc w:val="left"/>
        <w:rPr>
          <w:rFonts w:hint="eastAsia" w:ascii="宋体" w:hAnsi="宋体" w:eastAsia="宋体" w:cs="宋体"/>
          <w:color w:val="auto"/>
          <w:sz w:val="30"/>
          <w:szCs w:val="30"/>
          <w:lang w:val="en-US" w:eastAsia="zh-CN"/>
        </w:rPr>
      </w:pPr>
      <w:r>
        <w:rPr>
          <w:rFonts w:hint="eastAsia" w:ascii="宋体" w:hAnsi="宋体" w:cs="宋体"/>
          <w:b/>
          <w:color w:val="auto"/>
          <w:sz w:val="32"/>
          <w:szCs w:val="31"/>
        </w:rPr>
        <w:t>采购单位：</w:t>
      </w:r>
      <w:r>
        <w:rPr>
          <w:rFonts w:hint="eastAsia" w:ascii="宋体" w:hAnsi="宋体" w:cs="宋体"/>
          <w:b/>
          <w:color w:val="auto"/>
          <w:sz w:val="32"/>
          <w:szCs w:val="31"/>
          <w:lang w:eastAsia="zh-CN"/>
        </w:rPr>
        <w:t>和硕县应急管理局</w:t>
      </w:r>
    </w:p>
    <w:p>
      <w:pPr>
        <w:pStyle w:val="25"/>
        <w:spacing w:line="360" w:lineRule="auto"/>
        <w:ind w:firstLine="1574" w:firstLineChars="490"/>
        <w:jc w:val="left"/>
        <w:rPr>
          <w:rFonts w:hint="eastAsia" w:ascii="宋体" w:hAnsi="宋体" w:cs="宋体"/>
          <w:b/>
          <w:color w:val="auto"/>
          <w:sz w:val="32"/>
          <w:szCs w:val="31"/>
        </w:rPr>
      </w:pPr>
      <w:r>
        <w:rPr>
          <w:rFonts w:hint="eastAsia" w:ascii="宋体" w:hAnsi="宋体" w:cs="宋体"/>
          <w:b/>
          <w:color w:val="auto"/>
          <w:sz w:val="32"/>
          <w:szCs w:val="31"/>
        </w:rPr>
        <w:t>采购单位代表确认（签字）：</w:t>
      </w:r>
    </w:p>
    <w:p>
      <w:pPr>
        <w:tabs>
          <w:tab w:val="left" w:pos="964"/>
        </w:tabs>
        <w:spacing w:before="118"/>
        <w:ind w:left="0" w:right="610" w:firstLine="0"/>
        <w:jc w:val="center"/>
        <w:rPr>
          <w:b/>
          <w:sz w:val="32"/>
        </w:rPr>
      </w:pPr>
    </w:p>
    <w:p>
      <w:pPr>
        <w:tabs>
          <w:tab w:val="left" w:pos="964"/>
        </w:tabs>
        <w:spacing w:before="118"/>
        <w:ind w:left="0" w:right="610" w:firstLine="0"/>
        <w:jc w:val="center"/>
        <w:rPr>
          <w:b/>
          <w:sz w:val="32"/>
        </w:rPr>
      </w:pPr>
      <w:r>
        <w:rPr>
          <w:b/>
          <w:sz w:val="32"/>
        </w:rPr>
        <w:t>目</w:t>
      </w:r>
      <w:r>
        <w:rPr>
          <w:b/>
          <w:sz w:val="32"/>
        </w:rPr>
        <w:tab/>
      </w:r>
      <w:r>
        <w:rPr>
          <w:b/>
          <w:sz w:val="32"/>
        </w:rPr>
        <w:t>录</w:t>
      </w:r>
    </w:p>
    <w:p>
      <w:pPr>
        <w:spacing w:before="186" w:line="364" w:lineRule="auto"/>
        <w:ind w:left="1386" w:right="7552" w:hanging="480"/>
        <w:jc w:val="left"/>
        <w:rPr>
          <w:sz w:val="24"/>
        </w:rPr>
      </w:pPr>
      <w:r>
        <w:rPr>
          <w:b/>
          <w:spacing w:val="-3"/>
          <w:sz w:val="24"/>
        </w:rPr>
        <w:t>第一部分 招标公告</w:t>
      </w:r>
      <w:r>
        <w:rPr>
          <w:sz w:val="24"/>
        </w:rPr>
        <w:t>招标公告</w:t>
      </w:r>
    </w:p>
    <w:p>
      <w:pPr>
        <w:spacing w:before="1" w:line="364" w:lineRule="auto"/>
        <w:ind w:left="1357" w:right="7552" w:hanging="452"/>
        <w:jc w:val="left"/>
        <w:rPr>
          <w:sz w:val="24"/>
        </w:rPr>
      </w:pPr>
      <w:r>
        <w:rPr>
          <w:b/>
          <w:spacing w:val="-3"/>
          <w:sz w:val="24"/>
        </w:rPr>
        <w:t>第二部分 投标须知</w:t>
      </w:r>
      <w:r>
        <w:rPr>
          <w:sz w:val="24"/>
        </w:rPr>
        <w:t>投标须知</w:t>
      </w:r>
    </w:p>
    <w:p>
      <w:pPr>
        <w:pStyle w:val="5"/>
        <w:spacing w:line="364" w:lineRule="auto"/>
        <w:ind w:left="877" w:right="7581"/>
      </w:pPr>
      <w:r>
        <w:t>第三部分 招标说明第四部分 投标说明</w:t>
      </w:r>
    </w:p>
    <w:p>
      <w:pPr>
        <w:pStyle w:val="10"/>
        <w:spacing w:line="364" w:lineRule="auto"/>
        <w:ind w:left="1357" w:right="6146"/>
      </w:pPr>
      <w:r>
        <w:t>第一章 对投标方的资质要求第二章 投标文件的编写</w:t>
      </w:r>
    </w:p>
    <w:p>
      <w:pPr>
        <w:pStyle w:val="10"/>
        <w:spacing w:before="2" w:line="364" w:lineRule="auto"/>
        <w:ind w:left="1357" w:right="6626"/>
      </w:pPr>
      <w:r>
        <w:t>第三章 投标文件的递交第四章 评标委员会</w:t>
      </w:r>
    </w:p>
    <w:p>
      <w:pPr>
        <w:tabs>
          <w:tab w:val="left" w:pos="2677"/>
        </w:tabs>
        <w:spacing w:before="1" w:line="364" w:lineRule="auto"/>
        <w:ind w:left="1357" w:right="6376" w:hanging="480"/>
        <w:jc w:val="left"/>
        <w:rPr>
          <w:sz w:val="24"/>
        </w:rPr>
      </w:pPr>
      <w:r>
        <w:rPr>
          <w:b/>
          <w:sz w:val="24"/>
        </w:rPr>
        <w:t>第五部分</w:t>
      </w:r>
      <w:r>
        <w:rPr>
          <w:b/>
          <w:spacing w:val="-4"/>
          <w:sz w:val="24"/>
        </w:rPr>
        <w:t xml:space="preserve"> </w:t>
      </w:r>
      <w:r>
        <w:rPr>
          <w:b/>
          <w:sz w:val="24"/>
        </w:rPr>
        <w:t>开标</w:t>
      </w:r>
      <w:r>
        <w:rPr>
          <w:b/>
          <w:spacing w:val="-1"/>
          <w:sz w:val="24"/>
        </w:rPr>
        <w:t xml:space="preserve"> </w:t>
      </w:r>
      <w:r>
        <w:rPr>
          <w:b/>
          <w:sz w:val="24"/>
        </w:rPr>
        <w:t>评标</w:t>
      </w:r>
      <w:r>
        <w:rPr>
          <w:b/>
          <w:spacing w:val="-1"/>
          <w:sz w:val="24"/>
        </w:rPr>
        <w:t xml:space="preserve"> </w:t>
      </w:r>
      <w:r>
        <w:rPr>
          <w:b/>
          <w:sz w:val="24"/>
        </w:rPr>
        <w:t>定标说</w:t>
      </w:r>
      <w:r>
        <w:rPr>
          <w:b/>
          <w:spacing w:val="-15"/>
          <w:sz w:val="24"/>
        </w:rPr>
        <w:t>明</w:t>
      </w:r>
      <w:r>
        <w:rPr>
          <w:sz w:val="24"/>
        </w:rPr>
        <w:t>第一章 开</w:t>
      </w:r>
      <w:r>
        <w:rPr>
          <w:sz w:val="24"/>
        </w:rPr>
        <w:tab/>
      </w:r>
      <w:r>
        <w:rPr>
          <w:sz w:val="24"/>
        </w:rPr>
        <w:t>标</w:t>
      </w:r>
    </w:p>
    <w:p>
      <w:pPr>
        <w:pStyle w:val="10"/>
        <w:tabs>
          <w:tab w:val="left" w:pos="2677"/>
        </w:tabs>
        <w:spacing w:line="364" w:lineRule="auto"/>
        <w:ind w:left="1357" w:right="7346"/>
      </w:pPr>
      <w:r>
        <w:t>第二章 评</w:t>
      </w:r>
      <w:r>
        <w:tab/>
      </w:r>
      <w:r>
        <w:t>标 第三章 定</w:t>
      </w:r>
      <w:r>
        <w:tab/>
      </w:r>
      <w:r>
        <w:t>标 第四章 授予合</w:t>
      </w:r>
      <w:r>
        <w:rPr>
          <w:spacing w:val="-17"/>
        </w:rPr>
        <w:t>同</w:t>
      </w:r>
    </w:p>
    <w:p>
      <w:pPr>
        <w:spacing w:before="2" w:line="364" w:lineRule="auto"/>
        <w:ind w:left="1357" w:right="5894" w:hanging="480"/>
        <w:jc w:val="left"/>
        <w:rPr>
          <w:sz w:val="24"/>
        </w:rPr>
      </w:pPr>
      <w:r>
        <w:rPr>
          <w:b/>
          <w:sz w:val="24"/>
        </w:rPr>
        <w:t>第六部分 货物需求、技术规格说明</w:t>
      </w:r>
      <w:r>
        <w:rPr>
          <w:sz w:val="24"/>
        </w:rPr>
        <w:t>第一章 技术规格及报价明细表</w:t>
      </w:r>
    </w:p>
    <w:p>
      <w:pPr>
        <w:pStyle w:val="5"/>
        <w:ind w:left="877"/>
      </w:pPr>
      <w:r>
        <w:t>第七部分 商务部分</w:t>
      </w:r>
    </w:p>
    <w:p>
      <w:pPr>
        <w:pStyle w:val="10"/>
        <w:spacing w:before="161" w:line="364" w:lineRule="auto"/>
        <w:ind w:left="1357" w:right="6626"/>
      </w:pPr>
      <w:r>
        <w:t>第一章 合同一般条款第二章 合同特殊条款第三章 付款币种及方式第四章 售后服务承诺</w:t>
      </w:r>
    </w:p>
    <w:p>
      <w:pPr>
        <w:tabs>
          <w:tab w:val="left" w:pos="2079"/>
        </w:tabs>
        <w:spacing w:before="2" w:line="364" w:lineRule="auto"/>
        <w:ind w:left="1235" w:right="6148" w:hanging="358"/>
        <w:jc w:val="left"/>
        <w:rPr>
          <w:sz w:val="24"/>
        </w:rPr>
      </w:pPr>
      <w:r>
        <w:rPr>
          <w:b/>
          <w:sz w:val="24"/>
        </w:rPr>
        <w:t>第八部分</w:t>
      </w:r>
      <w:r>
        <w:rPr>
          <w:b/>
          <w:sz w:val="24"/>
        </w:rPr>
        <w:tab/>
      </w:r>
      <w:r>
        <w:rPr>
          <w:b/>
          <w:sz w:val="24"/>
        </w:rPr>
        <w:t>投标文件的编制装订</w:t>
      </w:r>
      <w:r>
        <w:rPr>
          <w:sz w:val="24"/>
        </w:rPr>
        <w:t>一、投标文件编制和装订顺</w:t>
      </w:r>
      <w:r>
        <w:rPr>
          <w:spacing w:val="-17"/>
          <w:sz w:val="24"/>
        </w:rPr>
        <w:t>序</w:t>
      </w:r>
    </w:p>
    <w:p>
      <w:pPr>
        <w:pStyle w:val="10"/>
        <w:ind w:left="1237"/>
      </w:pPr>
      <w:r>
        <w:t>二、投标报价文件顺序及格式范本</w:t>
      </w:r>
    </w:p>
    <w:p>
      <w:pPr>
        <w:spacing w:after="0"/>
        <w:sectPr>
          <w:headerReference r:id="rId5" w:type="default"/>
          <w:footerReference r:id="rId6" w:type="default"/>
          <w:pgSz w:w="11910" w:h="16840"/>
          <w:pgMar w:top="1420" w:right="240" w:bottom="1180" w:left="1160" w:header="878" w:footer="993" w:gutter="0"/>
          <w:pgNumType w:fmt="decimal" w:start="2"/>
          <w:cols w:space="720" w:num="1"/>
        </w:sectPr>
      </w:pPr>
    </w:p>
    <w:p>
      <w:pPr>
        <w:pStyle w:val="3"/>
        <w:numPr>
          <w:ilvl w:val="0"/>
          <w:numId w:val="1"/>
        </w:numPr>
        <w:ind w:left="4180" w:leftChars="0" w:firstLine="0" w:firstLineChars="0"/>
        <w:jc w:val="both"/>
      </w:pPr>
      <w:r>
        <w:t>招标公告</w:t>
      </w:r>
    </w:p>
    <w:p>
      <w:pPr>
        <w:spacing w:line="240" w:lineRule="auto"/>
        <w:ind w:left="0" w:leftChars="0" w:firstLine="0" w:firstLineChars="0"/>
        <w:jc w:val="center"/>
        <w:rPr>
          <w:rFonts w:hint="eastAsia" w:ascii="宋体" w:hAnsi="宋体" w:cs="宋体"/>
          <w:b/>
          <w:color w:val="auto"/>
          <w:sz w:val="32"/>
          <w:szCs w:val="31"/>
          <w:lang w:val="en-US" w:eastAsia="zh-CN"/>
        </w:rPr>
      </w:pPr>
    </w:p>
    <w:p>
      <w:pPr>
        <w:spacing w:line="240" w:lineRule="auto"/>
        <w:ind w:left="0" w:leftChars="0" w:firstLine="0" w:firstLineChars="0"/>
        <w:jc w:val="center"/>
        <w:rPr>
          <w:rFonts w:hint="eastAsia" w:ascii="宋体" w:hAnsi="宋体" w:cs="宋体"/>
          <w:b/>
          <w:color w:val="auto"/>
          <w:sz w:val="32"/>
          <w:szCs w:val="31"/>
          <w:lang w:val="en-US" w:eastAsia="zh-CN"/>
        </w:rPr>
      </w:pPr>
      <w:r>
        <w:rPr>
          <w:rFonts w:hint="eastAsia" w:ascii="宋体" w:hAnsi="宋体" w:cs="宋体"/>
          <w:b/>
          <w:color w:val="auto"/>
          <w:sz w:val="32"/>
          <w:szCs w:val="31"/>
          <w:lang w:val="en-US" w:eastAsia="zh-CN"/>
        </w:rPr>
        <w:t>和硕县消防救援能力提升基础设施建设及车辆装备购置项目</w:t>
      </w:r>
    </w:p>
    <w:p>
      <w:pPr>
        <w:spacing w:line="240" w:lineRule="auto"/>
        <w:ind w:left="0" w:leftChars="0" w:firstLine="0" w:firstLineChars="0"/>
        <w:jc w:val="center"/>
        <w:rPr>
          <w:rFonts w:hint="eastAsia" w:ascii="宋体" w:hAnsi="宋体" w:cs="宋体"/>
          <w:b/>
          <w:color w:val="auto"/>
          <w:kern w:val="0"/>
          <w:sz w:val="32"/>
          <w:szCs w:val="31"/>
          <w:lang w:val="en-US" w:eastAsia="zh-CN" w:bidi="ar-SA"/>
        </w:rPr>
      </w:pPr>
      <w:r>
        <w:rPr>
          <w:rFonts w:hint="eastAsia" w:ascii="宋体" w:hAnsi="宋体" w:cs="宋体"/>
          <w:b/>
          <w:color w:val="auto"/>
          <w:kern w:val="0"/>
          <w:sz w:val="32"/>
          <w:szCs w:val="31"/>
          <w:lang w:val="en-US" w:eastAsia="zh-CN" w:bidi="ar-SA"/>
        </w:rPr>
        <w:t>招标采购公告</w:t>
      </w:r>
    </w:p>
    <w:p>
      <w:pPr>
        <w:pStyle w:val="17"/>
        <w:spacing w:after="0"/>
        <w:ind w:left="0" w:leftChars="0" w:firstLine="0" w:firstLineChars="0"/>
      </w:pPr>
    </w:p>
    <w:p>
      <w:pPr>
        <w:ind w:firstLine="2409" w:firstLineChars="1000"/>
        <w:rPr>
          <w:rFonts w:hint="default" w:ascii="宋体" w:hAnsi="宋体" w:eastAsia="宋体" w:cs="宋体"/>
          <w:b/>
          <w:bCs/>
          <w:color w:val="auto"/>
          <w:kern w:val="0"/>
          <w:sz w:val="24"/>
          <w:szCs w:val="24"/>
          <w:lang w:val="en-US" w:eastAsia="zh-CN" w:bidi="zh-CN"/>
        </w:rPr>
      </w:pPr>
      <w:r>
        <w:rPr>
          <w:rFonts w:hint="eastAsia" w:ascii="宋体" w:hAnsi="宋体" w:eastAsia="宋体" w:cs="宋体"/>
          <w:b/>
          <w:bCs/>
          <w:color w:val="auto"/>
          <w:kern w:val="0"/>
          <w:sz w:val="24"/>
          <w:szCs w:val="24"/>
          <w:lang w:val="zh-CN" w:eastAsia="zh-CN" w:bidi="zh-CN"/>
        </w:rPr>
        <w:t>招标文件编号：ZJFZFCG202</w:t>
      </w:r>
      <w:r>
        <w:rPr>
          <w:rFonts w:hint="eastAsia" w:ascii="宋体" w:hAnsi="宋体" w:eastAsia="宋体" w:cs="宋体"/>
          <w:b/>
          <w:bCs/>
          <w:color w:val="auto"/>
          <w:kern w:val="0"/>
          <w:sz w:val="24"/>
          <w:szCs w:val="24"/>
          <w:lang w:val="en-US" w:eastAsia="zh-CN" w:bidi="zh-CN"/>
        </w:rPr>
        <w:t>2</w:t>
      </w:r>
      <w:r>
        <w:rPr>
          <w:rFonts w:hint="eastAsia" w:ascii="宋体" w:hAnsi="宋体" w:eastAsia="宋体" w:cs="宋体"/>
          <w:b/>
          <w:bCs/>
          <w:color w:val="auto"/>
          <w:kern w:val="0"/>
          <w:sz w:val="24"/>
          <w:szCs w:val="24"/>
          <w:lang w:val="zh-CN" w:eastAsia="zh-CN" w:bidi="zh-CN"/>
        </w:rPr>
        <w:t>-00</w:t>
      </w:r>
      <w:r>
        <w:rPr>
          <w:rFonts w:hint="eastAsia" w:ascii="宋体" w:hAnsi="宋体" w:eastAsia="宋体" w:cs="宋体"/>
          <w:b/>
          <w:bCs/>
          <w:color w:val="auto"/>
          <w:kern w:val="0"/>
          <w:sz w:val="24"/>
          <w:szCs w:val="24"/>
          <w:lang w:val="en-US" w:eastAsia="zh-CN" w:bidi="zh-CN"/>
        </w:rPr>
        <w:t>2</w:t>
      </w:r>
      <w:r>
        <w:rPr>
          <w:rFonts w:hint="eastAsia" w:cs="宋体"/>
          <w:b/>
          <w:bCs/>
          <w:color w:val="auto"/>
          <w:kern w:val="0"/>
          <w:sz w:val="24"/>
          <w:szCs w:val="24"/>
          <w:lang w:val="en-US" w:eastAsia="zh-CN" w:bidi="zh-CN"/>
        </w:rPr>
        <w:t>-003</w:t>
      </w:r>
      <w:r>
        <w:rPr>
          <w:rFonts w:hint="default" w:cs="宋体"/>
          <w:b/>
          <w:bCs/>
          <w:color w:val="auto"/>
          <w:kern w:val="0"/>
          <w:sz w:val="24"/>
          <w:szCs w:val="24"/>
          <w:lang w:val="en-US" w:eastAsia="zh-CN" w:bidi="zh-CN"/>
        </w:rPr>
        <w:t>-004-005</w:t>
      </w:r>
      <w:r>
        <w:rPr>
          <w:rFonts w:hint="eastAsia" w:cs="宋体"/>
          <w:b/>
          <w:bCs/>
          <w:color w:val="auto"/>
          <w:kern w:val="0"/>
          <w:sz w:val="24"/>
          <w:szCs w:val="24"/>
          <w:lang w:val="en-US" w:eastAsia="zh-CN" w:bidi="zh-CN"/>
        </w:rPr>
        <w:t>号</w:t>
      </w:r>
    </w:p>
    <w:p>
      <w:pPr>
        <w:ind w:firstLine="1988" w:firstLineChars="900"/>
        <w:rPr>
          <w:rFonts w:ascii="宋体" w:hAnsi="宋体" w:eastAsia="宋体" w:cs="宋体"/>
          <w:b/>
          <w:bCs/>
        </w:rPr>
      </w:pPr>
    </w:p>
    <w:p>
      <w:pPr>
        <w:pStyle w:val="10"/>
        <w:spacing w:before="160" w:line="360" w:lineRule="auto"/>
        <w:ind w:left="0" w:leftChars="0" w:firstLine="0" w:firstLineChars="0"/>
        <w:jc w:val="both"/>
      </w:pPr>
      <w:r>
        <w:t>项目概况</w:t>
      </w:r>
    </w:p>
    <w:p>
      <w:pPr>
        <w:pStyle w:val="10"/>
        <w:spacing w:before="160" w:line="360" w:lineRule="auto"/>
        <w:ind w:left="0" w:leftChars="0" w:firstLine="0" w:firstLineChars="0"/>
        <w:jc w:val="both"/>
      </w:pPr>
      <w:r>
        <w:rPr>
          <w:rFonts w:hint="eastAsia"/>
        </w:rPr>
        <w:t>和硕县消防救援能力提升基础设施建设及车辆装备购置项目的潜在投标人应在政采云平台获取招标文件获取招标文件，并于2022年</w:t>
      </w:r>
      <w:r>
        <w:rPr>
          <w:rFonts w:hint="eastAsia"/>
          <w:lang w:val="en-US" w:eastAsia="zh-CN"/>
        </w:rPr>
        <w:t>07</w:t>
      </w:r>
      <w:r>
        <w:rPr>
          <w:rFonts w:hint="eastAsia"/>
        </w:rPr>
        <w:t>月</w:t>
      </w:r>
      <w:r>
        <w:rPr>
          <w:rFonts w:hint="eastAsia"/>
          <w:lang w:val="en-US" w:eastAsia="zh-CN"/>
        </w:rPr>
        <w:t>18</w:t>
      </w:r>
      <w:r>
        <w:rPr>
          <w:rFonts w:hint="eastAsia"/>
        </w:rPr>
        <w:t>日 1</w:t>
      </w:r>
      <w:r>
        <w:rPr>
          <w:rFonts w:hint="eastAsia"/>
          <w:lang w:val="en-US" w:eastAsia="zh-CN"/>
        </w:rPr>
        <w:t>0</w:t>
      </w:r>
      <w:r>
        <w:rPr>
          <w:rFonts w:hint="eastAsia"/>
        </w:rPr>
        <w:t>:</w:t>
      </w:r>
      <w:r>
        <w:rPr>
          <w:rFonts w:hint="eastAsia"/>
          <w:lang w:val="en-US" w:eastAsia="zh-CN"/>
        </w:rPr>
        <w:t>30</w:t>
      </w:r>
      <w:r>
        <w:rPr>
          <w:rFonts w:hint="eastAsia"/>
        </w:rPr>
        <w:t>（北京时间）前递交投标文件。</w:t>
      </w:r>
    </w:p>
    <w:p>
      <w:pPr>
        <w:pStyle w:val="10"/>
        <w:spacing w:before="160" w:line="360" w:lineRule="auto"/>
        <w:ind w:left="0" w:leftChars="0" w:firstLine="0" w:firstLineChars="0"/>
        <w:jc w:val="both"/>
      </w:pPr>
      <w:r>
        <w:t>一、项目基本情况</w:t>
      </w:r>
    </w:p>
    <w:p>
      <w:pPr>
        <w:pStyle w:val="10"/>
        <w:spacing w:before="160" w:line="360" w:lineRule="auto"/>
        <w:ind w:left="0" w:leftChars="0" w:firstLine="0" w:firstLineChars="0"/>
        <w:jc w:val="both"/>
        <w:rPr>
          <w:rFonts w:hint="eastAsia"/>
        </w:rPr>
      </w:pPr>
      <w:r>
        <w:rPr>
          <w:rFonts w:hint="eastAsia"/>
        </w:rPr>
        <w:t>项目编号：</w:t>
      </w:r>
    </w:p>
    <w:p>
      <w:pPr>
        <w:pStyle w:val="10"/>
        <w:spacing w:before="160" w:line="360" w:lineRule="auto"/>
        <w:ind w:left="0" w:leftChars="0" w:firstLine="0" w:firstLineChars="0"/>
        <w:jc w:val="both"/>
        <w:rPr>
          <w:rFonts w:hint="eastAsia"/>
        </w:rPr>
      </w:pPr>
      <w:r>
        <w:rPr>
          <w:rFonts w:hint="eastAsia"/>
        </w:rPr>
        <w:t>项目名称：和硕县消防救援能力提升基础设施建设及车辆装备购置项目</w:t>
      </w:r>
    </w:p>
    <w:p>
      <w:pPr>
        <w:pStyle w:val="10"/>
        <w:spacing w:before="160" w:line="360" w:lineRule="auto"/>
        <w:ind w:left="0" w:leftChars="0" w:firstLine="0" w:firstLineChars="0"/>
        <w:jc w:val="both"/>
      </w:pPr>
      <w:r>
        <w:rPr>
          <w:rFonts w:hint="eastAsia"/>
        </w:rPr>
        <w:t>采购方式：公开招标</w:t>
      </w:r>
    </w:p>
    <w:p>
      <w:pPr>
        <w:pStyle w:val="10"/>
        <w:spacing w:before="160" w:line="360" w:lineRule="auto"/>
        <w:ind w:left="0" w:leftChars="0" w:firstLine="0" w:firstLineChars="0"/>
        <w:jc w:val="both"/>
        <w:rPr>
          <w:rFonts w:hint="default"/>
          <w:color w:val="auto"/>
          <w:lang w:val="en-US" w:eastAsia="zh-CN"/>
        </w:rPr>
      </w:pPr>
      <w:r>
        <w:rPr>
          <w:rFonts w:hint="eastAsia"/>
        </w:rPr>
        <w:t>预算金额（元）：</w:t>
      </w:r>
      <w:r>
        <w:rPr>
          <w:rFonts w:hint="eastAsia"/>
          <w:color w:val="auto"/>
          <w:lang w:val="en-US" w:eastAsia="zh-CN"/>
        </w:rPr>
        <w:t>10135900元</w:t>
      </w:r>
    </w:p>
    <w:p>
      <w:pPr>
        <w:pStyle w:val="10"/>
        <w:spacing w:before="160" w:line="360" w:lineRule="auto"/>
        <w:ind w:left="0" w:leftChars="0" w:firstLine="0" w:firstLineChars="0"/>
        <w:jc w:val="both"/>
        <w:rPr>
          <w:rFonts w:hint="default"/>
          <w:color w:val="auto"/>
          <w:lang w:val="en-US" w:eastAsia="zh-CN"/>
        </w:rPr>
      </w:pPr>
      <w:r>
        <w:rPr>
          <w:rFonts w:hint="eastAsia"/>
          <w:color w:val="auto"/>
        </w:rPr>
        <w:t>最高限价（元）：</w:t>
      </w:r>
      <w:r>
        <w:rPr>
          <w:rFonts w:hint="eastAsia"/>
          <w:color w:val="auto"/>
          <w:lang w:val="en-US" w:eastAsia="zh-CN"/>
        </w:rPr>
        <w:t>第一包：</w:t>
      </w:r>
      <w:r>
        <w:rPr>
          <w:rFonts w:hint="eastAsia"/>
          <w:b/>
          <w:bCs/>
          <w:color w:val="auto"/>
          <w:lang w:val="en-US" w:eastAsia="zh-CN"/>
        </w:rPr>
        <w:t xml:space="preserve"> </w:t>
      </w:r>
      <w:r>
        <w:rPr>
          <w:rFonts w:hint="default"/>
          <w:b w:val="0"/>
          <w:bCs w:val="0"/>
          <w:color w:val="auto"/>
          <w:lang w:val="en-US" w:eastAsia="zh-CN"/>
        </w:rPr>
        <w:t>6000</w:t>
      </w:r>
      <w:r>
        <w:rPr>
          <w:rFonts w:hint="eastAsia"/>
          <w:b w:val="0"/>
          <w:bCs w:val="0"/>
          <w:color w:val="auto"/>
          <w:lang w:val="en-US" w:eastAsia="zh-CN"/>
        </w:rPr>
        <w:t>000</w:t>
      </w:r>
      <w:r>
        <w:rPr>
          <w:rFonts w:hint="eastAsia"/>
          <w:color w:val="auto"/>
          <w:lang w:val="en-US" w:eastAsia="zh-CN"/>
        </w:rPr>
        <w:t>元；第二包：</w:t>
      </w:r>
      <w:r>
        <w:rPr>
          <w:rFonts w:hint="default"/>
          <w:color w:val="auto"/>
          <w:lang w:val="en-US" w:eastAsia="zh-CN"/>
        </w:rPr>
        <w:t>1622000</w:t>
      </w:r>
      <w:r>
        <w:rPr>
          <w:rFonts w:hint="eastAsia"/>
          <w:color w:val="auto"/>
          <w:lang w:val="en-US" w:eastAsia="zh-CN"/>
        </w:rPr>
        <w:t>元；第三包：1988100元；第四包：</w:t>
      </w:r>
      <w:r>
        <w:rPr>
          <w:rFonts w:hint="default"/>
          <w:color w:val="auto"/>
          <w:lang w:val="en-US" w:eastAsia="zh-CN"/>
        </w:rPr>
        <w:t>525800</w:t>
      </w:r>
      <w:r>
        <w:rPr>
          <w:rFonts w:hint="eastAsia"/>
          <w:color w:val="auto"/>
          <w:lang w:val="en-US" w:eastAsia="zh-CN"/>
        </w:rPr>
        <w:t>元</w:t>
      </w:r>
    </w:p>
    <w:p>
      <w:pPr>
        <w:pStyle w:val="10"/>
        <w:spacing w:before="160" w:line="360" w:lineRule="auto"/>
        <w:ind w:left="0" w:leftChars="0" w:firstLine="0" w:firstLineChars="0"/>
        <w:jc w:val="both"/>
        <w:rPr>
          <w:rFonts w:hint="eastAsia"/>
        </w:rPr>
      </w:pPr>
      <w:r>
        <w:rPr>
          <w:rFonts w:hint="eastAsia"/>
        </w:rPr>
        <w:t>采购需求：</w:t>
      </w:r>
    </w:p>
    <w:p>
      <w:pPr>
        <w:pStyle w:val="10"/>
        <w:spacing w:before="160" w:line="360" w:lineRule="auto"/>
        <w:ind w:left="0" w:leftChars="0" w:firstLine="0" w:firstLineChars="0"/>
        <w:jc w:val="both"/>
        <w:rPr>
          <w:rFonts w:hint="eastAsia"/>
          <w:lang w:val="en-US" w:eastAsia="zh-CN"/>
        </w:rPr>
      </w:pPr>
      <w:r>
        <w:rPr>
          <w:rFonts w:hint="eastAsia"/>
          <w:lang w:eastAsia="zh-CN"/>
        </w:rPr>
        <w:t>标项</w:t>
      </w:r>
      <w:r>
        <w:rPr>
          <w:rFonts w:hint="eastAsia"/>
          <w:lang w:val="en-US" w:eastAsia="zh-CN"/>
        </w:rPr>
        <w:t>一</w:t>
      </w:r>
    </w:p>
    <w:p>
      <w:pPr>
        <w:pStyle w:val="10"/>
        <w:spacing w:before="160" w:line="360" w:lineRule="auto"/>
        <w:ind w:left="0" w:leftChars="0" w:firstLine="0" w:firstLineChars="0"/>
        <w:jc w:val="both"/>
        <w:rPr>
          <w:rFonts w:hint="eastAsia"/>
          <w:lang w:val="en-US" w:eastAsia="zh-CN"/>
        </w:rPr>
      </w:pPr>
      <w:r>
        <w:rPr>
          <w:rFonts w:hint="eastAsia"/>
        </w:rPr>
        <w:t>标项名称</w:t>
      </w:r>
      <w:r>
        <w:rPr>
          <w:rFonts w:hint="eastAsia"/>
          <w:lang w:val="en-US" w:eastAsia="zh-CN"/>
        </w:rPr>
        <w:t>:和硕县消防救援能力提升基础设施建设及车辆装备购置项目第一包</w:t>
      </w:r>
    </w:p>
    <w:p>
      <w:pPr>
        <w:pStyle w:val="10"/>
        <w:spacing w:before="160" w:line="360" w:lineRule="auto"/>
        <w:ind w:left="0" w:leftChars="0" w:firstLine="0" w:firstLineChars="0"/>
        <w:jc w:val="both"/>
        <w:rPr>
          <w:rFonts w:hint="default"/>
          <w:lang w:val="en-US" w:eastAsia="zh-CN"/>
        </w:rPr>
      </w:pPr>
      <w:r>
        <w:rPr>
          <w:rFonts w:hint="eastAsia"/>
          <w:lang w:val="en-US" w:eastAsia="zh-CN"/>
        </w:rPr>
        <w:t xml:space="preserve"> </w:t>
      </w:r>
      <w:r>
        <w:rPr>
          <w:rFonts w:hint="eastAsia"/>
        </w:rPr>
        <w:t>数量:1</w:t>
      </w:r>
      <w:r>
        <w:rPr>
          <w:rFonts w:hint="eastAsia"/>
        </w:rPr>
        <w:br w:type="textWrapping"/>
      </w:r>
      <w:r>
        <w:rPr>
          <w:rFonts w:hint="eastAsia"/>
          <w:b/>
          <w:bCs/>
        </w:rPr>
        <w:t>预算金额（元）:</w:t>
      </w:r>
      <w:r>
        <w:rPr>
          <w:rFonts w:hint="eastAsia"/>
          <w:b/>
          <w:bCs/>
          <w:color w:val="auto"/>
          <w:lang w:val="en-US" w:eastAsia="zh-CN"/>
        </w:rPr>
        <w:t xml:space="preserve"> </w:t>
      </w:r>
      <w:r>
        <w:rPr>
          <w:rFonts w:hint="default"/>
          <w:b/>
          <w:bCs/>
          <w:color w:val="auto"/>
          <w:lang w:val="en-US" w:eastAsia="zh-CN"/>
        </w:rPr>
        <w:t>60000</w:t>
      </w:r>
      <w:r>
        <w:rPr>
          <w:rFonts w:hint="eastAsia"/>
          <w:b/>
          <w:bCs/>
          <w:color w:val="auto"/>
          <w:lang w:val="en-US" w:eastAsia="zh-CN"/>
        </w:rPr>
        <w:t>00元；</w:t>
      </w:r>
      <w:r>
        <w:rPr>
          <w:rFonts w:hint="eastAsia"/>
          <w:color w:val="auto"/>
        </w:rPr>
        <w:br w:type="textWrapping"/>
      </w:r>
      <w:r>
        <w:rPr>
          <w:rFonts w:hint="eastAsia"/>
        </w:rPr>
        <w:t> </w:t>
      </w:r>
      <w:r>
        <w:rPr>
          <w:rFonts w:hint="eastAsia"/>
          <w:lang w:val="en-US" w:eastAsia="zh-CN"/>
        </w:rPr>
        <w:t xml:space="preserve"> 简要规格描述或项目基本概况介绍、用途：压缩空气泡沫车1辆、举高喷射消防车1辆、登高平台类消防车1辆，</w:t>
      </w:r>
      <w:r>
        <w:rPr>
          <w:rFonts w:hint="eastAsia"/>
          <w:color w:val="auto"/>
          <w:lang w:val="en-US" w:eastAsia="zh-CN"/>
        </w:rPr>
        <w:t>详细内容详见清单</w:t>
      </w:r>
      <w:r>
        <w:rPr>
          <w:rFonts w:hint="eastAsia"/>
          <w:lang w:val="en-US" w:eastAsia="zh-CN"/>
        </w:rPr>
        <w:t>；</w:t>
      </w:r>
    </w:p>
    <w:p>
      <w:pPr>
        <w:pStyle w:val="10"/>
        <w:spacing w:before="160" w:line="360" w:lineRule="auto"/>
        <w:ind w:left="0" w:leftChars="0" w:firstLine="0" w:firstLineChars="0"/>
        <w:jc w:val="both"/>
        <w:rPr>
          <w:rFonts w:hint="eastAsia"/>
          <w:lang w:eastAsia="zh-CN"/>
        </w:rPr>
      </w:pPr>
      <w:r>
        <w:rPr>
          <w:rFonts w:hint="eastAsia"/>
          <w:lang w:eastAsia="zh-CN"/>
        </w:rPr>
        <w:t>标项二</w:t>
      </w:r>
    </w:p>
    <w:p>
      <w:pPr>
        <w:pStyle w:val="10"/>
        <w:spacing w:before="160" w:line="360" w:lineRule="auto"/>
        <w:ind w:left="0" w:leftChars="0" w:firstLine="0" w:firstLineChars="0"/>
        <w:jc w:val="both"/>
        <w:rPr>
          <w:rFonts w:hint="eastAsia"/>
          <w:color w:val="auto"/>
        </w:rPr>
      </w:pPr>
      <w:r>
        <w:rPr>
          <w:rFonts w:hint="eastAsia"/>
        </w:rPr>
        <w:t>标项名称</w:t>
      </w:r>
      <w:r>
        <w:rPr>
          <w:rFonts w:hint="eastAsia"/>
          <w:lang w:val="en-US" w:eastAsia="zh-CN"/>
        </w:rPr>
        <w:t>:和硕县消防救援能力提升基础设施建设及车辆装备购置项目第二包</w:t>
      </w:r>
      <w:r>
        <w:rPr>
          <w:rFonts w:hint="eastAsia"/>
          <w:lang w:val="en-US" w:eastAsia="zh-CN"/>
        </w:rPr>
        <w:br w:type="textWrapping"/>
      </w:r>
      <w:r>
        <w:rPr>
          <w:rFonts w:hint="eastAsia"/>
          <w:color w:val="auto"/>
        </w:rPr>
        <w:t> 数量:1</w:t>
      </w:r>
      <w:r>
        <w:rPr>
          <w:rFonts w:hint="eastAsia"/>
          <w:color w:val="auto"/>
        </w:rPr>
        <w:br w:type="textWrapping"/>
      </w:r>
      <w:r>
        <w:rPr>
          <w:rFonts w:hint="eastAsia"/>
          <w:b/>
          <w:bCs/>
          <w:color w:val="auto"/>
        </w:rPr>
        <w:t>预算金额（元）:</w:t>
      </w:r>
      <w:r>
        <w:rPr>
          <w:rFonts w:hint="default"/>
          <w:b/>
          <w:bCs/>
          <w:color w:val="auto"/>
          <w:lang w:val="en-US"/>
        </w:rPr>
        <w:t>1622000</w:t>
      </w:r>
      <w:r>
        <w:rPr>
          <w:rFonts w:hint="eastAsia"/>
          <w:b/>
          <w:bCs/>
          <w:color w:val="auto"/>
          <w:lang w:val="en-US" w:eastAsia="zh-CN"/>
        </w:rPr>
        <w:t>元；</w:t>
      </w:r>
    </w:p>
    <w:p>
      <w:pPr>
        <w:pStyle w:val="10"/>
        <w:spacing w:before="160" w:line="360" w:lineRule="auto"/>
        <w:ind w:left="0" w:leftChars="0" w:firstLine="0" w:firstLineChars="0"/>
        <w:jc w:val="both"/>
        <w:rPr>
          <w:rFonts w:hint="eastAsia"/>
          <w:color w:val="auto"/>
          <w:lang w:val="en-US" w:eastAsia="zh-CN"/>
        </w:rPr>
      </w:pPr>
      <w:r>
        <w:rPr>
          <w:rFonts w:hint="eastAsia"/>
          <w:color w:val="auto"/>
          <w:lang w:val="en-US" w:eastAsia="zh-CN"/>
        </w:rPr>
        <w:t xml:space="preserve">   简要规格描述或项目基本概况介绍、用途：</w:t>
      </w:r>
      <w:r>
        <w:rPr>
          <w:rFonts w:hint="default"/>
          <w:color w:val="auto"/>
          <w:lang w:val="en-US"/>
        </w:rPr>
        <w:t>消防艇1辆、水上无线遥控智能动力救生圈1辆，</w:t>
      </w:r>
      <w:r>
        <w:rPr>
          <w:rFonts w:hint="eastAsia"/>
          <w:color w:val="auto"/>
          <w:lang w:val="en-US" w:eastAsia="zh-CN"/>
        </w:rPr>
        <w:t>详细内容详见清单；</w:t>
      </w:r>
    </w:p>
    <w:p>
      <w:pPr>
        <w:pStyle w:val="10"/>
        <w:spacing w:before="160" w:line="360" w:lineRule="auto"/>
        <w:ind w:left="0" w:leftChars="0" w:firstLine="0" w:firstLineChars="0"/>
        <w:jc w:val="both"/>
        <w:rPr>
          <w:rFonts w:hint="eastAsia"/>
          <w:color w:val="auto"/>
          <w:lang w:val="en-US" w:eastAsia="zh-CN"/>
        </w:rPr>
      </w:pPr>
      <w:r>
        <w:rPr>
          <w:rFonts w:hint="eastAsia"/>
          <w:color w:val="auto"/>
          <w:lang w:val="en-US" w:eastAsia="zh-CN"/>
        </w:rPr>
        <w:t>标项三</w:t>
      </w:r>
    </w:p>
    <w:p>
      <w:pPr>
        <w:pStyle w:val="10"/>
        <w:spacing w:before="160" w:line="360" w:lineRule="auto"/>
        <w:ind w:left="0" w:leftChars="0" w:firstLine="0" w:firstLineChars="0"/>
        <w:jc w:val="both"/>
        <w:rPr>
          <w:rFonts w:hint="eastAsia"/>
          <w:color w:val="auto"/>
        </w:rPr>
      </w:pPr>
      <w:r>
        <w:rPr>
          <w:rFonts w:hint="eastAsia"/>
          <w:color w:val="auto"/>
          <w:lang w:val="en-US" w:eastAsia="zh-CN"/>
        </w:rPr>
        <w:t>标项名称:和硕县消防救援能力提升基础设施建设及车辆装备购置项目第三包</w:t>
      </w:r>
    </w:p>
    <w:p>
      <w:pPr>
        <w:pStyle w:val="10"/>
        <w:spacing w:before="160" w:line="360" w:lineRule="auto"/>
        <w:ind w:left="0" w:leftChars="0" w:firstLine="0" w:firstLineChars="0"/>
        <w:jc w:val="both"/>
        <w:rPr>
          <w:rFonts w:hint="eastAsia"/>
          <w:color w:val="auto"/>
        </w:rPr>
      </w:pPr>
      <w:r>
        <w:rPr>
          <w:rFonts w:hint="eastAsia"/>
          <w:color w:val="auto"/>
          <w:lang w:val="en-US" w:eastAsia="zh-CN"/>
        </w:rPr>
        <w:t>数量：</w:t>
      </w:r>
      <w:r>
        <w:rPr>
          <w:rFonts w:hint="default"/>
          <w:color w:val="auto"/>
          <w:lang w:val="en-US" w:eastAsia="zh-CN"/>
        </w:rPr>
        <w:t>1</w:t>
      </w:r>
    </w:p>
    <w:p>
      <w:pPr>
        <w:pStyle w:val="10"/>
        <w:spacing w:before="160" w:line="360" w:lineRule="auto"/>
        <w:ind w:left="0" w:leftChars="0" w:firstLine="0" w:firstLineChars="0"/>
        <w:jc w:val="both"/>
        <w:rPr>
          <w:rFonts w:hint="default" w:eastAsia="宋体"/>
          <w:color w:val="auto"/>
          <w:lang w:val="en-US" w:eastAsia="zh-CN"/>
        </w:rPr>
      </w:pPr>
      <w:r>
        <w:rPr>
          <w:rFonts w:hint="default"/>
          <w:b/>
          <w:bCs/>
          <w:color w:val="auto"/>
          <w:lang w:val="en-US"/>
        </w:rPr>
        <w:t>预算金额（元）:1988100元；</w:t>
      </w:r>
      <w:r>
        <w:rPr>
          <w:rFonts w:hint="eastAsia"/>
          <w:b/>
          <w:bCs/>
          <w:color w:val="auto"/>
        </w:rPr>
        <w:br w:type="textWrapping"/>
      </w:r>
      <w:r>
        <w:rPr>
          <w:rFonts w:hint="eastAsia"/>
          <w:color w:val="auto"/>
        </w:rPr>
        <w:t xml:space="preserve">  </w:t>
      </w:r>
      <w:r>
        <w:rPr>
          <w:rFonts w:hint="eastAsia"/>
          <w:color w:val="auto"/>
          <w:lang w:val="en-US" w:eastAsia="zh-CN"/>
        </w:rPr>
        <w:t xml:space="preserve"> </w:t>
      </w:r>
      <w:r>
        <w:rPr>
          <w:rFonts w:hint="eastAsia"/>
          <w:color w:val="auto"/>
        </w:rPr>
        <w:t> 简要规格描述或项目基本概况介绍、用途：破拆工具组</w:t>
      </w:r>
      <w:r>
        <w:rPr>
          <w:rFonts w:hint="eastAsia"/>
          <w:color w:val="auto"/>
          <w:lang w:eastAsia="zh-CN"/>
        </w:rPr>
        <w:t>、</w:t>
      </w:r>
      <w:r>
        <w:rPr>
          <w:rFonts w:hint="eastAsia"/>
          <w:color w:val="auto"/>
        </w:rPr>
        <w:t>单兵救援装备单人配置</w:t>
      </w:r>
      <w:r>
        <w:rPr>
          <w:rFonts w:hint="eastAsia"/>
          <w:color w:val="auto"/>
          <w:lang w:eastAsia="zh-CN"/>
        </w:rPr>
        <w:t>、单兵救援装备团队配置，</w:t>
      </w:r>
      <w:r>
        <w:rPr>
          <w:rFonts w:hint="eastAsia"/>
          <w:color w:val="auto"/>
          <w:highlight w:val="none"/>
          <w:u w:val="none"/>
          <w:lang w:eastAsia="zh-CN"/>
        </w:rPr>
        <w:t xml:space="preserve"> 危化品攻坚组器材</w:t>
      </w:r>
      <w:r>
        <w:rPr>
          <w:rFonts w:hint="eastAsia"/>
          <w:color w:val="auto"/>
          <w:highlight w:val="none"/>
          <w:u w:val="none"/>
          <w:lang w:val="en-US" w:eastAsia="zh-CN"/>
        </w:rPr>
        <w:t>等内容</w:t>
      </w:r>
      <w:r>
        <w:rPr>
          <w:rFonts w:hint="eastAsia"/>
          <w:color w:val="auto"/>
          <w:highlight w:val="none"/>
          <w:u w:val="none"/>
          <w:lang w:eastAsia="zh-CN"/>
        </w:rPr>
        <w:t>；</w:t>
      </w:r>
      <w:r>
        <w:rPr>
          <w:rFonts w:hint="eastAsia"/>
          <w:color w:val="auto"/>
          <w:lang w:val="en-US" w:eastAsia="zh-CN"/>
        </w:rPr>
        <w:t>详细内容祥见清单；</w:t>
      </w:r>
    </w:p>
    <w:p>
      <w:pPr>
        <w:pStyle w:val="11"/>
        <w:numPr>
          <w:ilvl w:val="0"/>
          <w:numId w:val="0"/>
        </w:numPr>
        <w:spacing w:before="160" w:line="360" w:lineRule="auto"/>
        <w:ind w:left="0" w:leftChars="0" w:firstLine="0" w:firstLineChars="0"/>
        <w:jc w:val="both"/>
        <w:rPr>
          <w:rFonts w:hint="default" w:eastAsia="宋体"/>
          <w:color w:val="auto"/>
          <w:lang w:val="en-US" w:eastAsia="zh-CN"/>
        </w:rPr>
      </w:pPr>
      <w:r>
        <w:rPr>
          <w:rFonts w:hint="default" w:eastAsia="宋体"/>
          <w:color w:val="auto"/>
          <w:lang w:val="en-US" w:eastAsia="zh-CN"/>
        </w:rPr>
        <w:t>标项</w:t>
      </w:r>
      <w:r>
        <w:rPr>
          <w:rFonts w:hint="eastAsia" w:eastAsia="宋体"/>
          <w:color w:val="auto"/>
          <w:lang w:val="en-US" w:eastAsia="zh-CN"/>
        </w:rPr>
        <w:t>四</w:t>
      </w:r>
    </w:p>
    <w:p>
      <w:pPr>
        <w:pStyle w:val="11"/>
        <w:numPr>
          <w:ilvl w:val="0"/>
          <w:numId w:val="0"/>
        </w:numPr>
        <w:spacing w:before="160" w:line="360" w:lineRule="auto"/>
        <w:ind w:left="0" w:leftChars="0" w:firstLine="0" w:firstLineChars="0"/>
        <w:jc w:val="both"/>
        <w:rPr>
          <w:rFonts w:hint="default" w:ascii="宋体" w:hAnsi="宋体" w:eastAsia="宋体" w:cs="宋体"/>
          <w:color w:val="auto"/>
          <w:sz w:val="24"/>
          <w:szCs w:val="24"/>
          <w:lang w:val="en-US" w:eastAsia="zh-CN" w:bidi="zh-CN"/>
        </w:rPr>
      </w:pPr>
      <w:r>
        <w:rPr>
          <w:rFonts w:hint="default" w:ascii="宋体" w:hAnsi="宋体" w:eastAsia="宋体" w:cs="宋体"/>
          <w:color w:val="auto"/>
          <w:sz w:val="24"/>
          <w:szCs w:val="24"/>
          <w:lang w:val="en-US" w:eastAsia="zh-CN" w:bidi="zh-CN"/>
        </w:rPr>
        <w:t>标项名称:和硕县消防救援能力提升基础设施建设及车辆装备购置项目第</w:t>
      </w:r>
      <w:r>
        <w:rPr>
          <w:rFonts w:hint="eastAsia" w:ascii="宋体" w:hAnsi="宋体" w:eastAsia="宋体" w:cs="宋体"/>
          <w:color w:val="auto"/>
          <w:sz w:val="24"/>
          <w:szCs w:val="24"/>
          <w:lang w:val="en-US" w:eastAsia="zh-CN" w:bidi="zh-CN"/>
        </w:rPr>
        <w:t>四</w:t>
      </w:r>
      <w:r>
        <w:rPr>
          <w:rFonts w:hint="default" w:ascii="宋体" w:hAnsi="宋体" w:eastAsia="宋体" w:cs="宋体"/>
          <w:color w:val="auto"/>
          <w:sz w:val="24"/>
          <w:szCs w:val="24"/>
          <w:lang w:val="en-US" w:eastAsia="zh-CN" w:bidi="zh-CN"/>
        </w:rPr>
        <w:t>包</w:t>
      </w:r>
    </w:p>
    <w:p>
      <w:pPr>
        <w:pStyle w:val="11"/>
        <w:numPr>
          <w:ilvl w:val="0"/>
          <w:numId w:val="0"/>
        </w:numPr>
        <w:spacing w:before="160" w:line="360" w:lineRule="auto"/>
        <w:ind w:left="0" w:leftChars="0" w:firstLine="0" w:firstLineChars="0"/>
        <w:jc w:val="both"/>
        <w:rPr>
          <w:rFonts w:hint="default" w:eastAsia="宋体"/>
          <w:color w:val="auto"/>
          <w:lang w:val="en-US" w:eastAsia="zh-CN"/>
        </w:rPr>
      </w:pPr>
      <w:r>
        <w:rPr>
          <w:rFonts w:hint="default" w:eastAsia="宋体"/>
          <w:color w:val="auto"/>
          <w:lang w:val="en-US" w:eastAsia="zh-CN"/>
        </w:rPr>
        <w:t>数量：1</w:t>
      </w:r>
    </w:p>
    <w:p>
      <w:pPr>
        <w:pStyle w:val="11"/>
        <w:numPr>
          <w:ilvl w:val="0"/>
          <w:numId w:val="0"/>
        </w:numPr>
        <w:spacing w:before="160" w:line="360" w:lineRule="auto"/>
        <w:ind w:left="0" w:leftChars="0" w:firstLine="0" w:firstLineChars="0"/>
        <w:jc w:val="both"/>
        <w:rPr>
          <w:rFonts w:hint="default" w:ascii="宋体" w:hAnsi="宋体" w:eastAsia="宋体" w:cs="宋体"/>
          <w:b/>
          <w:bCs/>
          <w:color w:val="auto"/>
          <w:sz w:val="24"/>
          <w:szCs w:val="24"/>
          <w:lang w:val="en-US" w:eastAsia="zh-CN" w:bidi="zh-CN"/>
        </w:rPr>
      </w:pPr>
      <w:r>
        <w:rPr>
          <w:rFonts w:hint="default" w:ascii="宋体" w:hAnsi="宋体" w:eastAsia="宋体" w:cs="宋体"/>
          <w:b/>
          <w:bCs/>
          <w:color w:val="auto"/>
          <w:sz w:val="24"/>
          <w:szCs w:val="24"/>
          <w:lang w:val="en-US" w:eastAsia="zh-CN" w:bidi="zh-CN"/>
        </w:rPr>
        <w:t>预算金额（元）:525800元；</w:t>
      </w:r>
    </w:p>
    <w:p>
      <w:pPr>
        <w:pStyle w:val="11"/>
        <w:numPr>
          <w:ilvl w:val="0"/>
          <w:numId w:val="0"/>
        </w:numPr>
        <w:spacing w:before="160" w:line="360" w:lineRule="auto"/>
        <w:ind w:left="0" w:leftChars="0" w:firstLine="0" w:firstLineChars="0"/>
        <w:jc w:val="both"/>
        <w:rPr>
          <w:rFonts w:hint="default" w:ascii="宋体" w:hAnsi="宋体" w:eastAsia="宋体" w:cs="宋体"/>
          <w:color w:val="auto"/>
          <w:sz w:val="24"/>
          <w:szCs w:val="24"/>
          <w:lang w:val="en-US" w:eastAsia="zh-CN" w:bidi="zh-CN"/>
        </w:rPr>
      </w:pPr>
      <w:r>
        <w:rPr>
          <w:rFonts w:hint="default" w:eastAsia="宋体"/>
          <w:color w:val="auto"/>
          <w:lang w:val="en-US" w:eastAsia="zh-CN"/>
        </w:rPr>
        <w:t xml:space="preserve">  </w:t>
      </w:r>
      <w:r>
        <w:rPr>
          <w:rFonts w:hint="default" w:ascii="宋体" w:hAnsi="宋体" w:eastAsia="宋体" w:cs="宋体"/>
          <w:color w:val="auto"/>
          <w:sz w:val="24"/>
          <w:szCs w:val="24"/>
          <w:lang w:val="en-US" w:eastAsia="zh-CN" w:bidi="zh-CN"/>
        </w:rPr>
        <w:t xml:space="preserve">  简要规格描述或项目基本概况介绍、用途：</w:t>
      </w:r>
      <w:r>
        <w:rPr>
          <w:rFonts w:hint="eastAsia" w:ascii="宋体" w:hAnsi="宋体" w:eastAsia="宋体" w:cs="宋体"/>
          <w:color w:val="auto"/>
          <w:sz w:val="24"/>
          <w:szCs w:val="24"/>
          <w:lang w:val="en-US" w:eastAsia="zh-CN" w:bidi="zh-CN"/>
        </w:rPr>
        <w:t>模块消防车（皮卡车）1辆、消防指挥车（SUV）1辆，</w:t>
      </w:r>
      <w:r>
        <w:rPr>
          <w:rFonts w:hint="default" w:ascii="宋体" w:hAnsi="宋体" w:eastAsia="宋体" w:cs="宋体"/>
          <w:color w:val="auto"/>
          <w:sz w:val="24"/>
          <w:szCs w:val="24"/>
          <w:lang w:val="en-US" w:eastAsia="zh-CN" w:bidi="zh-CN"/>
        </w:rPr>
        <w:t>详细内容祥见清单；</w:t>
      </w:r>
    </w:p>
    <w:p>
      <w:pPr>
        <w:pStyle w:val="10"/>
        <w:spacing w:before="160"/>
        <w:ind w:left="0" w:leftChars="0" w:firstLine="0" w:firstLineChars="0"/>
      </w:pPr>
      <w:r>
        <w:rPr>
          <w:rFonts w:hint="eastAsia"/>
          <w:lang w:eastAsia="zh-CN"/>
        </w:rPr>
        <w:t>七</w:t>
      </w:r>
      <w:r>
        <w:t>、项目实施地点、供货时间、简要技术要求等：详见招标文件。</w:t>
      </w:r>
    </w:p>
    <w:p>
      <w:pPr>
        <w:pStyle w:val="10"/>
        <w:spacing w:before="161"/>
        <w:ind w:left="0" w:leftChars="0" w:firstLine="0" w:firstLineChars="0"/>
      </w:pPr>
      <w:r>
        <w:rPr>
          <w:rFonts w:hint="eastAsia"/>
          <w:lang w:eastAsia="zh-CN"/>
        </w:rPr>
        <w:t>八</w:t>
      </w:r>
      <w:r>
        <w:t>、供应商资质基本要求：</w:t>
      </w:r>
    </w:p>
    <w:p>
      <w:pPr>
        <w:pStyle w:val="10"/>
        <w:spacing w:before="161" w:line="360" w:lineRule="auto"/>
        <w:ind w:left="0" w:leftChars="0" w:firstLine="0" w:firstLineChars="0"/>
        <w:rPr>
          <w:sz w:val="24"/>
        </w:rPr>
      </w:pPr>
      <w:r>
        <w:rPr>
          <w:rFonts w:hint="eastAsia"/>
          <w:sz w:val="24"/>
          <w:lang w:val="en-US" w:eastAsia="zh-CN"/>
        </w:rPr>
        <w:t>1、</w:t>
      </w:r>
      <w:r>
        <w:rPr>
          <w:sz w:val="24"/>
        </w:rPr>
        <w:t>符合《中华人民共和国政府采购法》第二十二条的相关规定；</w:t>
      </w:r>
    </w:p>
    <w:p>
      <w:pPr>
        <w:pStyle w:val="2"/>
        <w:numPr>
          <w:ilvl w:val="0"/>
          <w:numId w:val="0"/>
        </w:numPr>
        <w:tabs>
          <w:tab w:val="left" w:pos="1479"/>
        </w:tabs>
        <w:spacing w:before="160" w:after="0" w:line="360" w:lineRule="auto"/>
        <w:ind w:right="0" w:rightChars="0"/>
        <w:jc w:val="left"/>
        <w:rPr>
          <w:sz w:val="24"/>
        </w:rPr>
      </w:pPr>
      <w:r>
        <w:rPr>
          <w:rFonts w:hint="eastAsia"/>
          <w:sz w:val="24"/>
          <w:lang w:val="en-US" w:eastAsia="zh-CN"/>
        </w:rPr>
        <w:t>2、</w:t>
      </w:r>
      <w:r>
        <w:rPr>
          <w:sz w:val="24"/>
        </w:rPr>
        <w:t>有效的“三证合一”的营业执照，且具备所投标的经营范围；</w:t>
      </w:r>
    </w:p>
    <w:p>
      <w:pPr>
        <w:pStyle w:val="2"/>
        <w:numPr>
          <w:ilvl w:val="0"/>
          <w:numId w:val="0"/>
        </w:numPr>
        <w:tabs>
          <w:tab w:val="left" w:pos="1479"/>
        </w:tabs>
        <w:spacing w:before="160" w:after="0" w:line="360" w:lineRule="auto"/>
        <w:ind w:right="0" w:rightChars="0"/>
        <w:jc w:val="left"/>
        <w:rPr>
          <w:rFonts w:hint="eastAsia" w:eastAsia="宋体"/>
          <w:sz w:val="24"/>
          <w:lang w:eastAsia="zh-CN"/>
        </w:rPr>
      </w:pPr>
      <w:r>
        <w:rPr>
          <w:rFonts w:hint="eastAsia"/>
          <w:sz w:val="24"/>
          <w:lang w:val="en-US" w:eastAsia="zh-CN"/>
        </w:rPr>
        <w:t>3、</w:t>
      </w:r>
      <w:r>
        <w:rPr>
          <w:rFonts w:hint="eastAsia"/>
          <w:sz w:val="24"/>
        </w:rPr>
        <w:t>投标人需具备独立法人资格，能够承担相应的供货、服务能力，持有效营业执照的生产厂家或代理商</w:t>
      </w:r>
      <w:r>
        <w:rPr>
          <w:rFonts w:hint="eastAsia"/>
          <w:sz w:val="24"/>
          <w:lang w:eastAsia="zh-CN"/>
        </w:rPr>
        <w:t>；</w:t>
      </w:r>
    </w:p>
    <w:p>
      <w:pPr>
        <w:pStyle w:val="2"/>
        <w:numPr>
          <w:ilvl w:val="0"/>
          <w:numId w:val="0"/>
        </w:numPr>
        <w:tabs>
          <w:tab w:val="left" w:pos="1479"/>
        </w:tabs>
        <w:spacing w:before="81" w:after="0" w:line="360" w:lineRule="auto"/>
        <w:ind w:right="0" w:rightChars="0"/>
        <w:jc w:val="left"/>
        <w:rPr>
          <w:sz w:val="24"/>
        </w:rPr>
      </w:pPr>
      <w:r>
        <w:rPr>
          <w:rFonts w:hint="eastAsia"/>
          <w:sz w:val="24"/>
          <w:lang w:val="en-US" w:eastAsia="zh-CN"/>
        </w:rPr>
        <w:t>4、近三年</w:t>
      </w:r>
      <w:r>
        <w:rPr>
          <w:sz w:val="24"/>
        </w:rPr>
        <w:t>具有良好的商业信誉和健全的财务会计制度；</w:t>
      </w:r>
    </w:p>
    <w:p>
      <w:pPr>
        <w:pStyle w:val="2"/>
        <w:numPr>
          <w:ilvl w:val="0"/>
          <w:numId w:val="0"/>
        </w:numPr>
        <w:tabs>
          <w:tab w:val="left" w:pos="1479"/>
        </w:tabs>
        <w:spacing w:before="81" w:after="0" w:line="360" w:lineRule="auto"/>
        <w:ind w:right="0" w:rightChars="0"/>
        <w:jc w:val="left"/>
        <w:rPr>
          <w:sz w:val="24"/>
        </w:rPr>
      </w:pPr>
      <w:r>
        <w:rPr>
          <w:rFonts w:hint="eastAsia"/>
          <w:sz w:val="24"/>
          <w:lang w:val="en-US" w:eastAsia="zh-CN"/>
        </w:rPr>
        <w:t>5、</w:t>
      </w:r>
      <w:r>
        <w:rPr>
          <w:sz w:val="24"/>
        </w:rPr>
        <w:t>近三年内，在经营活动中没有重大违法记录；</w:t>
      </w:r>
    </w:p>
    <w:p>
      <w:pPr>
        <w:pStyle w:val="10"/>
        <w:spacing w:before="160" w:line="360" w:lineRule="auto"/>
        <w:ind w:left="0" w:leftChars="0" w:firstLine="0" w:firstLineChars="0"/>
        <w:jc w:val="both"/>
      </w:pPr>
      <w:r>
        <w:rPr>
          <w:rFonts w:hint="eastAsia"/>
          <w:lang w:val="en-US" w:eastAsia="zh-CN"/>
        </w:rPr>
        <w:t>6、</w:t>
      </w:r>
      <w:r>
        <w:t xml:space="preserve">经 信 用 中 国 （ </w:t>
      </w:r>
      <w:r>
        <w:fldChar w:fldCharType="begin"/>
      </w:r>
      <w:r>
        <w:instrText xml:space="preserve"> HYPERLINK "http://www.creditchina.gov.cn/" \h </w:instrText>
      </w:r>
      <w:r>
        <w:fldChar w:fldCharType="separate"/>
      </w:r>
      <w:r>
        <w:t xml:space="preserve">www.creditchina.gov.cn </w:t>
      </w:r>
      <w:r>
        <w:fldChar w:fldCharType="end"/>
      </w:r>
      <w:r>
        <w:t>） 、 中 国 政 府 采 购 网（</w:t>
      </w:r>
      <w:r>
        <w:fldChar w:fldCharType="begin"/>
      </w:r>
      <w:r>
        <w:instrText xml:space="preserve"> HYPERLINK "http://www.ccgp.gov.cn/" \h </w:instrText>
      </w:r>
      <w:r>
        <w:fldChar w:fldCharType="separate"/>
      </w:r>
      <w:r>
        <w:t>www.ccgp.gov.cn</w:t>
      </w:r>
      <w:r>
        <w:fldChar w:fldCharType="end"/>
      </w:r>
      <w:r>
        <w:t>）等渠道查询后，列入失信被执行人、重大税违法案件当事</w:t>
      </w:r>
      <w:r>
        <w:rPr>
          <w:spacing w:val="-4"/>
        </w:rPr>
        <w:t>人名单、政府采购严重违法失信行为记录名单的，取消投标资格。</w:t>
      </w:r>
      <w:r>
        <w:t>（</w:t>
      </w:r>
      <w:r>
        <w:rPr>
          <w:spacing w:val="-2"/>
        </w:rPr>
        <w:t>提供“信用中</w:t>
      </w:r>
      <w:r>
        <w:rPr>
          <w:spacing w:val="-14"/>
        </w:rPr>
        <w:t xml:space="preserve">国”网站无任何不良记录的查询截图并加盖公章，时间为投标截止时间前 </w:t>
      </w:r>
      <w:r>
        <w:t>20</w:t>
      </w:r>
      <w:r>
        <w:rPr>
          <w:spacing w:val="-20"/>
        </w:rPr>
        <w:t xml:space="preserve"> 天内</w:t>
      </w:r>
      <w:r>
        <w:rPr>
          <w:spacing w:val="-129"/>
        </w:rPr>
        <w:t>）</w:t>
      </w:r>
      <w:r>
        <w:rPr>
          <w:spacing w:val="-9"/>
        </w:rPr>
        <w:t>；</w:t>
      </w:r>
    </w:p>
    <w:p>
      <w:pPr>
        <w:pStyle w:val="2"/>
        <w:numPr>
          <w:ilvl w:val="0"/>
          <w:numId w:val="0"/>
        </w:numPr>
        <w:tabs>
          <w:tab w:val="left" w:pos="1479"/>
        </w:tabs>
        <w:spacing w:before="1" w:after="0" w:line="360" w:lineRule="auto"/>
        <w:ind w:right="0" w:rightChars="0"/>
        <w:jc w:val="left"/>
        <w:rPr>
          <w:sz w:val="24"/>
        </w:rPr>
      </w:pPr>
      <w:r>
        <w:rPr>
          <w:rFonts w:hint="eastAsia" w:cs="宋体"/>
          <w:color w:val="auto"/>
          <w:kern w:val="0"/>
          <w:sz w:val="24"/>
          <w:szCs w:val="24"/>
          <w:lang w:val="en-US" w:eastAsia="zh-CN"/>
        </w:rPr>
        <w:t>7、</w:t>
      </w:r>
      <w:r>
        <w:rPr>
          <w:rFonts w:hint="eastAsia" w:ascii="宋体" w:hAnsi="宋体" w:cs="宋体"/>
          <w:color w:val="auto"/>
          <w:kern w:val="0"/>
          <w:sz w:val="24"/>
          <w:szCs w:val="24"/>
          <w:lang w:eastAsia="zh-CN"/>
        </w:rPr>
        <w:t>按文件要求缴纳投标保证金；</w:t>
      </w:r>
      <w:r>
        <w:rPr>
          <w:sz w:val="24"/>
        </w:rPr>
        <w:t>。</w:t>
      </w:r>
    </w:p>
    <w:p>
      <w:pPr>
        <w:pStyle w:val="2"/>
        <w:numPr>
          <w:ilvl w:val="0"/>
          <w:numId w:val="0"/>
        </w:numPr>
        <w:tabs>
          <w:tab w:val="left" w:pos="1479"/>
        </w:tabs>
        <w:spacing w:before="161" w:after="0" w:line="360" w:lineRule="auto"/>
        <w:ind w:right="0" w:rightChars="0"/>
        <w:jc w:val="left"/>
        <w:rPr>
          <w:sz w:val="24"/>
        </w:rPr>
      </w:pPr>
      <w:r>
        <w:rPr>
          <w:rFonts w:hint="eastAsia"/>
          <w:sz w:val="24"/>
          <w:lang w:val="en-US" w:eastAsia="zh-CN"/>
        </w:rPr>
        <w:t>8、</w:t>
      </w:r>
      <w:r>
        <w:rPr>
          <w:sz w:val="24"/>
        </w:rPr>
        <w:t>为充分保证完善的售后服务，本项目不接受联合体投标。</w:t>
      </w:r>
    </w:p>
    <w:p>
      <w:pPr>
        <w:pStyle w:val="2"/>
        <w:keepNext w:val="0"/>
        <w:keepLines w:val="0"/>
        <w:pageBreakBefore w:val="0"/>
        <w:widowControl w:val="0"/>
        <w:numPr>
          <w:ilvl w:val="0"/>
          <w:numId w:val="0"/>
        </w:numPr>
        <w:tabs>
          <w:tab w:val="left" w:pos="1479"/>
        </w:tabs>
        <w:kinsoku/>
        <w:wordWrap/>
        <w:overflowPunct/>
        <w:topLinePunct w:val="0"/>
        <w:autoSpaceDE w:val="0"/>
        <w:autoSpaceDN w:val="0"/>
        <w:bidi w:val="0"/>
        <w:adjustRightInd w:val="0"/>
        <w:snapToGrid w:val="0"/>
        <w:spacing w:before="161" w:after="0" w:line="360" w:lineRule="auto"/>
        <w:ind w:right="0" w:rightChars="0"/>
        <w:jc w:val="left"/>
        <w:textAlignment w:val="auto"/>
        <w:rPr>
          <w:rFonts w:hint="eastAsia"/>
          <w:color w:val="auto"/>
          <w:sz w:val="24"/>
          <w:szCs w:val="24"/>
          <w:lang w:eastAsia="zh-CN"/>
        </w:rPr>
      </w:pPr>
      <w:r>
        <w:rPr>
          <w:color w:val="auto"/>
          <w:sz w:val="24"/>
          <w:szCs w:val="24"/>
        </w:rPr>
        <w:t>同时</w:t>
      </w:r>
      <w:r>
        <w:rPr>
          <w:rFonts w:hint="eastAsia"/>
          <w:color w:val="auto"/>
          <w:sz w:val="24"/>
          <w:szCs w:val="24"/>
          <w:lang w:eastAsia="zh-CN"/>
        </w:rPr>
        <w:t>将</w:t>
      </w:r>
      <w:r>
        <w:rPr>
          <w:color w:val="auto"/>
          <w:sz w:val="24"/>
          <w:szCs w:val="24"/>
        </w:rPr>
        <w:t>以下资质证明材料</w:t>
      </w:r>
      <w:r>
        <w:rPr>
          <w:rFonts w:hint="eastAsia"/>
          <w:color w:val="auto"/>
          <w:sz w:val="24"/>
          <w:szCs w:val="24"/>
          <w:lang w:eastAsia="zh-CN"/>
        </w:rPr>
        <w:t>在新疆政府采购网上上传报名：</w:t>
      </w:r>
    </w:p>
    <w:p>
      <w:pPr>
        <w:pStyle w:val="2"/>
        <w:keepNext w:val="0"/>
        <w:keepLines w:val="0"/>
        <w:pageBreakBefore w:val="0"/>
        <w:widowControl w:val="0"/>
        <w:numPr>
          <w:ilvl w:val="0"/>
          <w:numId w:val="0"/>
        </w:numPr>
        <w:tabs>
          <w:tab w:val="left" w:pos="1712"/>
        </w:tabs>
        <w:kinsoku/>
        <w:wordWrap/>
        <w:overflowPunct/>
        <w:topLinePunct w:val="0"/>
        <w:autoSpaceDE w:val="0"/>
        <w:autoSpaceDN w:val="0"/>
        <w:bidi w:val="0"/>
        <w:adjustRightInd w:val="0"/>
        <w:snapToGrid w:val="0"/>
        <w:spacing w:before="90" w:after="0" w:line="240" w:lineRule="auto"/>
        <w:ind w:right="0" w:rightChars="0" w:firstLine="480" w:firstLineChars="200"/>
        <w:jc w:val="left"/>
        <w:textAlignment w:val="auto"/>
        <w:rPr>
          <w:color w:val="auto"/>
          <w:sz w:val="24"/>
        </w:rPr>
      </w:pPr>
      <w:r>
        <w:rPr>
          <w:rFonts w:hint="eastAsia"/>
          <w:color w:val="auto"/>
          <w:sz w:val="24"/>
          <w:lang w:val="en-US" w:eastAsia="zh-CN"/>
        </w:rPr>
        <w:t>1、</w:t>
      </w:r>
      <w:r>
        <w:rPr>
          <w:color w:val="auto"/>
          <w:sz w:val="24"/>
        </w:rPr>
        <w:t>营业执照副本原件；</w:t>
      </w:r>
    </w:p>
    <w:p>
      <w:pPr>
        <w:pStyle w:val="2"/>
        <w:keepNext w:val="0"/>
        <w:keepLines w:val="0"/>
        <w:pageBreakBefore w:val="0"/>
        <w:widowControl w:val="0"/>
        <w:numPr>
          <w:ilvl w:val="0"/>
          <w:numId w:val="0"/>
        </w:numPr>
        <w:tabs>
          <w:tab w:val="left" w:pos="1718"/>
        </w:tabs>
        <w:kinsoku/>
        <w:wordWrap/>
        <w:overflowPunct/>
        <w:topLinePunct w:val="0"/>
        <w:autoSpaceDE w:val="0"/>
        <w:autoSpaceDN w:val="0"/>
        <w:bidi w:val="0"/>
        <w:adjustRightInd w:val="0"/>
        <w:snapToGrid w:val="0"/>
        <w:spacing w:before="160" w:after="0" w:line="364" w:lineRule="auto"/>
        <w:ind w:right="-50" w:rightChars="0" w:firstLine="480" w:firstLineChars="200"/>
        <w:jc w:val="left"/>
        <w:textAlignment w:val="auto"/>
        <w:rPr>
          <w:color w:val="auto"/>
          <w:sz w:val="24"/>
        </w:rPr>
      </w:pPr>
      <w:r>
        <w:rPr>
          <w:rFonts w:hint="eastAsia"/>
          <w:color w:val="auto"/>
          <w:sz w:val="24"/>
          <w:lang w:val="en-US" w:eastAsia="zh-CN"/>
        </w:rPr>
        <w:t>2、</w:t>
      </w:r>
      <w:r>
        <w:rPr>
          <w:color w:val="auto"/>
          <w:sz w:val="24"/>
        </w:rPr>
        <w:t>法人授权委托书原件或具有同等法律效力的证明材料及被授权人《居民身份证》原件。</w:t>
      </w:r>
    </w:p>
    <w:p>
      <w:pPr>
        <w:pStyle w:val="2"/>
        <w:keepNext w:val="0"/>
        <w:keepLines w:val="0"/>
        <w:pageBreakBefore w:val="0"/>
        <w:widowControl w:val="0"/>
        <w:numPr>
          <w:ilvl w:val="0"/>
          <w:numId w:val="0"/>
        </w:numPr>
        <w:tabs>
          <w:tab w:val="left" w:pos="1719"/>
        </w:tabs>
        <w:kinsoku/>
        <w:wordWrap/>
        <w:overflowPunct/>
        <w:topLinePunct w:val="0"/>
        <w:autoSpaceDE w:val="0"/>
        <w:autoSpaceDN w:val="0"/>
        <w:bidi w:val="0"/>
        <w:adjustRightInd w:val="0"/>
        <w:snapToGrid w:val="0"/>
        <w:spacing w:before="2" w:after="0" w:line="240" w:lineRule="auto"/>
        <w:ind w:right="0" w:rightChars="0" w:firstLine="480" w:firstLineChars="200"/>
        <w:jc w:val="left"/>
        <w:textAlignment w:val="auto"/>
        <w:rPr>
          <w:b/>
          <w:bCs/>
          <w:color w:val="auto"/>
        </w:rPr>
      </w:pPr>
      <w:r>
        <w:rPr>
          <w:rFonts w:hint="eastAsia"/>
          <w:color w:val="auto"/>
          <w:sz w:val="24"/>
          <w:lang w:val="en-US" w:eastAsia="zh-CN"/>
        </w:rPr>
        <w:t>3、</w:t>
      </w:r>
      <w:r>
        <w:rPr>
          <w:rFonts w:hint="eastAsia" w:ascii="宋体" w:hAnsi="宋体" w:cs="宋体"/>
          <w:color w:val="auto"/>
          <w:kern w:val="0"/>
          <w:sz w:val="24"/>
          <w:szCs w:val="24"/>
          <w:lang w:eastAsia="zh-CN"/>
        </w:rPr>
        <w:t>通过</w:t>
      </w:r>
      <w:r>
        <w:rPr>
          <w:rFonts w:hint="eastAsia" w:ascii="宋体" w:hAnsi="宋体" w:cs="宋体"/>
          <w:color w:val="auto"/>
          <w:kern w:val="0"/>
          <w:sz w:val="24"/>
          <w:szCs w:val="24"/>
        </w:rPr>
        <w:t>“信用中国”</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“中国政府采购网”</w:t>
      </w:r>
      <w:r>
        <w:rPr>
          <w:rFonts w:hint="eastAsia" w:ascii="宋体" w:hAnsi="宋体" w:cs="宋体"/>
          <w:color w:val="auto"/>
          <w:kern w:val="0"/>
          <w:sz w:val="24"/>
          <w:szCs w:val="24"/>
          <w:lang w:eastAsia="zh-CN"/>
        </w:rPr>
        <w:t>渠道查询的加盖公章的主体信用记录网页截图</w:t>
      </w:r>
      <w:r>
        <w:rPr>
          <w:color w:val="auto"/>
          <w:sz w:val="24"/>
        </w:rPr>
        <w:t>。</w:t>
      </w:r>
    </w:p>
    <w:p>
      <w:pPr>
        <w:keepNext w:val="0"/>
        <w:keepLines w:val="0"/>
        <w:pageBreakBefore w:val="0"/>
        <w:widowControl w:val="0"/>
        <w:kinsoku/>
        <w:wordWrap/>
        <w:overflowPunct/>
        <w:topLinePunct w:val="0"/>
        <w:autoSpaceDE w:val="0"/>
        <w:autoSpaceDN w:val="0"/>
        <w:bidi w:val="0"/>
        <w:adjustRightInd w:val="0"/>
        <w:snapToGrid w:val="0"/>
        <w:spacing w:line="500" w:lineRule="exact"/>
        <w:ind w:left="720" w:hanging="720" w:hangingChars="300"/>
        <w:textAlignment w:val="auto"/>
        <w:rPr>
          <w:rFonts w:hint="eastAsia" w:ascii="宋体" w:hAnsi="宋体" w:eastAsia="宋体" w:cs="宋体"/>
          <w:color w:val="auto"/>
          <w:kern w:val="0"/>
          <w:sz w:val="24"/>
          <w:szCs w:val="24"/>
          <w:lang w:val="zh-CN" w:eastAsia="zh-CN" w:bidi="zh-CN"/>
        </w:rPr>
      </w:pPr>
      <w:r>
        <w:rPr>
          <w:rFonts w:hint="eastAsia" w:cs="宋体"/>
          <w:color w:val="auto"/>
          <w:kern w:val="0"/>
          <w:sz w:val="24"/>
          <w:szCs w:val="24"/>
          <w:lang w:eastAsia="zh-CN"/>
        </w:rPr>
        <w:t>九</w:t>
      </w:r>
      <w:r>
        <w:rPr>
          <w:rFonts w:hint="eastAsia" w:ascii="宋体" w:hAnsi="宋体" w:cs="宋体"/>
          <w:color w:val="auto"/>
          <w:kern w:val="0"/>
          <w:sz w:val="24"/>
          <w:szCs w:val="24"/>
        </w:rPr>
        <w:t>、</w:t>
      </w:r>
      <w:r>
        <w:rPr>
          <w:rFonts w:hint="eastAsia" w:ascii="宋体" w:hAnsi="宋体" w:eastAsia="宋体" w:cs="宋体"/>
          <w:color w:val="auto"/>
          <w:kern w:val="0"/>
          <w:sz w:val="24"/>
          <w:szCs w:val="24"/>
          <w:lang w:val="zh-CN" w:eastAsia="zh-CN" w:bidi="zh-CN"/>
        </w:rPr>
        <w:t>取获招标文件时间：202</w:t>
      </w:r>
      <w:r>
        <w:rPr>
          <w:rFonts w:hint="eastAsia" w:ascii="宋体" w:hAnsi="宋体" w:eastAsia="宋体" w:cs="宋体"/>
          <w:color w:val="auto"/>
          <w:kern w:val="0"/>
          <w:sz w:val="24"/>
          <w:szCs w:val="24"/>
          <w:lang w:val="en-US" w:eastAsia="zh-CN" w:bidi="zh-CN"/>
        </w:rPr>
        <w:t>2</w:t>
      </w:r>
      <w:r>
        <w:rPr>
          <w:rFonts w:hint="eastAsia" w:ascii="宋体" w:hAnsi="宋体" w:eastAsia="宋体" w:cs="宋体"/>
          <w:color w:val="auto"/>
          <w:kern w:val="0"/>
          <w:sz w:val="24"/>
          <w:szCs w:val="24"/>
          <w:lang w:val="zh-CN" w:eastAsia="zh-CN" w:bidi="zh-CN"/>
        </w:rPr>
        <w:t>年</w:t>
      </w:r>
      <w:r>
        <w:rPr>
          <w:rFonts w:hint="eastAsia" w:ascii="宋体" w:hAnsi="宋体" w:eastAsia="宋体" w:cs="宋体"/>
          <w:color w:val="auto"/>
          <w:kern w:val="0"/>
          <w:sz w:val="24"/>
          <w:szCs w:val="24"/>
          <w:lang w:val="en-US" w:eastAsia="zh-CN" w:bidi="zh-CN"/>
        </w:rPr>
        <w:t>6</w:t>
      </w:r>
      <w:r>
        <w:rPr>
          <w:rFonts w:hint="eastAsia" w:ascii="宋体" w:hAnsi="宋体" w:eastAsia="宋体" w:cs="宋体"/>
          <w:color w:val="auto"/>
          <w:kern w:val="0"/>
          <w:sz w:val="24"/>
          <w:szCs w:val="24"/>
          <w:lang w:val="zh-CN" w:eastAsia="zh-CN" w:bidi="zh-CN"/>
        </w:rPr>
        <w:t>月</w:t>
      </w:r>
      <w:r>
        <w:rPr>
          <w:rFonts w:hint="eastAsia" w:ascii="宋体" w:hAnsi="宋体" w:eastAsia="宋体" w:cs="宋体"/>
          <w:color w:val="auto"/>
          <w:kern w:val="0"/>
          <w:sz w:val="24"/>
          <w:szCs w:val="24"/>
          <w:lang w:val="en-US" w:eastAsia="zh-CN" w:bidi="zh-CN"/>
        </w:rPr>
        <w:t xml:space="preserve"> </w:t>
      </w:r>
      <w:r>
        <w:rPr>
          <w:rFonts w:hint="eastAsia" w:cs="宋体"/>
          <w:color w:val="auto"/>
          <w:kern w:val="0"/>
          <w:sz w:val="24"/>
          <w:szCs w:val="24"/>
          <w:lang w:val="en-US" w:eastAsia="zh-CN" w:bidi="zh-CN"/>
        </w:rPr>
        <w:t>24</w:t>
      </w:r>
      <w:r>
        <w:rPr>
          <w:rFonts w:hint="eastAsia" w:ascii="宋体" w:hAnsi="宋体" w:eastAsia="宋体" w:cs="宋体"/>
          <w:color w:val="auto"/>
          <w:kern w:val="0"/>
          <w:sz w:val="24"/>
          <w:szCs w:val="24"/>
          <w:lang w:val="en-US" w:eastAsia="zh-CN" w:bidi="zh-CN"/>
        </w:rPr>
        <w:t>日</w:t>
      </w:r>
      <w:r>
        <w:rPr>
          <w:rFonts w:hint="eastAsia" w:ascii="宋体" w:hAnsi="宋体" w:eastAsia="宋体" w:cs="宋体"/>
          <w:color w:val="auto"/>
          <w:kern w:val="0"/>
          <w:sz w:val="24"/>
          <w:szCs w:val="24"/>
          <w:lang w:val="zh-CN" w:eastAsia="zh-CN" w:bidi="zh-CN"/>
        </w:rPr>
        <w:t>起至2020年</w:t>
      </w:r>
      <w:r>
        <w:rPr>
          <w:rFonts w:hint="eastAsia" w:cs="宋体"/>
          <w:color w:val="auto"/>
          <w:kern w:val="0"/>
          <w:sz w:val="24"/>
          <w:szCs w:val="24"/>
          <w:lang w:val="en-US" w:eastAsia="zh-CN" w:bidi="zh-CN"/>
        </w:rPr>
        <w:t>7</w:t>
      </w:r>
      <w:r>
        <w:rPr>
          <w:rFonts w:hint="eastAsia" w:ascii="宋体" w:hAnsi="宋体" w:eastAsia="宋体" w:cs="宋体"/>
          <w:color w:val="auto"/>
          <w:kern w:val="0"/>
          <w:sz w:val="24"/>
          <w:szCs w:val="24"/>
          <w:lang w:val="zh-CN" w:eastAsia="zh-CN" w:bidi="zh-CN"/>
        </w:rPr>
        <w:t>月</w:t>
      </w:r>
      <w:r>
        <w:rPr>
          <w:rFonts w:hint="eastAsia" w:ascii="宋体" w:hAnsi="宋体" w:eastAsia="宋体" w:cs="宋体"/>
          <w:color w:val="auto"/>
          <w:kern w:val="0"/>
          <w:sz w:val="24"/>
          <w:szCs w:val="24"/>
          <w:lang w:val="en-US" w:eastAsia="zh-CN" w:bidi="zh-CN"/>
        </w:rPr>
        <w:t xml:space="preserve"> </w:t>
      </w:r>
      <w:r>
        <w:rPr>
          <w:rFonts w:hint="eastAsia" w:cs="宋体"/>
          <w:color w:val="auto"/>
          <w:kern w:val="0"/>
          <w:sz w:val="24"/>
          <w:szCs w:val="24"/>
          <w:lang w:val="en-US" w:eastAsia="zh-CN" w:bidi="zh-CN"/>
        </w:rPr>
        <w:t>1</w:t>
      </w:r>
      <w:r>
        <w:rPr>
          <w:rFonts w:hint="eastAsia" w:ascii="宋体" w:hAnsi="宋体" w:eastAsia="宋体" w:cs="宋体"/>
          <w:color w:val="auto"/>
          <w:kern w:val="0"/>
          <w:sz w:val="24"/>
          <w:szCs w:val="24"/>
          <w:lang w:val="en-US" w:eastAsia="zh-CN" w:bidi="zh-CN"/>
        </w:rPr>
        <w:t xml:space="preserve"> </w:t>
      </w:r>
      <w:r>
        <w:rPr>
          <w:rFonts w:hint="eastAsia" w:ascii="宋体" w:hAnsi="宋体" w:eastAsia="宋体" w:cs="宋体"/>
          <w:color w:val="auto"/>
          <w:kern w:val="0"/>
          <w:sz w:val="24"/>
          <w:szCs w:val="24"/>
          <w:lang w:val="zh-CN" w:eastAsia="zh-CN" w:bidi="zh-CN"/>
        </w:rPr>
        <w:t>日止。（工作日10：00-1</w:t>
      </w:r>
      <w:r>
        <w:rPr>
          <w:rFonts w:hint="eastAsia" w:ascii="宋体" w:hAnsi="宋体" w:eastAsia="宋体" w:cs="宋体"/>
          <w:color w:val="auto"/>
          <w:kern w:val="0"/>
          <w:sz w:val="24"/>
          <w:szCs w:val="24"/>
          <w:lang w:val="en-US" w:eastAsia="zh-CN" w:bidi="zh-CN"/>
        </w:rPr>
        <w:t>4</w:t>
      </w:r>
      <w:r>
        <w:rPr>
          <w:rFonts w:hint="eastAsia" w:ascii="宋体" w:hAnsi="宋体" w:eastAsia="宋体" w:cs="宋体"/>
          <w:color w:val="auto"/>
          <w:kern w:val="0"/>
          <w:sz w:val="24"/>
          <w:szCs w:val="24"/>
          <w:lang w:val="zh-CN" w:eastAsia="zh-CN" w:bidi="zh-CN"/>
        </w:rPr>
        <w:t>：</w:t>
      </w:r>
      <w:r>
        <w:rPr>
          <w:rFonts w:hint="eastAsia" w:ascii="宋体" w:hAnsi="宋体" w:eastAsia="宋体" w:cs="宋体"/>
          <w:color w:val="auto"/>
          <w:kern w:val="0"/>
          <w:sz w:val="24"/>
          <w:szCs w:val="24"/>
          <w:lang w:val="en-US" w:eastAsia="zh-CN" w:bidi="zh-CN"/>
        </w:rPr>
        <w:t>0</w:t>
      </w:r>
      <w:r>
        <w:rPr>
          <w:rFonts w:hint="eastAsia" w:ascii="宋体" w:hAnsi="宋体" w:eastAsia="宋体" w:cs="宋体"/>
          <w:color w:val="auto"/>
          <w:kern w:val="0"/>
          <w:sz w:val="24"/>
          <w:szCs w:val="24"/>
          <w:lang w:val="zh-CN" w:eastAsia="zh-CN" w:bidi="zh-CN"/>
        </w:rPr>
        <w:t>0，16：00-19：</w:t>
      </w:r>
      <w:r>
        <w:rPr>
          <w:rFonts w:hint="eastAsia" w:ascii="宋体" w:hAnsi="宋体" w:eastAsia="宋体" w:cs="宋体"/>
          <w:color w:val="auto"/>
          <w:kern w:val="0"/>
          <w:sz w:val="24"/>
          <w:szCs w:val="24"/>
          <w:lang w:val="en-US" w:eastAsia="zh-CN" w:bidi="zh-CN"/>
        </w:rPr>
        <w:t>3</w:t>
      </w:r>
      <w:r>
        <w:rPr>
          <w:rFonts w:hint="eastAsia" w:ascii="宋体" w:hAnsi="宋体" w:eastAsia="宋体" w:cs="宋体"/>
          <w:color w:val="auto"/>
          <w:kern w:val="0"/>
          <w:sz w:val="24"/>
          <w:szCs w:val="24"/>
          <w:lang w:val="zh-CN" w:eastAsia="zh-CN" w:bidi="zh-CN"/>
        </w:rPr>
        <w:t>0）</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4"/>
          <w:szCs w:val="24"/>
        </w:rPr>
      </w:pPr>
      <w:r>
        <w:rPr>
          <w:rFonts w:hint="eastAsia" w:cs="宋体"/>
          <w:color w:val="auto"/>
          <w:kern w:val="0"/>
          <w:sz w:val="24"/>
          <w:szCs w:val="24"/>
          <w:lang w:eastAsia="zh-CN"/>
        </w:rPr>
        <w:t>十</w:t>
      </w:r>
      <w:r>
        <w:rPr>
          <w:rFonts w:hint="eastAsia" w:ascii="宋体" w:hAnsi="宋体" w:cs="宋体"/>
          <w:color w:val="auto"/>
          <w:kern w:val="0"/>
          <w:sz w:val="24"/>
          <w:szCs w:val="24"/>
        </w:rPr>
        <w:t>、获取方式：供应商登陆政采云平台在线申请获取采购文件（进入“项目采购”应用，在获取采购文件菜单中选择项目，申请获取采购文件）。</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rPr>
      </w:pPr>
      <w:r>
        <w:rPr>
          <w:rFonts w:hint="eastAsia" w:ascii="宋体" w:hAnsi="宋体" w:cs="宋体"/>
          <w:color w:val="auto"/>
          <w:kern w:val="0"/>
          <w:sz w:val="24"/>
          <w:szCs w:val="24"/>
          <w:lang w:val="en-US" w:eastAsia="zh-CN"/>
        </w:rPr>
        <w:t>十</w:t>
      </w:r>
      <w:r>
        <w:rPr>
          <w:rFonts w:hint="eastAsia" w:cs="宋体"/>
          <w:color w:val="auto"/>
          <w:kern w:val="0"/>
          <w:sz w:val="24"/>
          <w:szCs w:val="24"/>
          <w:lang w:val="en-US" w:eastAsia="zh-CN"/>
        </w:rPr>
        <w:t>一</w:t>
      </w:r>
      <w:r>
        <w:rPr>
          <w:rFonts w:hint="eastAsia" w:ascii="宋体" w:hAnsi="宋体" w:cs="宋体"/>
          <w:color w:val="auto"/>
          <w:kern w:val="0"/>
          <w:sz w:val="24"/>
          <w:szCs w:val="24"/>
          <w:lang w:val="en-US" w:eastAsia="zh-CN"/>
        </w:rPr>
        <w:t>、投标保证金缴纳及确认时间：凡拟参加本次招标项目的供应商，必须在202</w:t>
      </w:r>
      <w:r>
        <w:rPr>
          <w:rFonts w:hint="eastAsia" w:cs="宋体"/>
          <w:color w:val="auto"/>
          <w:kern w:val="0"/>
          <w:sz w:val="24"/>
          <w:szCs w:val="24"/>
          <w:lang w:val="en-US" w:eastAsia="zh-CN"/>
        </w:rPr>
        <w:t>2</w:t>
      </w:r>
      <w:r>
        <w:rPr>
          <w:rFonts w:hint="eastAsia" w:ascii="宋体" w:hAnsi="宋体" w:cs="宋体"/>
          <w:color w:val="auto"/>
          <w:kern w:val="0"/>
          <w:sz w:val="24"/>
          <w:szCs w:val="24"/>
          <w:lang w:val="en-US" w:eastAsia="zh-CN"/>
        </w:rPr>
        <w:t>年</w:t>
      </w:r>
      <w:r>
        <w:rPr>
          <w:rFonts w:hint="eastAsia" w:cs="宋体"/>
          <w:color w:val="auto"/>
          <w:kern w:val="0"/>
          <w:sz w:val="24"/>
          <w:szCs w:val="24"/>
          <w:lang w:val="en-US" w:eastAsia="zh-CN"/>
        </w:rPr>
        <w:t>6</w:t>
      </w:r>
      <w:r>
        <w:rPr>
          <w:rFonts w:hint="eastAsia" w:ascii="宋体" w:hAnsi="宋体" w:cs="宋体"/>
          <w:color w:val="auto"/>
          <w:kern w:val="0"/>
          <w:sz w:val="24"/>
          <w:szCs w:val="24"/>
          <w:lang w:val="en-US" w:eastAsia="zh-CN"/>
        </w:rPr>
        <w:t>月</w:t>
      </w:r>
      <w:r>
        <w:rPr>
          <w:rFonts w:hint="eastAsia" w:cs="宋体"/>
          <w:color w:val="auto"/>
          <w:kern w:val="0"/>
          <w:sz w:val="24"/>
          <w:szCs w:val="24"/>
          <w:lang w:val="en-US" w:eastAsia="zh-CN"/>
        </w:rPr>
        <w:t xml:space="preserve">  </w:t>
      </w:r>
      <w:r>
        <w:rPr>
          <w:rFonts w:hint="eastAsia" w:ascii="宋体" w:hAnsi="宋体" w:cs="宋体"/>
          <w:color w:val="auto"/>
          <w:kern w:val="0"/>
          <w:sz w:val="24"/>
          <w:szCs w:val="24"/>
          <w:lang w:val="en-US" w:eastAsia="zh-CN"/>
        </w:rPr>
        <w:t>日1</w:t>
      </w:r>
      <w:r>
        <w:rPr>
          <w:rFonts w:hint="eastAsia" w:cs="宋体"/>
          <w:color w:val="auto"/>
          <w:kern w:val="0"/>
          <w:sz w:val="24"/>
          <w:szCs w:val="24"/>
          <w:lang w:val="en-US" w:eastAsia="zh-CN"/>
        </w:rPr>
        <w:t>0</w:t>
      </w:r>
      <w:r>
        <w:rPr>
          <w:rFonts w:hint="eastAsia" w:ascii="宋体" w:hAnsi="宋体" w:cs="宋体"/>
          <w:color w:val="auto"/>
          <w:kern w:val="0"/>
          <w:sz w:val="24"/>
          <w:szCs w:val="24"/>
          <w:lang w:val="en-US" w:eastAsia="zh-CN"/>
        </w:rPr>
        <w:t>:30时（北京时间）前将投标保证金汇入指定账户。投标保证金汇款凭证上用途栏应注明本项目招标项目名称[标准格式：包段一：ZJFZFCG2022-002；包段二：ZJFZFCG2022-003</w:t>
      </w:r>
      <w:r>
        <w:rPr>
          <w:rFonts w:hint="eastAsia" w:cs="宋体"/>
          <w:color w:val="auto"/>
          <w:kern w:val="0"/>
          <w:sz w:val="24"/>
          <w:szCs w:val="24"/>
          <w:highlight w:val="none"/>
          <w:lang w:val="en-US" w:eastAsia="zh-CN"/>
        </w:rPr>
        <w:t xml:space="preserve"> ；包段三：ZJFZFCG2022-00</w:t>
      </w:r>
      <w:r>
        <w:rPr>
          <w:rFonts w:hint="default" w:cs="宋体"/>
          <w:color w:val="auto"/>
          <w:kern w:val="0"/>
          <w:sz w:val="24"/>
          <w:szCs w:val="24"/>
          <w:highlight w:val="none"/>
          <w:lang w:val="en-US" w:eastAsia="zh-CN"/>
        </w:rPr>
        <w:t>4</w:t>
      </w:r>
      <w:r>
        <w:rPr>
          <w:rFonts w:hint="eastAsia" w:cs="宋体"/>
          <w:color w:val="auto"/>
          <w:kern w:val="0"/>
          <w:sz w:val="24"/>
          <w:szCs w:val="24"/>
          <w:highlight w:val="none"/>
          <w:lang w:val="en-US" w:eastAsia="zh-CN"/>
        </w:rPr>
        <w:t>；包段四：ZJFZFCG2022-00</w:t>
      </w:r>
      <w:r>
        <w:rPr>
          <w:rFonts w:hint="default" w:cs="宋体"/>
          <w:color w:val="auto"/>
          <w:kern w:val="0"/>
          <w:sz w:val="24"/>
          <w:szCs w:val="24"/>
          <w:highlight w:val="none"/>
          <w:lang w:val="en-US" w:eastAsia="zh-CN"/>
        </w:rPr>
        <w:t>5</w:t>
      </w:r>
      <w:r>
        <w:rPr>
          <w:rFonts w:hint="eastAsia" w:ascii="宋体" w:hAnsi="宋体" w:cs="宋体"/>
          <w:color w:val="auto"/>
          <w:kern w:val="0"/>
          <w:sz w:val="24"/>
          <w:szCs w:val="24"/>
          <w:highlight w:val="none"/>
          <w:lang w:val="en-US" w:eastAsia="zh-CN"/>
        </w:rPr>
        <w:t>项目投标保证金</w:t>
      </w:r>
      <w:r>
        <w:rPr>
          <w:rFonts w:hint="eastAsia" w:ascii="宋体" w:hAnsi="宋体" w:cs="宋体"/>
          <w:color w:val="auto"/>
          <w:kern w:val="0"/>
          <w:sz w:val="24"/>
          <w:szCs w:val="24"/>
          <w:lang w:val="en-US" w:eastAsia="zh-CN"/>
        </w:rPr>
        <w:t>]。否则，届时其投标将被拒绝。</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0000FF"/>
          <w:sz w:val="24"/>
          <w:szCs w:val="24"/>
        </w:rPr>
      </w:pPr>
      <w:r>
        <w:rPr>
          <w:rFonts w:hint="eastAsia" w:ascii="宋体" w:hAnsi="宋体" w:cs="宋体"/>
          <w:color w:val="auto"/>
          <w:kern w:val="0"/>
          <w:sz w:val="24"/>
          <w:szCs w:val="24"/>
        </w:rPr>
        <w:t>十</w:t>
      </w:r>
      <w:r>
        <w:rPr>
          <w:rFonts w:hint="eastAsia" w:cs="宋体"/>
          <w:color w:val="auto"/>
          <w:kern w:val="0"/>
          <w:sz w:val="24"/>
          <w:szCs w:val="24"/>
          <w:lang w:eastAsia="zh-CN"/>
        </w:rPr>
        <w:t>二</w:t>
      </w:r>
      <w:r>
        <w:rPr>
          <w:rFonts w:hint="eastAsia" w:ascii="宋体" w:hAnsi="宋体" w:cs="宋体"/>
          <w:color w:val="auto"/>
          <w:kern w:val="0"/>
          <w:sz w:val="24"/>
          <w:szCs w:val="24"/>
        </w:rPr>
        <w:t>、招标文件售价：</w:t>
      </w:r>
      <w:r>
        <w:rPr>
          <w:rFonts w:hint="eastAsia" w:cs="宋体"/>
          <w:color w:val="auto"/>
          <w:kern w:val="0"/>
          <w:sz w:val="24"/>
          <w:szCs w:val="24"/>
          <w:lang w:val="en-US" w:eastAsia="zh-CN"/>
        </w:rPr>
        <w:t>0</w:t>
      </w:r>
      <w:r>
        <w:rPr>
          <w:rFonts w:hint="eastAsia" w:ascii="宋体" w:hAnsi="宋体" w:cs="宋体"/>
          <w:color w:val="auto"/>
          <w:kern w:val="0"/>
          <w:sz w:val="24"/>
          <w:szCs w:val="24"/>
        </w:rPr>
        <w:t>元/包</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4"/>
          <w:szCs w:val="24"/>
        </w:rPr>
      </w:pPr>
      <w:r>
        <w:rPr>
          <w:rFonts w:hint="eastAsia" w:ascii="宋体" w:hAnsi="宋体" w:cs="宋体"/>
          <w:color w:val="auto"/>
          <w:kern w:val="0"/>
          <w:sz w:val="24"/>
          <w:szCs w:val="24"/>
        </w:rPr>
        <w:t>十</w:t>
      </w:r>
      <w:r>
        <w:rPr>
          <w:rFonts w:hint="eastAsia" w:cs="宋体"/>
          <w:color w:val="auto"/>
          <w:kern w:val="0"/>
          <w:sz w:val="24"/>
          <w:szCs w:val="24"/>
          <w:lang w:eastAsia="zh-CN"/>
        </w:rPr>
        <w:t>三</w:t>
      </w:r>
      <w:r>
        <w:rPr>
          <w:rFonts w:hint="eastAsia" w:ascii="宋体" w:hAnsi="宋体" w:cs="宋体"/>
          <w:color w:val="auto"/>
          <w:kern w:val="0"/>
          <w:sz w:val="24"/>
          <w:szCs w:val="24"/>
        </w:rPr>
        <w:t>、投标文件递交截止时间及开标时间：20</w:t>
      </w:r>
      <w:r>
        <w:rPr>
          <w:rFonts w:hint="eastAsia" w:ascii="宋体" w:hAnsi="宋体" w:cs="宋体"/>
          <w:color w:val="auto"/>
          <w:kern w:val="0"/>
          <w:sz w:val="24"/>
          <w:szCs w:val="24"/>
          <w:lang w:val="en-US" w:eastAsia="zh-CN"/>
        </w:rPr>
        <w:t>2</w:t>
      </w:r>
      <w:r>
        <w:rPr>
          <w:rFonts w:hint="eastAsia" w:cs="宋体"/>
          <w:color w:val="auto"/>
          <w:kern w:val="0"/>
          <w:sz w:val="24"/>
          <w:szCs w:val="24"/>
          <w:lang w:val="en-US" w:eastAsia="zh-CN"/>
        </w:rPr>
        <w:t>2</w:t>
      </w:r>
      <w:r>
        <w:rPr>
          <w:rFonts w:hint="eastAsia" w:ascii="宋体" w:hAnsi="宋体" w:cs="宋体"/>
          <w:color w:val="auto"/>
          <w:kern w:val="0"/>
          <w:sz w:val="24"/>
          <w:szCs w:val="24"/>
        </w:rPr>
        <w:t>年</w:t>
      </w:r>
      <w:r>
        <w:rPr>
          <w:rFonts w:hint="eastAsia" w:cs="宋体"/>
          <w:color w:val="auto"/>
          <w:kern w:val="0"/>
          <w:sz w:val="24"/>
          <w:szCs w:val="24"/>
          <w:lang w:val="en-US" w:eastAsia="zh-CN"/>
        </w:rPr>
        <w:t>7</w:t>
      </w:r>
      <w:r>
        <w:rPr>
          <w:rFonts w:hint="eastAsia" w:ascii="宋体" w:hAnsi="宋体" w:cs="宋体"/>
          <w:color w:val="auto"/>
          <w:kern w:val="0"/>
          <w:sz w:val="24"/>
          <w:szCs w:val="24"/>
        </w:rPr>
        <w:t>月</w:t>
      </w:r>
      <w:r>
        <w:rPr>
          <w:rFonts w:hint="eastAsia" w:cs="宋体"/>
          <w:color w:val="auto"/>
          <w:kern w:val="0"/>
          <w:sz w:val="24"/>
          <w:szCs w:val="24"/>
          <w:lang w:val="en-US" w:eastAsia="zh-CN"/>
        </w:rPr>
        <w:t xml:space="preserve"> 18 </w:t>
      </w:r>
      <w:r>
        <w:rPr>
          <w:rFonts w:hint="eastAsia" w:ascii="宋体" w:hAnsi="宋体" w:cs="宋体"/>
          <w:color w:val="auto"/>
          <w:kern w:val="0"/>
          <w:sz w:val="24"/>
          <w:szCs w:val="24"/>
        </w:rPr>
        <w:t>日</w:t>
      </w:r>
      <w:r>
        <w:rPr>
          <w:rFonts w:hint="eastAsia" w:ascii="宋体" w:hAnsi="宋体" w:cs="宋体"/>
          <w:color w:val="auto"/>
          <w:kern w:val="0"/>
          <w:sz w:val="24"/>
          <w:szCs w:val="24"/>
          <w:lang w:val="en-US" w:eastAsia="zh-CN"/>
        </w:rPr>
        <w:t>上</w:t>
      </w:r>
      <w:r>
        <w:rPr>
          <w:rFonts w:hint="eastAsia" w:ascii="宋体" w:hAnsi="宋体" w:cs="宋体"/>
          <w:color w:val="auto"/>
          <w:kern w:val="0"/>
          <w:sz w:val="24"/>
          <w:szCs w:val="24"/>
        </w:rPr>
        <w:t>午1</w:t>
      </w:r>
      <w:r>
        <w:rPr>
          <w:rFonts w:hint="eastAsia" w:ascii="宋体" w:hAnsi="宋体" w:cs="宋体"/>
          <w:color w:val="auto"/>
          <w:kern w:val="0"/>
          <w:sz w:val="24"/>
          <w:szCs w:val="24"/>
          <w:lang w:val="en-US" w:eastAsia="zh-CN"/>
        </w:rPr>
        <w:t>0</w:t>
      </w:r>
      <w:r>
        <w:rPr>
          <w:rFonts w:hint="eastAsia" w:ascii="宋体" w:hAnsi="宋体" w:cs="宋体"/>
          <w:color w:val="auto"/>
          <w:kern w:val="0"/>
          <w:sz w:val="24"/>
          <w:szCs w:val="24"/>
        </w:rPr>
        <w:t>：30(北京时间)，若逾期，届时其投标将被拒绝。</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十</w:t>
      </w:r>
      <w:r>
        <w:rPr>
          <w:rFonts w:hint="eastAsia" w:ascii="宋体" w:hAnsi="宋体" w:eastAsia="宋体" w:cs="宋体"/>
          <w:color w:val="auto"/>
          <w:kern w:val="0"/>
          <w:sz w:val="24"/>
          <w:szCs w:val="24"/>
          <w:lang w:eastAsia="zh-CN"/>
        </w:rPr>
        <w:t>四</w:t>
      </w:r>
      <w:r>
        <w:rPr>
          <w:rFonts w:hint="eastAsia" w:ascii="宋体" w:hAnsi="宋体" w:eastAsia="宋体" w:cs="宋体"/>
          <w:color w:val="auto"/>
          <w:kern w:val="0"/>
          <w:sz w:val="24"/>
          <w:szCs w:val="24"/>
        </w:rPr>
        <w:t>、开标地点：政采云线上开标（www.zcygov.com）。</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十五、其他补充</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1、本项目实行网上投标，采用电子投标文件。若供应商参与投标，自行承担投标一切费用。</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color w:val="auto"/>
          <w:kern w:val="0"/>
          <w:sz w:val="24"/>
          <w:szCs w:val="24"/>
        </w:rPr>
        <w:fldChar w:fldCharType="begin"/>
      </w:r>
      <w:r>
        <w:rPr>
          <w:rFonts w:hint="eastAsia" w:ascii="宋体" w:hAnsi="宋体" w:eastAsia="宋体" w:cs="宋体"/>
          <w:color w:val="auto"/>
          <w:kern w:val="0"/>
          <w:sz w:val="24"/>
          <w:szCs w:val="24"/>
        </w:rPr>
        <w:instrText xml:space="preserve"> HYPERLINK "http://www.ccgp-xinjiang.gov.cn/" </w:instrText>
      </w:r>
      <w:r>
        <w:rPr>
          <w:rFonts w:hint="eastAsia" w:ascii="宋体" w:hAnsi="宋体" w:eastAsia="宋体" w:cs="宋体"/>
          <w:color w:val="auto"/>
          <w:kern w:val="0"/>
          <w:sz w:val="24"/>
          <w:szCs w:val="24"/>
        </w:rPr>
        <w:fldChar w:fldCharType="separate"/>
      </w:r>
      <w:r>
        <w:rPr>
          <w:rFonts w:hint="eastAsia" w:ascii="宋体" w:hAnsi="宋体" w:eastAsia="宋体" w:cs="宋体"/>
          <w:color w:val="auto"/>
          <w:kern w:val="0"/>
          <w:sz w:val="24"/>
          <w:szCs w:val="24"/>
        </w:rPr>
        <w:t>http://www.ccgp-xinjiang.gov.cn/</w:t>
      </w:r>
      <w:r>
        <w:rPr>
          <w:rFonts w:hint="eastAsia" w:ascii="宋体" w:hAnsi="宋体" w:eastAsia="宋体" w:cs="宋体"/>
          <w:color w:val="auto"/>
          <w:kern w:val="0"/>
          <w:sz w:val="24"/>
          <w:szCs w:val="24"/>
        </w:rPr>
        <w:fldChar w:fldCharType="end"/>
      </w:r>
      <w:r>
        <w:rPr>
          <w:rFonts w:hint="eastAsia" w:ascii="宋体" w:hAnsi="宋体" w:eastAsia="宋体" w:cs="宋体"/>
          <w:color w:val="auto"/>
          <w:kern w:val="0"/>
          <w:sz w:val="24"/>
          <w:szCs w:val="24"/>
        </w:rPr>
        <w:t>）下载专区查看，如有问题可拨打政采云客户服务热线400-881-7190进行咨询。</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400-881-7190。</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6、投标供应商应当在投标截止时间前，将生成的“电子加密投标文件”上传递交至“政府采购云平台”。投标截止时间以后上传递交的投标文件将被“政府采购云平台”拒收。</w:t>
      </w:r>
    </w:p>
    <w:p>
      <w:pPr>
        <w:keepNext w:val="0"/>
        <w:keepLines w:val="0"/>
        <w:pageBreakBefore w:val="0"/>
        <w:widowControl w:val="0"/>
        <w:kinsoku/>
        <w:wordWrap/>
        <w:overflowPunct/>
        <w:topLinePunct w:val="0"/>
        <w:autoSpaceDE w:val="0"/>
        <w:autoSpaceDN w:val="0"/>
        <w:bidi w:val="0"/>
        <w:adjustRightInd w:val="0"/>
        <w:snapToGrid w:val="0"/>
        <w:spacing w:line="500" w:lineRule="exact"/>
        <w:ind w:firstLine="480" w:firstLineChars="200"/>
        <w:textAlignment w:val="auto"/>
        <w:rPr>
          <w:rFonts w:hint="eastAsia"/>
          <w:lang w:eastAsia="zh-CN"/>
        </w:rPr>
      </w:pPr>
      <w:r>
        <w:rPr>
          <w:rFonts w:hint="eastAsia" w:ascii="宋体" w:hAnsi="宋体" w:eastAsia="宋体" w:cs="宋体"/>
          <w:color w:val="auto"/>
          <w:kern w:val="0"/>
          <w:sz w:val="24"/>
          <w:szCs w:val="24"/>
          <w:lang w:val="en-US" w:eastAsia="zh-CN"/>
        </w:rPr>
        <w:t>15.</w:t>
      </w:r>
      <w:r>
        <w:rPr>
          <w:rFonts w:hint="eastAsia" w:ascii="宋体" w:hAnsi="宋体" w:eastAsia="宋体" w:cs="宋体"/>
          <w:color w:val="auto"/>
          <w:kern w:val="0"/>
          <w:sz w:val="24"/>
          <w:szCs w:val="24"/>
        </w:rPr>
        <w:t>7、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截止时间前，供应商仅递交了“备份投标文件”而未将“电子加密投标文件”成功上传至“政府采购云平台”的，投标无效。</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4"/>
          <w:szCs w:val="24"/>
        </w:rPr>
      </w:pPr>
      <w:r>
        <w:rPr>
          <w:rFonts w:hint="eastAsia" w:ascii="宋体" w:hAnsi="宋体" w:cs="宋体"/>
          <w:color w:val="auto"/>
          <w:kern w:val="0"/>
          <w:sz w:val="24"/>
          <w:szCs w:val="24"/>
        </w:rPr>
        <w:t>十</w:t>
      </w:r>
      <w:r>
        <w:rPr>
          <w:rFonts w:hint="eastAsia" w:cs="宋体"/>
          <w:color w:val="auto"/>
          <w:kern w:val="0"/>
          <w:sz w:val="24"/>
          <w:szCs w:val="24"/>
          <w:lang w:eastAsia="zh-CN"/>
        </w:rPr>
        <w:t>六</w:t>
      </w:r>
      <w:r>
        <w:rPr>
          <w:rFonts w:hint="eastAsia" w:ascii="宋体" w:hAnsi="宋体" w:cs="宋体"/>
          <w:color w:val="auto"/>
          <w:kern w:val="0"/>
          <w:sz w:val="24"/>
          <w:szCs w:val="24"/>
        </w:rPr>
        <w:t xml:space="preserve">、联系方式                                    </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rPr>
        <w:t>采购单位：</w:t>
      </w:r>
      <w:r>
        <w:rPr>
          <w:rFonts w:hint="eastAsia" w:cs="宋体"/>
          <w:color w:val="auto"/>
          <w:kern w:val="0"/>
          <w:sz w:val="24"/>
          <w:szCs w:val="24"/>
          <w:lang w:eastAsia="zh-CN"/>
        </w:rPr>
        <w:t>和硕县应急管理局</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cs="宋体"/>
          <w:color w:val="auto"/>
          <w:kern w:val="0"/>
          <w:sz w:val="24"/>
          <w:szCs w:val="24"/>
        </w:rPr>
      </w:pPr>
      <w:r>
        <w:rPr>
          <w:rFonts w:hint="eastAsia" w:ascii="宋体" w:hAnsi="宋体" w:cs="宋体"/>
          <w:color w:val="auto"/>
          <w:kern w:val="0"/>
          <w:sz w:val="24"/>
          <w:szCs w:val="24"/>
        </w:rPr>
        <w:t>采购单位地址：</w:t>
      </w:r>
      <w:r>
        <w:rPr>
          <w:rFonts w:hint="eastAsia" w:cs="宋体"/>
          <w:color w:val="auto"/>
          <w:kern w:val="0"/>
          <w:sz w:val="24"/>
          <w:szCs w:val="24"/>
          <w:lang w:eastAsia="zh-CN"/>
        </w:rPr>
        <w:t>和硕县</w:t>
      </w:r>
      <w:r>
        <w:rPr>
          <w:rFonts w:hint="eastAsia" w:ascii="宋体" w:hAnsi="宋体" w:cs="宋体"/>
          <w:color w:val="auto"/>
          <w:kern w:val="0"/>
          <w:sz w:val="24"/>
          <w:szCs w:val="24"/>
        </w:rPr>
        <w:t xml:space="preserve">             </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联系人：</w:t>
      </w:r>
      <w:r>
        <w:rPr>
          <w:rFonts w:hint="eastAsia" w:ascii="宋体" w:hAnsi="宋体" w:eastAsia="宋体" w:cs="宋体"/>
          <w:color w:val="auto"/>
          <w:kern w:val="0"/>
          <w:sz w:val="24"/>
          <w:szCs w:val="24"/>
          <w:lang w:val="en-US" w:eastAsia="zh-CN"/>
        </w:rPr>
        <w:t xml:space="preserve">刘志刚  </w:t>
      </w:r>
      <w:r>
        <w:rPr>
          <w:rFonts w:hint="eastAsia" w:ascii="宋体" w:hAnsi="宋体" w:eastAsia="宋体" w:cs="宋体"/>
          <w:color w:val="auto"/>
          <w:kern w:val="0"/>
          <w:sz w:val="24"/>
          <w:szCs w:val="24"/>
        </w:rPr>
        <w:t xml:space="preserve">  </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联系电话：</w:t>
      </w:r>
      <w:r>
        <w:rPr>
          <w:rFonts w:hint="eastAsia" w:ascii="宋体" w:hAnsi="宋体" w:eastAsia="宋体" w:cs="宋体"/>
          <w:color w:val="auto"/>
          <w:kern w:val="0"/>
          <w:sz w:val="24"/>
          <w:szCs w:val="24"/>
          <w:lang w:val="en-US" w:eastAsia="zh-CN"/>
        </w:rPr>
        <w:t>13909969630</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招标代理机构：新疆正聚方企业管理咨询有限公司 </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招标公司地址：库尔勒市智慧嘉苑门面房65-01-3号2楼</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项目联系人</w:t>
      </w:r>
      <w:r>
        <w:rPr>
          <w:rFonts w:hint="eastAsia" w:ascii="宋体" w:hAnsi="宋体" w:eastAsia="宋体" w:cs="宋体"/>
          <w:color w:val="auto"/>
          <w:kern w:val="0"/>
          <w:sz w:val="24"/>
          <w:szCs w:val="24"/>
          <w:lang w:val="en-US" w:eastAsia="zh-CN"/>
        </w:rPr>
        <w:t>: 彭诗毓</w:t>
      </w:r>
    </w:p>
    <w:p>
      <w:pPr>
        <w:keepNext w:val="0"/>
        <w:keepLines w:val="0"/>
        <w:pageBreakBefore w:val="0"/>
        <w:widowControl w:val="0"/>
        <w:kinsoku/>
        <w:wordWrap/>
        <w:overflowPunct/>
        <w:topLinePunct w:val="0"/>
        <w:autoSpaceDE w:val="0"/>
        <w:autoSpaceDN w:val="0"/>
        <w:bidi w:val="0"/>
        <w:adjustRightInd w:val="0"/>
        <w:snapToGrid w:val="0"/>
        <w:spacing w:line="500" w:lineRule="exac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联系电话：</w:t>
      </w:r>
      <w:r>
        <w:rPr>
          <w:rFonts w:hint="eastAsia" w:ascii="宋体" w:hAnsi="宋体" w:eastAsia="宋体" w:cs="宋体"/>
          <w:color w:val="auto"/>
          <w:kern w:val="0"/>
          <w:sz w:val="24"/>
          <w:szCs w:val="24"/>
          <w:lang w:val="en-US" w:eastAsia="zh-CN"/>
        </w:rPr>
        <w:t>18199966830</w:t>
      </w:r>
    </w:p>
    <w:p>
      <w:pPr>
        <w:overflowPunct w:val="0"/>
        <w:spacing w:line="440" w:lineRule="exact"/>
        <w:jc w:val="center"/>
        <w:rPr>
          <w:rFonts w:hint="eastAsia" w:ascii="黑体" w:hAnsi="黑体" w:eastAsia="黑体"/>
          <w:b/>
          <w:sz w:val="36"/>
        </w:rPr>
      </w:pPr>
    </w:p>
    <w:p>
      <w:pPr>
        <w:pStyle w:val="22"/>
        <w:rPr>
          <w:rFonts w:hint="eastAsia" w:ascii="黑体" w:hAnsi="黑体" w:eastAsia="黑体"/>
          <w:b/>
          <w:sz w:val="36"/>
        </w:rPr>
      </w:pPr>
    </w:p>
    <w:p>
      <w:pPr>
        <w:pStyle w:val="22"/>
        <w:rPr>
          <w:rFonts w:hint="eastAsia" w:ascii="黑体" w:hAnsi="黑体" w:eastAsia="黑体"/>
          <w:b/>
          <w:sz w:val="36"/>
        </w:rPr>
      </w:pPr>
    </w:p>
    <w:p>
      <w:pPr>
        <w:pStyle w:val="22"/>
        <w:rPr>
          <w:rFonts w:hint="eastAsia"/>
        </w:rPr>
      </w:pPr>
    </w:p>
    <w:p>
      <w:pPr>
        <w:overflowPunct w:val="0"/>
        <w:spacing w:line="440" w:lineRule="exact"/>
        <w:jc w:val="center"/>
        <w:rPr>
          <w:rFonts w:ascii="黑体" w:hAnsi="黑体" w:eastAsia="黑体"/>
          <w:b/>
          <w:sz w:val="36"/>
        </w:rPr>
      </w:pPr>
      <w:r>
        <w:rPr>
          <w:rFonts w:hint="eastAsia" w:ascii="黑体" w:hAnsi="黑体" w:eastAsia="黑体"/>
          <w:b/>
          <w:sz w:val="36"/>
        </w:rPr>
        <w:t>第</w:t>
      </w:r>
      <w:r>
        <w:rPr>
          <w:rFonts w:hint="eastAsia" w:ascii="黑体" w:hAnsi="黑体" w:eastAsia="黑体"/>
          <w:b/>
          <w:sz w:val="36"/>
          <w:lang w:eastAsia="zh-CN"/>
        </w:rPr>
        <w:t>二</w:t>
      </w:r>
      <w:r>
        <w:rPr>
          <w:rFonts w:hint="eastAsia" w:ascii="黑体" w:hAnsi="黑体" w:eastAsia="黑体"/>
          <w:b/>
          <w:sz w:val="36"/>
        </w:rPr>
        <w:t>部分</w:t>
      </w:r>
      <w:r>
        <w:rPr>
          <w:rFonts w:ascii="黑体" w:hAnsi="黑体" w:eastAsia="黑体"/>
          <w:b/>
          <w:sz w:val="36"/>
        </w:rPr>
        <w:t xml:space="preserve"> </w:t>
      </w:r>
      <w:r>
        <w:rPr>
          <w:rFonts w:hint="eastAsia" w:ascii="黑体" w:hAnsi="黑体" w:eastAsia="黑体"/>
          <w:b/>
          <w:sz w:val="36"/>
        </w:rPr>
        <w:t>投标须知</w:t>
      </w:r>
    </w:p>
    <w:p/>
    <w:tbl>
      <w:tblPr>
        <w:tblStyle w:val="18"/>
        <w:tblW w:w="1032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79"/>
        <w:gridCol w:w="1672"/>
        <w:gridCol w:w="76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979" w:type="dxa"/>
            <w:vAlign w:val="center"/>
          </w:tcPr>
          <w:p>
            <w:pPr>
              <w:overflowPunct w:val="0"/>
              <w:spacing w:line="440" w:lineRule="exact"/>
              <w:jc w:val="center"/>
              <w:rPr>
                <w:rFonts w:ascii="仿宋" w:hAnsi="仿宋" w:eastAsia="仿宋"/>
                <w:sz w:val="24"/>
              </w:rPr>
            </w:pPr>
            <w:r>
              <w:rPr>
                <w:rFonts w:hint="eastAsia" w:ascii="仿宋" w:hAnsi="仿宋" w:eastAsia="仿宋"/>
                <w:sz w:val="24"/>
              </w:rPr>
              <w:t>序号</w:t>
            </w:r>
          </w:p>
        </w:tc>
        <w:tc>
          <w:tcPr>
            <w:tcW w:w="1672" w:type="dxa"/>
            <w:vAlign w:val="center"/>
          </w:tcPr>
          <w:p>
            <w:pPr>
              <w:overflowPunct w:val="0"/>
              <w:spacing w:line="440" w:lineRule="exact"/>
              <w:jc w:val="center"/>
              <w:rPr>
                <w:rFonts w:ascii="仿宋" w:hAnsi="仿宋" w:eastAsia="仿宋"/>
                <w:sz w:val="24"/>
              </w:rPr>
            </w:pPr>
            <w:r>
              <w:rPr>
                <w:rFonts w:hint="eastAsia" w:ascii="仿宋" w:hAnsi="仿宋" w:eastAsia="仿宋"/>
                <w:sz w:val="24"/>
              </w:rPr>
              <w:t>名称</w:t>
            </w:r>
          </w:p>
        </w:tc>
        <w:tc>
          <w:tcPr>
            <w:tcW w:w="7674" w:type="dxa"/>
            <w:vAlign w:val="center"/>
          </w:tcPr>
          <w:p>
            <w:pPr>
              <w:overflowPunct w:val="0"/>
              <w:spacing w:line="440" w:lineRule="exact"/>
              <w:jc w:val="center"/>
              <w:rPr>
                <w:rFonts w:ascii="仿宋" w:hAnsi="仿宋" w:eastAsia="仿宋"/>
                <w:sz w:val="24"/>
              </w:rPr>
            </w:pPr>
            <w:r>
              <w:rPr>
                <w:rFonts w:hint="eastAsia" w:ascii="仿宋" w:hAnsi="仿宋" w:eastAsia="仿宋"/>
                <w:sz w:val="24"/>
              </w:rPr>
              <w:t>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1</w:t>
            </w:r>
          </w:p>
        </w:tc>
        <w:tc>
          <w:tcPr>
            <w:tcW w:w="1672" w:type="dxa"/>
            <w:vAlign w:val="center"/>
          </w:tcPr>
          <w:p>
            <w:pPr>
              <w:overflowPunct w:val="0"/>
              <w:spacing w:line="440" w:lineRule="exact"/>
              <w:jc w:val="center"/>
              <w:rPr>
                <w:rFonts w:ascii="仿宋" w:hAnsi="仿宋" w:eastAsia="仿宋"/>
                <w:sz w:val="24"/>
                <w:szCs w:val="22"/>
              </w:rPr>
            </w:pPr>
            <w:r>
              <w:rPr>
                <w:rFonts w:hint="eastAsia" w:ascii="仿宋" w:hAnsi="仿宋" w:eastAsia="仿宋"/>
                <w:sz w:val="24"/>
                <w:szCs w:val="22"/>
              </w:rPr>
              <w:t>项目编号</w:t>
            </w:r>
          </w:p>
        </w:tc>
        <w:tc>
          <w:tcPr>
            <w:tcW w:w="7674" w:type="dxa"/>
            <w:vAlign w:val="center"/>
          </w:tcPr>
          <w:p>
            <w:pPr>
              <w:spacing w:line="440" w:lineRule="exact"/>
              <w:jc w:val="both"/>
              <w:rPr>
                <w:rFonts w:hint="eastAsia" w:ascii="仿宋" w:hAnsi="仿宋" w:eastAsia="仿宋"/>
                <w:sz w:val="24"/>
                <w:szCs w:val="22"/>
                <w:lang w:eastAsia="zh-CN"/>
              </w:rPr>
            </w:pPr>
            <w:r>
              <w:rPr>
                <w:rFonts w:hint="eastAsia" w:ascii="仿宋" w:hAnsi="仿宋" w:eastAsia="仿宋"/>
                <w:sz w:val="24"/>
                <w:szCs w:val="22"/>
                <w:lang w:val="en-US" w:eastAsia="zh-CN"/>
              </w:rPr>
              <w:t>包段一：</w:t>
            </w:r>
            <w:r>
              <w:rPr>
                <w:rFonts w:hint="eastAsia" w:ascii="仿宋" w:hAnsi="仿宋" w:eastAsia="仿宋"/>
                <w:sz w:val="24"/>
                <w:szCs w:val="22"/>
                <w:lang w:eastAsia="zh-CN"/>
              </w:rPr>
              <w:t>ZJFZFCG2022-002；</w:t>
            </w:r>
            <w:r>
              <w:rPr>
                <w:rFonts w:hint="eastAsia" w:ascii="仿宋" w:hAnsi="仿宋" w:eastAsia="仿宋"/>
                <w:sz w:val="24"/>
                <w:szCs w:val="22"/>
                <w:lang w:val="en-US" w:eastAsia="zh-CN"/>
              </w:rPr>
              <w:t>包段二：</w:t>
            </w:r>
            <w:r>
              <w:rPr>
                <w:rFonts w:hint="eastAsia" w:ascii="仿宋" w:hAnsi="仿宋" w:eastAsia="仿宋"/>
                <w:sz w:val="24"/>
                <w:szCs w:val="22"/>
                <w:lang w:eastAsia="zh-CN"/>
              </w:rPr>
              <w:t>ZJFZFCG2022-00</w:t>
            </w:r>
            <w:r>
              <w:rPr>
                <w:rFonts w:hint="eastAsia" w:ascii="仿宋" w:hAnsi="仿宋" w:eastAsia="仿宋"/>
                <w:sz w:val="24"/>
                <w:szCs w:val="22"/>
                <w:lang w:val="en-US" w:eastAsia="zh-CN"/>
              </w:rPr>
              <w:t>3</w:t>
            </w:r>
          </w:p>
          <w:p>
            <w:pPr>
              <w:pStyle w:val="16"/>
              <w:numPr>
                <w:ilvl w:val="0"/>
                <w:numId w:val="0"/>
              </w:numPr>
              <w:spacing w:line="440" w:lineRule="exact"/>
              <w:jc w:val="both"/>
              <w:rPr>
                <w:rFonts w:hint="eastAsia" w:ascii="仿宋" w:hAnsi="仿宋" w:eastAsia="仿宋"/>
                <w:sz w:val="24"/>
                <w:szCs w:val="22"/>
                <w:lang w:eastAsia="zh-CN"/>
              </w:rPr>
            </w:pPr>
            <w:r>
              <w:rPr>
                <w:rFonts w:hint="default" w:ascii="仿宋" w:hAnsi="仿宋" w:eastAsia="仿宋"/>
                <w:sz w:val="24"/>
                <w:szCs w:val="22"/>
                <w:lang w:val="en-US" w:eastAsia="zh-CN"/>
              </w:rPr>
              <w:t>包段三：ZJFZFCG2022-004；包段四：ZJFZFCG2022-005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2</w:t>
            </w:r>
          </w:p>
        </w:tc>
        <w:tc>
          <w:tcPr>
            <w:tcW w:w="1672" w:type="dxa"/>
            <w:vAlign w:val="center"/>
          </w:tcPr>
          <w:p>
            <w:pPr>
              <w:overflowPunct w:val="0"/>
              <w:spacing w:line="440" w:lineRule="exact"/>
              <w:jc w:val="center"/>
              <w:rPr>
                <w:rFonts w:ascii="仿宋" w:hAnsi="仿宋" w:eastAsia="仿宋"/>
                <w:sz w:val="24"/>
              </w:rPr>
            </w:pPr>
            <w:r>
              <w:rPr>
                <w:rFonts w:hint="eastAsia" w:ascii="仿宋" w:hAnsi="仿宋" w:eastAsia="仿宋"/>
                <w:sz w:val="24"/>
              </w:rPr>
              <w:t>项目名称</w:t>
            </w:r>
          </w:p>
        </w:tc>
        <w:tc>
          <w:tcPr>
            <w:tcW w:w="7674" w:type="dxa"/>
          </w:tcPr>
          <w:p>
            <w:pPr>
              <w:spacing w:line="440" w:lineRule="exact"/>
              <w:jc w:val="both"/>
              <w:rPr>
                <w:rFonts w:hint="eastAsia" w:ascii="仿宋" w:hAnsi="仿宋" w:eastAsia="仿宋" w:cs="宋体"/>
                <w:kern w:val="0"/>
                <w:sz w:val="24"/>
                <w:lang w:eastAsia="zh-CN"/>
              </w:rPr>
            </w:pPr>
            <w:r>
              <w:rPr>
                <w:rFonts w:hint="eastAsia" w:ascii="仿宋" w:hAnsi="仿宋" w:eastAsia="仿宋" w:cs="宋体"/>
                <w:kern w:val="0"/>
                <w:sz w:val="24"/>
                <w:lang w:eastAsia="zh-CN"/>
              </w:rPr>
              <w:t>和</w:t>
            </w:r>
            <w:r>
              <w:rPr>
                <w:rFonts w:hint="eastAsia" w:ascii="仿宋" w:hAnsi="仿宋" w:eastAsia="仿宋" w:cs="宋体"/>
                <w:kern w:val="0"/>
                <w:sz w:val="24"/>
                <w:lang w:val="en-US" w:eastAsia="zh-CN"/>
              </w:rPr>
              <w:t>硕县消防救援能力提升基础设施建设及车辆装备购置项目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3</w:t>
            </w:r>
          </w:p>
        </w:tc>
        <w:tc>
          <w:tcPr>
            <w:tcW w:w="1672" w:type="dxa"/>
            <w:vAlign w:val="center"/>
          </w:tcPr>
          <w:p>
            <w:pPr>
              <w:overflowPunct w:val="0"/>
              <w:spacing w:line="440" w:lineRule="exact"/>
              <w:jc w:val="center"/>
              <w:rPr>
                <w:rFonts w:ascii="仿宋" w:hAnsi="仿宋" w:eastAsia="仿宋"/>
                <w:sz w:val="24"/>
                <w:szCs w:val="22"/>
              </w:rPr>
            </w:pPr>
            <w:r>
              <w:rPr>
                <w:rFonts w:hint="eastAsia" w:ascii="仿宋" w:hAnsi="仿宋" w:eastAsia="仿宋"/>
                <w:sz w:val="24"/>
                <w:szCs w:val="22"/>
              </w:rPr>
              <w:t>联系方式</w:t>
            </w:r>
          </w:p>
        </w:tc>
        <w:tc>
          <w:tcPr>
            <w:tcW w:w="7674" w:type="dxa"/>
            <w:vAlign w:val="center"/>
          </w:tcPr>
          <w:p>
            <w:pPr>
              <w:overflowPunct w:val="0"/>
              <w:spacing w:line="440" w:lineRule="exact"/>
              <w:rPr>
                <w:rFonts w:hint="eastAsia" w:ascii="仿宋" w:hAnsi="仿宋" w:eastAsia="仿宋"/>
                <w:sz w:val="24"/>
                <w:szCs w:val="22"/>
                <w:lang w:eastAsia="zh-CN"/>
              </w:rPr>
            </w:pPr>
            <w:r>
              <w:rPr>
                <w:rFonts w:hint="eastAsia" w:ascii="仿宋" w:hAnsi="仿宋" w:eastAsia="仿宋"/>
                <w:sz w:val="24"/>
                <w:szCs w:val="22"/>
              </w:rPr>
              <w:t>采购单位：</w:t>
            </w:r>
            <w:r>
              <w:rPr>
                <w:rFonts w:hint="eastAsia" w:ascii="仿宋" w:hAnsi="仿宋" w:eastAsia="仿宋"/>
                <w:sz w:val="24"/>
                <w:szCs w:val="22"/>
                <w:lang w:eastAsia="zh-CN"/>
              </w:rPr>
              <w:t>和硕县应急管理局</w:t>
            </w:r>
          </w:p>
          <w:p>
            <w:pPr>
              <w:overflowPunct w:val="0"/>
              <w:spacing w:line="440" w:lineRule="exact"/>
              <w:rPr>
                <w:rFonts w:hint="eastAsia" w:ascii="仿宋" w:hAnsi="仿宋" w:eastAsia="仿宋"/>
                <w:sz w:val="24"/>
                <w:szCs w:val="22"/>
              </w:rPr>
            </w:pPr>
            <w:r>
              <w:rPr>
                <w:rFonts w:hint="eastAsia" w:ascii="仿宋" w:hAnsi="仿宋" w:eastAsia="仿宋"/>
                <w:sz w:val="24"/>
                <w:szCs w:val="22"/>
              </w:rPr>
              <w:t>联系</w:t>
            </w:r>
            <w:r>
              <w:rPr>
                <w:rFonts w:hint="eastAsia" w:ascii="仿宋" w:hAnsi="仿宋" w:eastAsia="仿宋"/>
                <w:sz w:val="24"/>
                <w:szCs w:val="22"/>
                <w:lang w:eastAsia="zh-CN"/>
              </w:rPr>
              <w:t>人：</w:t>
            </w:r>
            <w:r>
              <w:rPr>
                <w:rFonts w:hint="eastAsia" w:ascii="仿宋" w:hAnsi="仿宋" w:eastAsia="仿宋"/>
                <w:sz w:val="24"/>
                <w:szCs w:val="22"/>
                <w:lang w:val="en-US" w:eastAsia="zh-CN"/>
              </w:rPr>
              <w:t xml:space="preserve">刘志刚 </w:t>
            </w:r>
            <w:r>
              <w:rPr>
                <w:rFonts w:hint="eastAsia" w:ascii="仿宋" w:hAnsi="仿宋" w:eastAsia="仿宋"/>
                <w:sz w:val="24"/>
                <w:szCs w:val="22"/>
                <w:lang w:eastAsia="zh-CN"/>
              </w:rPr>
              <w:t xml:space="preserve">    </w:t>
            </w:r>
            <w:r>
              <w:rPr>
                <w:rFonts w:hint="eastAsia" w:ascii="仿宋" w:hAnsi="仿宋" w:eastAsia="仿宋"/>
                <w:sz w:val="24"/>
                <w:szCs w:val="22"/>
                <w:lang w:val="en-US" w:eastAsia="zh-CN"/>
              </w:rPr>
              <w:t xml:space="preserve">      </w:t>
            </w:r>
            <w:r>
              <w:rPr>
                <w:rFonts w:hint="eastAsia" w:ascii="仿宋" w:hAnsi="仿宋" w:eastAsia="仿宋"/>
                <w:sz w:val="24"/>
                <w:szCs w:val="22"/>
              </w:rPr>
              <w:t xml:space="preserve">联系电话： </w:t>
            </w:r>
            <w:r>
              <w:rPr>
                <w:rFonts w:hint="eastAsia" w:ascii="仿宋" w:hAnsi="仿宋" w:eastAsia="仿宋"/>
                <w:sz w:val="24"/>
                <w:szCs w:val="22"/>
                <w:lang w:val="en-US" w:eastAsia="zh-CN"/>
              </w:rPr>
              <w:t>13909969630</w:t>
            </w:r>
          </w:p>
          <w:p>
            <w:pPr>
              <w:overflowPunct w:val="0"/>
              <w:spacing w:line="440" w:lineRule="exact"/>
              <w:rPr>
                <w:rFonts w:hint="eastAsia" w:ascii="仿宋" w:hAnsi="仿宋" w:eastAsia="仿宋"/>
                <w:sz w:val="24"/>
                <w:szCs w:val="22"/>
              </w:rPr>
            </w:pPr>
            <w:r>
              <w:rPr>
                <w:rFonts w:hint="eastAsia" w:ascii="仿宋" w:hAnsi="仿宋" w:eastAsia="仿宋"/>
                <w:sz w:val="24"/>
                <w:szCs w:val="22"/>
              </w:rPr>
              <w:t>招标代理机构：新疆正聚方企业管理咨询有限公司</w:t>
            </w:r>
          </w:p>
          <w:p>
            <w:pPr>
              <w:overflowPunct w:val="0"/>
              <w:spacing w:line="440" w:lineRule="exact"/>
              <w:rPr>
                <w:rFonts w:hint="eastAsia" w:ascii="仿宋" w:hAnsi="仿宋" w:eastAsia="仿宋"/>
                <w:sz w:val="24"/>
                <w:szCs w:val="22"/>
                <w:lang w:val="en-US" w:eastAsia="zh-CN"/>
              </w:rPr>
            </w:pPr>
            <w:r>
              <w:rPr>
                <w:rFonts w:hint="eastAsia" w:ascii="仿宋" w:hAnsi="仿宋" w:eastAsia="仿宋"/>
                <w:sz w:val="24"/>
                <w:szCs w:val="22"/>
              </w:rPr>
              <w:t>招标公司地址：库尔勒市智慧嘉苑门面房65-01-3号2楼</w:t>
            </w:r>
          </w:p>
          <w:p>
            <w:pPr>
              <w:overflowPunct w:val="0"/>
              <w:spacing w:line="440" w:lineRule="exact"/>
              <w:rPr>
                <w:rFonts w:hint="eastAsia" w:ascii="仿宋" w:hAnsi="仿宋" w:eastAsia="仿宋"/>
                <w:sz w:val="24"/>
                <w:szCs w:val="22"/>
                <w:lang w:val="en-US" w:eastAsia="zh-CN"/>
              </w:rPr>
            </w:pPr>
            <w:r>
              <w:rPr>
                <w:rFonts w:hint="eastAsia" w:ascii="仿宋" w:hAnsi="仿宋" w:eastAsia="仿宋"/>
                <w:sz w:val="24"/>
                <w:szCs w:val="22"/>
              </w:rPr>
              <w:t>项目联系人：</w:t>
            </w:r>
            <w:r>
              <w:rPr>
                <w:rFonts w:hint="eastAsia" w:ascii="仿宋" w:hAnsi="仿宋" w:eastAsia="仿宋"/>
                <w:sz w:val="24"/>
                <w:szCs w:val="22"/>
                <w:lang w:eastAsia="zh-CN"/>
              </w:rPr>
              <w:t>彭诗毓</w:t>
            </w:r>
          </w:p>
          <w:p>
            <w:pPr>
              <w:overflowPunct w:val="0"/>
              <w:spacing w:line="440" w:lineRule="exact"/>
              <w:rPr>
                <w:rFonts w:hint="default" w:ascii="仿宋" w:hAnsi="仿宋" w:eastAsia="仿宋"/>
                <w:sz w:val="24"/>
                <w:szCs w:val="22"/>
                <w:lang w:val="en-US" w:eastAsia="zh-CN"/>
              </w:rPr>
            </w:pPr>
            <w:r>
              <w:rPr>
                <w:rFonts w:hint="eastAsia" w:ascii="仿宋" w:hAnsi="仿宋" w:eastAsia="仿宋"/>
                <w:sz w:val="24"/>
                <w:szCs w:val="22"/>
              </w:rPr>
              <w:t>联系电话：</w:t>
            </w:r>
            <w:r>
              <w:rPr>
                <w:rFonts w:hint="eastAsia" w:ascii="仿宋" w:hAnsi="仿宋" w:eastAsia="仿宋"/>
                <w:sz w:val="24"/>
                <w:szCs w:val="22"/>
                <w:lang w:val="en-US" w:eastAsia="zh-CN"/>
              </w:rPr>
              <w:t>18199966830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4</w:t>
            </w:r>
          </w:p>
        </w:tc>
        <w:tc>
          <w:tcPr>
            <w:tcW w:w="1672" w:type="dxa"/>
            <w:vAlign w:val="center"/>
          </w:tcPr>
          <w:p>
            <w:pPr>
              <w:overflowPunct w:val="0"/>
              <w:spacing w:line="440" w:lineRule="exact"/>
              <w:jc w:val="center"/>
              <w:rPr>
                <w:rFonts w:ascii="仿宋" w:hAnsi="仿宋" w:eastAsia="仿宋"/>
                <w:sz w:val="24"/>
              </w:rPr>
            </w:pPr>
            <w:r>
              <w:rPr>
                <w:rFonts w:hint="eastAsia" w:ascii="仿宋" w:hAnsi="仿宋" w:eastAsia="仿宋"/>
                <w:sz w:val="24"/>
                <w:lang w:val="en-US" w:eastAsia="zh-CN"/>
              </w:rPr>
              <w:t>招标</w:t>
            </w:r>
            <w:r>
              <w:rPr>
                <w:rFonts w:hint="eastAsia" w:ascii="仿宋" w:hAnsi="仿宋" w:eastAsia="仿宋"/>
                <w:sz w:val="24"/>
              </w:rPr>
              <w:t>内容</w:t>
            </w:r>
          </w:p>
        </w:tc>
        <w:tc>
          <w:tcPr>
            <w:tcW w:w="7674" w:type="dxa"/>
            <w:vAlign w:val="center"/>
          </w:tcPr>
          <w:p>
            <w:pPr>
              <w:overflowPunct w:val="0"/>
              <w:spacing w:line="440" w:lineRule="exact"/>
              <w:rPr>
                <w:rFonts w:hint="default"/>
                <w:lang w:val="en-US" w:eastAsia="zh-CN"/>
              </w:rPr>
            </w:pPr>
            <w:r>
              <w:rPr>
                <w:rFonts w:hint="eastAsia" w:ascii="仿宋" w:hAnsi="仿宋" w:eastAsia="仿宋"/>
                <w:sz w:val="24"/>
                <w:szCs w:val="22"/>
                <w:lang w:val="en-US" w:eastAsia="zh-CN"/>
              </w:rPr>
              <w:t>第一包段：压缩空气泡沫车1辆、举高喷射消防车1辆、登高平台类消防车1辆；详细内容详见清单；第二包段：消防艇1辆、水上无线遥控智能动力救生圈1辆，详细内容详见清单；第三包段：破拆工具组、单兵救援装备单人配置、单兵救援装备团队配置，详细内容详见清单；第四包段：</w:t>
            </w:r>
            <w:r>
              <w:rPr>
                <w:rFonts w:hint="default" w:ascii="仿宋" w:hAnsi="仿宋" w:eastAsia="仿宋"/>
                <w:sz w:val="24"/>
                <w:szCs w:val="22"/>
                <w:lang w:val="en-US" w:eastAsia="zh-CN"/>
              </w:rPr>
              <w:t>模块消防车（皮卡车）1辆、消防指挥车（SUV）1辆</w:t>
            </w:r>
            <w:r>
              <w:rPr>
                <w:rFonts w:hint="eastAsia" w:ascii="仿宋" w:hAnsi="仿宋" w:eastAsia="仿宋"/>
                <w:sz w:val="24"/>
                <w:szCs w:val="22"/>
                <w:lang w:val="en-US" w:eastAsia="zh-CN"/>
              </w:rPr>
              <w:t>，详细内容详见清单。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5</w:t>
            </w:r>
          </w:p>
        </w:tc>
        <w:tc>
          <w:tcPr>
            <w:tcW w:w="1672" w:type="dxa"/>
            <w:vAlign w:val="center"/>
          </w:tcPr>
          <w:p>
            <w:pPr>
              <w:overflowPunct w:val="0"/>
              <w:spacing w:line="440" w:lineRule="exact"/>
              <w:jc w:val="center"/>
              <w:rPr>
                <w:rFonts w:ascii="仿宋" w:hAnsi="仿宋" w:eastAsia="仿宋"/>
                <w:color w:val="auto"/>
                <w:sz w:val="24"/>
                <w:szCs w:val="22"/>
              </w:rPr>
            </w:pPr>
            <w:r>
              <w:rPr>
                <w:rFonts w:hint="eastAsia" w:ascii="仿宋" w:hAnsi="仿宋" w:eastAsia="仿宋"/>
                <w:color w:val="auto"/>
                <w:sz w:val="24"/>
                <w:szCs w:val="22"/>
              </w:rPr>
              <w:t>预算金额</w:t>
            </w:r>
          </w:p>
        </w:tc>
        <w:tc>
          <w:tcPr>
            <w:tcW w:w="7674" w:type="dxa"/>
            <w:vAlign w:val="center"/>
          </w:tcPr>
          <w:p>
            <w:pPr>
              <w:overflowPunct w:val="0"/>
              <w:spacing w:line="440" w:lineRule="exact"/>
              <w:rPr>
                <w:rFonts w:ascii="仿宋" w:hAnsi="仿宋" w:eastAsia="仿宋"/>
                <w:color w:val="auto"/>
                <w:sz w:val="24"/>
                <w:szCs w:val="22"/>
              </w:rPr>
            </w:pPr>
            <w:r>
              <w:rPr>
                <w:rFonts w:hint="eastAsia" w:ascii="仿宋" w:hAnsi="仿宋" w:eastAsia="仿宋"/>
                <w:color w:val="auto"/>
                <w:sz w:val="24"/>
                <w:szCs w:val="22"/>
              </w:rPr>
              <w:t>10135900元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9" w:type="dxa"/>
            <w:tcBorders>
              <w:bottom w:val="single" w:color="auto" w:sz="4" w:space="0"/>
            </w:tcBorders>
            <w:vAlign w:val="center"/>
          </w:tcPr>
          <w:p>
            <w:pPr>
              <w:overflowPunct w:val="0"/>
              <w:spacing w:line="440" w:lineRule="exact"/>
              <w:jc w:val="center"/>
              <w:rPr>
                <w:rFonts w:ascii="仿宋" w:hAnsi="仿宋" w:eastAsia="仿宋"/>
                <w:sz w:val="24"/>
              </w:rPr>
            </w:pPr>
            <w:r>
              <w:rPr>
                <w:rFonts w:ascii="仿宋" w:hAnsi="仿宋" w:eastAsia="仿宋"/>
                <w:sz w:val="24"/>
              </w:rPr>
              <w:t>6</w:t>
            </w:r>
          </w:p>
        </w:tc>
        <w:tc>
          <w:tcPr>
            <w:tcW w:w="1672" w:type="dxa"/>
            <w:tcBorders>
              <w:bottom w:val="single" w:color="auto" w:sz="4" w:space="0"/>
              <w:right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sz w:val="24"/>
              </w:rPr>
              <w:t>投标资格</w:t>
            </w:r>
          </w:p>
        </w:tc>
        <w:tc>
          <w:tcPr>
            <w:tcW w:w="7674" w:type="dxa"/>
            <w:tcBorders>
              <w:left w:val="single" w:color="auto" w:sz="4" w:space="0"/>
              <w:bottom w:val="single" w:color="auto" w:sz="4" w:space="0"/>
            </w:tcBorders>
            <w:vAlign w:val="center"/>
          </w:tcPr>
          <w:p>
            <w:pPr>
              <w:overflowPunct w:val="0"/>
              <w:spacing w:line="440" w:lineRule="exact"/>
              <w:rPr>
                <w:rFonts w:hint="eastAsia" w:ascii="仿宋" w:hAnsi="仿宋" w:eastAsia="仿宋"/>
                <w:sz w:val="24"/>
                <w:szCs w:val="22"/>
              </w:rPr>
            </w:pPr>
            <w:r>
              <w:rPr>
                <w:rFonts w:hint="eastAsia" w:ascii="仿宋" w:hAnsi="仿宋" w:eastAsia="仿宋"/>
                <w:sz w:val="24"/>
                <w:szCs w:val="22"/>
              </w:rPr>
              <w:t>1、符合《中华人民共和国政府采购法》第二十二条的相关规定；</w:t>
            </w:r>
          </w:p>
          <w:p>
            <w:pPr>
              <w:overflowPunct w:val="0"/>
              <w:spacing w:line="440" w:lineRule="exact"/>
              <w:rPr>
                <w:rFonts w:hint="eastAsia" w:ascii="仿宋" w:hAnsi="仿宋" w:eastAsia="仿宋"/>
                <w:sz w:val="24"/>
                <w:szCs w:val="22"/>
              </w:rPr>
            </w:pPr>
            <w:r>
              <w:rPr>
                <w:rFonts w:hint="eastAsia" w:ascii="仿宋" w:hAnsi="仿宋" w:eastAsia="仿宋"/>
                <w:sz w:val="24"/>
                <w:szCs w:val="22"/>
              </w:rPr>
              <w:t>2、有效的“三证合一”的营业执照，且具备所投标的经营范围；</w:t>
            </w:r>
          </w:p>
          <w:p>
            <w:pPr>
              <w:overflowPunct w:val="0"/>
              <w:spacing w:line="440" w:lineRule="exact"/>
              <w:rPr>
                <w:rFonts w:hint="eastAsia" w:ascii="仿宋" w:hAnsi="仿宋" w:eastAsia="仿宋"/>
                <w:sz w:val="24"/>
                <w:szCs w:val="22"/>
              </w:rPr>
            </w:pPr>
            <w:r>
              <w:rPr>
                <w:rFonts w:hint="eastAsia" w:ascii="仿宋" w:hAnsi="仿宋" w:eastAsia="仿宋"/>
                <w:sz w:val="24"/>
                <w:szCs w:val="22"/>
              </w:rPr>
              <w:t>3、投标人需具备独立法人资格，能够承担相应的供货、服务能力，持有效营业执照的生产厂家或代理商；</w:t>
            </w:r>
          </w:p>
          <w:p>
            <w:pPr>
              <w:overflowPunct w:val="0"/>
              <w:spacing w:line="440" w:lineRule="exact"/>
              <w:rPr>
                <w:rFonts w:hint="eastAsia" w:ascii="仿宋" w:hAnsi="仿宋" w:eastAsia="仿宋"/>
                <w:sz w:val="24"/>
                <w:szCs w:val="22"/>
              </w:rPr>
            </w:pPr>
            <w:r>
              <w:rPr>
                <w:rFonts w:hint="eastAsia" w:ascii="仿宋" w:hAnsi="仿宋" w:eastAsia="仿宋"/>
                <w:sz w:val="24"/>
                <w:szCs w:val="22"/>
                <w:lang w:val="en-US" w:eastAsia="zh-CN"/>
              </w:rPr>
              <w:t>4</w:t>
            </w:r>
            <w:r>
              <w:rPr>
                <w:rFonts w:hint="eastAsia" w:ascii="仿宋" w:hAnsi="仿宋" w:eastAsia="仿宋"/>
                <w:sz w:val="24"/>
                <w:szCs w:val="22"/>
              </w:rPr>
              <w:t>、</w:t>
            </w:r>
            <w:r>
              <w:rPr>
                <w:rFonts w:hint="eastAsia" w:ascii="仿宋" w:hAnsi="仿宋" w:eastAsia="仿宋"/>
                <w:sz w:val="24"/>
                <w:szCs w:val="22"/>
                <w:lang w:eastAsia="zh-CN"/>
              </w:rPr>
              <w:t>近三年</w:t>
            </w:r>
            <w:r>
              <w:rPr>
                <w:rFonts w:hint="eastAsia" w:ascii="仿宋" w:hAnsi="仿宋" w:eastAsia="仿宋"/>
                <w:sz w:val="24"/>
                <w:szCs w:val="22"/>
              </w:rPr>
              <w:t>具有良好的商业信誉和健全的财务会计制度；</w:t>
            </w:r>
          </w:p>
          <w:p>
            <w:pPr>
              <w:overflowPunct w:val="0"/>
              <w:spacing w:line="440" w:lineRule="exact"/>
              <w:rPr>
                <w:rFonts w:hint="eastAsia" w:ascii="仿宋" w:hAnsi="仿宋" w:eastAsia="仿宋"/>
                <w:sz w:val="24"/>
                <w:szCs w:val="22"/>
              </w:rPr>
            </w:pPr>
            <w:r>
              <w:rPr>
                <w:rFonts w:hint="eastAsia" w:ascii="仿宋" w:hAnsi="仿宋" w:eastAsia="仿宋"/>
                <w:sz w:val="24"/>
                <w:szCs w:val="22"/>
                <w:lang w:val="en-US" w:eastAsia="zh-CN"/>
              </w:rPr>
              <w:t>5</w:t>
            </w:r>
            <w:r>
              <w:rPr>
                <w:rFonts w:hint="eastAsia" w:ascii="仿宋" w:hAnsi="仿宋" w:eastAsia="仿宋"/>
                <w:sz w:val="24"/>
                <w:szCs w:val="22"/>
              </w:rPr>
              <w:t>、近三年内，在经营活动中没有重大违法记录；</w:t>
            </w:r>
          </w:p>
          <w:p>
            <w:pPr>
              <w:overflowPunct w:val="0"/>
              <w:spacing w:line="440" w:lineRule="exact"/>
              <w:rPr>
                <w:rFonts w:hint="eastAsia" w:ascii="仿宋" w:hAnsi="仿宋" w:eastAsia="仿宋"/>
                <w:sz w:val="24"/>
                <w:szCs w:val="22"/>
              </w:rPr>
            </w:pPr>
            <w:r>
              <w:rPr>
                <w:rFonts w:hint="eastAsia" w:ascii="仿宋" w:hAnsi="仿宋" w:eastAsia="仿宋"/>
                <w:sz w:val="24"/>
                <w:szCs w:val="22"/>
                <w:lang w:val="en-US" w:eastAsia="zh-CN"/>
              </w:rPr>
              <w:t>6</w:t>
            </w:r>
            <w:r>
              <w:rPr>
                <w:rFonts w:hint="eastAsia" w:ascii="仿宋" w:hAnsi="仿宋" w:eastAsia="仿宋"/>
                <w:sz w:val="24"/>
                <w:szCs w:val="22"/>
              </w:rPr>
              <w:t>、经 信 用 中 国 （ www.creditchina.gov.cn ） 、 中 国 政 府 采 购 网（www.ccgp.gov.cn）等渠道查询后，列入失信被执行人、重大税违法案件当事人名单、政府采购严重违法失信行为记录名单的，取消投标资格。（提供“信用中国”网站无任何不良记录的查询截图并加盖公章，时间为投标截止时间前 20 天内）；</w:t>
            </w:r>
          </w:p>
          <w:p>
            <w:pPr>
              <w:overflowPunct w:val="0"/>
              <w:spacing w:line="440" w:lineRule="exact"/>
              <w:rPr>
                <w:rFonts w:hint="eastAsia" w:ascii="仿宋" w:hAnsi="仿宋" w:eastAsia="仿宋"/>
                <w:sz w:val="24"/>
                <w:szCs w:val="22"/>
              </w:rPr>
            </w:pPr>
            <w:r>
              <w:rPr>
                <w:rFonts w:hint="eastAsia" w:ascii="仿宋" w:hAnsi="仿宋" w:eastAsia="仿宋"/>
                <w:sz w:val="24"/>
                <w:szCs w:val="22"/>
                <w:lang w:val="en-US" w:eastAsia="zh-CN"/>
              </w:rPr>
              <w:t>7</w:t>
            </w:r>
            <w:r>
              <w:rPr>
                <w:rFonts w:hint="eastAsia" w:ascii="仿宋" w:hAnsi="仿宋" w:eastAsia="仿宋"/>
                <w:sz w:val="24"/>
                <w:szCs w:val="22"/>
              </w:rPr>
              <w:t>、按文件要求缴纳投标保证金；。</w:t>
            </w:r>
          </w:p>
          <w:p>
            <w:pPr>
              <w:overflowPunct w:val="0"/>
              <w:spacing w:line="440" w:lineRule="exact"/>
              <w:rPr>
                <w:rFonts w:hint="eastAsia"/>
              </w:rPr>
            </w:pPr>
            <w:r>
              <w:rPr>
                <w:rFonts w:hint="eastAsia" w:ascii="仿宋" w:hAnsi="仿宋" w:eastAsia="仿宋"/>
                <w:sz w:val="24"/>
                <w:szCs w:val="22"/>
                <w:lang w:val="en-US" w:eastAsia="zh-CN"/>
              </w:rPr>
              <w:t>8</w:t>
            </w:r>
            <w:r>
              <w:rPr>
                <w:rFonts w:hint="eastAsia" w:ascii="仿宋" w:hAnsi="仿宋" w:eastAsia="仿宋"/>
                <w:sz w:val="24"/>
                <w:szCs w:val="22"/>
              </w:rPr>
              <w:t>、为充分保证完善的售后服务，本项目不接受联合体投标。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25" w:hRule="atLeast"/>
          <w:jc w:val="center"/>
        </w:trPr>
        <w:tc>
          <w:tcPr>
            <w:tcW w:w="979" w:type="dxa"/>
            <w:tcBorders>
              <w:bottom w:val="single" w:color="auto" w:sz="4" w:space="0"/>
            </w:tcBorders>
            <w:vAlign w:val="center"/>
          </w:tcPr>
          <w:p>
            <w:pPr>
              <w:overflowPunct w:val="0"/>
              <w:spacing w:line="440" w:lineRule="exact"/>
              <w:jc w:val="center"/>
              <w:rPr>
                <w:rFonts w:ascii="仿宋" w:hAnsi="仿宋" w:eastAsia="仿宋"/>
                <w:sz w:val="24"/>
              </w:rPr>
            </w:pPr>
            <w:r>
              <w:rPr>
                <w:rFonts w:ascii="仿宋" w:hAnsi="仿宋" w:eastAsia="仿宋"/>
                <w:sz w:val="24"/>
              </w:rPr>
              <w:t>7</w:t>
            </w:r>
          </w:p>
        </w:tc>
        <w:tc>
          <w:tcPr>
            <w:tcW w:w="1672" w:type="dxa"/>
            <w:tcBorders>
              <w:bottom w:val="single" w:color="auto" w:sz="4" w:space="0"/>
              <w:right w:val="single" w:color="auto" w:sz="4" w:space="0"/>
            </w:tcBorders>
            <w:vAlign w:val="center"/>
          </w:tcPr>
          <w:p>
            <w:pPr>
              <w:pStyle w:val="26"/>
              <w:ind w:left="38"/>
              <w:jc w:val="center"/>
              <w:rPr>
                <w:rFonts w:ascii="仿宋" w:hAnsi="仿宋" w:eastAsia="仿宋" w:cs="Times New Roman"/>
                <w:kern w:val="2"/>
              </w:rPr>
            </w:pPr>
            <w:r>
              <w:rPr>
                <w:rFonts w:hint="eastAsia" w:ascii="仿宋" w:hAnsi="仿宋" w:eastAsia="仿宋" w:cs="Times New Roman"/>
                <w:kern w:val="2"/>
              </w:rPr>
              <w:t>信用情况</w:t>
            </w:r>
          </w:p>
        </w:tc>
        <w:tc>
          <w:tcPr>
            <w:tcW w:w="7674" w:type="dxa"/>
            <w:tcBorders>
              <w:left w:val="single" w:color="auto" w:sz="4" w:space="0"/>
              <w:bottom w:val="single" w:color="auto" w:sz="4" w:space="0"/>
            </w:tcBorders>
            <w:vAlign w:val="center"/>
          </w:tcPr>
          <w:p>
            <w:pPr>
              <w:overflowPunct w:val="0"/>
              <w:spacing w:line="440" w:lineRule="exact"/>
              <w:rPr>
                <w:rFonts w:hint="eastAsia" w:ascii="仿宋" w:hAnsi="仿宋" w:eastAsia="仿宋"/>
                <w:sz w:val="24"/>
                <w:szCs w:val="22"/>
              </w:rPr>
            </w:pPr>
            <w:r>
              <w:rPr>
                <w:rFonts w:hint="eastAsia" w:ascii="仿宋" w:hAnsi="仿宋" w:eastAsia="仿宋"/>
                <w:sz w:val="24"/>
                <w:szCs w:val="22"/>
              </w:rPr>
              <w:t>信用记录查询时间及方式：</w:t>
            </w:r>
          </w:p>
          <w:p>
            <w:pPr>
              <w:overflowPunct w:val="0"/>
              <w:spacing w:line="440" w:lineRule="exact"/>
              <w:rPr>
                <w:rFonts w:hint="eastAsia" w:ascii="仿宋" w:hAnsi="仿宋" w:eastAsia="仿宋"/>
                <w:sz w:val="24"/>
                <w:szCs w:val="22"/>
              </w:rPr>
            </w:pPr>
            <w:r>
              <w:rPr>
                <w:rFonts w:hint="eastAsia" w:ascii="仿宋" w:hAnsi="仿宋" w:eastAsia="仿宋"/>
                <w:sz w:val="24"/>
                <w:szCs w:val="22"/>
              </w:rPr>
              <w:t>（1）查询时间：自招标公告发布日期起至开标日期止，超出此时间范围将被视为无效投标。</w:t>
            </w:r>
          </w:p>
          <w:p>
            <w:pPr>
              <w:overflowPunct w:val="0"/>
              <w:spacing w:line="440" w:lineRule="exact"/>
              <w:rPr>
                <w:rFonts w:hint="eastAsia" w:ascii="仿宋" w:hAnsi="仿宋" w:eastAsia="仿宋"/>
                <w:sz w:val="24"/>
                <w:szCs w:val="22"/>
              </w:rPr>
            </w:pPr>
            <w:r>
              <w:rPr>
                <w:rFonts w:hint="eastAsia" w:ascii="仿宋" w:hAnsi="仿宋" w:eastAsia="仿宋"/>
                <w:sz w:val="24"/>
                <w:szCs w:val="22"/>
              </w:rPr>
              <w:t>（2）查询方式：投标人自行通过“</w:t>
            </w:r>
            <w:r>
              <w:rPr>
                <w:rFonts w:hint="eastAsia" w:ascii="仿宋" w:hAnsi="仿宋" w:eastAsia="仿宋"/>
                <w:sz w:val="24"/>
                <w:szCs w:val="22"/>
                <w:lang w:eastAsia="zh-CN"/>
              </w:rPr>
              <w:t>信用中国</w:t>
            </w:r>
            <w:r>
              <w:rPr>
                <w:rFonts w:hint="eastAsia" w:ascii="仿宋" w:hAnsi="仿宋" w:eastAsia="仿宋"/>
                <w:sz w:val="24"/>
                <w:szCs w:val="22"/>
              </w:rPr>
              <w:t>”及“中国政府采购网”查询，并按招标文件要求提供网页材料。被列入失信被执行人、重大税收违法案件当事人名单、政府采购严重违法失信行为记录名单及其他不符合《中华人民共和国政府采购法》第二十二条规定条件的供应商，其投标文件将被视为无效投标。未提供证明材料的视为不响应招标文件。</w:t>
            </w:r>
          </w:p>
          <w:p>
            <w:pPr>
              <w:overflowPunct w:val="0"/>
              <w:spacing w:line="440" w:lineRule="exact"/>
              <w:rPr>
                <w:rFonts w:hint="eastAsia" w:ascii="仿宋" w:hAnsi="仿宋" w:eastAsia="仿宋"/>
                <w:sz w:val="24"/>
                <w:szCs w:val="22"/>
              </w:rPr>
            </w:pPr>
            <w:r>
              <w:rPr>
                <w:rFonts w:hint="eastAsia" w:ascii="仿宋" w:hAnsi="仿宋" w:eastAsia="仿宋"/>
                <w:sz w:val="24"/>
                <w:szCs w:val="22"/>
              </w:rPr>
              <w:t>（3）供应商参加政府采购活动时，应当就自己的诚信情况在响应性文件中进行承诺。</w:t>
            </w:r>
          </w:p>
          <w:p>
            <w:pPr>
              <w:overflowPunct w:val="0"/>
              <w:spacing w:line="440" w:lineRule="exact"/>
              <w:rPr>
                <w:rFonts w:hint="eastAsia" w:ascii="仿宋" w:hAnsi="仿宋" w:eastAsia="仿宋"/>
                <w:sz w:val="24"/>
                <w:szCs w:val="22"/>
              </w:rPr>
            </w:pPr>
            <w:r>
              <w:rPr>
                <w:rFonts w:hint="eastAsia" w:ascii="仿宋" w:hAnsi="仿宋" w:eastAsia="仿宋"/>
                <w:sz w:val="24"/>
                <w:szCs w:val="22"/>
              </w:rPr>
              <w:t>本项目不接受失信企业投标。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2" w:hRule="atLeast"/>
          <w:jc w:val="center"/>
        </w:trPr>
        <w:tc>
          <w:tcPr>
            <w:tcW w:w="979" w:type="dxa"/>
            <w:tcBorders>
              <w:top w:val="single" w:color="auto" w:sz="4" w:space="0"/>
            </w:tcBorders>
            <w:vAlign w:val="center"/>
          </w:tcPr>
          <w:p>
            <w:pPr>
              <w:overflowPunct w:val="0"/>
              <w:spacing w:line="440" w:lineRule="exact"/>
              <w:jc w:val="center"/>
              <w:rPr>
                <w:rFonts w:ascii="仿宋" w:hAnsi="仿宋" w:eastAsia="仿宋"/>
                <w:sz w:val="24"/>
              </w:rPr>
            </w:pPr>
            <w:r>
              <w:rPr>
                <w:rFonts w:ascii="仿宋" w:hAnsi="仿宋" w:eastAsia="仿宋"/>
                <w:sz w:val="24"/>
              </w:rPr>
              <w:t>8</w:t>
            </w:r>
          </w:p>
        </w:tc>
        <w:tc>
          <w:tcPr>
            <w:tcW w:w="1672" w:type="dxa"/>
            <w:tcBorders>
              <w:top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sz w:val="24"/>
              </w:rPr>
              <w:t>投标有效期</w:t>
            </w:r>
          </w:p>
        </w:tc>
        <w:tc>
          <w:tcPr>
            <w:tcW w:w="7674" w:type="dxa"/>
            <w:tcBorders>
              <w:top w:val="single" w:color="auto" w:sz="4" w:space="0"/>
            </w:tcBorders>
            <w:vAlign w:val="center"/>
          </w:tcPr>
          <w:p>
            <w:pPr>
              <w:overflowPunct w:val="0"/>
              <w:spacing w:line="440" w:lineRule="exact"/>
              <w:rPr>
                <w:rFonts w:hint="eastAsia" w:ascii="仿宋" w:hAnsi="仿宋" w:eastAsia="仿宋"/>
                <w:sz w:val="24"/>
                <w:lang w:val="en-US" w:eastAsia="zh-CN"/>
              </w:rPr>
            </w:pPr>
            <w:r>
              <w:rPr>
                <w:rFonts w:hint="eastAsia" w:ascii="仿宋" w:hAnsi="仿宋" w:eastAsia="仿宋"/>
                <w:sz w:val="24"/>
                <w:lang w:val="en-US" w:eastAsia="zh-CN"/>
              </w:rPr>
              <w:t>60天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9" w:type="dxa"/>
            <w:tcBorders>
              <w:bottom w:val="single" w:color="auto" w:sz="4" w:space="0"/>
            </w:tcBorders>
            <w:vAlign w:val="center"/>
          </w:tcPr>
          <w:p>
            <w:pPr>
              <w:overflowPunct w:val="0"/>
              <w:spacing w:line="440" w:lineRule="exact"/>
              <w:jc w:val="center"/>
              <w:rPr>
                <w:rFonts w:ascii="仿宋" w:hAnsi="仿宋" w:eastAsia="仿宋"/>
                <w:sz w:val="24"/>
              </w:rPr>
            </w:pPr>
            <w:r>
              <w:rPr>
                <w:rFonts w:ascii="仿宋" w:hAnsi="仿宋" w:eastAsia="仿宋"/>
                <w:sz w:val="24"/>
              </w:rPr>
              <w:t>9</w:t>
            </w:r>
          </w:p>
        </w:tc>
        <w:tc>
          <w:tcPr>
            <w:tcW w:w="1672" w:type="dxa"/>
            <w:tcBorders>
              <w:bottom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sz w:val="24"/>
              </w:rPr>
              <w:t>评标方法</w:t>
            </w:r>
          </w:p>
        </w:tc>
        <w:tc>
          <w:tcPr>
            <w:tcW w:w="7674" w:type="dxa"/>
            <w:tcBorders>
              <w:bottom w:val="single" w:color="auto" w:sz="4" w:space="0"/>
            </w:tcBorders>
            <w:vAlign w:val="center"/>
          </w:tcPr>
          <w:p>
            <w:pPr>
              <w:overflowPunct w:val="0"/>
              <w:spacing w:line="440" w:lineRule="exact"/>
              <w:rPr>
                <w:rFonts w:ascii="仿宋" w:hAnsi="仿宋" w:eastAsia="仿宋"/>
                <w:sz w:val="24"/>
              </w:rPr>
            </w:pPr>
            <w:r>
              <w:rPr>
                <w:rFonts w:hint="eastAsia" w:ascii="仿宋" w:hAnsi="仿宋" w:eastAsia="仿宋"/>
                <w:sz w:val="24"/>
              </w:rPr>
              <w:t>综合评分法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45" w:hRule="atLeast"/>
          <w:jc w:val="center"/>
        </w:trPr>
        <w:tc>
          <w:tcPr>
            <w:tcW w:w="979" w:type="dxa"/>
            <w:tcBorders>
              <w:top w:val="single" w:color="auto" w:sz="4" w:space="0"/>
            </w:tcBorders>
            <w:vAlign w:val="center"/>
          </w:tcPr>
          <w:p>
            <w:pPr>
              <w:overflowPunct w:val="0"/>
              <w:spacing w:line="440" w:lineRule="exact"/>
              <w:jc w:val="center"/>
              <w:rPr>
                <w:rFonts w:ascii="仿宋" w:hAnsi="仿宋" w:eastAsia="仿宋"/>
                <w:sz w:val="24"/>
              </w:rPr>
            </w:pPr>
            <w:r>
              <w:rPr>
                <w:rFonts w:ascii="仿宋" w:hAnsi="仿宋" w:eastAsia="仿宋"/>
                <w:sz w:val="24"/>
              </w:rPr>
              <w:t>10</w:t>
            </w:r>
          </w:p>
        </w:tc>
        <w:tc>
          <w:tcPr>
            <w:tcW w:w="1672" w:type="dxa"/>
            <w:tcBorders>
              <w:top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cs="宋体"/>
                <w:kern w:val="0"/>
                <w:sz w:val="24"/>
              </w:rPr>
              <w:t>是否接受联合体投标</w:t>
            </w:r>
          </w:p>
        </w:tc>
        <w:tc>
          <w:tcPr>
            <w:tcW w:w="7674" w:type="dxa"/>
            <w:tcBorders>
              <w:top w:val="single" w:color="auto" w:sz="4" w:space="0"/>
            </w:tcBorders>
            <w:vAlign w:val="center"/>
          </w:tcPr>
          <w:p>
            <w:pPr>
              <w:overflowPunct w:val="0"/>
              <w:spacing w:line="440" w:lineRule="exact"/>
              <w:rPr>
                <w:rFonts w:ascii="仿宋" w:hAnsi="仿宋" w:eastAsia="仿宋"/>
                <w:sz w:val="24"/>
              </w:rPr>
            </w:pPr>
            <w:r>
              <w:rPr>
                <w:rFonts w:hint="eastAsia" w:ascii="仿宋" w:hAnsi="仿宋" w:eastAsia="仿宋"/>
                <w:sz w:val="24"/>
              </w:rPr>
              <w:t>不接受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55" w:hRule="atLeast"/>
          <w:jc w:val="center"/>
        </w:trPr>
        <w:tc>
          <w:tcPr>
            <w:tcW w:w="979" w:type="dxa"/>
            <w:vAlign w:val="center"/>
          </w:tcPr>
          <w:p>
            <w:pPr>
              <w:overflowPunct w:val="0"/>
              <w:spacing w:line="440" w:lineRule="exact"/>
              <w:jc w:val="center"/>
              <w:rPr>
                <w:rFonts w:ascii="仿宋" w:hAnsi="仿宋" w:eastAsia="仿宋"/>
                <w:sz w:val="24"/>
              </w:rPr>
            </w:pPr>
            <w:r>
              <w:rPr>
                <w:rFonts w:ascii="仿宋" w:hAnsi="仿宋" w:eastAsia="仿宋"/>
                <w:sz w:val="24"/>
              </w:rPr>
              <w:t>11</w:t>
            </w:r>
          </w:p>
        </w:tc>
        <w:tc>
          <w:tcPr>
            <w:tcW w:w="1672" w:type="dxa"/>
            <w:vAlign w:val="center"/>
          </w:tcPr>
          <w:p>
            <w:pPr>
              <w:overflowPunct w:val="0"/>
              <w:spacing w:line="440" w:lineRule="exact"/>
              <w:jc w:val="center"/>
              <w:rPr>
                <w:rFonts w:ascii="仿宋" w:hAnsi="仿宋" w:eastAsia="仿宋"/>
                <w:sz w:val="24"/>
              </w:rPr>
            </w:pPr>
            <w:r>
              <w:rPr>
                <w:rFonts w:hint="eastAsia" w:ascii="仿宋" w:hAnsi="仿宋" w:eastAsia="仿宋"/>
                <w:sz w:val="24"/>
                <w:lang w:val="en-US" w:eastAsia="zh-CN"/>
              </w:rPr>
              <w:t>招标</w:t>
            </w:r>
            <w:r>
              <w:rPr>
                <w:rFonts w:hint="eastAsia" w:ascii="仿宋" w:hAnsi="仿宋" w:eastAsia="仿宋"/>
                <w:sz w:val="24"/>
              </w:rPr>
              <w:t>文件发放日期</w:t>
            </w:r>
          </w:p>
        </w:tc>
        <w:tc>
          <w:tcPr>
            <w:tcW w:w="7674" w:type="dxa"/>
            <w:vAlign w:val="center"/>
          </w:tcPr>
          <w:p>
            <w:pPr>
              <w:overflowPunct w:val="0"/>
              <w:spacing w:line="440" w:lineRule="exact"/>
              <w:rPr>
                <w:rFonts w:hint="eastAsia" w:ascii="仿宋" w:hAnsi="仿宋" w:eastAsia="仿宋" w:cs="宋体"/>
                <w:kern w:val="0"/>
                <w:szCs w:val="21"/>
                <w:lang w:eastAsia="zh-CN"/>
              </w:rPr>
            </w:pPr>
            <w:r>
              <w:rPr>
                <w:rFonts w:hint="eastAsia" w:ascii="仿宋" w:hAnsi="仿宋" w:eastAsia="仿宋"/>
                <w:sz w:val="24"/>
                <w:highlight w:val="none"/>
              </w:rPr>
              <w:t>时间：</w:t>
            </w:r>
            <w:r>
              <w:rPr>
                <w:rFonts w:hint="eastAsia" w:ascii="仿宋" w:hAnsi="仿宋" w:eastAsia="仿宋" w:cs="宋体"/>
                <w:kern w:val="0"/>
                <w:sz w:val="24"/>
                <w:szCs w:val="24"/>
                <w:highlight w:val="none"/>
              </w:rPr>
              <w:t>202</w:t>
            </w:r>
            <w:r>
              <w:rPr>
                <w:rFonts w:hint="eastAsia" w:ascii="仿宋" w:hAnsi="仿宋" w:eastAsia="仿宋" w:cs="宋体"/>
                <w:kern w:val="0"/>
                <w:sz w:val="24"/>
                <w:szCs w:val="24"/>
                <w:highlight w:val="none"/>
                <w:lang w:val="en-US" w:eastAsia="zh-CN"/>
              </w:rPr>
              <w:t>2</w:t>
            </w:r>
            <w:r>
              <w:rPr>
                <w:rFonts w:hint="eastAsia" w:ascii="仿宋" w:hAnsi="仿宋" w:eastAsia="仿宋" w:cs="宋体"/>
                <w:kern w:val="0"/>
                <w:sz w:val="24"/>
                <w:szCs w:val="24"/>
                <w:highlight w:val="none"/>
              </w:rPr>
              <w:t>年</w:t>
            </w:r>
            <w:r>
              <w:rPr>
                <w:rFonts w:hint="eastAsia" w:ascii="仿宋" w:hAnsi="仿宋" w:eastAsia="仿宋" w:cs="宋体"/>
                <w:kern w:val="0"/>
                <w:sz w:val="24"/>
                <w:szCs w:val="24"/>
                <w:highlight w:val="none"/>
                <w:lang w:val="en-US" w:eastAsia="zh-CN"/>
              </w:rPr>
              <w:t>6</w:t>
            </w:r>
            <w:r>
              <w:rPr>
                <w:rFonts w:hint="eastAsia" w:ascii="仿宋" w:hAnsi="仿宋" w:eastAsia="仿宋" w:cs="宋体"/>
                <w:kern w:val="0"/>
                <w:sz w:val="24"/>
                <w:szCs w:val="24"/>
                <w:highlight w:val="none"/>
              </w:rPr>
              <w:t>月</w:t>
            </w:r>
            <w:r>
              <w:rPr>
                <w:rFonts w:hint="eastAsia" w:ascii="仿宋" w:hAnsi="仿宋" w:eastAsia="仿宋" w:cs="宋体"/>
                <w:kern w:val="0"/>
                <w:sz w:val="24"/>
                <w:szCs w:val="24"/>
                <w:highlight w:val="none"/>
                <w:lang w:val="en-US" w:eastAsia="zh-CN"/>
              </w:rPr>
              <w:t>24</w:t>
            </w:r>
            <w:r>
              <w:rPr>
                <w:rFonts w:hint="eastAsia" w:ascii="仿宋" w:hAnsi="仿宋" w:eastAsia="仿宋" w:cs="宋体"/>
                <w:kern w:val="0"/>
                <w:sz w:val="24"/>
                <w:szCs w:val="24"/>
                <w:highlight w:val="none"/>
              </w:rPr>
              <w:t>日至2020年</w:t>
            </w:r>
            <w:r>
              <w:rPr>
                <w:rFonts w:hint="eastAsia" w:ascii="仿宋" w:hAnsi="仿宋" w:eastAsia="仿宋" w:cs="宋体"/>
                <w:kern w:val="0"/>
                <w:sz w:val="24"/>
                <w:szCs w:val="24"/>
                <w:highlight w:val="none"/>
                <w:lang w:val="en-US" w:eastAsia="zh-CN"/>
              </w:rPr>
              <w:t>7</w:t>
            </w:r>
            <w:r>
              <w:rPr>
                <w:rFonts w:hint="eastAsia" w:ascii="仿宋" w:hAnsi="仿宋" w:eastAsia="仿宋" w:cs="宋体"/>
                <w:kern w:val="0"/>
                <w:sz w:val="24"/>
                <w:szCs w:val="24"/>
                <w:highlight w:val="none"/>
              </w:rPr>
              <w:t>月</w:t>
            </w:r>
            <w:r>
              <w:rPr>
                <w:rFonts w:hint="eastAsia" w:ascii="仿宋" w:hAnsi="仿宋" w:eastAsia="仿宋" w:cs="宋体"/>
                <w:kern w:val="0"/>
                <w:sz w:val="24"/>
                <w:szCs w:val="24"/>
                <w:highlight w:val="none"/>
                <w:lang w:val="en-US" w:eastAsia="zh-CN"/>
              </w:rPr>
              <w:t xml:space="preserve">1日  </w:t>
            </w:r>
            <w:r>
              <w:rPr>
                <w:rFonts w:hint="eastAsia" w:ascii="仿宋" w:hAnsi="仿宋" w:eastAsia="仿宋"/>
                <w:sz w:val="24"/>
                <w:highlight w:val="none"/>
              </w:rPr>
              <w:t>（工作日</w:t>
            </w:r>
            <w:r>
              <w:rPr>
                <w:rFonts w:hint="eastAsia" w:ascii="仿宋" w:hAnsi="仿宋" w:eastAsia="仿宋"/>
                <w:sz w:val="24"/>
                <w:highlight w:val="none"/>
                <w:lang w:val="en-US" w:eastAsia="zh-CN"/>
              </w:rPr>
              <w:t>10</w:t>
            </w:r>
            <w:r>
              <w:rPr>
                <w:rFonts w:hint="eastAsia" w:ascii="仿宋" w:hAnsi="仿宋" w:eastAsia="仿宋"/>
                <w:sz w:val="24"/>
                <w:highlight w:val="none"/>
              </w:rPr>
              <w:t>：</w:t>
            </w:r>
            <w:r>
              <w:rPr>
                <w:rFonts w:hint="eastAsia" w:ascii="仿宋" w:hAnsi="仿宋" w:eastAsia="仿宋"/>
                <w:sz w:val="24"/>
                <w:highlight w:val="none"/>
                <w:lang w:val="en-US" w:eastAsia="zh-CN"/>
              </w:rPr>
              <w:t>0</w:t>
            </w:r>
            <w:r>
              <w:rPr>
                <w:rFonts w:ascii="仿宋" w:hAnsi="仿宋" w:eastAsia="仿宋"/>
                <w:sz w:val="24"/>
                <w:highlight w:val="none"/>
              </w:rPr>
              <w:t>0-1</w:t>
            </w:r>
            <w:r>
              <w:rPr>
                <w:rFonts w:hint="eastAsia" w:ascii="仿宋" w:hAnsi="仿宋" w:eastAsia="仿宋"/>
                <w:sz w:val="24"/>
                <w:highlight w:val="none"/>
                <w:lang w:val="en-US" w:eastAsia="zh-CN"/>
              </w:rPr>
              <w:t>4</w:t>
            </w:r>
            <w:r>
              <w:rPr>
                <w:rFonts w:hint="eastAsia" w:ascii="仿宋" w:hAnsi="仿宋" w:eastAsia="仿宋"/>
                <w:sz w:val="24"/>
                <w:highlight w:val="none"/>
              </w:rPr>
              <w:t>：</w:t>
            </w:r>
            <w:r>
              <w:rPr>
                <w:rFonts w:hint="eastAsia" w:ascii="仿宋" w:hAnsi="仿宋" w:eastAsia="仿宋"/>
                <w:sz w:val="24"/>
                <w:highlight w:val="none"/>
                <w:lang w:val="en-US" w:eastAsia="zh-CN"/>
              </w:rPr>
              <w:t>0</w:t>
            </w:r>
            <w:r>
              <w:rPr>
                <w:rFonts w:ascii="仿宋" w:hAnsi="仿宋" w:eastAsia="仿宋"/>
                <w:sz w:val="24"/>
                <w:highlight w:val="none"/>
              </w:rPr>
              <w:t>0</w:t>
            </w:r>
            <w:r>
              <w:rPr>
                <w:rFonts w:hint="eastAsia" w:ascii="仿宋" w:hAnsi="仿宋" w:eastAsia="仿宋"/>
                <w:sz w:val="24"/>
                <w:highlight w:val="none"/>
              </w:rPr>
              <w:t>，</w:t>
            </w:r>
            <w:r>
              <w:rPr>
                <w:rFonts w:ascii="仿宋" w:hAnsi="仿宋" w:eastAsia="仿宋"/>
                <w:sz w:val="24"/>
                <w:highlight w:val="none"/>
              </w:rPr>
              <w:t>1</w:t>
            </w:r>
            <w:r>
              <w:rPr>
                <w:rFonts w:hint="eastAsia" w:ascii="仿宋" w:hAnsi="仿宋" w:eastAsia="仿宋"/>
                <w:sz w:val="24"/>
                <w:highlight w:val="none"/>
              </w:rPr>
              <w:t>6：</w:t>
            </w:r>
            <w:r>
              <w:rPr>
                <w:rFonts w:hint="eastAsia" w:ascii="仿宋" w:hAnsi="仿宋" w:eastAsia="仿宋"/>
                <w:sz w:val="24"/>
                <w:highlight w:val="none"/>
                <w:lang w:val="en-US" w:eastAsia="zh-CN"/>
              </w:rPr>
              <w:t>0</w:t>
            </w:r>
            <w:r>
              <w:rPr>
                <w:rFonts w:ascii="仿宋" w:hAnsi="仿宋" w:eastAsia="仿宋"/>
                <w:sz w:val="24"/>
                <w:highlight w:val="none"/>
              </w:rPr>
              <w:t>0-1</w:t>
            </w:r>
            <w:r>
              <w:rPr>
                <w:rFonts w:hint="eastAsia" w:ascii="仿宋" w:hAnsi="仿宋" w:eastAsia="仿宋"/>
                <w:sz w:val="24"/>
                <w:highlight w:val="none"/>
              </w:rPr>
              <w:t>9：</w:t>
            </w:r>
            <w:r>
              <w:rPr>
                <w:rFonts w:hint="eastAsia" w:ascii="仿宋" w:hAnsi="仿宋" w:eastAsia="仿宋"/>
                <w:sz w:val="24"/>
                <w:highlight w:val="none"/>
                <w:lang w:val="en-US" w:eastAsia="zh-CN"/>
              </w:rPr>
              <w:t>3</w:t>
            </w:r>
            <w:r>
              <w:rPr>
                <w:rFonts w:ascii="仿宋" w:hAnsi="仿宋" w:eastAsia="仿宋"/>
                <w:sz w:val="24"/>
                <w:highlight w:val="none"/>
              </w:rPr>
              <w:t>0</w:t>
            </w:r>
            <w:r>
              <w:rPr>
                <w:rFonts w:hint="eastAsia" w:ascii="仿宋" w:hAnsi="仿宋" w:eastAsia="仿宋"/>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058" w:hRule="atLeast"/>
          <w:jc w:val="center"/>
        </w:trPr>
        <w:tc>
          <w:tcPr>
            <w:tcW w:w="979" w:type="dxa"/>
            <w:vAlign w:val="center"/>
          </w:tcPr>
          <w:p>
            <w:pPr>
              <w:overflowPunct w:val="0"/>
              <w:spacing w:line="440" w:lineRule="exact"/>
              <w:jc w:val="center"/>
              <w:rPr>
                <w:rFonts w:hint="default" w:ascii="仿宋" w:hAnsi="仿宋" w:eastAsia="仿宋"/>
                <w:sz w:val="24"/>
                <w:highlight w:val="none"/>
                <w:lang w:val="en-US" w:eastAsia="zh-CN"/>
              </w:rPr>
            </w:pPr>
            <w:r>
              <w:rPr>
                <w:rFonts w:hint="eastAsia" w:ascii="仿宋" w:hAnsi="仿宋" w:eastAsia="仿宋"/>
                <w:sz w:val="24"/>
                <w:highlight w:val="none"/>
                <w:lang w:val="en-US" w:eastAsia="zh-CN"/>
              </w:rPr>
              <w:t>12</w:t>
            </w:r>
          </w:p>
        </w:tc>
        <w:tc>
          <w:tcPr>
            <w:tcW w:w="1672" w:type="dxa"/>
            <w:vAlign w:val="center"/>
          </w:tcPr>
          <w:p>
            <w:pPr>
              <w:overflowPunct w:val="0"/>
              <w:spacing w:line="440" w:lineRule="exact"/>
              <w:jc w:val="center"/>
              <w:rPr>
                <w:rFonts w:hint="eastAsia" w:ascii="仿宋" w:hAnsi="仿宋" w:eastAsia="仿宋"/>
                <w:sz w:val="24"/>
                <w:highlight w:val="none"/>
                <w:lang w:eastAsia="zh-CN"/>
              </w:rPr>
            </w:pPr>
            <w:r>
              <w:rPr>
                <w:rFonts w:hint="eastAsia" w:ascii="仿宋" w:hAnsi="仿宋" w:eastAsia="仿宋"/>
                <w:sz w:val="24"/>
                <w:highlight w:val="none"/>
                <w:lang w:eastAsia="zh-CN"/>
              </w:rPr>
              <w:t>标前准备</w:t>
            </w:r>
          </w:p>
        </w:tc>
        <w:tc>
          <w:tcPr>
            <w:tcW w:w="7674" w:type="dxa"/>
            <w:vAlign w:val="center"/>
          </w:tcPr>
          <w:p>
            <w:pPr>
              <w:pStyle w:val="15"/>
              <w:widowControl/>
              <w:spacing w:line="435" w:lineRule="atLeast"/>
              <w:rPr>
                <w:rFonts w:hint="eastAsia" w:ascii="仿宋" w:hAnsi="仿宋" w:eastAsia="仿宋" w:cs="宋体"/>
                <w:kern w:val="0"/>
                <w:sz w:val="24"/>
                <w:szCs w:val="24"/>
                <w:highlight w:val="none"/>
                <w:lang w:val="en-US" w:eastAsia="zh-CN" w:bidi="ar-SA"/>
              </w:rPr>
            </w:pPr>
            <w:r>
              <w:rPr>
                <w:rFonts w:hint="eastAsia" w:ascii="仿宋" w:hAnsi="仿宋" w:eastAsia="仿宋" w:cs="宋体"/>
                <w:kern w:val="0"/>
                <w:sz w:val="24"/>
                <w:szCs w:val="24"/>
                <w:highlight w:val="none"/>
                <w:lang w:val="en-US" w:eastAsia="zh-CN" w:bidi="ar-SA"/>
              </w:rPr>
              <w:t>1、本项目实行网上投标，采用电子投标文件。若供应商参与投标，自行承担投标一切费用。</w:t>
            </w:r>
          </w:p>
          <w:p>
            <w:pPr>
              <w:pStyle w:val="15"/>
              <w:widowControl/>
              <w:spacing w:line="435" w:lineRule="atLeast"/>
              <w:rPr>
                <w:rFonts w:hint="eastAsia" w:ascii="仿宋" w:hAnsi="仿宋" w:eastAsia="仿宋" w:cs="宋体"/>
                <w:kern w:val="0"/>
                <w:sz w:val="24"/>
                <w:szCs w:val="24"/>
                <w:highlight w:val="none"/>
                <w:lang w:val="en-US" w:eastAsia="zh-CN" w:bidi="ar-SA"/>
              </w:rPr>
            </w:pPr>
            <w:r>
              <w:rPr>
                <w:rFonts w:hint="eastAsia" w:ascii="仿宋" w:hAnsi="仿宋" w:eastAsia="仿宋" w:cs="宋体"/>
                <w:kern w:val="0"/>
                <w:sz w:val="24"/>
                <w:szCs w:val="24"/>
                <w:highlight w:val="none"/>
                <w:lang w:val="en-US" w:eastAsia="zh-CN" w:bidi="ar-SA"/>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15"/>
              <w:widowControl/>
              <w:spacing w:line="435" w:lineRule="atLeast"/>
              <w:rPr>
                <w:rFonts w:ascii="仿宋" w:hAnsi="仿宋" w:eastAsia="仿宋"/>
                <w:sz w:val="24"/>
                <w:highlight w:val="yellow"/>
              </w:rPr>
            </w:pPr>
            <w:r>
              <w:rPr>
                <w:rFonts w:hint="eastAsia" w:ascii="仿宋" w:hAnsi="仿宋" w:eastAsia="仿宋" w:cs="宋体"/>
                <w:kern w:val="0"/>
                <w:sz w:val="24"/>
                <w:szCs w:val="24"/>
                <w:highlight w:val="none"/>
                <w:lang w:val="en-US" w:eastAsia="zh-CN" w:bidi="ar-SA"/>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仿宋" w:hAnsi="仿宋" w:eastAsia="仿宋" w:cs="宋体"/>
                <w:kern w:val="0"/>
                <w:sz w:val="24"/>
                <w:szCs w:val="24"/>
                <w:highlight w:val="none"/>
                <w:lang w:val="en-US" w:eastAsia="zh-CN" w:bidi="ar-SA"/>
              </w:rPr>
              <w:fldChar w:fldCharType="begin"/>
            </w:r>
            <w:r>
              <w:rPr>
                <w:rFonts w:hint="eastAsia" w:ascii="仿宋" w:hAnsi="仿宋" w:eastAsia="仿宋" w:cs="宋体"/>
                <w:kern w:val="0"/>
                <w:sz w:val="24"/>
                <w:szCs w:val="24"/>
                <w:highlight w:val="none"/>
                <w:lang w:val="en-US" w:eastAsia="zh-CN" w:bidi="ar-SA"/>
              </w:rPr>
              <w:instrText xml:space="preserve"> HYPERLINK "http://www.ccgp-xinjiang.gov.cn/" </w:instrText>
            </w:r>
            <w:r>
              <w:rPr>
                <w:rFonts w:hint="eastAsia" w:ascii="仿宋" w:hAnsi="仿宋" w:eastAsia="仿宋" w:cs="宋体"/>
                <w:kern w:val="0"/>
                <w:sz w:val="24"/>
                <w:szCs w:val="24"/>
                <w:highlight w:val="none"/>
                <w:lang w:val="en-US" w:eastAsia="zh-CN" w:bidi="ar-SA"/>
              </w:rPr>
              <w:fldChar w:fldCharType="separate"/>
            </w:r>
            <w:r>
              <w:rPr>
                <w:rFonts w:hint="eastAsia" w:ascii="仿宋" w:hAnsi="仿宋" w:eastAsia="仿宋" w:cs="宋体"/>
                <w:kern w:val="0"/>
                <w:sz w:val="24"/>
                <w:szCs w:val="24"/>
                <w:highlight w:val="none"/>
                <w:lang w:val="en-US" w:eastAsia="zh-CN" w:bidi="ar-SA"/>
              </w:rPr>
              <w:t>http://www.ccgp-xinjiang.gov.cn/</w:t>
            </w:r>
            <w:r>
              <w:rPr>
                <w:rFonts w:hint="eastAsia" w:ascii="仿宋" w:hAnsi="仿宋" w:eastAsia="仿宋" w:cs="宋体"/>
                <w:kern w:val="0"/>
                <w:sz w:val="24"/>
                <w:szCs w:val="24"/>
                <w:highlight w:val="none"/>
                <w:lang w:val="en-US" w:eastAsia="zh-CN" w:bidi="ar-SA"/>
              </w:rPr>
              <w:fldChar w:fldCharType="end"/>
            </w:r>
            <w:r>
              <w:rPr>
                <w:rFonts w:hint="eastAsia" w:ascii="仿宋" w:hAnsi="仿宋" w:eastAsia="仿宋" w:cs="宋体"/>
                <w:kern w:val="0"/>
                <w:sz w:val="24"/>
                <w:szCs w:val="24"/>
                <w:highlight w:val="none"/>
                <w:lang w:val="en-US" w:eastAsia="zh-CN" w:bidi="ar-SA"/>
              </w:rPr>
              <w:t>）下载专区查看，如有问题可拨打政采云客户服务热线400-881-7190进行咨询。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9" w:hRule="atLeast"/>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13</w:t>
            </w:r>
          </w:p>
        </w:tc>
        <w:tc>
          <w:tcPr>
            <w:tcW w:w="1672" w:type="dxa"/>
            <w:vAlign w:val="center"/>
          </w:tcPr>
          <w:p>
            <w:pPr>
              <w:overflowPunct w:val="0"/>
              <w:spacing w:line="440" w:lineRule="exact"/>
              <w:ind w:left="240" w:hanging="240" w:hangingChars="100"/>
              <w:rPr>
                <w:rFonts w:ascii="仿宋" w:hAnsi="仿宋" w:eastAsia="仿宋"/>
                <w:sz w:val="24"/>
              </w:rPr>
            </w:pPr>
            <w:r>
              <w:rPr>
                <w:rFonts w:hint="eastAsia" w:ascii="仿宋" w:hAnsi="仿宋" w:eastAsia="仿宋"/>
                <w:sz w:val="24"/>
              </w:rPr>
              <w:t>开标</w:t>
            </w:r>
            <w:r>
              <w:rPr>
                <w:rFonts w:hint="eastAsia" w:ascii="仿宋" w:hAnsi="仿宋" w:eastAsia="仿宋"/>
                <w:sz w:val="24"/>
                <w:lang w:eastAsia="zh-CN"/>
              </w:rPr>
              <w:t>地点</w:t>
            </w:r>
            <w:r>
              <w:rPr>
                <w:rFonts w:hint="eastAsia" w:ascii="仿宋" w:hAnsi="仿宋" w:eastAsia="仿宋"/>
                <w:sz w:val="24"/>
              </w:rPr>
              <w:t>及投标文件递交</w:t>
            </w:r>
          </w:p>
        </w:tc>
        <w:tc>
          <w:tcPr>
            <w:tcW w:w="7674" w:type="dxa"/>
            <w:vAlign w:val="center"/>
          </w:tcPr>
          <w:p>
            <w:pPr>
              <w:overflowPunct w:val="0"/>
              <w:spacing w:line="440" w:lineRule="exact"/>
              <w:rPr>
                <w:rFonts w:hint="eastAsia" w:ascii="仿宋" w:hAnsi="仿宋" w:eastAsia="仿宋"/>
                <w:sz w:val="24"/>
                <w:szCs w:val="22"/>
              </w:rPr>
            </w:pPr>
            <w:r>
              <w:rPr>
                <w:rFonts w:hint="eastAsia" w:ascii="仿宋" w:hAnsi="仿宋" w:eastAsia="仿宋"/>
                <w:sz w:val="24"/>
                <w:szCs w:val="22"/>
              </w:rPr>
              <w:t>政采云平台（www.zcygov.cn）</w:t>
            </w:r>
          </w:p>
          <w:p>
            <w:pPr>
              <w:overflowPunct w:val="0"/>
              <w:spacing w:line="440" w:lineRule="exact"/>
              <w:rPr>
                <w:rFonts w:hint="eastAsia" w:ascii="仿宋" w:hAnsi="仿宋" w:eastAsia="仿宋"/>
                <w:sz w:val="24"/>
                <w:szCs w:val="22"/>
              </w:rPr>
            </w:pPr>
            <w:r>
              <w:rPr>
                <w:rFonts w:hint="eastAsia" w:ascii="仿宋" w:hAnsi="仿宋" w:eastAsia="仿宋"/>
                <w:sz w:val="24"/>
                <w:szCs w:val="22"/>
              </w:rPr>
              <w:t>投标人应于202</w:t>
            </w:r>
            <w:r>
              <w:rPr>
                <w:rFonts w:hint="eastAsia" w:ascii="仿宋" w:hAnsi="仿宋" w:eastAsia="仿宋"/>
                <w:sz w:val="24"/>
                <w:szCs w:val="22"/>
                <w:lang w:val="en-US" w:eastAsia="zh-CN"/>
              </w:rPr>
              <w:t>2</w:t>
            </w:r>
            <w:r>
              <w:rPr>
                <w:rFonts w:hint="eastAsia" w:ascii="仿宋" w:hAnsi="仿宋" w:eastAsia="仿宋"/>
                <w:sz w:val="24"/>
                <w:szCs w:val="22"/>
              </w:rPr>
              <w:t>年</w:t>
            </w:r>
            <w:r>
              <w:rPr>
                <w:rFonts w:hint="eastAsia" w:ascii="仿宋" w:hAnsi="仿宋" w:eastAsia="仿宋"/>
                <w:sz w:val="24"/>
                <w:szCs w:val="22"/>
                <w:lang w:val="en-US" w:eastAsia="zh-CN"/>
              </w:rPr>
              <w:t>7</w:t>
            </w:r>
            <w:r>
              <w:rPr>
                <w:rFonts w:hint="eastAsia" w:ascii="仿宋" w:hAnsi="仿宋" w:eastAsia="仿宋"/>
                <w:sz w:val="24"/>
                <w:szCs w:val="22"/>
              </w:rPr>
              <w:t>月</w:t>
            </w:r>
            <w:r>
              <w:rPr>
                <w:rFonts w:hint="eastAsia" w:ascii="仿宋" w:hAnsi="仿宋" w:eastAsia="仿宋"/>
                <w:sz w:val="24"/>
                <w:szCs w:val="22"/>
                <w:lang w:val="en-US" w:eastAsia="zh-CN"/>
              </w:rPr>
              <w:t>18</w:t>
            </w:r>
            <w:r>
              <w:rPr>
                <w:rFonts w:hint="eastAsia" w:ascii="仿宋" w:hAnsi="仿宋" w:eastAsia="仿宋"/>
                <w:sz w:val="24"/>
                <w:szCs w:val="22"/>
              </w:rPr>
              <w:t>日</w:t>
            </w:r>
            <w:r>
              <w:rPr>
                <w:rFonts w:hint="eastAsia" w:ascii="仿宋" w:hAnsi="仿宋" w:eastAsia="仿宋"/>
                <w:sz w:val="24"/>
                <w:szCs w:val="22"/>
                <w:lang w:val="en-US" w:eastAsia="zh-CN"/>
              </w:rPr>
              <w:t>10</w:t>
            </w:r>
            <w:r>
              <w:rPr>
                <w:rFonts w:hint="eastAsia" w:ascii="仿宋" w:hAnsi="仿宋" w:eastAsia="仿宋"/>
                <w:sz w:val="24"/>
                <w:szCs w:val="22"/>
              </w:rPr>
              <w:t>:</w:t>
            </w:r>
            <w:r>
              <w:rPr>
                <w:rFonts w:hint="eastAsia" w:ascii="仿宋" w:hAnsi="仿宋" w:eastAsia="仿宋"/>
                <w:sz w:val="24"/>
                <w:szCs w:val="22"/>
                <w:lang w:val="en-US" w:eastAsia="zh-CN"/>
              </w:rPr>
              <w:t>3</w:t>
            </w:r>
            <w:r>
              <w:rPr>
                <w:rFonts w:hint="eastAsia" w:ascii="仿宋" w:hAnsi="仿宋" w:eastAsia="仿宋"/>
                <w:sz w:val="24"/>
                <w:szCs w:val="22"/>
              </w:rPr>
              <w:t>0时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68" w:hRule="atLeast"/>
          <w:jc w:val="center"/>
        </w:trPr>
        <w:tc>
          <w:tcPr>
            <w:tcW w:w="979" w:type="dxa"/>
            <w:vAlign w:val="center"/>
          </w:tcPr>
          <w:p>
            <w:pPr>
              <w:overflowPunct w:val="0"/>
              <w:spacing w:line="440" w:lineRule="exact"/>
              <w:jc w:val="center"/>
              <w:rPr>
                <w:rFonts w:hint="default" w:ascii="仿宋" w:hAnsi="仿宋" w:eastAsia="仿宋" w:cs="宋体"/>
                <w:kern w:val="0"/>
                <w:sz w:val="24"/>
                <w:lang w:val="en-US" w:eastAsia="zh-CN"/>
              </w:rPr>
            </w:pPr>
            <w:r>
              <w:rPr>
                <w:rFonts w:hint="eastAsia" w:ascii="仿宋" w:hAnsi="仿宋" w:eastAsia="仿宋" w:cs="宋体"/>
                <w:kern w:val="0"/>
                <w:sz w:val="24"/>
                <w:lang w:val="en-US" w:eastAsia="zh-CN"/>
              </w:rPr>
              <w:t>14</w:t>
            </w:r>
          </w:p>
        </w:tc>
        <w:tc>
          <w:tcPr>
            <w:tcW w:w="1672" w:type="dxa"/>
            <w:vAlign w:val="center"/>
          </w:tcPr>
          <w:p>
            <w:pPr>
              <w:overflowPunct w:val="0"/>
              <w:spacing w:line="440" w:lineRule="exact"/>
              <w:jc w:val="center"/>
              <w:rPr>
                <w:rFonts w:hint="eastAsia" w:ascii="仿宋" w:hAnsi="仿宋" w:eastAsia="仿宋"/>
                <w:sz w:val="24"/>
                <w:lang w:eastAsia="zh-CN"/>
              </w:rPr>
            </w:pPr>
            <w:r>
              <w:rPr>
                <w:rFonts w:hint="eastAsia" w:ascii="仿宋" w:hAnsi="仿宋" w:eastAsia="仿宋"/>
                <w:sz w:val="24"/>
              </w:rPr>
              <w:t>招标文件</w:t>
            </w:r>
            <w:r>
              <w:rPr>
                <w:rFonts w:hint="eastAsia" w:ascii="仿宋" w:hAnsi="仿宋" w:eastAsia="仿宋"/>
                <w:sz w:val="24"/>
                <w:lang w:eastAsia="zh-CN"/>
              </w:rPr>
              <w:t>解密时间</w:t>
            </w:r>
          </w:p>
          <w:p>
            <w:pPr>
              <w:overflowPunct w:val="0"/>
              <w:spacing w:line="440" w:lineRule="exact"/>
              <w:jc w:val="center"/>
              <w:rPr>
                <w:rFonts w:ascii="仿宋" w:hAnsi="仿宋" w:eastAsia="仿宋"/>
                <w:sz w:val="24"/>
              </w:rPr>
            </w:pPr>
          </w:p>
        </w:tc>
        <w:tc>
          <w:tcPr>
            <w:tcW w:w="7674" w:type="dxa"/>
            <w:vAlign w:val="center"/>
          </w:tcPr>
          <w:p>
            <w:pPr>
              <w:overflowPunct w:val="0"/>
              <w:spacing w:line="440" w:lineRule="exact"/>
              <w:jc w:val="center"/>
              <w:rPr>
                <w:rFonts w:hint="eastAsia" w:ascii="仿宋" w:hAnsi="仿宋" w:eastAsia="仿宋"/>
                <w:color w:val="auto"/>
                <w:sz w:val="24"/>
                <w:szCs w:val="22"/>
              </w:rPr>
            </w:pPr>
            <w:r>
              <w:rPr>
                <w:rFonts w:hint="eastAsia" w:ascii="仿宋" w:hAnsi="仿宋" w:eastAsia="仿宋"/>
                <w:sz w:val="24"/>
                <w:szCs w:val="22"/>
              </w:rPr>
              <w:t>开标时间后</w:t>
            </w:r>
            <w:r>
              <w:rPr>
                <w:rFonts w:hint="eastAsia" w:ascii="仿宋" w:hAnsi="仿宋" w:eastAsia="仿宋"/>
                <w:sz w:val="24"/>
                <w:szCs w:val="22"/>
                <w:lang w:val="en-US" w:eastAsia="zh-CN"/>
              </w:rPr>
              <w:t>30分钟</w:t>
            </w:r>
            <w:r>
              <w:rPr>
                <w:rFonts w:hint="eastAsia" w:ascii="仿宋" w:hAnsi="仿宋" w:eastAsia="仿宋"/>
                <w:sz w:val="24"/>
                <w:szCs w:val="22"/>
              </w:rPr>
              <w:t>内（202</w:t>
            </w:r>
            <w:r>
              <w:rPr>
                <w:rFonts w:hint="eastAsia" w:ascii="仿宋" w:hAnsi="仿宋" w:eastAsia="仿宋"/>
                <w:sz w:val="24"/>
                <w:szCs w:val="22"/>
                <w:lang w:val="en-US" w:eastAsia="zh-CN"/>
              </w:rPr>
              <w:t>2</w:t>
            </w:r>
            <w:r>
              <w:rPr>
                <w:rFonts w:hint="eastAsia" w:ascii="仿宋" w:hAnsi="仿宋" w:eastAsia="仿宋"/>
                <w:sz w:val="24"/>
                <w:szCs w:val="22"/>
              </w:rPr>
              <w:t>年</w:t>
            </w:r>
            <w:r>
              <w:rPr>
                <w:rFonts w:hint="eastAsia" w:ascii="仿宋" w:hAnsi="仿宋" w:eastAsia="仿宋"/>
                <w:sz w:val="24"/>
                <w:szCs w:val="22"/>
                <w:lang w:val="en-US" w:eastAsia="zh-CN"/>
              </w:rPr>
              <w:t>7</w:t>
            </w:r>
            <w:r>
              <w:rPr>
                <w:rFonts w:hint="eastAsia" w:ascii="仿宋" w:hAnsi="仿宋" w:eastAsia="仿宋"/>
                <w:sz w:val="24"/>
                <w:szCs w:val="22"/>
              </w:rPr>
              <w:t>月</w:t>
            </w:r>
            <w:r>
              <w:rPr>
                <w:rFonts w:hint="eastAsia" w:ascii="仿宋" w:hAnsi="仿宋" w:eastAsia="仿宋"/>
                <w:sz w:val="24"/>
                <w:szCs w:val="22"/>
                <w:lang w:val="en-US" w:eastAsia="zh-CN"/>
              </w:rPr>
              <w:t xml:space="preserve">18 </w:t>
            </w:r>
            <w:r>
              <w:rPr>
                <w:rFonts w:hint="eastAsia" w:ascii="仿宋" w:hAnsi="仿宋" w:eastAsia="仿宋"/>
                <w:sz w:val="24"/>
                <w:szCs w:val="22"/>
              </w:rPr>
              <w:t>日上午10:</w:t>
            </w:r>
            <w:r>
              <w:rPr>
                <w:rFonts w:hint="eastAsia" w:ascii="仿宋" w:hAnsi="仿宋" w:eastAsia="仿宋"/>
                <w:sz w:val="24"/>
                <w:szCs w:val="22"/>
                <w:lang w:val="en-US" w:eastAsia="zh-CN"/>
              </w:rPr>
              <w:t>3</w:t>
            </w:r>
            <w:r>
              <w:rPr>
                <w:rFonts w:hint="eastAsia" w:ascii="仿宋" w:hAnsi="仿宋" w:eastAsia="仿宋"/>
                <w:sz w:val="24"/>
                <w:szCs w:val="22"/>
              </w:rPr>
              <w:t>0</w:t>
            </w:r>
            <w:r>
              <w:rPr>
                <w:rFonts w:hint="eastAsia" w:ascii="仿宋" w:hAnsi="仿宋" w:eastAsia="仿宋"/>
                <w:sz w:val="24"/>
                <w:szCs w:val="22"/>
                <w:lang w:val="en-US" w:eastAsia="zh-CN"/>
              </w:rPr>
              <w:t>-11：00</w:t>
            </w:r>
            <w:r>
              <w:rPr>
                <w:rFonts w:hint="eastAsia" w:ascii="仿宋" w:hAnsi="仿宋" w:eastAsia="仿宋"/>
                <w:sz w:val="24"/>
                <w:szCs w:val="22"/>
              </w:rPr>
              <w:t>前）供应商可以登录“政采云”平台，用“项目采购-开标评标”功能进行解密投标文件。若供应商在规定时</w:t>
            </w:r>
            <w:r>
              <w:rPr>
                <w:rFonts w:hint="eastAsia" w:ascii="仿宋" w:hAnsi="仿宋" w:eastAsia="仿宋"/>
                <w:color w:val="auto"/>
                <w:sz w:val="24"/>
                <w:szCs w:val="22"/>
              </w:rPr>
              <w:t>间内（2020年</w:t>
            </w:r>
            <w:r>
              <w:rPr>
                <w:rFonts w:hint="eastAsia" w:ascii="仿宋" w:hAnsi="仿宋" w:eastAsia="仿宋"/>
                <w:color w:val="auto"/>
                <w:sz w:val="24"/>
                <w:szCs w:val="22"/>
                <w:lang w:val="en-US" w:eastAsia="zh-CN"/>
              </w:rPr>
              <w:t>7</w:t>
            </w:r>
            <w:r>
              <w:rPr>
                <w:rFonts w:hint="eastAsia" w:ascii="仿宋" w:hAnsi="仿宋" w:eastAsia="仿宋"/>
                <w:color w:val="auto"/>
                <w:sz w:val="24"/>
                <w:szCs w:val="22"/>
              </w:rPr>
              <w:t>月</w:t>
            </w:r>
            <w:r>
              <w:rPr>
                <w:rFonts w:hint="eastAsia" w:ascii="仿宋" w:hAnsi="仿宋" w:eastAsia="仿宋"/>
                <w:color w:val="auto"/>
                <w:sz w:val="24"/>
                <w:szCs w:val="22"/>
                <w:lang w:val="en-US" w:eastAsia="zh-CN"/>
              </w:rPr>
              <w:t xml:space="preserve"> 18</w:t>
            </w:r>
            <w:r>
              <w:rPr>
                <w:rFonts w:hint="eastAsia" w:ascii="仿宋" w:hAnsi="仿宋" w:eastAsia="仿宋"/>
                <w:color w:val="auto"/>
                <w:sz w:val="24"/>
                <w:szCs w:val="22"/>
              </w:rPr>
              <w:t>日上午</w:t>
            </w:r>
            <w:r>
              <w:rPr>
                <w:rFonts w:hint="eastAsia" w:ascii="仿宋" w:hAnsi="仿宋" w:eastAsia="仿宋"/>
                <w:color w:val="auto"/>
                <w:sz w:val="24"/>
                <w:szCs w:val="22"/>
                <w:lang w:val="en-US" w:eastAsia="zh-CN"/>
              </w:rPr>
              <w:t>11</w:t>
            </w:r>
            <w:r>
              <w:rPr>
                <w:rFonts w:hint="eastAsia" w:ascii="仿宋" w:hAnsi="仿宋" w:eastAsia="仿宋"/>
                <w:color w:val="auto"/>
                <w:sz w:val="24"/>
                <w:szCs w:val="22"/>
              </w:rPr>
              <w:t>:</w:t>
            </w:r>
            <w:r>
              <w:rPr>
                <w:rFonts w:hint="eastAsia" w:ascii="仿宋" w:hAnsi="仿宋" w:eastAsia="仿宋"/>
                <w:color w:val="auto"/>
                <w:sz w:val="24"/>
                <w:szCs w:val="22"/>
                <w:lang w:val="en-US" w:eastAsia="zh-CN"/>
              </w:rPr>
              <w:t>0</w:t>
            </w:r>
            <w:r>
              <w:rPr>
                <w:rFonts w:hint="eastAsia" w:ascii="仿宋" w:hAnsi="仿宋" w:eastAsia="仿宋"/>
                <w:color w:val="auto"/>
                <w:sz w:val="24"/>
                <w:szCs w:val="22"/>
              </w:rPr>
              <w:t>0前）</w:t>
            </w:r>
          </w:p>
          <w:p>
            <w:pPr>
              <w:widowControl/>
              <w:spacing w:line="400" w:lineRule="exact"/>
              <w:jc w:val="left"/>
              <w:rPr>
                <w:rFonts w:ascii="仿宋" w:hAnsi="仿宋" w:eastAsia="仿宋" w:cs="Arial"/>
                <w:kern w:val="0"/>
                <w:sz w:val="24"/>
                <w:szCs w:val="28"/>
              </w:rPr>
            </w:pPr>
            <w:r>
              <w:rPr>
                <w:rFonts w:hint="eastAsia" w:ascii="仿宋" w:hAnsi="仿宋" w:eastAsia="仿宋"/>
                <w:sz w:val="24"/>
                <w:szCs w:val="22"/>
              </w:rPr>
              <w:t>未按时解密的，视为投标文件撤回。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59" w:hRule="atLeast"/>
          <w:jc w:val="center"/>
        </w:trPr>
        <w:tc>
          <w:tcPr>
            <w:tcW w:w="979" w:type="dxa"/>
            <w:tcBorders>
              <w:top w:val="single" w:color="auto" w:sz="4" w:space="0"/>
              <w:bottom w:val="single" w:color="auto" w:sz="4" w:space="0"/>
            </w:tcBorders>
            <w:vAlign w:val="center"/>
          </w:tcPr>
          <w:p>
            <w:pPr>
              <w:overflowPunct w:val="0"/>
              <w:spacing w:line="440" w:lineRule="exact"/>
              <w:jc w:val="center"/>
              <w:rPr>
                <w:rFonts w:hint="default" w:ascii="仿宋" w:hAnsi="仿宋" w:eastAsia="仿宋"/>
                <w:sz w:val="24"/>
                <w:highlight w:val="none"/>
                <w:lang w:val="en-US" w:eastAsia="zh-CN"/>
              </w:rPr>
            </w:pPr>
            <w:r>
              <w:rPr>
                <w:rFonts w:hint="eastAsia" w:ascii="仿宋" w:hAnsi="仿宋" w:eastAsia="仿宋"/>
                <w:sz w:val="24"/>
                <w:highlight w:val="none"/>
                <w:lang w:val="en-US" w:eastAsia="zh-CN"/>
              </w:rPr>
              <w:t>15</w:t>
            </w:r>
          </w:p>
        </w:tc>
        <w:tc>
          <w:tcPr>
            <w:tcW w:w="1672" w:type="dxa"/>
            <w:tcBorders>
              <w:top w:val="single" w:color="auto" w:sz="4" w:space="0"/>
              <w:bottom w:val="single" w:color="auto" w:sz="4" w:space="0"/>
            </w:tcBorders>
            <w:vAlign w:val="center"/>
          </w:tcPr>
          <w:p>
            <w:pPr>
              <w:overflowPunct w:val="0"/>
              <w:spacing w:line="440" w:lineRule="exact"/>
              <w:jc w:val="center"/>
              <w:rPr>
                <w:rFonts w:ascii="仿宋" w:hAnsi="仿宋" w:eastAsia="仿宋"/>
                <w:sz w:val="24"/>
                <w:highlight w:val="none"/>
              </w:rPr>
            </w:pPr>
            <w:r>
              <w:rPr>
                <w:rFonts w:hint="eastAsia" w:ascii="仿宋" w:hAnsi="仿宋" w:eastAsia="仿宋" w:cs="Times New Roman"/>
                <w:kern w:val="2"/>
                <w:sz w:val="24"/>
                <w:szCs w:val="22"/>
                <w:highlight w:val="none"/>
                <w:lang w:val="en-US" w:eastAsia="zh-CN" w:bidi="ar-SA"/>
              </w:rPr>
              <w:t>投标人开标现场要求</w:t>
            </w:r>
          </w:p>
        </w:tc>
        <w:tc>
          <w:tcPr>
            <w:tcW w:w="7674" w:type="dxa"/>
            <w:tcBorders>
              <w:top w:val="single" w:color="auto" w:sz="4" w:space="0"/>
              <w:bottom w:val="single" w:color="auto" w:sz="4" w:space="0"/>
            </w:tcBorders>
            <w:vAlign w:val="center"/>
          </w:tcPr>
          <w:p>
            <w:pPr>
              <w:spacing w:line="440" w:lineRule="exact"/>
              <w:jc w:val="left"/>
              <w:rPr>
                <w:rFonts w:ascii="仿宋" w:hAnsi="仿宋" w:eastAsia="仿宋"/>
                <w:sz w:val="24"/>
                <w:highlight w:val="none"/>
              </w:rPr>
            </w:pPr>
            <w:r>
              <w:rPr>
                <w:rFonts w:hint="eastAsia" w:ascii="仿宋" w:hAnsi="仿宋" w:eastAsia="仿宋" w:cs="Times New Roman"/>
                <w:kern w:val="2"/>
                <w:sz w:val="24"/>
                <w:szCs w:val="22"/>
                <w:highlight w:val="none"/>
                <w:lang w:val="en-US" w:eastAsia="zh-CN" w:bidi="ar-SA"/>
              </w:rPr>
              <w:t>投标单位不用现场投标，按规定时间上传电子投标书即可。（投标结束后投标供应商在5天内将投标文件（一正二副）递交至库尔勒市智慧嘉苑门面房65-01-3号2楼；联系人：彭诗毓；联系电话18199966830）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05" w:hRule="atLeast"/>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16</w:t>
            </w:r>
          </w:p>
        </w:tc>
        <w:tc>
          <w:tcPr>
            <w:tcW w:w="1672" w:type="dxa"/>
            <w:vAlign w:val="center"/>
          </w:tcPr>
          <w:p>
            <w:pPr>
              <w:overflowPunct w:val="0"/>
              <w:spacing w:line="440" w:lineRule="exact"/>
              <w:jc w:val="center"/>
              <w:rPr>
                <w:rFonts w:hint="eastAsia" w:ascii="仿宋" w:hAnsi="仿宋" w:eastAsia="仿宋" w:cs="宋体"/>
                <w:kern w:val="0"/>
                <w:sz w:val="24"/>
              </w:rPr>
            </w:pPr>
            <w:r>
              <w:rPr>
                <w:rFonts w:hint="eastAsia" w:ascii="仿宋" w:hAnsi="仿宋" w:eastAsia="仿宋" w:cs="宋体"/>
                <w:kern w:val="0"/>
                <w:sz w:val="24"/>
              </w:rPr>
              <w:t>招标代理</w:t>
            </w:r>
          </w:p>
          <w:p>
            <w:pPr>
              <w:overflowPunct w:val="0"/>
              <w:spacing w:line="440" w:lineRule="exact"/>
              <w:jc w:val="center"/>
              <w:rPr>
                <w:rFonts w:ascii="仿宋" w:hAnsi="仿宋" w:eastAsia="仿宋" w:cs="宋体"/>
                <w:kern w:val="0"/>
                <w:sz w:val="24"/>
              </w:rPr>
            </w:pPr>
            <w:r>
              <w:rPr>
                <w:rFonts w:hint="eastAsia" w:ascii="仿宋" w:hAnsi="仿宋" w:eastAsia="仿宋" w:cs="宋体"/>
                <w:kern w:val="0"/>
                <w:sz w:val="24"/>
              </w:rPr>
              <w:t>服务费</w:t>
            </w:r>
          </w:p>
        </w:tc>
        <w:tc>
          <w:tcPr>
            <w:tcW w:w="7674" w:type="dxa"/>
            <w:vAlign w:val="center"/>
          </w:tcPr>
          <w:p>
            <w:pPr>
              <w:overflowPunct w:val="0"/>
              <w:spacing w:line="440" w:lineRule="exact"/>
              <w:rPr>
                <w:rFonts w:ascii="仿宋" w:hAnsi="仿宋" w:eastAsia="仿宋" w:cs="宋体"/>
                <w:color w:val="auto"/>
                <w:kern w:val="0"/>
                <w:sz w:val="24"/>
              </w:rPr>
            </w:pPr>
            <w:r>
              <w:rPr>
                <w:rFonts w:hint="eastAsia" w:ascii="仿宋" w:hAnsi="仿宋" w:eastAsia="仿宋" w:cs="宋体"/>
                <w:color w:val="auto"/>
                <w:kern w:val="0"/>
                <w:sz w:val="24"/>
                <w:lang w:eastAsia="zh-CN"/>
              </w:rPr>
              <w:t>按（</w:t>
            </w:r>
            <w:r>
              <w:rPr>
                <w:rFonts w:hint="eastAsia" w:ascii="仿宋" w:hAnsi="仿宋" w:eastAsia="仿宋" w:cs="宋体"/>
                <w:color w:val="auto"/>
                <w:kern w:val="0"/>
                <w:sz w:val="24"/>
                <w:lang w:val="en-US" w:eastAsia="zh-CN"/>
              </w:rPr>
              <w:t>2002</w:t>
            </w:r>
            <w:r>
              <w:rPr>
                <w:rFonts w:hint="eastAsia" w:ascii="仿宋" w:hAnsi="仿宋" w:eastAsia="仿宋" w:cs="宋体"/>
                <w:color w:val="auto"/>
                <w:kern w:val="0"/>
                <w:sz w:val="24"/>
                <w:lang w:eastAsia="zh-CN"/>
              </w:rPr>
              <w:t>）</w:t>
            </w:r>
            <w:r>
              <w:rPr>
                <w:rFonts w:hint="eastAsia" w:ascii="仿宋" w:hAnsi="仿宋" w:eastAsia="仿宋" w:cs="宋体"/>
                <w:color w:val="auto"/>
                <w:kern w:val="0"/>
                <w:sz w:val="24"/>
                <w:lang w:val="en-US" w:eastAsia="zh-CN"/>
              </w:rPr>
              <w:t>1980号文收取代理费</w:t>
            </w:r>
            <w:r>
              <w:rPr>
                <w:rFonts w:hint="eastAsia" w:ascii="仿宋" w:hAnsi="仿宋" w:eastAsia="仿宋" w:cs="宋体"/>
                <w:color w:val="auto"/>
                <w:kern w:val="0"/>
                <w:sz w:val="24"/>
              </w:rPr>
              <w:t>，由中标单位一次性支付。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979" w:type="dxa"/>
            <w:tcBorders>
              <w:top w:val="single" w:color="auto" w:sz="4" w:space="0"/>
            </w:tcBorders>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17</w:t>
            </w:r>
          </w:p>
        </w:tc>
        <w:tc>
          <w:tcPr>
            <w:tcW w:w="1672" w:type="dxa"/>
            <w:tcBorders>
              <w:top w:val="single" w:color="auto" w:sz="4" w:space="0"/>
              <w:bottom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sz w:val="24"/>
              </w:rPr>
              <w:t>付款方式</w:t>
            </w:r>
          </w:p>
        </w:tc>
        <w:tc>
          <w:tcPr>
            <w:tcW w:w="7674" w:type="dxa"/>
            <w:tcBorders>
              <w:top w:val="single" w:color="auto" w:sz="4" w:space="0"/>
            </w:tcBorders>
            <w:vAlign w:val="center"/>
          </w:tcPr>
          <w:p>
            <w:pPr>
              <w:spacing w:line="360" w:lineRule="auto"/>
              <w:rPr>
                <w:rFonts w:ascii="仿宋" w:hAnsi="仿宋" w:eastAsia="仿宋"/>
                <w:b/>
                <w:color w:val="auto"/>
                <w:sz w:val="24"/>
              </w:rPr>
            </w:pPr>
            <w:r>
              <w:rPr>
                <w:rFonts w:hint="eastAsia" w:ascii="仿宋" w:hAnsi="仿宋" w:eastAsia="仿宋" w:cs="仿宋"/>
                <w:b w:val="0"/>
                <w:bCs/>
                <w:color w:val="auto"/>
                <w:sz w:val="24"/>
                <w:szCs w:val="24"/>
              </w:rPr>
              <w:t>签订合同后，支付30%的预付款，全部货物到达采购人指定现场并经验收合格</w:t>
            </w:r>
            <w:r>
              <w:rPr>
                <w:rFonts w:hint="eastAsia" w:ascii="仿宋" w:hAnsi="仿宋" w:eastAsia="仿宋" w:cs="仿宋"/>
                <w:b w:val="0"/>
                <w:bCs/>
                <w:color w:val="auto"/>
                <w:sz w:val="24"/>
                <w:szCs w:val="24"/>
                <w:lang w:eastAsia="zh-CN"/>
              </w:rPr>
              <w:t>支付</w:t>
            </w:r>
            <w:r>
              <w:rPr>
                <w:rFonts w:hint="eastAsia" w:ascii="仿宋" w:hAnsi="仿宋" w:eastAsia="仿宋" w:cs="仿宋"/>
                <w:b w:val="0"/>
                <w:bCs/>
                <w:color w:val="auto"/>
                <w:sz w:val="24"/>
                <w:szCs w:val="24"/>
              </w:rPr>
              <w:t>9</w:t>
            </w:r>
            <w:r>
              <w:rPr>
                <w:rFonts w:hint="eastAsia" w:ascii="仿宋" w:hAnsi="仿宋" w:eastAsia="仿宋" w:cs="仿宋"/>
                <w:b w:val="0"/>
                <w:bCs/>
                <w:color w:val="auto"/>
                <w:sz w:val="24"/>
                <w:szCs w:val="24"/>
                <w:lang w:val="en-US" w:eastAsia="zh-CN"/>
              </w:rPr>
              <w:t>7</w:t>
            </w:r>
            <w:r>
              <w:rPr>
                <w:rFonts w:hint="eastAsia" w:ascii="仿宋" w:hAnsi="仿宋" w:eastAsia="仿宋" w:cs="仿宋"/>
                <w:b w:val="0"/>
                <w:bCs/>
                <w:color w:val="auto"/>
                <w:sz w:val="24"/>
                <w:szCs w:val="24"/>
              </w:rPr>
              <w:t>%；留</w:t>
            </w:r>
            <w:r>
              <w:rPr>
                <w:rFonts w:hint="eastAsia" w:ascii="仿宋" w:hAnsi="仿宋" w:eastAsia="仿宋" w:cs="仿宋"/>
                <w:b w:val="0"/>
                <w:bCs/>
                <w:color w:val="auto"/>
                <w:sz w:val="24"/>
                <w:szCs w:val="24"/>
                <w:lang w:val="en-US" w:eastAsia="zh-CN"/>
              </w:rPr>
              <w:t>3</w:t>
            </w:r>
            <w:r>
              <w:rPr>
                <w:rFonts w:hint="eastAsia" w:ascii="仿宋" w:hAnsi="仿宋" w:eastAsia="仿宋" w:cs="仿宋"/>
                <w:b w:val="0"/>
                <w:bCs/>
                <w:color w:val="auto"/>
                <w:sz w:val="24"/>
                <w:szCs w:val="24"/>
              </w:rPr>
              <w:t>% 的质量保证金。</w:t>
            </w:r>
            <w:r>
              <w:rPr>
                <w:rFonts w:hint="eastAsia" w:ascii="仿宋" w:hAnsi="仿宋" w:eastAsia="仿宋" w:cs="仿宋"/>
                <w:b/>
                <w:color w:val="auto"/>
                <w:sz w:val="24"/>
                <w:szCs w:val="24"/>
              </w:rPr>
              <w:t>备注：最终付款方式以和甲方单位签订合同为主。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18</w:t>
            </w:r>
          </w:p>
        </w:tc>
        <w:tc>
          <w:tcPr>
            <w:tcW w:w="1672" w:type="dxa"/>
            <w:tcBorders>
              <w:top w:val="single" w:color="auto" w:sz="4" w:space="0"/>
            </w:tcBorders>
            <w:vAlign w:val="center"/>
          </w:tcPr>
          <w:p>
            <w:pPr>
              <w:overflowPunct w:val="0"/>
              <w:spacing w:line="440" w:lineRule="exact"/>
              <w:jc w:val="center"/>
              <w:rPr>
                <w:rFonts w:ascii="仿宋" w:hAnsi="仿宋" w:eastAsia="仿宋"/>
                <w:sz w:val="24"/>
              </w:rPr>
            </w:pPr>
            <w:r>
              <w:rPr>
                <w:rFonts w:hint="eastAsia" w:ascii="仿宋" w:hAnsi="仿宋" w:eastAsia="仿宋"/>
                <w:sz w:val="24"/>
              </w:rPr>
              <w:t>相关账号</w:t>
            </w:r>
          </w:p>
        </w:tc>
        <w:tc>
          <w:tcPr>
            <w:tcW w:w="7674" w:type="dxa"/>
            <w:vAlign w:val="center"/>
          </w:tcPr>
          <w:p>
            <w:pPr>
              <w:overflowPunct w:val="0"/>
              <w:spacing w:line="440" w:lineRule="exact"/>
              <w:rPr>
                <w:rFonts w:hint="eastAsia" w:ascii="仿宋" w:hAnsi="仿宋" w:eastAsia="仿宋" w:cs="宋体"/>
                <w:kern w:val="0"/>
                <w:sz w:val="24"/>
                <w:szCs w:val="22"/>
              </w:rPr>
            </w:pPr>
            <w:r>
              <w:rPr>
                <w:rFonts w:hint="eastAsia" w:ascii="仿宋" w:hAnsi="仿宋" w:eastAsia="仿宋" w:cs="宋体"/>
                <w:kern w:val="0"/>
                <w:sz w:val="24"/>
                <w:szCs w:val="22"/>
              </w:rPr>
              <w:t>投标保证金缴纳账号：</w:t>
            </w:r>
          </w:p>
          <w:p>
            <w:pPr>
              <w:spacing w:line="240" w:lineRule="atLeast"/>
              <w:rPr>
                <w:rFonts w:hint="default" w:ascii="仿宋" w:hAnsi="仿宋" w:eastAsia="仿宋" w:cs="仿宋"/>
                <w:color w:val="auto"/>
                <w:sz w:val="24"/>
                <w:highlight w:val="none"/>
                <w:lang w:val="en-US" w:eastAsia="zh-CN"/>
              </w:rPr>
            </w:pPr>
            <w:r>
              <w:rPr>
                <w:rFonts w:hint="eastAsia" w:ascii="仿宋" w:hAnsi="仿宋" w:eastAsia="仿宋" w:cs="宋体"/>
                <w:kern w:val="0"/>
                <w:sz w:val="24"/>
                <w:szCs w:val="22"/>
              </w:rPr>
              <w:t>账户名称：新疆正聚方企业管理咨询有限公司</w:t>
            </w:r>
          </w:p>
          <w:p>
            <w:pPr>
              <w:overflowPunct w:val="0"/>
              <w:spacing w:line="440" w:lineRule="exact"/>
              <w:rPr>
                <w:rFonts w:hint="eastAsia" w:ascii="仿宋" w:hAnsi="仿宋" w:eastAsia="仿宋" w:cs="宋体"/>
                <w:kern w:val="0"/>
                <w:sz w:val="24"/>
                <w:szCs w:val="22"/>
              </w:rPr>
            </w:pPr>
            <w:r>
              <w:rPr>
                <w:rFonts w:hint="eastAsia" w:ascii="仿宋" w:hAnsi="仿宋" w:eastAsia="仿宋" w:cs="宋体"/>
                <w:kern w:val="0"/>
                <w:sz w:val="24"/>
                <w:szCs w:val="22"/>
              </w:rPr>
              <w:t>开户行：中国邮政储蓄银行股份有限公司巴音郭楞蒙古自治州分行</w:t>
            </w:r>
          </w:p>
          <w:p>
            <w:pPr>
              <w:overflowPunct w:val="0"/>
              <w:spacing w:line="440" w:lineRule="exact"/>
              <w:rPr>
                <w:rFonts w:hint="eastAsia" w:ascii="仿宋" w:hAnsi="仿宋" w:eastAsia="仿宋" w:cs="宋体"/>
                <w:kern w:val="0"/>
                <w:sz w:val="24"/>
                <w:szCs w:val="22"/>
              </w:rPr>
            </w:pPr>
            <w:r>
              <w:rPr>
                <w:rFonts w:hint="eastAsia" w:ascii="仿宋" w:hAnsi="仿宋" w:eastAsia="仿宋" w:cs="宋体"/>
                <w:kern w:val="0"/>
                <w:sz w:val="24"/>
                <w:szCs w:val="22"/>
              </w:rPr>
              <w:t>账  号：965009010002716671</w:t>
            </w:r>
          </w:p>
          <w:p>
            <w:pPr>
              <w:overflowPunct w:val="0"/>
              <w:spacing w:line="440" w:lineRule="exact"/>
              <w:rPr>
                <w:rFonts w:hint="eastAsia" w:ascii="仿宋" w:hAnsi="仿宋" w:eastAsia="仿宋" w:cs="宋体"/>
                <w:kern w:val="0"/>
                <w:sz w:val="24"/>
                <w:szCs w:val="22"/>
              </w:rPr>
            </w:pPr>
            <w:r>
              <w:rPr>
                <w:rFonts w:hint="eastAsia" w:ascii="仿宋" w:hAnsi="仿宋" w:eastAsia="仿宋" w:cs="宋体"/>
                <w:kern w:val="0"/>
                <w:sz w:val="24"/>
                <w:szCs w:val="22"/>
              </w:rPr>
              <w:t>注：汇款单上需注明投</w:t>
            </w:r>
            <w:r>
              <w:rPr>
                <w:rFonts w:hint="eastAsia" w:ascii="仿宋" w:hAnsi="仿宋" w:eastAsia="仿宋" w:cs="宋体"/>
                <w:kern w:val="0"/>
                <w:sz w:val="24"/>
                <w:szCs w:val="22"/>
                <w:lang w:eastAsia="zh-CN"/>
              </w:rPr>
              <w:t>项目名称或者</w:t>
            </w:r>
            <w:r>
              <w:rPr>
                <w:rFonts w:hint="eastAsia" w:ascii="仿宋" w:hAnsi="仿宋" w:eastAsia="仿宋" w:cs="宋体"/>
                <w:kern w:val="0"/>
                <w:sz w:val="24"/>
                <w:szCs w:val="22"/>
              </w:rPr>
              <w:t>项目编号</w:t>
            </w:r>
          </w:p>
          <w:p>
            <w:pPr>
              <w:overflowPunct w:val="0"/>
              <w:spacing w:line="440" w:lineRule="exact"/>
              <w:rPr>
                <w:rFonts w:hint="eastAsia" w:ascii="仿宋" w:hAnsi="仿宋" w:eastAsia="仿宋" w:cs="宋体"/>
                <w:kern w:val="0"/>
                <w:sz w:val="24"/>
                <w:szCs w:val="22"/>
              </w:rPr>
            </w:pPr>
            <w:r>
              <w:rPr>
                <w:rFonts w:hint="eastAsia" w:ascii="仿宋" w:hAnsi="仿宋" w:eastAsia="仿宋" w:cs="宋体"/>
                <w:kern w:val="0"/>
                <w:sz w:val="24"/>
                <w:szCs w:val="22"/>
              </w:rPr>
              <w:t>招标代理服务费缴纳账号：（同上）</w:t>
            </w:r>
          </w:p>
          <w:p>
            <w:pPr>
              <w:overflowPunct w:val="0"/>
              <w:spacing w:line="440" w:lineRule="exact"/>
              <w:rPr>
                <w:rFonts w:ascii="仿宋" w:hAnsi="仿宋" w:eastAsia="仿宋"/>
                <w:sz w:val="24"/>
              </w:rPr>
            </w:pPr>
            <w:r>
              <w:rPr>
                <w:rFonts w:hint="eastAsia" w:ascii="仿宋" w:hAnsi="仿宋" w:eastAsia="仿宋" w:cs="宋体"/>
                <w:kern w:val="0"/>
                <w:sz w:val="24"/>
                <w:szCs w:val="22"/>
              </w:rPr>
              <w:t>投标保证金缴纳期限：凡拟参加本次招标项目的供应商，必须在202</w:t>
            </w:r>
            <w:r>
              <w:rPr>
                <w:rFonts w:hint="eastAsia" w:ascii="仿宋" w:hAnsi="仿宋" w:eastAsia="仿宋" w:cs="宋体"/>
                <w:kern w:val="0"/>
                <w:sz w:val="24"/>
                <w:szCs w:val="22"/>
                <w:lang w:val="en-US" w:eastAsia="zh-CN"/>
              </w:rPr>
              <w:t>2</w:t>
            </w:r>
            <w:r>
              <w:rPr>
                <w:rFonts w:hint="eastAsia" w:ascii="仿宋" w:hAnsi="仿宋" w:eastAsia="仿宋" w:cs="宋体"/>
                <w:color w:val="auto"/>
                <w:kern w:val="0"/>
                <w:sz w:val="24"/>
                <w:szCs w:val="22"/>
              </w:rPr>
              <w:t>年</w:t>
            </w:r>
            <w:r>
              <w:rPr>
                <w:rFonts w:hint="eastAsia" w:ascii="仿宋" w:hAnsi="仿宋" w:eastAsia="仿宋" w:cs="宋体"/>
                <w:color w:val="auto"/>
                <w:kern w:val="0"/>
                <w:sz w:val="24"/>
                <w:szCs w:val="22"/>
                <w:lang w:val="en-US" w:eastAsia="zh-CN"/>
              </w:rPr>
              <w:t>7</w:t>
            </w:r>
            <w:r>
              <w:rPr>
                <w:rFonts w:hint="eastAsia" w:ascii="仿宋" w:hAnsi="仿宋" w:eastAsia="仿宋" w:cs="宋体"/>
                <w:color w:val="auto"/>
                <w:kern w:val="0"/>
                <w:sz w:val="24"/>
                <w:szCs w:val="22"/>
              </w:rPr>
              <w:t>月</w:t>
            </w:r>
            <w:r>
              <w:rPr>
                <w:rFonts w:hint="eastAsia" w:ascii="仿宋" w:hAnsi="仿宋" w:eastAsia="仿宋" w:cs="宋体"/>
                <w:color w:val="auto"/>
                <w:kern w:val="0"/>
                <w:sz w:val="24"/>
                <w:szCs w:val="22"/>
                <w:lang w:val="en-US" w:eastAsia="zh-CN"/>
              </w:rPr>
              <w:t xml:space="preserve">18 </w:t>
            </w:r>
            <w:r>
              <w:rPr>
                <w:rFonts w:hint="eastAsia" w:ascii="仿宋" w:hAnsi="仿宋" w:eastAsia="仿宋" w:cs="宋体"/>
                <w:color w:val="auto"/>
                <w:kern w:val="0"/>
                <w:sz w:val="24"/>
                <w:szCs w:val="22"/>
              </w:rPr>
              <w:t>日</w:t>
            </w:r>
            <w:r>
              <w:rPr>
                <w:rFonts w:hint="eastAsia" w:ascii="仿宋" w:hAnsi="仿宋" w:eastAsia="仿宋" w:cs="宋体"/>
                <w:color w:val="auto"/>
                <w:kern w:val="0"/>
                <w:sz w:val="24"/>
                <w:szCs w:val="22"/>
                <w:lang w:val="en-US" w:eastAsia="zh-CN"/>
              </w:rPr>
              <w:t>10</w:t>
            </w:r>
            <w:r>
              <w:rPr>
                <w:rFonts w:hint="eastAsia" w:ascii="仿宋" w:hAnsi="仿宋" w:eastAsia="仿宋" w:cs="宋体"/>
                <w:color w:val="auto"/>
                <w:kern w:val="0"/>
                <w:sz w:val="24"/>
                <w:szCs w:val="22"/>
              </w:rPr>
              <w:t>:30时（</w:t>
            </w:r>
            <w:r>
              <w:rPr>
                <w:rFonts w:hint="eastAsia" w:ascii="仿宋" w:hAnsi="仿宋" w:eastAsia="仿宋" w:cs="宋体"/>
                <w:kern w:val="0"/>
                <w:sz w:val="24"/>
                <w:szCs w:val="22"/>
              </w:rPr>
              <w:t>北京时间）前将投标保证金汇入指定账户。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19</w:t>
            </w:r>
          </w:p>
        </w:tc>
        <w:tc>
          <w:tcPr>
            <w:tcW w:w="1672" w:type="dxa"/>
            <w:tcBorders>
              <w:top w:val="single" w:color="auto" w:sz="4" w:space="0"/>
            </w:tcBorders>
            <w:vAlign w:val="center"/>
          </w:tcPr>
          <w:p>
            <w:pPr>
              <w:overflowPunct w:val="0"/>
              <w:spacing w:line="440" w:lineRule="exact"/>
              <w:jc w:val="center"/>
              <w:rPr>
                <w:rFonts w:hint="default" w:ascii="仿宋" w:hAnsi="仿宋" w:eastAsia="仿宋"/>
                <w:color w:val="auto"/>
                <w:sz w:val="24"/>
                <w:lang w:val="en-US" w:eastAsia="zh-CN"/>
              </w:rPr>
            </w:pPr>
            <w:r>
              <w:rPr>
                <w:rFonts w:hint="eastAsia" w:ascii="仿宋" w:hAnsi="仿宋" w:eastAsia="仿宋"/>
                <w:color w:val="auto"/>
                <w:sz w:val="24"/>
                <w:lang w:val="en-US" w:eastAsia="zh-CN"/>
              </w:rPr>
              <w:t>交货期</w:t>
            </w:r>
          </w:p>
        </w:tc>
        <w:tc>
          <w:tcPr>
            <w:tcW w:w="7674" w:type="dxa"/>
            <w:vAlign w:val="center"/>
          </w:tcPr>
          <w:p>
            <w:pPr>
              <w:spacing w:line="440" w:lineRule="exact"/>
              <w:jc w:val="left"/>
              <w:rPr>
                <w:rFonts w:hint="default" w:ascii="仿宋" w:hAnsi="仿宋" w:eastAsia="仿宋"/>
                <w:color w:val="auto"/>
                <w:sz w:val="24"/>
                <w:lang w:val="en-US" w:eastAsia="zh-CN"/>
              </w:rPr>
            </w:pPr>
            <w:r>
              <w:rPr>
                <w:rFonts w:hint="eastAsia" w:ascii="仿宋" w:hAnsi="仿宋" w:eastAsia="仿宋"/>
                <w:color w:val="auto"/>
                <w:sz w:val="24"/>
                <w:lang w:val="en-US" w:eastAsia="zh-CN"/>
              </w:rPr>
              <w:t>交货期30天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20</w:t>
            </w:r>
          </w:p>
        </w:tc>
        <w:tc>
          <w:tcPr>
            <w:tcW w:w="1672" w:type="dxa"/>
            <w:tcBorders>
              <w:top w:val="single" w:color="auto" w:sz="4" w:space="0"/>
            </w:tcBorders>
            <w:vAlign w:val="center"/>
          </w:tcPr>
          <w:p>
            <w:pPr>
              <w:overflowPunct w:val="0"/>
              <w:spacing w:line="440" w:lineRule="exact"/>
              <w:jc w:val="center"/>
              <w:rPr>
                <w:rFonts w:hint="default" w:ascii="仿宋" w:hAnsi="仿宋" w:eastAsia="仿宋"/>
                <w:color w:val="auto"/>
                <w:sz w:val="24"/>
                <w:lang w:val="en-US" w:eastAsia="zh-CN"/>
              </w:rPr>
            </w:pPr>
            <w:r>
              <w:rPr>
                <w:rFonts w:hint="eastAsia" w:ascii="仿宋" w:hAnsi="仿宋" w:eastAsia="仿宋"/>
                <w:color w:val="auto"/>
                <w:sz w:val="24"/>
                <w:lang w:val="en-US" w:eastAsia="zh-CN"/>
              </w:rPr>
              <w:t>质保期</w:t>
            </w:r>
          </w:p>
        </w:tc>
        <w:tc>
          <w:tcPr>
            <w:tcW w:w="7674" w:type="dxa"/>
            <w:vAlign w:val="center"/>
          </w:tcPr>
          <w:p>
            <w:pPr>
              <w:spacing w:line="440" w:lineRule="exact"/>
              <w:jc w:val="left"/>
              <w:rPr>
                <w:rFonts w:hint="default" w:ascii="仿宋" w:hAnsi="仿宋" w:eastAsia="仿宋"/>
                <w:color w:val="auto"/>
                <w:sz w:val="24"/>
                <w:lang w:val="en-US" w:eastAsia="zh-CN"/>
              </w:rPr>
            </w:pPr>
            <w:r>
              <w:rPr>
                <w:rFonts w:hint="eastAsia" w:ascii="仿宋" w:hAnsi="仿宋" w:eastAsia="仿宋"/>
                <w:color w:val="auto"/>
                <w:sz w:val="24"/>
                <w:lang w:val="en-US" w:eastAsia="zh-CN"/>
              </w:rPr>
              <w:t>质保期为5年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21</w:t>
            </w:r>
          </w:p>
        </w:tc>
        <w:tc>
          <w:tcPr>
            <w:tcW w:w="1672" w:type="dxa"/>
            <w:vAlign w:val="center"/>
          </w:tcPr>
          <w:p>
            <w:pPr>
              <w:overflowPunct w:val="0"/>
              <w:jc w:val="center"/>
              <w:rPr>
                <w:rFonts w:ascii="仿宋" w:hAnsi="仿宋" w:eastAsia="仿宋"/>
                <w:sz w:val="24"/>
              </w:rPr>
            </w:pPr>
            <w:r>
              <w:rPr>
                <w:rFonts w:hint="eastAsia" w:ascii="仿宋" w:hAnsi="仿宋" w:eastAsia="仿宋"/>
                <w:sz w:val="24"/>
              </w:rPr>
              <w:t>低于成本价不正当竞争预防措施</w:t>
            </w:r>
          </w:p>
        </w:tc>
        <w:tc>
          <w:tcPr>
            <w:tcW w:w="7674" w:type="dxa"/>
            <w:vAlign w:val="center"/>
          </w:tcPr>
          <w:p>
            <w:pPr>
              <w:spacing w:line="440" w:lineRule="exact"/>
              <w:ind w:firstLine="480" w:firstLineChars="200"/>
              <w:rPr>
                <w:rFonts w:ascii="仿宋" w:hAnsi="仿宋" w:eastAsia="仿宋"/>
                <w:sz w:val="24"/>
              </w:rPr>
            </w:pPr>
            <w:r>
              <w:rPr>
                <w:rFonts w:hint="eastAsia" w:ascii="仿宋" w:hAnsi="仿宋" w:eastAsia="仿宋"/>
                <w:sz w:val="24"/>
              </w:rPr>
              <w:t>在评标过程中，投标人报价低于其他有效投标人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pPr>
              <w:spacing w:line="440" w:lineRule="exact"/>
              <w:ind w:firstLine="480" w:firstLineChars="200"/>
              <w:rPr>
                <w:rFonts w:ascii="仿宋" w:hAnsi="仿宋" w:eastAsia="仿宋"/>
                <w:sz w:val="24"/>
              </w:rPr>
            </w:pPr>
            <w:r>
              <w:rPr>
                <w:rFonts w:hint="eastAsia" w:ascii="仿宋" w:hAnsi="仿宋" w:eastAsia="仿宋"/>
                <w:sz w:val="24"/>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spacing w:line="440" w:lineRule="exact"/>
              <w:rPr>
                <w:rFonts w:ascii="仿宋" w:hAnsi="仿宋" w:eastAsia="仿宋"/>
                <w:sz w:val="24"/>
              </w:rPr>
            </w:pPr>
            <w:r>
              <w:rPr>
                <w:rFonts w:hint="eastAsia" w:ascii="仿宋" w:hAnsi="仿宋" w:eastAsia="仿宋"/>
                <w:sz w:val="24"/>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22</w:t>
            </w:r>
          </w:p>
        </w:tc>
        <w:tc>
          <w:tcPr>
            <w:tcW w:w="1672" w:type="dxa"/>
            <w:vAlign w:val="center"/>
          </w:tcPr>
          <w:p>
            <w:pPr>
              <w:jc w:val="center"/>
              <w:rPr>
                <w:rFonts w:ascii="仿宋" w:hAnsi="仿宋" w:eastAsia="仿宋"/>
                <w:sz w:val="24"/>
                <w:szCs w:val="24"/>
              </w:rPr>
            </w:pPr>
            <w:r>
              <w:rPr>
                <w:rFonts w:hint="eastAsia" w:ascii="仿宋" w:hAnsi="仿宋" w:eastAsia="仿宋"/>
                <w:sz w:val="24"/>
                <w:szCs w:val="24"/>
              </w:rPr>
              <w:t>政府采购政策支持</w:t>
            </w:r>
          </w:p>
        </w:tc>
        <w:tc>
          <w:tcPr>
            <w:tcW w:w="7674" w:type="dxa"/>
          </w:tcPr>
          <w:p>
            <w:pPr>
              <w:spacing w:line="276" w:lineRule="auto"/>
              <w:rPr>
                <w:rFonts w:ascii="仿宋" w:hAnsi="仿宋" w:eastAsia="仿宋"/>
                <w:sz w:val="24"/>
              </w:rPr>
            </w:pPr>
            <w:r>
              <w:rPr>
                <w:rFonts w:ascii="仿宋" w:hAnsi="仿宋" w:eastAsia="仿宋"/>
                <w:sz w:val="24"/>
              </w:rPr>
              <w:t>1</w:t>
            </w:r>
            <w:r>
              <w:rPr>
                <w:rFonts w:hint="eastAsia" w:ascii="仿宋" w:hAnsi="仿宋" w:eastAsia="仿宋"/>
                <w:sz w:val="24"/>
              </w:rPr>
              <w:t>、本项目为非专门面向中小企业（含中型、小型、微型企业）采购项目，根据《政府采购促进中小企业发展暂行办法》（财库</w:t>
            </w:r>
            <w:r>
              <w:rPr>
                <w:rFonts w:ascii="仿宋" w:hAnsi="仿宋" w:eastAsia="仿宋"/>
                <w:sz w:val="24"/>
              </w:rPr>
              <w:t>[2011]181</w:t>
            </w:r>
            <w:r>
              <w:rPr>
                <w:rFonts w:hint="eastAsia" w:ascii="仿宋" w:hAnsi="仿宋" w:eastAsia="仿宋"/>
                <w:sz w:val="24"/>
              </w:rPr>
              <w:t>号）的规定，评标时将给予此类企业进行价格6</w:t>
            </w:r>
            <w:r>
              <w:rPr>
                <w:rFonts w:ascii="仿宋" w:hAnsi="仿宋" w:eastAsia="仿宋"/>
                <w:sz w:val="24"/>
              </w:rPr>
              <w:t>%</w:t>
            </w:r>
            <w:r>
              <w:rPr>
                <w:rFonts w:hint="eastAsia" w:ascii="仿宋" w:hAnsi="仿宋" w:eastAsia="仿宋"/>
                <w:sz w:val="24"/>
              </w:rPr>
              <w:t>的优惠，监狱企业、残疾人福利性单位视同为小微企业，用优惠后的价格参与评审。</w:t>
            </w:r>
          </w:p>
          <w:p>
            <w:pPr>
              <w:spacing w:line="276" w:lineRule="auto"/>
              <w:rPr>
                <w:rFonts w:ascii="仿宋" w:hAnsi="仿宋" w:eastAsia="仿宋"/>
                <w:sz w:val="24"/>
              </w:rPr>
            </w:pPr>
            <w:r>
              <w:rPr>
                <w:rFonts w:ascii="仿宋" w:hAnsi="仿宋" w:eastAsia="仿宋"/>
                <w:sz w:val="24"/>
              </w:rPr>
              <w:t>2</w:t>
            </w:r>
            <w:r>
              <w:rPr>
                <w:rFonts w:hint="eastAsia" w:ascii="仿宋" w:hAnsi="仿宋" w:eastAsia="仿宋"/>
                <w:sz w:val="24"/>
              </w:rPr>
              <w:t>、政府采购强制采购：标记★符号的节能产品：</w:t>
            </w:r>
          </w:p>
          <w:p>
            <w:pPr>
              <w:spacing w:line="276" w:lineRule="auto"/>
              <w:rPr>
                <w:rFonts w:ascii="仿宋" w:hAnsi="仿宋" w:eastAsia="仿宋"/>
                <w:sz w:val="24"/>
              </w:rPr>
            </w:pPr>
            <w:r>
              <w:rPr>
                <w:rFonts w:hint="eastAsia" w:ascii="仿宋" w:hAnsi="仿宋" w:eastAsia="仿宋"/>
                <w:sz w:val="24"/>
              </w:rPr>
              <w:t>符合《节能产品政府采购清单》</w:t>
            </w:r>
            <w:r>
              <w:rPr>
                <w:rFonts w:ascii="仿宋" w:hAnsi="仿宋" w:eastAsia="仿宋"/>
                <w:sz w:val="24"/>
              </w:rPr>
              <w:t>(</w:t>
            </w:r>
            <w:r>
              <w:rPr>
                <w:rFonts w:hint="eastAsia" w:ascii="仿宋" w:hAnsi="仿宋" w:eastAsia="仿宋"/>
                <w:sz w:val="24"/>
              </w:rPr>
              <w:t>最新一期</w:t>
            </w:r>
            <w:r>
              <w:rPr>
                <w:rFonts w:ascii="仿宋" w:hAnsi="仿宋" w:eastAsia="仿宋"/>
                <w:sz w:val="24"/>
              </w:rPr>
              <w:t>)</w:t>
            </w:r>
            <w:r>
              <w:rPr>
                <w:rFonts w:hint="eastAsia" w:ascii="仿宋" w:hAnsi="仿宋" w:eastAsia="仿宋"/>
                <w:sz w:val="24"/>
              </w:rPr>
              <w:t>目录内的强制采购节能产品。</w:t>
            </w:r>
          </w:p>
          <w:p>
            <w:pPr>
              <w:spacing w:line="276" w:lineRule="auto"/>
              <w:rPr>
                <w:rFonts w:ascii="仿宋" w:hAnsi="仿宋" w:eastAsia="仿宋"/>
                <w:sz w:val="24"/>
              </w:rPr>
            </w:pPr>
            <w:r>
              <w:rPr>
                <w:rFonts w:ascii="仿宋" w:hAnsi="仿宋" w:eastAsia="仿宋"/>
                <w:sz w:val="24"/>
              </w:rPr>
              <w:t>3</w:t>
            </w:r>
            <w:r>
              <w:rPr>
                <w:rFonts w:hint="eastAsia" w:ascii="仿宋" w:hAnsi="仿宋" w:eastAsia="仿宋"/>
                <w:sz w:val="24"/>
              </w:rPr>
              <w:t>、政府采购优先采购：</w:t>
            </w:r>
            <w:r>
              <w:rPr>
                <w:rFonts w:ascii="仿宋" w:hAnsi="仿宋" w:eastAsia="仿宋"/>
                <w:sz w:val="24"/>
              </w:rPr>
              <w:t>(1)</w:t>
            </w:r>
            <w:r>
              <w:rPr>
                <w:rFonts w:hint="eastAsia" w:ascii="仿宋" w:hAnsi="仿宋" w:eastAsia="仿宋"/>
                <w:sz w:val="24"/>
              </w:rPr>
              <w:t>非标记★符号的节能产品；</w:t>
            </w:r>
            <w:r>
              <w:rPr>
                <w:rFonts w:ascii="仿宋" w:hAnsi="仿宋" w:eastAsia="仿宋"/>
                <w:sz w:val="24"/>
              </w:rPr>
              <w:t>(2)</w:t>
            </w:r>
            <w:r>
              <w:rPr>
                <w:rFonts w:hint="eastAsia" w:ascii="仿宋" w:hAnsi="仿宋" w:eastAsia="仿宋"/>
                <w:sz w:val="24"/>
              </w:rPr>
              <w:t>环境标志产品；</w:t>
            </w:r>
          </w:p>
          <w:p>
            <w:pPr>
              <w:spacing w:line="276" w:lineRule="auto"/>
              <w:rPr>
                <w:rFonts w:ascii="仿宋" w:hAnsi="仿宋" w:eastAsia="仿宋"/>
                <w:sz w:val="24"/>
              </w:rPr>
            </w:pPr>
            <w:r>
              <w:rPr>
                <w:rFonts w:hint="eastAsia" w:ascii="仿宋" w:hAnsi="仿宋" w:eastAsia="仿宋"/>
                <w:sz w:val="24"/>
              </w:rPr>
              <w:t>采购产品为《节能产品政府采购清单》(最新一期)</w:t>
            </w:r>
            <w:r>
              <w:rPr>
                <w:rFonts w:ascii="仿宋" w:hAnsi="仿宋" w:eastAsia="仿宋"/>
                <w:sz w:val="24"/>
              </w:rPr>
              <w:t xml:space="preserve"> </w:t>
            </w:r>
            <w:r>
              <w:rPr>
                <w:rFonts w:hint="eastAsia" w:ascii="仿宋" w:hAnsi="仿宋" w:eastAsia="仿宋"/>
                <w:sz w:val="24"/>
              </w:rPr>
              <w:t>内非标记★符号的节能产品及《环境标志产品政府采购清单》(最新一期)内的产品：</w:t>
            </w:r>
          </w:p>
          <w:p>
            <w:pPr>
              <w:spacing w:line="440" w:lineRule="exact"/>
              <w:rPr>
                <w:rFonts w:ascii="仿宋" w:hAnsi="仿宋" w:eastAsia="仿宋"/>
                <w:b/>
                <w:sz w:val="24"/>
                <w:szCs w:val="24"/>
              </w:rPr>
            </w:pPr>
            <w:r>
              <w:rPr>
                <w:rFonts w:ascii="仿宋" w:hAnsi="仿宋" w:eastAsia="仿宋"/>
                <w:sz w:val="24"/>
              </w:rPr>
              <w:t>1</w:t>
            </w:r>
            <w:r>
              <w:rPr>
                <w:rFonts w:hint="eastAsia" w:ascii="仿宋" w:hAnsi="仿宋" w:eastAsia="仿宋"/>
                <w:sz w:val="24"/>
              </w:rPr>
              <w:t>、投标文件中对所供产品为节能、环境标志产品清单中的产品，在报价时必须对此类产品单独分项报价，计算出小计及占合同包总金额的百分比，并提供属于清单内产品的证明资料（从发布以上清单目录的权威媒体网站上下载的网页公告、目录清单、证书等），</w:t>
            </w:r>
            <w:r>
              <w:rPr>
                <w:rFonts w:hint="eastAsia" w:ascii="仿宋" w:hAnsi="仿宋" w:eastAsia="仿宋"/>
                <w:b/>
                <w:sz w:val="24"/>
                <w:szCs w:val="24"/>
              </w:rPr>
              <w:t>未单独分项报价且未提供属于清单内产品的证明资料的不给予折扣优惠。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hint="default" w:ascii="仿宋" w:hAnsi="仿宋" w:eastAsia="仿宋"/>
                <w:sz w:val="24"/>
                <w:lang w:val="en-US" w:eastAsia="zh-CN"/>
              </w:rPr>
            </w:pPr>
            <w:r>
              <w:rPr>
                <w:rFonts w:hint="eastAsia" w:ascii="仿宋" w:hAnsi="仿宋" w:eastAsia="仿宋"/>
                <w:sz w:val="24"/>
                <w:lang w:val="en-US" w:eastAsia="zh-CN"/>
              </w:rPr>
              <w:t>23</w:t>
            </w:r>
          </w:p>
        </w:tc>
        <w:tc>
          <w:tcPr>
            <w:tcW w:w="1672" w:type="dxa"/>
            <w:vAlign w:val="center"/>
          </w:tcPr>
          <w:p>
            <w:pPr>
              <w:pStyle w:val="26"/>
              <w:spacing w:line="440" w:lineRule="exact"/>
              <w:jc w:val="center"/>
              <w:rPr>
                <w:rFonts w:ascii="仿宋" w:hAnsi="仿宋" w:eastAsia="仿宋" w:cs="Times New Roman"/>
                <w:kern w:val="2"/>
              </w:rPr>
            </w:pPr>
            <w:r>
              <w:rPr>
                <w:rFonts w:hint="eastAsia" w:ascii="仿宋" w:hAnsi="仿宋" w:eastAsia="仿宋" w:cs="Times New Roman"/>
                <w:kern w:val="2"/>
              </w:rPr>
              <w:t>质疑须知</w:t>
            </w:r>
          </w:p>
        </w:tc>
        <w:tc>
          <w:tcPr>
            <w:tcW w:w="7674" w:type="dxa"/>
            <w:vAlign w:val="center"/>
          </w:tcPr>
          <w:p>
            <w:pPr>
              <w:pStyle w:val="26"/>
              <w:spacing w:line="440" w:lineRule="exact"/>
              <w:ind w:left="494" w:hanging="494" w:hangingChars="206"/>
              <w:rPr>
                <w:rFonts w:ascii="仿宋" w:hAnsi="仿宋" w:eastAsia="仿宋" w:cs="Times New Roman"/>
                <w:kern w:val="2"/>
              </w:rPr>
            </w:pPr>
            <w:r>
              <w:rPr>
                <w:rFonts w:hint="eastAsia" w:ascii="仿宋" w:hAnsi="仿宋" w:eastAsia="仿宋" w:cs="Times New Roman"/>
                <w:kern w:val="2"/>
              </w:rPr>
              <w:t>接收质疑函的方式：现场递交纸质版及Word格式电子版质疑文件至接收单位</w:t>
            </w:r>
          </w:p>
          <w:p>
            <w:pPr>
              <w:pStyle w:val="26"/>
              <w:spacing w:line="440" w:lineRule="exact"/>
              <w:jc w:val="both"/>
              <w:rPr>
                <w:rFonts w:hint="eastAsia" w:ascii="仿宋" w:hAnsi="仿宋" w:eastAsia="仿宋" w:cs="Times New Roman"/>
                <w:kern w:val="2"/>
                <w:lang w:eastAsia="zh-CN"/>
              </w:rPr>
            </w:pPr>
            <w:r>
              <w:rPr>
                <w:rFonts w:hint="eastAsia" w:ascii="仿宋" w:hAnsi="仿宋" w:eastAsia="仿宋" w:cs="Times New Roman"/>
                <w:kern w:val="2"/>
              </w:rPr>
              <w:t>接受质疑的单位：新疆正聚方企业管理咨询有限公司</w:t>
            </w:r>
          </w:p>
          <w:p>
            <w:pPr>
              <w:pStyle w:val="26"/>
              <w:spacing w:line="440" w:lineRule="exact"/>
              <w:jc w:val="both"/>
              <w:rPr>
                <w:rFonts w:hint="eastAsia" w:ascii="仿宋" w:hAnsi="仿宋" w:eastAsia="仿宋" w:cs="Times New Roman"/>
                <w:kern w:val="2"/>
                <w:lang w:eastAsia="zh-CN"/>
              </w:rPr>
            </w:pPr>
            <w:r>
              <w:rPr>
                <w:rFonts w:hint="eastAsia" w:ascii="仿宋" w:hAnsi="仿宋" w:eastAsia="仿宋" w:cs="Times New Roman"/>
                <w:kern w:val="2"/>
              </w:rPr>
              <w:t>地址：库尔勒市智慧嘉苑门面房65-01-3号2楼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979" w:type="dxa"/>
            <w:vAlign w:val="center"/>
          </w:tcPr>
          <w:p>
            <w:pPr>
              <w:overflowPunct w:val="0"/>
              <w:spacing w:line="440" w:lineRule="exact"/>
              <w:jc w:val="center"/>
              <w:rPr>
                <w:rFonts w:ascii="仿宋" w:hAnsi="仿宋" w:eastAsia="仿宋"/>
                <w:b/>
                <w:sz w:val="24"/>
              </w:rPr>
            </w:pPr>
            <w:r>
              <w:rPr>
                <w:rFonts w:hint="eastAsia" w:ascii="仿宋" w:hAnsi="仿宋" w:eastAsia="仿宋"/>
                <w:b/>
                <w:sz w:val="24"/>
              </w:rPr>
              <w:t>备注</w:t>
            </w:r>
          </w:p>
        </w:tc>
        <w:tc>
          <w:tcPr>
            <w:tcW w:w="9346" w:type="dxa"/>
            <w:gridSpan w:val="2"/>
            <w:vAlign w:val="center"/>
          </w:tcPr>
          <w:p>
            <w:pPr>
              <w:spacing w:line="440" w:lineRule="exact"/>
              <w:rPr>
                <w:rFonts w:ascii="仿宋" w:hAnsi="仿宋" w:eastAsia="仿宋"/>
                <w:b/>
                <w:sz w:val="24"/>
              </w:rPr>
            </w:pPr>
            <w:r>
              <w:rPr>
                <w:rFonts w:ascii="仿宋" w:hAnsi="仿宋" w:eastAsia="仿宋"/>
                <w:b/>
                <w:sz w:val="24"/>
              </w:rPr>
              <w:t>1</w:t>
            </w:r>
            <w:r>
              <w:rPr>
                <w:rFonts w:hint="eastAsia" w:ascii="仿宋" w:hAnsi="仿宋" w:eastAsia="仿宋"/>
                <w:b/>
                <w:sz w:val="24"/>
              </w:rPr>
              <w:t>、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pPr>
              <w:spacing w:line="440" w:lineRule="exact"/>
              <w:rPr>
                <w:rFonts w:ascii="仿宋" w:hAnsi="仿宋" w:eastAsia="仿宋"/>
                <w:b/>
                <w:sz w:val="24"/>
              </w:rPr>
            </w:pPr>
            <w:r>
              <w:rPr>
                <w:rFonts w:ascii="仿宋" w:hAnsi="仿宋" w:eastAsia="仿宋"/>
                <w:b/>
                <w:sz w:val="24"/>
              </w:rPr>
              <w:t>2</w:t>
            </w:r>
            <w:r>
              <w:rPr>
                <w:rFonts w:hint="eastAsia" w:ascii="仿宋" w:hAnsi="仿宋" w:eastAsia="仿宋"/>
                <w:b/>
                <w:sz w:val="24"/>
              </w:rPr>
              <w:t>、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42" w:hRule="atLeast"/>
          <w:jc w:val="center"/>
        </w:trPr>
        <w:tc>
          <w:tcPr>
            <w:tcW w:w="10325" w:type="dxa"/>
            <w:gridSpan w:val="3"/>
            <w:vAlign w:val="center"/>
          </w:tcPr>
          <w:p>
            <w:pPr>
              <w:spacing w:line="360" w:lineRule="auto"/>
              <w:rPr>
                <w:rFonts w:ascii="仿宋" w:hAnsi="仿宋" w:eastAsia="仿宋"/>
                <w:b/>
                <w:sz w:val="24"/>
              </w:rPr>
            </w:pPr>
            <w:r>
              <w:rPr>
                <w:rFonts w:hint="eastAsia" w:ascii="仿宋" w:hAnsi="仿宋" w:eastAsia="仿宋"/>
                <w:b/>
                <w:sz w:val="24"/>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pPr>
        <w:pStyle w:val="25"/>
        <w:spacing w:line="440" w:lineRule="exact"/>
        <w:jc w:val="both"/>
        <w:outlineLvl w:val="0"/>
        <w:rPr>
          <w:rFonts w:hint="eastAsia" w:ascii="黑体" w:hAnsi="黑体" w:eastAsia="黑体"/>
          <w:b/>
          <w:color w:val="auto"/>
          <w:kern w:val="2"/>
          <w:sz w:val="36"/>
          <w:szCs w:val="20"/>
        </w:rPr>
      </w:pPr>
    </w:p>
    <w:p>
      <w:pPr>
        <w:pStyle w:val="3"/>
        <w:ind w:firstLine="3614" w:firstLineChars="1000"/>
        <w:jc w:val="both"/>
      </w:pPr>
    </w:p>
    <w:p>
      <w:pPr>
        <w:pStyle w:val="3"/>
        <w:ind w:firstLine="3614" w:firstLineChars="1000"/>
        <w:jc w:val="both"/>
      </w:pPr>
    </w:p>
    <w:p>
      <w:pPr>
        <w:pStyle w:val="3"/>
        <w:ind w:firstLine="3614" w:firstLineChars="1000"/>
        <w:jc w:val="both"/>
      </w:pPr>
    </w:p>
    <w:p>
      <w:pPr>
        <w:pStyle w:val="3"/>
        <w:ind w:firstLine="3614" w:firstLineChars="1000"/>
        <w:jc w:val="both"/>
      </w:pPr>
    </w:p>
    <w:p>
      <w:pPr>
        <w:pStyle w:val="3"/>
        <w:ind w:firstLine="3614" w:firstLineChars="1000"/>
        <w:jc w:val="both"/>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22"/>
      </w:pPr>
    </w:p>
    <w:p>
      <w:pPr>
        <w:pStyle w:val="6"/>
        <w:ind w:left="0" w:leftChars="0" w:firstLine="0" w:firstLineChars="0"/>
      </w:pPr>
    </w:p>
    <w:p>
      <w:pPr>
        <w:pStyle w:val="3"/>
        <w:ind w:firstLine="3614" w:firstLineChars="1000"/>
        <w:jc w:val="both"/>
      </w:pPr>
      <w:r>
        <w:rPr>
          <w:rFonts w:hint="eastAsia"/>
          <w:lang w:val="en-US" w:eastAsia="zh-CN"/>
        </w:rPr>
        <w:t>1、</w:t>
      </w:r>
      <w:r>
        <w:t>投标须知</w:t>
      </w:r>
    </w:p>
    <w:p/>
    <w:p>
      <w:pPr>
        <w:pStyle w:val="10"/>
        <w:numPr>
          <w:ilvl w:val="0"/>
          <w:numId w:val="2"/>
        </w:numPr>
        <w:spacing w:before="161"/>
        <w:ind w:left="3137" w:leftChars="500" w:hanging="2037" w:hangingChars="849"/>
        <w:rPr>
          <w:rFonts w:hint="eastAsia"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招标文件编号：</w:t>
      </w:r>
      <w:r>
        <w:rPr>
          <w:rFonts w:hint="eastAsia" w:ascii="宋体" w:hAnsi="宋体" w:eastAsia="宋体" w:cs="宋体"/>
          <w:b w:val="0"/>
          <w:bCs w:val="0"/>
          <w:sz w:val="24"/>
          <w:szCs w:val="24"/>
          <w:lang w:val="zh-CN" w:eastAsia="zh-CN" w:bidi="zh-CN"/>
        </w:rPr>
        <w:t>包段一：ZJFZFCG2022-002；包段二：ZJFZFCG2022-003</w:t>
      </w:r>
    </w:p>
    <w:p>
      <w:pPr>
        <w:pStyle w:val="11"/>
        <w:numPr>
          <w:ilvl w:val="0"/>
          <w:numId w:val="0"/>
        </w:numPr>
        <w:spacing w:before="161"/>
        <w:ind w:left="1050"/>
        <w:rPr>
          <w:rFonts w:ascii="宋体" w:hAnsi="宋体" w:eastAsia="宋体" w:cs="宋体"/>
          <w:b w:val="0"/>
          <w:bCs w:val="0"/>
          <w:sz w:val="24"/>
          <w:szCs w:val="24"/>
          <w:lang w:val="zh-CN" w:eastAsia="zh-CN" w:bidi="zh-CN"/>
        </w:rPr>
      </w:pPr>
      <w:r>
        <w:rPr>
          <w:rFonts w:hint="eastAsia" w:ascii="宋体" w:hAnsi="宋体" w:eastAsia="宋体" w:cs="宋体"/>
          <w:b w:val="0"/>
          <w:bCs w:val="0"/>
          <w:sz w:val="24"/>
          <w:szCs w:val="24"/>
          <w:lang w:val="zh-CN" w:eastAsia="zh-CN" w:bidi="zh-CN"/>
        </w:rPr>
        <w:t xml:space="preserve">    包段三：ZJFZFCG2022-00</w:t>
      </w:r>
      <w:r>
        <w:rPr>
          <w:rFonts w:hint="default" w:ascii="宋体" w:hAnsi="宋体" w:eastAsia="宋体" w:cs="宋体"/>
          <w:b w:val="0"/>
          <w:bCs w:val="0"/>
          <w:sz w:val="24"/>
          <w:szCs w:val="24"/>
          <w:lang w:val="en-US" w:eastAsia="zh-CN" w:bidi="zh-CN"/>
        </w:rPr>
        <w:t>4</w:t>
      </w:r>
      <w:r>
        <w:rPr>
          <w:rFonts w:hint="eastAsia" w:ascii="宋体" w:hAnsi="宋体" w:eastAsia="宋体" w:cs="宋体"/>
          <w:b w:val="0"/>
          <w:bCs w:val="0"/>
          <w:sz w:val="24"/>
          <w:szCs w:val="24"/>
          <w:lang w:val="zh-CN" w:eastAsia="zh-CN" w:bidi="zh-CN"/>
        </w:rPr>
        <w:t>；包段四：ZJFZFCG2022-00</w:t>
      </w:r>
      <w:r>
        <w:rPr>
          <w:rFonts w:hint="default" w:ascii="宋体" w:hAnsi="宋体" w:eastAsia="宋体" w:cs="宋体"/>
          <w:b w:val="0"/>
          <w:bCs w:val="0"/>
          <w:sz w:val="24"/>
          <w:szCs w:val="24"/>
          <w:lang w:val="en-US" w:eastAsia="zh-CN" w:bidi="zh-CN"/>
        </w:rPr>
        <w:t>5</w:t>
      </w:r>
    </w:p>
    <w:p>
      <w:pPr>
        <w:pStyle w:val="11"/>
        <w:numPr>
          <w:ilvl w:val="0"/>
          <w:numId w:val="0"/>
        </w:numPr>
        <w:spacing w:before="161"/>
        <w:ind w:left="3137" w:leftChars="500" w:hanging="2037" w:hangingChars="849"/>
        <w:rPr>
          <w:rFonts w:hint="eastAsia" w:ascii="宋体" w:hAnsi="宋体" w:eastAsia="宋体" w:cs="宋体"/>
          <w:b w:val="0"/>
          <w:bCs w:val="0"/>
          <w:sz w:val="24"/>
          <w:szCs w:val="24"/>
          <w:lang w:val="zh-CN" w:eastAsia="zh-CN" w:bidi="zh-CN"/>
        </w:rPr>
      </w:pPr>
      <w:r>
        <w:rPr>
          <w:rFonts w:hint="default" w:ascii="宋体" w:hAnsi="宋体" w:eastAsia="宋体" w:cs="宋体"/>
          <w:b w:val="0"/>
          <w:bCs w:val="0"/>
          <w:sz w:val="24"/>
          <w:szCs w:val="24"/>
          <w:lang w:val="en-US" w:eastAsia="zh-CN" w:bidi="zh-CN"/>
        </w:rPr>
        <w:t>2</w:t>
      </w:r>
      <w:r>
        <w:rPr>
          <w:rFonts w:hint="eastAsia" w:ascii="宋体" w:hAnsi="宋体" w:cs="宋体"/>
          <w:b w:val="0"/>
          <w:bCs w:val="0"/>
          <w:sz w:val="24"/>
          <w:szCs w:val="24"/>
          <w:lang w:val="en-US" w:eastAsia="zh-CN" w:bidi="zh-CN"/>
        </w:rPr>
        <w:t>、</w:t>
      </w:r>
      <w:r>
        <w:rPr>
          <w:rFonts w:ascii="宋体" w:hAnsi="宋体" w:eastAsia="宋体" w:cs="宋体"/>
          <w:b w:val="0"/>
          <w:bCs w:val="0"/>
          <w:sz w:val="24"/>
          <w:szCs w:val="24"/>
          <w:lang w:val="zh-CN" w:eastAsia="zh-CN" w:bidi="zh-CN"/>
        </w:rPr>
        <w:t>采购项目名称：</w:t>
      </w:r>
      <w:r>
        <w:rPr>
          <w:rFonts w:hint="eastAsia" w:ascii="宋体" w:hAnsi="宋体" w:eastAsia="宋体" w:cs="宋体"/>
          <w:b w:val="0"/>
          <w:bCs w:val="0"/>
          <w:sz w:val="24"/>
          <w:szCs w:val="24"/>
          <w:lang w:val="zh-CN" w:eastAsia="zh-CN" w:bidi="zh-CN"/>
        </w:rPr>
        <w:t>和硕县消防救援能力提升基础设施建设及车辆装备购置项目</w:t>
      </w:r>
    </w:p>
    <w:p>
      <w:pPr>
        <w:pStyle w:val="10"/>
        <w:numPr>
          <w:ilvl w:val="0"/>
          <w:numId w:val="0"/>
        </w:numPr>
        <w:spacing w:before="161"/>
        <w:ind w:leftChars="-349" w:right="0" w:rightChars="0" w:firstLine="1920" w:firstLineChars="800"/>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3、采购单位名称：</w:t>
      </w:r>
      <w:r>
        <w:rPr>
          <w:rFonts w:hint="eastAsia" w:ascii="宋体" w:hAnsi="宋体" w:eastAsia="宋体" w:cs="宋体"/>
          <w:b w:val="0"/>
          <w:bCs w:val="0"/>
          <w:sz w:val="24"/>
          <w:szCs w:val="24"/>
          <w:lang w:val="zh-CN" w:eastAsia="zh-CN" w:bidi="zh-CN"/>
        </w:rPr>
        <w:t>和硕县应急管理局</w:t>
      </w:r>
    </w:p>
    <w:p>
      <w:pPr>
        <w:pStyle w:val="10"/>
        <w:spacing w:before="160"/>
        <w:ind w:left="1110"/>
        <w:rPr>
          <w:rFonts w:hint="eastAsia" w:eastAsia="宋体"/>
          <w:lang w:eastAsia="zh-CN"/>
        </w:rPr>
      </w:pPr>
      <w:r>
        <w:t>4、采购机构名称：</w:t>
      </w:r>
      <w:r>
        <w:rPr>
          <w:rFonts w:hint="eastAsia" w:ascii="宋体" w:hAnsi="宋体" w:cs="宋体"/>
          <w:color w:val="auto"/>
          <w:kern w:val="0"/>
          <w:sz w:val="24"/>
          <w:szCs w:val="24"/>
          <w:lang w:eastAsia="zh-CN"/>
        </w:rPr>
        <w:t>新疆正聚方企业管理咨询有限公司</w:t>
      </w:r>
    </w:p>
    <w:p>
      <w:pPr>
        <w:pStyle w:val="10"/>
        <w:spacing w:before="160"/>
        <w:ind w:left="1110"/>
        <w:rPr>
          <w:spacing w:val="-23"/>
        </w:rPr>
      </w:pPr>
      <w:r>
        <w:t>5、</w:t>
      </w:r>
      <w:r>
        <w:rPr>
          <w:spacing w:val="-23"/>
        </w:rPr>
        <w:t>采购机构地址：</w:t>
      </w:r>
      <w:r>
        <w:rPr>
          <w:rFonts w:hint="eastAsia"/>
          <w:spacing w:val="-23"/>
          <w:lang w:eastAsia="zh-CN"/>
        </w:rPr>
        <w:t>新疆库尔勒市智慧嘉苑门面房65-01-3号2楼</w:t>
      </w:r>
      <w:r>
        <w:rPr>
          <w:spacing w:val="-23"/>
        </w:rPr>
        <w:t>邮编：841000。</w:t>
      </w:r>
    </w:p>
    <w:p>
      <w:pPr>
        <w:pStyle w:val="10"/>
        <w:spacing w:before="160"/>
        <w:ind w:left="1110"/>
        <w:rPr>
          <w:rFonts w:hint="default"/>
          <w:spacing w:val="-23"/>
          <w:lang w:val="en-US" w:eastAsia="zh-CN"/>
        </w:rPr>
      </w:pPr>
      <w:r>
        <w:rPr>
          <w:spacing w:val="-23"/>
        </w:rPr>
        <w:t>6、投标保证金额：</w:t>
      </w:r>
      <w:r>
        <w:rPr>
          <w:rFonts w:hint="eastAsia"/>
          <w:spacing w:val="-23"/>
          <w:lang w:val="en-US" w:eastAsia="zh-CN"/>
        </w:rPr>
        <w:t>第一包：100000元</w:t>
      </w:r>
      <w:r>
        <w:rPr>
          <w:rFonts w:hint="eastAsia"/>
          <w:spacing w:val="-23"/>
          <w:lang w:eastAsia="zh-CN"/>
        </w:rPr>
        <w:t>（</w:t>
      </w:r>
      <w:r>
        <w:rPr>
          <w:rFonts w:hint="eastAsia"/>
          <w:spacing w:val="-23"/>
          <w:lang w:val="en-US" w:eastAsia="zh-CN"/>
        </w:rPr>
        <w:t>拾万元整</w:t>
      </w:r>
      <w:r>
        <w:rPr>
          <w:rFonts w:hint="eastAsia"/>
          <w:spacing w:val="-23"/>
          <w:lang w:eastAsia="zh-CN"/>
        </w:rPr>
        <w:t>），</w:t>
      </w:r>
      <w:r>
        <w:rPr>
          <w:rFonts w:hint="eastAsia"/>
          <w:spacing w:val="-23"/>
          <w:lang w:val="en-US" w:eastAsia="zh-CN"/>
        </w:rPr>
        <w:t>第二包：30000元（叁万元整）</w:t>
      </w:r>
    </w:p>
    <w:p>
      <w:pPr>
        <w:pStyle w:val="10"/>
        <w:spacing w:before="160"/>
        <w:ind w:left="1110"/>
        <w:rPr>
          <w:spacing w:val="-23"/>
        </w:rPr>
      </w:pPr>
      <w:r>
        <w:rPr>
          <w:rFonts w:hint="eastAsia"/>
          <w:spacing w:val="-23"/>
          <w:lang w:val="en-US" w:eastAsia="zh-CN"/>
        </w:rPr>
        <w:t xml:space="preserve">     第三包：35000（叁万伍仟元整），第四包：</w:t>
      </w:r>
      <w:r>
        <w:rPr>
          <w:rFonts w:hint="default"/>
          <w:spacing w:val="-23"/>
          <w:lang w:val="en-US" w:eastAsia="zh-CN"/>
        </w:rPr>
        <w:t>10000</w:t>
      </w:r>
      <w:r>
        <w:rPr>
          <w:rFonts w:hint="eastAsia"/>
          <w:spacing w:val="-23"/>
          <w:lang w:val="en-US" w:eastAsia="zh-CN"/>
        </w:rPr>
        <w:t>（壹万元整）</w:t>
      </w:r>
    </w:p>
    <w:p>
      <w:pPr>
        <w:pStyle w:val="10"/>
        <w:spacing w:before="160"/>
        <w:ind w:left="1110"/>
        <w:rPr>
          <w:rFonts w:hint="default"/>
          <w:spacing w:val="-23"/>
          <w:lang w:val="en-US" w:eastAsia="zh-CN"/>
        </w:rPr>
      </w:pPr>
      <w:r>
        <w:rPr>
          <w:spacing w:val="-23"/>
        </w:rPr>
        <w:t>7、</w:t>
      </w:r>
      <w:r>
        <w:rPr>
          <w:spacing w:val="-23"/>
          <w:lang w:val="zh-CN" w:eastAsia="zh-CN"/>
        </w:rPr>
        <w:t>投标文件：</w:t>
      </w:r>
      <w:r>
        <w:rPr>
          <w:rFonts w:hint="eastAsia"/>
          <w:spacing w:val="-23"/>
          <w:lang w:val="zh-CN" w:eastAsia="zh-CN"/>
        </w:rPr>
        <w:t>在新疆政府采购网上递交电子投标书；</w:t>
      </w:r>
    </w:p>
    <w:p>
      <w:pPr>
        <w:pStyle w:val="10"/>
        <w:spacing w:before="160"/>
        <w:ind w:left="1110"/>
        <w:rPr>
          <w:spacing w:val="-23"/>
        </w:rPr>
      </w:pPr>
      <w:r>
        <w:rPr>
          <w:spacing w:val="-23"/>
        </w:rPr>
        <w:t>8、投标文件递交至：</w:t>
      </w:r>
      <w:r>
        <w:rPr>
          <w:rFonts w:hint="eastAsia"/>
          <w:spacing w:val="-23"/>
        </w:rPr>
        <w:t>政采云平台（www.zcygov.cn）</w:t>
      </w:r>
    </w:p>
    <w:p>
      <w:pPr>
        <w:pStyle w:val="10"/>
        <w:spacing w:before="160"/>
        <w:ind w:left="1117"/>
      </w:pPr>
      <w:r>
        <w:t>9、投标文件有效期：</w:t>
      </w:r>
      <w:r>
        <w:rPr>
          <w:rFonts w:hint="eastAsia"/>
          <w:lang w:val="en-US" w:eastAsia="zh-CN"/>
        </w:rPr>
        <w:t>60</w:t>
      </w:r>
      <w:r>
        <w:t xml:space="preserve"> 天</w:t>
      </w:r>
    </w:p>
    <w:p>
      <w:pPr>
        <w:spacing w:before="161"/>
        <w:ind w:left="1117" w:right="0" w:firstLine="0"/>
        <w:jc w:val="left"/>
        <w:rPr>
          <w:b/>
          <w:sz w:val="24"/>
        </w:rPr>
      </w:pPr>
      <w:r>
        <w:rPr>
          <w:sz w:val="24"/>
        </w:rPr>
        <w:t>10、评标办法：</w:t>
      </w:r>
      <w:r>
        <w:rPr>
          <w:b/>
          <w:sz w:val="24"/>
          <w:u w:val="single"/>
        </w:rPr>
        <w:t>综合评分法</w:t>
      </w:r>
    </w:p>
    <w:p>
      <w:pPr>
        <w:pStyle w:val="10"/>
        <w:spacing w:before="160"/>
        <w:ind w:left="1110"/>
        <w:rPr>
          <w:spacing w:val="-19"/>
        </w:rPr>
      </w:pPr>
      <w:r>
        <w:t>11</w:t>
      </w:r>
      <w:r>
        <w:rPr>
          <w:spacing w:val="-23"/>
        </w:rPr>
        <w:t>、获取招标文件时间：</w:t>
      </w:r>
      <w:r>
        <w:t>20</w:t>
      </w:r>
      <w:r>
        <w:rPr>
          <w:rFonts w:hint="eastAsia"/>
          <w:lang w:val="en-US" w:eastAsia="zh-CN"/>
        </w:rPr>
        <w:t>22</w:t>
      </w:r>
      <w:r>
        <w:rPr>
          <w:spacing w:val="-40"/>
        </w:rPr>
        <w:t xml:space="preserve">年 </w:t>
      </w:r>
      <w:r>
        <w:rPr>
          <w:rFonts w:hint="eastAsia"/>
          <w:lang w:val="en-US" w:eastAsia="zh-CN"/>
        </w:rPr>
        <w:t>6</w:t>
      </w:r>
      <w:r>
        <w:rPr>
          <w:spacing w:val="-40"/>
        </w:rPr>
        <w:t>月</w:t>
      </w:r>
      <w:r>
        <w:rPr>
          <w:rFonts w:hint="eastAsia"/>
          <w:spacing w:val="-40"/>
          <w:lang w:val="en-US" w:eastAsia="zh-CN"/>
        </w:rPr>
        <w:t xml:space="preserve">  24  </w:t>
      </w:r>
      <w:r>
        <w:rPr>
          <w:spacing w:val="-24"/>
        </w:rPr>
        <w:t xml:space="preserve">日起至 </w:t>
      </w:r>
      <w:r>
        <w:t>20</w:t>
      </w:r>
      <w:r>
        <w:rPr>
          <w:rFonts w:hint="eastAsia"/>
          <w:lang w:val="en-US" w:eastAsia="zh-CN"/>
        </w:rPr>
        <w:t>22</w:t>
      </w:r>
      <w:r>
        <w:rPr>
          <w:spacing w:val="-40"/>
        </w:rPr>
        <w:t xml:space="preserve">年 </w:t>
      </w:r>
      <w:r>
        <w:rPr>
          <w:rFonts w:hint="eastAsia"/>
          <w:lang w:val="en-US" w:eastAsia="zh-CN"/>
        </w:rPr>
        <w:t>7</w:t>
      </w:r>
      <w:r>
        <w:rPr>
          <w:spacing w:val="-40"/>
        </w:rPr>
        <w:t>月</w:t>
      </w:r>
      <w:r>
        <w:rPr>
          <w:rFonts w:hint="eastAsia"/>
          <w:spacing w:val="-40"/>
          <w:lang w:val="en-US" w:eastAsia="zh-CN"/>
        </w:rPr>
        <w:t xml:space="preserve"> 1  </w:t>
      </w:r>
      <w:r>
        <w:rPr>
          <w:spacing w:val="-19"/>
        </w:rPr>
        <w:t>日止</w:t>
      </w:r>
      <w:r>
        <w:rPr>
          <w:rFonts w:hint="eastAsia"/>
          <w:spacing w:val="-19"/>
          <w:lang w:eastAsia="zh-CN"/>
        </w:rPr>
        <w:t>（节假日除外）</w:t>
      </w:r>
      <w:r>
        <w:rPr>
          <w:spacing w:val="-19"/>
        </w:rPr>
        <w:t>。每日上</w:t>
      </w:r>
    </w:p>
    <w:p>
      <w:pPr>
        <w:pStyle w:val="10"/>
        <w:spacing w:before="160"/>
      </w:pPr>
      <w:r>
        <w:rPr>
          <w:spacing w:val="-19"/>
        </w:rPr>
        <w:t xml:space="preserve">午 </w:t>
      </w:r>
      <w:r>
        <w:t>10时 00 分至 1</w:t>
      </w:r>
      <w:r>
        <w:rPr>
          <w:rFonts w:hint="eastAsia"/>
          <w:lang w:val="en-US" w:eastAsia="zh-CN"/>
        </w:rPr>
        <w:t>4</w:t>
      </w:r>
      <w:r>
        <w:t xml:space="preserve"> 时 </w:t>
      </w:r>
      <w:r>
        <w:rPr>
          <w:rFonts w:hint="eastAsia"/>
          <w:lang w:val="en-US" w:eastAsia="zh-CN"/>
        </w:rPr>
        <w:t>0</w:t>
      </w:r>
      <w:r>
        <w:t xml:space="preserve">0 分，下午 16 时 00 分至 19 时 </w:t>
      </w:r>
      <w:r>
        <w:rPr>
          <w:rFonts w:hint="eastAsia"/>
          <w:lang w:val="en-US" w:eastAsia="zh-CN"/>
        </w:rPr>
        <w:t>3</w:t>
      </w:r>
      <w:r>
        <w:t>0 分（北京时间）。</w:t>
      </w:r>
    </w:p>
    <w:p>
      <w:pPr>
        <w:pStyle w:val="10"/>
        <w:spacing w:before="160"/>
        <w:ind w:left="1110"/>
        <w:jc w:val="both"/>
        <w:rPr>
          <w:rFonts w:hint="default" w:eastAsia="宋体"/>
          <w:color w:val="auto"/>
          <w:lang w:val="en-US" w:eastAsia="zh-CN"/>
        </w:rPr>
      </w:pPr>
      <w:r>
        <w:rPr>
          <w:color w:val="auto"/>
        </w:rPr>
        <w:t>12、投标保证金缴纳：凡拟参加本次招标项目的供应商，必须在 20</w:t>
      </w:r>
      <w:r>
        <w:rPr>
          <w:rFonts w:hint="eastAsia"/>
          <w:color w:val="auto"/>
          <w:lang w:val="en-US" w:eastAsia="zh-CN"/>
        </w:rPr>
        <w:t>22</w:t>
      </w:r>
    </w:p>
    <w:p>
      <w:pPr>
        <w:pStyle w:val="10"/>
        <w:spacing w:before="161" w:line="364" w:lineRule="auto"/>
        <w:ind w:right="1249"/>
        <w:jc w:val="both"/>
        <w:rPr>
          <w:color w:val="auto"/>
        </w:rPr>
      </w:pPr>
      <w:r>
        <w:rPr>
          <w:color w:val="auto"/>
          <w:spacing w:val="-24"/>
        </w:rPr>
        <w:t>年</w:t>
      </w:r>
      <w:r>
        <w:rPr>
          <w:rFonts w:hint="eastAsia"/>
          <w:color w:val="auto"/>
          <w:spacing w:val="-24"/>
          <w:lang w:val="en-US" w:eastAsia="zh-CN"/>
        </w:rPr>
        <w:t xml:space="preserve"> 6 </w:t>
      </w:r>
      <w:r>
        <w:rPr>
          <w:color w:val="auto"/>
          <w:spacing w:val="-32"/>
        </w:rPr>
        <w:t>月</w:t>
      </w:r>
      <w:r>
        <w:rPr>
          <w:rFonts w:hint="eastAsia"/>
          <w:color w:val="auto"/>
          <w:spacing w:val="-32"/>
          <w:lang w:val="en-US" w:eastAsia="zh-CN"/>
        </w:rPr>
        <w:t xml:space="preserve">     </w:t>
      </w:r>
      <w:r>
        <w:rPr>
          <w:color w:val="auto"/>
          <w:spacing w:val="-6"/>
        </w:rPr>
        <w:t>日前将投标保证金汇入指定账户</w:t>
      </w:r>
      <w:r>
        <w:rPr>
          <w:rFonts w:hint="eastAsia"/>
          <w:color w:val="auto"/>
          <w:spacing w:val="-6"/>
          <w:lang w:eastAsia="zh-CN"/>
        </w:rPr>
        <w:t>，</w:t>
      </w:r>
      <w:r>
        <w:rPr>
          <w:color w:val="auto"/>
          <w:spacing w:val="-7"/>
        </w:rPr>
        <w:t>投标保证金汇款凭证上用途栏应注明本项目招标编号</w:t>
      </w:r>
      <w:r>
        <w:rPr>
          <w:rFonts w:hint="eastAsia"/>
          <w:color w:val="auto"/>
          <w:spacing w:val="-7"/>
          <w:lang w:eastAsia="zh-CN"/>
        </w:rPr>
        <w:t>或项目名称</w:t>
      </w:r>
      <w:r>
        <w:rPr>
          <w:color w:val="auto"/>
        </w:rPr>
        <w:t>[标准格式：</w:t>
      </w:r>
      <w:r>
        <w:rPr>
          <w:rFonts w:hint="eastAsia" w:ascii="宋体" w:hAnsi="宋体" w:eastAsia="宋体" w:cs="宋体"/>
          <w:b w:val="0"/>
          <w:bCs w:val="0"/>
          <w:sz w:val="24"/>
          <w:szCs w:val="24"/>
          <w:lang w:val="zh-CN" w:eastAsia="zh-CN" w:bidi="zh-CN"/>
        </w:rPr>
        <w:t>包段一：ZJFZFCG2022-002；包段二：ZJFZFCG2022-003</w:t>
      </w:r>
      <w:r>
        <w:rPr>
          <w:rFonts w:hint="eastAsia" w:ascii="宋体" w:hAnsi="宋体" w:cs="宋体"/>
          <w:b w:val="0"/>
          <w:bCs w:val="0"/>
          <w:sz w:val="24"/>
          <w:szCs w:val="24"/>
          <w:lang w:val="zh-CN" w:eastAsia="zh-CN" w:bidi="zh-CN"/>
        </w:rPr>
        <w:t>；</w:t>
      </w:r>
      <w:r>
        <w:rPr>
          <w:color w:val="auto"/>
          <w:spacing w:val="-8"/>
          <w:lang w:val="en-US"/>
        </w:rPr>
        <w:t>包段</w:t>
      </w:r>
      <w:r>
        <w:rPr>
          <w:rFonts w:hint="eastAsia"/>
          <w:color w:val="auto"/>
          <w:spacing w:val="-8"/>
          <w:lang w:val="en-US" w:eastAsia="zh-CN"/>
        </w:rPr>
        <w:t>三</w:t>
      </w:r>
      <w:r>
        <w:rPr>
          <w:color w:val="auto"/>
          <w:spacing w:val="-8"/>
          <w:lang w:val="en-US"/>
        </w:rPr>
        <w:t>：ZJFZFCG2022-004；包段</w:t>
      </w:r>
      <w:r>
        <w:rPr>
          <w:rFonts w:hint="eastAsia"/>
          <w:color w:val="auto"/>
          <w:spacing w:val="-8"/>
          <w:lang w:val="en-US" w:eastAsia="zh-CN"/>
        </w:rPr>
        <w:t>四</w:t>
      </w:r>
      <w:r>
        <w:rPr>
          <w:color w:val="auto"/>
          <w:spacing w:val="-8"/>
          <w:lang w:val="en-US"/>
        </w:rPr>
        <w:t>：ZJFZFCG2022-005</w:t>
      </w:r>
      <w:r>
        <w:rPr>
          <w:color w:val="auto"/>
          <w:spacing w:val="-8"/>
        </w:rPr>
        <w:t>投标保证金]。否则，届时其投标将被拒绝。</w:t>
      </w:r>
    </w:p>
    <w:p>
      <w:pPr>
        <w:pStyle w:val="10"/>
        <w:spacing w:before="2" w:line="364" w:lineRule="auto"/>
        <w:ind w:right="1240" w:firstLine="472"/>
        <w:jc w:val="both"/>
      </w:pPr>
      <w:r>
        <w:t>13</w:t>
      </w:r>
      <w:r>
        <w:rPr>
          <w:spacing w:val="-7"/>
        </w:rPr>
        <w:t>、开标</w:t>
      </w:r>
      <w:r>
        <w:t>（投标</w:t>
      </w:r>
      <w:r>
        <w:rPr>
          <w:spacing w:val="-10"/>
        </w:rPr>
        <w:t>）</w:t>
      </w:r>
      <w:r>
        <w:t>日期：20</w:t>
      </w:r>
      <w:r>
        <w:rPr>
          <w:rFonts w:hint="eastAsia"/>
          <w:lang w:val="en-US" w:eastAsia="zh-CN"/>
        </w:rPr>
        <w:t>22</w:t>
      </w:r>
      <w:r>
        <w:rPr>
          <w:spacing w:val="-42"/>
        </w:rPr>
        <w:t xml:space="preserve"> 年 </w:t>
      </w:r>
      <w:r>
        <w:rPr>
          <w:rFonts w:hint="eastAsia"/>
          <w:lang w:val="en-US" w:eastAsia="zh-CN"/>
        </w:rPr>
        <w:t>7</w:t>
      </w:r>
      <w:r>
        <w:rPr>
          <w:spacing w:val="-42"/>
        </w:rPr>
        <w:t>月</w:t>
      </w:r>
      <w:r>
        <w:rPr>
          <w:rFonts w:hint="eastAsia"/>
          <w:spacing w:val="-42"/>
          <w:lang w:val="en-US" w:eastAsia="zh-CN"/>
        </w:rPr>
        <w:t xml:space="preserve"> 18   </w:t>
      </w:r>
      <w:r>
        <w:rPr>
          <w:spacing w:val="-26"/>
        </w:rPr>
        <w:t>日</w:t>
      </w:r>
      <w:r>
        <w:rPr>
          <w:rFonts w:hint="eastAsia"/>
          <w:spacing w:val="-26"/>
          <w:lang w:eastAsia="zh-CN"/>
        </w:rPr>
        <w:t>上</w:t>
      </w:r>
      <w:r>
        <w:rPr>
          <w:spacing w:val="-26"/>
        </w:rPr>
        <w:t xml:space="preserve">午 </w:t>
      </w:r>
      <w:r>
        <w:t>1</w:t>
      </w:r>
      <w:r>
        <w:rPr>
          <w:rFonts w:hint="eastAsia"/>
          <w:lang w:val="en-US" w:eastAsia="zh-CN"/>
        </w:rPr>
        <w:t>0</w:t>
      </w:r>
      <w:r>
        <w:t>：</w:t>
      </w:r>
      <w:r>
        <w:rPr>
          <w:rFonts w:hint="eastAsia"/>
          <w:lang w:val="en-US" w:eastAsia="zh-CN"/>
        </w:rPr>
        <w:t>3</w:t>
      </w:r>
      <w:r>
        <w:t>0</w:t>
      </w:r>
      <w:r>
        <w:rPr>
          <w:spacing w:val="-37"/>
        </w:rPr>
        <w:t xml:space="preserve"> 时</w:t>
      </w:r>
      <w:r>
        <w:t>（北京时间</w:t>
      </w:r>
      <w:r>
        <w:rPr>
          <w:spacing w:val="-8"/>
        </w:rPr>
        <w:t>）</w:t>
      </w:r>
      <w:r>
        <w:rPr>
          <w:spacing w:val="-7"/>
        </w:rPr>
        <w:t>。若逾</w:t>
      </w:r>
      <w:r>
        <w:t>时，届时其投标将被拒绝。</w:t>
      </w:r>
    </w:p>
    <w:p>
      <w:pPr>
        <w:keepNext w:val="0"/>
        <w:keepLines w:val="0"/>
        <w:pageBreakBefore w:val="0"/>
        <w:widowControl w:val="0"/>
        <w:kinsoku/>
        <w:wordWrap/>
        <w:overflowPunct/>
        <w:topLinePunct w:val="0"/>
        <w:autoSpaceDE w:val="0"/>
        <w:autoSpaceDN w:val="0"/>
        <w:bidi w:val="0"/>
        <w:adjustRightInd w:val="0"/>
        <w:snapToGrid w:val="0"/>
        <w:spacing w:line="500" w:lineRule="exact"/>
        <w:ind w:left="0" w:leftChars="0" w:firstLine="1099" w:firstLineChars="458"/>
        <w:textAlignment w:val="auto"/>
        <w:rPr>
          <w:rFonts w:hint="eastAsia" w:ascii="宋体" w:hAnsi="宋体" w:eastAsia="宋体" w:cs="宋体"/>
          <w:sz w:val="24"/>
          <w:szCs w:val="24"/>
          <w:lang w:val="zh-CN" w:eastAsia="zh-CN" w:bidi="zh-CN"/>
        </w:rPr>
      </w:pPr>
      <w:r>
        <w:rPr>
          <w:rFonts w:ascii="宋体" w:hAnsi="宋体" w:eastAsia="宋体" w:cs="宋体"/>
          <w:sz w:val="24"/>
          <w:szCs w:val="24"/>
          <w:lang w:val="zh-CN" w:eastAsia="zh-CN" w:bidi="zh-CN"/>
        </w:rPr>
        <w:t>14、开标地点：</w:t>
      </w:r>
      <w:r>
        <w:rPr>
          <w:rFonts w:hint="eastAsia" w:ascii="宋体" w:hAnsi="宋体" w:eastAsia="宋体" w:cs="宋体"/>
          <w:color w:val="auto"/>
          <w:kern w:val="0"/>
          <w:sz w:val="24"/>
          <w:szCs w:val="24"/>
        </w:rPr>
        <w:t>政采云线上开标（www.zcygov.com）</w:t>
      </w:r>
    </w:p>
    <w:p>
      <w:pPr>
        <w:pStyle w:val="10"/>
        <w:spacing w:before="160"/>
        <w:ind w:left="888" w:leftChars="0" w:firstLine="218" w:firstLineChars="91"/>
        <w:jc w:val="both"/>
        <w:rPr>
          <w:rFonts w:hint="eastAsia"/>
          <w:lang w:eastAsia="zh-CN"/>
        </w:rPr>
      </w:pPr>
      <w:r>
        <w:t>15、交货</w:t>
      </w:r>
      <w:r>
        <w:rPr>
          <w:rFonts w:hint="eastAsia"/>
          <w:lang w:val="en-US" w:eastAsia="zh-CN"/>
        </w:rPr>
        <w:t>期</w:t>
      </w:r>
      <w:r>
        <w:rPr>
          <w:color w:val="auto"/>
        </w:rPr>
        <w:t>：</w:t>
      </w:r>
      <w:r>
        <w:rPr>
          <w:rFonts w:hint="eastAsia"/>
          <w:lang w:eastAsia="zh-CN"/>
        </w:rPr>
        <w:t>签订合同后</w:t>
      </w:r>
      <w:r>
        <w:rPr>
          <w:rFonts w:hint="eastAsia"/>
          <w:lang w:val="en-US" w:eastAsia="zh-CN"/>
        </w:rPr>
        <w:t>30</w:t>
      </w:r>
      <w:r>
        <w:rPr>
          <w:rFonts w:hint="eastAsia"/>
          <w:lang w:eastAsia="zh-CN"/>
        </w:rPr>
        <w:t xml:space="preserve"> 天内。</w:t>
      </w:r>
    </w:p>
    <w:p>
      <w:pPr>
        <w:pStyle w:val="10"/>
        <w:spacing w:before="161"/>
        <w:ind w:left="1108"/>
      </w:pPr>
      <w:r>
        <w:t>16、交货地点：</w:t>
      </w:r>
      <w:r>
        <w:rPr>
          <w:rFonts w:hint="eastAsia"/>
          <w:lang w:eastAsia="zh-CN"/>
        </w:rPr>
        <w:t>和硕县</w:t>
      </w:r>
    </w:p>
    <w:p>
      <w:pPr>
        <w:pStyle w:val="10"/>
        <w:spacing w:before="160"/>
        <w:ind w:left="1117"/>
        <w:jc w:val="both"/>
        <w:rPr>
          <w:rFonts w:hint="default" w:eastAsia="宋体"/>
          <w:lang w:val="en-US" w:eastAsia="zh-CN"/>
        </w:rPr>
      </w:pPr>
      <w:r>
        <w:t>17、</w:t>
      </w:r>
      <w:r>
        <w:rPr>
          <w:rFonts w:hint="eastAsia"/>
          <w:lang w:eastAsia="zh-CN"/>
        </w:rPr>
        <w:t>招标代理</w:t>
      </w:r>
      <w:r>
        <w:t>联系人：</w:t>
      </w:r>
      <w:r>
        <w:rPr>
          <w:rFonts w:hint="eastAsia"/>
          <w:lang w:eastAsia="zh-CN"/>
        </w:rPr>
        <w:t>彭诗毓</w:t>
      </w:r>
      <w:r>
        <w:rPr>
          <w:rFonts w:hint="eastAsia"/>
          <w:lang w:val="en-US" w:eastAsia="zh-CN"/>
        </w:rPr>
        <w:t xml:space="preserve">  </w:t>
      </w:r>
      <w:r>
        <w:t xml:space="preserve"> 联系电话：</w:t>
      </w:r>
      <w:r>
        <w:rPr>
          <w:rFonts w:hint="eastAsia"/>
          <w:lang w:val="en-US" w:eastAsia="zh-CN"/>
        </w:rPr>
        <w:t>18199966830</w:t>
      </w:r>
    </w:p>
    <w:p>
      <w:pPr>
        <w:pStyle w:val="10"/>
        <w:spacing w:before="161"/>
        <w:ind w:left="1117"/>
      </w:pPr>
      <w:r>
        <w:t>18、采购代理服务费</w:t>
      </w:r>
    </w:p>
    <w:p>
      <w:pPr>
        <w:pStyle w:val="2"/>
        <w:numPr>
          <w:ilvl w:val="0"/>
          <w:numId w:val="3"/>
        </w:numPr>
        <w:tabs>
          <w:tab w:val="left" w:pos="1719"/>
        </w:tabs>
        <w:spacing w:before="160" w:after="0" w:line="240" w:lineRule="auto"/>
        <w:ind w:left="1718" w:right="0" w:hanging="602"/>
        <w:jc w:val="left"/>
        <w:rPr>
          <w:sz w:val="24"/>
        </w:rPr>
      </w:pPr>
      <w:r>
        <w:rPr>
          <w:spacing w:val="-1"/>
          <w:sz w:val="24"/>
        </w:rPr>
        <w:t>采购代理服务费收取按照原国家计委《招标代理服务收费管理暂行办法》</w:t>
      </w:r>
    </w:p>
    <w:p>
      <w:pPr>
        <w:pStyle w:val="10"/>
        <w:keepNext w:val="0"/>
        <w:keepLines w:val="0"/>
        <w:pageBreakBefore w:val="0"/>
        <w:widowControl w:val="0"/>
        <w:kinsoku/>
        <w:wordWrap/>
        <w:overflowPunct/>
        <w:topLinePunct w:val="0"/>
        <w:autoSpaceDE w:val="0"/>
        <w:autoSpaceDN w:val="0"/>
        <w:bidi w:val="0"/>
        <w:adjustRightInd w:val="0"/>
        <w:snapToGrid w:val="0"/>
        <w:spacing w:before="161" w:line="364" w:lineRule="auto"/>
        <w:ind w:right="1249"/>
        <w:jc w:val="left"/>
        <w:textAlignment w:val="auto"/>
        <w:sectPr>
          <w:pgSz w:w="11910" w:h="16840"/>
          <w:pgMar w:top="1420" w:right="240" w:bottom="1180" w:left="1160" w:header="878" w:footer="993" w:gutter="0"/>
          <w:pgNumType w:fmt="decimal"/>
          <w:cols w:space="720" w:num="1"/>
        </w:sectPr>
      </w:pPr>
      <w:r>
        <w:t>（计加盖[2002]1980</w:t>
      </w:r>
      <w:r>
        <w:rPr>
          <w:spacing w:val="-30"/>
        </w:rPr>
        <w:t xml:space="preserve"> 号</w:t>
      </w:r>
      <w:r>
        <w:rPr>
          <w:spacing w:val="-29"/>
        </w:rPr>
        <w:t>）</w:t>
      </w:r>
      <w:r>
        <w:rPr>
          <w:spacing w:val="-9"/>
        </w:rPr>
        <w:t>、国家发展改革委办公厅《关于招标代理服务收费有关问</w:t>
      </w:r>
      <w:r>
        <w:t>题的通知》（发改办价格[2003]857</w:t>
      </w:r>
      <w:r>
        <w:rPr>
          <w:spacing w:val="-30"/>
        </w:rPr>
        <w:t xml:space="preserve"> 号</w:t>
      </w:r>
      <w:r>
        <w:t>）和国家发展改革委《关于降低部分建设项</w:t>
      </w:r>
    </w:p>
    <w:p>
      <w:pPr>
        <w:pStyle w:val="2"/>
        <w:numPr>
          <w:ilvl w:val="0"/>
          <w:numId w:val="0"/>
        </w:numPr>
        <w:spacing w:before="160" w:after="0" w:line="360" w:lineRule="auto"/>
        <w:ind w:left="480" w:leftChars="218" w:right="1269" w:rightChars="577" w:firstLine="0" w:firstLineChars="0"/>
        <w:jc w:val="left"/>
        <w:rPr>
          <w:spacing w:val="-1"/>
          <w:sz w:val="24"/>
        </w:rPr>
      </w:pPr>
      <w:r>
        <w:rPr>
          <w:rFonts w:hint="eastAsia"/>
          <w:spacing w:val="-1"/>
          <w:sz w:val="24"/>
          <w:lang w:eastAsia="zh-CN"/>
        </w:rPr>
        <w:t>目收费标准规范收费行为等有关问题的通知》（发改价格【</w:t>
      </w:r>
      <w:r>
        <w:rPr>
          <w:rFonts w:hint="eastAsia"/>
          <w:spacing w:val="-1"/>
          <w:sz w:val="24"/>
          <w:lang w:val="en-US" w:eastAsia="zh-CN"/>
        </w:rPr>
        <w:t>2011</w:t>
      </w:r>
      <w:r>
        <w:rPr>
          <w:rFonts w:hint="eastAsia"/>
          <w:spacing w:val="-1"/>
          <w:sz w:val="24"/>
          <w:lang w:eastAsia="zh-CN"/>
        </w:rPr>
        <w:t>】</w:t>
      </w:r>
      <w:r>
        <w:rPr>
          <w:rFonts w:hint="eastAsia"/>
          <w:spacing w:val="-1"/>
          <w:sz w:val="24"/>
          <w:lang w:val="en-US" w:eastAsia="zh-CN"/>
        </w:rPr>
        <w:t>534号</w:t>
      </w:r>
      <w:r>
        <w:rPr>
          <w:rFonts w:hint="eastAsia"/>
          <w:spacing w:val="-1"/>
          <w:sz w:val="24"/>
          <w:lang w:eastAsia="zh-CN"/>
        </w:rPr>
        <w:t>规定</w:t>
      </w:r>
      <w:r>
        <w:rPr>
          <w:spacing w:val="-1"/>
          <w:sz w:val="24"/>
        </w:rPr>
        <w:t>中标金额为基准计算收取。中标金额在 5 亿元以上的代理服务费实行收费上限，服务类代理服务费上限为 300 万元。</w:t>
      </w:r>
    </w:p>
    <w:p>
      <w:pPr>
        <w:pStyle w:val="2"/>
        <w:numPr>
          <w:ilvl w:val="0"/>
          <w:numId w:val="0"/>
        </w:numPr>
        <w:tabs>
          <w:tab w:val="left" w:pos="1719"/>
        </w:tabs>
        <w:spacing w:before="161" w:after="0" w:line="360" w:lineRule="auto"/>
        <w:ind w:left="480" w:leftChars="218" w:right="1249" w:rightChars="0" w:firstLine="0" w:firstLineChars="0"/>
        <w:jc w:val="both"/>
        <w:rPr>
          <w:sz w:val="24"/>
        </w:rPr>
      </w:pPr>
      <w:r>
        <w:rPr>
          <w:rFonts w:hint="eastAsia"/>
          <w:spacing w:val="-3"/>
          <w:sz w:val="24"/>
          <w:lang w:eastAsia="zh-CN"/>
        </w:rPr>
        <w:t>（</w:t>
      </w:r>
      <w:r>
        <w:rPr>
          <w:rFonts w:hint="eastAsia"/>
          <w:spacing w:val="-3"/>
          <w:sz w:val="24"/>
          <w:lang w:val="en-US" w:eastAsia="zh-CN"/>
        </w:rPr>
        <w:t>2</w:t>
      </w:r>
      <w:r>
        <w:rPr>
          <w:rFonts w:hint="eastAsia"/>
          <w:spacing w:val="-3"/>
          <w:sz w:val="24"/>
          <w:lang w:eastAsia="zh-CN"/>
        </w:rPr>
        <w:t>）</w:t>
      </w:r>
      <w:r>
        <w:rPr>
          <w:spacing w:val="-3"/>
          <w:sz w:val="24"/>
        </w:rPr>
        <w:t>采购代理服务费在审批的项目预算中已经列支的，由采购人支付，并按照财政部门规定列支；在审批的项目预算中未列支的，采购代理服务费用由中标供</w:t>
      </w:r>
      <w:r>
        <w:rPr>
          <w:spacing w:val="-4"/>
          <w:sz w:val="24"/>
        </w:rPr>
        <w:t>应商支付，</w:t>
      </w:r>
      <w:r>
        <w:rPr>
          <w:rFonts w:hint="eastAsia" w:ascii="宋体" w:hAnsi="宋体" w:cs="宋体"/>
          <w:bCs/>
          <w:sz w:val="24"/>
          <w:szCs w:val="22"/>
        </w:rPr>
        <w:t>根据国家计委《招标代理服务收费管理暂行办法》（计价格[2002]1980号）文件规定标准支付。</w:t>
      </w:r>
    </w:p>
    <w:p>
      <w:pPr>
        <w:pStyle w:val="3"/>
        <w:spacing w:before="2"/>
      </w:pPr>
      <w:r>
        <w:t>第三部分 招标说明</w:t>
      </w:r>
    </w:p>
    <w:p>
      <w:pPr>
        <w:pStyle w:val="5"/>
        <w:numPr>
          <w:ilvl w:val="0"/>
          <w:numId w:val="4"/>
        </w:numPr>
        <w:tabs>
          <w:tab w:val="left" w:pos="1420"/>
        </w:tabs>
        <w:spacing w:before="162" w:after="0" w:line="240" w:lineRule="auto"/>
        <w:ind w:left="1420" w:right="0" w:hanging="363"/>
        <w:jc w:val="left"/>
      </w:pPr>
      <w:r>
        <w:t>适用范围</w:t>
      </w:r>
    </w:p>
    <w:p>
      <w:pPr>
        <w:pStyle w:val="2"/>
        <w:numPr>
          <w:ilvl w:val="1"/>
          <w:numId w:val="4"/>
        </w:numPr>
        <w:tabs>
          <w:tab w:val="left" w:pos="1605"/>
        </w:tabs>
        <w:spacing w:before="161" w:after="0" w:line="364" w:lineRule="auto"/>
        <w:ind w:left="637" w:right="1226" w:firstLine="480"/>
        <w:jc w:val="left"/>
        <w:rPr>
          <w:rFonts w:ascii="宋体" w:hAnsi="宋体" w:eastAsia="宋体" w:cs="宋体"/>
          <w:spacing w:val="5"/>
          <w:sz w:val="24"/>
        </w:rPr>
      </w:pPr>
      <w:r>
        <w:rPr>
          <w:rFonts w:ascii="宋体" w:hAnsi="宋体" w:eastAsia="宋体" w:cs="宋体"/>
          <w:spacing w:val="5"/>
          <w:sz w:val="24"/>
          <w:lang w:val="zh-CN" w:eastAsia="zh-CN"/>
        </w:rPr>
        <w:t>本招标文件仅适用于在</w:t>
      </w:r>
      <w:r>
        <w:rPr>
          <w:rFonts w:hint="eastAsia" w:ascii="宋体" w:hAnsi="宋体" w:eastAsia="宋体" w:cs="宋体"/>
          <w:spacing w:val="5"/>
          <w:sz w:val="24"/>
          <w:lang w:eastAsia="zh-CN"/>
        </w:rPr>
        <w:t>和</w:t>
      </w:r>
      <w:r>
        <w:rPr>
          <w:rFonts w:hint="eastAsia" w:ascii="宋体" w:hAnsi="宋体" w:eastAsia="宋体" w:cs="宋体"/>
          <w:spacing w:val="5"/>
          <w:sz w:val="24"/>
          <w:lang w:val="en-US" w:eastAsia="zh-CN"/>
        </w:rPr>
        <w:t>硕县消防救援能力提升基础设施建设及车辆装备购置项目</w:t>
      </w:r>
      <w:r>
        <w:rPr>
          <w:rFonts w:ascii="宋体" w:hAnsi="宋体" w:eastAsia="宋体" w:cs="宋体"/>
          <w:spacing w:val="5"/>
          <w:sz w:val="24"/>
          <w:lang w:val="zh-CN" w:eastAsia="zh-CN"/>
        </w:rPr>
        <w:t>招标文件中所叙述的本采购项目的合格供应商（包括制造商和代</w:t>
      </w:r>
      <w:r>
        <w:rPr>
          <w:rFonts w:ascii="宋体" w:hAnsi="宋体" w:eastAsia="宋体" w:cs="宋体"/>
          <w:spacing w:val="5"/>
          <w:sz w:val="24"/>
        </w:rPr>
        <w:t>理商）。</w:t>
      </w:r>
    </w:p>
    <w:p>
      <w:pPr>
        <w:pStyle w:val="5"/>
        <w:numPr>
          <w:ilvl w:val="0"/>
          <w:numId w:val="4"/>
        </w:numPr>
        <w:tabs>
          <w:tab w:val="left" w:pos="1480"/>
        </w:tabs>
        <w:spacing w:before="1" w:after="0" w:line="240" w:lineRule="auto"/>
        <w:ind w:left="1480" w:right="0" w:hanging="363"/>
        <w:jc w:val="left"/>
      </w:pPr>
      <w:r>
        <w:t>投标资格</w:t>
      </w:r>
    </w:p>
    <w:p>
      <w:pPr>
        <w:pStyle w:val="2"/>
        <w:numPr>
          <w:ilvl w:val="1"/>
          <w:numId w:val="4"/>
        </w:numPr>
        <w:tabs>
          <w:tab w:val="left" w:pos="1605"/>
        </w:tabs>
        <w:spacing w:before="161" w:after="0" w:line="364" w:lineRule="auto"/>
        <w:ind w:left="637" w:right="1226" w:firstLine="480"/>
        <w:jc w:val="left"/>
        <w:rPr>
          <w:sz w:val="24"/>
        </w:rPr>
      </w:pPr>
      <w:r>
        <w:rPr>
          <w:spacing w:val="5"/>
          <w:sz w:val="24"/>
        </w:rPr>
        <w:t>凡在中华人民共和国境内注册的合法的法人且有承担本项目的能力以及能够提供资格必备条件和审查项目条件且均应合格的供应商（制造商、代理商）</w:t>
      </w:r>
      <w:r>
        <w:rPr>
          <w:spacing w:val="-17"/>
          <w:sz w:val="24"/>
        </w:rPr>
        <w:t>。</w:t>
      </w:r>
    </w:p>
    <w:p>
      <w:pPr>
        <w:pStyle w:val="2"/>
        <w:numPr>
          <w:ilvl w:val="1"/>
          <w:numId w:val="4"/>
        </w:numPr>
        <w:tabs>
          <w:tab w:val="left" w:pos="1717"/>
          <w:tab w:val="left" w:pos="1718"/>
        </w:tabs>
        <w:spacing w:before="1" w:after="0" w:line="240" w:lineRule="auto"/>
        <w:ind w:left="1717" w:right="0" w:hanging="601"/>
        <w:jc w:val="left"/>
        <w:rPr>
          <w:sz w:val="24"/>
        </w:rPr>
      </w:pPr>
      <w:r>
        <w:rPr>
          <w:sz w:val="24"/>
        </w:rPr>
        <w:t>投标人应遵守中华人民共和国法律、法规和行政规章。</w:t>
      </w:r>
    </w:p>
    <w:p>
      <w:pPr>
        <w:pStyle w:val="2"/>
        <w:numPr>
          <w:ilvl w:val="1"/>
          <w:numId w:val="4"/>
        </w:numPr>
        <w:tabs>
          <w:tab w:val="left" w:pos="1717"/>
          <w:tab w:val="left" w:pos="1718"/>
        </w:tabs>
        <w:spacing w:before="160" w:after="0" w:line="240" w:lineRule="auto"/>
        <w:ind w:left="1717" w:right="0" w:hanging="601"/>
        <w:jc w:val="left"/>
        <w:rPr>
          <w:sz w:val="24"/>
        </w:rPr>
      </w:pPr>
      <w:r>
        <w:rPr>
          <w:sz w:val="24"/>
        </w:rPr>
        <w:t>本项目不接受联合体投标。</w:t>
      </w:r>
    </w:p>
    <w:p>
      <w:pPr>
        <w:pStyle w:val="5"/>
        <w:numPr>
          <w:ilvl w:val="0"/>
          <w:numId w:val="4"/>
        </w:numPr>
        <w:tabs>
          <w:tab w:val="left" w:pos="1480"/>
        </w:tabs>
        <w:spacing w:before="161" w:after="0" w:line="240" w:lineRule="auto"/>
        <w:ind w:left="1480" w:right="0" w:hanging="363"/>
        <w:jc w:val="left"/>
      </w:pPr>
      <w:r>
        <w:t>定义</w:t>
      </w:r>
    </w:p>
    <w:p>
      <w:pPr>
        <w:pStyle w:val="10"/>
        <w:spacing w:before="160"/>
        <w:ind w:left="1117"/>
      </w:pPr>
      <w:r>
        <w:t>下列术语和缩写的定义为：</w:t>
      </w:r>
    </w:p>
    <w:p>
      <w:pPr>
        <w:pStyle w:val="2"/>
        <w:numPr>
          <w:ilvl w:val="1"/>
          <w:numId w:val="4"/>
        </w:numPr>
        <w:tabs>
          <w:tab w:val="left" w:pos="1598"/>
        </w:tabs>
        <w:spacing w:before="161" w:after="0" w:line="240" w:lineRule="auto"/>
        <w:ind w:left="1597" w:right="0" w:hanging="481"/>
        <w:jc w:val="left"/>
        <w:rPr>
          <w:sz w:val="24"/>
        </w:rPr>
      </w:pPr>
      <w:r>
        <w:rPr>
          <w:sz w:val="24"/>
        </w:rPr>
        <w:t>“招标方”系指</w:t>
      </w:r>
      <w:r>
        <w:rPr>
          <w:rFonts w:hint="eastAsia"/>
          <w:sz w:val="24"/>
        </w:rPr>
        <w:t>和硕县应急管理局</w:t>
      </w:r>
      <w:r>
        <w:rPr>
          <w:sz w:val="24"/>
        </w:rPr>
        <w:t>。</w:t>
      </w:r>
    </w:p>
    <w:p>
      <w:pPr>
        <w:pStyle w:val="2"/>
        <w:numPr>
          <w:ilvl w:val="1"/>
          <w:numId w:val="4"/>
        </w:numPr>
        <w:tabs>
          <w:tab w:val="left" w:pos="1596"/>
        </w:tabs>
        <w:spacing w:before="160" w:after="0" w:line="364" w:lineRule="auto"/>
        <w:ind w:left="637" w:right="1249" w:firstLine="480"/>
        <w:jc w:val="left"/>
        <w:rPr>
          <w:sz w:val="24"/>
        </w:rPr>
      </w:pPr>
      <w:r>
        <w:rPr>
          <w:spacing w:val="-4"/>
          <w:sz w:val="24"/>
        </w:rPr>
        <w:t>“投标方”、“投标人”系指有资格的供应商</w:t>
      </w:r>
      <w:r>
        <w:rPr>
          <w:sz w:val="24"/>
        </w:rPr>
        <w:t>（制造商和代理商</w:t>
      </w:r>
      <w:r>
        <w:rPr>
          <w:spacing w:val="-5"/>
          <w:sz w:val="24"/>
        </w:rPr>
        <w:t>）及投标</w:t>
      </w:r>
      <w:r>
        <w:rPr>
          <w:sz w:val="24"/>
        </w:rPr>
        <w:t>表现人。</w:t>
      </w:r>
    </w:p>
    <w:p>
      <w:pPr>
        <w:pStyle w:val="2"/>
        <w:numPr>
          <w:ilvl w:val="1"/>
          <w:numId w:val="4"/>
        </w:numPr>
        <w:tabs>
          <w:tab w:val="left" w:pos="1562"/>
        </w:tabs>
        <w:spacing w:before="2" w:after="0" w:line="364" w:lineRule="auto"/>
        <w:ind w:left="637" w:right="1129" w:firstLine="480"/>
        <w:jc w:val="left"/>
        <w:rPr>
          <w:sz w:val="24"/>
        </w:rPr>
      </w:pPr>
      <w:r>
        <w:rPr>
          <w:spacing w:val="-11"/>
          <w:sz w:val="24"/>
        </w:rPr>
        <w:t>“货物”系指招标文件规定的，投标方须向招标方提供的一切设备、附件、</w:t>
      </w:r>
      <w:r>
        <w:rPr>
          <w:sz w:val="24"/>
        </w:rPr>
        <w:t>备品备件、工具、手册及其它有关资料和材料。</w:t>
      </w:r>
    </w:p>
    <w:p>
      <w:pPr>
        <w:pStyle w:val="2"/>
        <w:numPr>
          <w:ilvl w:val="1"/>
          <w:numId w:val="4"/>
        </w:numPr>
        <w:tabs>
          <w:tab w:val="left" w:pos="1593"/>
        </w:tabs>
        <w:spacing w:before="1" w:after="0" w:line="364" w:lineRule="auto"/>
        <w:ind w:left="637" w:right="1249" w:firstLine="480"/>
        <w:jc w:val="left"/>
        <w:rPr>
          <w:sz w:val="24"/>
        </w:rPr>
      </w:pPr>
      <w:r>
        <w:rPr>
          <w:spacing w:val="-5"/>
          <w:sz w:val="24"/>
        </w:rPr>
        <w:t>“服务”系指招标文件规定投标方须承担的保修、技术协助、培训及其他</w:t>
      </w:r>
      <w:r>
        <w:rPr>
          <w:sz w:val="24"/>
        </w:rPr>
        <w:t>类似的责任。</w:t>
      </w:r>
    </w:p>
    <w:p>
      <w:pPr>
        <w:pStyle w:val="5"/>
        <w:numPr>
          <w:ilvl w:val="0"/>
          <w:numId w:val="4"/>
        </w:numPr>
        <w:tabs>
          <w:tab w:val="left" w:pos="1480"/>
        </w:tabs>
        <w:spacing w:before="1" w:after="0" w:line="240" w:lineRule="auto"/>
        <w:ind w:left="1480" w:right="0" w:hanging="363"/>
        <w:jc w:val="left"/>
      </w:pPr>
      <w:r>
        <w:t>投标费用</w:t>
      </w:r>
    </w:p>
    <w:p>
      <w:pPr>
        <w:pStyle w:val="2"/>
        <w:numPr>
          <w:ilvl w:val="1"/>
          <w:numId w:val="4"/>
        </w:numPr>
        <w:tabs>
          <w:tab w:val="left" w:pos="1538"/>
        </w:tabs>
        <w:spacing w:before="160" w:after="0" w:line="364" w:lineRule="auto"/>
        <w:ind w:left="637" w:right="1248" w:firstLine="480"/>
        <w:jc w:val="left"/>
        <w:rPr>
          <w:sz w:val="24"/>
        </w:rPr>
      </w:pPr>
      <w:r>
        <w:rPr>
          <w:spacing w:val="-1"/>
          <w:sz w:val="24"/>
        </w:rPr>
        <w:t>无论投标结果如何，凡参与招标、投标活动有关的所有费用将由投标方自</w:t>
      </w:r>
      <w:r>
        <w:rPr>
          <w:sz w:val="24"/>
        </w:rPr>
        <w:t>行承担。</w:t>
      </w:r>
    </w:p>
    <w:p>
      <w:pPr>
        <w:pStyle w:val="2"/>
        <w:numPr>
          <w:ilvl w:val="1"/>
          <w:numId w:val="4"/>
        </w:numPr>
        <w:tabs>
          <w:tab w:val="left" w:pos="1605"/>
        </w:tabs>
        <w:spacing w:before="2" w:after="0" w:line="364" w:lineRule="auto"/>
        <w:ind w:left="637" w:right="1245" w:firstLine="480"/>
        <w:jc w:val="left"/>
        <w:rPr>
          <w:sz w:val="24"/>
        </w:rPr>
      </w:pPr>
      <w:r>
        <w:rPr>
          <w:spacing w:val="5"/>
          <w:sz w:val="24"/>
        </w:rPr>
        <w:t>投标人被视为熟悉本招标项目的各种情况以及与履行合同有关的一切情</w:t>
      </w:r>
      <w:r>
        <w:rPr>
          <w:sz w:val="24"/>
        </w:rPr>
        <w:t>况。</w:t>
      </w:r>
    </w:p>
    <w:p>
      <w:pPr>
        <w:pStyle w:val="5"/>
        <w:numPr>
          <w:ilvl w:val="0"/>
          <w:numId w:val="4"/>
        </w:numPr>
        <w:tabs>
          <w:tab w:val="left" w:pos="1480"/>
        </w:tabs>
        <w:spacing w:before="1" w:after="0" w:line="240" w:lineRule="auto"/>
        <w:ind w:left="1480" w:right="0" w:hanging="363"/>
        <w:jc w:val="left"/>
      </w:pPr>
      <w:r>
        <w:t>招标文件的构成</w:t>
      </w:r>
    </w:p>
    <w:p>
      <w:pPr>
        <w:spacing w:after="0" w:line="240" w:lineRule="auto"/>
        <w:jc w:val="left"/>
      </w:pPr>
    </w:p>
    <w:p>
      <w:pPr>
        <w:pStyle w:val="2"/>
        <w:numPr>
          <w:ilvl w:val="1"/>
          <w:numId w:val="4"/>
        </w:numPr>
        <w:tabs>
          <w:tab w:val="left" w:pos="1600"/>
        </w:tabs>
        <w:spacing w:before="90" w:after="0" w:line="364" w:lineRule="auto"/>
        <w:ind w:left="637" w:right="1248" w:firstLine="480"/>
        <w:jc w:val="both"/>
        <w:rPr>
          <w:sz w:val="24"/>
        </w:rPr>
      </w:pPr>
      <w:r>
        <w:rPr>
          <w:sz w:val="24"/>
        </w:rPr>
        <w:t>招标文件由投标须知、招标说明、投标说明、开标 评标及定标说明、货物需求及技术规格说明、商务部分、附件、询标（答疑）记录等组成。</w:t>
      </w:r>
    </w:p>
    <w:p>
      <w:pPr>
        <w:pStyle w:val="5"/>
        <w:numPr>
          <w:ilvl w:val="0"/>
          <w:numId w:val="4"/>
        </w:numPr>
        <w:tabs>
          <w:tab w:val="left" w:pos="1480"/>
        </w:tabs>
        <w:spacing w:before="1" w:after="0" w:line="240" w:lineRule="auto"/>
        <w:ind w:left="1480" w:right="0" w:hanging="363"/>
        <w:jc w:val="both"/>
      </w:pPr>
      <w:r>
        <w:t>招标文件的澄清</w:t>
      </w:r>
    </w:p>
    <w:p>
      <w:pPr>
        <w:pStyle w:val="2"/>
        <w:numPr>
          <w:ilvl w:val="1"/>
          <w:numId w:val="4"/>
        </w:numPr>
        <w:tabs>
          <w:tab w:val="left" w:pos="1538"/>
        </w:tabs>
        <w:spacing w:before="161" w:after="0" w:line="364" w:lineRule="auto"/>
        <w:ind w:left="637" w:right="1226" w:firstLine="480"/>
        <w:jc w:val="both"/>
        <w:rPr>
          <w:sz w:val="24"/>
        </w:rPr>
      </w:pPr>
      <w:r>
        <w:rPr>
          <w:spacing w:val="-3"/>
          <w:sz w:val="24"/>
        </w:rPr>
        <w:t xml:space="preserve">投标人对招标文件如有疑点，可在投标截止日的 </w:t>
      </w:r>
      <w:r>
        <w:rPr>
          <w:sz w:val="24"/>
        </w:rPr>
        <w:t>7</w:t>
      </w:r>
      <w:r>
        <w:rPr>
          <w:spacing w:val="-7"/>
          <w:sz w:val="24"/>
        </w:rPr>
        <w:t xml:space="preserve"> 日前按招标书中载明的</w:t>
      </w:r>
      <w:r>
        <w:rPr>
          <w:spacing w:val="-8"/>
          <w:sz w:val="24"/>
        </w:rPr>
        <w:t>地址以书面形式通知招标方要求澄清。招标方将视情况确定采用适当方式予以澄清或以书面形式予以答复。招标方认为有必要时，可将答复内容（</w:t>
      </w:r>
      <w:r>
        <w:rPr>
          <w:spacing w:val="-10"/>
          <w:sz w:val="24"/>
        </w:rPr>
        <w:t xml:space="preserve">包括原提出问题， </w:t>
      </w:r>
      <w:r>
        <w:rPr>
          <w:sz w:val="24"/>
        </w:rPr>
        <w:t>但不包括问题的来源）分发给所有拟投标人。</w:t>
      </w:r>
    </w:p>
    <w:p>
      <w:pPr>
        <w:pStyle w:val="5"/>
        <w:numPr>
          <w:ilvl w:val="0"/>
          <w:numId w:val="4"/>
        </w:numPr>
        <w:tabs>
          <w:tab w:val="left" w:pos="1418"/>
        </w:tabs>
        <w:spacing w:before="2" w:after="0" w:line="240" w:lineRule="auto"/>
        <w:ind w:left="1417" w:right="0" w:hanging="363"/>
        <w:jc w:val="both"/>
      </w:pPr>
      <w:r>
        <w:t>招标文件的修改或补充</w:t>
      </w:r>
    </w:p>
    <w:p>
      <w:pPr>
        <w:pStyle w:val="2"/>
        <w:numPr>
          <w:ilvl w:val="1"/>
          <w:numId w:val="4"/>
        </w:numPr>
        <w:tabs>
          <w:tab w:val="left" w:pos="1598"/>
        </w:tabs>
        <w:spacing w:before="160" w:after="0" w:line="364" w:lineRule="auto"/>
        <w:ind w:left="637" w:right="1249" w:firstLine="480"/>
        <w:jc w:val="both"/>
        <w:rPr>
          <w:sz w:val="24"/>
        </w:rPr>
      </w:pPr>
      <w:r>
        <w:rPr>
          <w:spacing w:val="-8"/>
          <w:sz w:val="24"/>
        </w:rPr>
        <w:t xml:space="preserve">在投标截止日的 </w:t>
      </w:r>
      <w:r>
        <w:rPr>
          <w:sz w:val="24"/>
        </w:rPr>
        <w:t>7</w:t>
      </w:r>
      <w:r>
        <w:rPr>
          <w:spacing w:val="-10"/>
          <w:sz w:val="24"/>
        </w:rPr>
        <w:t xml:space="preserve"> 日前的任何时间，招标方可主动或依据投标人要求澄清</w:t>
      </w:r>
      <w:r>
        <w:rPr>
          <w:sz w:val="24"/>
        </w:rPr>
        <w:t>的问题而修改或补充招标文件，并以书面或公告等形式通知所有投标人。</w:t>
      </w:r>
    </w:p>
    <w:p>
      <w:pPr>
        <w:pStyle w:val="2"/>
        <w:numPr>
          <w:ilvl w:val="1"/>
          <w:numId w:val="4"/>
        </w:numPr>
        <w:tabs>
          <w:tab w:val="left" w:pos="1598"/>
        </w:tabs>
        <w:spacing w:before="2" w:after="0" w:line="364" w:lineRule="auto"/>
        <w:ind w:left="637" w:right="1249" w:firstLine="480"/>
        <w:jc w:val="both"/>
        <w:rPr>
          <w:sz w:val="24"/>
        </w:rPr>
      </w:pPr>
      <w:r>
        <w:rPr>
          <w:spacing w:val="-2"/>
          <w:sz w:val="24"/>
        </w:rPr>
        <w:t>为使投标人在准备投标时有适当的时间考虑投标文件的修改，招标方有权</w:t>
      </w:r>
      <w:r>
        <w:rPr>
          <w:spacing w:val="-3"/>
          <w:sz w:val="24"/>
        </w:rPr>
        <w:t>决定推迟投标截止日期和开标日期，并将此变更以书面或公告等形式通知所有投标</w:t>
      </w:r>
      <w:r>
        <w:rPr>
          <w:sz w:val="24"/>
        </w:rPr>
        <w:t>人。</w:t>
      </w:r>
    </w:p>
    <w:p>
      <w:pPr>
        <w:pStyle w:val="2"/>
        <w:numPr>
          <w:ilvl w:val="1"/>
          <w:numId w:val="4"/>
        </w:numPr>
        <w:tabs>
          <w:tab w:val="left" w:pos="1598"/>
        </w:tabs>
        <w:spacing w:before="1" w:after="0" w:line="364" w:lineRule="auto"/>
        <w:ind w:left="637" w:right="1249" w:firstLine="480"/>
        <w:jc w:val="both"/>
        <w:rPr>
          <w:sz w:val="24"/>
        </w:rPr>
      </w:pPr>
      <w:r>
        <w:rPr>
          <w:spacing w:val="-2"/>
          <w:sz w:val="24"/>
        </w:rPr>
        <w:t>招标文件的修改和补充文件将构成招标文件的一部分，并且对投标人具有</w:t>
      </w:r>
      <w:r>
        <w:rPr>
          <w:sz w:val="24"/>
        </w:rPr>
        <w:t>优先约束力。</w:t>
      </w:r>
    </w:p>
    <w:p>
      <w:pPr>
        <w:pStyle w:val="5"/>
        <w:numPr>
          <w:ilvl w:val="0"/>
          <w:numId w:val="4"/>
        </w:numPr>
        <w:tabs>
          <w:tab w:val="left" w:pos="1480"/>
        </w:tabs>
        <w:spacing w:before="2" w:after="0" w:line="240" w:lineRule="auto"/>
        <w:ind w:left="1480" w:right="0" w:hanging="363"/>
        <w:jc w:val="both"/>
      </w:pPr>
      <w:r>
        <w:t>廉洁自律承诺要求</w:t>
      </w:r>
    </w:p>
    <w:p>
      <w:pPr>
        <w:pStyle w:val="5"/>
        <w:numPr>
          <w:ilvl w:val="0"/>
          <w:numId w:val="0"/>
        </w:numPr>
        <w:tabs>
          <w:tab w:val="left" w:pos="1479"/>
        </w:tabs>
        <w:spacing w:before="5" w:after="0" w:line="360" w:lineRule="auto"/>
        <w:ind w:left="480" w:leftChars="218" w:right="1269" w:rightChars="577" w:firstLine="0" w:firstLineChars="0"/>
        <w:jc w:val="left"/>
        <w:rPr>
          <w:rFonts w:ascii="宋体" w:hAnsi="宋体" w:eastAsia="宋体" w:cs="宋体"/>
          <w:b w:val="0"/>
          <w:bCs w:val="0"/>
          <w:spacing w:val="-2"/>
          <w:sz w:val="24"/>
          <w:szCs w:val="22"/>
          <w:lang w:val="zh-CN" w:eastAsia="zh-CN" w:bidi="zh-CN"/>
        </w:rPr>
      </w:pPr>
      <w:r>
        <w:rPr>
          <w:rFonts w:hint="eastAsia" w:cs="宋体"/>
          <w:b w:val="0"/>
          <w:bCs w:val="0"/>
          <w:spacing w:val="-2"/>
          <w:sz w:val="24"/>
          <w:szCs w:val="22"/>
          <w:lang w:val="en-US" w:eastAsia="zh-CN" w:bidi="zh-CN"/>
        </w:rPr>
        <w:t>8.1</w:t>
      </w:r>
      <w:r>
        <w:rPr>
          <w:rFonts w:ascii="宋体" w:hAnsi="宋体" w:eastAsia="宋体" w:cs="宋体"/>
          <w:b w:val="0"/>
          <w:bCs w:val="0"/>
          <w:spacing w:val="-2"/>
          <w:sz w:val="24"/>
          <w:szCs w:val="22"/>
          <w:lang w:val="zh-CN" w:eastAsia="zh-CN" w:bidi="zh-CN"/>
        </w:rPr>
        <w:t>按照《预防职务违法违纪工作规程》规定要求，在本次招标活动中，</w:t>
      </w:r>
      <w:r>
        <w:rPr>
          <w:rFonts w:hint="eastAsia" w:ascii="宋体" w:hAnsi="宋体" w:eastAsia="宋体" w:cs="宋体"/>
          <w:b w:val="0"/>
          <w:bCs w:val="0"/>
          <w:spacing w:val="-2"/>
          <w:sz w:val="24"/>
          <w:szCs w:val="22"/>
          <w:lang w:val="zh-CN" w:eastAsia="zh-CN" w:bidi="zh-CN"/>
        </w:rPr>
        <w:t>新疆正聚方企业管理咨询有限公司</w:t>
      </w:r>
      <w:r>
        <w:rPr>
          <w:rFonts w:ascii="宋体" w:hAnsi="宋体" w:eastAsia="宋体" w:cs="宋体"/>
          <w:b w:val="0"/>
          <w:bCs w:val="0"/>
          <w:spacing w:val="-2"/>
          <w:sz w:val="24"/>
          <w:szCs w:val="22"/>
          <w:lang w:val="zh-CN" w:eastAsia="zh-CN" w:bidi="zh-CN"/>
        </w:rPr>
        <w:t>保证不接受任何投标单位送的礼金礼品、有价证券、购物券、回扣、佣金；不与投标单位及其工作人员私下接触、参与宴请和娱乐活动； 不向投标单位及其工作人员索要好处费、赞助费和宣传费；不在投标单位支付旅游费用、报销各种消费凭证；同时，招标方要求参加本次项目的采购单位、评标专家要填写和提交《廉洁自律承诺书》，所有投标供应商必须要现场提交《反商业贿赂承诺书》和“信用中国”网站无任何不良记录的查询截图并加盖公章；凡不填写和不提交的将视为无效招标或无效投标处理。</w:t>
      </w:r>
    </w:p>
    <w:p>
      <w:pPr>
        <w:pStyle w:val="5"/>
        <w:numPr>
          <w:ilvl w:val="0"/>
          <w:numId w:val="4"/>
        </w:numPr>
        <w:tabs>
          <w:tab w:val="left" w:pos="1600"/>
        </w:tabs>
        <w:spacing w:before="0" w:after="0" w:line="253" w:lineRule="exact"/>
        <w:ind w:left="1600" w:right="0" w:hanging="483"/>
        <w:jc w:val="both"/>
      </w:pPr>
      <w:r>
        <w:t>招标会场纪律及要求</w:t>
      </w:r>
    </w:p>
    <w:p>
      <w:pPr>
        <w:pStyle w:val="2"/>
        <w:numPr>
          <w:ilvl w:val="1"/>
          <w:numId w:val="4"/>
        </w:numPr>
        <w:tabs>
          <w:tab w:val="left" w:pos="1720"/>
        </w:tabs>
        <w:spacing w:before="161" w:after="0" w:line="364" w:lineRule="auto"/>
        <w:ind w:left="637" w:right="1248" w:firstLine="480"/>
        <w:jc w:val="both"/>
        <w:rPr>
          <w:sz w:val="24"/>
        </w:rPr>
      </w:pPr>
      <w:r>
        <w:rPr>
          <w:sz w:val="24"/>
        </w:rPr>
        <w:t>会议按照“公开、公平、公正、诚信”的原则，招标采取全封闭方式主持进行。</w:t>
      </w:r>
    </w:p>
    <w:p>
      <w:pPr>
        <w:pStyle w:val="2"/>
        <w:numPr>
          <w:ilvl w:val="1"/>
          <w:numId w:val="4"/>
        </w:numPr>
        <w:tabs>
          <w:tab w:val="left" w:pos="1720"/>
        </w:tabs>
        <w:spacing w:before="1" w:after="0" w:line="364" w:lineRule="auto"/>
        <w:ind w:left="637" w:right="1243" w:firstLine="480"/>
        <w:jc w:val="both"/>
        <w:rPr>
          <w:sz w:val="24"/>
        </w:rPr>
      </w:pPr>
      <w:r>
        <w:rPr>
          <w:sz w:val="24"/>
        </w:rPr>
        <w:t>凡没有按投标报价截止时间准时到场的投标人、评审专家、与招标活动</w:t>
      </w:r>
      <w:r>
        <w:rPr>
          <w:spacing w:val="-1"/>
          <w:sz w:val="24"/>
        </w:rPr>
        <w:t>有关的工作人员</w:t>
      </w:r>
      <w:r>
        <w:rPr>
          <w:sz w:val="24"/>
        </w:rPr>
        <w:t>（</w:t>
      </w:r>
      <w:r>
        <w:rPr>
          <w:spacing w:val="-3"/>
          <w:sz w:val="24"/>
        </w:rPr>
        <w:t>即监标人、采购人代表、特邀代表、工作人员等）</w:t>
      </w:r>
      <w:r>
        <w:rPr>
          <w:spacing w:val="-4"/>
          <w:sz w:val="24"/>
        </w:rPr>
        <w:t>，一律不允许</w:t>
      </w:r>
      <w:r>
        <w:rPr>
          <w:sz w:val="24"/>
        </w:rPr>
        <w:t>进场。</w:t>
      </w:r>
    </w:p>
    <w:p>
      <w:pPr>
        <w:pStyle w:val="2"/>
        <w:numPr>
          <w:ilvl w:val="1"/>
          <w:numId w:val="4"/>
        </w:numPr>
        <w:tabs>
          <w:tab w:val="left" w:pos="1720"/>
        </w:tabs>
        <w:spacing w:before="2" w:after="0" w:line="364" w:lineRule="auto"/>
        <w:ind w:left="637" w:right="1248" w:firstLine="480"/>
        <w:jc w:val="both"/>
        <w:rPr>
          <w:sz w:val="24"/>
        </w:rPr>
      </w:pPr>
      <w:r>
        <w:rPr>
          <w:sz w:val="24"/>
        </w:rPr>
        <w:t>与会人员要关闭手机等一切通讯工具，严禁在会场大声喧哗。否则，将请你离开会场。</w:t>
      </w:r>
    </w:p>
    <w:p>
      <w:pPr>
        <w:pStyle w:val="5"/>
        <w:numPr>
          <w:ilvl w:val="1"/>
          <w:numId w:val="4"/>
        </w:numPr>
        <w:tabs>
          <w:tab w:val="left" w:pos="1720"/>
        </w:tabs>
        <w:spacing w:before="1" w:after="0" w:line="364" w:lineRule="auto"/>
        <w:ind w:left="637" w:right="1248" w:firstLine="480"/>
        <w:jc w:val="both"/>
      </w:pPr>
      <w:r>
        <w:t>投标截止时间到后，不允许已到场的所有投标人二次进出，招标现场对</w:t>
      </w:r>
      <w:r>
        <w:rPr>
          <w:spacing w:val="-3"/>
        </w:rPr>
        <w:t>投标方的所有投标资质及评标所需的资料证明等均不接受二次提供，且不允许与外</w:t>
      </w:r>
      <w:r>
        <w:t>界有任何方式的联系与沟通。否则，将直接取消其投标资格。</w:t>
      </w:r>
    </w:p>
    <w:p>
      <w:pPr>
        <w:pStyle w:val="2"/>
        <w:numPr>
          <w:ilvl w:val="1"/>
          <w:numId w:val="4"/>
        </w:numPr>
        <w:tabs>
          <w:tab w:val="left" w:pos="1718"/>
        </w:tabs>
        <w:spacing w:before="2" w:after="0" w:line="240" w:lineRule="auto"/>
        <w:ind w:left="1717" w:right="0" w:hanging="601"/>
        <w:jc w:val="both"/>
        <w:rPr>
          <w:sz w:val="24"/>
        </w:rPr>
      </w:pPr>
      <w:r>
        <w:rPr>
          <w:sz w:val="24"/>
        </w:rPr>
        <w:t>严禁投标方会议期间与评委单独接触和交往。</w:t>
      </w:r>
    </w:p>
    <w:p>
      <w:pPr>
        <w:pStyle w:val="2"/>
        <w:numPr>
          <w:ilvl w:val="1"/>
          <w:numId w:val="4"/>
        </w:numPr>
        <w:tabs>
          <w:tab w:val="left" w:pos="1720"/>
        </w:tabs>
        <w:spacing w:before="160" w:after="0" w:line="364" w:lineRule="auto"/>
        <w:ind w:left="637" w:right="1249" w:firstLine="480"/>
        <w:jc w:val="both"/>
        <w:rPr>
          <w:sz w:val="24"/>
        </w:rPr>
      </w:pPr>
      <w:r>
        <w:rPr>
          <w:sz w:val="24"/>
        </w:rPr>
        <w:t>评标活动结束前，评标委员会各成员务必自觉做到不与外界及投标供应</w:t>
      </w:r>
      <w:r>
        <w:rPr>
          <w:spacing w:val="-3"/>
          <w:sz w:val="24"/>
        </w:rPr>
        <w:t>商有任何形式的联系，确有特殊原因需要外出或其他方面的，必须由监标人提交招</w:t>
      </w:r>
      <w:r>
        <w:rPr>
          <w:sz w:val="24"/>
        </w:rPr>
        <w:t>标方后，方可外出，外出时须有监标人员陪同。</w:t>
      </w:r>
    </w:p>
    <w:p>
      <w:pPr>
        <w:pStyle w:val="2"/>
        <w:numPr>
          <w:ilvl w:val="1"/>
          <w:numId w:val="4"/>
        </w:numPr>
        <w:tabs>
          <w:tab w:val="left" w:pos="1653"/>
        </w:tabs>
        <w:spacing w:before="2" w:after="0" w:line="364" w:lineRule="auto"/>
        <w:ind w:left="637" w:right="1245" w:firstLine="470"/>
        <w:jc w:val="both"/>
        <w:rPr>
          <w:sz w:val="24"/>
        </w:rPr>
      </w:pPr>
      <w:r>
        <w:rPr>
          <w:spacing w:val="3"/>
          <w:sz w:val="24"/>
        </w:rPr>
        <w:t>投标供应商如果认为参加本次评标的专家成员及其他与会人员与其他投</w:t>
      </w:r>
      <w:r>
        <w:rPr>
          <w:spacing w:val="-3"/>
          <w:sz w:val="24"/>
        </w:rPr>
        <w:t>标供应商有利害关系的，可以现场申请其回避。如不申请其回避的，则视同无利害</w:t>
      </w:r>
      <w:r>
        <w:rPr>
          <w:sz w:val="24"/>
        </w:rPr>
        <w:t>关系。</w:t>
      </w:r>
    </w:p>
    <w:p>
      <w:pPr>
        <w:pStyle w:val="2"/>
        <w:numPr>
          <w:ilvl w:val="1"/>
          <w:numId w:val="4"/>
        </w:numPr>
        <w:tabs>
          <w:tab w:val="left" w:pos="1711"/>
        </w:tabs>
        <w:spacing w:before="2" w:after="0" w:line="364" w:lineRule="auto"/>
        <w:ind w:left="637" w:right="1123" w:firstLine="470"/>
        <w:jc w:val="both"/>
        <w:rPr>
          <w:sz w:val="24"/>
        </w:rPr>
      </w:pPr>
      <w:r>
        <w:rPr>
          <w:spacing w:val="-3"/>
          <w:sz w:val="24"/>
        </w:rPr>
        <w:t>对各投标供应商的资质审查、开标、报价、评标、询标（</w:t>
      </w:r>
      <w:r>
        <w:rPr>
          <w:sz w:val="24"/>
        </w:rPr>
        <w:t>答疑</w:t>
      </w:r>
      <w:r>
        <w:rPr>
          <w:spacing w:val="-3"/>
          <w:sz w:val="24"/>
        </w:rPr>
        <w:t>）</w:t>
      </w:r>
      <w:r>
        <w:rPr>
          <w:spacing w:val="-4"/>
          <w:sz w:val="24"/>
        </w:rPr>
        <w:t>、澄清、</w:t>
      </w:r>
      <w:r>
        <w:rPr>
          <w:spacing w:val="-14"/>
          <w:sz w:val="24"/>
        </w:rPr>
        <w:t xml:space="preserve">定标等工作，采取逐一方式进行，评标此期间投标供应商务必保持通讯工具的畅通， </w:t>
      </w:r>
      <w:r>
        <w:rPr>
          <w:spacing w:val="-3"/>
          <w:sz w:val="24"/>
        </w:rPr>
        <w:t>不要远离招标现场，以便及时联络和不延误工作。若发生通讯工具不通或备案通讯</w:t>
      </w:r>
    </w:p>
    <w:p>
      <w:pPr>
        <w:pStyle w:val="10"/>
        <w:spacing w:before="90" w:line="364" w:lineRule="auto"/>
        <w:ind w:right="1203"/>
      </w:pPr>
      <w:r>
        <w:t>工具号码有误，无法实现联络的，或无理拒绝或不执行招标方工作安排的，将视同自愿放弃本次投标权利。</w:t>
      </w:r>
    </w:p>
    <w:p>
      <w:pPr>
        <w:pStyle w:val="5"/>
        <w:numPr>
          <w:ilvl w:val="1"/>
          <w:numId w:val="4"/>
        </w:numPr>
        <w:tabs>
          <w:tab w:val="left" w:pos="1713"/>
        </w:tabs>
        <w:spacing w:before="1" w:after="0" w:line="364" w:lineRule="auto"/>
        <w:ind w:left="637" w:right="1216" w:firstLine="470"/>
        <w:jc w:val="both"/>
      </w:pPr>
      <w:r>
        <w:t>凡是须要经过会议通过的事宜事项，招标方对供应商在招标事后发生的  已通过事宜事项的质疑或投诉，将不予采信。</w:t>
      </w:r>
    </w:p>
    <w:p>
      <w:pPr>
        <w:pStyle w:val="2"/>
        <w:numPr>
          <w:ilvl w:val="0"/>
          <w:numId w:val="4"/>
        </w:numPr>
        <w:tabs>
          <w:tab w:val="left" w:pos="1598"/>
        </w:tabs>
        <w:spacing w:before="1" w:after="0" w:line="364" w:lineRule="auto"/>
        <w:ind w:left="637" w:right="1249" w:firstLine="480"/>
        <w:jc w:val="both"/>
        <w:rPr>
          <w:sz w:val="24"/>
        </w:rPr>
      </w:pPr>
      <w:r>
        <w:rPr>
          <w:spacing w:val="-3"/>
          <w:sz w:val="24"/>
        </w:rPr>
        <w:t>招标评标须在监标人的监督下由招标方组织进行。评标委员会各成员、采</w:t>
      </w:r>
      <w:r>
        <w:rPr>
          <w:spacing w:val="-6"/>
          <w:sz w:val="24"/>
        </w:rPr>
        <w:t>购人代表、投标人、特邀代表、工作人员等与会人员如有违纪、违规行为，监标人</w:t>
      </w:r>
      <w:r>
        <w:rPr>
          <w:sz w:val="24"/>
        </w:rPr>
        <w:t>有权予以纠正或制止。</w:t>
      </w:r>
    </w:p>
    <w:p>
      <w:pPr>
        <w:pStyle w:val="2"/>
        <w:numPr>
          <w:ilvl w:val="0"/>
          <w:numId w:val="4"/>
        </w:numPr>
        <w:tabs>
          <w:tab w:val="left" w:pos="1599"/>
        </w:tabs>
        <w:spacing w:before="2" w:after="0" w:line="364" w:lineRule="auto"/>
        <w:ind w:left="637" w:right="1249" w:firstLine="480"/>
        <w:jc w:val="left"/>
      </w:pPr>
      <w:r>
        <w:rPr>
          <w:spacing w:val="-3"/>
          <w:sz w:val="24"/>
        </w:rPr>
        <w:t>与评标活动有关的工作人员。是指评标委员会成员以外的、因参与评标监</w:t>
      </w:r>
      <w:r>
        <w:rPr>
          <w:sz w:val="24"/>
        </w:rPr>
        <w:t>督工作或者事务性工作而知悉有关评标情况的所有人员。</w:t>
      </w:r>
    </w:p>
    <w:p>
      <w:pPr>
        <w:pStyle w:val="3"/>
        <w:spacing w:before="162"/>
      </w:pPr>
      <w:r>
        <w:rPr>
          <w:spacing w:val="-1"/>
        </w:rPr>
        <w:t>第四部分 投标说明</w:t>
      </w:r>
    </w:p>
    <w:p>
      <w:pPr>
        <w:pStyle w:val="4"/>
        <w:spacing w:before="191"/>
        <w:ind w:right="608"/>
      </w:pPr>
      <w:r>
        <w:t>第一章 对投标方的资质要求</w:t>
      </w:r>
    </w:p>
    <w:p>
      <w:pPr>
        <w:pStyle w:val="2"/>
        <w:numPr>
          <w:ilvl w:val="1"/>
          <w:numId w:val="5"/>
        </w:numPr>
        <w:tabs>
          <w:tab w:val="left" w:pos="1605"/>
        </w:tabs>
        <w:spacing w:before="186" w:after="0" w:line="364" w:lineRule="auto"/>
        <w:ind w:left="637" w:right="1245" w:firstLine="480"/>
        <w:jc w:val="left"/>
        <w:rPr>
          <w:sz w:val="24"/>
        </w:rPr>
      </w:pPr>
      <w:r>
        <w:rPr>
          <w:spacing w:val="5"/>
          <w:sz w:val="24"/>
        </w:rPr>
        <w:t>投标人必须提交能够证明其具有履行本招标项目合同能力的资质证明文</w:t>
      </w:r>
      <w:r>
        <w:rPr>
          <w:sz w:val="24"/>
        </w:rPr>
        <w:t>件，作为投标文件的一部分。</w:t>
      </w:r>
    </w:p>
    <w:p>
      <w:pPr>
        <w:pStyle w:val="5"/>
        <w:numPr>
          <w:ilvl w:val="1"/>
          <w:numId w:val="5"/>
        </w:numPr>
        <w:tabs>
          <w:tab w:val="left" w:pos="1600"/>
        </w:tabs>
        <w:spacing w:before="1" w:after="0" w:line="364" w:lineRule="auto"/>
        <w:ind w:left="637" w:right="1216" w:firstLine="480"/>
        <w:jc w:val="left"/>
      </w:pPr>
      <w:r>
        <w:t>投标时资质审查的必要条件</w:t>
      </w:r>
      <w:r>
        <w:rPr>
          <w:rFonts w:hint="eastAsia"/>
          <w:lang w:eastAsia="zh-CN"/>
        </w:rPr>
        <w:t>：</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符合《中华人民共和国政府采购法》第二十二条的相关规定；</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有效的“三证合一”的营业执照，且具备所投标的经营范围；</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投标人需具备独立法人资格，能够承担相应的供货、服务能力，持有效营业执照的生产厂家或代理商；</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具有良好的商业信誉和健全的财务会计制度；</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近三年内，在经营活动中没有重大违法记录；</w:t>
      </w:r>
    </w:p>
    <w:p>
      <w:pPr>
        <w:pStyle w:val="2"/>
        <w:numPr>
          <w:ilvl w:val="0"/>
          <w:numId w:val="6"/>
        </w:numPr>
        <w:tabs>
          <w:tab w:val="left" w:pos="1592"/>
        </w:tabs>
        <w:spacing w:before="160" w:after="0" w:line="360" w:lineRule="auto"/>
        <w:ind w:left="1591" w:right="0" w:hanging="602"/>
        <w:jc w:val="left"/>
        <w:rPr>
          <w:rFonts w:hint="eastAsia"/>
          <w:color w:val="auto"/>
          <w:sz w:val="24"/>
          <w:lang w:val="en-US" w:eastAsia="zh-CN"/>
        </w:rPr>
      </w:pPr>
      <w:r>
        <w:rPr>
          <w:rFonts w:hint="eastAsia"/>
          <w:color w:val="auto"/>
          <w:sz w:val="24"/>
          <w:lang w:val="en-US" w:eastAsia="zh-CN"/>
        </w:rPr>
        <w:t>经 信 用 中 国 （ www.creditchina.gov.cn ） 、 中 国 政 府 采 购 网（www.ccgp.gov.cn）等渠道查询后，列入失信被执行人、重大税违法案件当事人名单、政府采购严重违法失信行为记录名单的，取消投标资格。（提供“信用中国”网站无任何不良记录的查询截图并加盖公章，时间为投标截止时间前 20 天内）；</w:t>
      </w:r>
    </w:p>
    <w:p>
      <w:pPr>
        <w:pStyle w:val="2"/>
        <w:numPr>
          <w:ilvl w:val="0"/>
          <w:numId w:val="6"/>
        </w:numPr>
        <w:tabs>
          <w:tab w:val="left" w:pos="1592"/>
        </w:tabs>
        <w:spacing w:before="160" w:after="0" w:line="360" w:lineRule="auto"/>
        <w:ind w:left="1591" w:right="0" w:hanging="602"/>
        <w:jc w:val="left"/>
        <w:rPr>
          <w:color w:val="auto"/>
          <w:sz w:val="24"/>
        </w:rPr>
      </w:pPr>
      <w:r>
        <w:rPr>
          <w:rFonts w:hint="eastAsia"/>
          <w:color w:val="auto"/>
          <w:sz w:val="24"/>
          <w:lang w:val="en-US" w:eastAsia="zh-CN"/>
        </w:rPr>
        <w:t>按文件要求缴纳投标保证金；</w:t>
      </w:r>
    </w:p>
    <w:p>
      <w:pPr>
        <w:pStyle w:val="2"/>
        <w:numPr>
          <w:ilvl w:val="0"/>
          <w:numId w:val="6"/>
        </w:numPr>
        <w:tabs>
          <w:tab w:val="left" w:pos="1592"/>
        </w:tabs>
        <w:spacing w:before="160" w:after="0" w:line="360" w:lineRule="auto"/>
        <w:ind w:left="1591" w:right="0" w:hanging="602"/>
        <w:jc w:val="left"/>
        <w:rPr>
          <w:color w:val="auto"/>
          <w:sz w:val="24"/>
        </w:rPr>
      </w:pPr>
      <w:r>
        <w:rPr>
          <w:rFonts w:hint="eastAsia"/>
          <w:color w:val="auto"/>
          <w:sz w:val="24"/>
          <w:lang w:val="en-US" w:eastAsia="zh-CN"/>
        </w:rPr>
        <w:t>如是代理商出具生产厂家针对本项目的授权原件.</w:t>
      </w:r>
    </w:p>
    <w:p>
      <w:pPr>
        <w:pStyle w:val="2"/>
        <w:numPr>
          <w:ilvl w:val="0"/>
          <w:numId w:val="0"/>
        </w:numPr>
        <w:tabs>
          <w:tab w:val="left" w:pos="1592"/>
        </w:tabs>
        <w:spacing w:before="161" w:after="0" w:line="360" w:lineRule="auto"/>
        <w:ind w:left="660" w:leftChars="0" w:right="609" w:rightChars="277" w:firstLine="480" w:firstLineChars="200"/>
        <w:jc w:val="left"/>
        <w:rPr>
          <w:color w:val="auto"/>
          <w:sz w:val="24"/>
        </w:rPr>
      </w:pPr>
      <w:r>
        <w:rPr>
          <w:rFonts w:hint="eastAsia"/>
          <w:color w:val="auto"/>
          <w:sz w:val="24"/>
          <w:lang w:val="en-US" w:eastAsia="zh-CN"/>
        </w:rPr>
        <w:t xml:space="preserve">1.3 </w:t>
      </w:r>
      <w:r>
        <w:rPr>
          <w:color w:val="auto"/>
          <w:sz w:val="24"/>
        </w:rPr>
        <w:t>投标时的评审审查项目。投标人如果不能提供或有缺项的，则相应本项</w:t>
      </w:r>
      <w:r>
        <w:rPr>
          <w:color w:val="auto"/>
          <w:spacing w:val="-2"/>
          <w:sz w:val="24"/>
        </w:rPr>
        <w:t>目</w:t>
      </w:r>
      <w:r>
        <w:rPr>
          <w:rFonts w:hint="eastAsia"/>
          <w:color w:val="auto"/>
          <w:spacing w:val="-2"/>
          <w:sz w:val="24"/>
          <w:lang w:eastAsia="zh-CN"/>
        </w:rPr>
        <w:t>不得分</w:t>
      </w:r>
      <w:r>
        <w:rPr>
          <w:color w:val="auto"/>
          <w:spacing w:val="-2"/>
          <w:sz w:val="24"/>
        </w:rPr>
        <w:t>，且本项目将做为是否中标的重要</w:t>
      </w:r>
      <w:r>
        <w:rPr>
          <w:color w:val="auto"/>
          <w:sz w:val="24"/>
        </w:rPr>
        <w:t>因素。</w:t>
      </w:r>
    </w:p>
    <w:p>
      <w:pPr>
        <w:pStyle w:val="2"/>
        <w:numPr>
          <w:ilvl w:val="1"/>
          <w:numId w:val="6"/>
        </w:numPr>
        <w:tabs>
          <w:tab w:val="left" w:pos="880"/>
        </w:tabs>
        <w:spacing w:before="2" w:after="0" w:line="360" w:lineRule="auto"/>
        <w:ind w:left="1540" w:leftChars="0" w:right="0" w:hanging="602" w:firstLineChars="0"/>
        <w:jc w:val="left"/>
        <w:rPr>
          <w:color w:val="auto"/>
          <w:sz w:val="22"/>
        </w:rPr>
      </w:pPr>
      <w:r>
        <w:rPr>
          <w:color w:val="auto"/>
          <w:sz w:val="24"/>
        </w:rPr>
        <w:t>投标人合法经营和履行国家规定义务的有关证明。</w:t>
      </w:r>
    </w:p>
    <w:p>
      <w:pPr>
        <w:pStyle w:val="2"/>
        <w:numPr>
          <w:ilvl w:val="1"/>
          <w:numId w:val="6"/>
        </w:numPr>
        <w:tabs>
          <w:tab w:val="left" w:pos="660"/>
        </w:tabs>
        <w:spacing w:before="160" w:after="0" w:line="360" w:lineRule="auto"/>
        <w:ind w:left="1724" w:leftChars="0" w:right="0" w:hanging="844" w:firstLineChars="0"/>
        <w:jc w:val="left"/>
        <w:rPr>
          <w:color w:val="auto"/>
          <w:sz w:val="24"/>
        </w:rPr>
      </w:pPr>
      <w:r>
        <w:rPr>
          <w:color w:val="auto"/>
          <w:sz w:val="24"/>
        </w:rPr>
        <w:t>投标方提供由国家权威部门出具的产品质量鉴定证书或检测报告均须加盖生产企业法人公章）。</w:t>
      </w:r>
    </w:p>
    <w:p>
      <w:pPr>
        <w:pStyle w:val="2"/>
        <w:numPr>
          <w:ilvl w:val="0"/>
          <w:numId w:val="0"/>
        </w:numPr>
        <w:tabs>
          <w:tab w:val="left" w:pos="1725"/>
        </w:tabs>
        <w:spacing w:before="2" w:after="0" w:line="364" w:lineRule="auto"/>
        <w:ind w:left="1117" w:leftChars="0" w:right="1129" w:rightChars="0"/>
        <w:jc w:val="left"/>
        <w:rPr>
          <w:strike/>
          <w:color w:val="auto"/>
          <w:sz w:val="22"/>
        </w:rPr>
      </w:pPr>
      <w:r>
        <w:rPr>
          <w:rFonts w:hint="eastAsia"/>
          <w:color w:val="auto"/>
          <w:sz w:val="24"/>
          <w:lang w:eastAsia="zh-CN"/>
        </w:rPr>
        <w:t>（</w:t>
      </w:r>
      <w:r>
        <w:rPr>
          <w:rFonts w:hint="eastAsia"/>
          <w:color w:val="auto"/>
          <w:sz w:val="24"/>
          <w:lang w:val="en-US" w:eastAsia="zh-CN"/>
        </w:rPr>
        <w:t>3</w:t>
      </w:r>
      <w:r>
        <w:rPr>
          <w:rFonts w:hint="eastAsia"/>
          <w:color w:val="auto"/>
          <w:sz w:val="24"/>
          <w:lang w:eastAsia="zh-CN"/>
        </w:rPr>
        <w:t>）</w:t>
      </w:r>
      <w:r>
        <w:rPr>
          <w:color w:val="auto"/>
          <w:sz w:val="24"/>
        </w:rPr>
        <w:t>投标方提供售后服务体系、服务保证及服务承诺。投标方应有能力履行</w:t>
      </w:r>
      <w:r>
        <w:rPr>
          <w:color w:val="auto"/>
          <w:spacing w:val="-4"/>
          <w:sz w:val="24"/>
        </w:rPr>
        <w:t>招标文件中规定的、合同条款和技术要求方面的、由卖方履行的保养、修理、供应</w:t>
      </w:r>
      <w:r>
        <w:rPr>
          <w:color w:val="auto"/>
          <w:spacing w:val="-6"/>
          <w:sz w:val="24"/>
        </w:rPr>
        <w:t>备件和其他技术服务的义务。</w:t>
      </w:r>
    </w:p>
    <w:p>
      <w:pPr>
        <w:pStyle w:val="2"/>
        <w:numPr>
          <w:ilvl w:val="0"/>
          <w:numId w:val="0"/>
        </w:numPr>
        <w:tabs>
          <w:tab w:val="left" w:pos="1725"/>
        </w:tabs>
        <w:spacing w:before="3" w:after="0" w:line="364" w:lineRule="auto"/>
        <w:ind w:left="1117" w:leftChars="0" w:right="1129" w:rightChars="0"/>
        <w:jc w:val="left"/>
        <w:rPr>
          <w:color w:val="auto"/>
          <w:sz w:val="22"/>
        </w:rPr>
      </w:pPr>
      <w:r>
        <w:rPr>
          <w:rFonts w:hint="eastAsia"/>
          <w:color w:val="auto"/>
          <w:sz w:val="24"/>
          <w:lang w:eastAsia="zh-CN"/>
        </w:rPr>
        <w:t>（</w:t>
      </w:r>
      <w:r>
        <w:rPr>
          <w:rFonts w:hint="eastAsia"/>
          <w:color w:val="auto"/>
          <w:sz w:val="24"/>
          <w:lang w:val="en-US" w:eastAsia="zh-CN"/>
        </w:rPr>
        <w:t>4</w:t>
      </w:r>
      <w:r>
        <w:rPr>
          <w:rFonts w:hint="eastAsia"/>
          <w:color w:val="auto"/>
          <w:sz w:val="24"/>
          <w:lang w:eastAsia="zh-CN"/>
        </w:rPr>
        <w:t>）</w:t>
      </w:r>
      <w:r>
        <w:rPr>
          <w:color w:val="auto"/>
          <w:sz w:val="24"/>
        </w:rPr>
        <w:t>投标方所投标的产品是原厂生产的，须提供产品质量</w:t>
      </w:r>
      <w:r>
        <w:rPr>
          <w:rFonts w:hint="eastAsia"/>
          <w:color w:val="auto"/>
          <w:sz w:val="24"/>
          <w:lang w:val="en-US" w:eastAsia="zh-CN"/>
        </w:rPr>
        <w:t>检测报告扫面件</w:t>
      </w:r>
      <w:r>
        <w:rPr>
          <w:color w:val="auto"/>
          <w:sz w:val="24"/>
        </w:rPr>
        <w:t>，经销商</w:t>
      </w:r>
      <w:r>
        <w:rPr>
          <w:color w:val="auto"/>
          <w:spacing w:val="-1"/>
          <w:sz w:val="24"/>
        </w:rPr>
        <w:t>或代理商的须提供针对本次招标授权产品的授权证明</w:t>
      </w:r>
      <w:r>
        <w:rPr>
          <w:rFonts w:hint="eastAsia"/>
          <w:color w:val="auto"/>
          <w:spacing w:val="-1"/>
          <w:sz w:val="24"/>
          <w:lang w:val="en-US" w:eastAsia="zh-CN"/>
        </w:rPr>
        <w:t>扫面件</w:t>
      </w:r>
      <w:r>
        <w:rPr>
          <w:color w:val="auto"/>
          <w:spacing w:val="-1"/>
          <w:sz w:val="24"/>
        </w:rPr>
        <w:t>。若</w:t>
      </w:r>
      <w:r>
        <w:rPr>
          <w:color w:val="auto"/>
          <w:spacing w:val="-2"/>
          <w:sz w:val="24"/>
        </w:rPr>
        <w:t>投标方提供的货物及服务不是投标方生产或拥有的，则必须得到货物制造商的正式</w:t>
      </w:r>
      <w:r>
        <w:rPr>
          <w:color w:val="auto"/>
          <w:spacing w:val="-3"/>
          <w:sz w:val="24"/>
        </w:rPr>
        <w:t>授权或所颁发的授权经营代理证明</w:t>
      </w:r>
      <w:r>
        <w:rPr>
          <w:color w:val="auto"/>
          <w:spacing w:val="-13"/>
          <w:sz w:val="24"/>
        </w:rPr>
        <w:t>。</w:t>
      </w:r>
    </w:p>
    <w:p>
      <w:pPr>
        <w:pStyle w:val="2"/>
        <w:numPr>
          <w:ilvl w:val="0"/>
          <w:numId w:val="0"/>
        </w:numPr>
        <w:tabs>
          <w:tab w:val="left" w:pos="1725"/>
        </w:tabs>
        <w:spacing w:before="4" w:after="0" w:line="364" w:lineRule="auto"/>
        <w:ind w:left="1117" w:leftChars="0" w:right="1249" w:rightChars="0"/>
        <w:jc w:val="both"/>
        <w:rPr>
          <w:color w:val="auto"/>
          <w:sz w:val="22"/>
        </w:rPr>
      </w:pPr>
      <w:r>
        <w:rPr>
          <w:rFonts w:hint="eastAsia"/>
          <w:color w:val="auto"/>
          <w:sz w:val="24"/>
          <w:lang w:eastAsia="zh-CN"/>
        </w:rPr>
        <w:t>（</w:t>
      </w:r>
      <w:r>
        <w:rPr>
          <w:rFonts w:hint="eastAsia"/>
          <w:color w:val="auto"/>
          <w:sz w:val="24"/>
          <w:lang w:val="en-US" w:eastAsia="zh-CN"/>
        </w:rPr>
        <w:t>5</w:t>
      </w:r>
      <w:r>
        <w:rPr>
          <w:rFonts w:hint="eastAsia"/>
          <w:color w:val="auto"/>
          <w:sz w:val="24"/>
          <w:lang w:eastAsia="zh-CN"/>
        </w:rPr>
        <w:t>）</w:t>
      </w:r>
      <w:r>
        <w:rPr>
          <w:color w:val="auto"/>
          <w:sz w:val="24"/>
        </w:rPr>
        <w:t>投标方须提供经审计（或社会中介结构审计</w:t>
      </w:r>
      <w:r>
        <w:rPr>
          <w:color w:val="auto"/>
          <w:spacing w:val="4"/>
          <w:sz w:val="24"/>
        </w:rPr>
        <w:t>）</w:t>
      </w:r>
      <w:r>
        <w:rPr>
          <w:color w:val="auto"/>
          <w:sz w:val="24"/>
        </w:rPr>
        <w:t>的本企业</w:t>
      </w:r>
      <w:r>
        <w:rPr>
          <w:rFonts w:hint="eastAsia"/>
          <w:color w:val="auto"/>
          <w:sz w:val="24"/>
          <w:lang w:eastAsia="zh-CN"/>
        </w:rPr>
        <w:t>近三年（</w:t>
      </w:r>
      <w:r>
        <w:rPr>
          <w:rFonts w:hint="eastAsia"/>
          <w:color w:val="auto"/>
          <w:sz w:val="24"/>
          <w:lang w:val="en-US" w:eastAsia="zh-CN"/>
        </w:rPr>
        <w:t>2019年到2021年</w:t>
      </w:r>
      <w:r>
        <w:rPr>
          <w:rFonts w:hint="eastAsia"/>
          <w:color w:val="auto"/>
          <w:sz w:val="24"/>
          <w:lang w:eastAsia="zh-CN"/>
        </w:rPr>
        <w:t>）</w:t>
      </w:r>
      <w:r>
        <w:rPr>
          <w:color w:val="auto"/>
          <w:sz w:val="24"/>
        </w:rPr>
        <w:t>财务</w:t>
      </w:r>
      <w:r>
        <w:rPr>
          <w:rFonts w:hint="eastAsia"/>
          <w:color w:val="auto"/>
          <w:spacing w:val="-5"/>
          <w:sz w:val="24"/>
          <w:lang w:eastAsia="zh-CN"/>
        </w:rPr>
        <w:t>审</w:t>
      </w:r>
      <w:r>
        <w:rPr>
          <w:color w:val="auto"/>
          <w:spacing w:val="-5"/>
          <w:sz w:val="24"/>
        </w:rPr>
        <w:t>计报表。</w:t>
      </w:r>
    </w:p>
    <w:p>
      <w:pPr>
        <w:pStyle w:val="2"/>
        <w:numPr>
          <w:ilvl w:val="0"/>
          <w:numId w:val="0"/>
        </w:numPr>
        <w:tabs>
          <w:tab w:val="left" w:pos="1725"/>
        </w:tabs>
        <w:spacing w:before="2" w:after="0" w:line="364" w:lineRule="auto"/>
        <w:ind w:left="1117" w:leftChars="0" w:right="610" w:rightChars="0"/>
        <w:jc w:val="left"/>
        <w:rPr>
          <w:sz w:val="22"/>
        </w:rPr>
      </w:pPr>
      <w:r>
        <w:rPr>
          <w:rFonts w:hint="eastAsia"/>
          <w:sz w:val="24"/>
          <w:lang w:eastAsia="zh-CN"/>
        </w:rPr>
        <w:t>（</w:t>
      </w:r>
      <w:r>
        <w:rPr>
          <w:rFonts w:hint="eastAsia"/>
          <w:sz w:val="24"/>
          <w:lang w:val="en-US" w:eastAsia="zh-CN"/>
        </w:rPr>
        <w:t>6</w:t>
      </w:r>
      <w:r>
        <w:rPr>
          <w:rFonts w:hint="eastAsia"/>
          <w:sz w:val="24"/>
          <w:lang w:eastAsia="zh-CN"/>
        </w:rPr>
        <w:t>）</w:t>
      </w:r>
      <w:r>
        <w:rPr>
          <w:sz w:val="24"/>
        </w:rPr>
        <w:t>所投产品在国内近三年</w:t>
      </w:r>
      <w:r>
        <w:rPr>
          <w:rFonts w:hint="eastAsia"/>
          <w:sz w:val="24"/>
          <w:lang w:val="en-US" w:eastAsia="zh-CN"/>
        </w:rPr>
        <w:t>（2019年到2021年）</w:t>
      </w:r>
      <w:r>
        <w:rPr>
          <w:sz w:val="24"/>
        </w:rPr>
        <w:t>的</w:t>
      </w:r>
      <w:r>
        <w:rPr>
          <w:rFonts w:hint="eastAsia"/>
          <w:sz w:val="24"/>
          <w:lang w:eastAsia="zh-CN"/>
        </w:rPr>
        <w:t>类似项目</w:t>
      </w:r>
      <w:r>
        <w:rPr>
          <w:sz w:val="24"/>
        </w:rPr>
        <w:t>业绩</w:t>
      </w:r>
      <w:r>
        <w:rPr>
          <w:rFonts w:hint="eastAsia"/>
          <w:sz w:val="24"/>
          <w:lang w:eastAsia="zh-CN"/>
        </w:rPr>
        <w:t>。</w:t>
      </w:r>
    </w:p>
    <w:p>
      <w:pPr>
        <w:pStyle w:val="2"/>
        <w:numPr>
          <w:ilvl w:val="0"/>
          <w:numId w:val="0"/>
        </w:numPr>
        <w:tabs>
          <w:tab w:val="left" w:pos="1719"/>
        </w:tabs>
        <w:spacing w:before="1" w:after="0" w:line="240" w:lineRule="auto"/>
        <w:ind w:left="1116" w:leftChars="0" w:right="0" w:rightChars="0"/>
        <w:jc w:val="left"/>
        <w:rPr>
          <w:sz w:val="22"/>
        </w:rPr>
      </w:pPr>
      <w:r>
        <w:rPr>
          <w:rFonts w:hint="eastAsia"/>
          <w:color w:val="auto"/>
          <w:sz w:val="24"/>
          <w:lang w:eastAsia="zh-CN"/>
        </w:rPr>
        <w:t>（</w:t>
      </w:r>
      <w:r>
        <w:rPr>
          <w:rFonts w:hint="eastAsia"/>
          <w:color w:val="auto"/>
          <w:sz w:val="24"/>
          <w:lang w:val="en-US" w:eastAsia="zh-CN"/>
        </w:rPr>
        <w:t>7</w:t>
      </w:r>
      <w:r>
        <w:rPr>
          <w:rFonts w:hint="eastAsia"/>
          <w:color w:val="auto"/>
          <w:sz w:val="24"/>
          <w:lang w:eastAsia="zh-CN"/>
        </w:rPr>
        <w:t>）</w:t>
      </w:r>
      <w:r>
        <w:rPr>
          <w:color w:val="auto"/>
          <w:sz w:val="24"/>
        </w:rPr>
        <w:t>生产厂家产品彩页</w:t>
      </w:r>
      <w:r>
        <w:rPr>
          <w:sz w:val="24"/>
        </w:rPr>
        <w:t>。</w:t>
      </w:r>
    </w:p>
    <w:p>
      <w:pPr>
        <w:pStyle w:val="2"/>
        <w:numPr>
          <w:ilvl w:val="0"/>
          <w:numId w:val="0"/>
        </w:numPr>
        <w:tabs>
          <w:tab w:val="left" w:pos="1719"/>
          <w:tab w:val="left" w:pos="9240"/>
        </w:tabs>
        <w:spacing w:before="161" w:after="0" w:line="240" w:lineRule="auto"/>
        <w:ind w:left="1116" w:leftChars="0" w:right="0" w:rightChars="0"/>
        <w:jc w:val="left"/>
        <w:rPr>
          <w:sz w:val="22"/>
        </w:rPr>
      </w:pPr>
      <w:r>
        <w:rPr>
          <w:rFonts w:hint="eastAsia"/>
          <w:sz w:val="24"/>
          <w:lang w:eastAsia="zh-CN"/>
        </w:rPr>
        <w:t>（</w:t>
      </w:r>
      <w:r>
        <w:rPr>
          <w:rFonts w:hint="eastAsia"/>
          <w:sz w:val="24"/>
          <w:lang w:val="en-US" w:eastAsia="zh-CN"/>
        </w:rPr>
        <w:t>8</w:t>
      </w:r>
      <w:r>
        <w:rPr>
          <w:rFonts w:hint="eastAsia"/>
          <w:sz w:val="24"/>
          <w:lang w:eastAsia="zh-CN"/>
        </w:rPr>
        <w:t>）</w:t>
      </w:r>
      <w:r>
        <w:rPr>
          <w:sz w:val="24"/>
        </w:rPr>
        <w:t>本招标文件中除上述投标资质要求之外的其他方面的资质证明文件。</w:t>
      </w:r>
    </w:p>
    <w:p>
      <w:pPr>
        <w:pStyle w:val="2"/>
        <w:numPr>
          <w:ilvl w:val="0"/>
          <w:numId w:val="0"/>
        </w:numPr>
        <w:tabs>
          <w:tab w:val="left" w:pos="1832"/>
        </w:tabs>
        <w:spacing w:before="161" w:after="0" w:line="240" w:lineRule="auto"/>
        <w:ind w:left="1100" w:leftChars="0" w:right="0" w:rightChars="0"/>
        <w:jc w:val="left"/>
        <w:rPr>
          <w:rFonts w:ascii="宋体" w:hAnsi="宋体" w:eastAsia="宋体" w:cs="宋体"/>
          <w:color w:val="000000"/>
          <w:spacing w:val="-7"/>
          <w:sz w:val="24"/>
        </w:rPr>
      </w:pPr>
      <w:r>
        <w:rPr>
          <w:rFonts w:hint="eastAsia"/>
          <w:color w:val="000000"/>
          <w:spacing w:val="-10"/>
          <w:sz w:val="24"/>
          <w:lang w:val="en-US" w:eastAsia="zh-CN"/>
        </w:rPr>
        <w:t>（9</w:t>
      </w:r>
      <w:r>
        <w:rPr>
          <w:rFonts w:hint="eastAsia"/>
          <w:color w:val="000000"/>
          <w:spacing w:val="-10"/>
          <w:sz w:val="24"/>
          <w:lang w:eastAsia="zh-CN"/>
        </w:rPr>
        <w:t>）</w:t>
      </w:r>
      <w:r>
        <w:rPr>
          <w:color w:val="000000"/>
          <w:spacing w:val="-10"/>
          <w:sz w:val="24"/>
        </w:rPr>
        <w:t>投</w:t>
      </w:r>
      <w:r>
        <w:rPr>
          <w:rFonts w:ascii="宋体" w:hAnsi="宋体" w:eastAsia="宋体" w:cs="宋体"/>
          <w:color w:val="000000"/>
          <w:spacing w:val="-7"/>
          <w:sz w:val="24"/>
        </w:rPr>
        <w:t>标人最近 6 个月依法缴纳税收</w:t>
      </w:r>
      <w:r>
        <w:rPr>
          <w:rFonts w:hint="eastAsia" w:ascii="宋体" w:hAnsi="宋体" w:eastAsia="宋体" w:cs="宋体"/>
          <w:color w:val="000000"/>
          <w:spacing w:val="-7"/>
          <w:sz w:val="24"/>
          <w:lang w:eastAsia="zh-CN"/>
        </w:rPr>
        <w:t>（完税证明）</w:t>
      </w:r>
      <w:r>
        <w:rPr>
          <w:rFonts w:ascii="宋体" w:hAnsi="宋体" w:eastAsia="宋体" w:cs="宋体"/>
          <w:color w:val="000000"/>
          <w:spacing w:val="-7"/>
          <w:sz w:val="24"/>
        </w:rPr>
        <w:t>和社会保障资金</w:t>
      </w:r>
      <w:r>
        <w:rPr>
          <w:rFonts w:hint="eastAsia" w:ascii="宋体" w:hAnsi="宋体" w:eastAsia="宋体" w:cs="宋体"/>
          <w:color w:val="000000"/>
          <w:spacing w:val="-7"/>
          <w:sz w:val="24"/>
          <w:lang w:eastAsia="zh-CN"/>
        </w:rPr>
        <w:t>（社保缴纳</w:t>
      </w:r>
    </w:p>
    <w:p>
      <w:pPr>
        <w:pStyle w:val="2"/>
        <w:numPr>
          <w:ilvl w:val="0"/>
          <w:numId w:val="0"/>
        </w:numPr>
        <w:tabs>
          <w:tab w:val="left" w:pos="1832"/>
        </w:tabs>
        <w:spacing w:before="161" w:after="0" w:line="240" w:lineRule="auto"/>
        <w:ind w:left="1100" w:leftChars="0" w:right="0" w:rightChars="0"/>
        <w:jc w:val="left"/>
        <w:rPr>
          <w:color w:val="000000"/>
          <w:sz w:val="24"/>
        </w:rPr>
      </w:pPr>
      <w:r>
        <w:rPr>
          <w:rFonts w:hint="eastAsia" w:ascii="宋体" w:hAnsi="宋体" w:eastAsia="宋体" w:cs="宋体"/>
          <w:color w:val="000000"/>
          <w:spacing w:val="-7"/>
          <w:sz w:val="24"/>
          <w:lang w:eastAsia="zh-CN"/>
        </w:rPr>
        <w:t>凭证）</w:t>
      </w:r>
      <w:r>
        <w:rPr>
          <w:rFonts w:ascii="宋体" w:hAnsi="宋体" w:eastAsia="宋体" w:cs="宋体"/>
          <w:color w:val="000000"/>
          <w:spacing w:val="-7"/>
          <w:sz w:val="24"/>
        </w:rPr>
        <w:t>；</w:t>
      </w:r>
    </w:p>
    <w:p>
      <w:pPr>
        <w:pStyle w:val="5"/>
        <w:numPr>
          <w:ilvl w:val="1"/>
          <w:numId w:val="5"/>
        </w:numPr>
        <w:tabs>
          <w:tab w:val="left" w:pos="1600"/>
        </w:tabs>
        <w:spacing w:before="90" w:after="0" w:line="364" w:lineRule="auto"/>
        <w:ind w:left="637" w:right="1161" w:firstLine="480"/>
        <w:jc w:val="both"/>
      </w:pPr>
      <w:r>
        <w:t xml:space="preserve">开标现场对投标方投标资质中的所有投标资质及评标所需的资料证明等， </w:t>
      </w:r>
      <w:r>
        <w:rPr>
          <w:spacing w:val="-5"/>
        </w:rPr>
        <w:t xml:space="preserve">严格遵循“第三部分”中 </w:t>
      </w:r>
      <w:r>
        <w:t>10.8</w:t>
      </w:r>
      <w:r>
        <w:rPr>
          <w:spacing w:val="-10"/>
        </w:rPr>
        <w:t xml:space="preserve"> 条款之规定。</w:t>
      </w:r>
    </w:p>
    <w:p>
      <w:pPr>
        <w:pStyle w:val="2"/>
        <w:numPr>
          <w:ilvl w:val="1"/>
          <w:numId w:val="5"/>
        </w:numPr>
        <w:tabs>
          <w:tab w:val="left" w:pos="1598"/>
        </w:tabs>
        <w:spacing w:before="1" w:after="0" w:line="364" w:lineRule="auto"/>
        <w:ind w:left="637" w:right="1249" w:firstLine="480"/>
        <w:jc w:val="both"/>
        <w:rPr>
          <w:sz w:val="24"/>
        </w:rPr>
      </w:pPr>
      <w:r>
        <w:rPr>
          <w:rFonts w:hint="eastAsia"/>
          <w:spacing w:val="-5"/>
          <w:sz w:val="24"/>
          <w:lang w:val="en-US" w:eastAsia="zh-CN"/>
        </w:rPr>
        <w:t xml:space="preserve"> </w:t>
      </w:r>
      <w:r>
        <w:rPr>
          <w:spacing w:val="-5"/>
          <w:sz w:val="24"/>
        </w:rPr>
        <w:t>招标结束后，可根据投标方的需要退回所提供的投标资</w:t>
      </w:r>
      <w:r>
        <w:rPr>
          <w:sz w:val="24"/>
        </w:rPr>
        <w:t>质证明文件原件，但针对本招标项目的特定授权原件不予退还。</w:t>
      </w:r>
    </w:p>
    <w:p>
      <w:pPr>
        <w:pStyle w:val="2"/>
        <w:numPr>
          <w:ilvl w:val="1"/>
          <w:numId w:val="5"/>
        </w:numPr>
        <w:tabs>
          <w:tab w:val="left" w:pos="1598"/>
        </w:tabs>
        <w:spacing w:before="2" w:after="0" w:line="364" w:lineRule="auto"/>
        <w:ind w:left="637" w:right="1249" w:firstLine="480"/>
        <w:jc w:val="both"/>
        <w:rPr>
          <w:sz w:val="24"/>
        </w:rPr>
      </w:pPr>
      <w:r>
        <w:rPr>
          <w:spacing w:val="-2"/>
          <w:sz w:val="24"/>
        </w:rPr>
        <w:t>投标方保证和承诺所投产品报价不存在恶意或有意压价、恶意或有意虚报</w:t>
      </w:r>
      <w:r>
        <w:rPr>
          <w:sz w:val="24"/>
        </w:rPr>
        <w:t>报价，也不存在恶意或有意抬高报价等行为。</w:t>
      </w:r>
    </w:p>
    <w:p>
      <w:pPr>
        <w:pStyle w:val="2"/>
        <w:numPr>
          <w:ilvl w:val="1"/>
          <w:numId w:val="5"/>
        </w:numPr>
        <w:tabs>
          <w:tab w:val="left" w:pos="1598"/>
        </w:tabs>
        <w:spacing w:before="1" w:after="0" w:line="240" w:lineRule="auto"/>
        <w:ind w:left="1597" w:right="0" w:hanging="481"/>
        <w:jc w:val="both"/>
      </w:pPr>
      <w:r>
        <w:rPr>
          <w:sz w:val="24"/>
        </w:rPr>
        <w:t>投标方保证和承诺不存在与其它投标人有串标、陪标等行为。</w:t>
      </w:r>
    </w:p>
    <w:p>
      <w:pPr>
        <w:pStyle w:val="4"/>
        <w:spacing w:before="198"/>
      </w:pPr>
      <w:r>
        <w:t>第二章 投标文件的编写</w:t>
      </w:r>
    </w:p>
    <w:p>
      <w:pPr>
        <w:pStyle w:val="5"/>
        <w:numPr>
          <w:ilvl w:val="0"/>
          <w:numId w:val="7"/>
        </w:numPr>
        <w:tabs>
          <w:tab w:val="left" w:pos="1481"/>
        </w:tabs>
        <w:spacing w:before="186" w:after="0" w:line="240" w:lineRule="auto"/>
        <w:ind w:left="1481" w:right="0" w:hanging="361"/>
        <w:jc w:val="left"/>
      </w:pPr>
      <w:r>
        <w:t>要求</w:t>
      </w:r>
    </w:p>
    <w:p>
      <w:pPr>
        <w:pStyle w:val="2"/>
        <w:numPr>
          <w:ilvl w:val="1"/>
          <w:numId w:val="7"/>
        </w:numPr>
        <w:tabs>
          <w:tab w:val="left" w:pos="1598"/>
        </w:tabs>
        <w:spacing w:before="160" w:after="0" w:line="364" w:lineRule="auto"/>
        <w:ind w:left="637" w:right="1249" w:firstLine="480"/>
        <w:jc w:val="both"/>
        <w:rPr>
          <w:sz w:val="24"/>
        </w:rPr>
      </w:pPr>
      <w:r>
        <w:rPr>
          <w:spacing w:val="-4"/>
          <w:sz w:val="24"/>
        </w:rPr>
        <w:t>投标人应详细阅读招标方的招标文件中的条款、规范、表示、条件和格式等所有内容，按招标文件的要求编制投标文件和提供要求份数的投标文件，并保证</w:t>
      </w:r>
      <w:r>
        <w:rPr>
          <w:spacing w:val="-3"/>
          <w:sz w:val="24"/>
        </w:rPr>
        <w:t>所提供全部材料的真实性；投标文件必须对招标文件提出的要求和条件做出实质性</w:t>
      </w:r>
      <w:r>
        <w:rPr>
          <w:sz w:val="24"/>
        </w:rPr>
        <w:t>响应。否则，其投标可能将被拒绝。</w:t>
      </w:r>
    </w:p>
    <w:p>
      <w:pPr>
        <w:pStyle w:val="2"/>
        <w:numPr>
          <w:ilvl w:val="1"/>
          <w:numId w:val="7"/>
        </w:numPr>
        <w:tabs>
          <w:tab w:val="left" w:pos="1598"/>
        </w:tabs>
        <w:spacing w:before="2" w:after="0" w:line="364" w:lineRule="auto"/>
        <w:ind w:left="637" w:right="1226" w:firstLine="480"/>
        <w:jc w:val="both"/>
        <w:rPr>
          <w:sz w:val="24"/>
        </w:rPr>
      </w:pPr>
      <w:r>
        <w:rPr>
          <w:spacing w:val="-2"/>
          <w:sz w:val="24"/>
        </w:rPr>
        <w:t>允许投标人对招标文件中的所有包投标，也可根据本企业生产或代理产品</w:t>
      </w:r>
      <w:r>
        <w:rPr>
          <w:spacing w:val="-3"/>
          <w:sz w:val="24"/>
        </w:rPr>
        <w:t>的情况对部分包进行投标，但不允许投标人对某一包中的一项或部分项进行投标。</w:t>
      </w:r>
      <w:r>
        <w:rPr>
          <w:sz w:val="24"/>
        </w:rPr>
        <w:t>招标方可选择一家投标供应商为所有包的成交人，也可选择若干个分别中标。</w:t>
      </w:r>
    </w:p>
    <w:p>
      <w:pPr>
        <w:pStyle w:val="5"/>
        <w:numPr>
          <w:ilvl w:val="0"/>
          <w:numId w:val="7"/>
        </w:numPr>
        <w:tabs>
          <w:tab w:val="left" w:pos="1481"/>
        </w:tabs>
        <w:spacing w:before="2" w:after="0" w:line="240" w:lineRule="auto"/>
        <w:ind w:left="1481" w:right="0" w:hanging="361"/>
        <w:jc w:val="left"/>
      </w:pPr>
      <w:r>
        <w:t>投标文件语言和度量单位</w:t>
      </w:r>
    </w:p>
    <w:p>
      <w:pPr>
        <w:pStyle w:val="2"/>
        <w:numPr>
          <w:ilvl w:val="1"/>
          <w:numId w:val="7"/>
        </w:numPr>
        <w:tabs>
          <w:tab w:val="left" w:pos="1598"/>
        </w:tabs>
        <w:spacing w:before="161" w:after="0" w:line="364" w:lineRule="auto"/>
        <w:ind w:left="637" w:right="1249" w:firstLine="480"/>
        <w:jc w:val="left"/>
        <w:rPr>
          <w:sz w:val="24"/>
        </w:rPr>
      </w:pPr>
      <w:r>
        <w:rPr>
          <w:spacing w:val="-3"/>
          <w:sz w:val="24"/>
        </w:rPr>
        <w:t>招标文件及投标人和招标方就招标、投标交换的文件和往来信件，须以中</w:t>
      </w:r>
      <w:r>
        <w:rPr>
          <w:sz w:val="24"/>
        </w:rPr>
        <w:t>文书写。</w:t>
      </w:r>
    </w:p>
    <w:p>
      <w:pPr>
        <w:pStyle w:val="2"/>
        <w:numPr>
          <w:ilvl w:val="1"/>
          <w:numId w:val="7"/>
        </w:numPr>
        <w:tabs>
          <w:tab w:val="left" w:pos="1598"/>
        </w:tabs>
        <w:spacing w:before="1" w:after="0" w:line="364" w:lineRule="auto"/>
        <w:ind w:left="637" w:right="1249" w:firstLine="480"/>
        <w:jc w:val="left"/>
        <w:rPr>
          <w:sz w:val="24"/>
        </w:rPr>
      </w:pPr>
      <w:r>
        <w:rPr>
          <w:spacing w:val="-3"/>
          <w:sz w:val="24"/>
        </w:rPr>
        <w:t>除在招标文件的技术规格中另有规定外，计量单位应使用中华人民共和国</w:t>
      </w:r>
      <w:r>
        <w:rPr>
          <w:sz w:val="24"/>
        </w:rPr>
        <w:t>法定计量单位。</w:t>
      </w:r>
    </w:p>
    <w:p>
      <w:pPr>
        <w:pStyle w:val="5"/>
        <w:numPr>
          <w:ilvl w:val="0"/>
          <w:numId w:val="7"/>
        </w:numPr>
        <w:tabs>
          <w:tab w:val="left" w:pos="1481"/>
        </w:tabs>
        <w:spacing w:before="1" w:after="0" w:line="240" w:lineRule="auto"/>
        <w:ind w:left="1481" w:right="0" w:hanging="361"/>
        <w:jc w:val="left"/>
      </w:pPr>
      <w:r>
        <w:t>投标文件的组成</w:t>
      </w:r>
    </w:p>
    <w:p>
      <w:pPr>
        <w:pStyle w:val="2"/>
        <w:numPr>
          <w:ilvl w:val="1"/>
          <w:numId w:val="7"/>
        </w:numPr>
        <w:tabs>
          <w:tab w:val="left" w:pos="1598"/>
        </w:tabs>
        <w:spacing w:before="161" w:after="0" w:line="240" w:lineRule="auto"/>
        <w:ind w:left="1597" w:right="0" w:hanging="481"/>
        <w:jc w:val="both"/>
        <w:rPr>
          <w:sz w:val="24"/>
        </w:rPr>
      </w:pPr>
      <w:r>
        <w:rPr>
          <w:sz w:val="24"/>
        </w:rPr>
        <w:t>投标人编写的投标文件应包括下列内容：</w:t>
      </w:r>
    </w:p>
    <w:p>
      <w:pPr>
        <w:pStyle w:val="2"/>
        <w:numPr>
          <w:ilvl w:val="0"/>
          <w:numId w:val="8"/>
        </w:numPr>
        <w:tabs>
          <w:tab w:val="left" w:pos="1719"/>
        </w:tabs>
        <w:spacing w:before="160" w:after="0" w:line="240" w:lineRule="auto"/>
        <w:ind w:left="1718" w:right="0" w:hanging="602"/>
        <w:jc w:val="left"/>
        <w:rPr>
          <w:sz w:val="24"/>
        </w:rPr>
      </w:pPr>
      <w:r>
        <w:rPr>
          <w:sz w:val="24"/>
        </w:rPr>
        <w:t>投标书、开标一览表、投标报价表；</w:t>
      </w:r>
    </w:p>
    <w:p>
      <w:pPr>
        <w:pStyle w:val="2"/>
        <w:numPr>
          <w:ilvl w:val="0"/>
          <w:numId w:val="8"/>
        </w:numPr>
        <w:tabs>
          <w:tab w:val="left" w:pos="1719"/>
        </w:tabs>
        <w:spacing w:before="161" w:after="0" w:line="240" w:lineRule="auto"/>
        <w:ind w:left="1718" w:right="0" w:hanging="602"/>
        <w:jc w:val="left"/>
        <w:rPr>
          <w:sz w:val="24"/>
        </w:rPr>
      </w:pPr>
      <w:r>
        <w:rPr>
          <w:sz w:val="24"/>
        </w:rPr>
        <w:t>投标资格证明文件；</w:t>
      </w:r>
    </w:p>
    <w:p>
      <w:pPr>
        <w:pStyle w:val="2"/>
        <w:numPr>
          <w:ilvl w:val="0"/>
          <w:numId w:val="8"/>
        </w:numPr>
        <w:tabs>
          <w:tab w:val="left" w:pos="1719"/>
        </w:tabs>
        <w:spacing w:before="160" w:after="0" w:line="240" w:lineRule="auto"/>
        <w:ind w:left="1718" w:right="0" w:hanging="602"/>
        <w:jc w:val="left"/>
        <w:rPr>
          <w:sz w:val="24"/>
        </w:rPr>
      </w:pPr>
      <w:r>
        <w:rPr>
          <w:sz w:val="24"/>
        </w:rPr>
        <w:t>所投产品（设备）或软件的相关技术/证明资料；</w:t>
      </w:r>
      <w:r>
        <w:rPr>
          <w:color w:val="auto"/>
          <w:sz w:val="24"/>
        </w:rPr>
        <w:t>所投实物彩图</w:t>
      </w:r>
      <w:r>
        <w:rPr>
          <w:sz w:val="24"/>
        </w:rPr>
        <w:t>。</w:t>
      </w:r>
    </w:p>
    <w:p>
      <w:pPr>
        <w:pStyle w:val="2"/>
        <w:numPr>
          <w:ilvl w:val="0"/>
          <w:numId w:val="8"/>
        </w:numPr>
        <w:tabs>
          <w:tab w:val="left" w:pos="1719"/>
        </w:tabs>
        <w:spacing w:before="161" w:after="0" w:line="240" w:lineRule="auto"/>
        <w:ind w:left="1718" w:right="0" w:hanging="602"/>
        <w:jc w:val="left"/>
        <w:rPr>
          <w:sz w:val="24"/>
        </w:rPr>
      </w:pPr>
      <w:r>
        <w:rPr>
          <w:sz w:val="24"/>
        </w:rPr>
        <w:t>投标保证金；</w:t>
      </w:r>
    </w:p>
    <w:p>
      <w:pPr>
        <w:pStyle w:val="2"/>
        <w:numPr>
          <w:ilvl w:val="0"/>
          <w:numId w:val="8"/>
        </w:numPr>
        <w:tabs>
          <w:tab w:val="left" w:pos="1725"/>
        </w:tabs>
        <w:spacing w:before="90" w:after="0" w:line="364" w:lineRule="auto"/>
        <w:ind w:left="637" w:right="1248" w:firstLine="480"/>
        <w:jc w:val="left"/>
        <w:rPr>
          <w:sz w:val="24"/>
        </w:rPr>
      </w:pPr>
      <w:r>
        <w:rPr>
          <w:sz w:val="24"/>
        </w:rPr>
        <w:t>招标文件中货物需求及技术规格、合同特殊条款中要求提交的文件、资料等。</w:t>
      </w:r>
    </w:p>
    <w:p>
      <w:pPr>
        <w:pStyle w:val="2"/>
        <w:numPr>
          <w:ilvl w:val="0"/>
          <w:numId w:val="8"/>
        </w:numPr>
        <w:tabs>
          <w:tab w:val="left" w:pos="1719"/>
        </w:tabs>
        <w:spacing w:before="1" w:after="0" w:line="364" w:lineRule="auto"/>
        <w:ind w:left="1120" w:right="2786" w:hanging="3"/>
        <w:jc w:val="left"/>
        <w:rPr>
          <w:b/>
          <w:sz w:val="24"/>
        </w:rPr>
      </w:pPr>
      <w:r>
        <w:rPr>
          <w:spacing w:val="-1"/>
          <w:sz w:val="24"/>
        </w:rPr>
        <w:t>具体编制顺序严格按附件中投标文件编制顺序进行装订。</w:t>
      </w:r>
      <w:r>
        <w:rPr>
          <w:b/>
          <w:sz w:val="24"/>
        </w:rPr>
        <w:t>5．投标文件格式</w:t>
      </w:r>
    </w:p>
    <w:p>
      <w:pPr>
        <w:pStyle w:val="10"/>
        <w:spacing w:line="364" w:lineRule="auto"/>
        <w:ind w:right="1129" w:firstLine="482"/>
      </w:pPr>
      <w:r>
        <w:t>5.1</w:t>
      </w:r>
      <w:r>
        <w:rPr>
          <w:spacing w:val="-1"/>
        </w:rPr>
        <w:t xml:space="preserve"> 投标方应按招标文件范本格式中提供的投标文件格式认真填写投标书、开</w:t>
      </w:r>
      <w:r>
        <w:rPr>
          <w:spacing w:val="-13"/>
        </w:rPr>
        <w:t>标一览表、投标表等，并注明投标货物的名称、货物简介、原产地、数量和价格等。</w:t>
      </w:r>
    </w:p>
    <w:p>
      <w:pPr>
        <w:pStyle w:val="5"/>
        <w:numPr>
          <w:ilvl w:val="0"/>
          <w:numId w:val="9"/>
        </w:numPr>
        <w:tabs>
          <w:tab w:val="left" w:pos="1481"/>
        </w:tabs>
        <w:spacing w:before="1" w:after="0" w:line="240" w:lineRule="auto"/>
        <w:ind w:left="1481" w:right="0" w:hanging="361"/>
        <w:jc w:val="left"/>
      </w:pPr>
      <w:r>
        <w:t>投标报价</w:t>
      </w:r>
    </w:p>
    <w:p>
      <w:pPr>
        <w:pStyle w:val="2"/>
        <w:numPr>
          <w:ilvl w:val="1"/>
          <w:numId w:val="9"/>
        </w:numPr>
        <w:tabs>
          <w:tab w:val="left" w:pos="1600"/>
        </w:tabs>
        <w:spacing w:before="161" w:after="0" w:line="364" w:lineRule="auto"/>
        <w:ind w:left="637" w:right="1226" w:firstLine="482"/>
        <w:jc w:val="both"/>
        <w:rPr>
          <w:sz w:val="24"/>
        </w:rPr>
      </w:pPr>
      <w:r>
        <w:rPr>
          <w:spacing w:val="-2"/>
          <w:sz w:val="24"/>
        </w:rPr>
        <w:t>投标方须在投标报价表上标明单价和总价。如单价和总价不符，以单价累</w:t>
      </w:r>
      <w:r>
        <w:rPr>
          <w:spacing w:val="-5"/>
          <w:sz w:val="24"/>
        </w:rPr>
        <w:t>计为准。小写和大写不符，以大写为准。投标方如果不同意上述修改原则，其投标</w:t>
      </w:r>
      <w:r>
        <w:rPr>
          <w:spacing w:val="-6"/>
          <w:sz w:val="24"/>
        </w:rPr>
        <w:t xml:space="preserve">将被拒绝。投标方应标明其提供的所有货物及其相关工作范围内所有费用的总价， </w:t>
      </w:r>
      <w:r>
        <w:rPr>
          <w:sz w:val="24"/>
        </w:rPr>
        <w:t>招标方不接受有任何选择性的报价。</w:t>
      </w:r>
    </w:p>
    <w:p>
      <w:pPr>
        <w:pStyle w:val="2"/>
        <w:numPr>
          <w:ilvl w:val="1"/>
          <w:numId w:val="10"/>
        </w:numPr>
        <w:tabs>
          <w:tab w:val="left" w:pos="1720"/>
        </w:tabs>
        <w:spacing w:before="2" w:after="0" w:line="240" w:lineRule="auto"/>
        <w:ind w:left="1720" w:right="0" w:hanging="600"/>
        <w:jc w:val="both"/>
        <w:rPr>
          <w:sz w:val="24"/>
        </w:rPr>
      </w:pPr>
      <w:r>
        <w:rPr>
          <w:sz w:val="24"/>
        </w:rPr>
        <w:t>投标时应注意下列几点：</w:t>
      </w:r>
    </w:p>
    <w:p>
      <w:pPr>
        <w:pStyle w:val="2"/>
        <w:numPr>
          <w:ilvl w:val="2"/>
          <w:numId w:val="10"/>
        </w:numPr>
        <w:tabs>
          <w:tab w:val="left" w:pos="1840"/>
        </w:tabs>
        <w:spacing w:before="161" w:after="0" w:line="240" w:lineRule="auto"/>
        <w:ind w:left="1840" w:right="0" w:hanging="720"/>
        <w:jc w:val="both"/>
        <w:rPr>
          <w:sz w:val="24"/>
        </w:rPr>
      </w:pPr>
      <w:r>
        <w:rPr>
          <w:sz w:val="24"/>
        </w:rPr>
        <w:t>招标文件中特别要求的备品备件、易损件和专用工具的费用；</w:t>
      </w:r>
    </w:p>
    <w:p>
      <w:pPr>
        <w:pStyle w:val="2"/>
        <w:numPr>
          <w:ilvl w:val="2"/>
          <w:numId w:val="10"/>
        </w:numPr>
        <w:tabs>
          <w:tab w:val="left" w:pos="1840"/>
        </w:tabs>
        <w:spacing w:before="160" w:after="0" w:line="364" w:lineRule="auto"/>
        <w:ind w:left="637" w:right="1245" w:firstLine="482"/>
        <w:jc w:val="both"/>
        <w:rPr>
          <w:sz w:val="24"/>
        </w:rPr>
      </w:pPr>
      <w:r>
        <w:rPr>
          <w:spacing w:val="-5"/>
          <w:sz w:val="24"/>
        </w:rPr>
        <w:t>招标文件中特别要求的安装、调试、培训、运输、保险及其它附带服务</w:t>
      </w:r>
      <w:r>
        <w:rPr>
          <w:sz w:val="24"/>
        </w:rPr>
        <w:t>的全部费用；</w:t>
      </w:r>
    </w:p>
    <w:p>
      <w:pPr>
        <w:pStyle w:val="2"/>
        <w:numPr>
          <w:ilvl w:val="2"/>
          <w:numId w:val="10"/>
        </w:numPr>
        <w:tabs>
          <w:tab w:val="left" w:pos="1840"/>
        </w:tabs>
        <w:spacing w:before="2" w:after="0" w:line="364" w:lineRule="auto"/>
        <w:ind w:left="637" w:right="1249" w:firstLine="482"/>
        <w:jc w:val="both"/>
        <w:rPr>
          <w:sz w:val="24"/>
        </w:rPr>
      </w:pPr>
      <w:r>
        <w:rPr>
          <w:spacing w:val="-3"/>
          <w:sz w:val="24"/>
        </w:rPr>
        <w:t>投标人提供的在中华人民共和国制造的货物，或已在境内的、国外生产</w:t>
      </w:r>
      <w:r>
        <w:rPr>
          <w:spacing w:val="-6"/>
          <w:sz w:val="24"/>
        </w:rPr>
        <w:t>的、已经进口货物，其货物的投标价即交货价中，包括制造、组装该货物所使用的</w:t>
      </w:r>
      <w:r>
        <w:rPr>
          <w:sz w:val="24"/>
        </w:rPr>
        <w:t>零部件及原材料已付的全部关税、销售税和其他税。</w:t>
      </w:r>
    </w:p>
    <w:p>
      <w:pPr>
        <w:pStyle w:val="5"/>
        <w:numPr>
          <w:ilvl w:val="0"/>
          <w:numId w:val="9"/>
        </w:numPr>
        <w:tabs>
          <w:tab w:val="left" w:pos="1481"/>
        </w:tabs>
        <w:spacing w:before="1" w:after="0" w:line="240" w:lineRule="auto"/>
        <w:ind w:left="1481" w:right="0" w:hanging="361"/>
        <w:jc w:val="left"/>
      </w:pPr>
      <w:r>
        <w:t>投标报价的货币单位</w:t>
      </w:r>
    </w:p>
    <w:p>
      <w:pPr>
        <w:pStyle w:val="2"/>
        <w:numPr>
          <w:ilvl w:val="1"/>
          <w:numId w:val="9"/>
        </w:numPr>
        <w:tabs>
          <w:tab w:val="left" w:pos="1600"/>
        </w:tabs>
        <w:spacing w:before="161" w:after="0" w:line="364" w:lineRule="auto"/>
        <w:ind w:left="1120" w:right="1705" w:firstLine="0"/>
        <w:jc w:val="left"/>
        <w:rPr>
          <w:b/>
          <w:sz w:val="24"/>
        </w:rPr>
      </w:pPr>
      <w:r>
        <w:rPr>
          <w:spacing w:val="-1"/>
          <w:sz w:val="24"/>
        </w:rPr>
        <w:t>投标报价单位为人民币。对进口设备的报价也应以人民币进行报价。</w:t>
      </w:r>
      <w:r>
        <w:rPr>
          <w:b/>
          <w:sz w:val="24"/>
        </w:rPr>
        <w:t>8．投标文件规定的技术响应文件</w:t>
      </w:r>
    </w:p>
    <w:p>
      <w:pPr>
        <w:pStyle w:val="2"/>
        <w:numPr>
          <w:ilvl w:val="1"/>
          <w:numId w:val="11"/>
        </w:numPr>
        <w:tabs>
          <w:tab w:val="left" w:pos="1600"/>
        </w:tabs>
        <w:spacing w:before="1" w:after="0" w:line="364" w:lineRule="auto"/>
        <w:ind w:left="637" w:right="1249" w:firstLine="482"/>
        <w:jc w:val="left"/>
        <w:rPr>
          <w:sz w:val="24"/>
        </w:rPr>
      </w:pPr>
      <w:r>
        <w:rPr>
          <w:spacing w:val="-2"/>
          <w:sz w:val="24"/>
        </w:rPr>
        <w:t>投标方须提交证明拟供货物和服务符合招标文件规定的技术响应文件，作</w:t>
      </w:r>
      <w:r>
        <w:rPr>
          <w:sz w:val="24"/>
        </w:rPr>
        <w:t>为投标文件的一部分。</w:t>
      </w:r>
    </w:p>
    <w:p>
      <w:pPr>
        <w:pStyle w:val="2"/>
        <w:numPr>
          <w:ilvl w:val="1"/>
          <w:numId w:val="11"/>
        </w:numPr>
        <w:tabs>
          <w:tab w:val="left" w:pos="1600"/>
        </w:tabs>
        <w:spacing w:before="1" w:after="0" w:line="240" w:lineRule="auto"/>
        <w:ind w:left="1600" w:right="0" w:hanging="480"/>
        <w:jc w:val="left"/>
        <w:rPr>
          <w:sz w:val="24"/>
        </w:rPr>
      </w:pPr>
      <w:r>
        <w:rPr>
          <w:sz w:val="24"/>
        </w:rPr>
        <w:t>上述文件可以是文字资料、图纸和数据，并提供：</w:t>
      </w:r>
    </w:p>
    <w:p>
      <w:pPr>
        <w:pStyle w:val="2"/>
        <w:numPr>
          <w:ilvl w:val="0"/>
          <w:numId w:val="12"/>
        </w:numPr>
        <w:tabs>
          <w:tab w:val="left" w:pos="1721"/>
        </w:tabs>
        <w:spacing w:before="161" w:after="0" w:line="240" w:lineRule="auto"/>
        <w:ind w:left="1721" w:right="0" w:hanging="601"/>
        <w:jc w:val="left"/>
        <w:rPr>
          <w:sz w:val="24"/>
        </w:rPr>
      </w:pPr>
      <w:r>
        <w:rPr>
          <w:sz w:val="24"/>
        </w:rPr>
        <w:t>货物主要技术及性能特点的详细描述；</w:t>
      </w:r>
    </w:p>
    <w:p>
      <w:pPr>
        <w:pStyle w:val="2"/>
        <w:numPr>
          <w:ilvl w:val="0"/>
          <w:numId w:val="12"/>
        </w:numPr>
        <w:tabs>
          <w:tab w:val="left" w:pos="1721"/>
        </w:tabs>
        <w:spacing w:before="160" w:after="0" w:line="240" w:lineRule="auto"/>
        <w:ind w:left="1721" w:right="0" w:hanging="601"/>
        <w:jc w:val="left"/>
        <w:rPr>
          <w:sz w:val="24"/>
        </w:rPr>
      </w:pPr>
      <w:r>
        <w:rPr>
          <w:sz w:val="24"/>
        </w:rPr>
        <w:t>货物主要部件的详细资料，包括检验报告等；</w:t>
      </w:r>
    </w:p>
    <w:p>
      <w:pPr>
        <w:pStyle w:val="2"/>
        <w:numPr>
          <w:ilvl w:val="0"/>
          <w:numId w:val="12"/>
        </w:numPr>
        <w:tabs>
          <w:tab w:val="left" w:pos="1728"/>
        </w:tabs>
        <w:spacing w:before="161" w:after="0" w:line="364" w:lineRule="auto"/>
        <w:ind w:left="637" w:right="1248" w:firstLine="482"/>
        <w:jc w:val="left"/>
        <w:rPr>
          <w:sz w:val="24"/>
        </w:rPr>
      </w:pPr>
      <w:r>
        <w:rPr>
          <w:sz w:val="24"/>
        </w:rPr>
        <w:t>一份在技术规格中规定的保证货物正常和连续运转期间所需要的所有备件和专业工具的详细清单包括价格及供货来源信息。</w:t>
      </w:r>
    </w:p>
    <w:p>
      <w:pPr>
        <w:pStyle w:val="2"/>
        <w:numPr>
          <w:ilvl w:val="0"/>
          <w:numId w:val="12"/>
        </w:numPr>
        <w:tabs>
          <w:tab w:val="left" w:pos="1721"/>
        </w:tabs>
        <w:spacing w:before="1" w:after="0" w:line="240" w:lineRule="auto"/>
        <w:ind w:left="1721" w:right="0" w:hanging="601"/>
        <w:jc w:val="left"/>
        <w:rPr>
          <w:sz w:val="24"/>
        </w:rPr>
      </w:pPr>
      <w:r>
        <w:rPr>
          <w:sz w:val="24"/>
        </w:rPr>
        <w:t>规格、技术参数偏离表（见附件）</w:t>
      </w:r>
    </w:p>
    <w:p>
      <w:pPr>
        <w:pStyle w:val="10"/>
        <w:spacing w:before="90" w:line="364" w:lineRule="auto"/>
        <w:ind w:right="1249" w:firstLine="482"/>
      </w:pPr>
      <w:r>
        <w:rPr>
          <w:spacing w:val="-3"/>
        </w:rPr>
        <w:t>没有按要求提供资料或提供资料不完全的，将视为对招标文件没有做出实质性</w:t>
      </w:r>
      <w:r>
        <w:t>响应，其风险由投标人自行承担。</w:t>
      </w:r>
    </w:p>
    <w:p>
      <w:pPr>
        <w:pStyle w:val="5"/>
        <w:numPr>
          <w:ilvl w:val="0"/>
          <w:numId w:val="13"/>
        </w:numPr>
        <w:tabs>
          <w:tab w:val="left" w:pos="1481"/>
        </w:tabs>
        <w:spacing w:before="1" w:after="0" w:line="240" w:lineRule="auto"/>
        <w:ind w:left="1481" w:right="0" w:hanging="361"/>
        <w:jc w:val="left"/>
      </w:pPr>
      <w:r>
        <w:rPr>
          <w:w w:val="95"/>
        </w:rPr>
        <w:t>投标有效期</w:t>
      </w:r>
    </w:p>
    <w:p>
      <w:pPr>
        <w:pStyle w:val="10"/>
        <w:spacing w:before="90" w:line="364" w:lineRule="auto"/>
        <w:ind w:right="1249" w:firstLine="482"/>
        <w:rPr>
          <w:rFonts w:hint="eastAsia"/>
          <w:spacing w:val="-3"/>
        </w:rPr>
      </w:pPr>
      <w:r>
        <w:rPr>
          <w:rFonts w:hint="eastAsia"/>
          <w:spacing w:val="-3"/>
        </w:rPr>
        <w:t>10.1　投标文件应清楚工整，一般不准修改。个别非实质性修改之处必须由投标人的法定代表人（负责人）或经其正式授权的代表在修改的每一页上签字或盖投标单位公章后才有效。</w:t>
      </w:r>
    </w:p>
    <w:p>
      <w:pPr>
        <w:pStyle w:val="10"/>
        <w:spacing w:before="90" w:line="364" w:lineRule="auto"/>
        <w:ind w:right="1249" w:firstLine="482"/>
        <w:rPr>
          <w:rFonts w:hint="eastAsia"/>
          <w:spacing w:val="-3"/>
        </w:rPr>
      </w:pPr>
      <w:r>
        <w:rPr>
          <w:rFonts w:hint="eastAsia"/>
          <w:spacing w:val="-3"/>
        </w:rPr>
        <w:t>10.2　投标文件应由法人代表或法人授权代表在每一页逐一签署或加盖单位公章，投标文件方为有效。</w:t>
      </w:r>
    </w:p>
    <w:p>
      <w:pPr>
        <w:pStyle w:val="2"/>
        <w:numPr>
          <w:ilvl w:val="0"/>
          <w:numId w:val="0"/>
        </w:numPr>
        <w:tabs>
          <w:tab w:val="left" w:pos="1720"/>
        </w:tabs>
        <w:spacing w:before="1" w:after="0" w:line="364" w:lineRule="auto"/>
        <w:ind w:right="1245" w:rightChars="0" w:firstLine="936" w:firstLineChars="400"/>
        <w:jc w:val="both"/>
        <w:rPr>
          <w:rFonts w:hint="eastAsia" w:ascii="宋体" w:hAnsi="宋体" w:eastAsia="宋体" w:cs="宋体"/>
          <w:spacing w:val="-3"/>
          <w:sz w:val="24"/>
          <w:szCs w:val="24"/>
          <w:lang w:val="zh-CN" w:eastAsia="zh-CN" w:bidi="zh-CN"/>
        </w:rPr>
      </w:pPr>
      <w:r>
        <w:rPr>
          <w:rFonts w:hint="eastAsia" w:ascii="宋体" w:hAnsi="宋体" w:eastAsia="宋体" w:cs="宋体"/>
          <w:spacing w:val="-3"/>
          <w:sz w:val="24"/>
          <w:szCs w:val="24"/>
          <w:lang w:val="zh-CN" w:eastAsia="zh-CN" w:bidi="zh-CN"/>
        </w:rPr>
        <w:t>10.3  电报、电话、传真、电子邮件等形式的投标概不接受。</w:t>
      </w:r>
    </w:p>
    <w:p>
      <w:pPr>
        <w:pStyle w:val="2"/>
        <w:numPr>
          <w:ilvl w:val="0"/>
          <w:numId w:val="0"/>
        </w:numPr>
        <w:tabs>
          <w:tab w:val="left" w:pos="1720"/>
        </w:tabs>
        <w:spacing w:before="1" w:after="0" w:line="364" w:lineRule="auto"/>
        <w:ind w:right="1245" w:rightChars="0" w:firstLine="964" w:firstLineChars="400"/>
        <w:jc w:val="both"/>
        <w:rPr>
          <w:b/>
          <w:sz w:val="24"/>
        </w:rPr>
      </w:pPr>
      <w:r>
        <w:rPr>
          <w:b/>
          <w:sz w:val="24"/>
        </w:rPr>
        <w:t>11．投标保证金</w:t>
      </w:r>
    </w:p>
    <w:p>
      <w:pPr>
        <w:pStyle w:val="2"/>
        <w:numPr>
          <w:ilvl w:val="1"/>
          <w:numId w:val="14"/>
        </w:numPr>
        <w:tabs>
          <w:tab w:val="left" w:pos="1720"/>
        </w:tabs>
        <w:spacing w:before="1" w:after="0" w:line="364" w:lineRule="auto"/>
        <w:ind w:left="637" w:right="1245" w:firstLine="480"/>
        <w:jc w:val="both"/>
        <w:rPr>
          <w:sz w:val="24"/>
        </w:rPr>
      </w:pPr>
      <w:r>
        <w:rPr>
          <w:sz w:val="24"/>
        </w:rPr>
        <w:t>投标保证金是为了弥补招标方因供应商的违规行为而蒙受的损失。招标</w:t>
      </w:r>
      <w:r>
        <w:rPr>
          <w:spacing w:val="3"/>
          <w:sz w:val="24"/>
        </w:rPr>
        <w:t>方在因供应商的违规行为而受到损害时将没收其投标保证金，作为所受损害的补偿。</w:t>
      </w:r>
    </w:p>
    <w:p>
      <w:pPr>
        <w:pStyle w:val="2"/>
        <w:numPr>
          <w:ilvl w:val="1"/>
          <w:numId w:val="14"/>
        </w:numPr>
        <w:tabs>
          <w:tab w:val="left" w:pos="1720"/>
        </w:tabs>
        <w:spacing w:before="2" w:after="0" w:line="364" w:lineRule="auto"/>
        <w:ind w:left="637" w:right="1248" w:firstLine="480"/>
        <w:jc w:val="both"/>
        <w:rPr>
          <w:sz w:val="24"/>
        </w:rPr>
      </w:pPr>
      <w:r>
        <w:rPr>
          <w:sz w:val="24"/>
        </w:rPr>
        <w:t>供应商在提交投标文件时应交纳投标保证金，其有效期应不低于投标有效期。</w:t>
      </w:r>
    </w:p>
    <w:p>
      <w:pPr>
        <w:pageBreakBefore w:val="0"/>
        <w:widowControl w:val="0"/>
        <w:kinsoku/>
        <w:wordWrap/>
        <w:overflowPunct/>
        <w:topLinePunct w:val="0"/>
        <w:autoSpaceDE w:val="0"/>
        <w:autoSpaceDN w:val="0"/>
        <w:bidi w:val="0"/>
        <w:adjustRightInd w:val="0"/>
        <w:snapToGrid/>
        <w:spacing w:line="360" w:lineRule="auto"/>
        <w:ind w:left="722" w:leftChars="328" w:firstLine="67" w:firstLineChars="28"/>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en-US" w:eastAsia="zh-CN" w:bidi="zh-CN"/>
        </w:rPr>
        <w:t>1</w:t>
      </w:r>
      <w:r>
        <w:rPr>
          <w:rFonts w:hint="eastAsia" w:ascii="宋体" w:hAnsi="宋体" w:eastAsia="宋体" w:cs="宋体"/>
          <w:b/>
          <w:bCs/>
          <w:sz w:val="24"/>
          <w:szCs w:val="22"/>
          <w:lang w:val="zh-CN" w:eastAsia="zh-CN" w:bidi="zh-CN"/>
        </w:rPr>
        <w:t>.3  投标保证金按招标文件要求，在投标截止时间前将本项目投标保证金交</w:t>
      </w:r>
    </w:p>
    <w:p>
      <w:pPr>
        <w:pageBreakBefore w:val="0"/>
        <w:widowControl w:val="0"/>
        <w:kinsoku/>
        <w:wordWrap/>
        <w:overflowPunct/>
        <w:topLinePunct w:val="0"/>
        <w:autoSpaceDE w:val="0"/>
        <w:autoSpaceDN w:val="0"/>
        <w:bidi w:val="0"/>
        <w:adjustRightInd w:val="0"/>
        <w:snapToGrid/>
        <w:spacing w:line="360" w:lineRule="auto"/>
        <w:ind w:left="722" w:leftChars="328" w:firstLine="67" w:firstLineChars="28"/>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与招标代理公司</w:t>
      </w:r>
    </w:p>
    <w:p>
      <w:pPr>
        <w:pageBreakBefore w:val="0"/>
        <w:widowControl w:val="0"/>
        <w:kinsoku/>
        <w:wordWrap/>
        <w:overflowPunct/>
        <w:topLinePunct w:val="0"/>
        <w:autoSpaceDE w:val="0"/>
        <w:autoSpaceDN w:val="0"/>
        <w:bidi w:val="0"/>
        <w:adjustRightInd w:val="0"/>
        <w:snapToGrid/>
        <w:spacing w:line="360" w:lineRule="auto"/>
        <w:ind w:left="970" w:leftChars="328" w:hanging="248" w:hangingChars="103"/>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投标保证金提交形式：转  账</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投标保证金金额：第一包：100000元（拾万元整），第二包：叁万元整（叁万元整）</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 xml:space="preserve">     第三包：35000（叁万伍仟元整），第四包：10000（壹万元整）</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帐户名称: 新疆正聚方企业管理咨询有限公司</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开户行：中国邮政储蓄银行股份有限公司巴音郭楞蒙古自治州分行</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hint="eastAsia"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账  号：965009010002716671</w:t>
      </w:r>
    </w:p>
    <w:p>
      <w:pPr>
        <w:pageBreakBefore w:val="0"/>
        <w:widowControl w:val="0"/>
        <w:kinsoku/>
        <w:wordWrap/>
        <w:overflowPunct/>
        <w:topLinePunct w:val="0"/>
        <w:autoSpaceDE w:val="0"/>
        <w:autoSpaceDN w:val="0"/>
        <w:bidi w:val="0"/>
        <w:adjustRightInd w:val="0"/>
        <w:snapToGrid/>
        <w:spacing w:line="360" w:lineRule="auto"/>
        <w:ind w:left="220" w:leftChars="100" w:firstLine="472" w:firstLineChars="196"/>
        <w:textAlignment w:val="auto"/>
        <w:rPr>
          <w:rFonts w:ascii="宋体" w:hAnsi="宋体" w:eastAsia="宋体" w:cs="宋体"/>
          <w:b/>
          <w:bCs/>
          <w:sz w:val="24"/>
          <w:szCs w:val="22"/>
          <w:lang w:val="zh-CN" w:eastAsia="zh-CN" w:bidi="zh-CN"/>
        </w:rPr>
      </w:pPr>
      <w:r>
        <w:rPr>
          <w:rFonts w:hint="eastAsia" w:ascii="宋体" w:hAnsi="宋体" w:eastAsia="宋体" w:cs="宋体"/>
          <w:b/>
          <w:bCs/>
          <w:sz w:val="24"/>
          <w:szCs w:val="22"/>
          <w:lang w:val="zh-CN" w:eastAsia="zh-CN" w:bidi="zh-CN"/>
        </w:rPr>
        <w:t>备  注：</w:t>
      </w:r>
    </w:p>
    <w:p>
      <w:pPr>
        <w:pageBreakBefore w:val="0"/>
        <w:widowControl w:val="0"/>
        <w:kinsoku/>
        <w:wordWrap/>
        <w:overflowPunct/>
        <w:topLinePunct w:val="0"/>
        <w:autoSpaceDE w:val="0"/>
        <w:autoSpaceDN w:val="0"/>
        <w:bidi w:val="0"/>
        <w:adjustRightInd w:val="0"/>
        <w:snapToGrid/>
        <w:spacing w:line="360" w:lineRule="auto"/>
        <w:ind w:left="220" w:leftChars="100" w:firstLine="480"/>
        <w:textAlignment w:val="auto"/>
        <w:rPr>
          <w:rFonts w:ascii="宋体" w:hAnsi="宋体" w:eastAsia="宋体" w:cs="宋体"/>
          <w:b/>
          <w:bCs/>
          <w:sz w:val="24"/>
          <w:szCs w:val="22"/>
          <w:lang w:val="zh-CN" w:eastAsia="zh-CN" w:bidi="zh-CN"/>
        </w:rPr>
      </w:pPr>
      <w:r>
        <w:rPr>
          <w:rFonts w:ascii="宋体" w:hAnsi="宋体" w:eastAsia="宋体" w:cs="宋体"/>
          <w:b/>
          <w:bCs/>
          <w:sz w:val="24"/>
          <w:szCs w:val="22"/>
          <w:lang w:val="zh-CN" w:eastAsia="zh-CN" w:bidi="zh-CN"/>
        </w:rPr>
        <w:t>1</w:t>
      </w:r>
      <w:r>
        <w:rPr>
          <w:rFonts w:hint="eastAsia" w:ascii="宋体" w:hAnsi="宋体" w:eastAsia="宋体" w:cs="宋体"/>
          <w:b/>
          <w:bCs/>
          <w:sz w:val="24"/>
          <w:szCs w:val="22"/>
          <w:lang w:val="zh-CN" w:eastAsia="zh-CN" w:bidi="zh-CN"/>
        </w:rPr>
        <w:t>、投标保证金的缴纳应采用银行转账的形式从投标人的基本账户办理。</w:t>
      </w:r>
    </w:p>
    <w:p>
      <w:pPr>
        <w:pageBreakBefore w:val="0"/>
        <w:widowControl w:val="0"/>
        <w:kinsoku/>
        <w:wordWrap/>
        <w:overflowPunct/>
        <w:topLinePunct w:val="0"/>
        <w:autoSpaceDE w:val="0"/>
        <w:autoSpaceDN w:val="0"/>
        <w:bidi w:val="0"/>
        <w:adjustRightInd w:val="0"/>
        <w:snapToGrid/>
        <w:spacing w:line="360" w:lineRule="auto"/>
        <w:ind w:left="220" w:leftChars="100" w:firstLine="480"/>
        <w:textAlignment w:val="auto"/>
        <w:rPr>
          <w:rFonts w:hint="eastAsia" w:ascii="宋体" w:hAnsi="宋体" w:eastAsia="宋体" w:cs="宋体"/>
          <w:b/>
          <w:bCs/>
          <w:sz w:val="24"/>
          <w:szCs w:val="22"/>
          <w:lang w:val="zh-CN" w:eastAsia="zh-CN" w:bidi="zh-CN"/>
        </w:rPr>
      </w:pPr>
      <w:r>
        <w:rPr>
          <w:rFonts w:ascii="宋体" w:hAnsi="宋体" w:eastAsia="宋体" w:cs="宋体"/>
          <w:b/>
          <w:bCs/>
          <w:sz w:val="24"/>
          <w:szCs w:val="22"/>
          <w:lang w:val="zh-CN" w:eastAsia="zh-CN" w:bidi="zh-CN"/>
        </w:rPr>
        <w:t>2</w:t>
      </w:r>
      <w:r>
        <w:rPr>
          <w:rFonts w:hint="eastAsia" w:ascii="宋体" w:hAnsi="宋体" w:eastAsia="宋体" w:cs="宋体"/>
          <w:b/>
          <w:bCs/>
          <w:sz w:val="24"/>
          <w:szCs w:val="22"/>
          <w:lang w:val="zh-CN" w:eastAsia="zh-CN" w:bidi="zh-CN"/>
        </w:rPr>
        <w:t>、投标人需随投标文件同时提交投标保证金的银行转账凭证.</w:t>
      </w:r>
    </w:p>
    <w:p>
      <w:pPr>
        <w:pStyle w:val="10"/>
        <w:spacing w:before="90" w:line="364" w:lineRule="auto"/>
        <w:ind w:right="1129" w:firstLine="480"/>
      </w:pPr>
      <w:r>
        <w:rPr>
          <w:spacing w:val="-2"/>
        </w:rPr>
        <w:t>办理投标保证金退付手续须携带的资料：</w:t>
      </w:r>
      <w:r>
        <w:rPr>
          <w:spacing w:val="-24"/>
        </w:rPr>
        <w:t>1</w:t>
      </w:r>
      <w:r>
        <w:rPr>
          <w:spacing w:val="-9"/>
        </w:rPr>
        <w:t>、开户许可证复印件或账户信息；</w:t>
      </w:r>
      <w:r>
        <w:rPr>
          <w:spacing w:val="-24"/>
        </w:rPr>
        <w:t>2</w:t>
      </w:r>
      <w:r>
        <w:rPr>
          <w:spacing w:val="-18"/>
        </w:rPr>
        <w:t>、</w:t>
      </w:r>
      <w:r>
        <w:rPr>
          <w:rFonts w:hint="eastAsia"/>
          <w:spacing w:val="-1"/>
          <w:lang w:eastAsia="zh-CN"/>
        </w:rPr>
        <w:t>转账凭证</w:t>
      </w:r>
      <w:r>
        <w:rPr>
          <w:spacing w:val="-3"/>
        </w:rPr>
        <w:t>。请各投标供应商在开标结束后尽快携带以上资料到我公司办理退保证金事宜。</w:t>
      </w:r>
    </w:p>
    <w:p>
      <w:pPr>
        <w:pStyle w:val="2"/>
        <w:numPr>
          <w:ilvl w:val="1"/>
          <w:numId w:val="14"/>
        </w:numPr>
        <w:tabs>
          <w:tab w:val="left" w:pos="1718"/>
        </w:tabs>
        <w:spacing w:before="2" w:after="0" w:line="364" w:lineRule="auto"/>
        <w:ind w:left="637" w:right="1249" w:firstLine="480"/>
        <w:jc w:val="left"/>
        <w:rPr>
          <w:sz w:val="24"/>
        </w:rPr>
      </w:pPr>
      <w:r>
        <w:rPr>
          <w:spacing w:val="-3"/>
          <w:sz w:val="24"/>
        </w:rPr>
        <w:t>招标方应当在《中标通知书》发出后</w:t>
      </w:r>
      <w:r>
        <w:rPr>
          <w:sz w:val="24"/>
        </w:rPr>
        <w:t>5</w:t>
      </w:r>
      <w:r>
        <w:rPr>
          <w:spacing w:val="-2"/>
          <w:sz w:val="24"/>
        </w:rPr>
        <w:t>个工作日内无息退还未成交供应商</w:t>
      </w:r>
      <w:r>
        <w:rPr>
          <w:sz w:val="24"/>
        </w:rPr>
        <w:t>的投标保证金，在采购合同签订5个工作日内无息退还中标供应商的投标保证金。</w:t>
      </w:r>
    </w:p>
    <w:p>
      <w:pPr>
        <w:pStyle w:val="2"/>
        <w:numPr>
          <w:ilvl w:val="1"/>
          <w:numId w:val="14"/>
        </w:numPr>
        <w:tabs>
          <w:tab w:val="left" w:pos="1720"/>
        </w:tabs>
        <w:spacing w:before="1" w:after="0" w:line="364" w:lineRule="auto"/>
        <w:ind w:left="637" w:right="1248" w:firstLine="480"/>
        <w:jc w:val="left"/>
        <w:rPr>
          <w:sz w:val="24"/>
        </w:rPr>
      </w:pPr>
      <w:r>
        <w:rPr>
          <w:sz w:val="24"/>
        </w:rPr>
        <w:t>未按招标文件规定提交投标保证金的，招标方应当拒绝接受投标方的投标文件，视为无效投标。</w:t>
      </w:r>
    </w:p>
    <w:p>
      <w:pPr>
        <w:pStyle w:val="2"/>
        <w:numPr>
          <w:ilvl w:val="1"/>
          <w:numId w:val="14"/>
        </w:numPr>
        <w:tabs>
          <w:tab w:val="left" w:pos="1718"/>
        </w:tabs>
        <w:spacing w:before="1" w:after="0" w:line="240" w:lineRule="auto"/>
        <w:ind w:left="1717" w:right="0" w:hanging="601"/>
        <w:jc w:val="left"/>
        <w:rPr>
          <w:sz w:val="24"/>
        </w:rPr>
      </w:pPr>
      <w:r>
        <w:rPr>
          <w:sz w:val="24"/>
        </w:rPr>
        <w:t>下列任何情况发生时，投标报价保证金将被没收。</w:t>
      </w:r>
    </w:p>
    <w:p>
      <w:pPr>
        <w:pStyle w:val="2"/>
        <w:numPr>
          <w:ilvl w:val="2"/>
          <w:numId w:val="14"/>
        </w:numPr>
        <w:tabs>
          <w:tab w:val="left" w:pos="1958"/>
        </w:tabs>
        <w:spacing w:before="161" w:after="0" w:line="240" w:lineRule="auto"/>
        <w:ind w:left="1957" w:right="0" w:hanging="841"/>
        <w:jc w:val="left"/>
        <w:rPr>
          <w:sz w:val="24"/>
        </w:rPr>
      </w:pPr>
      <w:r>
        <w:rPr>
          <w:sz w:val="24"/>
        </w:rPr>
        <w:t>投标方在招标文件规定的投标有效期内撤回其投标的；</w:t>
      </w:r>
    </w:p>
    <w:p>
      <w:pPr>
        <w:pStyle w:val="2"/>
        <w:numPr>
          <w:ilvl w:val="2"/>
          <w:numId w:val="14"/>
        </w:numPr>
        <w:tabs>
          <w:tab w:val="left" w:pos="1958"/>
        </w:tabs>
        <w:spacing w:before="160" w:after="0" w:line="240" w:lineRule="auto"/>
        <w:ind w:left="1957" w:right="0" w:hanging="841"/>
        <w:jc w:val="left"/>
        <w:rPr>
          <w:sz w:val="24"/>
        </w:rPr>
      </w:pPr>
      <w:r>
        <w:rPr>
          <w:sz w:val="24"/>
        </w:rPr>
        <w:t>中标方在规定期限内未能按规定与采购人及招标方签订合同的。</w:t>
      </w:r>
    </w:p>
    <w:p>
      <w:pPr>
        <w:pStyle w:val="2"/>
        <w:numPr>
          <w:ilvl w:val="2"/>
          <w:numId w:val="14"/>
        </w:numPr>
        <w:tabs>
          <w:tab w:val="left" w:pos="1958"/>
        </w:tabs>
        <w:spacing w:before="161" w:after="0" w:line="240" w:lineRule="auto"/>
        <w:ind w:left="1957" w:right="0" w:hanging="841"/>
        <w:jc w:val="left"/>
        <w:rPr>
          <w:sz w:val="24"/>
        </w:rPr>
      </w:pPr>
      <w:r>
        <w:rPr>
          <w:sz w:val="24"/>
        </w:rPr>
        <w:t>投标人串通投标，其投标无效。</w:t>
      </w:r>
    </w:p>
    <w:p>
      <w:pPr>
        <w:pStyle w:val="4"/>
        <w:numPr>
          <w:ilvl w:val="0"/>
          <w:numId w:val="15"/>
        </w:numPr>
        <w:spacing w:before="188"/>
      </w:pPr>
      <w:r>
        <w:t>投标文件的递交</w:t>
      </w:r>
    </w:p>
    <w:p>
      <w:pPr>
        <w:spacing w:line="440" w:lineRule="exact"/>
        <w:ind w:firstLine="723" w:firstLineChars="300"/>
        <w:rPr>
          <w:rFonts w:hint="eastAsia" w:ascii="宋体" w:hAnsi="宋体" w:eastAsia="宋体" w:cs="宋体"/>
          <w:b/>
          <w:bCs/>
          <w:spacing w:val="-2"/>
          <w:sz w:val="24"/>
          <w:szCs w:val="24"/>
          <w:lang w:val="zh-CN" w:eastAsia="zh-CN" w:bidi="zh-CN"/>
        </w:rPr>
      </w:pPr>
      <w:r>
        <w:rPr>
          <w:rFonts w:ascii="仿宋" w:hAnsi="仿宋" w:eastAsia="仿宋"/>
          <w:b/>
          <w:sz w:val="24"/>
          <w:szCs w:val="24"/>
        </w:rPr>
        <w:t xml:space="preserve">12. </w:t>
      </w:r>
      <w:r>
        <w:rPr>
          <w:rFonts w:hint="eastAsia" w:ascii="宋体" w:hAnsi="宋体" w:eastAsia="宋体" w:cs="宋体"/>
          <w:b/>
          <w:bCs/>
          <w:spacing w:val="-2"/>
          <w:sz w:val="24"/>
          <w:szCs w:val="24"/>
          <w:lang w:val="zh-CN" w:eastAsia="zh-CN" w:bidi="zh-CN"/>
        </w:rPr>
        <w:t>投标文件的标记</w:t>
      </w:r>
    </w:p>
    <w:p>
      <w:pPr>
        <w:pStyle w:val="10"/>
        <w:spacing w:before="90" w:line="364" w:lineRule="auto"/>
        <w:ind w:right="1129" w:firstLine="480"/>
        <w:rPr>
          <w:spacing w:val="-2"/>
        </w:rPr>
      </w:pPr>
      <w:r>
        <w:rPr>
          <w:spacing w:val="-2"/>
        </w:rPr>
        <w:t>12.1</w:t>
      </w:r>
      <w:r>
        <w:rPr>
          <w:rFonts w:hint="eastAsia"/>
          <w:spacing w:val="-2"/>
        </w:rPr>
        <w:t>　任何不完整或不满足招标文件要求的投标文件将被拒绝。</w:t>
      </w:r>
    </w:p>
    <w:p>
      <w:pPr>
        <w:pStyle w:val="10"/>
        <w:spacing w:before="90" w:line="364" w:lineRule="auto"/>
        <w:ind w:right="1129" w:firstLine="480"/>
        <w:rPr>
          <w:spacing w:val="-2"/>
        </w:rPr>
      </w:pPr>
      <w:r>
        <w:rPr>
          <w:spacing w:val="-2"/>
        </w:rPr>
        <w:t>12.2</w:t>
      </w:r>
      <w:r>
        <w:rPr>
          <w:rFonts w:hint="eastAsia"/>
          <w:spacing w:val="-2"/>
        </w:rPr>
        <w:t>　由于不可抗拒原因或无法控制的事件而导致的丢失或损坏投标包装体内的投标文件时，招标方将不负责任。</w:t>
      </w:r>
    </w:p>
    <w:p>
      <w:pPr>
        <w:spacing w:line="440" w:lineRule="exact"/>
        <w:ind w:firstLine="723" w:firstLineChars="300"/>
        <w:rPr>
          <w:rFonts w:ascii="仿宋" w:hAnsi="仿宋" w:eastAsia="仿宋"/>
          <w:b/>
          <w:sz w:val="24"/>
          <w:szCs w:val="24"/>
        </w:rPr>
      </w:pPr>
      <w:r>
        <w:rPr>
          <w:rFonts w:ascii="仿宋" w:hAnsi="仿宋" w:eastAsia="仿宋"/>
          <w:b/>
          <w:sz w:val="24"/>
          <w:szCs w:val="24"/>
        </w:rPr>
        <w:t xml:space="preserve">13. </w:t>
      </w:r>
      <w:r>
        <w:rPr>
          <w:rFonts w:hint="eastAsia" w:ascii="宋体" w:hAnsi="宋体" w:eastAsia="宋体" w:cs="宋体"/>
          <w:b/>
          <w:bCs/>
          <w:spacing w:val="-2"/>
          <w:sz w:val="24"/>
          <w:szCs w:val="24"/>
          <w:lang w:val="zh-CN" w:eastAsia="zh-CN" w:bidi="zh-CN"/>
        </w:rPr>
        <w:t>投标截止时间</w:t>
      </w:r>
    </w:p>
    <w:p>
      <w:pPr>
        <w:pStyle w:val="10"/>
        <w:spacing w:before="90" w:line="364" w:lineRule="auto"/>
        <w:ind w:right="1129" w:firstLine="480"/>
        <w:rPr>
          <w:spacing w:val="-2"/>
        </w:rPr>
      </w:pPr>
      <w:r>
        <w:rPr>
          <w:spacing w:val="-2"/>
        </w:rPr>
        <w:t xml:space="preserve">13.1  </w:t>
      </w:r>
      <w:r>
        <w:rPr>
          <w:rFonts w:hint="eastAsia"/>
          <w:spacing w:val="-2"/>
        </w:rPr>
        <w:t>投标文件的递交不得迟于招标文件规定的截止时间，以密封形式递交至</w:t>
      </w:r>
      <w:r>
        <w:rPr>
          <w:rFonts w:hint="eastAsia"/>
          <w:spacing w:val="-2"/>
          <w:lang w:eastAsia="zh-CN"/>
        </w:rPr>
        <w:t>代理公司</w:t>
      </w:r>
      <w:r>
        <w:rPr>
          <w:rFonts w:hint="eastAsia"/>
          <w:spacing w:val="-2"/>
        </w:rPr>
        <w:t>指定开标地点。</w:t>
      </w:r>
    </w:p>
    <w:p>
      <w:pPr>
        <w:pStyle w:val="10"/>
        <w:spacing w:before="90" w:line="364" w:lineRule="auto"/>
        <w:ind w:right="1129" w:firstLine="480"/>
        <w:rPr>
          <w:spacing w:val="-2"/>
        </w:rPr>
      </w:pPr>
      <w:r>
        <w:rPr>
          <w:spacing w:val="-2"/>
        </w:rPr>
        <w:t>13.2</w:t>
      </w:r>
      <w:r>
        <w:rPr>
          <w:rFonts w:hint="eastAsia"/>
          <w:spacing w:val="-2"/>
        </w:rPr>
        <w:t>　所有投标文件不论派人送交还是通过邮寄的方式递交，都必须在招标方规定的投标截止时间之前送达招标文件指定地点，在此之后送达的投标文件，为无效投标，投标文件将一律被拒绝。</w:t>
      </w:r>
    </w:p>
    <w:p>
      <w:pPr>
        <w:pStyle w:val="10"/>
        <w:spacing w:before="90" w:line="364" w:lineRule="auto"/>
        <w:ind w:right="1129" w:firstLine="480"/>
        <w:rPr>
          <w:spacing w:val="-2"/>
        </w:rPr>
      </w:pPr>
      <w:r>
        <w:rPr>
          <w:spacing w:val="-2"/>
        </w:rPr>
        <w:t xml:space="preserve">13.3  </w:t>
      </w:r>
      <w:r>
        <w:rPr>
          <w:rFonts w:hint="eastAsia"/>
          <w:spacing w:val="-2"/>
        </w:rPr>
        <w:t>出现因招标文件的修改而推迟投标截止时间的情况时，投标人则需按招标方的书面修改通知重新规定的投标时间递交。</w:t>
      </w:r>
    </w:p>
    <w:p>
      <w:pPr>
        <w:spacing w:line="440" w:lineRule="exact"/>
        <w:ind w:firstLine="723" w:firstLineChars="300"/>
        <w:rPr>
          <w:rFonts w:hint="eastAsia" w:ascii="宋体" w:hAnsi="宋体" w:eastAsia="宋体" w:cs="宋体"/>
          <w:b/>
          <w:bCs/>
          <w:spacing w:val="-2"/>
          <w:sz w:val="24"/>
          <w:szCs w:val="24"/>
          <w:lang w:val="zh-CN" w:eastAsia="zh-CN" w:bidi="zh-CN"/>
        </w:rPr>
      </w:pPr>
      <w:r>
        <w:rPr>
          <w:rFonts w:ascii="仿宋" w:hAnsi="仿宋" w:eastAsia="仿宋"/>
          <w:b/>
          <w:sz w:val="24"/>
          <w:szCs w:val="24"/>
        </w:rPr>
        <w:t xml:space="preserve">14. </w:t>
      </w:r>
      <w:r>
        <w:rPr>
          <w:rFonts w:hint="eastAsia" w:ascii="宋体" w:hAnsi="宋体" w:eastAsia="宋体" w:cs="宋体"/>
          <w:b/>
          <w:bCs/>
          <w:spacing w:val="-2"/>
          <w:sz w:val="24"/>
          <w:szCs w:val="24"/>
          <w:lang w:val="zh-CN" w:eastAsia="zh-CN" w:bidi="zh-CN"/>
        </w:rPr>
        <w:t>投标文件解密时间</w:t>
      </w:r>
    </w:p>
    <w:p>
      <w:pPr>
        <w:pStyle w:val="10"/>
        <w:spacing w:before="90" w:line="364" w:lineRule="auto"/>
        <w:ind w:right="1129" w:firstLine="480"/>
        <w:rPr>
          <w:rFonts w:hint="eastAsia"/>
          <w:spacing w:val="-2"/>
        </w:rPr>
      </w:pPr>
      <w:r>
        <w:rPr>
          <w:rFonts w:hint="eastAsia"/>
          <w:spacing w:val="-2"/>
        </w:rPr>
        <w:t>开标时间后</w:t>
      </w:r>
      <w:r>
        <w:rPr>
          <w:rFonts w:hint="eastAsia"/>
          <w:spacing w:val="-2"/>
          <w:lang w:val="en-US" w:eastAsia="zh-CN"/>
        </w:rPr>
        <w:t>30分钟</w:t>
      </w:r>
      <w:r>
        <w:rPr>
          <w:rFonts w:hint="eastAsia"/>
          <w:spacing w:val="-2"/>
        </w:rPr>
        <w:t>内</w:t>
      </w:r>
      <w:r>
        <w:rPr>
          <w:rFonts w:hint="eastAsia"/>
          <w:color w:val="auto"/>
          <w:spacing w:val="-2"/>
        </w:rPr>
        <w:t>（202</w:t>
      </w:r>
      <w:r>
        <w:rPr>
          <w:rFonts w:hint="eastAsia"/>
          <w:color w:val="auto"/>
          <w:spacing w:val="-2"/>
          <w:lang w:val="en-US" w:eastAsia="zh-CN"/>
        </w:rPr>
        <w:t>2</w:t>
      </w:r>
      <w:r>
        <w:rPr>
          <w:rFonts w:hint="eastAsia"/>
          <w:color w:val="auto"/>
          <w:spacing w:val="-2"/>
        </w:rPr>
        <w:t>年</w:t>
      </w:r>
      <w:r>
        <w:rPr>
          <w:rFonts w:hint="eastAsia"/>
          <w:color w:val="auto"/>
          <w:spacing w:val="-2"/>
          <w:lang w:val="en-US" w:eastAsia="zh-CN"/>
        </w:rPr>
        <w:t>7</w:t>
      </w:r>
      <w:r>
        <w:rPr>
          <w:rFonts w:hint="eastAsia"/>
          <w:color w:val="auto"/>
          <w:spacing w:val="-2"/>
        </w:rPr>
        <w:t>月</w:t>
      </w:r>
      <w:r>
        <w:rPr>
          <w:rFonts w:hint="eastAsia"/>
          <w:color w:val="auto"/>
          <w:spacing w:val="-2"/>
          <w:lang w:val="en-US" w:eastAsia="zh-CN"/>
        </w:rPr>
        <w:t xml:space="preserve">18 </w:t>
      </w:r>
      <w:r>
        <w:rPr>
          <w:rFonts w:hint="eastAsia"/>
          <w:color w:val="auto"/>
          <w:spacing w:val="-2"/>
        </w:rPr>
        <w:t>日上午10:</w:t>
      </w:r>
      <w:r>
        <w:rPr>
          <w:rFonts w:hint="eastAsia"/>
          <w:color w:val="auto"/>
          <w:spacing w:val="-2"/>
          <w:lang w:val="en-US" w:eastAsia="zh-CN"/>
        </w:rPr>
        <w:t>3</w:t>
      </w:r>
      <w:r>
        <w:rPr>
          <w:rFonts w:hint="eastAsia"/>
          <w:color w:val="auto"/>
          <w:spacing w:val="-2"/>
        </w:rPr>
        <w:t>0</w:t>
      </w:r>
      <w:r>
        <w:rPr>
          <w:rFonts w:hint="eastAsia"/>
          <w:color w:val="auto"/>
          <w:spacing w:val="-2"/>
          <w:lang w:val="en-US" w:eastAsia="zh-CN"/>
        </w:rPr>
        <w:t>-11：00</w:t>
      </w:r>
      <w:r>
        <w:rPr>
          <w:rFonts w:hint="eastAsia"/>
          <w:color w:val="auto"/>
          <w:spacing w:val="-2"/>
        </w:rPr>
        <w:t>前）供应商可以登录“政采云”平台，用“项目采购-开标评标”功能进行解密投标文件。若供应商在规定时间内（202</w:t>
      </w:r>
      <w:r>
        <w:rPr>
          <w:rFonts w:hint="eastAsia"/>
          <w:color w:val="auto"/>
          <w:spacing w:val="-2"/>
          <w:lang w:val="en-US" w:eastAsia="zh-CN"/>
        </w:rPr>
        <w:t>2</w:t>
      </w:r>
      <w:r>
        <w:rPr>
          <w:rFonts w:hint="eastAsia"/>
          <w:color w:val="auto"/>
          <w:spacing w:val="-2"/>
        </w:rPr>
        <w:t>年</w:t>
      </w:r>
      <w:r>
        <w:rPr>
          <w:rFonts w:hint="eastAsia"/>
          <w:color w:val="auto"/>
          <w:spacing w:val="-2"/>
          <w:lang w:val="en-US" w:eastAsia="zh-CN"/>
        </w:rPr>
        <w:t>7</w:t>
      </w:r>
      <w:r>
        <w:rPr>
          <w:rFonts w:hint="eastAsia"/>
          <w:color w:val="auto"/>
          <w:spacing w:val="-2"/>
        </w:rPr>
        <w:t>月</w:t>
      </w:r>
      <w:r>
        <w:rPr>
          <w:rFonts w:hint="eastAsia"/>
          <w:color w:val="auto"/>
          <w:spacing w:val="-2"/>
          <w:lang w:val="en-US" w:eastAsia="zh-CN"/>
        </w:rPr>
        <w:t xml:space="preserve"> 18 </w:t>
      </w:r>
      <w:r>
        <w:rPr>
          <w:rFonts w:hint="eastAsia"/>
          <w:color w:val="auto"/>
          <w:spacing w:val="-2"/>
        </w:rPr>
        <w:t>日上午</w:t>
      </w:r>
      <w:r>
        <w:rPr>
          <w:rFonts w:hint="eastAsia"/>
          <w:color w:val="auto"/>
          <w:spacing w:val="-2"/>
          <w:lang w:val="en-US" w:eastAsia="zh-CN"/>
        </w:rPr>
        <w:t>11</w:t>
      </w:r>
      <w:r>
        <w:rPr>
          <w:rFonts w:hint="eastAsia"/>
          <w:color w:val="auto"/>
          <w:spacing w:val="-2"/>
        </w:rPr>
        <w:t>:</w:t>
      </w:r>
      <w:r>
        <w:rPr>
          <w:rFonts w:hint="eastAsia"/>
          <w:color w:val="auto"/>
          <w:spacing w:val="-2"/>
          <w:lang w:val="en-US" w:eastAsia="zh-CN"/>
        </w:rPr>
        <w:t>0</w:t>
      </w:r>
      <w:r>
        <w:rPr>
          <w:rFonts w:hint="eastAsia"/>
          <w:color w:val="auto"/>
          <w:spacing w:val="-2"/>
        </w:rPr>
        <w:t>0前）未按时解密的，视为投标文件撤回。</w:t>
      </w:r>
    </w:p>
    <w:p>
      <w:pPr>
        <w:pStyle w:val="10"/>
        <w:spacing w:before="90" w:line="364" w:lineRule="auto"/>
        <w:ind w:right="1129" w:firstLine="480"/>
        <w:rPr>
          <w:rFonts w:hint="eastAsia"/>
          <w:spacing w:val="-2"/>
        </w:rPr>
      </w:pPr>
    </w:p>
    <w:p>
      <w:pPr>
        <w:pStyle w:val="21"/>
        <w:rPr>
          <w:rFonts w:hint="eastAsia"/>
          <w:spacing w:val="-2"/>
        </w:rPr>
      </w:pPr>
    </w:p>
    <w:p>
      <w:pPr>
        <w:rPr>
          <w:rFonts w:hint="eastAsia"/>
          <w:spacing w:val="-2"/>
        </w:rPr>
      </w:pPr>
    </w:p>
    <w:p>
      <w:pPr>
        <w:pStyle w:val="7"/>
        <w:rPr>
          <w:rFonts w:hint="eastAsia"/>
          <w:spacing w:val="-2"/>
        </w:rPr>
      </w:pPr>
    </w:p>
    <w:p>
      <w:pPr>
        <w:rPr>
          <w:rFonts w:hint="eastAsia"/>
          <w:spacing w:val="-2"/>
        </w:rPr>
      </w:pPr>
    </w:p>
    <w:p>
      <w:pPr>
        <w:pStyle w:val="7"/>
        <w:rPr>
          <w:rFonts w:hint="eastAsia"/>
          <w:spacing w:val="-2"/>
        </w:rPr>
      </w:pPr>
    </w:p>
    <w:p>
      <w:pPr>
        <w:rPr>
          <w:rFonts w:hint="eastAsia"/>
          <w:spacing w:val="-2"/>
        </w:rPr>
      </w:pPr>
    </w:p>
    <w:p>
      <w:pPr>
        <w:pStyle w:val="7"/>
        <w:rPr>
          <w:rFonts w:hint="eastAsia"/>
        </w:rPr>
      </w:pPr>
    </w:p>
    <w:p>
      <w:pPr>
        <w:pStyle w:val="4"/>
      </w:pPr>
      <w:r>
        <w:t>第四章 评标委员会</w:t>
      </w:r>
    </w:p>
    <w:p>
      <w:pPr>
        <w:pStyle w:val="5"/>
        <w:spacing w:before="186"/>
        <w:ind w:left="1117"/>
      </w:pPr>
      <w:r>
        <w:t>15、评标委员会组成</w:t>
      </w:r>
    </w:p>
    <w:p>
      <w:pPr>
        <w:pStyle w:val="2"/>
        <w:numPr>
          <w:ilvl w:val="1"/>
          <w:numId w:val="16"/>
        </w:numPr>
        <w:tabs>
          <w:tab w:val="left" w:pos="1720"/>
        </w:tabs>
        <w:spacing w:before="161" w:after="0" w:line="364" w:lineRule="auto"/>
        <w:ind w:left="637" w:right="1249" w:firstLine="480"/>
        <w:jc w:val="both"/>
        <w:rPr>
          <w:sz w:val="24"/>
        </w:rPr>
      </w:pPr>
      <w:r>
        <w:rPr>
          <w:sz w:val="24"/>
        </w:rPr>
        <w:t>由招标方将根据《中华人民共和国政府采购法》规定，依法组建本次招</w:t>
      </w:r>
      <w:r>
        <w:rPr>
          <w:spacing w:val="-4"/>
          <w:sz w:val="24"/>
        </w:rPr>
        <w:t>标的评标委员会，负责组织本次招标的评标活动。评标委员会负责向招标方推荐拟</w:t>
      </w:r>
      <w:r>
        <w:rPr>
          <w:sz w:val="24"/>
        </w:rPr>
        <w:t>中标人或者根据招标方的授权直接确定中标人。</w:t>
      </w:r>
    </w:p>
    <w:p>
      <w:pPr>
        <w:pStyle w:val="10"/>
        <w:spacing w:before="2" w:line="364" w:lineRule="auto"/>
        <w:ind w:right="1249" w:firstLine="480"/>
        <w:jc w:val="both"/>
      </w:pPr>
      <w:r>
        <w:rPr>
          <w:spacing w:val="-3"/>
        </w:rPr>
        <w:t>本招标文件中所指的评标委员会及其成员，适用于公开招标和邀请招标的采购</w:t>
      </w:r>
      <w:r>
        <w:rPr>
          <w:spacing w:val="-6"/>
        </w:rPr>
        <w:t>方式。本招标文件中对评标委员会及其成员的要求，同时适用于采取邀请招标、竞</w:t>
      </w:r>
      <w:r>
        <w:t>争性谈判、询价或单一来源采购方式时依法组成的评审小组及其成员。</w:t>
      </w:r>
    </w:p>
    <w:p>
      <w:pPr>
        <w:pStyle w:val="2"/>
        <w:numPr>
          <w:ilvl w:val="1"/>
          <w:numId w:val="16"/>
        </w:numPr>
        <w:tabs>
          <w:tab w:val="left" w:pos="1720"/>
        </w:tabs>
        <w:spacing w:before="2" w:after="0" w:line="364" w:lineRule="auto"/>
        <w:ind w:left="637" w:right="1248" w:firstLine="480"/>
        <w:jc w:val="both"/>
        <w:rPr>
          <w:sz w:val="24"/>
        </w:rPr>
      </w:pPr>
      <w:r>
        <w:rPr>
          <w:sz w:val="24"/>
        </w:rPr>
        <w:t>评标委员会人选于开标前确定。评标委员会成员名单在中标结果确定前保密。</w:t>
      </w:r>
    </w:p>
    <w:p>
      <w:pPr>
        <w:pStyle w:val="2"/>
        <w:numPr>
          <w:ilvl w:val="1"/>
          <w:numId w:val="16"/>
        </w:numPr>
        <w:tabs>
          <w:tab w:val="left" w:pos="1658"/>
        </w:tabs>
        <w:spacing w:before="1" w:after="0" w:line="364" w:lineRule="auto"/>
        <w:ind w:left="637" w:right="1249" w:firstLine="480"/>
        <w:jc w:val="both"/>
        <w:rPr>
          <w:sz w:val="24"/>
        </w:rPr>
      </w:pPr>
      <w:r>
        <w:rPr>
          <w:spacing w:val="-9"/>
          <w:sz w:val="24"/>
        </w:rPr>
        <w:t>评标委员会由有关技术、经济等方面的专家和采购人熟悉相关业务的代表</w:t>
      </w:r>
      <w:r>
        <w:rPr>
          <w:spacing w:val="-5"/>
          <w:sz w:val="24"/>
        </w:rPr>
        <w:t>人员组成，成员为五人及以上的单数，其中技术、经济等方面的成员人数不少于成</w:t>
      </w:r>
      <w:r>
        <w:rPr>
          <w:sz w:val="24"/>
        </w:rPr>
        <w:t>员总数的三分之二。</w:t>
      </w:r>
    </w:p>
    <w:p>
      <w:pPr>
        <w:pStyle w:val="2"/>
        <w:numPr>
          <w:ilvl w:val="1"/>
          <w:numId w:val="16"/>
        </w:numPr>
        <w:tabs>
          <w:tab w:val="left" w:pos="1718"/>
        </w:tabs>
        <w:spacing w:before="2" w:after="0" w:line="364" w:lineRule="auto"/>
        <w:ind w:left="637" w:right="1129" w:firstLine="480"/>
        <w:jc w:val="left"/>
        <w:rPr>
          <w:sz w:val="24"/>
        </w:rPr>
      </w:pPr>
      <w:r>
        <w:rPr>
          <w:spacing w:val="-4"/>
          <w:sz w:val="24"/>
        </w:rPr>
        <w:t>按前款规定，评标委员会的成员，从专家库中采取随机抽取的方式确定。</w:t>
      </w:r>
      <w:r>
        <w:rPr>
          <w:spacing w:val="-3"/>
          <w:sz w:val="24"/>
        </w:rPr>
        <w:t>对于技术复杂、专业性要求较高或者国家有特殊要求的招标项目，抽取的专家不能满足评标工作需要时，将采取直接确定的方式选定评标委员会的人选。</w:t>
      </w:r>
    </w:p>
    <w:p>
      <w:pPr>
        <w:pStyle w:val="5"/>
        <w:numPr>
          <w:ilvl w:val="0"/>
          <w:numId w:val="17"/>
        </w:numPr>
        <w:tabs>
          <w:tab w:val="left" w:pos="1600"/>
        </w:tabs>
        <w:spacing w:before="1" w:after="0" w:line="240" w:lineRule="auto"/>
        <w:ind w:left="1600" w:right="0" w:hanging="483"/>
        <w:jc w:val="left"/>
      </w:pPr>
      <w:r>
        <w:t>评标委员会专家的条件和回避规定</w:t>
      </w:r>
    </w:p>
    <w:p>
      <w:pPr>
        <w:pStyle w:val="2"/>
        <w:numPr>
          <w:ilvl w:val="1"/>
          <w:numId w:val="17"/>
        </w:numPr>
        <w:tabs>
          <w:tab w:val="left" w:pos="1718"/>
        </w:tabs>
        <w:spacing w:before="161" w:after="0" w:line="240" w:lineRule="auto"/>
        <w:ind w:left="1717" w:right="0" w:hanging="601"/>
        <w:jc w:val="left"/>
        <w:rPr>
          <w:sz w:val="24"/>
        </w:rPr>
      </w:pPr>
      <w:r>
        <w:rPr>
          <w:sz w:val="24"/>
        </w:rPr>
        <w:t>评标委员会专家应符合下列条件：</w:t>
      </w:r>
    </w:p>
    <w:p>
      <w:pPr>
        <w:pStyle w:val="2"/>
        <w:numPr>
          <w:ilvl w:val="2"/>
          <w:numId w:val="17"/>
        </w:numPr>
        <w:tabs>
          <w:tab w:val="left" w:pos="1958"/>
        </w:tabs>
        <w:spacing w:before="160" w:after="0" w:line="240" w:lineRule="auto"/>
        <w:ind w:left="1957" w:right="0" w:hanging="841"/>
        <w:jc w:val="left"/>
        <w:rPr>
          <w:sz w:val="24"/>
        </w:rPr>
      </w:pPr>
      <w:r>
        <w:rPr>
          <w:sz w:val="24"/>
        </w:rPr>
        <w:t>熟悉有关和招标投标的法律法规；</w:t>
      </w:r>
    </w:p>
    <w:p>
      <w:pPr>
        <w:pStyle w:val="2"/>
        <w:numPr>
          <w:ilvl w:val="2"/>
          <w:numId w:val="17"/>
        </w:numPr>
        <w:tabs>
          <w:tab w:val="left" w:pos="1958"/>
        </w:tabs>
        <w:spacing w:before="161" w:after="0" w:line="240" w:lineRule="auto"/>
        <w:ind w:left="1957" w:right="0" w:hanging="841"/>
        <w:jc w:val="left"/>
        <w:rPr>
          <w:sz w:val="24"/>
        </w:rPr>
      </w:pPr>
      <w:r>
        <w:rPr>
          <w:sz w:val="24"/>
        </w:rPr>
        <w:t>在相关专业领域工作满八年并具有高级职称或者同等专业水平；</w:t>
      </w:r>
    </w:p>
    <w:p>
      <w:pPr>
        <w:pStyle w:val="2"/>
        <w:numPr>
          <w:ilvl w:val="2"/>
          <w:numId w:val="18"/>
        </w:numPr>
        <w:tabs>
          <w:tab w:val="left" w:pos="1898"/>
        </w:tabs>
        <w:spacing w:before="160" w:after="0" w:line="240" w:lineRule="auto"/>
        <w:ind w:left="1897" w:right="0" w:hanging="781"/>
        <w:jc w:val="left"/>
        <w:rPr>
          <w:sz w:val="24"/>
        </w:rPr>
      </w:pPr>
      <w:r>
        <w:rPr>
          <w:sz w:val="24"/>
        </w:rPr>
        <w:t>熟悉有关招标投标的法律法规，并具有与招标项目相关的实践经验；</w:t>
      </w:r>
    </w:p>
    <w:p>
      <w:pPr>
        <w:pStyle w:val="2"/>
        <w:numPr>
          <w:ilvl w:val="2"/>
          <w:numId w:val="18"/>
        </w:numPr>
        <w:tabs>
          <w:tab w:val="left" w:pos="1958"/>
        </w:tabs>
        <w:spacing w:before="161" w:after="0" w:line="240" w:lineRule="auto"/>
        <w:ind w:left="1957" w:right="0" w:hanging="841"/>
        <w:jc w:val="left"/>
        <w:rPr>
          <w:sz w:val="24"/>
        </w:rPr>
      </w:pPr>
      <w:r>
        <w:rPr>
          <w:sz w:val="24"/>
        </w:rPr>
        <w:t>能够认真、公正、诚实、廉洁的履行职责。</w:t>
      </w:r>
    </w:p>
    <w:p>
      <w:pPr>
        <w:pStyle w:val="2"/>
        <w:numPr>
          <w:ilvl w:val="1"/>
          <w:numId w:val="17"/>
        </w:numPr>
        <w:tabs>
          <w:tab w:val="left" w:pos="1837"/>
          <w:tab w:val="left" w:pos="1838"/>
        </w:tabs>
        <w:spacing w:before="160" w:after="0" w:line="240" w:lineRule="auto"/>
        <w:ind w:left="1837" w:right="0" w:hanging="721"/>
        <w:jc w:val="left"/>
        <w:rPr>
          <w:sz w:val="24"/>
        </w:rPr>
      </w:pPr>
      <w:r>
        <w:rPr>
          <w:sz w:val="24"/>
        </w:rPr>
        <w:t>有下列情形之一的，不得担任评标委员会成员：</w:t>
      </w:r>
    </w:p>
    <w:p>
      <w:pPr>
        <w:pStyle w:val="2"/>
        <w:numPr>
          <w:ilvl w:val="2"/>
          <w:numId w:val="17"/>
        </w:numPr>
        <w:tabs>
          <w:tab w:val="left" w:pos="1958"/>
        </w:tabs>
        <w:spacing w:before="161" w:after="0" w:line="240" w:lineRule="auto"/>
        <w:ind w:left="1957" w:right="0" w:hanging="841"/>
        <w:jc w:val="left"/>
        <w:rPr>
          <w:sz w:val="24"/>
        </w:rPr>
      </w:pPr>
      <w:r>
        <w:rPr>
          <w:sz w:val="24"/>
        </w:rPr>
        <w:t>与投标方或者投标方主要负责人有近亲关系的或有利害关系的；</w:t>
      </w:r>
    </w:p>
    <w:p>
      <w:pPr>
        <w:pStyle w:val="2"/>
        <w:numPr>
          <w:ilvl w:val="2"/>
          <w:numId w:val="17"/>
        </w:numPr>
        <w:tabs>
          <w:tab w:val="left" w:pos="1960"/>
        </w:tabs>
        <w:spacing w:before="160" w:after="0" w:line="364" w:lineRule="auto"/>
        <w:ind w:left="637" w:right="1248" w:firstLine="480"/>
        <w:jc w:val="left"/>
        <w:rPr>
          <w:sz w:val="24"/>
        </w:rPr>
      </w:pPr>
      <w:r>
        <w:rPr>
          <w:sz w:val="24"/>
        </w:rPr>
        <w:t>与项目主管部门或者行政监督部门的人员有近亲关系的或有利害关系的；</w:t>
      </w:r>
    </w:p>
    <w:p>
      <w:pPr>
        <w:pStyle w:val="2"/>
        <w:numPr>
          <w:ilvl w:val="2"/>
          <w:numId w:val="17"/>
        </w:numPr>
        <w:tabs>
          <w:tab w:val="left" w:pos="1958"/>
        </w:tabs>
        <w:spacing w:before="90" w:after="0" w:line="240" w:lineRule="auto"/>
        <w:ind w:left="1957" w:right="0" w:hanging="841"/>
        <w:jc w:val="left"/>
        <w:rPr>
          <w:sz w:val="24"/>
        </w:rPr>
      </w:pPr>
      <w:r>
        <w:rPr>
          <w:sz w:val="24"/>
        </w:rPr>
        <w:t>与投标方有经济利益关系，可能影响对投标公正评标的；</w:t>
      </w:r>
    </w:p>
    <w:p>
      <w:pPr>
        <w:pStyle w:val="2"/>
        <w:numPr>
          <w:ilvl w:val="2"/>
          <w:numId w:val="17"/>
        </w:numPr>
        <w:tabs>
          <w:tab w:val="left" w:pos="1960"/>
        </w:tabs>
        <w:spacing w:before="160" w:after="0" w:line="364" w:lineRule="auto"/>
        <w:ind w:left="637" w:right="1248" w:firstLine="480"/>
        <w:jc w:val="left"/>
        <w:rPr>
          <w:sz w:val="24"/>
        </w:rPr>
      </w:pPr>
      <w:r>
        <w:rPr>
          <w:sz w:val="24"/>
        </w:rPr>
        <w:t>曾因在招标、评标以及其他与招标、投标有关活动中从事违法行为而受过行政处罚或刑事处罚的。</w:t>
      </w:r>
    </w:p>
    <w:p>
      <w:pPr>
        <w:pStyle w:val="5"/>
        <w:numPr>
          <w:ilvl w:val="0"/>
          <w:numId w:val="17"/>
        </w:numPr>
        <w:tabs>
          <w:tab w:val="left" w:pos="1600"/>
        </w:tabs>
        <w:spacing w:before="2" w:after="0" w:line="364" w:lineRule="auto"/>
        <w:ind w:left="637" w:right="1216" w:firstLine="480"/>
        <w:jc w:val="left"/>
      </w:pPr>
      <w:r>
        <w:rPr>
          <w:spacing w:val="-3"/>
        </w:rPr>
        <w:t>评标委员会成员应当熟悉并认真研究招标文件，至少应了解和熟悉以下内容：</w:t>
      </w:r>
    </w:p>
    <w:p>
      <w:pPr>
        <w:pStyle w:val="2"/>
        <w:numPr>
          <w:ilvl w:val="1"/>
          <w:numId w:val="17"/>
        </w:numPr>
        <w:tabs>
          <w:tab w:val="left" w:pos="1718"/>
        </w:tabs>
        <w:spacing w:before="1" w:after="0" w:line="240" w:lineRule="auto"/>
        <w:ind w:left="1717" w:right="0" w:hanging="601"/>
        <w:jc w:val="left"/>
        <w:rPr>
          <w:sz w:val="24"/>
        </w:rPr>
      </w:pPr>
      <w:r>
        <w:rPr>
          <w:sz w:val="24"/>
        </w:rPr>
        <w:t>招标目的。</w:t>
      </w:r>
    </w:p>
    <w:p>
      <w:pPr>
        <w:pStyle w:val="2"/>
        <w:numPr>
          <w:ilvl w:val="1"/>
          <w:numId w:val="17"/>
        </w:numPr>
        <w:tabs>
          <w:tab w:val="left" w:pos="1718"/>
        </w:tabs>
        <w:spacing w:before="160" w:after="0" w:line="240" w:lineRule="auto"/>
        <w:ind w:left="1717" w:right="0" w:hanging="601"/>
        <w:jc w:val="left"/>
        <w:rPr>
          <w:sz w:val="24"/>
        </w:rPr>
      </w:pPr>
      <w:r>
        <w:rPr>
          <w:sz w:val="24"/>
        </w:rPr>
        <w:t>招标项目的范围、性质。</w:t>
      </w:r>
    </w:p>
    <w:p>
      <w:pPr>
        <w:pStyle w:val="2"/>
        <w:numPr>
          <w:ilvl w:val="1"/>
          <w:numId w:val="17"/>
        </w:numPr>
        <w:tabs>
          <w:tab w:val="left" w:pos="1718"/>
        </w:tabs>
        <w:spacing w:before="161" w:after="0" w:line="240" w:lineRule="auto"/>
        <w:ind w:left="1717" w:right="0" w:hanging="601"/>
        <w:jc w:val="left"/>
        <w:rPr>
          <w:sz w:val="24"/>
        </w:rPr>
      </w:pPr>
      <w:r>
        <w:rPr>
          <w:sz w:val="24"/>
        </w:rPr>
        <w:t>招标文件中规定的主要技术要求、标准和商务条款。</w:t>
      </w:r>
    </w:p>
    <w:p>
      <w:pPr>
        <w:pStyle w:val="2"/>
        <w:numPr>
          <w:ilvl w:val="1"/>
          <w:numId w:val="17"/>
        </w:numPr>
        <w:tabs>
          <w:tab w:val="left" w:pos="1720"/>
        </w:tabs>
        <w:spacing w:before="160" w:after="0" w:line="364" w:lineRule="auto"/>
        <w:ind w:left="637" w:right="1248" w:firstLine="480"/>
        <w:jc w:val="left"/>
        <w:rPr>
          <w:sz w:val="24"/>
        </w:rPr>
      </w:pPr>
      <w:r>
        <w:rPr>
          <w:sz w:val="24"/>
        </w:rPr>
        <w:t>招标文件规定的评标原则、评标标准、评标方法和在评标过程中应考虑的相关因素。</w:t>
      </w:r>
    </w:p>
    <w:p>
      <w:pPr>
        <w:pStyle w:val="2"/>
        <w:numPr>
          <w:ilvl w:val="0"/>
          <w:numId w:val="17"/>
        </w:numPr>
        <w:tabs>
          <w:tab w:val="left" w:pos="1598"/>
        </w:tabs>
        <w:spacing w:before="1" w:after="0" w:line="240" w:lineRule="auto"/>
        <w:ind w:left="1597" w:right="0" w:hanging="481"/>
        <w:jc w:val="left"/>
        <w:rPr>
          <w:sz w:val="24"/>
        </w:rPr>
      </w:pPr>
      <w:r>
        <w:rPr>
          <w:sz w:val="24"/>
        </w:rPr>
        <w:t>招标方应当向评标委员会提供评标所需的重要信息和数据。</w:t>
      </w:r>
    </w:p>
    <w:p>
      <w:pPr>
        <w:pStyle w:val="5"/>
        <w:numPr>
          <w:ilvl w:val="0"/>
          <w:numId w:val="17"/>
        </w:numPr>
        <w:tabs>
          <w:tab w:val="left" w:pos="1600"/>
        </w:tabs>
        <w:spacing w:before="161" w:after="0" w:line="240" w:lineRule="auto"/>
        <w:ind w:left="1600" w:right="0" w:hanging="483"/>
        <w:jc w:val="left"/>
      </w:pPr>
      <w:r>
        <w:t>评标委员会成员有前款规定情形之一的，应当主动提出回避。</w:t>
      </w:r>
    </w:p>
    <w:p>
      <w:pPr>
        <w:pStyle w:val="2"/>
        <w:numPr>
          <w:ilvl w:val="0"/>
          <w:numId w:val="17"/>
        </w:numPr>
        <w:tabs>
          <w:tab w:val="left" w:pos="1591"/>
        </w:tabs>
        <w:spacing w:before="160" w:after="0" w:line="240" w:lineRule="auto"/>
        <w:ind w:left="1590" w:right="0" w:hanging="483"/>
        <w:jc w:val="left"/>
        <w:rPr>
          <w:b/>
          <w:sz w:val="24"/>
        </w:rPr>
      </w:pPr>
      <w:r>
        <w:rPr>
          <w:b/>
          <w:spacing w:val="-1"/>
          <w:sz w:val="24"/>
        </w:rPr>
        <w:t>评标委员会及其成员应当履行的义务：</w:t>
      </w:r>
    </w:p>
    <w:p>
      <w:pPr>
        <w:pStyle w:val="2"/>
        <w:numPr>
          <w:ilvl w:val="1"/>
          <w:numId w:val="17"/>
        </w:numPr>
        <w:tabs>
          <w:tab w:val="left" w:pos="1718"/>
        </w:tabs>
        <w:spacing w:before="161" w:after="0" w:line="240" w:lineRule="auto"/>
        <w:ind w:left="1717" w:right="0" w:hanging="601"/>
        <w:jc w:val="left"/>
        <w:rPr>
          <w:sz w:val="24"/>
        </w:rPr>
      </w:pPr>
      <w:r>
        <w:rPr>
          <w:sz w:val="24"/>
        </w:rPr>
        <w:t>遵纪守法，客观、公正、廉洁地履行职责；</w:t>
      </w:r>
    </w:p>
    <w:p>
      <w:pPr>
        <w:pStyle w:val="2"/>
        <w:numPr>
          <w:ilvl w:val="1"/>
          <w:numId w:val="17"/>
        </w:numPr>
        <w:tabs>
          <w:tab w:val="left" w:pos="1708"/>
        </w:tabs>
        <w:spacing w:before="160" w:after="0" w:line="364" w:lineRule="auto"/>
        <w:ind w:left="637" w:right="1129" w:firstLine="470"/>
        <w:jc w:val="left"/>
        <w:rPr>
          <w:sz w:val="24"/>
        </w:rPr>
      </w:pPr>
      <w:r>
        <w:rPr>
          <w:spacing w:val="-2"/>
          <w:sz w:val="24"/>
        </w:rPr>
        <w:t xml:space="preserve">按照招标文件规定的评标方法和标准进行评标，严格履行签字确认手续， </w:t>
      </w:r>
      <w:r>
        <w:rPr>
          <w:sz w:val="24"/>
        </w:rPr>
        <w:t>对评标意见承担个人责任；</w:t>
      </w:r>
    </w:p>
    <w:p>
      <w:pPr>
        <w:pStyle w:val="2"/>
        <w:numPr>
          <w:ilvl w:val="1"/>
          <w:numId w:val="17"/>
        </w:numPr>
        <w:tabs>
          <w:tab w:val="left" w:pos="1708"/>
        </w:tabs>
        <w:spacing w:before="2" w:after="0" w:line="240" w:lineRule="auto"/>
        <w:ind w:left="1708" w:right="0" w:hanging="600"/>
        <w:jc w:val="left"/>
        <w:rPr>
          <w:sz w:val="24"/>
        </w:rPr>
      </w:pPr>
      <w:r>
        <w:rPr>
          <w:sz w:val="24"/>
        </w:rPr>
        <w:t>对评标过程和结果，以及供应商的商业秘密保密；</w:t>
      </w:r>
    </w:p>
    <w:p>
      <w:pPr>
        <w:pStyle w:val="2"/>
        <w:numPr>
          <w:ilvl w:val="1"/>
          <w:numId w:val="17"/>
        </w:numPr>
        <w:tabs>
          <w:tab w:val="left" w:pos="1708"/>
        </w:tabs>
        <w:spacing w:before="160" w:after="0" w:line="240" w:lineRule="auto"/>
        <w:ind w:left="1708" w:right="0" w:hanging="600"/>
        <w:jc w:val="left"/>
        <w:rPr>
          <w:sz w:val="24"/>
        </w:rPr>
      </w:pPr>
      <w:r>
        <w:rPr>
          <w:sz w:val="24"/>
        </w:rPr>
        <w:t>参与评标报告的起草；</w:t>
      </w:r>
    </w:p>
    <w:p>
      <w:pPr>
        <w:pStyle w:val="2"/>
        <w:numPr>
          <w:ilvl w:val="1"/>
          <w:numId w:val="17"/>
        </w:numPr>
        <w:tabs>
          <w:tab w:val="left" w:pos="1708"/>
        </w:tabs>
        <w:spacing w:before="161" w:after="0" w:line="240" w:lineRule="auto"/>
        <w:ind w:left="1708" w:right="0" w:hanging="600"/>
        <w:jc w:val="left"/>
        <w:rPr>
          <w:sz w:val="24"/>
        </w:rPr>
      </w:pPr>
      <w:r>
        <w:rPr>
          <w:sz w:val="24"/>
        </w:rPr>
        <w:t>配合财政部门的投诉处理工作；</w:t>
      </w:r>
    </w:p>
    <w:p>
      <w:pPr>
        <w:pStyle w:val="2"/>
        <w:numPr>
          <w:ilvl w:val="1"/>
          <w:numId w:val="17"/>
        </w:numPr>
        <w:tabs>
          <w:tab w:val="left" w:pos="1708"/>
        </w:tabs>
        <w:spacing w:before="160" w:after="0" w:line="240" w:lineRule="auto"/>
        <w:ind w:left="1708" w:right="0" w:hanging="600"/>
        <w:jc w:val="left"/>
        <w:rPr>
          <w:sz w:val="24"/>
        </w:rPr>
      </w:pPr>
      <w:r>
        <w:rPr>
          <w:sz w:val="24"/>
        </w:rPr>
        <w:t>配合招标方答复投标供应商提出的质疑。</w:t>
      </w:r>
    </w:p>
    <w:p>
      <w:pPr>
        <w:pStyle w:val="5"/>
        <w:numPr>
          <w:ilvl w:val="0"/>
          <w:numId w:val="17"/>
        </w:numPr>
        <w:tabs>
          <w:tab w:val="left" w:pos="1600"/>
        </w:tabs>
        <w:spacing w:before="161" w:after="0" w:line="240" w:lineRule="auto"/>
        <w:ind w:left="1600" w:right="0" w:hanging="483"/>
        <w:jc w:val="both"/>
      </w:pPr>
      <w:r>
        <w:t>评标委员会及其成员应注意事项：</w:t>
      </w:r>
    </w:p>
    <w:p>
      <w:pPr>
        <w:pStyle w:val="2"/>
        <w:numPr>
          <w:ilvl w:val="1"/>
          <w:numId w:val="17"/>
        </w:numPr>
        <w:tabs>
          <w:tab w:val="left" w:pos="1720"/>
        </w:tabs>
        <w:spacing w:before="160" w:after="0" w:line="364" w:lineRule="auto"/>
        <w:ind w:left="637" w:right="1249" w:firstLine="480"/>
        <w:jc w:val="both"/>
        <w:rPr>
          <w:sz w:val="24"/>
        </w:rPr>
      </w:pPr>
      <w:r>
        <w:rPr>
          <w:sz w:val="24"/>
        </w:rPr>
        <w:t>评标委员会应当客观、公正地履行职责，遵守职业道德，不得与任何投</w:t>
      </w:r>
      <w:r>
        <w:rPr>
          <w:spacing w:val="-5"/>
          <w:sz w:val="24"/>
        </w:rPr>
        <w:t>标人或者与招标结果有利害关系的人员进行私下接触，须响应前款“第三部分”中</w:t>
      </w:r>
    </w:p>
    <w:p>
      <w:pPr>
        <w:pStyle w:val="10"/>
        <w:jc w:val="both"/>
      </w:pPr>
      <w:r>
        <w:t>8.1 条款之规定要求。</w:t>
      </w:r>
    </w:p>
    <w:p>
      <w:pPr>
        <w:pStyle w:val="2"/>
        <w:numPr>
          <w:ilvl w:val="1"/>
          <w:numId w:val="19"/>
        </w:numPr>
        <w:tabs>
          <w:tab w:val="left" w:pos="1778"/>
        </w:tabs>
        <w:spacing w:before="161" w:after="0" w:line="364" w:lineRule="auto"/>
        <w:ind w:left="637" w:right="1245" w:firstLine="540"/>
        <w:jc w:val="both"/>
        <w:rPr>
          <w:sz w:val="24"/>
        </w:rPr>
      </w:pPr>
      <w:r>
        <w:rPr>
          <w:spacing w:val="-1"/>
          <w:sz w:val="24"/>
        </w:rPr>
        <w:t>评标委员会应当遵循独立评标的原则，按照《中华人民共和国政府采购</w:t>
      </w:r>
      <w:r>
        <w:rPr>
          <w:spacing w:val="-6"/>
          <w:sz w:val="24"/>
        </w:rPr>
        <w:t>法》，要以招标文件为评标的唯一依据，不做标书以外无关问题讨论和将招标文件</w:t>
      </w:r>
      <w:r>
        <w:rPr>
          <w:spacing w:val="-5"/>
          <w:sz w:val="24"/>
        </w:rPr>
        <w:t>中没有规定的标准和方法不得作为评标的依据。应本着“实事求是、公正诚信”的原则，根据招标文件规定的评标标准和方法，对投标方的投标文件进行系统地评标</w:t>
      </w:r>
      <w:r>
        <w:rPr>
          <w:sz w:val="24"/>
        </w:rPr>
        <w:t>和比较。并按要求做好相关书面原始署名记录。</w:t>
      </w:r>
    </w:p>
    <w:p>
      <w:pPr>
        <w:pStyle w:val="2"/>
        <w:numPr>
          <w:ilvl w:val="1"/>
          <w:numId w:val="19"/>
        </w:numPr>
        <w:tabs>
          <w:tab w:val="left" w:pos="1778"/>
        </w:tabs>
        <w:spacing w:before="90" w:after="0" w:line="364" w:lineRule="auto"/>
        <w:ind w:left="637" w:right="1245" w:firstLine="540"/>
        <w:jc w:val="both"/>
        <w:rPr>
          <w:sz w:val="24"/>
        </w:rPr>
      </w:pPr>
      <w:r>
        <w:rPr>
          <w:sz w:val="24"/>
        </w:rPr>
        <w:t>评标委员会应当客观、公正地履行职责。评标时，严禁存在个人印象、</w:t>
      </w:r>
      <w:r>
        <w:rPr>
          <w:spacing w:val="-4"/>
          <w:sz w:val="24"/>
        </w:rPr>
        <w:t>个人关系或带有明显倾向性的行为发生。否则，经核实后，招标方将有权予以制止此类行为的发生，责成其修正不果的，将做为不良记录记录在案，并按相关政策法</w:t>
      </w:r>
      <w:r>
        <w:rPr>
          <w:sz w:val="24"/>
        </w:rPr>
        <w:t>规的规定和程序，向财政监管部门提出处罚建议意见。</w:t>
      </w:r>
    </w:p>
    <w:p>
      <w:pPr>
        <w:pStyle w:val="2"/>
        <w:numPr>
          <w:ilvl w:val="1"/>
          <w:numId w:val="19"/>
        </w:numPr>
        <w:tabs>
          <w:tab w:val="left" w:pos="1658"/>
        </w:tabs>
        <w:spacing w:before="2" w:after="0" w:line="364" w:lineRule="auto"/>
        <w:ind w:left="637" w:right="1249" w:firstLine="480"/>
        <w:jc w:val="both"/>
        <w:rPr>
          <w:sz w:val="24"/>
        </w:rPr>
      </w:pPr>
      <w:r>
        <w:rPr>
          <w:spacing w:val="-5"/>
          <w:sz w:val="24"/>
        </w:rPr>
        <w:t>评标委员会成员和与本次评标活动有关的工作人员，不得透露对投标文件</w:t>
      </w:r>
      <w:r>
        <w:rPr>
          <w:sz w:val="24"/>
        </w:rPr>
        <w:t>的评标和比较、中标候选人的推荐情况以及与评标有关的其他情况。</w:t>
      </w:r>
    </w:p>
    <w:p>
      <w:pPr>
        <w:pStyle w:val="2"/>
        <w:numPr>
          <w:ilvl w:val="1"/>
          <w:numId w:val="19"/>
        </w:numPr>
        <w:tabs>
          <w:tab w:val="left" w:pos="1720"/>
        </w:tabs>
        <w:spacing w:before="1" w:after="0" w:line="364" w:lineRule="auto"/>
        <w:ind w:left="637" w:right="1249" w:firstLine="480"/>
        <w:jc w:val="both"/>
        <w:rPr>
          <w:sz w:val="24"/>
        </w:rPr>
      </w:pPr>
      <w:r>
        <w:rPr>
          <w:sz w:val="24"/>
        </w:rPr>
        <w:t>除法律需要外，自开标直至宣布中标及签订合同为止，有关投标文件的</w:t>
      </w:r>
      <w:r>
        <w:rPr>
          <w:spacing w:val="-6"/>
          <w:sz w:val="24"/>
        </w:rPr>
        <w:t>审查、澄清、评定及关于评标的建议等情况，评标委员会及其成员任何人均不得以</w:t>
      </w:r>
      <w:r>
        <w:rPr>
          <w:spacing w:val="-5"/>
          <w:sz w:val="24"/>
        </w:rPr>
        <w:t>任何形式泄露，评标过程中如有不明事宜，需要投标方进行解释的，只能由评标委</w:t>
      </w:r>
      <w:r>
        <w:rPr>
          <w:sz w:val="24"/>
        </w:rPr>
        <w:t>员会各成员进行询标（答疑）。</w:t>
      </w:r>
    </w:p>
    <w:p>
      <w:pPr>
        <w:pStyle w:val="2"/>
        <w:numPr>
          <w:ilvl w:val="0"/>
          <w:numId w:val="17"/>
        </w:numPr>
        <w:tabs>
          <w:tab w:val="left" w:pos="1598"/>
        </w:tabs>
        <w:spacing w:before="3" w:after="0" w:line="364" w:lineRule="auto"/>
        <w:ind w:left="637" w:right="1249" w:firstLine="480"/>
        <w:jc w:val="both"/>
      </w:pPr>
      <w:r>
        <w:rPr>
          <w:spacing w:val="-3"/>
          <w:sz w:val="24"/>
        </w:rPr>
        <w:t>与评标活动有关的工作人员，自开标之日期起至定标日止，在此期间任何</w:t>
      </w:r>
      <w:r>
        <w:rPr>
          <w:spacing w:val="-5"/>
          <w:sz w:val="24"/>
        </w:rPr>
        <w:t>监标人、采购人代表、特邀代表、工作人员及供应商不得干扰评标委员会正常及其</w:t>
      </w:r>
      <w:r>
        <w:rPr>
          <w:sz w:val="24"/>
        </w:rPr>
        <w:t>它评标工作，否则，招标方将有权取消其权利资格。</w:t>
      </w:r>
    </w:p>
    <w:p>
      <w:pPr>
        <w:pStyle w:val="3"/>
        <w:spacing w:before="162"/>
        <w:ind w:right="603"/>
      </w:pPr>
      <w:r>
        <w:t>第五部分 开标 评标 定标说明</w:t>
      </w:r>
    </w:p>
    <w:p>
      <w:pPr>
        <w:pStyle w:val="4"/>
        <w:tabs>
          <w:tab w:val="left" w:pos="1766"/>
        </w:tabs>
        <w:spacing w:before="191"/>
      </w:pPr>
      <w:r>
        <w:t>第一章</w:t>
      </w:r>
      <w:r>
        <w:rPr>
          <w:spacing w:val="-4"/>
        </w:rPr>
        <w:t xml:space="preserve"> </w:t>
      </w:r>
      <w:r>
        <w:t>开</w:t>
      </w:r>
      <w:r>
        <w:tab/>
      </w:r>
      <w:r>
        <w:t>标</w:t>
      </w:r>
    </w:p>
    <w:p>
      <w:pPr>
        <w:pStyle w:val="5"/>
        <w:numPr>
          <w:ilvl w:val="0"/>
          <w:numId w:val="17"/>
        </w:numPr>
        <w:tabs>
          <w:tab w:val="left" w:pos="1599"/>
        </w:tabs>
        <w:spacing w:before="186" w:after="0" w:line="240" w:lineRule="auto"/>
        <w:ind w:left="1598" w:right="0" w:hanging="482"/>
        <w:jc w:val="left"/>
        <w:rPr>
          <w:sz w:val="22"/>
        </w:rPr>
      </w:pPr>
      <w:r>
        <w:t>开标</w:t>
      </w:r>
    </w:p>
    <w:p>
      <w:pPr>
        <w:pStyle w:val="2"/>
        <w:numPr>
          <w:ilvl w:val="1"/>
          <w:numId w:val="17"/>
        </w:numPr>
        <w:tabs>
          <w:tab w:val="left" w:pos="1720"/>
        </w:tabs>
        <w:spacing w:before="160" w:after="0" w:line="364" w:lineRule="auto"/>
        <w:ind w:left="637" w:right="1248" w:firstLine="480"/>
        <w:jc w:val="both"/>
        <w:rPr>
          <w:sz w:val="24"/>
        </w:rPr>
      </w:pPr>
      <w:r>
        <w:rPr>
          <w:sz w:val="24"/>
        </w:rPr>
        <w:t>本次招标按招标文件的规定的时间和地点进行公开开标，允许投标人的法定代表人或其授权人参加开标会。</w:t>
      </w:r>
    </w:p>
    <w:p>
      <w:pPr>
        <w:pStyle w:val="2"/>
        <w:numPr>
          <w:ilvl w:val="1"/>
          <w:numId w:val="17"/>
        </w:numPr>
        <w:tabs>
          <w:tab w:val="left" w:pos="1720"/>
        </w:tabs>
        <w:spacing w:before="2" w:after="0" w:line="364" w:lineRule="auto"/>
        <w:ind w:left="637" w:right="1245" w:firstLine="480"/>
        <w:jc w:val="both"/>
        <w:rPr>
          <w:sz w:val="24"/>
        </w:rPr>
      </w:pPr>
      <w:r>
        <w:rPr>
          <w:sz w:val="24"/>
        </w:rPr>
        <w:t>为了体现投标人的合法权益，和确保评标工作的公平、公正，投标人如</w:t>
      </w:r>
      <w:r>
        <w:rPr>
          <w:spacing w:val="3"/>
          <w:sz w:val="24"/>
        </w:rPr>
        <w:t>果认为参加评标的评标委员会成员及其他与会人员与其他投标供应商有利害关系</w:t>
      </w:r>
      <w:r>
        <w:rPr>
          <w:spacing w:val="-5"/>
          <w:sz w:val="24"/>
        </w:rPr>
        <w:t>的，有权在开标现场以举手示意的方式向招标方申请其回避。如现场不提请招标方</w:t>
      </w:r>
      <w:r>
        <w:rPr>
          <w:sz w:val="24"/>
        </w:rPr>
        <w:t>申请其回避的，则视同无利害关系。</w:t>
      </w:r>
    </w:p>
    <w:p>
      <w:pPr>
        <w:pStyle w:val="2"/>
        <w:numPr>
          <w:ilvl w:val="1"/>
          <w:numId w:val="17"/>
        </w:numPr>
        <w:tabs>
          <w:tab w:val="left" w:pos="1720"/>
        </w:tabs>
        <w:spacing w:before="2" w:after="0" w:line="364" w:lineRule="auto"/>
        <w:ind w:left="637" w:right="1248" w:firstLine="480"/>
        <w:jc w:val="both"/>
        <w:rPr>
          <w:sz w:val="24"/>
        </w:rPr>
      </w:pPr>
      <w:r>
        <w:rPr>
          <w:sz w:val="24"/>
        </w:rPr>
        <w:t>按照上述会议通过事项，所有参加投标的供应商如事后发生上述原因的质疑或投诉事项，</w:t>
      </w:r>
      <w:r>
        <w:rPr>
          <w:rFonts w:hint="eastAsia"/>
          <w:sz w:val="24"/>
        </w:rPr>
        <w:t>新疆正聚方企业管理咨询有限公司</w:t>
      </w:r>
      <w:r>
        <w:rPr>
          <w:sz w:val="24"/>
        </w:rPr>
        <w:t>将不予采信。</w:t>
      </w:r>
    </w:p>
    <w:p>
      <w:pPr>
        <w:pStyle w:val="5"/>
        <w:numPr>
          <w:ilvl w:val="1"/>
          <w:numId w:val="17"/>
        </w:numPr>
        <w:tabs>
          <w:tab w:val="left" w:pos="1720"/>
        </w:tabs>
        <w:spacing w:before="1" w:after="0" w:line="240" w:lineRule="auto"/>
        <w:ind w:left="1720" w:right="0" w:hanging="603"/>
        <w:jc w:val="both"/>
      </w:pPr>
      <w:r>
        <w:t>投标文件响应性审查</w:t>
      </w:r>
    </w:p>
    <w:p>
      <w:pPr>
        <w:pStyle w:val="2"/>
        <w:numPr>
          <w:ilvl w:val="2"/>
          <w:numId w:val="17"/>
        </w:numPr>
        <w:tabs>
          <w:tab w:val="left" w:pos="1898"/>
        </w:tabs>
        <w:spacing w:before="161" w:after="0" w:line="364" w:lineRule="auto"/>
        <w:ind w:left="637" w:right="1249" w:firstLine="480"/>
        <w:jc w:val="both"/>
        <w:rPr>
          <w:sz w:val="24"/>
        </w:rPr>
      </w:pPr>
      <w:r>
        <w:rPr>
          <w:spacing w:val="-9"/>
          <w:sz w:val="24"/>
        </w:rPr>
        <w:t>开标后，招标方将组织对投标文件进行审查，应检查其是否完整，是否</w:t>
      </w:r>
      <w:r>
        <w:rPr>
          <w:spacing w:val="-4"/>
          <w:sz w:val="24"/>
        </w:rPr>
        <w:t>出现计算性错误，投标文件正本是否由投标表现人逐页签名，是否满足招标文件的</w:t>
      </w:r>
      <w:r>
        <w:rPr>
          <w:sz w:val="24"/>
        </w:rPr>
        <w:t>格式要求，是否提供投标保证金等。</w:t>
      </w:r>
    </w:p>
    <w:p>
      <w:pPr>
        <w:pStyle w:val="2"/>
        <w:numPr>
          <w:ilvl w:val="2"/>
          <w:numId w:val="17"/>
        </w:numPr>
        <w:tabs>
          <w:tab w:val="left" w:pos="1898"/>
        </w:tabs>
        <w:spacing w:before="90" w:after="0" w:line="364" w:lineRule="auto"/>
        <w:ind w:left="637" w:right="1249" w:firstLine="480"/>
        <w:jc w:val="both"/>
        <w:rPr>
          <w:sz w:val="24"/>
        </w:rPr>
      </w:pPr>
      <w:r>
        <w:rPr>
          <w:spacing w:val="-7"/>
          <w:sz w:val="24"/>
        </w:rPr>
        <w:t>在对投标文件进行综合评估之前，招标方将依据投标人提供的资格证明</w:t>
      </w:r>
      <w:r>
        <w:rPr>
          <w:spacing w:val="-6"/>
          <w:sz w:val="24"/>
        </w:rPr>
        <w:t>文件，审查投标人的财务和技术能力。如果确定投标人无能力履行合同，其投标将</w:t>
      </w:r>
      <w:r>
        <w:rPr>
          <w:sz w:val="24"/>
        </w:rPr>
        <w:t>被拒绝。</w:t>
      </w:r>
    </w:p>
    <w:p>
      <w:pPr>
        <w:pStyle w:val="2"/>
        <w:numPr>
          <w:ilvl w:val="2"/>
          <w:numId w:val="17"/>
        </w:numPr>
        <w:tabs>
          <w:tab w:val="left" w:pos="1903"/>
        </w:tabs>
        <w:spacing w:before="2" w:after="0" w:line="364" w:lineRule="auto"/>
        <w:ind w:left="637" w:right="1249" w:firstLine="480"/>
        <w:jc w:val="both"/>
        <w:rPr>
          <w:sz w:val="24"/>
        </w:rPr>
      </w:pPr>
      <w:r>
        <w:rPr>
          <w:spacing w:val="3"/>
          <w:sz w:val="24"/>
        </w:rPr>
        <w:t>评标委员会将确定每一投标人是否对投标文件的要求做出了实质性响</w:t>
      </w:r>
      <w:r>
        <w:rPr>
          <w:spacing w:val="-5"/>
          <w:sz w:val="24"/>
        </w:rPr>
        <w:t>应，而没有重大偏离。实质性响应的投标是指符合招标文件的所有条款、条件和规</w:t>
      </w:r>
      <w:r>
        <w:rPr>
          <w:sz w:val="24"/>
        </w:rPr>
        <w:t>定且没有重大偏离和保留的投标。</w:t>
      </w:r>
    </w:p>
    <w:p>
      <w:pPr>
        <w:pStyle w:val="2"/>
        <w:numPr>
          <w:ilvl w:val="2"/>
          <w:numId w:val="17"/>
        </w:numPr>
        <w:tabs>
          <w:tab w:val="left" w:pos="1903"/>
        </w:tabs>
        <w:spacing w:before="1" w:after="0" w:line="364" w:lineRule="auto"/>
        <w:ind w:left="637" w:right="1248" w:firstLine="480"/>
        <w:jc w:val="both"/>
        <w:rPr>
          <w:sz w:val="24"/>
        </w:rPr>
      </w:pPr>
      <w:r>
        <w:rPr>
          <w:spacing w:val="3"/>
          <w:sz w:val="24"/>
        </w:rPr>
        <w:t>评标委员会判断投标文件的响应性仅基于投标文件本身而不靠外部证据。</w:t>
      </w:r>
    </w:p>
    <w:p>
      <w:pPr>
        <w:pStyle w:val="2"/>
        <w:numPr>
          <w:ilvl w:val="2"/>
          <w:numId w:val="17"/>
        </w:numPr>
        <w:tabs>
          <w:tab w:val="left" w:pos="1898"/>
        </w:tabs>
        <w:spacing w:before="2" w:after="0" w:line="364" w:lineRule="auto"/>
        <w:ind w:left="637" w:right="1249" w:firstLine="480"/>
        <w:jc w:val="both"/>
        <w:rPr>
          <w:sz w:val="24"/>
        </w:rPr>
      </w:pPr>
      <w:r>
        <w:rPr>
          <w:spacing w:val="-5"/>
          <w:sz w:val="24"/>
        </w:rPr>
        <w:t>评标委员会将拒绝被确定为非实质性响应的投标。投标方不能通过修正</w:t>
      </w:r>
      <w:r>
        <w:rPr>
          <w:sz w:val="24"/>
        </w:rPr>
        <w:t>或撤回不符合之处而使其投标成为实质性响应的投标。</w:t>
      </w:r>
    </w:p>
    <w:p>
      <w:pPr>
        <w:pStyle w:val="5"/>
        <w:numPr>
          <w:ilvl w:val="1"/>
          <w:numId w:val="17"/>
        </w:numPr>
        <w:tabs>
          <w:tab w:val="left" w:pos="1711"/>
        </w:tabs>
        <w:spacing w:before="3" w:after="0" w:line="240" w:lineRule="auto"/>
        <w:ind w:left="1710" w:right="0" w:hanging="603"/>
        <w:jc w:val="both"/>
      </w:pPr>
      <w:r>
        <w:t>投标登记确认的审查</w:t>
      </w:r>
    </w:p>
    <w:p>
      <w:pPr>
        <w:pStyle w:val="2"/>
        <w:numPr>
          <w:ilvl w:val="2"/>
          <w:numId w:val="17"/>
        </w:numPr>
        <w:tabs>
          <w:tab w:val="left" w:pos="1888"/>
        </w:tabs>
        <w:spacing w:before="160" w:after="0" w:line="364" w:lineRule="auto"/>
        <w:ind w:left="637" w:right="1129" w:firstLine="470"/>
        <w:jc w:val="left"/>
        <w:rPr>
          <w:sz w:val="24"/>
        </w:rPr>
      </w:pPr>
      <w:r>
        <w:rPr>
          <w:spacing w:val="-8"/>
          <w:sz w:val="24"/>
        </w:rPr>
        <w:t>由招标方以书面方式，对按招标文件规定的开标时间准时参加的供应商</w:t>
      </w:r>
      <w:r>
        <w:rPr>
          <w:spacing w:val="-17"/>
          <w:sz w:val="24"/>
        </w:rPr>
        <w:t xml:space="preserve">的投标登记确认情况，进行现场审查通报。凡按规定时间前进行了投标登记确认的， </w:t>
      </w:r>
      <w:r>
        <w:rPr>
          <w:sz w:val="24"/>
        </w:rPr>
        <w:t>其投标被接受。否则，其投标将直接被拒绝。</w:t>
      </w:r>
    </w:p>
    <w:p>
      <w:pPr>
        <w:pStyle w:val="2"/>
        <w:numPr>
          <w:ilvl w:val="2"/>
          <w:numId w:val="17"/>
        </w:numPr>
        <w:tabs>
          <w:tab w:val="left" w:pos="1951"/>
        </w:tabs>
        <w:spacing w:before="2" w:after="0" w:line="364" w:lineRule="auto"/>
        <w:ind w:left="637" w:right="1226" w:firstLine="470"/>
        <w:jc w:val="both"/>
        <w:rPr>
          <w:sz w:val="24"/>
        </w:rPr>
      </w:pPr>
      <w:r>
        <w:rPr>
          <w:sz w:val="24"/>
        </w:rPr>
        <w:t>通报后，在招标文件及程序符合法律规定的前提下，对招标文件做出</w:t>
      </w:r>
      <w:r>
        <w:rPr>
          <w:spacing w:val="-3"/>
          <w:sz w:val="24"/>
        </w:rPr>
        <w:t>实质性响应的供应商只有两家时，且是第一次开标，招标方应中止谈判，重新组织</w:t>
      </w:r>
      <w:r>
        <w:rPr>
          <w:spacing w:val="-5"/>
          <w:sz w:val="24"/>
        </w:rPr>
        <w:t>采购；如果是第二次开标，按照公开、公平和竞争的原则，采购人可以书面提出转</w:t>
      </w:r>
      <w:r>
        <w:rPr>
          <w:spacing w:val="-6"/>
          <w:sz w:val="24"/>
        </w:rPr>
        <w:t>竞争性谈判方式进行，招标方同意且提交批准后，按批准后的采购方式继续开标。</w:t>
      </w:r>
      <w:r>
        <w:rPr>
          <w:sz w:val="24"/>
        </w:rPr>
        <w:t>反之，则应直接作废标处理，并依法重新组织采购。</w:t>
      </w:r>
    </w:p>
    <w:p>
      <w:pPr>
        <w:pStyle w:val="2"/>
        <w:numPr>
          <w:ilvl w:val="2"/>
          <w:numId w:val="17"/>
        </w:numPr>
        <w:tabs>
          <w:tab w:val="left" w:pos="1951"/>
        </w:tabs>
        <w:spacing w:before="3" w:after="0" w:line="364" w:lineRule="auto"/>
        <w:ind w:left="637" w:right="1249" w:firstLine="470"/>
        <w:jc w:val="both"/>
        <w:rPr>
          <w:sz w:val="24"/>
        </w:rPr>
      </w:pPr>
      <w:r>
        <w:rPr>
          <w:sz w:val="24"/>
        </w:rPr>
        <w:t>通报后，如果合格供应商只有一家时，且是第一次开标，招标方应中</w:t>
      </w:r>
      <w:r>
        <w:rPr>
          <w:spacing w:val="-5"/>
          <w:sz w:val="24"/>
        </w:rPr>
        <w:t>止谈判，重新组织采购；如果是第二次开标，采购人和投标商既没有过不良行为记录，也不存在明显或恶意的投标倾向性行为，采购人可以书面申请单一来源方式采</w:t>
      </w:r>
      <w:r>
        <w:rPr>
          <w:spacing w:val="-6"/>
          <w:sz w:val="24"/>
        </w:rPr>
        <w:t>购，经批准后，按批准后的采购方式依法按程序组织采购。反之，则应直接作废标</w:t>
      </w:r>
      <w:r>
        <w:rPr>
          <w:sz w:val="24"/>
        </w:rPr>
        <w:t>处理，并依法重新组织采购。</w:t>
      </w:r>
    </w:p>
    <w:p>
      <w:pPr>
        <w:pStyle w:val="5"/>
        <w:numPr>
          <w:ilvl w:val="1"/>
          <w:numId w:val="17"/>
        </w:numPr>
        <w:tabs>
          <w:tab w:val="left" w:pos="1711"/>
        </w:tabs>
        <w:spacing w:before="3" w:after="0" w:line="240" w:lineRule="auto"/>
        <w:ind w:left="1710" w:right="0" w:hanging="603"/>
        <w:jc w:val="both"/>
      </w:pPr>
      <w:r>
        <w:t>投标供应商资格资质审查</w:t>
      </w:r>
    </w:p>
    <w:p>
      <w:pPr>
        <w:pStyle w:val="2"/>
        <w:numPr>
          <w:ilvl w:val="2"/>
          <w:numId w:val="17"/>
        </w:numPr>
        <w:tabs>
          <w:tab w:val="left" w:pos="1948"/>
        </w:tabs>
        <w:spacing w:before="161" w:after="0" w:line="364" w:lineRule="auto"/>
        <w:ind w:left="637" w:right="1129" w:firstLine="470"/>
        <w:jc w:val="both"/>
        <w:rPr>
          <w:sz w:val="24"/>
        </w:rPr>
      </w:pPr>
      <w:r>
        <w:rPr>
          <w:spacing w:val="-2"/>
          <w:sz w:val="24"/>
        </w:rPr>
        <w:t xml:space="preserve">各投标供应商的资格资质审查，现场不接受二次提供涉及的投标资料， </w:t>
      </w:r>
      <w:r>
        <w:rPr>
          <w:sz w:val="24"/>
        </w:rPr>
        <w:t>且现场不允许与外界有任何方式的联系和沟通。</w:t>
      </w:r>
    </w:p>
    <w:p>
      <w:pPr>
        <w:pStyle w:val="2"/>
        <w:numPr>
          <w:ilvl w:val="2"/>
          <w:numId w:val="17"/>
        </w:numPr>
        <w:tabs>
          <w:tab w:val="left" w:pos="1960"/>
        </w:tabs>
        <w:spacing w:before="1" w:after="0" w:line="364" w:lineRule="auto"/>
        <w:ind w:left="637" w:right="1249" w:firstLine="480"/>
        <w:jc w:val="both"/>
      </w:pPr>
      <w:r>
        <w:rPr>
          <w:sz w:val="24"/>
        </w:rPr>
        <w:t>依据招标文件规定，由招标方按照投标登记确认先后顺序，当众启封</w:t>
      </w:r>
      <w:r>
        <w:rPr>
          <w:spacing w:val="-5"/>
          <w:sz w:val="24"/>
        </w:rPr>
        <w:t>投标文件，并对投标文件的密封性、完整性、时效性、相关资质资格等证照和投保</w:t>
      </w:r>
      <w:r>
        <w:rPr>
          <w:spacing w:val="-11"/>
        </w:rPr>
        <w:t xml:space="preserve">保证金缴纳情况等进行审查。凡不符合前款“第四部分”中 </w:t>
      </w:r>
      <w:r>
        <w:t>1.2</w:t>
      </w:r>
      <w:r>
        <w:rPr>
          <w:spacing w:val="-9"/>
        </w:rPr>
        <w:t xml:space="preserve"> 条款之规定要求的， </w:t>
      </w:r>
      <w:r>
        <w:t>其投标将被直接拒绝，并不得进入具体评标程序。</w:t>
      </w:r>
    </w:p>
    <w:p>
      <w:pPr>
        <w:pStyle w:val="2"/>
        <w:numPr>
          <w:ilvl w:val="2"/>
          <w:numId w:val="17"/>
        </w:numPr>
        <w:tabs>
          <w:tab w:val="left" w:pos="1898"/>
        </w:tabs>
        <w:spacing w:before="1" w:after="0" w:line="364" w:lineRule="auto"/>
        <w:ind w:left="637" w:right="1129" w:firstLine="480"/>
        <w:jc w:val="left"/>
        <w:rPr>
          <w:sz w:val="24"/>
        </w:rPr>
      </w:pPr>
      <w:r>
        <w:rPr>
          <w:spacing w:val="-11"/>
          <w:sz w:val="24"/>
        </w:rPr>
        <w:t xml:space="preserve">资质资格审查合格的供应商不足法定数量时，可以比照前款“第五部分” </w:t>
      </w:r>
      <w:r>
        <w:rPr>
          <w:spacing w:val="-30"/>
          <w:sz w:val="24"/>
        </w:rPr>
        <w:t xml:space="preserve">中 </w:t>
      </w:r>
      <w:r>
        <w:rPr>
          <w:sz w:val="24"/>
        </w:rPr>
        <w:t>23.5</w:t>
      </w:r>
      <w:r>
        <w:rPr>
          <w:spacing w:val="-20"/>
          <w:sz w:val="24"/>
        </w:rPr>
        <w:t xml:space="preserve"> 条款中的 </w:t>
      </w:r>
      <w:r>
        <w:rPr>
          <w:sz w:val="24"/>
        </w:rPr>
        <w:t>23.5.2</w:t>
      </w:r>
      <w:r>
        <w:rPr>
          <w:spacing w:val="-24"/>
          <w:sz w:val="24"/>
        </w:rPr>
        <w:t xml:space="preserve"> 条款和 </w:t>
      </w:r>
      <w:r>
        <w:rPr>
          <w:sz w:val="24"/>
        </w:rPr>
        <w:t>23.5.3</w:t>
      </w:r>
      <w:r>
        <w:rPr>
          <w:spacing w:val="-8"/>
          <w:sz w:val="24"/>
        </w:rPr>
        <w:t xml:space="preserve"> 条款之规定执行。</w:t>
      </w:r>
    </w:p>
    <w:p>
      <w:pPr>
        <w:pStyle w:val="5"/>
        <w:numPr>
          <w:ilvl w:val="1"/>
          <w:numId w:val="20"/>
        </w:numPr>
        <w:tabs>
          <w:tab w:val="left" w:pos="1711"/>
        </w:tabs>
        <w:spacing w:before="1" w:after="0" w:line="240" w:lineRule="auto"/>
        <w:ind w:left="1710" w:right="0" w:hanging="603"/>
        <w:jc w:val="left"/>
      </w:pPr>
      <w:r>
        <w:t>评标前的意见征求</w:t>
      </w:r>
    </w:p>
    <w:p>
      <w:pPr>
        <w:pStyle w:val="2"/>
        <w:numPr>
          <w:ilvl w:val="2"/>
          <w:numId w:val="20"/>
        </w:numPr>
        <w:tabs>
          <w:tab w:val="left" w:pos="1888"/>
        </w:tabs>
        <w:spacing w:before="161" w:after="0" w:line="364" w:lineRule="auto"/>
        <w:ind w:left="637" w:right="1249" w:firstLine="470"/>
        <w:jc w:val="left"/>
        <w:rPr>
          <w:sz w:val="24"/>
        </w:rPr>
      </w:pPr>
      <w:r>
        <w:rPr>
          <w:spacing w:val="-6"/>
          <w:sz w:val="24"/>
        </w:rPr>
        <w:t>严格在招标文件的规定范围内，由招标方现场以书面的方式，征求采购</w:t>
      </w:r>
      <w:r>
        <w:rPr>
          <w:sz w:val="24"/>
        </w:rPr>
        <w:t>单位代表对本次评标委员会评标时应注意的事项及意见建议，并签字确认。</w:t>
      </w:r>
    </w:p>
    <w:p>
      <w:pPr>
        <w:pStyle w:val="2"/>
        <w:numPr>
          <w:ilvl w:val="2"/>
          <w:numId w:val="20"/>
        </w:numPr>
        <w:tabs>
          <w:tab w:val="left" w:pos="1951"/>
        </w:tabs>
        <w:spacing w:before="1" w:after="0" w:line="364" w:lineRule="auto"/>
        <w:ind w:left="637" w:right="1248" w:firstLine="470"/>
        <w:jc w:val="left"/>
        <w:rPr>
          <w:sz w:val="24"/>
        </w:rPr>
      </w:pPr>
      <w:r>
        <w:rPr>
          <w:sz w:val="24"/>
        </w:rPr>
        <w:t>由招标方本次项目承办责任人严格按照招标文件的规定范围，核实并提出是否采信的意见并签字确认。</w:t>
      </w:r>
    </w:p>
    <w:p>
      <w:pPr>
        <w:pStyle w:val="2"/>
        <w:numPr>
          <w:ilvl w:val="2"/>
          <w:numId w:val="20"/>
        </w:numPr>
        <w:tabs>
          <w:tab w:val="left" w:pos="1888"/>
        </w:tabs>
        <w:spacing w:before="1" w:after="0" w:line="364" w:lineRule="auto"/>
        <w:ind w:left="637" w:right="1249" w:firstLine="470"/>
        <w:jc w:val="left"/>
        <w:rPr>
          <w:sz w:val="24"/>
        </w:rPr>
      </w:pPr>
      <w:r>
        <w:rPr>
          <w:spacing w:val="-6"/>
          <w:sz w:val="24"/>
        </w:rPr>
        <w:t>由招标方将可采信的上述意见建议，现场向评标委员会及成员提出可以</w:t>
      </w:r>
      <w:r>
        <w:rPr>
          <w:sz w:val="24"/>
        </w:rPr>
        <w:t>予以采纳的决定。反之，则不予采纳。</w:t>
      </w:r>
    </w:p>
    <w:p>
      <w:pPr>
        <w:pStyle w:val="4"/>
        <w:tabs>
          <w:tab w:val="left" w:pos="1766"/>
        </w:tabs>
        <w:spacing w:before="29"/>
      </w:pPr>
      <w:r>
        <w:t>第二章</w:t>
      </w:r>
      <w:r>
        <w:rPr>
          <w:spacing w:val="-4"/>
        </w:rPr>
        <w:t xml:space="preserve"> </w:t>
      </w:r>
      <w:r>
        <w:t>评</w:t>
      </w:r>
      <w:r>
        <w:tab/>
      </w:r>
      <w:r>
        <w:t>标</w:t>
      </w:r>
    </w:p>
    <w:p>
      <w:pPr>
        <w:pStyle w:val="5"/>
        <w:numPr>
          <w:ilvl w:val="0"/>
          <w:numId w:val="17"/>
        </w:numPr>
        <w:tabs>
          <w:tab w:val="left" w:pos="1599"/>
        </w:tabs>
        <w:spacing w:before="186" w:after="0" w:line="240" w:lineRule="auto"/>
        <w:ind w:left="1598" w:right="0" w:hanging="482"/>
        <w:jc w:val="left"/>
        <w:rPr>
          <w:sz w:val="22"/>
        </w:rPr>
      </w:pPr>
      <w:r>
        <w:t>开标报价</w:t>
      </w:r>
    </w:p>
    <w:p>
      <w:pPr>
        <w:pStyle w:val="2"/>
        <w:numPr>
          <w:ilvl w:val="1"/>
          <w:numId w:val="17"/>
        </w:numPr>
        <w:tabs>
          <w:tab w:val="left" w:pos="1720"/>
        </w:tabs>
        <w:spacing w:before="161" w:after="0" w:line="240" w:lineRule="auto"/>
        <w:ind w:left="1720" w:right="0" w:hanging="603"/>
        <w:jc w:val="both"/>
        <w:rPr>
          <w:b/>
          <w:sz w:val="24"/>
        </w:rPr>
      </w:pPr>
      <w:r>
        <w:rPr>
          <w:b/>
          <w:sz w:val="24"/>
        </w:rPr>
        <w:t>评标依据</w:t>
      </w:r>
    </w:p>
    <w:p>
      <w:pPr>
        <w:pStyle w:val="2"/>
        <w:numPr>
          <w:ilvl w:val="2"/>
          <w:numId w:val="17"/>
        </w:numPr>
        <w:tabs>
          <w:tab w:val="left" w:pos="1960"/>
        </w:tabs>
        <w:spacing w:before="160" w:after="0" w:line="364" w:lineRule="auto"/>
        <w:ind w:left="637" w:right="1248" w:firstLine="480"/>
        <w:jc w:val="both"/>
        <w:rPr>
          <w:sz w:val="24"/>
        </w:rPr>
      </w:pPr>
      <w:r>
        <w:rPr>
          <w:sz w:val="24"/>
        </w:rPr>
        <w:t>招标文件是评标的唯一依据。评标委员会评标要依据招标方的公开招标文件和投标方的投标文件进行比较与评标。</w:t>
      </w:r>
    </w:p>
    <w:p>
      <w:pPr>
        <w:pStyle w:val="2"/>
        <w:numPr>
          <w:ilvl w:val="2"/>
          <w:numId w:val="17"/>
        </w:numPr>
        <w:tabs>
          <w:tab w:val="left" w:pos="1960"/>
        </w:tabs>
        <w:spacing w:before="2" w:after="0" w:line="364" w:lineRule="auto"/>
        <w:ind w:left="637" w:right="1249" w:firstLine="480"/>
        <w:jc w:val="both"/>
        <w:rPr>
          <w:sz w:val="24"/>
        </w:rPr>
      </w:pPr>
      <w:r>
        <w:rPr>
          <w:sz w:val="24"/>
        </w:rPr>
        <w:t>招标文件中的主要产品或金额大的产品，提供相同品牌产品且通过资</w:t>
      </w:r>
      <w:r>
        <w:rPr>
          <w:spacing w:val="-5"/>
          <w:sz w:val="24"/>
        </w:rPr>
        <w:t>格审查、符合性审查的不同投标人，按一家投标人计算，评审后得分最高的同品牌</w:t>
      </w:r>
      <w:r>
        <w:rPr>
          <w:sz w:val="24"/>
        </w:rPr>
        <w:t>投标人获得中标人推荐资格。</w:t>
      </w:r>
    </w:p>
    <w:p>
      <w:pPr>
        <w:pStyle w:val="2"/>
        <w:numPr>
          <w:ilvl w:val="2"/>
          <w:numId w:val="17"/>
        </w:numPr>
        <w:tabs>
          <w:tab w:val="left" w:pos="1960"/>
        </w:tabs>
        <w:spacing w:before="1" w:after="0" w:line="364" w:lineRule="auto"/>
        <w:ind w:left="637" w:right="1129" w:firstLine="480"/>
        <w:jc w:val="left"/>
        <w:rPr>
          <w:sz w:val="24"/>
        </w:rPr>
      </w:pPr>
      <w:r>
        <w:rPr>
          <w:sz w:val="24"/>
        </w:rPr>
        <w:t>当发现投标人的投标文件有以下情形时，将认定为有串标嫌疑而对其</w:t>
      </w:r>
      <w:r>
        <w:rPr>
          <w:spacing w:val="-13"/>
          <w:sz w:val="24"/>
        </w:rPr>
        <w:t xml:space="preserve">予以废标：总报价相近，但其中分项报价不合理，且没有合理解释的；总报价相近， </w:t>
      </w:r>
      <w:r>
        <w:rPr>
          <w:spacing w:val="-11"/>
          <w:sz w:val="24"/>
        </w:rPr>
        <w:t xml:space="preserve">且其中款项报价雷同，又提不出计算依据的；总报价相近，数项子目单价完全相同， </w:t>
      </w:r>
      <w:r>
        <w:rPr>
          <w:spacing w:val="-3"/>
          <w:sz w:val="24"/>
        </w:rPr>
        <w:t>且提不出合理的单价组成的；总报价相近，主要材料设备价格极其相近的；总价相</w:t>
      </w:r>
      <w:r>
        <w:fldChar w:fldCharType="begin"/>
      </w:r>
      <w:r>
        <w:instrText xml:space="preserve"> HYPERLINK "http://www.shenmeshi.com/Education/Education_20070429223431.html" \h </w:instrText>
      </w:r>
      <w:r>
        <w:fldChar w:fldCharType="separate"/>
      </w:r>
      <w:r>
        <w:rPr>
          <w:spacing w:val="-3"/>
          <w:sz w:val="24"/>
        </w:rPr>
        <w:t>同，没有成本分析</w:t>
      </w:r>
      <w:r>
        <w:rPr>
          <w:spacing w:val="-3"/>
          <w:sz w:val="24"/>
        </w:rPr>
        <w:fldChar w:fldCharType="end"/>
      </w:r>
      <w:r>
        <w:rPr>
          <w:spacing w:val="-3"/>
          <w:sz w:val="24"/>
        </w:rPr>
        <w:t>，分项乱调的；几个投标人的</w:t>
      </w:r>
      <w:r>
        <w:fldChar w:fldCharType="begin"/>
      </w:r>
      <w:r>
        <w:instrText xml:space="preserve"> HYPERLINK "http://www.shenmeshi.com/Science/Index.html" \h </w:instrText>
      </w:r>
      <w:r>
        <w:fldChar w:fldCharType="separate"/>
      </w:r>
      <w:r>
        <w:rPr>
          <w:spacing w:val="-3"/>
          <w:sz w:val="24"/>
        </w:rPr>
        <w:t>技术</w:t>
      </w:r>
      <w:r>
        <w:rPr>
          <w:spacing w:val="-3"/>
          <w:sz w:val="24"/>
        </w:rPr>
        <w:fldChar w:fldCharType="end"/>
      </w:r>
      <w:r>
        <w:rPr>
          <w:spacing w:val="-3"/>
          <w:sz w:val="24"/>
        </w:rPr>
        <w:t>标都雷同的。</w:t>
      </w:r>
    </w:p>
    <w:p>
      <w:pPr>
        <w:pStyle w:val="2"/>
        <w:numPr>
          <w:ilvl w:val="2"/>
          <w:numId w:val="17"/>
        </w:numPr>
        <w:tabs>
          <w:tab w:val="left" w:pos="1960"/>
        </w:tabs>
        <w:spacing w:before="3" w:after="0" w:line="240" w:lineRule="auto"/>
        <w:ind w:left="1960" w:right="0" w:hanging="840"/>
        <w:jc w:val="left"/>
        <w:rPr>
          <w:sz w:val="24"/>
        </w:rPr>
      </w:pPr>
      <w:r>
        <w:rPr>
          <w:sz w:val="24"/>
        </w:rPr>
        <w:t>本次评标采取</w:t>
      </w:r>
      <w:r>
        <w:rPr>
          <w:b/>
          <w:spacing w:val="-1"/>
          <w:sz w:val="24"/>
          <w:u w:val="single"/>
        </w:rPr>
        <w:t>综合评分法</w:t>
      </w:r>
      <w:r>
        <w:rPr>
          <w:sz w:val="24"/>
        </w:rPr>
        <w:t>。</w:t>
      </w:r>
    </w:p>
    <w:p>
      <w:pPr>
        <w:pStyle w:val="5"/>
        <w:numPr>
          <w:ilvl w:val="1"/>
          <w:numId w:val="17"/>
        </w:numPr>
        <w:tabs>
          <w:tab w:val="left" w:pos="1723"/>
        </w:tabs>
        <w:spacing w:before="161" w:after="0" w:line="240" w:lineRule="auto"/>
        <w:ind w:left="1722" w:right="0" w:hanging="603"/>
        <w:jc w:val="left"/>
      </w:pPr>
      <w:r>
        <w:t>评标过程的保密性</w:t>
      </w:r>
    </w:p>
    <w:p>
      <w:pPr>
        <w:pStyle w:val="2"/>
        <w:numPr>
          <w:ilvl w:val="2"/>
          <w:numId w:val="17"/>
        </w:numPr>
        <w:tabs>
          <w:tab w:val="left" w:pos="1960"/>
        </w:tabs>
        <w:spacing w:before="160" w:after="0" w:line="364" w:lineRule="auto"/>
        <w:ind w:left="637" w:right="1248" w:firstLine="480"/>
        <w:jc w:val="left"/>
        <w:rPr>
          <w:sz w:val="24"/>
        </w:rPr>
      </w:pPr>
      <w:r>
        <w:rPr>
          <w:sz w:val="24"/>
        </w:rPr>
        <w:t>所有与本次招标及评标有关的人员，均不得向供应商及与招标项目无关的其他人员，透露与评标有关的资料以及授予合同的意见等。</w:t>
      </w:r>
    </w:p>
    <w:p>
      <w:pPr>
        <w:pStyle w:val="2"/>
        <w:numPr>
          <w:ilvl w:val="2"/>
          <w:numId w:val="17"/>
        </w:numPr>
        <w:tabs>
          <w:tab w:val="left" w:pos="1960"/>
        </w:tabs>
        <w:spacing w:before="2" w:after="0" w:line="240" w:lineRule="auto"/>
        <w:ind w:left="1960" w:right="0" w:hanging="843"/>
        <w:jc w:val="left"/>
        <w:rPr>
          <w:sz w:val="24"/>
        </w:rPr>
      </w:pPr>
      <w:r>
        <w:rPr>
          <w:sz w:val="24"/>
        </w:rPr>
        <w:t>在评标过程中，供应商试图在投标文件审查、报价、询标（</w:t>
      </w:r>
      <w:r>
        <w:rPr>
          <w:spacing w:val="2"/>
          <w:sz w:val="24"/>
        </w:rPr>
        <w:t>答疑</w:t>
      </w:r>
      <w:r>
        <w:rPr>
          <w:sz w:val="24"/>
        </w:rPr>
        <w:t>）、</w:t>
      </w:r>
    </w:p>
    <w:p>
      <w:pPr>
        <w:pStyle w:val="10"/>
        <w:spacing w:before="90" w:line="364" w:lineRule="auto"/>
        <w:ind w:right="1203"/>
      </w:pPr>
      <w:r>
        <w:t>澄清、比较及授予合同方面向采购人员施加影响的任何行为，都可能导致其投标文件被拒绝。</w:t>
      </w:r>
    </w:p>
    <w:p>
      <w:pPr>
        <w:pStyle w:val="2"/>
        <w:numPr>
          <w:ilvl w:val="2"/>
          <w:numId w:val="17"/>
        </w:numPr>
        <w:tabs>
          <w:tab w:val="left" w:pos="1958"/>
        </w:tabs>
        <w:spacing w:before="1" w:after="0" w:line="364" w:lineRule="auto"/>
        <w:ind w:left="637" w:right="1129" w:firstLine="480"/>
        <w:jc w:val="left"/>
        <w:rPr>
          <w:sz w:val="24"/>
        </w:rPr>
      </w:pPr>
      <w:r>
        <w:rPr>
          <w:spacing w:val="-9"/>
          <w:sz w:val="24"/>
        </w:rPr>
        <w:t>开标后直到授予投标人合同为止，凡是属于审查、报价、询标</w:t>
      </w:r>
      <w:r>
        <w:rPr>
          <w:sz w:val="24"/>
        </w:rPr>
        <w:t>（答疑</w:t>
      </w:r>
      <w:r>
        <w:rPr>
          <w:spacing w:val="-120"/>
          <w:sz w:val="24"/>
        </w:rPr>
        <w:t>）</w:t>
      </w:r>
      <w:r>
        <w:rPr>
          <w:spacing w:val="-18"/>
          <w:sz w:val="24"/>
        </w:rPr>
        <w:t>、</w:t>
      </w:r>
      <w:r>
        <w:rPr>
          <w:spacing w:val="-4"/>
          <w:sz w:val="24"/>
        </w:rPr>
        <w:t>澄清、评价和比较的有关资料以及授标建议等，评标委员会成员或参与评标的有关</w:t>
      </w:r>
      <w:r>
        <w:rPr>
          <w:spacing w:val="-6"/>
          <w:sz w:val="24"/>
        </w:rPr>
        <w:t>工作人员均不得向投标人或其他无关的人员透露，违者给予警告、取消担任评标委员会成员的资格，不得再参加任何投标项目的评标。</w:t>
      </w:r>
    </w:p>
    <w:p>
      <w:pPr>
        <w:pStyle w:val="2"/>
        <w:numPr>
          <w:ilvl w:val="2"/>
          <w:numId w:val="17"/>
        </w:numPr>
        <w:tabs>
          <w:tab w:val="left" w:pos="1960"/>
        </w:tabs>
        <w:spacing w:before="2" w:after="0" w:line="364" w:lineRule="auto"/>
        <w:ind w:left="637" w:right="1248" w:firstLine="480"/>
        <w:jc w:val="left"/>
        <w:rPr>
          <w:sz w:val="24"/>
        </w:rPr>
      </w:pPr>
      <w:r>
        <w:rPr>
          <w:sz w:val="24"/>
        </w:rPr>
        <w:t>投标人在评标过程中，所进行的力图影响评标结果的不符合《政府采购法》及本次招标有关规定的活动，将被取消中标资格。</w:t>
      </w:r>
    </w:p>
    <w:p>
      <w:pPr>
        <w:pStyle w:val="5"/>
        <w:numPr>
          <w:ilvl w:val="1"/>
          <w:numId w:val="17"/>
        </w:numPr>
        <w:tabs>
          <w:tab w:val="left" w:pos="1720"/>
        </w:tabs>
        <w:spacing w:before="2" w:after="0" w:line="240" w:lineRule="auto"/>
        <w:ind w:left="1720" w:right="0" w:hanging="603"/>
        <w:jc w:val="left"/>
      </w:pPr>
      <w:r>
        <w:t>评标有关规定要求</w:t>
      </w:r>
    </w:p>
    <w:p>
      <w:pPr>
        <w:pStyle w:val="2"/>
        <w:numPr>
          <w:ilvl w:val="2"/>
          <w:numId w:val="17"/>
        </w:numPr>
        <w:tabs>
          <w:tab w:val="left" w:pos="1960"/>
        </w:tabs>
        <w:spacing w:before="160" w:after="0" w:line="364" w:lineRule="auto"/>
        <w:ind w:left="637" w:right="1245" w:firstLine="480"/>
        <w:jc w:val="both"/>
        <w:rPr>
          <w:sz w:val="24"/>
        </w:rPr>
      </w:pPr>
      <w:r>
        <w:rPr>
          <w:sz w:val="24"/>
        </w:rPr>
        <w:t>各投标供应商严格遵守前款“第三部分”中10.7条款之规定，在招标方规定时间进行评标。</w:t>
      </w:r>
    </w:p>
    <w:p>
      <w:pPr>
        <w:pStyle w:val="2"/>
        <w:numPr>
          <w:ilvl w:val="2"/>
          <w:numId w:val="17"/>
        </w:numPr>
        <w:tabs>
          <w:tab w:val="left" w:pos="1960"/>
        </w:tabs>
        <w:spacing w:before="1" w:after="0" w:line="364" w:lineRule="auto"/>
        <w:ind w:left="637" w:right="1248" w:firstLine="480"/>
        <w:jc w:val="both"/>
        <w:rPr>
          <w:sz w:val="24"/>
        </w:rPr>
      </w:pPr>
      <w:r>
        <w:rPr>
          <w:sz w:val="24"/>
        </w:rPr>
        <w:t>评标、报价、询标（</w:t>
      </w:r>
      <w:r>
        <w:rPr>
          <w:spacing w:val="2"/>
          <w:sz w:val="24"/>
        </w:rPr>
        <w:t>答疑</w:t>
      </w:r>
      <w:r>
        <w:rPr>
          <w:spacing w:val="4"/>
          <w:sz w:val="24"/>
        </w:rPr>
        <w:t>）</w:t>
      </w:r>
      <w:r>
        <w:rPr>
          <w:sz w:val="24"/>
        </w:rPr>
        <w:t>、澄清应按照投标供应商递交投标文件的正顺序进行。</w:t>
      </w:r>
    </w:p>
    <w:p>
      <w:pPr>
        <w:pStyle w:val="2"/>
        <w:numPr>
          <w:ilvl w:val="2"/>
          <w:numId w:val="17"/>
        </w:numPr>
        <w:tabs>
          <w:tab w:val="left" w:pos="1960"/>
        </w:tabs>
        <w:spacing w:before="2" w:after="0" w:line="364" w:lineRule="auto"/>
        <w:ind w:left="637" w:right="1243" w:firstLine="480"/>
        <w:jc w:val="both"/>
        <w:rPr>
          <w:sz w:val="24"/>
        </w:rPr>
      </w:pPr>
      <w:r>
        <w:rPr>
          <w:sz w:val="24"/>
        </w:rPr>
        <w:t>评标委员会成员和与本次评标活动有关的工作人员，应遵循前款“第</w:t>
      </w:r>
      <w:r>
        <w:rPr>
          <w:spacing w:val="-12"/>
          <w:sz w:val="24"/>
        </w:rPr>
        <w:t xml:space="preserve">四部分”“第四章”中 </w:t>
      </w:r>
      <w:r>
        <w:rPr>
          <w:sz w:val="24"/>
        </w:rPr>
        <w:t>21.2</w:t>
      </w:r>
      <w:r>
        <w:rPr>
          <w:spacing w:val="-3"/>
          <w:sz w:val="24"/>
        </w:rPr>
        <w:t xml:space="preserve"> 条款、</w:t>
      </w:r>
      <w:r>
        <w:rPr>
          <w:sz w:val="24"/>
        </w:rPr>
        <w:t>21.3</w:t>
      </w:r>
      <w:r>
        <w:rPr>
          <w:spacing w:val="-18"/>
          <w:sz w:val="24"/>
        </w:rPr>
        <w:t xml:space="preserve"> 条款、</w:t>
      </w:r>
      <w:r>
        <w:rPr>
          <w:sz w:val="24"/>
        </w:rPr>
        <w:t>21.4</w:t>
      </w:r>
      <w:r>
        <w:rPr>
          <w:spacing w:val="-18"/>
          <w:sz w:val="24"/>
        </w:rPr>
        <w:t xml:space="preserve"> 条款、</w:t>
      </w:r>
      <w:r>
        <w:rPr>
          <w:sz w:val="24"/>
        </w:rPr>
        <w:t>21.5</w:t>
      </w:r>
      <w:r>
        <w:rPr>
          <w:spacing w:val="-24"/>
          <w:sz w:val="24"/>
        </w:rPr>
        <w:t xml:space="preserve"> 条款和 </w:t>
      </w:r>
      <w:r>
        <w:rPr>
          <w:sz w:val="24"/>
        </w:rPr>
        <w:t>22.</w:t>
      </w:r>
      <w:r>
        <w:rPr>
          <w:spacing w:val="-6"/>
          <w:sz w:val="24"/>
        </w:rPr>
        <w:t>条款之</w:t>
      </w:r>
      <w:r>
        <w:rPr>
          <w:sz w:val="24"/>
        </w:rPr>
        <w:t>规定。</w:t>
      </w:r>
    </w:p>
    <w:p>
      <w:pPr>
        <w:pStyle w:val="2"/>
        <w:numPr>
          <w:ilvl w:val="2"/>
          <w:numId w:val="17"/>
        </w:numPr>
        <w:tabs>
          <w:tab w:val="left" w:pos="1898"/>
        </w:tabs>
        <w:spacing w:before="1" w:after="0" w:line="364" w:lineRule="auto"/>
        <w:ind w:left="637" w:right="1166" w:firstLine="480"/>
        <w:jc w:val="both"/>
        <w:rPr>
          <w:sz w:val="24"/>
        </w:rPr>
      </w:pPr>
      <w:r>
        <w:rPr>
          <w:spacing w:val="-1"/>
          <w:sz w:val="24"/>
        </w:rPr>
        <w:t xml:space="preserve">评标现场凡供应商提供所涉及的投标资料，严格按照前款“第三部分” </w:t>
      </w:r>
      <w:r>
        <w:rPr>
          <w:spacing w:val="-30"/>
          <w:sz w:val="24"/>
        </w:rPr>
        <w:t xml:space="preserve">中 </w:t>
      </w:r>
      <w:r>
        <w:rPr>
          <w:sz w:val="24"/>
        </w:rPr>
        <w:t>10.4</w:t>
      </w:r>
      <w:r>
        <w:rPr>
          <w:spacing w:val="-10"/>
          <w:sz w:val="24"/>
        </w:rPr>
        <w:t xml:space="preserve"> 条款执行。</w:t>
      </w:r>
    </w:p>
    <w:p>
      <w:pPr>
        <w:pStyle w:val="2"/>
        <w:numPr>
          <w:ilvl w:val="2"/>
          <w:numId w:val="17"/>
        </w:numPr>
        <w:tabs>
          <w:tab w:val="left" w:pos="1960"/>
        </w:tabs>
        <w:spacing w:before="2" w:after="0" w:line="364" w:lineRule="auto"/>
        <w:ind w:left="637" w:right="1249" w:firstLine="480"/>
        <w:jc w:val="both"/>
        <w:rPr>
          <w:sz w:val="24"/>
        </w:rPr>
      </w:pPr>
      <w:r>
        <w:rPr>
          <w:sz w:val="24"/>
        </w:rPr>
        <w:t>招标方要对当事双方的评标、报价、询标（</w:t>
      </w:r>
      <w:r>
        <w:rPr>
          <w:spacing w:val="2"/>
          <w:sz w:val="24"/>
        </w:rPr>
        <w:t>答疑</w:t>
      </w:r>
      <w:r>
        <w:rPr>
          <w:spacing w:val="4"/>
          <w:sz w:val="24"/>
        </w:rPr>
        <w:t>）</w:t>
      </w:r>
      <w:r>
        <w:rPr>
          <w:sz w:val="24"/>
        </w:rPr>
        <w:t>、澄清等，做好书</w:t>
      </w:r>
      <w:r>
        <w:rPr>
          <w:spacing w:val="-5"/>
          <w:sz w:val="24"/>
        </w:rPr>
        <w:t>面记录，经评标委员会、投标供应商签字确认的记录与招标文件、投标供应商投标</w:t>
      </w:r>
      <w:r>
        <w:rPr>
          <w:spacing w:val="-3"/>
          <w:sz w:val="24"/>
        </w:rPr>
        <w:t>文件具有同等法律地位；也是供应商一旦中标后，与采购人签订中标合同和发生质</w:t>
      </w:r>
      <w:r>
        <w:rPr>
          <w:sz w:val="24"/>
        </w:rPr>
        <w:t>疑或投诉事项时的重要法律依据。</w:t>
      </w:r>
    </w:p>
    <w:p>
      <w:pPr>
        <w:pStyle w:val="2"/>
        <w:numPr>
          <w:ilvl w:val="2"/>
          <w:numId w:val="17"/>
        </w:numPr>
        <w:tabs>
          <w:tab w:val="left" w:pos="1960"/>
        </w:tabs>
        <w:spacing w:before="2" w:after="0" w:line="364" w:lineRule="auto"/>
        <w:ind w:left="637" w:right="1249" w:firstLine="480"/>
        <w:jc w:val="both"/>
        <w:rPr>
          <w:sz w:val="24"/>
        </w:rPr>
      </w:pPr>
      <w:r>
        <w:rPr>
          <w:sz w:val="24"/>
        </w:rPr>
        <w:t>评标委员会各成员应在招标方规定时间内阅读和熟悉招标文件，当要</w:t>
      </w:r>
      <w:r>
        <w:rPr>
          <w:spacing w:val="-3"/>
          <w:sz w:val="24"/>
        </w:rPr>
        <w:t>提出招标文件疑问事项时，应由招标方本次招标项目的责任人作为主体解答者，解</w:t>
      </w:r>
      <w:r>
        <w:rPr>
          <w:sz w:val="24"/>
        </w:rPr>
        <w:t>答不清的，由会议主持进行补充解答。</w:t>
      </w:r>
    </w:p>
    <w:p>
      <w:pPr>
        <w:pStyle w:val="5"/>
        <w:numPr>
          <w:ilvl w:val="1"/>
          <w:numId w:val="17"/>
        </w:numPr>
        <w:tabs>
          <w:tab w:val="left" w:pos="1720"/>
        </w:tabs>
        <w:spacing w:before="2" w:after="0" w:line="240" w:lineRule="auto"/>
        <w:ind w:left="1720" w:right="0" w:hanging="603"/>
        <w:jc w:val="both"/>
      </w:pPr>
      <w:r>
        <w:rPr>
          <w:w w:val="95"/>
        </w:rPr>
        <w:t>报价</w:t>
      </w:r>
    </w:p>
    <w:p>
      <w:pPr>
        <w:pStyle w:val="2"/>
        <w:numPr>
          <w:ilvl w:val="2"/>
          <w:numId w:val="17"/>
        </w:numPr>
        <w:tabs>
          <w:tab w:val="left" w:pos="1963"/>
        </w:tabs>
        <w:spacing w:before="160" w:after="0" w:line="240" w:lineRule="auto"/>
        <w:ind w:left="1962" w:right="0" w:hanging="846"/>
        <w:jc w:val="both"/>
        <w:rPr>
          <w:b/>
          <w:sz w:val="24"/>
        </w:rPr>
      </w:pPr>
      <w:r>
        <w:rPr>
          <w:b/>
          <w:sz w:val="24"/>
        </w:rPr>
        <w:t>投标报价的审查和原则要求</w:t>
      </w:r>
    </w:p>
    <w:p>
      <w:pPr>
        <w:pStyle w:val="2"/>
        <w:numPr>
          <w:ilvl w:val="3"/>
          <w:numId w:val="17"/>
        </w:numPr>
        <w:tabs>
          <w:tab w:val="left" w:pos="2200"/>
        </w:tabs>
        <w:spacing w:before="161" w:after="0" w:line="364" w:lineRule="auto"/>
        <w:ind w:left="637" w:right="1248" w:firstLine="480"/>
        <w:jc w:val="both"/>
        <w:rPr>
          <w:sz w:val="24"/>
        </w:rPr>
      </w:pPr>
      <w:r>
        <w:rPr>
          <w:sz w:val="24"/>
        </w:rPr>
        <w:t>招标方应须对评标委员会确定为实质上响应招标文件要求的投标文件中的价格进行审核，检查看其是否有计算和累加上的错误。</w:t>
      </w:r>
    </w:p>
    <w:p>
      <w:pPr>
        <w:pStyle w:val="2"/>
        <w:numPr>
          <w:ilvl w:val="3"/>
          <w:numId w:val="17"/>
        </w:numPr>
        <w:tabs>
          <w:tab w:val="left" w:pos="2200"/>
        </w:tabs>
        <w:spacing w:before="90" w:after="0" w:line="364" w:lineRule="auto"/>
        <w:ind w:left="637" w:right="1249" w:firstLine="480"/>
        <w:jc w:val="both"/>
        <w:rPr>
          <w:sz w:val="24"/>
        </w:rPr>
      </w:pPr>
      <w:r>
        <w:rPr>
          <w:sz w:val="24"/>
        </w:rPr>
        <w:t>修正错误的原则。如大写金额与小写金额不一致的，以大写金额为</w:t>
      </w:r>
      <w:r>
        <w:rPr>
          <w:spacing w:val="-6"/>
          <w:sz w:val="24"/>
        </w:rPr>
        <w:t>准；总价金额与按单价汇总金额不一致的，以单价金额计算结果为准；单价金额小</w:t>
      </w:r>
      <w:r>
        <w:rPr>
          <w:spacing w:val="-4"/>
          <w:sz w:val="24"/>
        </w:rPr>
        <w:t>数点有明显错位的，以总价为准，并修改单价；对不同文字文本投标文件的解释发</w:t>
      </w:r>
      <w:r>
        <w:rPr>
          <w:spacing w:val="-5"/>
          <w:sz w:val="24"/>
        </w:rPr>
        <w:t>生异议的，以中文文本为准。按上述原则调整后的价格为评标价，对供应商具有约</w:t>
      </w:r>
      <w:r>
        <w:rPr>
          <w:spacing w:val="-6"/>
          <w:sz w:val="24"/>
        </w:rPr>
        <w:t>束力。如果供应商不接受修正后的价格，则其报价将被拒绝，其投标报价保证金将</w:t>
      </w:r>
      <w:r>
        <w:rPr>
          <w:sz w:val="24"/>
        </w:rPr>
        <w:t>被没收。</w:t>
      </w:r>
    </w:p>
    <w:p>
      <w:pPr>
        <w:pStyle w:val="2"/>
        <w:numPr>
          <w:ilvl w:val="3"/>
          <w:numId w:val="17"/>
        </w:numPr>
        <w:tabs>
          <w:tab w:val="left" w:pos="2200"/>
        </w:tabs>
        <w:spacing w:before="3" w:after="0" w:line="364" w:lineRule="auto"/>
        <w:ind w:left="637" w:right="1248" w:firstLine="480"/>
        <w:jc w:val="both"/>
        <w:rPr>
          <w:sz w:val="24"/>
        </w:rPr>
      </w:pPr>
      <w:r>
        <w:rPr>
          <w:sz w:val="24"/>
        </w:rPr>
        <w:t>招标方按照规定时间，应检查所有投标文件的密封情况，确认无误后，以书面记录分别对投标供应商的报价单统一启封后，进行公开唱标、记标。</w:t>
      </w:r>
    </w:p>
    <w:p>
      <w:pPr>
        <w:pStyle w:val="2"/>
        <w:numPr>
          <w:ilvl w:val="3"/>
          <w:numId w:val="17"/>
        </w:numPr>
        <w:tabs>
          <w:tab w:val="left" w:pos="2200"/>
        </w:tabs>
        <w:spacing w:before="2" w:after="0" w:line="240" w:lineRule="auto"/>
        <w:ind w:left="2200" w:right="0" w:hanging="1080"/>
        <w:jc w:val="both"/>
        <w:rPr>
          <w:sz w:val="24"/>
        </w:rPr>
      </w:pPr>
      <w:r>
        <w:rPr>
          <w:sz w:val="24"/>
        </w:rPr>
        <w:t>报价采取密封的形式提交，采用一次性报价方式，且为最终报价。</w:t>
      </w:r>
    </w:p>
    <w:p>
      <w:pPr>
        <w:pStyle w:val="2"/>
        <w:numPr>
          <w:ilvl w:val="3"/>
          <w:numId w:val="17"/>
        </w:numPr>
        <w:tabs>
          <w:tab w:val="left" w:pos="2200"/>
        </w:tabs>
        <w:spacing w:before="160" w:after="0" w:line="240" w:lineRule="auto"/>
        <w:ind w:left="2200" w:right="0" w:hanging="1080"/>
        <w:jc w:val="both"/>
        <w:rPr>
          <w:sz w:val="24"/>
        </w:rPr>
      </w:pPr>
      <w:r>
        <w:rPr>
          <w:sz w:val="24"/>
        </w:rPr>
        <w:t>投标供应商的报价均应报出拟提供货物的单价和总价。</w:t>
      </w:r>
    </w:p>
    <w:p>
      <w:pPr>
        <w:pStyle w:val="2"/>
        <w:numPr>
          <w:ilvl w:val="3"/>
          <w:numId w:val="17"/>
        </w:numPr>
        <w:tabs>
          <w:tab w:val="left" w:pos="2200"/>
        </w:tabs>
        <w:spacing w:before="161" w:after="0" w:line="364" w:lineRule="auto"/>
        <w:ind w:left="637" w:right="1249" w:firstLine="480"/>
        <w:jc w:val="both"/>
        <w:rPr>
          <w:sz w:val="24"/>
        </w:rPr>
      </w:pPr>
      <w:r>
        <w:rPr>
          <w:sz w:val="24"/>
        </w:rPr>
        <w:t>投标供应商的报价采取现场公开的方式进行唱标记标，报价时现场</w:t>
      </w:r>
      <w:r>
        <w:rPr>
          <w:spacing w:val="-4"/>
          <w:sz w:val="24"/>
        </w:rPr>
        <w:t>不接受涂改、不合规更正的报价单，不允许投标供应商与外界有任何方式的联系和</w:t>
      </w:r>
      <w:r>
        <w:rPr>
          <w:sz w:val="24"/>
        </w:rPr>
        <w:t>沟通，且现场均不接受二次提供。否则，将直接取消其投标报价资格。</w:t>
      </w:r>
    </w:p>
    <w:p>
      <w:pPr>
        <w:pStyle w:val="2"/>
        <w:numPr>
          <w:ilvl w:val="3"/>
          <w:numId w:val="17"/>
        </w:numPr>
        <w:tabs>
          <w:tab w:val="left" w:pos="2200"/>
        </w:tabs>
        <w:spacing w:before="1" w:after="0" w:line="364" w:lineRule="auto"/>
        <w:ind w:left="637" w:right="1249" w:firstLine="482"/>
        <w:jc w:val="both"/>
        <w:rPr>
          <w:sz w:val="24"/>
        </w:rPr>
      </w:pPr>
      <w:r>
        <w:rPr>
          <w:spacing w:val="-8"/>
          <w:sz w:val="24"/>
        </w:rPr>
        <w:t>各投标供应商须按照招标方规定的时间进行报价，严格遵守前款“第</w:t>
      </w:r>
      <w:r>
        <w:rPr>
          <w:sz w:val="24"/>
        </w:rPr>
        <w:t>三部分”中10.7条款、10.8条款之规定。</w:t>
      </w:r>
    </w:p>
    <w:p>
      <w:pPr>
        <w:pStyle w:val="5"/>
        <w:numPr>
          <w:ilvl w:val="2"/>
          <w:numId w:val="17"/>
        </w:numPr>
        <w:tabs>
          <w:tab w:val="left" w:pos="1963"/>
        </w:tabs>
        <w:spacing w:before="2" w:after="0" w:line="240" w:lineRule="auto"/>
        <w:ind w:left="1962" w:right="0" w:hanging="846"/>
        <w:jc w:val="both"/>
      </w:pPr>
      <w:r>
        <w:t>唱标、记标</w:t>
      </w:r>
    </w:p>
    <w:p>
      <w:pPr>
        <w:pStyle w:val="2"/>
        <w:numPr>
          <w:ilvl w:val="3"/>
          <w:numId w:val="17"/>
        </w:numPr>
        <w:tabs>
          <w:tab w:val="left" w:pos="2203"/>
        </w:tabs>
        <w:spacing w:before="160" w:after="0" w:line="364" w:lineRule="auto"/>
        <w:ind w:left="637" w:right="1226" w:firstLine="482"/>
        <w:jc w:val="both"/>
        <w:rPr>
          <w:sz w:val="24"/>
        </w:rPr>
      </w:pPr>
      <w:r>
        <w:rPr>
          <w:sz w:val="24"/>
        </w:rPr>
        <w:t>招标方对投标报价登记确认、资格资质审查合格，及对招标文件做</w:t>
      </w:r>
      <w:r>
        <w:rPr>
          <w:spacing w:val="-2"/>
          <w:sz w:val="24"/>
        </w:rPr>
        <w:t>出实质性响应的供应商的报价，要给予每个正在参加评标的供应商相同的机会，并</w:t>
      </w:r>
      <w:r>
        <w:rPr>
          <w:spacing w:val="-3"/>
          <w:sz w:val="24"/>
        </w:rPr>
        <w:t xml:space="preserve">对报价采取公开的方式，按照供应商递交投标文件的正顺序，采取书面记录方式， </w:t>
      </w:r>
      <w:r>
        <w:rPr>
          <w:spacing w:val="-2"/>
          <w:sz w:val="24"/>
        </w:rPr>
        <w:t>在开标现场当场进行唱标公布。该报价只允许有一个报价，投标供应商任何有选择性的报价将不予接受。</w:t>
      </w:r>
    </w:p>
    <w:p>
      <w:pPr>
        <w:pStyle w:val="2"/>
        <w:numPr>
          <w:ilvl w:val="3"/>
          <w:numId w:val="17"/>
        </w:numPr>
        <w:tabs>
          <w:tab w:val="left" w:pos="2200"/>
        </w:tabs>
        <w:spacing w:before="3" w:after="0" w:line="240" w:lineRule="auto"/>
        <w:ind w:left="2200" w:right="0" w:hanging="1080"/>
        <w:jc w:val="both"/>
        <w:rPr>
          <w:sz w:val="24"/>
        </w:rPr>
      </w:pPr>
      <w:r>
        <w:rPr>
          <w:sz w:val="24"/>
        </w:rPr>
        <w:t>报价以供应商提交的投标文件正本中“开标一览表”的内容为准。</w:t>
      </w:r>
    </w:p>
    <w:p>
      <w:pPr>
        <w:pStyle w:val="2"/>
        <w:numPr>
          <w:ilvl w:val="3"/>
          <w:numId w:val="17"/>
        </w:numPr>
        <w:tabs>
          <w:tab w:val="left" w:pos="2200"/>
        </w:tabs>
        <w:spacing w:before="161" w:after="0" w:line="364" w:lineRule="auto"/>
        <w:ind w:left="637" w:right="1248" w:firstLine="480"/>
        <w:jc w:val="both"/>
        <w:rPr>
          <w:sz w:val="24"/>
        </w:rPr>
      </w:pPr>
      <w:r>
        <w:rPr>
          <w:sz w:val="24"/>
        </w:rPr>
        <w:t>唱标和记标的顺序，按照投标供应商递交投标文件的正顺序依次进行。</w:t>
      </w:r>
    </w:p>
    <w:p>
      <w:pPr>
        <w:pStyle w:val="5"/>
        <w:numPr>
          <w:ilvl w:val="2"/>
          <w:numId w:val="17"/>
        </w:numPr>
        <w:tabs>
          <w:tab w:val="left" w:pos="1963"/>
        </w:tabs>
        <w:spacing w:before="1" w:after="0" w:line="240" w:lineRule="auto"/>
        <w:ind w:left="1962" w:right="0" w:hanging="846"/>
        <w:jc w:val="both"/>
      </w:pPr>
      <w:r>
        <w:t>最终报价是否均超过采购预算的审查确认</w:t>
      </w:r>
    </w:p>
    <w:p>
      <w:pPr>
        <w:pStyle w:val="2"/>
        <w:numPr>
          <w:ilvl w:val="3"/>
          <w:numId w:val="17"/>
        </w:numPr>
        <w:tabs>
          <w:tab w:val="left" w:pos="2200"/>
        </w:tabs>
        <w:spacing w:before="160" w:after="0" w:line="364" w:lineRule="auto"/>
        <w:ind w:left="637" w:right="1249" w:firstLine="480"/>
        <w:jc w:val="both"/>
        <w:rPr>
          <w:sz w:val="24"/>
        </w:rPr>
      </w:pPr>
      <w:r>
        <w:rPr>
          <w:sz w:val="24"/>
        </w:rPr>
        <w:t>报价唱标结束后，招标方须根据《中华人民共和国政府采购法》及</w:t>
      </w:r>
      <w:r>
        <w:rPr>
          <w:spacing w:val="-4"/>
          <w:sz w:val="24"/>
        </w:rPr>
        <w:t>招标文件的规定，按照最终报价不接受超过采购预算的原则，对最终报价是否均超</w:t>
      </w:r>
      <w:r>
        <w:rPr>
          <w:sz w:val="24"/>
        </w:rPr>
        <w:t>过采购预算进行审查确认，并现场公布结果。</w:t>
      </w:r>
    </w:p>
    <w:p>
      <w:pPr>
        <w:pStyle w:val="2"/>
        <w:numPr>
          <w:ilvl w:val="3"/>
          <w:numId w:val="17"/>
        </w:numPr>
        <w:tabs>
          <w:tab w:val="left" w:pos="2200"/>
        </w:tabs>
        <w:spacing w:before="2" w:after="0" w:line="240" w:lineRule="auto"/>
        <w:ind w:left="2200" w:right="0" w:hanging="1083"/>
        <w:jc w:val="both"/>
        <w:rPr>
          <w:sz w:val="24"/>
        </w:rPr>
      </w:pPr>
      <w:r>
        <w:rPr>
          <w:sz w:val="24"/>
        </w:rPr>
        <w:t>唱标结束后，如所有报价均超过采购预算，且采购人不能支付时，</w:t>
      </w:r>
    </w:p>
    <w:p>
      <w:pPr>
        <w:pStyle w:val="10"/>
        <w:spacing w:before="90" w:line="364" w:lineRule="auto"/>
        <w:ind w:right="1201"/>
      </w:pPr>
      <w:r>
        <w:t>招标方现场应宣布本次招标废标。出现此种情况时，评标委员会有权决定拒绝所有的投标文件。</w:t>
      </w:r>
    </w:p>
    <w:p>
      <w:pPr>
        <w:pStyle w:val="2"/>
        <w:numPr>
          <w:ilvl w:val="3"/>
          <w:numId w:val="17"/>
        </w:numPr>
        <w:tabs>
          <w:tab w:val="left" w:pos="2200"/>
        </w:tabs>
        <w:spacing w:before="1" w:after="0" w:line="364" w:lineRule="auto"/>
        <w:ind w:left="637" w:right="1129" w:firstLine="480"/>
        <w:jc w:val="left"/>
        <w:rPr>
          <w:sz w:val="24"/>
        </w:rPr>
      </w:pPr>
      <w:r>
        <w:rPr>
          <w:sz w:val="24"/>
        </w:rPr>
        <w:t>唱标结束后，如果没有超过采购预算的投标供应商只有二家时，且</w:t>
      </w:r>
      <w:r>
        <w:rPr>
          <w:spacing w:val="-12"/>
          <w:sz w:val="24"/>
        </w:rPr>
        <w:t>是第一次开标，招标方应中止谈判，重新组织采购；如果是第二次开标，按照公开、</w:t>
      </w:r>
      <w:r>
        <w:rPr>
          <w:spacing w:val="-3"/>
          <w:sz w:val="24"/>
        </w:rPr>
        <w:t>公平和竞争的原则，采购人、招标方可以书面提出转竞争性谈判方式采购，经批准后，按批准后的采购方式继续开标。</w:t>
      </w:r>
    </w:p>
    <w:p>
      <w:pPr>
        <w:pStyle w:val="2"/>
        <w:numPr>
          <w:ilvl w:val="3"/>
          <w:numId w:val="17"/>
        </w:numPr>
        <w:tabs>
          <w:tab w:val="left" w:pos="2200"/>
        </w:tabs>
        <w:spacing w:before="2" w:after="0" w:line="364" w:lineRule="auto"/>
        <w:ind w:left="637" w:right="1249" w:firstLine="480"/>
        <w:jc w:val="both"/>
        <w:rPr>
          <w:sz w:val="24"/>
        </w:rPr>
      </w:pPr>
      <w:r>
        <w:rPr>
          <w:sz w:val="24"/>
        </w:rPr>
        <w:t>唱标结束后，如果没有超过采购预算的投标供应商只有一家时，且</w:t>
      </w:r>
      <w:r>
        <w:rPr>
          <w:spacing w:val="-5"/>
          <w:sz w:val="24"/>
        </w:rPr>
        <w:t>是第一次开标，招标方应中止谈判，重新组织采购；如果是第二次开标，采购人和</w:t>
      </w:r>
      <w:r>
        <w:rPr>
          <w:spacing w:val="-3"/>
          <w:sz w:val="24"/>
        </w:rPr>
        <w:t>投标商既没有过不良行为记录，也不存在明显或恶意的投标倾向性行为，由评标委</w:t>
      </w:r>
      <w:r>
        <w:rPr>
          <w:spacing w:val="-2"/>
          <w:sz w:val="24"/>
        </w:rPr>
        <w:t>员会对其递交的投标文件和招标文件做出实质性响应进行审查确认后，采购人可以</w:t>
      </w:r>
      <w:r>
        <w:rPr>
          <w:spacing w:val="-3"/>
          <w:sz w:val="24"/>
        </w:rPr>
        <w:t>书面申请单一来源方式采购，经批准同意后，按批准后的采购方式依法按程序组织</w:t>
      </w:r>
      <w:r>
        <w:rPr>
          <w:sz w:val="24"/>
        </w:rPr>
        <w:t>采购。反之，则应直接作废标处理，并依法重新组织采购。</w:t>
      </w:r>
    </w:p>
    <w:p>
      <w:pPr>
        <w:pStyle w:val="5"/>
        <w:numPr>
          <w:ilvl w:val="1"/>
          <w:numId w:val="17"/>
        </w:numPr>
        <w:tabs>
          <w:tab w:val="left" w:pos="1720"/>
        </w:tabs>
        <w:spacing w:before="4" w:after="0" w:line="240" w:lineRule="auto"/>
        <w:ind w:left="1720" w:right="0" w:hanging="603"/>
        <w:jc w:val="both"/>
      </w:pPr>
      <w:r>
        <w:t>评标程序</w:t>
      </w:r>
    </w:p>
    <w:p>
      <w:pPr>
        <w:pStyle w:val="2"/>
        <w:numPr>
          <w:ilvl w:val="2"/>
          <w:numId w:val="17"/>
        </w:numPr>
        <w:tabs>
          <w:tab w:val="left" w:pos="1960"/>
        </w:tabs>
        <w:spacing w:before="161" w:after="0" w:line="240" w:lineRule="auto"/>
        <w:ind w:left="1960" w:right="0" w:hanging="843"/>
        <w:jc w:val="left"/>
        <w:rPr>
          <w:sz w:val="24"/>
        </w:rPr>
      </w:pPr>
      <w:r>
        <w:rPr>
          <w:sz w:val="24"/>
        </w:rPr>
        <w:t>评标委员会及其成员应当遵循独立评标的原则，按照独立初审、单独</w:t>
      </w:r>
    </w:p>
    <w:p>
      <w:pPr>
        <w:pStyle w:val="10"/>
        <w:spacing w:before="160" w:line="364" w:lineRule="auto"/>
        <w:ind w:right="1201"/>
      </w:pPr>
      <w:r>
        <w:t>（或集中）询标（答疑）、独立综合评审、独立推荐拟中标人、集体定标、出具评标报告的工作程序进行。</w:t>
      </w:r>
    </w:p>
    <w:p>
      <w:pPr>
        <w:pStyle w:val="2"/>
        <w:numPr>
          <w:ilvl w:val="2"/>
          <w:numId w:val="17"/>
        </w:numPr>
        <w:tabs>
          <w:tab w:val="left" w:pos="1960"/>
        </w:tabs>
        <w:spacing w:before="1" w:after="0" w:line="364" w:lineRule="auto"/>
        <w:ind w:left="637" w:right="1248" w:firstLine="480"/>
        <w:jc w:val="both"/>
        <w:rPr>
          <w:sz w:val="24"/>
        </w:rPr>
      </w:pPr>
      <w:r>
        <w:rPr>
          <w:sz w:val="24"/>
        </w:rPr>
        <w:t>供应商按招标方规定时间要求，向本次评标委员会进行投标方案的简要介绍。</w:t>
      </w:r>
    </w:p>
    <w:p>
      <w:pPr>
        <w:pStyle w:val="2"/>
        <w:numPr>
          <w:ilvl w:val="2"/>
          <w:numId w:val="17"/>
        </w:numPr>
        <w:tabs>
          <w:tab w:val="left" w:pos="1960"/>
        </w:tabs>
        <w:spacing w:before="1" w:after="0" w:line="364" w:lineRule="auto"/>
        <w:ind w:left="637" w:right="1248" w:firstLine="480"/>
        <w:jc w:val="both"/>
        <w:rPr>
          <w:sz w:val="24"/>
        </w:rPr>
      </w:pPr>
      <w:r>
        <w:rPr>
          <w:sz w:val="24"/>
        </w:rPr>
        <w:t>评标委员会应单独（</w:t>
      </w:r>
      <w:r>
        <w:rPr>
          <w:spacing w:val="2"/>
          <w:sz w:val="24"/>
        </w:rPr>
        <w:t>或集中</w:t>
      </w:r>
      <w:r>
        <w:rPr>
          <w:sz w:val="24"/>
        </w:rPr>
        <w:t>）与资格资质审查合格的供应商分别进行技术和商务评审与比较。</w:t>
      </w:r>
    </w:p>
    <w:p>
      <w:pPr>
        <w:pStyle w:val="2"/>
        <w:numPr>
          <w:ilvl w:val="2"/>
          <w:numId w:val="17"/>
        </w:numPr>
        <w:tabs>
          <w:tab w:val="left" w:pos="1960"/>
        </w:tabs>
        <w:spacing w:before="2" w:after="0" w:line="364" w:lineRule="auto"/>
        <w:ind w:left="637" w:right="1249" w:firstLine="480"/>
        <w:jc w:val="both"/>
        <w:rPr>
          <w:sz w:val="24"/>
        </w:rPr>
      </w:pPr>
      <w:r>
        <w:rPr>
          <w:sz w:val="24"/>
        </w:rPr>
        <w:t xml:space="preserve">按照招标方规定程序，评标当事双方应本着“实事求是、公正诚信” </w:t>
      </w:r>
      <w:r>
        <w:rPr>
          <w:spacing w:val="-5"/>
          <w:sz w:val="24"/>
        </w:rPr>
        <w:t>的原则，要以招标方的招标文件为评标的唯一依据，不允许做招标文件以外无关问</w:t>
      </w:r>
      <w:r>
        <w:rPr>
          <w:spacing w:val="-3"/>
          <w:sz w:val="24"/>
        </w:rPr>
        <w:t>题讨论；评标委员会成员可以采取单独</w:t>
      </w:r>
      <w:r>
        <w:rPr>
          <w:sz w:val="24"/>
        </w:rPr>
        <w:t>（或集中</w:t>
      </w:r>
      <w:r>
        <w:rPr>
          <w:spacing w:val="-8"/>
          <w:sz w:val="24"/>
        </w:rPr>
        <w:t>）</w:t>
      </w:r>
      <w:r>
        <w:rPr>
          <w:spacing w:val="-2"/>
          <w:sz w:val="24"/>
        </w:rPr>
        <w:t>的方式与供应商分别逐一进行评</w:t>
      </w:r>
      <w:r>
        <w:rPr>
          <w:sz w:val="24"/>
        </w:rPr>
        <w:t>标、询标（答疑）、澄清。</w:t>
      </w:r>
    </w:p>
    <w:p>
      <w:pPr>
        <w:pStyle w:val="5"/>
        <w:numPr>
          <w:ilvl w:val="2"/>
          <w:numId w:val="17"/>
        </w:numPr>
        <w:tabs>
          <w:tab w:val="left" w:pos="1963"/>
        </w:tabs>
        <w:spacing w:before="2" w:after="0" w:line="240" w:lineRule="auto"/>
        <w:ind w:left="1962" w:right="0" w:hanging="846"/>
        <w:jc w:val="both"/>
      </w:pPr>
      <w:r>
        <w:t>询标（答疑）、澄清</w:t>
      </w:r>
    </w:p>
    <w:p>
      <w:pPr>
        <w:pStyle w:val="2"/>
        <w:numPr>
          <w:ilvl w:val="3"/>
          <w:numId w:val="17"/>
        </w:numPr>
        <w:tabs>
          <w:tab w:val="left" w:pos="2138"/>
        </w:tabs>
        <w:spacing w:before="161" w:after="0" w:line="364" w:lineRule="auto"/>
        <w:ind w:left="637" w:right="1249" w:firstLine="480"/>
        <w:jc w:val="both"/>
        <w:rPr>
          <w:sz w:val="24"/>
        </w:rPr>
      </w:pPr>
      <w:r>
        <w:rPr>
          <w:spacing w:val="-9"/>
          <w:sz w:val="24"/>
        </w:rPr>
        <w:t>在评标过程中，评标委员会各成员如对投标文件中含义不明确、同类</w:t>
      </w:r>
      <w:r>
        <w:rPr>
          <w:spacing w:val="-3"/>
          <w:sz w:val="24"/>
        </w:rPr>
        <w:t>问题表述不一致或者有明显文字和计算错误的内容，需要供应商进行必要澄清、说</w:t>
      </w:r>
      <w:r>
        <w:rPr>
          <w:spacing w:val="3"/>
          <w:sz w:val="24"/>
        </w:rPr>
        <w:t>明或者纠正，应以书面形式要求供应商在招标方规定的时间内现场作出必要的澄清、说明或者补正，和分别单独（或集中）进行询标（答疑）。</w:t>
      </w:r>
    </w:p>
    <w:p>
      <w:pPr>
        <w:pStyle w:val="2"/>
        <w:numPr>
          <w:ilvl w:val="3"/>
          <w:numId w:val="17"/>
        </w:numPr>
        <w:tabs>
          <w:tab w:val="left" w:pos="2200"/>
        </w:tabs>
        <w:spacing w:before="90" w:after="0" w:line="364" w:lineRule="auto"/>
        <w:ind w:left="637" w:right="1249" w:firstLine="480"/>
        <w:jc w:val="both"/>
        <w:rPr>
          <w:sz w:val="24"/>
        </w:rPr>
      </w:pPr>
      <w:r>
        <w:rPr>
          <w:sz w:val="24"/>
        </w:rPr>
        <w:t>为有助于对投标文件进行审查、评估和比较，评标委员会及其成员</w:t>
      </w:r>
      <w:r>
        <w:rPr>
          <w:spacing w:val="-1"/>
          <w:sz w:val="24"/>
        </w:rPr>
        <w:t>将对认为需要投标人进行询标</w:t>
      </w:r>
      <w:r>
        <w:rPr>
          <w:sz w:val="24"/>
        </w:rPr>
        <w:t>（答疑</w:t>
      </w:r>
      <w:r>
        <w:rPr>
          <w:spacing w:val="-5"/>
          <w:sz w:val="24"/>
        </w:rPr>
        <w:t>）、澄清等时，投标方有责任按照招标方通知</w:t>
      </w:r>
      <w:r>
        <w:rPr>
          <w:spacing w:val="-2"/>
          <w:sz w:val="24"/>
        </w:rPr>
        <w:t>的时间、地点进行询标</w:t>
      </w:r>
      <w:r>
        <w:rPr>
          <w:spacing w:val="-3"/>
          <w:sz w:val="24"/>
        </w:rPr>
        <w:t>（</w:t>
      </w:r>
      <w:r>
        <w:rPr>
          <w:sz w:val="24"/>
        </w:rPr>
        <w:t>答疑</w:t>
      </w:r>
      <w:r>
        <w:rPr>
          <w:spacing w:val="-3"/>
          <w:sz w:val="24"/>
        </w:rPr>
        <w:t>）</w:t>
      </w:r>
      <w:r>
        <w:rPr>
          <w:spacing w:val="-2"/>
          <w:sz w:val="24"/>
        </w:rPr>
        <w:t>和澄清。询标</w:t>
      </w:r>
      <w:r>
        <w:rPr>
          <w:sz w:val="24"/>
        </w:rPr>
        <w:t>（答疑</w:t>
      </w:r>
      <w:r>
        <w:rPr>
          <w:spacing w:val="-3"/>
          <w:sz w:val="24"/>
        </w:rPr>
        <w:t>）和澄清时，投标方代表应作</w:t>
      </w:r>
      <w:r>
        <w:rPr>
          <w:sz w:val="24"/>
        </w:rPr>
        <w:t>书面记录，并对重要内容做出书面答复。</w:t>
      </w:r>
    </w:p>
    <w:p>
      <w:pPr>
        <w:pStyle w:val="2"/>
        <w:numPr>
          <w:ilvl w:val="3"/>
          <w:numId w:val="17"/>
        </w:numPr>
        <w:tabs>
          <w:tab w:val="left" w:pos="2200"/>
        </w:tabs>
        <w:spacing w:before="2" w:after="0" w:line="364" w:lineRule="auto"/>
        <w:ind w:left="637" w:right="1248" w:firstLine="480"/>
        <w:jc w:val="both"/>
        <w:rPr>
          <w:sz w:val="24"/>
        </w:rPr>
      </w:pPr>
      <w:r>
        <w:rPr>
          <w:sz w:val="24"/>
        </w:rPr>
        <w:t>评标委员会在初步评审的基础上，单独</w:t>
      </w:r>
      <w:r>
        <w:rPr>
          <w:spacing w:val="4"/>
          <w:sz w:val="24"/>
        </w:rPr>
        <w:t>（</w:t>
      </w:r>
      <w:r>
        <w:rPr>
          <w:spacing w:val="1"/>
          <w:sz w:val="24"/>
        </w:rPr>
        <w:t>或集体</w:t>
      </w:r>
      <w:r>
        <w:rPr>
          <w:spacing w:val="4"/>
          <w:sz w:val="24"/>
        </w:rPr>
        <w:t>）</w:t>
      </w:r>
      <w:r>
        <w:rPr>
          <w:sz w:val="24"/>
        </w:rPr>
        <w:t>讨论、分析、综合各种因素后，可决定是否与各投标供应商再次进行询标（答疑）。</w:t>
      </w:r>
    </w:p>
    <w:p>
      <w:pPr>
        <w:pStyle w:val="2"/>
        <w:numPr>
          <w:ilvl w:val="3"/>
          <w:numId w:val="17"/>
        </w:numPr>
        <w:tabs>
          <w:tab w:val="left" w:pos="2200"/>
        </w:tabs>
        <w:spacing w:before="1" w:after="0" w:line="364" w:lineRule="auto"/>
        <w:ind w:left="637" w:right="1129" w:firstLine="480"/>
        <w:jc w:val="left"/>
        <w:rPr>
          <w:sz w:val="24"/>
        </w:rPr>
      </w:pPr>
      <w:r>
        <w:rPr>
          <w:sz w:val="24"/>
        </w:rPr>
        <w:t>招标方要对供应商的澄清、说明或者补正，采用书面形式，由招标</w:t>
      </w:r>
      <w:r>
        <w:rPr>
          <w:spacing w:val="-11"/>
          <w:sz w:val="24"/>
        </w:rPr>
        <w:t>方做好书面记录，并由其法定代表人或授权的代表签字或加盖招标方公章，其澄清、</w:t>
      </w:r>
      <w:r>
        <w:rPr>
          <w:spacing w:val="-1"/>
          <w:sz w:val="24"/>
        </w:rPr>
        <w:t>说明或者补正不得超出投标报价文件的范围或者改变其实质性内容，并作为投标文件的组成部分。</w:t>
      </w:r>
    </w:p>
    <w:p>
      <w:pPr>
        <w:pStyle w:val="2"/>
        <w:numPr>
          <w:ilvl w:val="3"/>
          <w:numId w:val="17"/>
        </w:numPr>
        <w:tabs>
          <w:tab w:val="left" w:pos="2200"/>
        </w:tabs>
        <w:spacing w:before="3" w:after="0" w:line="364" w:lineRule="auto"/>
        <w:ind w:left="637" w:right="1249" w:firstLine="480"/>
        <w:jc w:val="both"/>
        <w:rPr>
          <w:sz w:val="24"/>
        </w:rPr>
      </w:pPr>
      <w:r>
        <w:rPr>
          <w:sz w:val="24"/>
        </w:rPr>
        <w:t>投标供应商拒不进行澄清、说明或者补正的，或者不能在招标方规</w:t>
      </w:r>
      <w:r>
        <w:rPr>
          <w:spacing w:val="-3"/>
          <w:sz w:val="24"/>
        </w:rPr>
        <w:t>定时间内做出书面澄清、说明或者补正的，评标委员会将取消其继续参加评标的资</w:t>
      </w:r>
      <w:r>
        <w:rPr>
          <w:sz w:val="24"/>
        </w:rPr>
        <w:t>格。</w:t>
      </w:r>
    </w:p>
    <w:p>
      <w:pPr>
        <w:pStyle w:val="2"/>
        <w:numPr>
          <w:ilvl w:val="3"/>
          <w:numId w:val="17"/>
        </w:numPr>
        <w:tabs>
          <w:tab w:val="left" w:pos="2200"/>
        </w:tabs>
        <w:spacing w:before="2" w:after="0" w:line="364" w:lineRule="auto"/>
        <w:ind w:left="637" w:right="1248" w:firstLine="480"/>
        <w:jc w:val="both"/>
        <w:rPr>
          <w:sz w:val="24"/>
        </w:rPr>
      </w:pPr>
      <w:r>
        <w:rPr>
          <w:sz w:val="24"/>
        </w:rPr>
        <w:t>参加投标的供应商应当对评标（</w:t>
      </w:r>
      <w:r>
        <w:rPr>
          <w:spacing w:val="4"/>
          <w:sz w:val="24"/>
        </w:rPr>
        <w:t>审</w:t>
      </w:r>
      <w:r>
        <w:rPr>
          <w:sz w:val="24"/>
        </w:rPr>
        <w:t>）的承诺和最终报价以书面形式确认，并由其法定代表人或其授权人签署或加盖公章。</w:t>
      </w:r>
    </w:p>
    <w:p>
      <w:pPr>
        <w:pStyle w:val="5"/>
        <w:numPr>
          <w:ilvl w:val="2"/>
          <w:numId w:val="17"/>
        </w:numPr>
        <w:tabs>
          <w:tab w:val="left" w:pos="1963"/>
        </w:tabs>
        <w:spacing w:before="1" w:after="0" w:line="240" w:lineRule="auto"/>
        <w:ind w:left="1962" w:right="0" w:hanging="846"/>
        <w:jc w:val="both"/>
      </w:pPr>
      <w:r>
        <w:t>符合性审查</w:t>
      </w:r>
    </w:p>
    <w:p>
      <w:pPr>
        <w:pStyle w:val="2"/>
        <w:numPr>
          <w:ilvl w:val="3"/>
          <w:numId w:val="17"/>
        </w:numPr>
        <w:tabs>
          <w:tab w:val="left" w:pos="2200"/>
        </w:tabs>
        <w:spacing w:before="160" w:after="0" w:line="364" w:lineRule="auto"/>
        <w:ind w:left="637" w:right="1249" w:firstLine="480"/>
        <w:jc w:val="both"/>
        <w:rPr>
          <w:sz w:val="24"/>
        </w:rPr>
      </w:pPr>
      <w:r>
        <w:rPr>
          <w:sz w:val="24"/>
        </w:rPr>
        <w:t>评标委员会应依据招标文件的规定，对投标供应商的报价文件的有</w:t>
      </w:r>
      <w:r>
        <w:rPr>
          <w:spacing w:val="-5"/>
          <w:sz w:val="24"/>
        </w:rPr>
        <w:t>效性、完整性和对招标文件的响应程度进行审查，以确定是否对招标文件的要求做</w:t>
      </w:r>
      <w:r>
        <w:rPr>
          <w:spacing w:val="-4"/>
          <w:sz w:val="24"/>
        </w:rPr>
        <w:t>出实质性响应，对招标文件的要求未做出实质性响应的投标供应商，不得进入具体</w:t>
      </w:r>
      <w:r>
        <w:rPr>
          <w:sz w:val="24"/>
        </w:rPr>
        <w:t>评标程序。</w:t>
      </w:r>
    </w:p>
    <w:p>
      <w:pPr>
        <w:pStyle w:val="2"/>
        <w:numPr>
          <w:ilvl w:val="3"/>
          <w:numId w:val="17"/>
        </w:numPr>
        <w:tabs>
          <w:tab w:val="left" w:pos="2200"/>
        </w:tabs>
        <w:spacing w:before="3" w:after="0" w:line="364" w:lineRule="auto"/>
        <w:ind w:left="637" w:right="1248" w:firstLine="480"/>
        <w:jc w:val="both"/>
        <w:rPr>
          <w:sz w:val="24"/>
        </w:rPr>
      </w:pPr>
      <w:r>
        <w:rPr>
          <w:sz w:val="24"/>
        </w:rPr>
        <w:t>评标委员会应当根据招标文件，审查并逐项列出每一个投标文件的全部投标偏差。投标偏差分为重大偏差和细微偏差。</w:t>
      </w:r>
    </w:p>
    <w:p>
      <w:pPr>
        <w:pStyle w:val="10"/>
        <w:spacing w:line="364" w:lineRule="auto"/>
        <w:ind w:right="1249" w:firstLine="480"/>
        <w:jc w:val="both"/>
      </w:pPr>
      <w:r>
        <w:t>1、细微偏差是指投标实质上响应了招标文件要求，但在个别地方存在漏项或</w:t>
      </w:r>
      <w:r>
        <w:rPr>
          <w:spacing w:val="-3"/>
        </w:rPr>
        <w:t>者提供了不完整的技术信息和数据等情况，并且补正这些遗漏或不完整不会对其他</w:t>
      </w:r>
      <w:r>
        <w:t>投标人造成不公平的结果。细微偏差不影响投标文件的有效性。</w:t>
      </w:r>
    </w:p>
    <w:p>
      <w:pPr>
        <w:pStyle w:val="10"/>
        <w:spacing w:before="2" w:line="364" w:lineRule="auto"/>
        <w:ind w:right="1248" w:firstLine="480"/>
      </w:pPr>
      <w:r>
        <w:t>2、应当要求存在细小偏差的投标人在评标结束前以书面形式予以补正。拒绝补正的，在综合评审时可以对细微偏差作不利于该投标人的量化。</w:t>
      </w:r>
    </w:p>
    <w:p>
      <w:pPr>
        <w:pStyle w:val="10"/>
        <w:spacing w:line="364" w:lineRule="auto"/>
        <w:ind w:right="1201" w:firstLine="480"/>
      </w:pPr>
      <w:r>
        <w:t>3、重大偏离或保留系指影响到招标文件规定的服务范围和质量，或限制了招标方的权力和义务的规定，而纠正这些偏离将影响到其他提交实质性响应的投标方</w:t>
      </w:r>
    </w:p>
    <w:p>
      <w:pPr>
        <w:pStyle w:val="10"/>
        <w:spacing w:before="90" w:line="364" w:lineRule="auto"/>
        <w:ind w:right="1226"/>
        <w:jc w:val="both"/>
      </w:pPr>
      <w:r>
        <w:t>的公平竞争地位。主要表现有投标文件没有按照招标文件要求提供投标保证金的， 投标文件没有投标人授权代表签字和加盖公章的，投标文件中附有招标方不能接受的条件的，和不符合招标文件中规定的其他实质性要求的等。</w:t>
      </w:r>
    </w:p>
    <w:p>
      <w:pPr>
        <w:pStyle w:val="10"/>
        <w:spacing w:before="2" w:line="364" w:lineRule="auto"/>
        <w:ind w:right="1248" w:firstLine="480"/>
      </w:pPr>
      <w:r>
        <w:t>4、发现有重大偏差时，评标委员会及其成员应按招标文件中的规定，可以取消其投标的权利。</w:t>
      </w:r>
    </w:p>
    <w:p>
      <w:pPr>
        <w:pStyle w:val="2"/>
        <w:numPr>
          <w:ilvl w:val="3"/>
          <w:numId w:val="17"/>
        </w:numPr>
        <w:tabs>
          <w:tab w:val="left" w:pos="2200"/>
        </w:tabs>
        <w:spacing w:before="1" w:after="0" w:line="364" w:lineRule="auto"/>
        <w:ind w:left="637" w:right="1249" w:firstLine="480"/>
        <w:jc w:val="both"/>
        <w:rPr>
          <w:sz w:val="24"/>
        </w:rPr>
      </w:pPr>
      <w:r>
        <w:rPr>
          <w:sz w:val="24"/>
        </w:rPr>
        <w:t>进行符合性审查时，评标委员会应当审查每一个投标文件是否对招</w:t>
      </w:r>
      <w:r>
        <w:rPr>
          <w:spacing w:val="-3"/>
          <w:sz w:val="24"/>
        </w:rPr>
        <w:t>标文件提出的所有实质性要求和条件作出响应。未能实质上响应的，视情况按照招</w:t>
      </w:r>
      <w:r>
        <w:rPr>
          <w:sz w:val="24"/>
        </w:rPr>
        <w:t>标文件的规定，应不得进入综合评审程序。主要有下列情况：</w:t>
      </w:r>
    </w:p>
    <w:p>
      <w:pPr>
        <w:pStyle w:val="10"/>
        <w:spacing w:before="2" w:line="364" w:lineRule="auto"/>
        <w:ind w:right="1248" w:firstLine="480"/>
        <w:jc w:val="both"/>
      </w:pPr>
      <w:r>
        <w:t>1、投标文件未按规定由投标方法定代表人或其授权代理人签字的（需要加盖公章时，供应商应按在规定时间内加盖公章，投标文件正本无投标表现人逐页签名）；</w:t>
      </w:r>
    </w:p>
    <w:p>
      <w:pPr>
        <w:pStyle w:val="10"/>
        <w:ind w:left="1117"/>
      </w:pPr>
      <w:r>
        <w:t>2、投标文件载明的采购项目完成期限超过招标文件规定期限的；</w:t>
      </w:r>
    </w:p>
    <w:p>
      <w:pPr>
        <w:pStyle w:val="10"/>
        <w:spacing w:before="161" w:line="364" w:lineRule="auto"/>
        <w:ind w:right="1248" w:firstLine="480"/>
      </w:pPr>
      <w:r>
        <w:t>3、投标文件明显不符合招标文件规定的产品技术规格、技术标准以及商务条款要求的；</w:t>
      </w:r>
    </w:p>
    <w:p>
      <w:pPr>
        <w:pStyle w:val="10"/>
        <w:spacing w:line="364" w:lineRule="auto"/>
        <w:ind w:right="1248" w:firstLine="480"/>
      </w:pPr>
      <w:r>
        <w:t>4、投标文件载明的货物包装方式、检验标准和方法等明显不符合招标文件要求的；</w:t>
      </w:r>
    </w:p>
    <w:p>
      <w:pPr>
        <w:pStyle w:val="10"/>
        <w:ind w:left="1117"/>
      </w:pPr>
      <w:r>
        <w:t>5、投标文件附有采购人和招标方不能接受的条件的；</w:t>
      </w:r>
    </w:p>
    <w:p>
      <w:pPr>
        <w:pStyle w:val="10"/>
        <w:spacing w:before="161" w:line="364" w:lineRule="auto"/>
        <w:ind w:right="1226" w:firstLine="480"/>
        <w:jc w:val="both"/>
      </w:pPr>
      <w:r>
        <w:t>6、在评标过程中，发现投标人的最终报价明显低于其他投标报价，使得其报价可能低于其个别成本的，应当要求该投标人做出书面说明并提供相关证明材料。投标人不能合理说明或者不能提供相关证明材料的，评标委员会可以认定该投标人以低于成本报价竞标的；</w:t>
      </w:r>
    </w:p>
    <w:p>
      <w:pPr>
        <w:pStyle w:val="10"/>
        <w:spacing w:before="2" w:line="364" w:lineRule="auto"/>
        <w:ind w:right="1249" w:firstLine="480"/>
        <w:jc w:val="both"/>
      </w:pPr>
      <w:r>
        <w:t>7、招标方不接受不符合国家有关部门相关规定的投标报价或优惠方案。最终</w:t>
      </w:r>
      <w:r>
        <w:rPr>
          <w:spacing w:val="-3"/>
        </w:rPr>
        <w:t>报价不接受超过采购预算的报价，投标供应商的最终报价超过采购预算，且采购人</w:t>
      </w:r>
      <w:r>
        <w:t>不能支付的；</w:t>
      </w:r>
    </w:p>
    <w:p>
      <w:pPr>
        <w:pStyle w:val="10"/>
        <w:spacing w:before="2" w:line="364" w:lineRule="auto"/>
        <w:ind w:right="1248" w:firstLine="480"/>
      </w:pPr>
      <w:r>
        <w:t>8、在评标过程中，发现投标人以他人名义投标、串通投标、以行贿手段谋取成交或者以其他弄虚作假方式投标的；</w:t>
      </w:r>
    </w:p>
    <w:p>
      <w:pPr>
        <w:pStyle w:val="10"/>
        <w:spacing w:line="364" w:lineRule="auto"/>
        <w:ind w:right="1248" w:firstLine="480"/>
      </w:pPr>
      <w:r>
        <w:t>9、投标人的资格条件不符合国家有关规定和谈判文件文件要求的，或者拒不按照要求对招标文件进行澄清、说明或补正的；</w:t>
      </w:r>
    </w:p>
    <w:p>
      <w:pPr>
        <w:pStyle w:val="10"/>
        <w:ind w:left="1117"/>
      </w:pPr>
      <w:r>
        <w:t>10、投标人误导、干扰招标方的评标活动的；</w:t>
      </w:r>
    </w:p>
    <w:p>
      <w:pPr>
        <w:pStyle w:val="10"/>
        <w:spacing w:before="90"/>
        <w:ind w:left="1117"/>
      </w:pPr>
      <w:r>
        <w:t>11、投标文件不符合招标文件规定的其他实质性要求的。</w:t>
      </w:r>
    </w:p>
    <w:p>
      <w:pPr>
        <w:pStyle w:val="10"/>
        <w:spacing w:before="160" w:line="364" w:lineRule="auto"/>
        <w:ind w:right="1249" w:firstLine="480"/>
        <w:jc w:val="both"/>
      </w:pPr>
      <w:r>
        <w:t>26.5.7 评标委员会根据上述规定否决不合格投标或者界定为废标后，因有效</w:t>
      </w:r>
      <w:r>
        <w:rPr>
          <w:spacing w:val="-4"/>
        </w:rPr>
        <w:t>投标不足三个使得投标明显缺乏竞争性时，根据《中华人民共和国政府采购法》及</w:t>
      </w:r>
      <w:r>
        <w:t>招标文件的相关规定，可以作出废标处理，并由招标方依法重新组织采购活动。</w:t>
      </w:r>
    </w:p>
    <w:p>
      <w:pPr>
        <w:pStyle w:val="5"/>
        <w:numPr>
          <w:ilvl w:val="2"/>
          <w:numId w:val="21"/>
        </w:numPr>
        <w:tabs>
          <w:tab w:val="left" w:pos="1963"/>
        </w:tabs>
        <w:spacing w:before="2" w:after="0" w:line="240" w:lineRule="auto"/>
        <w:ind w:left="1962" w:right="0" w:hanging="846"/>
        <w:jc w:val="both"/>
      </w:pPr>
      <w:r>
        <w:t>综合评审</w:t>
      </w:r>
    </w:p>
    <w:p>
      <w:pPr>
        <w:pStyle w:val="2"/>
        <w:numPr>
          <w:ilvl w:val="3"/>
          <w:numId w:val="21"/>
        </w:numPr>
        <w:tabs>
          <w:tab w:val="left" w:pos="2200"/>
        </w:tabs>
        <w:spacing w:before="161" w:after="0" w:line="364" w:lineRule="auto"/>
        <w:ind w:left="637" w:right="1129" w:firstLine="480"/>
        <w:jc w:val="both"/>
        <w:rPr>
          <w:sz w:val="24"/>
        </w:rPr>
      </w:pPr>
      <w:r>
        <w:rPr>
          <w:sz w:val="24"/>
        </w:rPr>
        <w:t>评标委员会各成员应当遵循独立评审原则，按照招标文件的评标方</w:t>
      </w:r>
      <w:r>
        <w:rPr>
          <w:spacing w:val="-5"/>
          <w:sz w:val="24"/>
        </w:rPr>
        <w:t>法和标准，对资质资格资质检查和复合性检查合格的投标文件的商务和技术进行评</w:t>
      </w:r>
      <w:r>
        <w:rPr>
          <w:spacing w:val="-12"/>
          <w:sz w:val="24"/>
        </w:rPr>
        <w:t>估，综合比较与评价。并应当以书面方式发表各自</w:t>
      </w:r>
      <w:r>
        <w:rPr>
          <w:sz w:val="24"/>
        </w:rPr>
        <w:t>（或集体</w:t>
      </w:r>
      <w:r>
        <w:rPr>
          <w:spacing w:val="-36"/>
          <w:sz w:val="24"/>
        </w:rPr>
        <w:t>）</w:t>
      </w:r>
      <w:r>
        <w:rPr>
          <w:spacing w:val="-2"/>
          <w:sz w:val="24"/>
        </w:rPr>
        <w:t>的具体综合评审意见。</w:t>
      </w:r>
    </w:p>
    <w:p>
      <w:pPr>
        <w:pStyle w:val="2"/>
        <w:numPr>
          <w:ilvl w:val="3"/>
          <w:numId w:val="21"/>
        </w:numPr>
        <w:tabs>
          <w:tab w:val="left" w:pos="2200"/>
        </w:tabs>
        <w:spacing w:before="1" w:after="0" w:line="364" w:lineRule="auto"/>
        <w:ind w:left="637" w:right="1245" w:firstLine="480"/>
        <w:jc w:val="both"/>
        <w:rPr>
          <w:sz w:val="24"/>
        </w:rPr>
      </w:pPr>
      <w:r>
        <w:rPr>
          <w:sz w:val="24"/>
        </w:rPr>
        <w:t>评估和综合比较与评价，应当严格按照招标方设计格式要求，做好书面原始署名记录，连同书面评标报告提交招标方。</w:t>
      </w:r>
    </w:p>
    <w:p>
      <w:pPr>
        <w:pStyle w:val="2"/>
        <w:numPr>
          <w:ilvl w:val="3"/>
          <w:numId w:val="21"/>
        </w:numPr>
        <w:tabs>
          <w:tab w:val="left" w:pos="2200"/>
        </w:tabs>
        <w:spacing w:before="2" w:after="0" w:line="364" w:lineRule="auto"/>
        <w:ind w:left="637" w:right="1249" w:firstLine="480"/>
        <w:jc w:val="both"/>
        <w:rPr>
          <w:sz w:val="24"/>
        </w:rPr>
      </w:pPr>
      <w:r>
        <w:rPr>
          <w:sz w:val="24"/>
        </w:rPr>
        <w:t>“综合评分法”应当载明投标人的投标项目、所作的任何修正、对</w:t>
      </w:r>
      <w:r>
        <w:rPr>
          <w:spacing w:val="-4"/>
          <w:sz w:val="24"/>
        </w:rPr>
        <w:t>商业偏差的调整、对技术偏差的调整、对各评审因素的评估，以及对每一投标的最</w:t>
      </w:r>
      <w:r>
        <w:rPr>
          <w:sz w:val="24"/>
        </w:rPr>
        <w:t>终评标结果。</w:t>
      </w:r>
    </w:p>
    <w:p>
      <w:pPr>
        <w:pStyle w:val="2"/>
        <w:numPr>
          <w:ilvl w:val="3"/>
          <w:numId w:val="21"/>
        </w:numPr>
        <w:tabs>
          <w:tab w:val="left" w:pos="2200"/>
        </w:tabs>
        <w:spacing w:before="1" w:after="0" w:line="364" w:lineRule="auto"/>
        <w:ind w:left="637" w:right="1123" w:firstLine="480"/>
        <w:jc w:val="left"/>
        <w:rPr>
          <w:sz w:val="24"/>
        </w:rPr>
      </w:pPr>
      <w:r>
        <w:rPr>
          <w:sz w:val="24"/>
        </w:rPr>
        <w:t>综合评审记录要突出重点、抓住关键（</w:t>
      </w:r>
      <w:r>
        <w:rPr>
          <w:spacing w:val="2"/>
          <w:sz w:val="24"/>
        </w:rPr>
        <w:t>核心</w:t>
      </w:r>
      <w:r>
        <w:rPr>
          <w:spacing w:val="4"/>
          <w:sz w:val="24"/>
        </w:rPr>
        <w:t>）</w:t>
      </w:r>
      <w:r>
        <w:rPr>
          <w:sz w:val="24"/>
        </w:rPr>
        <w:t>、真实准确、简明扼</w:t>
      </w:r>
      <w:r>
        <w:rPr>
          <w:spacing w:val="-13"/>
          <w:sz w:val="24"/>
        </w:rPr>
        <w:t xml:space="preserve">要，体现公平、公正、合理。否则，经核实后，将按前款“第四部分”中“第四章” </w:t>
      </w:r>
      <w:r>
        <w:rPr>
          <w:sz w:val="24"/>
        </w:rPr>
        <w:t>的21.3条款之规定执行。</w:t>
      </w:r>
    </w:p>
    <w:p>
      <w:pPr>
        <w:pStyle w:val="5"/>
        <w:spacing w:before="2"/>
        <w:ind w:left="1117"/>
      </w:pPr>
      <w:r>
        <w:t>24.5.8.9 比较与评价</w:t>
      </w:r>
    </w:p>
    <w:p>
      <w:pPr>
        <w:pStyle w:val="10"/>
        <w:spacing w:before="161" w:line="364" w:lineRule="auto"/>
        <w:ind w:right="1129" w:firstLine="480"/>
      </w:pPr>
      <w:r>
        <w:t>1</w:t>
      </w:r>
      <w:r>
        <w:rPr>
          <w:spacing w:val="-6"/>
        </w:rPr>
        <w:t xml:space="preserve">、综合评标时，评标委员会各成员应当对每一个有效投标供应商的投标文件， </w:t>
      </w:r>
      <w:r>
        <w:rPr>
          <w:spacing w:val="-5"/>
        </w:rPr>
        <w:t>根据招标文件中要求的产品价格、技术、性能、质量及质检认证、环保节能、财务状况、信誉、业绩、服务、培训、货物供应及对招标文件的响应程度等指标，进行具体评估。</w:t>
      </w:r>
    </w:p>
    <w:p>
      <w:pPr>
        <w:pStyle w:val="10"/>
        <w:spacing w:before="2" w:line="364" w:lineRule="auto"/>
        <w:ind w:right="1226" w:firstLine="480"/>
        <w:jc w:val="both"/>
      </w:pPr>
      <w:r>
        <w:t>2、评标委员会成员应独立按照对每一个投标供应商所投产品的最终报价、设备选型、配置及性能指标、质检认证报告、环保节能、售后服务体系、培训计划、货物供应、财务能力和状况、类似业绩等因素的具体综合评估，进行比较与评价。</w:t>
      </w:r>
    </w:p>
    <w:p>
      <w:pPr>
        <w:pStyle w:val="5"/>
        <w:numPr>
          <w:ilvl w:val="2"/>
          <w:numId w:val="21"/>
        </w:numPr>
        <w:tabs>
          <w:tab w:val="left" w:pos="1963"/>
        </w:tabs>
        <w:spacing w:before="2" w:after="0" w:line="240" w:lineRule="auto"/>
        <w:ind w:left="1962" w:right="0" w:hanging="846"/>
        <w:jc w:val="both"/>
      </w:pPr>
      <w:r>
        <w:t>综合评分法的原则、方法和标准</w:t>
      </w:r>
    </w:p>
    <w:p>
      <w:pPr>
        <w:pStyle w:val="2"/>
        <w:numPr>
          <w:ilvl w:val="3"/>
          <w:numId w:val="21"/>
        </w:numPr>
        <w:tabs>
          <w:tab w:val="left" w:pos="2143"/>
        </w:tabs>
        <w:spacing w:before="160" w:after="0" w:line="364" w:lineRule="auto"/>
        <w:ind w:left="637" w:right="1249" w:firstLine="480"/>
        <w:jc w:val="both"/>
        <w:rPr>
          <w:sz w:val="24"/>
        </w:rPr>
      </w:pPr>
      <w:r>
        <w:rPr>
          <w:spacing w:val="3"/>
          <w:sz w:val="24"/>
        </w:rPr>
        <w:t>采用综合评分法，是指在最大限度地满足招标文件实质性要求前提</w:t>
      </w:r>
      <w:r>
        <w:rPr>
          <w:spacing w:val="-5"/>
          <w:sz w:val="24"/>
        </w:rPr>
        <w:t>下，按照招标文件中规定的各项因素进行综合评审后，以评分得分最高的投标人作</w:t>
      </w:r>
      <w:r>
        <w:rPr>
          <w:sz w:val="24"/>
        </w:rPr>
        <w:t>为中标候选供应商或者中标供应商的评标方法。</w:t>
      </w:r>
    </w:p>
    <w:p>
      <w:pPr>
        <w:pStyle w:val="2"/>
        <w:numPr>
          <w:ilvl w:val="3"/>
          <w:numId w:val="21"/>
        </w:numPr>
        <w:tabs>
          <w:tab w:val="left" w:pos="2200"/>
        </w:tabs>
        <w:spacing w:before="2" w:after="0" w:line="240" w:lineRule="auto"/>
        <w:ind w:left="2200" w:right="0" w:hanging="1083"/>
        <w:jc w:val="both"/>
        <w:rPr>
          <w:sz w:val="24"/>
        </w:rPr>
      </w:pPr>
      <w:r>
        <w:rPr>
          <w:sz w:val="24"/>
        </w:rPr>
        <w:t>综合评分方法：评标委员会成员应按照独立综合评审原则，根据对</w:t>
      </w:r>
    </w:p>
    <w:p>
      <w:pPr>
        <w:pStyle w:val="10"/>
        <w:spacing w:before="90" w:line="364" w:lineRule="auto"/>
        <w:ind w:right="1243"/>
        <w:jc w:val="both"/>
      </w:pPr>
      <w:r>
        <w:rPr>
          <w:spacing w:val="-3"/>
        </w:rPr>
        <w:t>招标文件的响应程度和具体评标情况，独立对具体投标文件的商务和技术指标进行</w:t>
      </w:r>
      <w:r>
        <w:rPr>
          <w:spacing w:val="-2"/>
        </w:rPr>
        <w:t>评估和综合比较与评价后，独立</w:t>
      </w:r>
      <w:r>
        <w:t>（或集体</w:t>
      </w:r>
      <w:r>
        <w:rPr>
          <w:spacing w:val="-5"/>
        </w:rPr>
        <w:t>）</w:t>
      </w:r>
      <w:r>
        <w:rPr>
          <w:spacing w:val="-1"/>
        </w:rPr>
        <w:t>发表综合评审</w:t>
      </w:r>
      <w:r>
        <w:t>（议</w:t>
      </w:r>
      <w:r>
        <w:rPr>
          <w:spacing w:val="-3"/>
        </w:rPr>
        <w:t>）意见，对每一个投</w:t>
      </w:r>
      <w:r>
        <w:rPr>
          <w:spacing w:val="-4"/>
        </w:rPr>
        <w:t>标供应商做出打分决定；经招标方核对和汇总后，按得高分原则，由高到低进行排</w:t>
      </w:r>
      <w:r>
        <w:t>序后，最后根据评标委员会各成员签署的打分结果，得出评标结论。</w:t>
      </w:r>
    </w:p>
    <w:p>
      <w:pPr>
        <w:pStyle w:val="2"/>
        <w:numPr>
          <w:ilvl w:val="3"/>
          <w:numId w:val="21"/>
        </w:numPr>
        <w:tabs>
          <w:tab w:val="left" w:pos="2200"/>
        </w:tabs>
        <w:spacing w:before="2" w:after="0" w:line="364" w:lineRule="auto"/>
        <w:ind w:left="637" w:right="1248" w:firstLine="480"/>
        <w:jc w:val="left"/>
        <w:rPr>
          <w:sz w:val="24"/>
        </w:rPr>
      </w:pPr>
      <w:r>
        <w:rPr>
          <w:sz w:val="24"/>
        </w:rPr>
        <w:t>评标时，评标委员会各成员应当独立对每个有效投标人的投标文件进行评价、打分，然后由招标方核对汇总出每个投标人每项评分因素的得分。</w:t>
      </w:r>
    </w:p>
    <w:p>
      <w:pPr>
        <w:pStyle w:val="2"/>
        <w:numPr>
          <w:ilvl w:val="3"/>
          <w:numId w:val="21"/>
        </w:numPr>
        <w:tabs>
          <w:tab w:val="left" w:pos="2198"/>
        </w:tabs>
        <w:spacing w:before="1" w:after="0" w:line="364" w:lineRule="auto"/>
        <w:ind w:left="637" w:right="1129" w:firstLine="480"/>
        <w:jc w:val="left"/>
        <w:rPr>
          <w:sz w:val="24"/>
        </w:rPr>
      </w:pPr>
      <w:r>
        <w:rPr>
          <w:spacing w:val="-9"/>
          <w:sz w:val="24"/>
        </w:rPr>
        <w:t>综合评分，应严格遵守前款</w:t>
      </w:r>
      <w:r>
        <w:rPr>
          <w:sz w:val="24"/>
        </w:rPr>
        <w:t>“24.5.8</w:t>
      </w:r>
      <w:r>
        <w:rPr>
          <w:spacing w:val="-10"/>
          <w:sz w:val="24"/>
        </w:rPr>
        <w:t xml:space="preserve"> 综合评审”条款之规定。否则， </w:t>
      </w:r>
      <w:r>
        <w:rPr>
          <w:sz w:val="24"/>
        </w:rPr>
        <w:t>经核实后，将按前款“第四部分”中“第四章”的21.3条款之规定执行。</w:t>
      </w:r>
    </w:p>
    <w:p>
      <w:pPr>
        <w:pStyle w:val="2"/>
        <w:numPr>
          <w:ilvl w:val="3"/>
          <w:numId w:val="21"/>
        </w:numPr>
        <w:tabs>
          <w:tab w:val="left" w:pos="2258"/>
        </w:tabs>
        <w:spacing w:before="2" w:after="0" w:line="364" w:lineRule="auto"/>
        <w:ind w:left="637" w:right="1248" w:firstLine="540"/>
        <w:jc w:val="left"/>
        <w:rPr>
          <w:sz w:val="24"/>
        </w:rPr>
      </w:pPr>
      <w:r>
        <w:rPr>
          <w:spacing w:val="-1"/>
          <w:sz w:val="24"/>
        </w:rPr>
        <w:t>评标委员会各成员要按照招标方规定格式，将每一个投标供应商的</w:t>
      </w:r>
      <w:r>
        <w:rPr>
          <w:sz w:val="24"/>
        </w:rPr>
        <w:t>综合评审意见、打分结果、推荐理由等进行署名原始记录。</w:t>
      </w:r>
    </w:p>
    <w:p>
      <w:pPr>
        <w:pStyle w:val="5"/>
        <w:numPr>
          <w:ilvl w:val="3"/>
          <w:numId w:val="21"/>
        </w:numPr>
        <w:tabs>
          <w:tab w:val="left" w:pos="2220"/>
        </w:tabs>
        <w:spacing w:before="1" w:after="0" w:line="240" w:lineRule="auto"/>
        <w:ind w:left="2219" w:right="0" w:hanging="1089"/>
        <w:jc w:val="left"/>
      </w:pPr>
      <w:r>
        <w:t>综合评分主要包括技术、商务、报价等指标</w:t>
      </w:r>
    </w:p>
    <w:p>
      <w:pPr>
        <w:pStyle w:val="10"/>
        <w:spacing w:before="160" w:line="364" w:lineRule="auto"/>
        <w:ind w:right="1245" w:firstLine="480"/>
      </w:pPr>
      <w:r>
        <w:t>1、技术部分主要包括：设备选型（综合评价）、配置及性能指标、质量及质检认证报告、环保节能等指标。</w:t>
      </w:r>
    </w:p>
    <w:p>
      <w:pPr>
        <w:pStyle w:val="10"/>
        <w:spacing w:before="2" w:line="364" w:lineRule="auto"/>
        <w:ind w:right="1248" w:firstLine="480"/>
      </w:pPr>
      <w:r>
        <w:t>2、商务部分主要包括：最终报价、售后服务体系及服务情况、货物供应、财务能力和状况、类似业绩、边远少数民族地区企业等指标。</w:t>
      </w:r>
    </w:p>
    <w:p>
      <w:pPr>
        <w:pStyle w:val="10"/>
        <w:ind w:left="1117"/>
      </w:pPr>
      <w:r>
        <w:t>3、报价指标：有效投标供应商的最终报价。</w:t>
      </w:r>
    </w:p>
    <w:p>
      <w:pPr>
        <w:pStyle w:val="10"/>
        <w:spacing w:before="160"/>
        <w:ind w:left="1117"/>
      </w:pPr>
      <w:r>
        <w:t>4、综合评分具体指标和标准，见《评标（分）记录明细表》。</w:t>
      </w:r>
    </w:p>
    <w:p>
      <w:pPr>
        <w:pStyle w:val="5"/>
        <w:numPr>
          <w:ilvl w:val="3"/>
          <w:numId w:val="21"/>
        </w:numPr>
        <w:tabs>
          <w:tab w:val="left" w:pos="2205"/>
        </w:tabs>
        <w:spacing w:before="161" w:after="0" w:line="240" w:lineRule="auto"/>
        <w:ind w:left="2204" w:right="0" w:hanging="1088"/>
        <w:jc w:val="both"/>
      </w:pPr>
      <w:r>
        <w:t>综合评分原则</w:t>
      </w:r>
    </w:p>
    <w:p>
      <w:pPr>
        <w:pStyle w:val="10"/>
        <w:spacing w:before="160" w:line="364" w:lineRule="auto"/>
        <w:ind w:right="1249" w:firstLine="480"/>
        <w:jc w:val="both"/>
      </w:pPr>
      <w:r>
        <w:t>1、评标委员会对所报产品价格、技术（配置、质量及性能、技术方案）、财</w:t>
      </w:r>
      <w:r>
        <w:rPr>
          <w:spacing w:val="-6"/>
        </w:rPr>
        <w:t>务状况、信誉、业绩、服务、标书的响应程度等因素进行比较与评价，并进行打分</w:t>
      </w:r>
      <w:r>
        <w:t>和汇总。详见《评标（分）记录明细表》。</w:t>
      </w:r>
    </w:p>
    <w:p>
      <w:pPr>
        <w:pStyle w:val="10"/>
        <w:spacing w:before="2"/>
        <w:ind w:left="1117"/>
      </w:pPr>
      <w:r>
        <w:t>2、评标委员会小组成员评标、打分时不得协商，应独立完成。</w:t>
      </w:r>
    </w:p>
    <w:p>
      <w:pPr>
        <w:pStyle w:val="10"/>
        <w:spacing w:before="161"/>
        <w:ind w:left="1117"/>
      </w:pPr>
      <w:r>
        <w:t>3、未满足招标文件要求的投标方，不予评分。</w:t>
      </w:r>
    </w:p>
    <w:p>
      <w:pPr>
        <w:pStyle w:val="10"/>
        <w:spacing w:before="160" w:line="364" w:lineRule="auto"/>
        <w:ind w:right="1248" w:firstLine="480"/>
      </w:pPr>
      <w:r>
        <w:t>4、评标打分应当按照技术部分、商务部分、报价部分的顺序进行，打分可保留两位小数。</w:t>
      </w:r>
    </w:p>
    <w:p>
      <w:pPr>
        <w:pStyle w:val="10"/>
        <w:spacing w:before="90" w:line="360" w:lineRule="auto"/>
        <w:ind w:firstLine="480" w:firstLineChars="200"/>
        <w:rPr>
          <w:spacing w:val="-3"/>
        </w:rPr>
      </w:pPr>
      <w:r>
        <w:t>5、技术、商务部分应按各小项分档打分，投标文件中各小项指标相近的，打</w:t>
      </w:r>
      <w:r>
        <w:rPr>
          <w:spacing w:val="-3"/>
        </w:rPr>
        <w:t>分应</w:t>
      </w:r>
    </w:p>
    <w:p>
      <w:pPr>
        <w:pStyle w:val="10"/>
        <w:spacing w:before="90" w:line="360" w:lineRule="auto"/>
        <w:rPr>
          <w:spacing w:val="-10"/>
        </w:rPr>
      </w:pPr>
      <w:r>
        <w:rPr>
          <w:spacing w:val="-3"/>
        </w:rPr>
        <w:t>属同一档次。在招标方同意的情况下，允许评标委员会小组各成员根据招标书</w:t>
      </w:r>
      <w:r>
        <w:rPr>
          <w:spacing w:val="-10"/>
        </w:rPr>
        <w:t>文件部分要</w:t>
      </w:r>
    </w:p>
    <w:p>
      <w:pPr>
        <w:pStyle w:val="10"/>
        <w:spacing w:before="90" w:line="360" w:lineRule="auto"/>
        <w:rPr>
          <w:spacing w:val="-2"/>
        </w:rPr>
      </w:pPr>
      <w:r>
        <w:rPr>
          <w:spacing w:val="-10"/>
        </w:rPr>
        <w:t>求的技术、功能和《评标</w:t>
      </w:r>
      <w:r>
        <w:t>（分</w:t>
      </w:r>
      <w:r>
        <w:rPr>
          <w:spacing w:val="-29"/>
        </w:rPr>
        <w:t>）</w:t>
      </w:r>
      <w:r>
        <w:rPr>
          <w:spacing w:val="-6"/>
        </w:rPr>
        <w:t xml:space="preserve">记录明细表》表格部分的性能指标要求， </w:t>
      </w:r>
      <w:r>
        <w:rPr>
          <w:spacing w:val="-2"/>
        </w:rPr>
        <w:t>可以按各投标</w:t>
      </w:r>
    </w:p>
    <w:p>
      <w:pPr>
        <w:pStyle w:val="10"/>
        <w:spacing w:before="90" w:line="360" w:lineRule="auto"/>
      </w:pPr>
      <w:r>
        <w:rPr>
          <w:spacing w:val="-2"/>
        </w:rPr>
        <w:t>文件</w:t>
      </w:r>
      <w:r>
        <w:t>（投标书和产品技术说明书</w:t>
      </w:r>
      <w:r>
        <w:rPr>
          <w:spacing w:val="-12"/>
        </w:rPr>
        <w:t>）</w:t>
      </w:r>
      <w:r>
        <w:t>实际情况在档次打分范围内调整分值。</w:t>
      </w:r>
    </w:p>
    <w:p>
      <w:pPr>
        <w:pStyle w:val="10"/>
        <w:spacing w:before="160"/>
        <w:ind w:left="1208"/>
      </w:pPr>
      <w:r>
        <w:t xml:space="preserve">6、打分采取百分制，其中技术商务部分占总分的 </w:t>
      </w:r>
      <w:r>
        <w:rPr>
          <w:u w:val="single"/>
        </w:rPr>
        <w:t>70%</w:t>
      </w:r>
      <w:r>
        <w:t xml:space="preserve">，报价部分占总分的 </w:t>
      </w:r>
      <w:r>
        <w:rPr>
          <w:u w:val="single"/>
        </w:rPr>
        <w:t>30%。</w:t>
      </w:r>
    </w:p>
    <w:p>
      <w:pPr>
        <w:pStyle w:val="10"/>
        <w:spacing w:before="161"/>
        <w:ind w:left="1208"/>
      </w:pPr>
      <w:r>
        <w:t>7、招标方核对汇总评标委员会各成员评分时，将计算出每一个投标供应商技</w:t>
      </w:r>
    </w:p>
    <w:p>
      <w:pPr>
        <w:pStyle w:val="10"/>
        <w:spacing w:before="160" w:line="364" w:lineRule="auto"/>
        <w:ind w:right="1249"/>
        <w:jc w:val="both"/>
      </w:pPr>
      <w:r>
        <w:rPr>
          <w:spacing w:val="-3"/>
        </w:rPr>
        <w:t>术部分和商务部分所得分数的合计数后，再计算出其合计数的算术平均数，对高于</w:t>
      </w:r>
      <w:r>
        <w:rPr>
          <w:spacing w:val="-5"/>
        </w:rPr>
        <w:t xml:space="preserve">或低于这一平均数 </w:t>
      </w:r>
      <w:r>
        <w:t>20</w:t>
      </w:r>
      <w:r>
        <w:rPr>
          <w:spacing w:val="-1"/>
        </w:rPr>
        <w:t>%以上的评分，不纳入计算该投标供应商技术部分和商务部分</w:t>
      </w:r>
      <w:r>
        <w:rPr>
          <w:spacing w:val="-4"/>
        </w:rPr>
        <w:t>的合计得分的范围，剩余评标委员会小组成员技术部分和商务部分合计评分的算术</w:t>
      </w:r>
      <w:r>
        <w:t>平均数加上该投标方报价部分的得分后，即为该投标方的最后综合得分。</w:t>
      </w:r>
    </w:p>
    <w:p>
      <w:pPr>
        <w:pStyle w:val="10"/>
        <w:spacing w:before="3" w:line="364" w:lineRule="auto"/>
        <w:ind w:right="1245" w:firstLine="540"/>
        <w:jc w:val="both"/>
      </w:pPr>
      <w:r>
        <w:t>8</w:t>
      </w:r>
      <w:r>
        <w:rPr>
          <w:spacing w:val="-1"/>
        </w:rPr>
        <w:t>、由招标方核对录入和汇总计算出每一个投标供应商的所得分数值，并由高</w:t>
      </w:r>
      <w:r>
        <w:rPr>
          <w:spacing w:val="-5"/>
        </w:rPr>
        <w:t>到底排序后，须有评标委员会小组各成员署名确认。如出现得分相同的，应按投标</w:t>
      </w:r>
      <w:r>
        <w:rPr>
          <w:spacing w:val="-3"/>
        </w:rPr>
        <w:t>供应商的报价由低到高顺序排列；得分且其报价相等的，则按核心技术指标优劣顺</w:t>
      </w:r>
      <w:r>
        <w:t>序排列。价格、技术指标的高低或优劣由评标委员各成员确认评定。</w:t>
      </w:r>
    </w:p>
    <w:p>
      <w:pPr>
        <w:pStyle w:val="10"/>
        <w:spacing w:before="2" w:line="364" w:lineRule="auto"/>
        <w:ind w:right="1129" w:firstLine="480"/>
      </w:pPr>
      <w:r>
        <w:t>9</w:t>
      </w:r>
      <w:r>
        <w:rPr>
          <w:spacing w:val="-5"/>
        </w:rPr>
        <w:t xml:space="preserve">、若发现打分有误或者有差错的，或发现存在个人印象或带有明显倾向性时， </w:t>
      </w:r>
      <w:r>
        <w:t>招标方将按前款“第四部分”中“第四章”的21.3条款之规定执行。</w:t>
      </w:r>
    </w:p>
    <w:p>
      <w:pPr>
        <w:pStyle w:val="5"/>
        <w:numPr>
          <w:ilvl w:val="3"/>
          <w:numId w:val="21"/>
        </w:numPr>
        <w:tabs>
          <w:tab w:val="left" w:pos="2205"/>
        </w:tabs>
        <w:spacing w:before="1" w:after="0" w:line="240" w:lineRule="auto"/>
        <w:ind w:left="2204" w:right="0" w:hanging="1088"/>
        <w:jc w:val="left"/>
      </w:pPr>
      <w:r>
        <w:t>《评标（分）记录明细表》</w:t>
      </w:r>
    </w:p>
    <w:p>
      <w:pPr>
        <w:pStyle w:val="10"/>
        <w:spacing w:before="161" w:line="364" w:lineRule="auto"/>
        <w:ind w:right="1095" w:firstLine="480"/>
      </w:pPr>
      <w:r>
        <w:t>1、明细表包括技术部分、商务部分、报价部分、评审分标准、具体评审意见、综合评审意见、分数标准、得分、其他等组成。</w:t>
      </w:r>
    </w:p>
    <w:p>
      <w:pPr>
        <w:pStyle w:val="10"/>
        <w:spacing w:line="364" w:lineRule="auto"/>
        <w:ind w:right="1129" w:firstLine="480"/>
        <w:rPr>
          <w:rFonts w:hint="eastAsia" w:ascii="仿宋" w:hAnsi="仿宋" w:eastAsia="仿宋"/>
          <w:spacing w:val="-2"/>
          <w:sz w:val="30"/>
          <w:szCs w:val="30"/>
        </w:rPr>
      </w:pPr>
      <w:r>
        <w:t>2、评标委员会各成员记录原则上不允许有涂改、划擦等，如有应按合规方式</w:t>
      </w:r>
      <w:r>
        <w:rPr>
          <w:spacing w:val="-12"/>
        </w:rPr>
        <w:t>修正。不允许在招标方核对汇总且确认之后，在未经许可时，不能再要回重新记录。</w:t>
      </w:r>
    </w:p>
    <w:p>
      <w:pPr>
        <w:pStyle w:val="21"/>
        <w:ind w:left="0" w:leftChars="0" w:firstLine="0" w:firstLineChars="0"/>
        <w:jc w:val="both"/>
        <w:rPr>
          <w:rFonts w:hint="eastAsia"/>
        </w:rPr>
      </w:pPr>
    </w:p>
    <w:p>
      <w:pPr>
        <w:spacing w:line="440" w:lineRule="exact"/>
        <w:ind w:firstLine="3256" w:firstLineChars="1100"/>
        <w:rPr>
          <w:rFonts w:ascii="仿宋" w:hAnsi="仿宋" w:eastAsia="仿宋"/>
          <w:spacing w:val="-2"/>
          <w:sz w:val="30"/>
          <w:szCs w:val="30"/>
        </w:rPr>
      </w:pPr>
      <w:r>
        <w:rPr>
          <w:rFonts w:hint="eastAsia" w:ascii="仿宋" w:hAnsi="仿宋" w:eastAsia="仿宋"/>
          <w:spacing w:val="-2"/>
          <w:sz w:val="30"/>
          <w:szCs w:val="30"/>
        </w:rPr>
        <w:t>投标文件响应程度初步审查表</w:t>
      </w:r>
    </w:p>
    <w:p>
      <w:pPr>
        <w:spacing w:line="440" w:lineRule="exact"/>
        <w:ind w:firstLine="472" w:firstLineChars="200"/>
        <w:rPr>
          <w:rFonts w:ascii="仿宋" w:hAnsi="仿宋" w:eastAsia="仿宋"/>
          <w:spacing w:val="-2"/>
          <w:sz w:val="24"/>
          <w:szCs w:val="24"/>
        </w:rPr>
      </w:pPr>
      <w:r>
        <w:rPr>
          <w:rFonts w:ascii="仿宋" w:hAnsi="仿宋" w:eastAsia="仿宋"/>
          <w:spacing w:val="-2"/>
          <w:sz w:val="24"/>
          <w:szCs w:val="24"/>
        </w:rPr>
        <w:t>1.</w:t>
      </w:r>
      <w:r>
        <w:rPr>
          <w:rFonts w:hint="eastAsia" w:ascii="仿宋" w:hAnsi="仿宋" w:eastAsia="仿宋"/>
          <w:spacing w:val="-2"/>
          <w:sz w:val="24"/>
          <w:szCs w:val="24"/>
        </w:rPr>
        <w:t>资格性审查</w:t>
      </w:r>
    </w:p>
    <w:tbl>
      <w:tblPr>
        <w:tblStyle w:val="18"/>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8"/>
        <w:gridCol w:w="6415"/>
        <w:gridCol w:w="778"/>
        <w:gridCol w:w="778"/>
        <w:gridCol w:w="778"/>
        <w:gridCol w:w="45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vMerge w:val="restart"/>
            <w:tcBorders>
              <w:top w:val="single" w:color="auto" w:sz="12" w:space="0"/>
              <w:right w:val="single" w:color="auto" w:sz="4" w:space="0"/>
            </w:tcBorders>
            <w:vAlign w:val="center"/>
          </w:tcPr>
          <w:p>
            <w:pPr>
              <w:spacing w:line="440" w:lineRule="exact"/>
              <w:ind w:firstLine="2666" w:firstLineChars="1130"/>
              <w:rPr>
                <w:rFonts w:ascii="仿宋" w:hAnsi="仿宋" w:eastAsia="仿宋"/>
                <w:b w:val="0"/>
                <w:bCs w:val="0"/>
                <w:spacing w:val="-2"/>
                <w:sz w:val="24"/>
                <w:szCs w:val="24"/>
              </w:rPr>
            </w:pPr>
            <w:r>
              <w:rPr>
                <w:rFonts w:hint="eastAsia" w:ascii="仿宋" w:hAnsi="仿宋" w:eastAsia="仿宋"/>
                <w:b w:val="0"/>
                <w:bCs w:val="0"/>
                <w:spacing w:val="-2"/>
                <w:sz w:val="24"/>
                <w:szCs w:val="24"/>
              </w:rPr>
              <w:t>评审内容</w:t>
            </w:r>
          </w:p>
        </w:tc>
        <w:tc>
          <w:tcPr>
            <w:tcW w:w="2791" w:type="dxa"/>
            <w:gridSpan w:val="4"/>
            <w:tcBorders>
              <w:top w:val="single" w:color="auto" w:sz="12" w:space="0"/>
              <w:left w:val="single" w:color="auto" w:sz="4" w:space="0"/>
              <w:bottom w:val="single" w:color="auto" w:sz="4" w:space="0"/>
            </w:tcBorders>
            <w:vAlign w:val="center"/>
          </w:tcPr>
          <w:p>
            <w:pPr>
              <w:spacing w:line="440" w:lineRule="exact"/>
              <w:ind w:firstLine="424" w:firstLineChars="180"/>
              <w:rPr>
                <w:rFonts w:ascii="仿宋" w:hAnsi="仿宋" w:eastAsia="仿宋"/>
                <w:b w:val="0"/>
                <w:bCs w:val="0"/>
                <w:spacing w:val="-2"/>
                <w:sz w:val="24"/>
                <w:szCs w:val="24"/>
              </w:rPr>
            </w:pPr>
            <w:r>
              <w:rPr>
                <w:rFonts w:hint="eastAsia" w:ascii="仿宋" w:hAnsi="仿宋" w:eastAsia="仿宋"/>
                <w:b w:val="0"/>
                <w:bCs w:val="0"/>
                <w:spacing w:val="-2"/>
                <w:sz w:val="24"/>
                <w:szCs w:val="24"/>
              </w:rPr>
              <w:t>投标企业名称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vMerge w:val="continue"/>
            <w:tcBorders>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778" w:type="dxa"/>
            <w:tcBorders>
              <w:top w:val="single" w:color="auto" w:sz="4" w:space="0"/>
              <w:left w:val="single" w:color="auto" w:sz="4" w:space="0"/>
              <w:right w:val="single" w:color="auto" w:sz="4" w:space="0"/>
            </w:tcBorders>
          </w:tcPr>
          <w:p>
            <w:pPr>
              <w:spacing w:line="440" w:lineRule="exact"/>
              <w:ind w:firstLine="424" w:firstLineChars="180"/>
              <w:jc w:val="center"/>
              <w:rPr>
                <w:rFonts w:ascii="仿宋" w:hAnsi="仿宋" w:eastAsia="仿宋"/>
                <w:b w:val="0"/>
                <w:bCs w:val="0"/>
                <w:spacing w:val="-2"/>
                <w:sz w:val="24"/>
                <w:szCs w:val="24"/>
              </w:rPr>
            </w:pPr>
            <w:r>
              <w:rPr>
                <w:rFonts w:ascii="仿宋" w:hAnsi="仿宋" w:eastAsia="仿宋"/>
                <w:b w:val="0"/>
                <w:bCs w:val="0"/>
                <w:spacing w:val="-2"/>
                <w:sz w:val="24"/>
                <w:szCs w:val="24"/>
              </w:rPr>
              <w:t>1</w:t>
            </w:r>
          </w:p>
        </w:tc>
        <w:tc>
          <w:tcPr>
            <w:tcW w:w="778" w:type="dxa"/>
            <w:tcBorders>
              <w:top w:val="single" w:color="auto" w:sz="4" w:space="0"/>
              <w:left w:val="single" w:color="auto" w:sz="4" w:space="0"/>
            </w:tcBorders>
          </w:tcPr>
          <w:p>
            <w:pPr>
              <w:spacing w:line="440" w:lineRule="exact"/>
              <w:ind w:firstLine="424" w:firstLineChars="180"/>
              <w:jc w:val="center"/>
              <w:rPr>
                <w:rFonts w:ascii="仿宋" w:hAnsi="仿宋" w:eastAsia="仿宋"/>
                <w:b w:val="0"/>
                <w:bCs w:val="0"/>
                <w:spacing w:val="-2"/>
                <w:sz w:val="24"/>
                <w:szCs w:val="24"/>
              </w:rPr>
            </w:pPr>
            <w:r>
              <w:rPr>
                <w:rFonts w:ascii="仿宋" w:hAnsi="仿宋" w:eastAsia="仿宋"/>
                <w:b w:val="0"/>
                <w:bCs w:val="0"/>
                <w:spacing w:val="-2"/>
                <w:sz w:val="24"/>
                <w:szCs w:val="24"/>
              </w:rPr>
              <w:t>2</w:t>
            </w:r>
          </w:p>
        </w:tc>
        <w:tc>
          <w:tcPr>
            <w:tcW w:w="778" w:type="dxa"/>
            <w:vAlign w:val="center"/>
          </w:tcPr>
          <w:p>
            <w:pPr>
              <w:spacing w:line="440" w:lineRule="exact"/>
              <w:ind w:firstLine="424" w:firstLineChars="180"/>
              <w:jc w:val="center"/>
              <w:rPr>
                <w:rFonts w:ascii="仿宋" w:hAnsi="仿宋" w:eastAsia="仿宋"/>
                <w:b w:val="0"/>
                <w:bCs w:val="0"/>
                <w:spacing w:val="-2"/>
                <w:sz w:val="24"/>
                <w:szCs w:val="24"/>
              </w:rPr>
            </w:pPr>
            <w:r>
              <w:rPr>
                <w:rFonts w:ascii="仿宋" w:hAnsi="仿宋" w:eastAsia="仿宋"/>
                <w:b w:val="0"/>
                <w:bCs w:val="0"/>
                <w:spacing w:val="-2"/>
                <w:sz w:val="24"/>
                <w:szCs w:val="24"/>
              </w:rPr>
              <w:t>3</w:t>
            </w:r>
          </w:p>
        </w:tc>
        <w:tc>
          <w:tcPr>
            <w:tcW w:w="457" w:type="dxa"/>
            <w:vAlign w:val="center"/>
          </w:tcPr>
          <w:p>
            <w:pPr>
              <w:jc w:val="center"/>
              <w:rPr>
                <w:rFonts w:ascii="仿宋" w:hAnsi="仿宋" w:eastAsia="仿宋"/>
                <w:b w:val="0"/>
                <w:bCs w:val="0"/>
                <w:sz w:val="24"/>
                <w:szCs w:val="24"/>
              </w:rPr>
            </w:pPr>
            <w:r>
              <w:rPr>
                <w:rFonts w:hint="eastAsia" w:ascii="仿宋" w:hAnsi="仿宋" w:eastAsia="仿宋"/>
                <w:b w:val="0"/>
                <w:bCs w:val="0"/>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b w:val="0"/>
                <w:bCs w:val="0"/>
                <w:sz w:val="24"/>
                <w:szCs w:val="24"/>
              </w:rPr>
            </w:pPr>
            <w:r>
              <w:rPr>
                <w:rFonts w:ascii="仿宋" w:hAnsi="仿宋" w:eastAsia="仿宋"/>
                <w:b w:val="0"/>
                <w:bCs w:val="0"/>
                <w:sz w:val="24"/>
                <w:szCs w:val="24"/>
              </w:rPr>
              <w:t>1</w:t>
            </w:r>
          </w:p>
        </w:tc>
        <w:tc>
          <w:tcPr>
            <w:tcW w:w="6415" w:type="dxa"/>
            <w:tcBorders>
              <w:right w:val="single" w:color="auto" w:sz="4" w:space="0"/>
            </w:tcBorders>
            <w:vAlign w:val="center"/>
          </w:tcPr>
          <w:p>
            <w:pPr>
              <w:spacing w:line="440" w:lineRule="exact"/>
              <w:rPr>
                <w:rFonts w:ascii="仿宋" w:hAnsi="仿宋" w:eastAsia="仿宋"/>
                <w:b w:val="0"/>
                <w:bCs w:val="0"/>
                <w:spacing w:val="-2"/>
                <w:sz w:val="24"/>
                <w:szCs w:val="24"/>
              </w:rPr>
            </w:pPr>
            <w:r>
              <w:rPr>
                <w:rFonts w:hint="eastAsia" w:ascii="仿宋" w:hAnsi="仿宋" w:eastAsia="仿宋" w:cs="宋体"/>
                <w:b w:val="0"/>
                <w:bCs w:val="0"/>
                <w:kern w:val="0"/>
                <w:sz w:val="24"/>
                <w:szCs w:val="22"/>
              </w:rPr>
              <w:t>有效的工商营业执照副本、税务登记证副本、组织机构代码证副本或“三证合一”的营业执照副本，且具备所投标的经营范围；</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457" w:type="dxa"/>
            <w:tcBorders>
              <w:left w:val="single" w:color="auto" w:sz="4" w:space="0"/>
            </w:tcBorders>
          </w:tcPr>
          <w:p>
            <w:pPr>
              <w:rPr>
                <w:rFonts w:ascii="仿宋" w:hAnsi="仿宋" w:eastAsia="仿宋"/>
                <w:b w:val="0"/>
                <w:bCs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b w:val="0"/>
                <w:bCs w:val="0"/>
                <w:sz w:val="24"/>
                <w:szCs w:val="24"/>
              </w:rPr>
            </w:pPr>
            <w:r>
              <w:rPr>
                <w:rFonts w:ascii="仿宋" w:hAnsi="仿宋" w:eastAsia="仿宋"/>
                <w:b w:val="0"/>
                <w:bCs w:val="0"/>
                <w:sz w:val="24"/>
                <w:szCs w:val="24"/>
              </w:rPr>
              <w:t>2</w:t>
            </w:r>
          </w:p>
        </w:tc>
        <w:tc>
          <w:tcPr>
            <w:tcW w:w="6415" w:type="dxa"/>
            <w:tcBorders>
              <w:right w:val="single" w:color="auto" w:sz="4" w:space="0"/>
            </w:tcBorders>
            <w:vAlign w:val="center"/>
          </w:tcPr>
          <w:p>
            <w:pPr>
              <w:spacing w:line="440" w:lineRule="exact"/>
              <w:rPr>
                <w:rFonts w:ascii="仿宋" w:hAnsi="仿宋" w:eastAsia="仿宋"/>
                <w:b w:val="0"/>
                <w:bCs w:val="0"/>
                <w:spacing w:val="-2"/>
                <w:sz w:val="24"/>
                <w:szCs w:val="24"/>
              </w:rPr>
            </w:pPr>
            <w:r>
              <w:rPr>
                <w:rFonts w:hint="eastAsia" w:ascii="仿宋" w:hAnsi="仿宋" w:eastAsia="仿宋" w:cs="宋体"/>
                <w:b w:val="0"/>
                <w:bCs w:val="0"/>
                <w:kern w:val="0"/>
                <w:sz w:val="24"/>
              </w:rPr>
              <w:t>是否有未被列入失信被执行人、重大税收违法案件当事人名单、政府采购严重违法失信行为记录名单的网页材料;</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457" w:type="dxa"/>
            <w:tcBorders>
              <w:left w:val="single" w:color="auto" w:sz="4" w:space="0"/>
            </w:tcBorders>
          </w:tcPr>
          <w:p>
            <w:pPr>
              <w:rPr>
                <w:rFonts w:ascii="仿宋" w:hAnsi="仿宋" w:eastAsia="仿宋"/>
                <w:b w:val="0"/>
                <w:bCs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b w:val="0"/>
                <w:bCs w:val="0"/>
                <w:sz w:val="24"/>
                <w:szCs w:val="24"/>
              </w:rPr>
            </w:pPr>
            <w:r>
              <w:rPr>
                <w:rFonts w:ascii="仿宋" w:hAnsi="仿宋" w:eastAsia="仿宋"/>
                <w:b w:val="0"/>
                <w:bCs w:val="0"/>
                <w:sz w:val="24"/>
                <w:szCs w:val="24"/>
              </w:rPr>
              <w:t>3</w:t>
            </w:r>
          </w:p>
        </w:tc>
        <w:tc>
          <w:tcPr>
            <w:tcW w:w="6415" w:type="dxa"/>
            <w:tcBorders>
              <w:right w:val="single" w:color="auto" w:sz="4" w:space="0"/>
            </w:tcBorders>
            <w:vAlign w:val="center"/>
          </w:tcPr>
          <w:p>
            <w:pPr>
              <w:widowControl/>
              <w:spacing w:line="500" w:lineRule="exact"/>
              <w:jc w:val="left"/>
              <w:rPr>
                <w:rFonts w:ascii="仿宋" w:hAnsi="仿宋" w:eastAsia="仿宋"/>
                <w:b w:val="0"/>
                <w:bCs w:val="0"/>
                <w:sz w:val="24"/>
                <w:szCs w:val="24"/>
              </w:rPr>
            </w:pPr>
            <w:r>
              <w:rPr>
                <w:rFonts w:hint="eastAsia" w:ascii="仿宋" w:hAnsi="仿宋" w:eastAsia="仿宋"/>
                <w:b w:val="0"/>
                <w:bCs w:val="0"/>
                <w:sz w:val="24"/>
                <w:szCs w:val="24"/>
              </w:rPr>
              <w:t>是否有投标保证金缴纳凭证；</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457" w:type="dxa"/>
            <w:tcBorders>
              <w:left w:val="single" w:color="auto" w:sz="4" w:space="0"/>
            </w:tcBorders>
          </w:tcPr>
          <w:p>
            <w:pPr>
              <w:rPr>
                <w:rFonts w:ascii="仿宋" w:hAnsi="仿宋" w:eastAsia="仿宋"/>
                <w:b w:val="0"/>
                <w:bCs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hint="eastAsia" w:ascii="仿宋" w:hAnsi="仿宋" w:eastAsia="仿宋"/>
                <w:b w:val="0"/>
                <w:bCs w:val="0"/>
                <w:sz w:val="24"/>
                <w:szCs w:val="24"/>
                <w:lang w:val="en-US" w:eastAsia="zh-CN"/>
              </w:rPr>
            </w:pPr>
            <w:r>
              <w:rPr>
                <w:rFonts w:hint="eastAsia" w:ascii="仿宋" w:hAnsi="仿宋" w:eastAsia="仿宋"/>
                <w:b w:val="0"/>
                <w:bCs w:val="0"/>
                <w:sz w:val="24"/>
                <w:szCs w:val="24"/>
                <w:lang w:val="en-US" w:eastAsia="zh-CN"/>
              </w:rPr>
              <w:t>4</w:t>
            </w:r>
          </w:p>
        </w:tc>
        <w:tc>
          <w:tcPr>
            <w:tcW w:w="6415" w:type="dxa"/>
            <w:tcBorders>
              <w:right w:val="single" w:color="auto" w:sz="4" w:space="0"/>
            </w:tcBorders>
            <w:vAlign w:val="center"/>
          </w:tcPr>
          <w:p>
            <w:pPr>
              <w:numPr>
                <w:ilvl w:val="0"/>
                <w:numId w:val="0"/>
              </w:numPr>
              <w:spacing w:line="520" w:lineRule="exact"/>
              <w:jc w:val="left"/>
              <w:rPr>
                <w:rFonts w:hint="eastAsia" w:ascii="仿宋" w:hAnsi="仿宋" w:eastAsia="仿宋"/>
                <w:b w:val="0"/>
                <w:bCs w:val="0"/>
                <w:sz w:val="24"/>
                <w:szCs w:val="24"/>
                <w:lang w:val="en-US" w:eastAsia="zh-CN"/>
              </w:rPr>
            </w:pPr>
            <w:r>
              <w:rPr>
                <w:rFonts w:hint="eastAsia" w:ascii="仿宋" w:hAnsi="仿宋" w:eastAsia="仿宋" w:cs="仿宋"/>
                <w:b w:val="0"/>
                <w:bCs w:val="0"/>
                <w:color w:val="auto"/>
                <w:sz w:val="24"/>
                <w:highlight w:val="none"/>
                <w:lang w:val="en-US" w:eastAsia="zh-CN"/>
              </w:rPr>
              <w:t>近三年（2019年到2021）度财务审计报告</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b w:val="0"/>
                <w:bCs w:val="0"/>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457" w:type="dxa"/>
            <w:tcBorders>
              <w:left w:val="single" w:color="auto" w:sz="4" w:space="0"/>
            </w:tcBorders>
          </w:tcPr>
          <w:p>
            <w:pPr>
              <w:rPr>
                <w:rFonts w:ascii="仿宋" w:hAnsi="仿宋" w:eastAsia="仿宋"/>
                <w:b w:val="0"/>
                <w:bCs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tcBorders>
              <w:bottom w:val="single" w:color="auto" w:sz="12" w:space="0"/>
              <w:right w:val="single" w:color="auto" w:sz="4" w:space="0"/>
            </w:tcBorders>
          </w:tcPr>
          <w:p>
            <w:pPr>
              <w:spacing w:line="440" w:lineRule="exact"/>
              <w:ind w:firstLine="424" w:firstLineChars="180"/>
              <w:rPr>
                <w:rFonts w:ascii="仿宋" w:hAnsi="仿宋" w:eastAsia="仿宋"/>
                <w:b w:val="0"/>
                <w:bCs w:val="0"/>
                <w:spacing w:val="-2"/>
                <w:sz w:val="24"/>
                <w:szCs w:val="24"/>
              </w:rPr>
            </w:pPr>
            <w:r>
              <w:rPr>
                <w:rFonts w:hint="eastAsia" w:ascii="仿宋" w:hAnsi="仿宋" w:eastAsia="仿宋"/>
                <w:b w:val="0"/>
                <w:bCs w:val="0"/>
                <w:spacing w:val="-2"/>
                <w:sz w:val="24"/>
                <w:szCs w:val="24"/>
              </w:rPr>
              <w:t>结论：是否通过评审</w:t>
            </w:r>
          </w:p>
        </w:tc>
        <w:tc>
          <w:tcPr>
            <w:tcW w:w="778" w:type="dxa"/>
            <w:tcBorders>
              <w:left w:val="single" w:color="auto" w:sz="4" w:space="0"/>
              <w:bottom w:val="single" w:color="auto" w:sz="12" w:space="0"/>
              <w:right w:val="single" w:color="auto" w:sz="4" w:space="0"/>
            </w:tcBorders>
          </w:tcPr>
          <w:p>
            <w:pPr>
              <w:spacing w:line="440" w:lineRule="exact"/>
              <w:ind w:firstLine="424" w:firstLineChars="180"/>
              <w:rPr>
                <w:rFonts w:ascii="仿宋" w:hAnsi="仿宋" w:eastAsia="仿宋"/>
                <w:b w:val="0"/>
                <w:bCs w:val="0"/>
                <w:spacing w:val="-2"/>
                <w:sz w:val="24"/>
                <w:szCs w:val="24"/>
              </w:rPr>
            </w:pPr>
          </w:p>
        </w:tc>
        <w:tc>
          <w:tcPr>
            <w:tcW w:w="778" w:type="dxa"/>
            <w:tcBorders>
              <w:left w:val="single" w:color="auto" w:sz="4" w:space="0"/>
              <w:bottom w:val="single" w:color="auto" w:sz="12" w:space="0"/>
            </w:tcBorders>
          </w:tcPr>
          <w:p>
            <w:pPr>
              <w:spacing w:line="440" w:lineRule="exact"/>
              <w:ind w:firstLine="424" w:firstLineChars="180"/>
              <w:rPr>
                <w:rFonts w:ascii="仿宋" w:hAnsi="仿宋" w:eastAsia="仿宋"/>
                <w:b w:val="0"/>
                <w:bCs w:val="0"/>
                <w:spacing w:val="-2"/>
                <w:sz w:val="24"/>
                <w:szCs w:val="24"/>
              </w:rPr>
            </w:pPr>
          </w:p>
        </w:tc>
        <w:tc>
          <w:tcPr>
            <w:tcW w:w="778" w:type="dxa"/>
            <w:tcBorders>
              <w:bottom w:val="single" w:color="auto" w:sz="12" w:space="0"/>
            </w:tcBorders>
          </w:tcPr>
          <w:p>
            <w:pPr>
              <w:spacing w:line="440" w:lineRule="exact"/>
              <w:ind w:firstLine="424" w:firstLineChars="180"/>
              <w:rPr>
                <w:rFonts w:ascii="仿宋" w:hAnsi="仿宋" w:eastAsia="仿宋"/>
                <w:b w:val="0"/>
                <w:bCs w:val="0"/>
                <w:spacing w:val="-2"/>
                <w:sz w:val="24"/>
                <w:szCs w:val="24"/>
              </w:rPr>
            </w:pPr>
          </w:p>
        </w:tc>
        <w:tc>
          <w:tcPr>
            <w:tcW w:w="457" w:type="dxa"/>
            <w:tcBorders>
              <w:bottom w:val="single" w:color="auto" w:sz="12" w:space="0"/>
            </w:tcBorders>
          </w:tcPr>
          <w:p>
            <w:pPr>
              <w:rPr>
                <w:rFonts w:ascii="仿宋" w:hAnsi="仿宋" w:eastAsia="仿宋"/>
                <w:b w:val="0"/>
                <w:bCs w:val="0"/>
                <w:sz w:val="24"/>
                <w:szCs w:val="24"/>
              </w:rPr>
            </w:pPr>
          </w:p>
        </w:tc>
      </w:tr>
    </w:tbl>
    <w:p>
      <w:pPr>
        <w:spacing w:line="440" w:lineRule="exact"/>
        <w:rPr>
          <w:rFonts w:ascii="仿宋" w:hAnsi="仿宋" w:eastAsia="仿宋"/>
          <w:spacing w:val="-2"/>
          <w:sz w:val="24"/>
          <w:szCs w:val="24"/>
        </w:rPr>
      </w:pPr>
      <w:r>
        <w:rPr>
          <w:rFonts w:ascii="仿宋" w:hAnsi="仿宋" w:eastAsia="仿宋"/>
          <w:spacing w:val="-2"/>
          <w:sz w:val="24"/>
          <w:szCs w:val="24"/>
        </w:rPr>
        <w:t>2.</w:t>
      </w:r>
      <w:r>
        <w:rPr>
          <w:rFonts w:hint="eastAsia" w:ascii="仿宋" w:hAnsi="仿宋" w:eastAsia="仿宋"/>
          <w:spacing w:val="-2"/>
          <w:sz w:val="24"/>
          <w:szCs w:val="24"/>
        </w:rPr>
        <w:t>符合性审查</w:t>
      </w:r>
    </w:p>
    <w:tbl>
      <w:tblPr>
        <w:tblStyle w:val="18"/>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5"/>
        <w:gridCol w:w="6674"/>
        <w:gridCol w:w="646"/>
        <w:gridCol w:w="646"/>
        <w:gridCol w:w="646"/>
        <w:gridCol w:w="5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right w:val="single" w:color="auto" w:sz="4" w:space="0"/>
            </w:tcBorders>
            <w:vAlign w:val="center"/>
          </w:tcPr>
          <w:p>
            <w:pPr>
              <w:jc w:val="center"/>
              <w:rPr>
                <w:rFonts w:ascii="仿宋" w:hAnsi="仿宋" w:eastAsia="仿宋"/>
                <w:b/>
                <w:sz w:val="24"/>
              </w:rPr>
            </w:pPr>
            <w:r>
              <w:rPr>
                <w:rFonts w:hint="eastAsia" w:ascii="仿宋" w:hAnsi="仿宋" w:eastAsia="仿宋"/>
                <w:b/>
                <w:sz w:val="24"/>
              </w:rPr>
              <w:t>评审内容</w:t>
            </w:r>
          </w:p>
        </w:tc>
        <w:tc>
          <w:tcPr>
            <w:tcW w:w="2535" w:type="dxa"/>
            <w:gridSpan w:val="4"/>
            <w:tcBorders>
              <w:top w:val="single" w:color="auto" w:sz="12" w:space="0"/>
              <w:left w:val="single" w:color="auto" w:sz="4" w:space="0"/>
              <w:bottom w:val="single" w:color="auto" w:sz="4" w:space="0"/>
            </w:tcBorders>
            <w:vAlign w:val="center"/>
          </w:tcPr>
          <w:p>
            <w:pPr>
              <w:jc w:val="center"/>
              <w:rPr>
                <w:rFonts w:ascii="仿宋" w:hAnsi="仿宋" w:eastAsia="仿宋"/>
                <w:b/>
                <w:sz w:val="24"/>
              </w:rPr>
            </w:pPr>
            <w:r>
              <w:rPr>
                <w:rFonts w:hint="eastAsia" w:ascii="仿宋" w:hAnsi="仿宋" w:eastAsia="仿宋"/>
                <w:b/>
                <w:sz w:val="24"/>
              </w:rPr>
              <w:t>投标企业名称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continue"/>
            <w:tcBorders>
              <w:right w:val="single" w:color="auto" w:sz="4" w:space="0"/>
            </w:tcBorders>
          </w:tcPr>
          <w:p>
            <w:pPr>
              <w:rPr>
                <w:rFonts w:ascii="仿宋" w:hAnsi="仿宋" w:eastAsia="仿宋"/>
                <w:b/>
                <w:szCs w:val="21"/>
              </w:rPr>
            </w:pPr>
          </w:p>
        </w:tc>
        <w:tc>
          <w:tcPr>
            <w:tcW w:w="646" w:type="dxa"/>
            <w:tcBorders>
              <w:top w:val="single" w:color="auto" w:sz="4" w:space="0"/>
              <w:left w:val="single" w:color="auto" w:sz="4" w:space="0"/>
              <w:right w:val="single" w:color="auto" w:sz="4" w:space="0"/>
            </w:tcBorders>
          </w:tcPr>
          <w:p>
            <w:pPr>
              <w:jc w:val="center"/>
              <w:rPr>
                <w:rFonts w:ascii="仿宋" w:hAnsi="仿宋" w:eastAsia="仿宋"/>
                <w:b/>
                <w:szCs w:val="21"/>
              </w:rPr>
            </w:pPr>
            <w:r>
              <w:rPr>
                <w:rFonts w:ascii="仿宋" w:hAnsi="仿宋" w:eastAsia="仿宋"/>
                <w:b/>
                <w:szCs w:val="21"/>
              </w:rPr>
              <w:t>1</w:t>
            </w:r>
          </w:p>
        </w:tc>
        <w:tc>
          <w:tcPr>
            <w:tcW w:w="646" w:type="dxa"/>
            <w:tcBorders>
              <w:top w:val="single" w:color="auto" w:sz="4" w:space="0"/>
              <w:left w:val="single" w:color="auto" w:sz="4" w:space="0"/>
            </w:tcBorders>
          </w:tcPr>
          <w:p>
            <w:pPr>
              <w:jc w:val="center"/>
              <w:rPr>
                <w:rFonts w:ascii="仿宋" w:hAnsi="仿宋" w:eastAsia="仿宋"/>
                <w:b/>
                <w:szCs w:val="21"/>
              </w:rPr>
            </w:pPr>
            <w:r>
              <w:rPr>
                <w:rFonts w:ascii="仿宋" w:hAnsi="仿宋" w:eastAsia="仿宋"/>
                <w:b/>
                <w:szCs w:val="21"/>
              </w:rPr>
              <w:t>2</w:t>
            </w:r>
          </w:p>
        </w:tc>
        <w:tc>
          <w:tcPr>
            <w:tcW w:w="646" w:type="dxa"/>
            <w:vAlign w:val="center"/>
          </w:tcPr>
          <w:p>
            <w:pPr>
              <w:jc w:val="center"/>
              <w:rPr>
                <w:rFonts w:ascii="仿宋" w:hAnsi="仿宋" w:eastAsia="仿宋"/>
                <w:b/>
                <w:szCs w:val="21"/>
              </w:rPr>
            </w:pPr>
            <w:r>
              <w:rPr>
                <w:rFonts w:ascii="仿宋" w:hAnsi="仿宋" w:eastAsia="仿宋"/>
                <w:b/>
                <w:szCs w:val="21"/>
              </w:rPr>
              <w:t>3</w:t>
            </w:r>
          </w:p>
        </w:tc>
        <w:tc>
          <w:tcPr>
            <w:tcW w:w="597" w:type="dxa"/>
            <w:vAlign w:val="center"/>
          </w:tcPr>
          <w:p>
            <w:pPr>
              <w:jc w:val="center"/>
              <w:rPr>
                <w:rFonts w:ascii="仿宋" w:hAnsi="仿宋" w:eastAsia="仿宋"/>
                <w:b/>
                <w:szCs w:val="21"/>
              </w:rPr>
            </w:pPr>
            <w:r>
              <w:rPr>
                <w:rFonts w:hint="eastAsia" w:ascii="仿宋" w:hAnsi="仿宋" w:eastAsia="仿宋"/>
                <w:b/>
                <w:szCs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eastAsia="zh-CN"/>
              </w:rPr>
            </w:pPr>
            <w:r>
              <w:rPr>
                <w:rFonts w:hint="eastAsia" w:ascii="仿宋" w:hAnsi="仿宋" w:eastAsia="仿宋"/>
                <w:sz w:val="24"/>
                <w:lang w:val="en-US" w:eastAsia="zh-CN"/>
              </w:rPr>
              <w:t>1</w:t>
            </w:r>
          </w:p>
        </w:tc>
        <w:tc>
          <w:tcPr>
            <w:tcW w:w="6674" w:type="dxa"/>
            <w:tcBorders>
              <w:right w:val="single" w:color="auto" w:sz="4" w:space="0"/>
            </w:tcBorders>
            <w:vAlign w:val="bottom"/>
          </w:tcPr>
          <w:p>
            <w:pPr>
              <w:rPr>
                <w:rFonts w:ascii="仿宋" w:hAnsi="仿宋" w:eastAsia="仿宋"/>
                <w:sz w:val="24"/>
              </w:rPr>
            </w:pPr>
            <w:r>
              <w:rPr>
                <w:rFonts w:hint="eastAsia" w:ascii="仿宋" w:hAnsi="仿宋" w:eastAsia="仿宋"/>
                <w:sz w:val="24"/>
              </w:rPr>
              <w:t>投标函是否有单位盖章及法定代表人或法定代表人授权的代理人签字或盖章的；</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eastAsia="zh-CN"/>
              </w:rPr>
            </w:pPr>
            <w:r>
              <w:rPr>
                <w:rFonts w:hint="eastAsia" w:ascii="仿宋" w:hAnsi="仿宋" w:eastAsia="仿宋"/>
                <w:sz w:val="24"/>
                <w:lang w:val="en-US" w:eastAsia="zh-CN"/>
              </w:rPr>
              <w:t>2</w:t>
            </w:r>
          </w:p>
        </w:tc>
        <w:tc>
          <w:tcPr>
            <w:tcW w:w="6674" w:type="dxa"/>
            <w:tcBorders>
              <w:right w:val="single" w:color="auto" w:sz="4" w:space="0"/>
            </w:tcBorders>
            <w:vAlign w:val="bottom"/>
          </w:tcPr>
          <w:p>
            <w:pPr>
              <w:rPr>
                <w:rFonts w:ascii="仿宋" w:hAnsi="仿宋" w:eastAsia="仿宋"/>
                <w:sz w:val="24"/>
              </w:rPr>
            </w:pPr>
            <w:r>
              <w:rPr>
                <w:rFonts w:hint="eastAsia" w:ascii="仿宋" w:hAnsi="仿宋" w:eastAsia="仿宋"/>
                <w:sz w:val="24"/>
              </w:rPr>
              <w:t>是否满足招标文件规定的</w:t>
            </w:r>
            <w:r>
              <w:rPr>
                <w:rFonts w:hint="eastAsia" w:ascii="仿宋" w:hAnsi="仿宋" w:eastAsia="仿宋"/>
                <w:sz w:val="24"/>
                <w:lang w:eastAsia="zh-CN"/>
              </w:rPr>
              <w:t>服务</w:t>
            </w:r>
            <w:r>
              <w:rPr>
                <w:rFonts w:hint="eastAsia" w:ascii="仿宋" w:hAnsi="仿宋" w:eastAsia="仿宋"/>
                <w:sz w:val="24"/>
              </w:rPr>
              <w:t>期限；</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eastAsia="zh-CN"/>
              </w:rPr>
            </w:pPr>
            <w:r>
              <w:rPr>
                <w:rFonts w:hint="eastAsia" w:ascii="仿宋" w:hAnsi="仿宋" w:eastAsia="仿宋"/>
                <w:sz w:val="24"/>
                <w:lang w:val="en-US" w:eastAsia="zh-CN"/>
              </w:rPr>
              <w:t>3</w:t>
            </w:r>
          </w:p>
        </w:tc>
        <w:tc>
          <w:tcPr>
            <w:tcW w:w="6674" w:type="dxa"/>
            <w:tcBorders>
              <w:right w:val="single" w:color="auto" w:sz="4" w:space="0"/>
            </w:tcBorders>
            <w:vAlign w:val="bottom"/>
          </w:tcPr>
          <w:p>
            <w:pPr>
              <w:rPr>
                <w:rFonts w:ascii="仿宋" w:hAnsi="仿宋" w:eastAsia="仿宋" w:cs="宋体"/>
                <w:sz w:val="24"/>
              </w:rPr>
            </w:pPr>
            <w:r>
              <w:rPr>
                <w:rFonts w:hint="eastAsia" w:ascii="仿宋" w:hAnsi="仿宋" w:eastAsia="仿宋"/>
                <w:sz w:val="24"/>
              </w:rPr>
              <w:t>是否按规定提供法人授权委托书的；</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eastAsia="zh-CN"/>
              </w:rPr>
            </w:pPr>
            <w:r>
              <w:rPr>
                <w:rFonts w:hint="eastAsia" w:ascii="仿宋" w:hAnsi="仿宋" w:eastAsia="仿宋"/>
                <w:sz w:val="24"/>
                <w:lang w:val="en-US" w:eastAsia="zh-CN"/>
              </w:rPr>
              <w:t>4</w:t>
            </w:r>
          </w:p>
        </w:tc>
        <w:tc>
          <w:tcPr>
            <w:tcW w:w="6674" w:type="dxa"/>
            <w:tcBorders>
              <w:right w:val="single" w:color="auto" w:sz="4" w:space="0"/>
            </w:tcBorders>
            <w:vAlign w:val="bottom"/>
          </w:tcPr>
          <w:p>
            <w:pPr>
              <w:rPr>
                <w:rFonts w:ascii="仿宋" w:hAnsi="仿宋" w:eastAsia="仿宋" w:cs="宋体"/>
                <w:sz w:val="24"/>
              </w:rPr>
            </w:pPr>
            <w:r>
              <w:rPr>
                <w:rFonts w:hint="eastAsia" w:ascii="仿宋" w:hAnsi="仿宋" w:eastAsia="仿宋"/>
                <w:sz w:val="24"/>
              </w:rPr>
              <w:t>是否按规定的格式填写，内容不全或关键字迹模糊、无法辨认的；</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eastAsia="zh-CN"/>
              </w:rPr>
            </w:pPr>
            <w:r>
              <w:rPr>
                <w:rFonts w:hint="eastAsia" w:ascii="仿宋" w:hAnsi="仿宋" w:eastAsia="仿宋"/>
                <w:sz w:val="24"/>
                <w:lang w:val="en-US" w:eastAsia="zh-CN"/>
              </w:rPr>
              <w:t>5</w:t>
            </w:r>
          </w:p>
        </w:tc>
        <w:tc>
          <w:tcPr>
            <w:tcW w:w="6674" w:type="dxa"/>
            <w:tcBorders>
              <w:right w:val="single" w:color="auto" w:sz="4" w:space="0"/>
            </w:tcBorders>
            <w:vAlign w:val="bottom"/>
          </w:tcPr>
          <w:p>
            <w:pPr>
              <w:rPr>
                <w:rFonts w:ascii="仿宋" w:hAnsi="仿宋" w:eastAsia="仿宋"/>
                <w:sz w:val="24"/>
              </w:rPr>
            </w:pPr>
            <w:r>
              <w:rPr>
                <w:rFonts w:hint="eastAsia" w:ascii="仿宋" w:hAnsi="仿宋" w:eastAsia="仿宋"/>
                <w:sz w:val="24"/>
              </w:rPr>
              <w:t>投标报价是否超过采购预算金额</w:t>
            </w:r>
            <w:r>
              <w:rPr>
                <w:rFonts w:hint="eastAsia" w:ascii="仿宋" w:hAnsi="仿宋" w:eastAsia="仿宋"/>
                <w:sz w:val="24"/>
                <w:szCs w:val="24"/>
              </w:rPr>
              <w:t>（或最高限价）</w:t>
            </w:r>
            <w:r>
              <w:rPr>
                <w:rFonts w:hint="eastAsia" w:ascii="仿宋" w:hAnsi="仿宋" w:eastAsia="仿宋"/>
                <w:sz w:val="24"/>
              </w:rPr>
              <w:t>；</w:t>
            </w:r>
          </w:p>
        </w:tc>
        <w:tc>
          <w:tcPr>
            <w:tcW w:w="646" w:type="dxa"/>
            <w:tcBorders>
              <w:left w:val="single" w:color="auto" w:sz="4" w:space="0"/>
              <w:right w:val="single" w:color="auto" w:sz="4" w:space="0"/>
            </w:tcBorders>
            <w:vAlign w:val="center"/>
          </w:tcPr>
          <w:p>
            <w:pPr>
              <w:snapToGrid w:val="0"/>
              <w:spacing w:line="360" w:lineRule="auto"/>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val="en-US" w:eastAsia="zh-CN"/>
              </w:rPr>
            </w:pPr>
            <w:r>
              <w:rPr>
                <w:rFonts w:hint="eastAsia" w:ascii="仿宋" w:hAnsi="仿宋" w:eastAsia="仿宋"/>
                <w:sz w:val="24"/>
                <w:lang w:val="en-US" w:eastAsia="zh-CN"/>
              </w:rPr>
              <w:t>6</w:t>
            </w:r>
          </w:p>
        </w:tc>
        <w:tc>
          <w:tcPr>
            <w:tcW w:w="6674" w:type="dxa"/>
            <w:tcBorders>
              <w:right w:val="single" w:color="auto" w:sz="4" w:space="0"/>
            </w:tcBorders>
            <w:vAlign w:val="bottom"/>
          </w:tcPr>
          <w:p>
            <w:pPr>
              <w:rPr>
                <w:rFonts w:ascii="仿宋" w:hAnsi="仿宋" w:eastAsia="仿宋" w:cs="宋体"/>
                <w:sz w:val="24"/>
              </w:rPr>
            </w:pPr>
            <w:r>
              <w:rPr>
                <w:rFonts w:hint="eastAsia" w:ascii="仿宋" w:hAnsi="仿宋" w:eastAsia="仿宋"/>
                <w:sz w:val="24"/>
              </w:rPr>
              <w:t>投标文件是否附有招标人不能接受的条件；</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snapToGrid w:val="0"/>
              <w:spacing w:line="360" w:lineRule="auto"/>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val="en-US" w:eastAsia="zh-CN"/>
              </w:rPr>
            </w:pPr>
            <w:r>
              <w:rPr>
                <w:rFonts w:hint="eastAsia" w:ascii="仿宋" w:hAnsi="仿宋" w:eastAsia="仿宋"/>
                <w:sz w:val="24"/>
                <w:lang w:val="en-US" w:eastAsia="zh-CN"/>
              </w:rPr>
              <w:t>7</w:t>
            </w:r>
          </w:p>
        </w:tc>
        <w:tc>
          <w:tcPr>
            <w:tcW w:w="6674" w:type="dxa"/>
            <w:tcBorders>
              <w:right w:val="single" w:color="auto" w:sz="4" w:space="0"/>
            </w:tcBorders>
            <w:vAlign w:val="bottom"/>
          </w:tcPr>
          <w:p>
            <w:pPr>
              <w:rPr>
                <w:rFonts w:ascii="仿宋" w:hAnsi="仿宋" w:eastAsia="仿宋" w:cs="宋体"/>
                <w:sz w:val="24"/>
              </w:rPr>
            </w:pPr>
            <w:r>
              <w:rPr>
                <w:rFonts w:hint="eastAsia" w:ascii="仿宋" w:hAnsi="仿宋" w:eastAsia="仿宋"/>
                <w:sz w:val="24"/>
              </w:rPr>
              <w:t>是否有不符合招标文件中规定的其他实质性要求；</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widowControl/>
              <w:shd w:val="clear" w:color="auto" w:fill="FAFAFA"/>
              <w:spacing w:line="360" w:lineRule="auto"/>
              <w:jc w:val="left"/>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vAlign w:val="center"/>
          </w:tcPr>
          <w:p>
            <w:pPr>
              <w:jc w:val="center"/>
              <w:rPr>
                <w:rFonts w:hint="eastAsia" w:ascii="仿宋" w:hAnsi="仿宋" w:eastAsia="仿宋"/>
                <w:sz w:val="24"/>
                <w:lang w:val="en-US" w:eastAsia="zh-CN"/>
              </w:rPr>
            </w:pPr>
            <w:r>
              <w:rPr>
                <w:rFonts w:hint="eastAsia" w:ascii="仿宋" w:hAnsi="仿宋" w:eastAsia="仿宋"/>
                <w:sz w:val="24"/>
                <w:lang w:val="en-US" w:eastAsia="zh-CN"/>
              </w:rPr>
              <w:t>8</w:t>
            </w:r>
          </w:p>
        </w:tc>
        <w:tc>
          <w:tcPr>
            <w:tcW w:w="6674" w:type="dxa"/>
            <w:tcBorders>
              <w:right w:val="single" w:color="auto" w:sz="4" w:space="0"/>
            </w:tcBorders>
            <w:vAlign w:val="bottom"/>
          </w:tcPr>
          <w:p>
            <w:pPr>
              <w:rPr>
                <w:rFonts w:ascii="仿宋" w:hAnsi="仿宋" w:eastAsia="仿宋" w:cs="宋体"/>
                <w:sz w:val="24"/>
              </w:rPr>
            </w:pPr>
            <w:r>
              <w:rPr>
                <w:rFonts w:hint="eastAsia" w:ascii="仿宋" w:hAnsi="仿宋" w:eastAsia="仿宋"/>
                <w:sz w:val="24"/>
              </w:rPr>
              <w:t>投标人是否有违法招标投标纪律的。</w:t>
            </w:r>
          </w:p>
        </w:tc>
        <w:tc>
          <w:tcPr>
            <w:tcW w:w="646" w:type="dxa"/>
            <w:tcBorders>
              <w:left w:val="single" w:color="auto" w:sz="4" w:space="0"/>
              <w:right w:val="single" w:color="auto" w:sz="4" w:space="0"/>
            </w:tcBorders>
            <w:vAlign w:val="center"/>
          </w:tcPr>
          <w:p>
            <w:pPr>
              <w:rPr>
                <w:rFonts w:ascii="仿宋" w:hAnsi="仿宋" w:eastAsia="仿宋"/>
                <w:szCs w:val="21"/>
              </w:rPr>
            </w:pPr>
          </w:p>
        </w:tc>
        <w:tc>
          <w:tcPr>
            <w:tcW w:w="646" w:type="dxa"/>
            <w:tcBorders>
              <w:left w:val="single" w:color="auto" w:sz="4" w:space="0"/>
            </w:tcBorders>
            <w:vAlign w:val="center"/>
          </w:tcPr>
          <w:p>
            <w:pPr>
              <w:rPr>
                <w:rFonts w:ascii="仿宋" w:hAnsi="仿宋" w:eastAsia="仿宋"/>
                <w:szCs w:val="21"/>
              </w:rPr>
            </w:pPr>
          </w:p>
        </w:tc>
        <w:tc>
          <w:tcPr>
            <w:tcW w:w="646" w:type="dxa"/>
            <w:tcBorders>
              <w:right w:val="single" w:color="auto" w:sz="4" w:space="0"/>
            </w:tcBorders>
          </w:tcPr>
          <w:p>
            <w:pPr>
              <w:rPr>
                <w:rFonts w:ascii="仿宋" w:hAnsi="仿宋" w:eastAsia="仿宋"/>
                <w:szCs w:val="21"/>
              </w:rPr>
            </w:pPr>
          </w:p>
        </w:tc>
        <w:tc>
          <w:tcPr>
            <w:tcW w:w="597" w:type="dxa"/>
            <w:tcBorders>
              <w:left w:val="single" w:color="auto" w:sz="4" w:space="0"/>
            </w:tcBorders>
          </w:tcPr>
          <w:p>
            <w:pPr>
              <w:rPr>
                <w:rFonts w:ascii="仿宋" w:hAnsi="仿宋" w:eastAsia="仿宋"/>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bottom w:val="single" w:color="auto" w:sz="12" w:space="0"/>
              <w:right w:val="single" w:color="auto" w:sz="4" w:space="0"/>
            </w:tcBorders>
          </w:tcPr>
          <w:p>
            <w:pPr>
              <w:rPr>
                <w:rFonts w:ascii="仿宋" w:hAnsi="仿宋" w:eastAsia="仿宋"/>
                <w:sz w:val="24"/>
              </w:rPr>
            </w:pPr>
            <w:r>
              <w:rPr>
                <w:rFonts w:hint="eastAsia" w:ascii="仿宋" w:hAnsi="仿宋" w:eastAsia="仿宋"/>
                <w:sz w:val="24"/>
              </w:rPr>
              <w:t>结论：是否通过评审</w:t>
            </w:r>
          </w:p>
        </w:tc>
        <w:tc>
          <w:tcPr>
            <w:tcW w:w="646" w:type="dxa"/>
            <w:tcBorders>
              <w:left w:val="single" w:color="auto" w:sz="4" w:space="0"/>
              <w:bottom w:val="single" w:color="auto" w:sz="12" w:space="0"/>
              <w:right w:val="single" w:color="auto" w:sz="4" w:space="0"/>
            </w:tcBorders>
          </w:tcPr>
          <w:p>
            <w:pPr>
              <w:rPr>
                <w:rFonts w:ascii="仿宋" w:hAnsi="仿宋" w:eastAsia="仿宋"/>
                <w:szCs w:val="21"/>
              </w:rPr>
            </w:pPr>
          </w:p>
        </w:tc>
        <w:tc>
          <w:tcPr>
            <w:tcW w:w="646" w:type="dxa"/>
            <w:tcBorders>
              <w:left w:val="single" w:color="auto" w:sz="4" w:space="0"/>
              <w:bottom w:val="single" w:color="auto" w:sz="12" w:space="0"/>
            </w:tcBorders>
          </w:tcPr>
          <w:p>
            <w:pPr>
              <w:rPr>
                <w:rFonts w:ascii="仿宋" w:hAnsi="仿宋" w:eastAsia="仿宋"/>
                <w:szCs w:val="21"/>
              </w:rPr>
            </w:pPr>
          </w:p>
        </w:tc>
        <w:tc>
          <w:tcPr>
            <w:tcW w:w="646" w:type="dxa"/>
            <w:tcBorders>
              <w:bottom w:val="single" w:color="auto" w:sz="12" w:space="0"/>
            </w:tcBorders>
          </w:tcPr>
          <w:p>
            <w:pPr>
              <w:rPr>
                <w:rFonts w:ascii="仿宋" w:hAnsi="仿宋" w:eastAsia="仿宋"/>
                <w:szCs w:val="21"/>
              </w:rPr>
            </w:pPr>
          </w:p>
        </w:tc>
        <w:tc>
          <w:tcPr>
            <w:tcW w:w="597" w:type="dxa"/>
            <w:tcBorders>
              <w:bottom w:val="single" w:color="auto" w:sz="12" w:space="0"/>
            </w:tcBorders>
          </w:tcPr>
          <w:p>
            <w:pPr>
              <w:rPr>
                <w:rFonts w:ascii="仿宋" w:hAnsi="仿宋" w:eastAsia="仿宋"/>
                <w:szCs w:val="21"/>
              </w:rPr>
            </w:pPr>
          </w:p>
        </w:tc>
      </w:tr>
    </w:tbl>
    <w:p>
      <w:pPr>
        <w:spacing w:line="440" w:lineRule="exact"/>
        <w:ind w:left="480" w:leftChars="218" w:firstLine="0" w:firstLineChars="0"/>
      </w:pPr>
      <w:r>
        <w:rPr>
          <w:rFonts w:hint="eastAsia" w:ascii="仿宋" w:hAnsi="仿宋" w:eastAsia="仿宋"/>
          <w:sz w:val="24"/>
        </w:rPr>
        <w:t>投标文件响应程度初步审查通过的投标企业，进入下一步详细评审阶段，未通过投标文件响应程度初步审查的企业，其投标作为无效标，不进入后期评审阶段。</w:t>
      </w:r>
    </w:p>
    <w:p>
      <w:pPr>
        <w:pStyle w:val="4"/>
        <w:spacing w:before="29"/>
        <w:rPr>
          <w:rFonts w:hint="eastAsia"/>
          <w:lang w:val="en-US" w:eastAsia="zh-CN"/>
        </w:rPr>
      </w:pPr>
      <w:r>
        <w:rPr>
          <w:rFonts w:hint="eastAsia"/>
          <w:lang w:val="en-US" w:eastAsia="zh-CN"/>
        </w:rPr>
        <w:t xml:space="preserve">  </w:t>
      </w:r>
    </w:p>
    <w:p>
      <w:pPr>
        <w:pStyle w:val="4"/>
        <w:spacing w:before="29"/>
        <w:rPr>
          <w:rFonts w:hint="eastAsia"/>
          <w:lang w:val="en-US" w:eastAsia="zh-CN"/>
        </w:rPr>
      </w:pPr>
    </w:p>
    <w:p>
      <w:pPr>
        <w:pStyle w:val="4"/>
        <w:spacing w:before="29"/>
        <w:rPr>
          <w:rFonts w:hint="eastAsia"/>
          <w:lang w:val="en-US" w:eastAsia="zh-CN"/>
        </w:rPr>
      </w:pPr>
    </w:p>
    <w:p>
      <w:pPr>
        <w:pStyle w:val="4"/>
        <w:spacing w:before="29"/>
        <w:rPr>
          <w:rFonts w:hint="eastAsia"/>
          <w:lang w:val="en-US" w:eastAsia="zh-CN"/>
        </w:rPr>
      </w:pPr>
    </w:p>
    <w:p>
      <w:pPr>
        <w:pStyle w:val="4"/>
        <w:spacing w:before="29"/>
      </w:pPr>
      <w:r>
        <w:rPr>
          <w:rFonts w:hint="eastAsia"/>
          <w:lang w:val="en-US" w:eastAsia="zh-CN"/>
        </w:rPr>
        <w:t xml:space="preserve"> </w:t>
      </w:r>
      <w:r>
        <w:t>技术商务部分评分记录明细表</w:t>
      </w:r>
    </w:p>
    <w:p>
      <w:pPr>
        <w:pStyle w:val="10"/>
        <w:spacing w:before="3" w:after="1"/>
        <w:ind w:left="0"/>
        <w:rPr>
          <w:b/>
          <w:sz w:val="8"/>
        </w:rPr>
      </w:pPr>
    </w:p>
    <w:tbl>
      <w:tblPr>
        <w:tblStyle w:val="18"/>
        <w:tblW w:w="0" w:type="auto"/>
        <w:tblInd w:w="-12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25"/>
        <w:gridCol w:w="1360"/>
        <w:gridCol w:w="1514"/>
        <w:gridCol w:w="700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6" w:hRule="atLeast"/>
        </w:trPr>
        <w:tc>
          <w:tcPr>
            <w:tcW w:w="525" w:type="dxa"/>
          </w:tcPr>
          <w:p>
            <w:pPr>
              <w:pStyle w:val="24"/>
              <w:rPr>
                <w:rFonts w:ascii="Times New Roman"/>
                <w:sz w:val="24"/>
              </w:rPr>
            </w:pPr>
          </w:p>
        </w:tc>
        <w:tc>
          <w:tcPr>
            <w:tcW w:w="1360" w:type="dxa"/>
          </w:tcPr>
          <w:p>
            <w:pPr>
              <w:pStyle w:val="24"/>
              <w:ind w:right="166" w:firstLine="241" w:firstLineChars="100"/>
              <w:jc w:val="center"/>
              <w:rPr>
                <w:b/>
                <w:sz w:val="24"/>
              </w:rPr>
            </w:pPr>
            <w:r>
              <w:rPr>
                <w:b/>
                <w:sz w:val="24"/>
              </w:rPr>
              <w:t>考核项目</w:t>
            </w:r>
          </w:p>
        </w:tc>
        <w:tc>
          <w:tcPr>
            <w:tcW w:w="1514" w:type="dxa"/>
          </w:tcPr>
          <w:p>
            <w:pPr>
              <w:pStyle w:val="24"/>
              <w:spacing w:before="82"/>
              <w:ind w:left="144" w:right="128"/>
              <w:jc w:val="center"/>
              <w:rPr>
                <w:b/>
                <w:sz w:val="24"/>
              </w:rPr>
            </w:pPr>
            <w:r>
              <w:rPr>
                <w:b/>
                <w:sz w:val="24"/>
              </w:rPr>
              <w:t>分数标准</w:t>
            </w:r>
          </w:p>
        </w:tc>
        <w:tc>
          <w:tcPr>
            <w:tcW w:w="7000" w:type="dxa"/>
          </w:tcPr>
          <w:p>
            <w:pPr>
              <w:pStyle w:val="24"/>
              <w:ind w:right="91" w:firstLine="2891" w:firstLineChars="1200"/>
              <w:jc w:val="both"/>
              <w:rPr>
                <w:b/>
                <w:sz w:val="24"/>
              </w:rPr>
            </w:pPr>
            <w:r>
              <w:rPr>
                <w:b/>
                <w:sz w:val="24"/>
              </w:rPr>
              <w:t>评分标准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8" w:hRule="atLeast"/>
        </w:trPr>
        <w:tc>
          <w:tcPr>
            <w:tcW w:w="525" w:type="dxa"/>
          </w:tcPr>
          <w:p>
            <w:pPr>
              <w:pStyle w:val="24"/>
              <w:spacing w:before="81"/>
              <w:ind w:left="38"/>
              <w:jc w:val="center"/>
              <w:rPr>
                <w:b/>
                <w:sz w:val="24"/>
              </w:rPr>
            </w:pPr>
            <w:r>
              <w:rPr>
                <w:b/>
                <w:w w:val="99"/>
                <w:sz w:val="24"/>
              </w:rPr>
              <w:t>一</w:t>
            </w:r>
          </w:p>
        </w:tc>
        <w:tc>
          <w:tcPr>
            <w:tcW w:w="1360" w:type="dxa"/>
          </w:tcPr>
          <w:p>
            <w:pPr>
              <w:pStyle w:val="24"/>
              <w:spacing w:before="81"/>
              <w:ind w:left="181" w:right="166"/>
              <w:jc w:val="center"/>
              <w:rPr>
                <w:b/>
                <w:sz w:val="24"/>
              </w:rPr>
            </w:pPr>
            <w:r>
              <w:rPr>
                <w:b/>
                <w:sz w:val="24"/>
              </w:rPr>
              <w:t>技术部分</w:t>
            </w:r>
          </w:p>
        </w:tc>
        <w:tc>
          <w:tcPr>
            <w:tcW w:w="1514" w:type="dxa"/>
          </w:tcPr>
          <w:p>
            <w:pPr>
              <w:pStyle w:val="24"/>
              <w:spacing w:before="81"/>
              <w:ind w:left="144" w:right="128"/>
              <w:jc w:val="center"/>
              <w:rPr>
                <w:rFonts w:hint="default" w:eastAsia="宋体"/>
                <w:b/>
                <w:sz w:val="24"/>
                <w:lang w:val="en-US" w:eastAsia="zh-CN"/>
              </w:rPr>
            </w:pPr>
            <w:r>
              <w:rPr>
                <w:rFonts w:hint="eastAsia"/>
                <w:b/>
                <w:sz w:val="24"/>
                <w:lang w:val="en-US" w:eastAsia="zh-CN"/>
              </w:rPr>
              <w:t>30</w:t>
            </w:r>
          </w:p>
        </w:tc>
        <w:tc>
          <w:tcPr>
            <w:tcW w:w="7000" w:type="dxa"/>
          </w:tcPr>
          <w:p>
            <w:pPr>
              <w:pStyle w:val="24"/>
              <w:spacing w:before="81"/>
              <w:ind w:left="108" w:right="81"/>
              <w:jc w:val="center"/>
              <w:rPr>
                <w:b/>
                <w:sz w:val="24"/>
              </w:rPr>
            </w:pPr>
            <w:r>
              <w:rPr>
                <w:b/>
                <w:sz w:val="24"/>
              </w:rPr>
              <w:t>具体按下列标准要求进行评审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7" w:hRule="atLeast"/>
        </w:trPr>
        <w:tc>
          <w:tcPr>
            <w:tcW w:w="525" w:type="dxa"/>
          </w:tcPr>
          <w:p>
            <w:pPr>
              <w:pStyle w:val="24"/>
              <w:rPr>
                <w:b/>
                <w:sz w:val="24"/>
              </w:rPr>
            </w:pPr>
          </w:p>
          <w:p>
            <w:pPr>
              <w:pStyle w:val="24"/>
              <w:spacing w:before="10"/>
              <w:rPr>
                <w:b/>
                <w:sz w:val="18"/>
              </w:rPr>
            </w:pPr>
          </w:p>
          <w:p>
            <w:pPr>
              <w:pStyle w:val="24"/>
              <w:spacing w:before="1"/>
              <w:ind w:left="14"/>
              <w:jc w:val="center"/>
              <w:rPr>
                <w:sz w:val="24"/>
              </w:rPr>
            </w:pPr>
            <w:r>
              <w:rPr>
                <w:sz w:val="24"/>
              </w:rPr>
              <w:t>1</w:t>
            </w:r>
          </w:p>
        </w:tc>
        <w:tc>
          <w:tcPr>
            <w:tcW w:w="1360" w:type="dxa"/>
          </w:tcPr>
          <w:p>
            <w:pPr>
              <w:pStyle w:val="24"/>
              <w:spacing w:before="8"/>
              <w:jc w:val="center"/>
              <w:rPr>
                <w:b/>
                <w:sz w:val="24"/>
              </w:rPr>
            </w:pPr>
          </w:p>
          <w:p>
            <w:pPr>
              <w:pStyle w:val="24"/>
              <w:spacing w:line="364" w:lineRule="auto"/>
              <w:jc w:val="center"/>
              <w:rPr>
                <w:sz w:val="24"/>
              </w:rPr>
            </w:pPr>
            <w:r>
              <w:rPr>
                <w:sz w:val="24"/>
              </w:rPr>
              <w:t>综合评价</w:t>
            </w:r>
          </w:p>
        </w:tc>
        <w:tc>
          <w:tcPr>
            <w:tcW w:w="1514" w:type="dxa"/>
          </w:tcPr>
          <w:p>
            <w:pPr>
              <w:pStyle w:val="24"/>
              <w:jc w:val="center"/>
              <w:rPr>
                <w:b/>
                <w:sz w:val="24"/>
              </w:rPr>
            </w:pPr>
          </w:p>
          <w:p>
            <w:pPr>
              <w:pStyle w:val="24"/>
              <w:spacing w:before="1"/>
              <w:ind w:firstLine="480" w:firstLineChars="200"/>
              <w:jc w:val="both"/>
              <w:rPr>
                <w:sz w:val="24"/>
              </w:rPr>
            </w:pPr>
            <w:r>
              <w:rPr>
                <w:rFonts w:hint="eastAsia"/>
                <w:sz w:val="24"/>
                <w:lang w:val="en-US" w:eastAsia="zh-CN"/>
              </w:rPr>
              <w:t>7</w:t>
            </w:r>
            <w:r>
              <w:rPr>
                <w:sz w:val="24"/>
              </w:rPr>
              <w:t>分</w:t>
            </w:r>
          </w:p>
        </w:tc>
        <w:tc>
          <w:tcPr>
            <w:tcW w:w="7000" w:type="dxa"/>
          </w:tcPr>
          <w:p>
            <w:pPr>
              <w:pStyle w:val="24"/>
              <w:spacing w:before="1"/>
              <w:ind w:left="108"/>
              <w:rPr>
                <w:sz w:val="24"/>
              </w:rPr>
            </w:pPr>
            <w:r>
              <w:rPr>
                <w:rFonts w:hint="eastAsia"/>
                <w:sz w:val="24"/>
              </w:rPr>
              <w:t>根据投标产品在实际救援作战行动中的设计实用性情况的优劣程度打分，优于得</w:t>
            </w:r>
            <w:r>
              <w:rPr>
                <w:rFonts w:hint="eastAsia"/>
                <w:sz w:val="24"/>
                <w:lang w:val="en-US" w:eastAsia="zh-CN"/>
              </w:rPr>
              <w:t>4-7</w:t>
            </w:r>
            <w:r>
              <w:rPr>
                <w:rFonts w:hint="eastAsia"/>
                <w:sz w:val="24"/>
              </w:rPr>
              <w:t>分；</w:t>
            </w:r>
            <w:r>
              <w:rPr>
                <w:rFonts w:hint="eastAsia"/>
                <w:sz w:val="24"/>
                <w:lang w:val="en-US" w:eastAsia="zh-CN"/>
              </w:rPr>
              <w:t>一般得1-3分；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0" w:hRule="atLeast"/>
        </w:trPr>
        <w:tc>
          <w:tcPr>
            <w:tcW w:w="525" w:type="dxa"/>
          </w:tcPr>
          <w:p>
            <w:pPr>
              <w:pStyle w:val="24"/>
              <w:rPr>
                <w:b/>
                <w:color w:val="FF0000"/>
                <w:sz w:val="24"/>
              </w:rPr>
            </w:pPr>
          </w:p>
          <w:p>
            <w:pPr>
              <w:pStyle w:val="24"/>
              <w:rPr>
                <w:b/>
                <w:color w:val="FF0000"/>
                <w:sz w:val="24"/>
              </w:rPr>
            </w:pPr>
          </w:p>
          <w:p>
            <w:pPr>
              <w:pStyle w:val="24"/>
              <w:spacing w:before="168"/>
              <w:ind w:left="14"/>
              <w:jc w:val="center"/>
              <w:rPr>
                <w:color w:val="FF0000"/>
                <w:sz w:val="24"/>
              </w:rPr>
            </w:pPr>
            <w:r>
              <w:rPr>
                <w:color w:val="auto"/>
                <w:sz w:val="24"/>
              </w:rPr>
              <w:t>2</w:t>
            </w:r>
          </w:p>
        </w:tc>
        <w:tc>
          <w:tcPr>
            <w:tcW w:w="1360" w:type="dxa"/>
          </w:tcPr>
          <w:p>
            <w:pPr>
              <w:pStyle w:val="24"/>
              <w:jc w:val="center"/>
              <w:rPr>
                <w:b/>
                <w:color w:val="auto"/>
                <w:sz w:val="24"/>
              </w:rPr>
            </w:pPr>
          </w:p>
          <w:p>
            <w:pPr>
              <w:pStyle w:val="24"/>
              <w:spacing w:line="364" w:lineRule="auto"/>
              <w:ind w:right="166"/>
              <w:jc w:val="center"/>
              <w:rPr>
                <w:color w:val="auto"/>
                <w:sz w:val="24"/>
              </w:rPr>
            </w:pPr>
            <w:r>
              <w:rPr>
                <w:color w:val="auto"/>
                <w:sz w:val="24"/>
              </w:rPr>
              <w:t>配置及性能指标</w:t>
            </w:r>
          </w:p>
        </w:tc>
        <w:tc>
          <w:tcPr>
            <w:tcW w:w="1514" w:type="dxa"/>
          </w:tcPr>
          <w:p>
            <w:pPr>
              <w:pStyle w:val="24"/>
              <w:jc w:val="both"/>
              <w:rPr>
                <w:b/>
                <w:color w:val="auto"/>
                <w:sz w:val="24"/>
              </w:rPr>
            </w:pPr>
          </w:p>
          <w:p>
            <w:pPr>
              <w:pStyle w:val="24"/>
              <w:spacing w:before="168"/>
              <w:ind w:left="253" w:firstLine="240" w:firstLineChars="100"/>
              <w:jc w:val="both"/>
              <w:rPr>
                <w:color w:val="auto"/>
                <w:sz w:val="24"/>
              </w:rPr>
            </w:pPr>
            <w:r>
              <w:rPr>
                <w:rFonts w:hint="eastAsia"/>
                <w:color w:val="auto"/>
                <w:sz w:val="24"/>
                <w:lang w:val="en-US" w:eastAsia="zh-CN"/>
              </w:rPr>
              <w:t>20</w:t>
            </w:r>
            <w:r>
              <w:rPr>
                <w:color w:val="auto"/>
                <w:sz w:val="24"/>
              </w:rPr>
              <w:t>分</w:t>
            </w:r>
          </w:p>
        </w:tc>
        <w:tc>
          <w:tcPr>
            <w:tcW w:w="7000" w:type="dxa"/>
          </w:tcPr>
          <w:p>
            <w:pPr>
              <w:pStyle w:val="24"/>
              <w:spacing w:before="1"/>
              <w:ind w:left="108"/>
              <w:rPr>
                <w:rFonts w:hint="eastAsia" w:eastAsia="宋体"/>
                <w:color w:val="auto"/>
                <w:sz w:val="24"/>
                <w:lang w:eastAsia="zh-CN"/>
              </w:rPr>
            </w:pPr>
            <w:r>
              <w:rPr>
                <w:rFonts w:hint="eastAsia"/>
                <w:color w:val="auto"/>
                <w:sz w:val="24"/>
              </w:rPr>
              <w:t>根据所投产品的配置与性能指标的响应程度打分，全部响应招标文件的得</w:t>
            </w:r>
            <w:r>
              <w:rPr>
                <w:rFonts w:hint="eastAsia"/>
                <w:color w:val="auto"/>
                <w:sz w:val="24"/>
                <w:lang w:val="en-US" w:eastAsia="zh-CN"/>
              </w:rPr>
              <w:t>15</w:t>
            </w:r>
            <w:r>
              <w:rPr>
                <w:rFonts w:hint="eastAsia"/>
                <w:color w:val="auto"/>
                <w:sz w:val="24"/>
              </w:rPr>
              <w:t>分。每有一项指标高于要求的加0.5分，每有一项关键指标低于要求的扣</w:t>
            </w:r>
            <w:r>
              <w:rPr>
                <w:rFonts w:hint="eastAsia"/>
                <w:color w:val="auto"/>
                <w:sz w:val="24"/>
                <w:lang w:val="en-US" w:eastAsia="zh-CN"/>
              </w:rPr>
              <w:t>1</w:t>
            </w:r>
            <w:r>
              <w:rPr>
                <w:rFonts w:hint="eastAsia"/>
                <w:color w:val="auto"/>
                <w:sz w:val="24"/>
              </w:rPr>
              <w:t>分，此项最高得</w:t>
            </w:r>
            <w:r>
              <w:rPr>
                <w:rFonts w:hint="eastAsia"/>
                <w:color w:val="auto"/>
                <w:sz w:val="24"/>
                <w:lang w:val="en-US" w:eastAsia="zh-CN"/>
              </w:rPr>
              <w:t>20</w:t>
            </w:r>
            <w:r>
              <w:rPr>
                <w:rFonts w:hint="eastAsia"/>
                <w:color w:val="auto"/>
                <w:sz w:val="24"/>
              </w:rPr>
              <w:t>分，最低的0分</w:t>
            </w:r>
            <w:r>
              <w:rPr>
                <w:rFonts w:hint="eastAsia"/>
                <w:color w:val="auto"/>
                <w:sz w:val="24"/>
                <w:lang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10" w:hRule="atLeast"/>
        </w:trPr>
        <w:tc>
          <w:tcPr>
            <w:tcW w:w="525" w:type="dxa"/>
          </w:tcPr>
          <w:p>
            <w:pPr>
              <w:pStyle w:val="24"/>
              <w:rPr>
                <w:b/>
                <w:sz w:val="24"/>
              </w:rPr>
            </w:pPr>
          </w:p>
          <w:p>
            <w:pPr>
              <w:pStyle w:val="24"/>
              <w:spacing w:before="11"/>
              <w:rPr>
                <w:b/>
                <w:sz w:val="18"/>
              </w:rPr>
            </w:pPr>
          </w:p>
          <w:p>
            <w:pPr>
              <w:pStyle w:val="24"/>
              <w:ind w:left="14" w:leftChars="0" w:right="0" w:rightChars="0"/>
              <w:jc w:val="center"/>
              <w:rPr>
                <w:rFonts w:hint="eastAsia" w:eastAsia="宋体"/>
                <w:sz w:val="24"/>
                <w:lang w:eastAsia="zh-CN"/>
              </w:rPr>
            </w:pPr>
            <w:r>
              <w:rPr>
                <w:rFonts w:hint="eastAsia"/>
                <w:sz w:val="24"/>
                <w:lang w:val="en-US" w:eastAsia="zh-CN"/>
              </w:rPr>
              <w:t>3</w:t>
            </w:r>
          </w:p>
        </w:tc>
        <w:tc>
          <w:tcPr>
            <w:tcW w:w="1360" w:type="dxa"/>
          </w:tcPr>
          <w:p>
            <w:pPr>
              <w:pStyle w:val="24"/>
              <w:ind w:right="166" w:rightChars="0"/>
              <w:jc w:val="center"/>
              <w:rPr>
                <w:color w:val="auto"/>
                <w:sz w:val="24"/>
              </w:rPr>
            </w:pPr>
          </w:p>
          <w:p>
            <w:pPr>
              <w:pStyle w:val="24"/>
              <w:ind w:right="166" w:rightChars="0"/>
              <w:jc w:val="center"/>
              <w:rPr>
                <w:rFonts w:hint="default" w:eastAsia="宋体"/>
                <w:color w:val="auto"/>
                <w:sz w:val="24"/>
                <w:lang w:val="en-US" w:eastAsia="zh-CN"/>
              </w:rPr>
            </w:pPr>
            <w:r>
              <w:rPr>
                <w:rFonts w:hint="default" w:eastAsia="宋体"/>
                <w:color w:val="auto"/>
                <w:sz w:val="24"/>
                <w:lang w:val="en-US" w:eastAsia="zh-CN"/>
              </w:rPr>
              <w:t>质量检测报告</w:t>
            </w:r>
          </w:p>
        </w:tc>
        <w:tc>
          <w:tcPr>
            <w:tcW w:w="1514" w:type="dxa"/>
          </w:tcPr>
          <w:p>
            <w:pPr>
              <w:pStyle w:val="24"/>
              <w:jc w:val="center"/>
              <w:rPr>
                <w:b/>
                <w:color w:val="auto"/>
                <w:sz w:val="24"/>
              </w:rPr>
            </w:pPr>
          </w:p>
          <w:p>
            <w:pPr>
              <w:pStyle w:val="24"/>
              <w:ind w:right="128" w:rightChars="0" w:firstLine="480" w:firstLineChars="200"/>
              <w:jc w:val="both"/>
              <w:rPr>
                <w:rFonts w:hint="eastAsia"/>
                <w:color w:val="auto"/>
                <w:sz w:val="24"/>
                <w:lang w:val="en-US" w:eastAsia="zh-CN"/>
              </w:rPr>
            </w:pPr>
            <w:r>
              <w:rPr>
                <w:rFonts w:hint="eastAsia"/>
                <w:color w:val="auto"/>
                <w:sz w:val="24"/>
                <w:lang w:val="en-US" w:eastAsia="zh-CN"/>
              </w:rPr>
              <w:t>3</w:t>
            </w:r>
            <w:r>
              <w:rPr>
                <w:color w:val="auto"/>
                <w:sz w:val="24"/>
              </w:rPr>
              <w:t>分</w:t>
            </w:r>
          </w:p>
        </w:tc>
        <w:tc>
          <w:tcPr>
            <w:tcW w:w="7000" w:type="dxa"/>
          </w:tcPr>
          <w:p>
            <w:pPr>
              <w:pStyle w:val="24"/>
              <w:spacing w:before="81" w:line="364" w:lineRule="auto"/>
              <w:ind w:right="90"/>
              <w:rPr>
                <w:rFonts w:hint="eastAsia" w:ascii="宋体" w:hAnsi="宋体" w:eastAsia="宋体" w:cs="宋体"/>
                <w:color w:val="auto"/>
                <w:kern w:val="0"/>
                <w:sz w:val="24"/>
                <w:szCs w:val="24"/>
                <w:lang w:val="en-US" w:eastAsia="zh-CN"/>
              </w:rPr>
            </w:pPr>
            <w:r>
              <w:rPr>
                <w:rFonts w:hint="eastAsia" w:cs="宋体"/>
                <w:color w:val="auto"/>
                <w:kern w:val="0"/>
                <w:sz w:val="24"/>
                <w:szCs w:val="24"/>
                <w:lang w:val="en-US" w:eastAsia="zh-CN"/>
              </w:rPr>
              <w:t>打</w:t>
            </w:r>
            <w:r>
              <w:rPr>
                <w:rFonts w:hint="eastAsia" w:ascii="宋体" w:hAnsi="宋体" w:eastAsia="宋体" w:cs="宋体"/>
                <w:color w:val="auto"/>
                <w:kern w:val="0"/>
                <w:sz w:val="24"/>
                <w:szCs w:val="24"/>
                <w:lang w:val="en-US" w:eastAsia="zh-CN"/>
              </w:rPr>
              <w:t>★</w:t>
            </w:r>
            <w:r>
              <w:rPr>
                <w:rFonts w:hint="eastAsia" w:cs="宋体"/>
                <w:color w:val="auto"/>
                <w:kern w:val="0"/>
                <w:sz w:val="24"/>
                <w:szCs w:val="24"/>
                <w:lang w:val="en-US" w:eastAsia="zh-CN"/>
              </w:rPr>
              <w:t>设备需提供检测报告全部提供的</w:t>
            </w:r>
            <w:r>
              <w:rPr>
                <w:rFonts w:hint="eastAsia" w:ascii="宋体" w:hAnsi="宋体" w:eastAsia="宋体" w:cs="宋体"/>
                <w:color w:val="auto"/>
                <w:kern w:val="0"/>
                <w:sz w:val="24"/>
                <w:szCs w:val="24"/>
                <w:lang w:val="en-US" w:eastAsia="zh-CN"/>
              </w:rPr>
              <w:t>得</w:t>
            </w:r>
            <w:r>
              <w:rPr>
                <w:rFonts w:hint="eastAsia" w:cs="宋体"/>
                <w:color w:val="auto"/>
                <w:kern w:val="0"/>
                <w:sz w:val="24"/>
                <w:szCs w:val="24"/>
                <w:lang w:val="en-US" w:eastAsia="zh-CN"/>
              </w:rPr>
              <w:t>3</w:t>
            </w:r>
            <w:r>
              <w:rPr>
                <w:rFonts w:hint="eastAsia" w:ascii="宋体" w:hAnsi="宋体" w:eastAsia="宋体" w:cs="宋体"/>
                <w:color w:val="auto"/>
                <w:kern w:val="0"/>
                <w:sz w:val="24"/>
                <w:szCs w:val="24"/>
                <w:lang w:val="en-US" w:eastAsia="zh-CN"/>
              </w:rPr>
              <w:t>分</w:t>
            </w:r>
            <w:r>
              <w:rPr>
                <w:rFonts w:hint="eastAsia" w:cs="宋体"/>
                <w:color w:val="auto"/>
                <w:kern w:val="0"/>
                <w:sz w:val="24"/>
                <w:szCs w:val="24"/>
                <w:lang w:val="en-US" w:eastAsia="zh-CN"/>
              </w:rPr>
              <w:t>，未提供的一项扣1分</w:t>
            </w:r>
            <w:r>
              <w:rPr>
                <w:rFonts w:hint="eastAsia" w:ascii="宋体" w:hAnsi="宋体" w:eastAsia="宋体" w:cs="宋体"/>
                <w:color w:val="auto"/>
                <w:kern w:val="0"/>
                <w:sz w:val="24"/>
                <w:szCs w:val="24"/>
                <w:lang w:val="en-US" w:eastAsia="zh-CN"/>
              </w:rPr>
              <w:t>，</w:t>
            </w:r>
            <w:r>
              <w:rPr>
                <w:rFonts w:hint="eastAsia" w:cs="宋体"/>
                <w:color w:val="auto"/>
                <w:kern w:val="0"/>
                <w:sz w:val="24"/>
                <w:szCs w:val="24"/>
                <w:lang w:val="en-US" w:eastAsia="zh-CN"/>
              </w:rPr>
              <w:t>扣完为止，</w:t>
            </w:r>
            <w:r>
              <w:rPr>
                <w:rFonts w:hint="eastAsia" w:ascii="宋体" w:hAnsi="宋体" w:eastAsia="宋体" w:cs="宋体"/>
                <w:color w:val="auto"/>
                <w:kern w:val="0"/>
                <w:sz w:val="24"/>
                <w:szCs w:val="24"/>
                <w:lang w:val="en-US" w:eastAsia="zh-CN"/>
              </w:rPr>
              <w:t>最低得0分，最高得</w:t>
            </w:r>
            <w:r>
              <w:rPr>
                <w:rFonts w:hint="eastAsia" w:cs="宋体"/>
                <w:color w:val="auto"/>
                <w:kern w:val="0"/>
                <w:sz w:val="24"/>
                <w:szCs w:val="24"/>
                <w:lang w:val="en-US" w:eastAsia="zh-CN"/>
              </w:rPr>
              <w:t>5</w:t>
            </w:r>
            <w:r>
              <w:rPr>
                <w:rFonts w:hint="eastAsia" w:ascii="宋体" w:hAnsi="宋体" w:eastAsia="宋体" w:cs="宋体"/>
                <w:color w:val="auto"/>
                <w:kern w:val="0"/>
                <w:sz w:val="24"/>
                <w:szCs w:val="24"/>
                <w:lang w:val="en-US" w:eastAsia="zh-CN"/>
              </w:rPr>
              <w:t>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2" w:hRule="atLeast"/>
        </w:trPr>
        <w:tc>
          <w:tcPr>
            <w:tcW w:w="525" w:type="dxa"/>
          </w:tcPr>
          <w:p>
            <w:pPr>
              <w:pStyle w:val="24"/>
              <w:jc w:val="both"/>
              <w:rPr>
                <w:b/>
                <w:sz w:val="24"/>
              </w:rPr>
            </w:pPr>
            <w:r>
              <w:rPr>
                <w:b/>
                <w:w w:val="99"/>
                <w:sz w:val="24"/>
              </w:rPr>
              <w:t>二</w:t>
            </w:r>
          </w:p>
        </w:tc>
        <w:tc>
          <w:tcPr>
            <w:tcW w:w="1360" w:type="dxa"/>
          </w:tcPr>
          <w:p>
            <w:pPr>
              <w:pStyle w:val="24"/>
              <w:ind w:right="166"/>
              <w:jc w:val="both"/>
              <w:rPr>
                <w:b/>
                <w:color w:val="auto"/>
                <w:sz w:val="24"/>
              </w:rPr>
            </w:pPr>
            <w:r>
              <w:rPr>
                <w:b/>
                <w:color w:val="auto"/>
                <w:sz w:val="24"/>
              </w:rPr>
              <w:t>商务部分</w:t>
            </w:r>
          </w:p>
        </w:tc>
        <w:tc>
          <w:tcPr>
            <w:tcW w:w="1514" w:type="dxa"/>
          </w:tcPr>
          <w:p>
            <w:pPr>
              <w:pStyle w:val="24"/>
              <w:ind w:right="128"/>
              <w:jc w:val="center"/>
              <w:rPr>
                <w:rFonts w:hint="default" w:eastAsia="宋体"/>
                <w:b/>
                <w:color w:val="auto"/>
                <w:sz w:val="24"/>
                <w:lang w:val="en-US" w:eastAsia="zh-CN"/>
              </w:rPr>
            </w:pPr>
            <w:r>
              <w:rPr>
                <w:rFonts w:hint="eastAsia"/>
                <w:b/>
                <w:color w:val="auto"/>
                <w:sz w:val="24"/>
                <w:lang w:val="en-US" w:eastAsia="zh-CN"/>
              </w:rPr>
              <w:t>40</w:t>
            </w:r>
          </w:p>
        </w:tc>
        <w:tc>
          <w:tcPr>
            <w:tcW w:w="7000" w:type="dxa"/>
          </w:tcPr>
          <w:p>
            <w:pPr>
              <w:pStyle w:val="24"/>
              <w:rPr>
                <w:b/>
                <w:color w:val="auto"/>
                <w:sz w:val="24"/>
              </w:rPr>
            </w:pPr>
            <w:r>
              <w:rPr>
                <w:b/>
                <w:color w:val="auto"/>
                <w:sz w:val="24"/>
              </w:rPr>
              <w:t>具体按下列标准要求进行评审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93" w:hRule="atLeast"/>
        </w:trPr>
        <w:tc>
          <w:tcPr>
            <w:tcW w:w="525" w:type="dxa"/>
            <w:tcBorders>
              <w:bottom w:val="single" w:color="000000" w:sz="4" w:space="0"/>
            </w:tcBorders>
          </w:tcPr>
          <w:p>
            <w:pPr>
              <w:pStyle w:val="24"/>
              <w:jc w:val="center"/>
              <w:rPr>
                <w:b/>
                <w:color w:val="FF0000"/>
                <w:sz w:val="24"/>
              </w:rPr>
            </w:pPr>
          </w:p>
          <w:p>
            <w:pPr>
              <w:pStyle w:val="24"/>
              <w:jc w:val="center"/>
              <w:rPr>
                <w:b/>
                <w:color w:val="FF0000"/>
                <w:sz w:val="24"/>
              </w:rPr>
            </w:pPr>
          </w:p>
          <w:p>
            <w:pPr>
              <w:pStyle w:val="24"/>
              <w:spacing w:before="10"/>
              <w:jc w:val="center"/>
              <w:rPr>
                <w:b/>
                <w:color w:val="FF0000"/>
                <w:sz w:val="17"/>
              </w:rPr>
            </w:pPr>
          </w:p>
          <w:p>
            <w:pPr>
              <w:pStyle w:val="24"/>
              <w:spacing w:before="10"/>
              <w:jc w:val="center"/>
              <w:rPr>
                <w:b/>
                <w:color w:val="FF0000"/>
                <w:sz w:val="17"/>
              </w:rPr>
            </w:pPr>
          </w:p>
          <w:p>
            <w:pPr>
              <w:pStyle w:val="24"/>
              <w:spacing w:before="10"/>
              <w:jc w:val="center"/>
              <w:rPr>
                <w:b/>
                <w:color w:val="FF0000"/>
                <w:sz w:val="17"/>
              </w:rPr>
            </w:pPr>
          </w:p>
          <w:p>
            <w:pPr>
              <w:pStyle w:val="24"/>
              <w:spacing w:before="10"/>
              <w:jc w:val="center"/>
              <w:rPr>
                <w:b/>
                <w:color w:val="FF0000"/>
                <w:sz w:val="17"/>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FF0000"/>
                <w:sz w:val="24"/>
              </w:rPr>
            </w:pPr>
            <w:r>
              <w:rPr>
                <w:b/>
                <w:color w:val="auto"/>
                <w:w w:val="99"/>
                <w:sz w:val="24"/>
              </w:rPr>
              <w:t>1</w:t>
            </w:r>
          </w:p>
        </w:tc>
        <w:tc>
          <w:tcPr>
            <w:tcW w:w="1360" w:type="dxa"/>
            <w:tcBorders>
              <w:bottom w:val="single" w:color="000000" w:sz="4" w:space="0"/>
            </w:tcBorders>
          </w:tcPr>
          <w:p>
            <w:pPr>
              <w:pStyle w:val="24"/>
              <w:spacing w:before="3"/>
              <w:jc w:val="center"/>
              <w:rPr>
                <w:b/>
                <w:color w:val="auto"/>
                <w:sz w:val="29"/>
              </w:rPr>
            </w:pPr>
          </w:p>
          <w:p>
            <w:pPr>
              <w:pStyle w:val="24"/>
              <w:spacing w:line="364" w:lineRule="auto"/>
              <w:ind w:left="181" w:right="130" w:firstLine="36"/>
              <w:jc w:val="center"/>
              <w:rPr>
                <w:color w:val="auto"/>
                <w:sz w:val="24"/>
              </w:rPr>
            </w:pPr>
          </w:p>
          <w:p>
            <w:pPr>
              <w:pStyle w:val="24"/>
              <w:spacing w:line="364" w:lineRule="auto"/>
              <w:ind w:right="130"/>
              <w:jc w:val="center"/>
              <w:rPr>
                <w:color w:val="auto"/>
                <w:sz w:val="24"/>
              </w:rPr>
            </w:pPr>
          </w:p>
          <w:p>
            <w:pPr>
              <w:pStyle w:val="24"/>
              <w:spacing w:line="364" w:lineRule="auto"/>
              <w:ind w:right="130"/>
              <w:jc w:val="center"/>
              <w:rPr>
                <w:color w:val="auto"/>
                <w:sz w:val="24"/>
              </w:rPr>
            </w:pPr>
          </w:p>
          <w:p>
            <w:pPr>
              <w:pStyle w:val="24"/>
              <w:spacing w:line="364" w:lineRule="auto"/>
              <w:ind w:right="130"/>
              <w:jc w:val="center"/>
              <w:rPr>
                <w:color w:val="auto"/>
                <w:sz w:val="24"/>
              </w:rPr>
            </w:pPr>
          </w:p>
          <w:p>
            <w:pPr>
              <w:pStyle w:val="24"/>
              <w:spacing w:line="364" w:lineRule="auto"/>
              <w:ind w:right="130"/>
              <w:jc w:val="center"/>
              <w:rPr>
                <w:color w:val="auto"/>
                <w:sz w:val="24"/>
              </w:rPr>
            </w:pPr>
            <w:r>
              <w:rPr>
                <w:color w:val="auto"/>
                <w:sz w:val="24"/>
              </w:rPr>
              <w:t>售后服务</w:t>
            </w:r>
          </w:p>
        </w:tc>
        <w:tc>
          <w:tcPr>
            <w:tcW w:w="1514" w:type="dxa"/>
            <w:tcBorders>
              <w:bottom w:val="single" w:color="000000" w:sz="4" w:space="0"/>
            </w:tcBorders>
          </w:tcPr>
          <w:p>
            <w:pPr>
              <w:pStyle w:val="24"/>
              <w:jc w:val="center"/>
              <w:rPr>
                <w:b/>
                <w:color w:val="auto"/>
                <w:sz w:val="24"/>
              </w:rPr>
            </w:pPr>
          </w:p>
          <w:p>
            <w:pPr>
              <w:pStyle w:val="24"/>
              <w:jc w:val="center"/>
              <w:rPr>
                <w:b/>
                <w:color w:val="auto"/>
                <w:sz w:val="24"/>
              </w:rPr>
            </w:pPr>
          </w:p>
          <w:p>
            <w:pPr>
              <w:pStyle w:val="24"/>
              <w:spacing w:before="10"/>
              <w:jc w:val="center"/>
              <w:rPr>
                <w:b/>
                <w:color w:val="auto"/>
                <w:sz w:val="17"/>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color w:val="auto"/>
                <w:sz w:val="24"/>
              </w:rPr>
            </w:pPr>
            <w:r>
              <w:rPr>
                <w:rFonts w:hint="eastAsia"/>
                <w:color w:val="auto"/>
                <w:sz w:val="24"/>
                <w:lang w:val="en-US" w:eastAsia="zh-CN"/>
              </w:rPr>
              <w:t>12</w:t>
            </w:r>
            <w:r>
              <w:rPr>
                <w:color w:val="auto"/>
                <w:sz w:val="24"/>
              </w:rPr>
              <w:t xml:space="preserve"> 分</w:t>
            </w:r>
          </w:p>
        </w:tc>
        <w:tc>
          <w:tcPr>
            <w:tcW w:w="7000" w:type="dxa"/>
            <w:tcBorders>
              <w:bottom w:val="single" w:color="000000" w:sz="4" w:space="0"/>
            </w:tcBorders>
          </w:tcPr>
          <w:p>
            <w:pPr>
              <w:spacing w:line="312" w:lineRule="auto"/>
              <w:rPr>
                <w:rFonts w:hint="eastAsia" w:ascii="宋体" w:hAnsi="宋体" w:cs="宋体"/>
                <w:color w:val="auto"/>
                <w:sz w:val="24"/>
                <w:lang w:val="zh-TW" w:eastAsia="zh-TW"/>
              </w:rPr>
            </w:pPr>
            <w:r>
              <w:rPr>
                <w:rFonts w:hint="eastAsia"/>
                <w:lang w:val="en-US" w:eastAsia="zh-CN"/>
              </w:rPr>
              <w:t>1</w:t>
            </w:r>
            <w:r>
              <w:rPr>
                <w:rFonts w:hint="eastAsia" w:ascii="宋体" w:hAnsi="宋体" w:cs="宋体"/>
                <w:color w:val="auto"/>
                <w:sz w:val="24"/>
                <w:lang w:val="en-US" w:eastAsia="zh-CN"/>
              </w:rPr>
              <w:t>、</w:t>
            </w:r>
            <w:r>
              <w:rPr>
                <w:rFonts w:hint="eastAsia" w:ascii="宋体" w:hAnsi="宋体" w:cs="宋体"/>
                <w:color w:val="auto"/>
                <w:sz w:val="24"/>
              </w:rPr>
              <w:t>根据</w:t>
            </w:r>
            <w:r>
              <w:rPr>
                <w:rFonts w:hint="eastAsia" w:ascii="宋体" w:hAnsi="宋体" w:cs="宋体"/>
                <w:color w:val="auto"/>
                <w:sz w:val="24"/>
                <w:lang w:val="zh-TW" w:eastAsia="zh-TW"/>
              </w:rPr>
              <w:t>投标人针对本项目的售后服务方案进行评分，方案内容至少</w:t>
            </w:r>
            <w:r>
              <w:rPr>
                <w:rFonts w:hint="eastAsia" w:ascii="宋体" w:hAnsi="宋体" w:cs="宋体"/>
                <w:color w:val="auto"/>
                <w:sz w:val="24"/>
              </w:rPr>
              <w:t>包括</w:t>
            </w:r>
            <w:r>
              <w:rPr>
                <w:rFonts w:hint="eastAsia" w:ascii="宋体" w:hAnsi="宋体" w:cs="宋体"/>
                <w:color w:val="auto"/>
                <w:sz w:val="24"/>
                <w:lang w:val="zh-TW" w:eastAsia="zh-TW"/>
              </w:rPr>
              <w:t>①服务承诺及服务条款，②服务及响应方案，③备件（易耗品）供应方案，④服务人员配备⑤应急措施，⑥质保外服务措施等售后服务等。提供完整售后服务方案且完全满足本项目需求的得</w:t>
            </w:r>
            <w:r>
              <w:rPr>
                <w:rFonts w:hint="eastAsia" w:ascii="宋体" w:hAnsi="宋体" w:cs="宋体"/>
                <w:color w:val="auto"/>
                <w:sz w:val="24"/>
                <w:lang w:val="en-US" w:eastAsia="zh-CN"/>
              </w:rPr>
              <w:t>0-10</w:t>
            </w:r>
            <w:r>
              <w:rPr>
                <w:rFonts w:hint="eastAsia" w:ascii="宋体" w:hAnsi="宋体" w:cs="宋体"/>
                <w:color w:val="auto"/>
                <w:sz w:val="24"/>
                <w:lang w:val="zh-TW" w:eastAsia="zh-TW"/>
              </w:rPr>
              <w:t>分；每有一项内容缺失扣2分；每有一项内容无法满足本项目需求或内容与本项目无关或有缺陷的扣1分，直至本项扣完为止。</w:t>
            </w:r>
          </w:p>
          <w:p>
            <w:pPr>
              <w:spacing w:line="312" w:lineRule="auto"/>
              <w:rPr>
                <w:rFonts w:hint="eastAsia" w:ascii="宋体" w:hAnsi="宋体" w:cs="宋体"/>
                <w:color w:val="auto"/>
                <w:sz w:val="24"/>
                <w:lang w:val="zh-TW" w:eastAsia="zh-TW"/>
              </w:rPr>
            </w:pPr>
            <w:r>
              <w:rPr>
                <w:rFonts w:hint="eastAsia" w:ascii="宋体" w:hAnsi="宋体" w:cs="宋体"/>
                <w:color w:val="auto"/>
                <w:sz w:val="24"/>
                <w:lang w:val="en-US" w:eastAsia="zh-CN"/>
              </w:rPr>
              <w:t>2、</w:t>
            </w:r>
            <w:r>
              <w:rPr>
                <w:rFonts w:hint="eastAsia" w:ascii="宋体" w:hAnsi="宋体" w:cs="宋体"/>
                <w:color w:val="auto"/>
                <w:sz w:val="24"/>
                <w:lang w:val="zh-TW" w:eastAsia="zh-TW"/>
              </w:rPr>
              <w:t>承诺质保期后免费定期上门保养（检查、调整）加</w:t>
            </w:r>
            <w:r>
              <w:rPr>
                <w:rFonts w:hint="eastAsia" w:ascii="宋体" w:hAnsi="宋体" w:cs="宋体"/>
                <w:color w:val="auto"/>
                <w:sz w:val="24"/>
                <w:lang w:val="en-US" w:eastAsia="zh-CN"/>
              </w:rPr>
              <w:t>0.5</w:t>
            </w:r>
            <w:r>
              <w:rPr>
                <w:rFonts w:hint="eastAsia" w:ascii="宋体" w:hAnsi="宋体" w:cs="宋体"/>
                <w:color w:val="auto"/>
                <w:sz w:val="24"/>
                <w:lang w:val="zh-TW" w:eastAsia="zh-TW"/>
              </w:rPr>
              <w:t>分，未承诺的不得分。</w:t>
            </w:r>
          </w:p>
          <w:p>
            <w:pPr>
              <w:spacing w:line="312" w:lineRule="auto"/>
              <w:rPr>
                <w:rFonts w:hint="eastAsia" w:ascii="宋体" w:hAnsi="宋体" w:cs="宋体"/>
                <w:color w:val="auto"/>
                <w:sz w:val="24"/>
                <w:lang w:val="en-US" w:eastAsia="zh-CN"/>
              </w:rPr>
            </w:pPr>
            <w:r>
              <w:rPr>
                <w:rFonts w:hint="eastAsia" w:ascii="宋体" w:hAnsi="宋体" w:cs="宋体"/>
                <w:color w:val="auto"/>
                <w:sz w:val="24"/>
                <w:lang w:val="en-US" w:eastAsia="zh-CN"/>
              </w:rPr>
              <w:t>3、</w:t>
            </w:r>
            <w:r>
              <w:rPr>
                <w:rFonts w:hint="eastAsia" w:ascii="宋体" w:hAnsi="宋体" w:cs="宋体"/>
                <w:color w:val="auto"/>
                <w:sz w:val="24"/>
                <w:lang w:val="zh-TW" w:eastAsia="zh-TW"/>
              </w:rPr>
              <w:t>承诺质保期后终身免费维护</w:t>
            </w:r>
            <w:r>
              <w:rPr>
                <w:rFonts w:hint="eastAsia" w:ascii="宋体" w:hAnsi="宋体" w:cs="宋体"/>
                <w:color w:val="auto"/>
                <w:sz w:val="24"/>
                <w:lang w:val="en-US" w:eastAsia="zh-CN"/>
              </w:rPr>
              <w:t>加0.5分；</w:t>
            </w:r>
          </w:p>
          <w:p>
            <w:pPr>
              <w:spacing w:line="312" w:lineRule="auto"/>
              <w:rPr>
                <w:rFonts w:hint="default"/>
                <w:lang w:val="en-US"/>
              </w:rPr>
            </w:pPr>
            <w:r>
              <w:rPr>
                <w:rFonts w:hint="eastAsia" w:ascii="宋体" w:hAnsi="宋体" w:cs="宋体"/>
                <w:color w:val="auto"/>
                <w:sz w:val="24"/>
                <w:lang w:val="en-US" w:eastAsia="zh-CN"/>
              </w:rPr>
              <w:t>4、按规定质保期内每增加一年加0.5分，满分1分；</w:t>
            </w:r>
            <w:r>
              <w:rPr>
                <w:rFonts w:hint="eastAsia" w:cs="宋体"/>
                <w:color w:val="auto"/>
                <w:sz w:val="24"/>
                <w:lang w:val="en-US" w:eastAsia="zh-CN"/>
              </w:rPr>
              <w:t>本项最高得12分；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83" w:hRule="atLeast"/>
        </w:trPr>
        <w:tc>
          <w:tcPr>
            <w:tcW w:w="525" w:type="dxa"/>
            <w:tcBorders>
              <w:bottom w:val="single" w:color="000000" w:sz="4" w:space="0"/>
            </w:tcBorders>
          </w:tcPr>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rFonts w:hint="eastAsia" w:eastAsia="宋体"/>
                <w:b/>
                <w:color w:val="auto"/>
                <w:w w:val="99"/>
                <w:sz w:val="24"/>
                <w:lang w:val="en-US" w:eastAsia="zh-CN"/>
              </w:rPr>
            </w:pPr>
            <w:r>
              <w:rPr>
                <w:rFonts w:hint="eastAsia"/>
                <w:b/>
                <w:color w:val="auto"/>
                <w:w w:val="99"/>
                <w:sz w:val="24"/>
                <w:lang w:val="en-US" w:eastAsia="zh-CN"/>
              </w:rPr>
              <w:t>2</w:t>
            </w:r>
          </w:p>
        </w:tc>
        <w:tc>
          <w:tcPr>
            <w:tcW w:w="1360" w:type="dxa"/>
            <w:tcBorders>
              <w:bottom w:val="single" w:color="000000" w:sz="4" w:space="0"/>
            </w:tcBorders>
          </w:tcPr>
          <w:p>
            <w:pPr>
              <w:pStyle w:val="24"/>
              <w:spacing w:line="364" w:lineRule="auto"/>
              <w:ind w:right="130"/>
              <w:jc w:val="center"/>
              <w:rPr>
                <w:rFonts w:hint="eastAsia"/>
                <w:color w:val="auto"/>
                <w:sz w:val="24"/>
              </w:rPr>
            </w:pPr>
          </w:p>
          <w:p>
            <w:pPr>
              <w:pStyle w:val="24"/>
              <w:spacing w:line="364" w:lineRule="auto"/>
              <w:ind w:right="130"/>
              <w:jc w:val="center"/>
              <w:rPr>
                <w:rFonts w:hint="eastAsia"/>
                <w:color w:val="auto"/>
                <w:sz w:val="24"/>
              </w:rPr>
            </w:pPr>
          </w:p>
          <w:p>
            <w:pPr>
              <w:pStyle w:val="24"/>
              <w:spacing w:line="364" w:lineRule="auto"/>
              <w:ind w:right="130"/>
              <w:jc w:val="center"/>
              <w:rPr>
                <w:rFonts w:hint="eastAsia"/>
                <w:color w:val="auto"/>
                <w:sz w:val="24"/>
              </w:rPr>
            </w:pPr>
          </w:p>
          <w:p>
            <w:pPr>
              <w:pStyle w:val="24"/>
              <w:spacing w:line="364" w:lineRule="auto"/>
              <w:ind w:right="130"/>
              <w:jc w:val="center"/>
              <w:rPr>
                <w:rFonts w:hint="eastAsia"/>
                <w:color w:val="auto"/>
                <w:sz w:val="24"/>
              </w:rPr>
            </w:pPr>
          </w:p>
          <w:p>
            <w:pPr>
              <w:pStyle w:val="24"/>
              <w:spacing w:line="364" w:lineRule="auto"/>
              <w:ind w:right="130"/>
              <w:jc w:val="center"/>
              <w:rPr>
                <w:rFonts w:hint="eastAsia"/>
                <w:color w:val="auto"/>
                <w:sz w:val="24"/>
              </w:rPr>
            </w:pPr>
            <w:r>
              <w:rPr>
                <w:rFonts w:hint="eastAsia"/>
                <w:color w:val="auto"/>
                <w:sz w:val="24"/>
              </w:rPr>
              <w:t>故障响应</w:t>
            </w:r>
          </w:p>
          <w:p>
            <w:pPr>
              <w:pStyle w:val="24"/>
              <w:spacing w:line="364" w:lineRule="auto"/>
              <w:ind w:right="130"/>
              <w:jc w:val="center"/>
              <w:rPr>
                <w:color w:val="auto"/>
                <w:sz w:val="24"/>
              </w:rPr>
            </w:pPr>
          </w:p>
        </w:tc>
        <w:tc>
          <w:tcPr>
            <w:tcW w:w="1514" w:type="dxa"/>
            <w:tcBorders>
              <w:bottom w:val="single" w:color="000000" w:sz="4" w:space="0"/>
            </w:tcBorders>
          </w:tcPr>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default"/>
                <w:color w:val="auto"/>
                <w:sz w:val="24"/>
                <w:lang w:val="en-US" w:eastAsia="zh-CN"/>
              </w:rPr>
            </w:pPr>
            <w:r>
              <w:rPr>
                <w:rFonts w:hint="eastAsia"/>
                <w:color w:val="auto"/>
                <w:sz w:val="24"/>
                <w:lang w:val="en-US" w:eastAsia="zh-CN"/>
              </w:rPr>
              <w:t>5分</w:t>
            </w:r>
          </w:p>
        </w:tc>
        <w:tc>
          <w:tcPr>
            <w:tcW w:w="7000" w:type="dxa"/>
            <w:tcBorders>
              <w:bottom w:val="single" w:color="000000" w:sz="4" w:space="0"/>
            </w:tcBorders>
          </w:tcPr>
          <w:p>
            <w:pPr>
              <w:spacing w:line="312" w:lineRule="auto"/>
              <w:rPr>
                <w:rFonts w:hint="eastAsia" w:ascii="宋体" w:hAnsi="宋体" w:cs="宋体"/>
                <w:color w:val="auto"/>
                <w:sz w:val="24"/>
                <w:lang w:val="zh-CN" w:eastAsia="zh-CN"/>
              </w:rPr>
            </w:pPr>
            <w:r>
              <w:rPr>
                <w:rFonts w:hint="eastAsia" w:ascii="宋体" w:hAnsi="宋体" w:cs="宋体"/>
                <w:color w:val="auto"/>
                <w:sz w:val="24"/>
                <w:lang w:val="zh-CN" w:eastAsia="zh-CN"/>
              </w:rPr>
              <w:t>针对本项目的具体实施方案，提供具体措施、故障响应时间和保障机制等。项目要求，投标单位在接到产品质量问题通知后应当</w:t>
            </w:r>
            <w:r>
              <w:rPr>
                <w:rFonts w:hint="eastAsia" w:cs="宋体"/>
                <w:color w:val="auto"/>
                <w:sz w:val="24"/>
                <w:lang w:val="en-US" w:eastAsia="zh-CN"/>
              </w:rPr>
              <w:t>1.5</w:t>
            </w:r>
            <w:r>
              <w:rPr>
                <w:rFonts w:hint="eastAsia" w:ascii="宋体" w:hAnsi="宋体" w:cs="宋体"/>
                <w:color w:val="auto"/>
                <w:sz w:val="24"/>
                <w:lang w:val="zh-CN" w:eastAsia="zh-CN"/>
              </w:rPr>
              <w:t>小时内作出实质性响应，</w:t>
            </w:r>
            <w:r>
              <w:rPr>
                <w:rFonts w:hint="eastAsia" w:cs="宋体"/>
                <w:color w:val="auto"/>
                <w:sz w:val="24"/>
                <w:lang w:val="en-US" w:eastAsia="zh-CN"/>
              </w:rPr>
              <w:t>4</w:t>
            </w:r>
            <w:r>
              <w:rPr>
                <w:rFonts w:hint="eastAsia" w:ascii="宋体" w:hAnsi="宋体" w:cs="宋体"/>
                <w:color w:val="auto"/>
                <w:sz w:val="24"/>
                <w:lang w:val="zh-CN" w:eastAsia="zh-CN"/>
              </w:rPr>
              <w:t>小时之内售后人员能够到达现场。</w:t>
            </w:r>
          </w:p>
          <w:p>
            <w:pPr>
              <w:spacing w:line="312" w:lineRule="auto"/>
              <w:rPr>
                <w:rFonts w:hint="eastAsia" w:ascii="宋体" w:hAnsi="宋体" w:cs="宋体"/>
                <w:color w:val="auto"/>
                <w:sz w:val="24"/>
                <w:lang w:val="en-US" w:eastAsia="zh-CN"/>
              </w:rPr>
            </w:pPr>
            <w:r>
              <w:rPr>
                <w:rFonts w:hint="eastAsia" w:ascii="宋体" w:hAnsi="宋体" w:cs="宋体"/>
                <w:color w:val="auto"/>
                <w:sz w:val="24"/>
                <w:lang w:val="zh-CN" w:eastAsia="zh-CN"/>
              </w:rPr>
              <w:t>（</w:t>
            </w:r>
            <w:r>
              <w:rPr>
                <w:rFonts w:hint="eastAsia" w:ascii="宋体" w:hAnsi="宋体" w:cs="宋体"/>
                <w:color w:val="auto"/>
                <w:sz w:val="24"/>
                <w:lang w:val="en-US" w:eastAsia="zh-CN"/>
              </w:rPr>
              <w:t>1</w:t>
            </w:r>
            <w:r>
              <w:rPr>
                <w:rFonts w:hint="eastAsia" w:ascii="宋体" w:hAnsi="宋体" w:cs="宋体"/>
                <w:color w:val="auto"/>
                <w:sz w:val="24"/>
                <w:lang w:val="zh-CN" w:eastAsia="zh-CN"/>
              </w:rPr>
              <w:t>）故障响应时间及时，售后人员到达现场时间少于招标文件要求，且有足够的备品备件的</w:t>
            </w:r>
            <w:r>
              <w:rPr>
                <w:rFonts w:hint="eastAsia" w:ascii="宋体" w:hAnsi="宋体" w:cs="宋体"/>
                <w:color w:val="auto"/>
                <w:sz w:val="24"/>
                <w:lang w:val="en-US" w:eastAsia="zh-CN"/>
              </w:rPr>
              <w:t>得</w:t>
            </w:r>
            <w:r>
              <w:rPr>
                <w:rFonts w:hint="eastAsia" w:cs="宋体"/>
                <w:color w:val="auto"/>
                <w:sz w:val="24"/>
                <w:lang w:val="en-US" w:eastAsia="zh-CN"/>
              </w:rPr>
              <w:t>3-5</w:t>
            </w:r>
            <w:r>
              <w:rPr>
                <w:rFonts w:hint="eastAsia" w:ascii="宋体" w:hAnsi="宋体" w:cs="宋体"/>
                <w:color w:val="auto"/>
                <w:sz w:val="24"/>
                <w:lang w:val="en-US" w:eastAsia="zh-CN"/>
              </w:rPr>
              <w:t>分；</w:t>
            </w:r>
          </w:p>
          <w:p>
            <w:pPr>
              <w:spacing w:line="312" w:lineRule="auto"/>
              <w:rPr>
                <w:rFonts w:hint="eastAsia" w:ascii="宋体" w:hAnsi="宋体" w:cs="宋体"/>
                <w:color w:val="auto"/>
                <w:sz w:val="24"/>
                <w:lang w:val="zh-CN" w:eastAsia="zh-CN"/>
              </w:rPr>
            </w:pPr>
            <w:r>
              <w:rPr>
                <w:rFonts w:hint="eastAsia" w:ascii="宋体" w:hAnsi="宋体" w:cs="宋体"/>
                <w:color w:val="auto"/>
                <w:sz w:val="24"/>
                <w:lang w:val="zh-CN" w:eastAsia="zh-CN"/>
              </w:rPr>
              <w:t>（</w:t>
            </w:r>
            <w:r>
              <w:rPr>
                <w:rFonts w:hint="eastAsia" w:ascii="宋体" w:hAnsi="宋体" w:cs="宋体"/>
                <w:color w:val="auto"/>
                <w:sz w:val="24"/>
                <w:lang w:val="en-US" w:eastAsia="zh-CN"/>
              </w:rPr>
              <w:t>2</w:t>
            </w:r>
            <w:r>
              <w:rPr>
                <w:rFonts w:hint="eastAsia" w:ascii="宋体" w:hAnsi="宋体" w:cs="宋体"/>
                <w:color w:val="auto"/>
                <w:sz w:val="24"/>
                <w:lang w:val="zh-CN" w:eastAsia="zh-CN"/>
              </w:rPr>
              <w:t>）故障响应时间、售后人员到达现场时间符合本项目要求的</w:t>
            </w:r>
            <w:r>
              <w:rPr>
                <w:rFonts w:hint="eastAsia" w:ascii="宋体" w:hAnsi="宋体" w:cs="宋体"/>
                <w:color w:val="auto"/>
                <w:sz w:val="24"/>
                <w:lang w:val="en-US" w:eastAsia="zh-CN"/>
              </w:rPr>
              <w:t>得基本分</w:t>
            </w:r>
            <w:r>
              <w:rPr>
                <w:rFonts w:hint="eastAsia" w:cs="宋体"/>
                <w:color w:val="auto"/>
                <w:sz w:val="24"/>
                <w:lang w:val="en-US" w:eastAsia="zh-CN"/>
              </w:rPr>
              <w:t>1-2</w:t>
            </w:r>
            <w:r>
              <w:rPr>
                <w:rFonts w:hint="eastAsia" w:ascii="宋体" w:hAnsi="宋体" w:cs="宋体"/>
                <w:color w:val="auto"/>
                <w:sz w:val="24"/>
                <w:lang w:val="en-US" w:eastAsia="zh-CN"/>
              </w:rPr>
              <w:t>分</w:t>
            </w:r>
            <w:r>
              <w:rPr>
                <w:rFonts w:hint="eastAsia" w:ascii="宋体" w:hAnsi="宋体" w:cs="宋体"/>
                <w:color w:val="auto"/>
                <w:sz w:val="24"/>
                <w:lang w:val="zh-CN" w:eastAsia="zh-CN"/>
              </w:rPr>
              <w:t>。</w:t>
            </w:r>
          </w:p>
          <w:p>
            <w:pPr>
              <w:spacing w:line="312" w:lineRule="auto"/>
              <w:rPr>
                <w:rFonts w:hint="eastAsia" w:ascii="宋体" w:hAnsi="宋体" w:cs="宋体"/>
                <w:color w:val="auto"/>
                <w:sz w:val="24"/>
                <w:lang w:val="en-US" w:eastAsia="zh-CN"/>
              </w:rPr>
            </w:pPr>
            <w:r>
              <w:rPr>
                <w:rFonts w:hint="eastAsia" w:ascii="宋体" w:hAnsi="宋体" w:cs="宋体"/>
                <w:color w:val="auto"/>
                <w:sz w:val="24"/>
                <w:lang w:val="en-US" w:eastAsia="zh-CN"/>
              </w:rPr>
              <w:t>（</w:t>
            </w:r>
            <w:r>
              <w:rPr>
                <w:rFonts w:hint="eastAsia" w:ascii="宋体" w:hAnsi="宋体" w:cs="宋体"/>
                <w:b/>
                <w:bCs/>
                <w:color w:val="auto"/>
                <w:sz w:val="24"/>
                <w:lang w:val="zh-CN" w:eastAsia="zh-CN"/>
              </w:rPr>
              <w:t>如有一项故障响应不满足采购文件要求的，按实质性不响应进行处理</w:t>
            </w:r>
            <w:r>
              <w:rPr>
                <w:rFonts w:hint="eastAsia" w:ascii="宋体" w:hAnsi="宋体" w:cs="宋体"/>
                <w:color w:val="auto"/>
                <w:sz w:val="24"/>
                <w:lang w:val="zh-CN"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73" w:hRule="atLeast"/>
        </w:trPr>
        <w:tc>
          <w:tcPr>
            <w:tcW w:w="525" w:type="dxa"/>
            <w:tcBorders>
              <w:bottom w:val="single" w:color="000000" w:sz="4" w:space="0"/>
            </w:tcBorders>
          </w:tcPr>
          <w:p>
            <w:pPr>
              <w:pStyle w:val="24"/>
              <w:ind w:left="86"/>
              <w:jc w:val="center"/>
              <w:rPr>
                <w:b/>
                <w:color w:val="auto"/>
                <w:w w:val="99"/>
                <w:sz w:val="24"/>
              </w:rPr>
            </w:pPr>
          </w:p>
          <w:p>
            <w:pPr>
              <w:pStyle w:val="24"/>
              <w:ind w:left="86"/>
              <w:jc w:val="center"/>
              <w:rPr>
                <w:b/>
                <w:color w:val="auto"/>
                <w:w w:val="99"/>
                <w:sz w:val="24"/>
              </w:rPr>
            </w:pPr>
          </w:p>
          <w:p>
            <w:pPr>
              <w:pStyle w:val="24"/>
              <w:ind w:left="86"/>
              <w:jc w:val="center"/>
              <w:rPr>
                <w:b/>
                <w:color w:val="auto"/>
                <w:w w:val="99"/>
                <w:sz w:val="24"/>
              </w:rPr>
            </w:pPr>
          </w:p>
          <w:p>
            <w:pPr>
              <w:pStyle w:val="24"/>
              <w:ind w:left="86"/>
              <w:jc w:val="center"/>
              <w:rPr>
                <w:rFonts w:hint="default" w:eastAsia="宋体"/>
                <w:b/>
                <w:color w:val="auto"/>
                <w:w w:val="99"/>
                <w:sz w:val="24"/>
                <w:lang w:val="en-US" w:eastAsia="zh-CN"/>
              </w:rPr>
            </w:pPr>
            <w:r>
              <w:rPr>
                <w:rFonts w:hint="eastAsia"/>
                <w:b/>
                <w:color w:val="auto"/>
                <w:w w:val="99"/>
                <w:sz w:val="24"/>
                <w:lang w:val="en-US" w:eastAsia="zh-CN"/>
              </w:rPr>
              <w:t>3</w:t>
            </w:r>
          </w:p>
        </w:tc>
        <w:tc>
          <w:tcPr>
            <w:tcW w:w="1360" w:type="dxa"/>
            <w:tcBorders>
              <w:bottom w:val="single" w:color="000000" w:sz="4" w:space="0"/>
            </w:tcBorders>
          </w:tcPr>
          <w:p>
            <w:pPr>
              <w:pStyle w:val="24"/>
              <w:spacing w:line="364" w:lineRule="auto"/>
              <w:ind w:right="130"/>
              <w:jc w:val="center"/>
              <w:rPr>
                <w:rFonts w:hint="eastAsia"/>
                <w:color w:val="auto"/>
                <w:sz w:val="24"/>
              </w:rPr>
            </w:pPr>
          </w:p>
          <w:p>
            <w:pPr>
              <w:pStyle w:val="24"/>
              <w:spacing w:line="364" w:lineRule="auto"/>
              <w:ind w:right="130"/>
              <w:jc w:val="center"/>
              <w:rPr>
                <w:color w:val="auto"/>
                <w:sz w:val="24"/>
              </w:rPr>
            </w:pPr>
            <w:r>
              <w:rPr>
                <w:rFonts w:hint="eastAsia"/>
                <w:color w:val="auto"/>
                <w:sz w:val="24"/>
              </w:rPr>
              <w:t>质量及应急保障措施</w:t>
            </w:r>
          </w:p>
        </w:tc>
        <w:tc>
          <w:tcPr>
            <w:tcW w:w="1514" w:type="dxa"/>
            <w:tcBorders>
              <w:bottom w:val="single" w:color="000000" w:sz="4" w:space="0"/>
            </w:tcBorders>
          </w:tcPr>
          <w:p>
            <w:pPr>
              <w:pStyle w:val="24"/>
              <w:ind w:left="140" w:right="128"/>
              <w:jc w:val="center"/>
              <w:rPr>
                <w:rFonts w:hint="eastAsia"/>
                <w:color w:val="auto"/>
                <w:sz w:val="24"/>
                <w:lang w:val="en-US" w:eastAsia="zh-CN"/>
              </w:rPr>
            </w:pPr>
          </w:p>
          <w:p>
            <w:pPr>
              <w:pStyle w:val="24"/>
              <w:ind w:left="140" w:right="128"/>
              <w:jc w:val="center"/>
              <w:rPr>
                <w:rFonts w:hint="eastAsia"/>
                <w:color w:val="auto"/>
                <w:sz w:val="24"/>
                <w:lang w:val="en-US" w:eastAsia="zh-CN"/>
              </w:rPr>
            </w:pPr>
          </w:p>
          <w:p>
            <w:pPr>
              <w:pStyle w:val="24"/>
              <w:ind w:left="140" w:right="128"/>
              <w:jc w:val="center"/>
              <w:rPr>
                <w:rFonts w:hint="default"/>
                <w:color w:val="auto"/>
                <w:sz w:val="24"/>
                <w:lang w:val="en-US" w:eastAsia="zh-CN"/>
              </w:rPr>
            </w:pPr>
            <w:r>
              <w:rPr>
                <w:rFonts w:hint="eastAsia"/>
                <w:color w:val="auto"/>
                <w:sz w:val="24"/>
                <w:lang w:val="en-US" w:eastAsia="zh-CN"/>
              </w:rPr>
              <w:t>4分</w:t>
            </w:r>
          </w:p>
        </w:tc>
        <w:tc>
          <w:tcPr>
            <w:tcW w:w="7000" w:type="dxa"/>
            <w:tcBorders>
              <w:bottom w:val="single" w:color="000000" w:sz="4" w:space="0"/>
            </w:tcBorders>
          </w:tcPr>
          <w:p>
            <w:pPr>
              <w:spacing w:line="312" w:lineRule="auto"/>
              <w:rPr>
                <w:rFonts w:hint="eastAsia" w:ascii="宋体" w:hAnsi="宋体" w:cs="宋体"/>
                <w:color w:val="auto"/>
                <w:sz w:val="24"/>
              </w:rPr>
            </w:pPr>
            <w:r>
              <w:rPr>
                <w:rFonts w:hint="eastAsia" w:ascii="宋体" w:hAnsi="宋体" w:cs="宋体"/>
                <w:color w:val="auto"/>
                <w:sz w:val="24"/>
              </w:rPr>
              <w:t>质量保障措施完善，针对本项目制定有效的方案、针对性强、措施合理切实得</w:t>
            </w:r>
            <w:r>
              <w:rPr>
                <w:rFonts w:hint="eastAsia" w:cs="宋体"/>
                <w:color w:val="auto"/>
                <w:sz w:val="24"/>
                <w:lang w:val="en-US" w:eastAsia="zh-CN"/>
              </w:rPr>
              <w:t>3-4</w:t>
            </w:r>
            <w:r>
              <w:rPr>
                <w:rFonts w:hint="eastAsia" w:ascii="宋体" w:hAnsi="宋体" w:cs="宋体"/>
                <w:color w:val="auto"/>
                <w:sz w:val="24"/>
              </w:rPr>
              <w:t>分；方案基本可行得</w:t>
            </w:r>
            <w:r>
              <w:rPr>
                <w:rFonts w:hint="eastAsia" w:cs="宋体"/>
                <w:color w:val="auto"/>
                <w:sz w:val="24"/>
                <w:lang w:val="en-US" w:eastAsia="zh-CN"/>
              </w:rPr>
              <w:t>2-1</w:t>
            </w:r>
            <w:r>
              <w:rPr>
                <w:rFonts w:hint="eastAsia" w:ascii="宋体" w:hAnsi="宋体" w:cs="宋体"/>
                <w:color w:val="auto"/>
                <w:sz w:val="24"/>
              </w:rPr>
              <w:t>分；方案内容不完善未提供或不符合本项目得0分。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90" w:hRule="atLeast"/>
        </w:trPr>
        <w:tc>
          <w:tcPr>
            <w:tcW w:w="525" w:type="dxa"/>
            <w:tcBorders>
              <w:top w:val="single" w:color="000000" w:sz="4" w:space="0"/>
              <w:bottom w:val="single" w:color="000000" w:sz="4" w:space="0"/>
            </w:tcBorders>
          </w:tcPr>
          <w:p>
            <w:pPr>
              <w:pStyle w:val="24"/>
              <w:jc w:val="center"/>
              <w:rPr>
                <w:b/>
                <w:sz w:val="24"/>
              </w:rPr>
            </w:pPr>
          </w:p>
          <w:p>
            <w:pPr>
              <w:pStyle w:val="24"/>
              <w:spacing w:before="7"/>
              <w:jc w:val="center"/>
              <w:rPr>
                <w:b/>
                <w:sz w:val="23"/>
              </w:rPr>
            </w:pPr>
          </w:p>
          <w:p>
            <w:pPr>
              <w:pStyle w:val="24"/>
              <w:ind w:left="86"/>
              <w:jc w:val="center"/>
              <w:rPr>
                <w:rFonts w:hint="eastAsia" w:eastAsia="宋体"/>
                <w:b/>
                <w:sz w:val="24"/>
                <w:lang w:eastAsia="zh-CN"/>
              </w:rPr>
            </w:pPr>
            <w:r>
              <w:rPr>
                <w:rFonts w:hint="eastAsia"/>
                <w:b/>
                <w:w w:val="99"/>
                <w:sz w:val="24"/>
                <w:lang w:val="en-US" w:eastAsia="zh-CN"/>
              </w:rPr>
              <w:t>4</w:t>
            </w:r>
          </w:p>
        </w:tc>
        <w:tc>
          <w:tcPr>
            <w:tcW w:w="1360" w:type="dxa"/>
            <w:tcBorders>
              <w:top w:val="single" w:color="000000" w:sz="4" w:space="0"/>
              <w:bottom w:val="single" w:color="000000" w:sz="4" w:space="0"/>
            </w:tcBorders>
          </w:tcPr>
          <w:p>
            <w:pPr>
              <w:pStyle w:val="24"/>
              <w:jc w:val="center"/>
              <w:rPr>
                <w:b/>
                <w:sz w:val="24"/>
              </w:rPr>
            </w:pPr>
          </w:p>
          <w:p>
            <w:pPr>
              <w:pStyle w:val="24"/>
              <w:ind w:right="166"/>
              <w:jc w:val="center"/>
              <w:rPr>
                <w:sz w:val="24"/>
              </w:rPr>
            </w:pPr>
            <w:r>
              <w:rPr>
                <w:rFonts w:hint="eastAsia"/>
                <w:sz w:val="24"/>
              </w:rPr>
              <w:t>供货服务方案</w:t>
            </w:r>
          </w:p>
        </w:tc>
        <w:tc>
          <w:tcPr>
            <w:tcW w:w="1514" w:type="dxa"/>
            <w:tcBorders>
              <w:top w:val="single" w:color="000000" w:sz="4" w:space="0"/>
              <w:bottom w:val="single" w:color="000000" w:sz="4" w:space="0"/>
            </w:tcBorders>
          </w:tcPr>
          <w:p>
            <w:pPr>
              <w:pStyle w:val="24"/>
              <w:jc w:val="center"/>
              <w:rPr>
                <w:b/>
                <w:sz w:val="24"/>
              </w:rPr>
            </w:pPr>
          </w:p>
          <w:p>
            <w:pPr>
              <w:pStyle w:val="24"/>
              <w:spacing w:before="7"/>
              <w:jc w:val="center"/>
              <w:rPr>
                <w:b/>
                <w:sz w:val="23"/>
              </w:rPr>
            </w:pPr>
          </w:p>
          <w:p>
            <w:pPr>
              <w:pStyle w:val="24"/>
              <w:ind w:left="140" w:right="128"/>
              <w:jc w:val="center"/>
              <w:rPr>
                <w:sz w:val="24"/>
              </w:rPr>
            </w:pPr>
            <w:r>
              <w:rPr>
                <w:rFonts w:hint="eastAsia"/>
                <w:color w:val="auto"/>
                <w:sz w:val="24"/>
                <w:lang w:val="en-US" w:eastAsia="zh-CN"/>
              </w:rPr>
              <w:t>4</w:t>
            </w:r>
            <w:r>
              <w:rPr>
                <w:color w:val="auto"/>
                <w:sz w:val="24"/>
              </w:rPr>
              <w:t>分</w:t>
            </w:r>
          </w:p>
        </w:tc>
        <w:tc>
          <w:tcPr>
            <w:tcW w:w="7000" w:type="dxa"/>
            <w:tcBorders>
              <w:top w:val="single" w:color="000000" w:sz="4" w:space="0"/>
              <w:bottom w:val="single" w:color="000000" w:sz="4" w:space="0"/>
            </w:tcBorders>
          </w:tcPr>
          <w:p>
            <w:pPr>
              <w:pStyle w:val="24"/>
              <w:spacing w:before="141"/>
              <w:rPr>
                <w:rFonts w:hint="eastAsia" w:ascii="宋体" w:hAnsi="宋体" w:eastAsia="宋体" w:cs="宋体"/>
                <w:color w:val="auto"/>
                <w:sz w:val="24"/>
                <w:szCs w:val="22"/>
                <w:lang w:val="zh-TW" w:eastAsia="zh-TW" w:bidi="zh-CN"/>
              </w:rPr>
            </w:pPr>
            <w:r>
              <w:rPr>
                <w:rFonts w:hint="eastAsia" w:ascii="宋体" w:hAnsi="宋体" w:eastAsia="宋体" w:cs="宋体"/>
                <w:color w:val="auto"/>
                <w:sz w:val="24"/>
                <w:szCs w:val="22"/>
                <w:lang w:val="zh-TW" w:eastAsia="zh-TW" w:bidi="zh-CN"/>
              </w:rPr>
              <w:t>进度安排合理、控制措施全面、可操作性强</w:t>
            </w:r>
            <w:r>
              <w:rPr>
                <w:rFonts w:hint="eastAsia" w:cs="宋体"/>
                <w:color w:val="auto"/>
                <w:sz w:val="24"/>
                <w:szCs w:val="22"/>
                <w:lang w:val="en-US" w:eastAsia="zh-CN" w:bidi="zh-CN"/>
              </w:rPr>
              <w:t>3</w:t>
            </w:r>
            <w:r>
              <w:rPr>
                <w:rFonts w:hint="eastAsia" w:ascii="宋体" w:hAnsi="宋体" w:eastAsia="宋体" w:cs="宋体"/>
                <w:color w:val="auto"/>
                <w:sz w:val="24"/>
                <w:szCs w:val="22"/>
                <w:lang w:val="en-US" w:eastAsia="zh-CN" w:bidi="zh-CN"/>
              </w:rPr>
              <w:t>-</w:t>
            </w:r>
            <w:r>
              <w:rPr>
                <w:rFonts w:hint="eastAsia" w:cs="宋体"/>
                <w:color w:val="auto"/>
                <w:sz w:val="24"/>
                <w:szCs w:val="22"/>
                <w:lang w:val="en-US" w:eastAsia="zh-CN" w:bidi="zh-CN"/>
              </w:rPr>
              <w:t>4</w:t>
            </w:r>
            <w:r>
              <w:rPr>
                <w:rFonts w:hint="eastAsia" w:ascii="宋体" w:hAnsi="宋体" w:eastAsia="宋体" w:cs="宋体"/>
                <w:color w:val="auto"/>
                <w:sz w:val="24"/>
                <w:szCs w:val="22"/>
                <w:lang w:val="zh-TW" w:eastAsia="zh-TW" w:bidi="zh-CN"/>
              </w:rPr>
              <w:t>分；</w:t>
            </w:r>
          </w:p>
          <w:p>
            <w:pPr>
              <w:pStyle w:val="24"/>
              <w:spacing w:before="141"/>
              <w:rPr>
                <w:sz w:val="24"/>
              </w:rPr>
            </w:pPr>
            <w:r>
              <w:rPr>
                <w:rFonts w:hint="eastAsia" w:ascii="宋体" w:hAnsi="宋体" w:eastAsia="宋体" w:cs="宋体"/>
                <w:color w:val="auto"/>
                <w:sz w:val="24"/>
                <w:szCs w:val="22"/>
                <w:lang w:val="zh-TW" w:eastAsia="zh-TW" w:bidi="zh-CN"/>
              </w:rPr>
              <w:t>进度安排基本合理、控制措施基本完整、具有一定的可操作性</w:t>
            </w:r>
            <w:r>
              <w:rPr>
                <w:rFonts w:hint="eastAsia" w:ascii="宋体" w:hAnsi="宋体" w:eastAsia="宋体" w:cs="宋体"/>
                <w:color w:val="auto"/>
                <w:sz w:val="24"/>
                <w:szCs w:val="22"/>
                <w:lang w:val="en-US" w:eastAsia="zh-CN" w:bidi="zh-CN"/>
              </w:rPr>
              <w:t>1-</w:t>
            </w:r>
            <w:r>
              <w:rPr>
                <w:rFonts w:hint="eastAsia" w:cs="宋体"/>
                <w:color w:val="auto"/>
                <w:sz w:val="24"/>
                <w:szCs w:val="22"/>
                <w:lang w:val="en-US" w:eastAsia="zh-CN" w:bidi="zh-CN"/>
              </w:rPr>
              <w:t>2</w:t>
            </w:r>
            <w:r>
              <w:rPr>
                <w:rFonts w:hint="eastAsia" w:ascii="宋体" w:hAnsi="宋体" w:eastAsia="宋体" w:cs="宋体"/>
                <w:color w:val="auto"/>
                <w:sz w:val="24"/>
                <w:szCs w:val="22"/>
                <w:lang w:val="zh-TW" w:eastAsia="zh-TW" w:bidi="zh-CN"/>
              </w:rPr>
              <w:t>分</w:t>
            </w:r>
            <w:r>
              <w:rPr>
                <w:rFonts w:hint="eastAsia" w:ascii="宋体" w:hAnsi="宋体" w:eastAsia="宋体" w:cs="宋体"/>
                <w:color w:val="auto"/>
                <w:sz w:val="24"/>
                <w:szCs w:val="22"/>
                <w:lang w:val="zh-TW" w:eastAsia="zh-CN" w:bidi="zh-CN"/>
              </w:rPr>
              <w:t>；</w:t>
            </w:r>
            <w:r>
              <w:rPr>
                <w:rFonts w:hint="eastAsia" w:ascii="宋体" w:hAnsi="宋体" w:eastAsia="宋体" w:cs="宋体"/>
                <w:color w:val="auto"/>
                <w:sz w:val="24"/>
                <w:szCs w:val="22"/>
                <w:lang w:val="zh-TW" w:eastAsia="zh-TW" w:bidi="zh-CN"/>
              </w:rPr>
              <w:t>进度安排不合理、控制措施不全面、无可操作性0分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6" w:hRule="atLeast"/>
        </w:trPr>
        <w:tc>
          <w:tcPr>
            <w:tcW w:w="525" w:type="dxa"/>
            <w:tcBorders>
              <w:top w:val="single" w:color="000000" w:sz="4" w:space="0"/>
              <w:bottom w:val="single" w:color="000000" w:sz="4" w:space="0"/>
            </w:tcBorders>
          </w:tcPr>
          <w:p>
            <w:pPr>
              <w:pStyle w:val="24"/>
              <w:jc w:val="center"/>
              <w:rPr>
                <w:rFonts w:hint="eastAsia"/>
                <w:b/>
                <w:w w:val="99"/>
                <w:sz w:val="24"/>
                <w:lang w:val="en-US" w:eastAsia="zh-CN"/>
              </w:rPr>
            </w:pPr>
          </w:p>
          <w:p>
            <w:pPr>
              <w:pStyle w:val="24"/>
              <w:ind w:firstLine="238" w:firstLineChars="100"/>
              <w:jc w:val="center"/>
              <w:rPr>
                <w:rFonts w:hint="eastAsia" w:eastAsia="宋体"/>
                <w:b/>
                <w:sz w:val="24"/>
                <w:lang w:eastAsia="zh-CN"/>
              </w:rPr>
            </w:pPr>
            <w:r>
              <w:rPr>
                <w:rFonts w:hint="eastAsia"/>
                <w:b/>
                <w:w w:val="99"/>
                <w:sz w:val="24"/>
                <w:lang w:val="en-US" w:eastAsia="zh-CN"/>
              </w:rPr>
              <w:t>5</w:t>
            </w:r>
          </w:p>
        </w:tc>
        <w:tc>
          <w:tcPr>
            <w:tcW w:w="1360" w:type="dxa"/>
            <w:tcBorders>
              <w:top w:val="single" w:color="000000" w:sz="4" w:space="0"/>
              <w:bottom w:val="single" w:color="000000" w:sz="4" w:space="0"/>
            </w:tcBorders>
          </w:tcPr>
          <w:p>
            <w:pPr>
              <w:pStyle w:val="24"/>
              <w:spacing w:before="205" w:line="364" w:lineRule="auto"/>
              <w:ind w:right="166"/>
              <w:jc w:val="center"/>
              <w:rPr>
                <w:sz w:val="24"/>
              </w:rPr>
            </w:pPr>
            <w:r>
              <w:rPr>
                <w:sz w:val="24"/>
              </w:rPr>
              <w:t>财务能力和状况</w:t>
            </w:r>
          </w:p>
        </w:tc>
        <w:tc>
          <w:tcPr>
            <w:tcW w:w="1514" w:type="dxa"/>
            <w:tcBorders>
              <w:top w:val="single" w:color="000000" w:sz="4" w:space="0"/>
              <w:bottom w:val="single" w:color="000000" w:sz="4" w:space="0"/>
            </w:tcBorders>
          </w:tcPr>
          <w:p>
            <w:pPr>
              <w:pStyle w:val="24"/>
              <w:ind w:right="128"/>
              <w:jc w:val="center"/>
              <w:rPr>
                <w:rFonts w:hint="eastAsia"/>
                <w:sz w:val="24"/>
                <w:lang w:val="en-US" w:eastAsia="zh-CN"/>
              </w:rPr>
            </w:pPr>
          </w:p>
          <w:p>
            <w:pPr>
              <w:pStyle w:val="24"/>
              <w:ind w:right="128"/>
              <w:jc w:val="center"/>
              <w:rPr>
                <w:sz w:val="24"/>
              </w:rPr>
            </w:pPr>
            <w:r>
              <w:rPr>
                <w:rFonts w:hint="eastAsia"/>
                <w:sz w:val="24"/>
                <w:lang w:val="en-US" w:eastAsia="zh-CN"/>
              </w:rPr>
              <w:t>2</w:t>
            </w:r>
            <w:r>
              <w:rPr>
                <w:sz w:val="24"/>
              </w:rPr>
              <w:t>分</w:t>
            </w:r>
          </w:p>
        </w:tc>
        <w:tc>
          <w:tcPr>
            <w:tcW w:w="7000" w:type="dxa"/>
            <w:tcBorders>
              <w:top w:val="single" w:color="000000" w:sz="4" w:space="0"/>
              <w:bottom w:val="single" w:color="000000" w:sz="4" w:space="0"/>
            </w:tcBorders>
          </w:tcPr>
          <w:p>
            <w:pPr>
              <w:pStyle w:val="25"/>
              <w:bidi w:val="0"/>
            </w:pPr>
            <w:r>
              <w:rPr>
                <w:rFonts w:hint="eastAsia"/>
                <w:color w:val="auto"/>
                <w:lang w:eastAsia="zh-CN"/>
              </w:rPr>
              <w:t>提供近三年（</w:t>
            </w:r>
            <w:r>
              <w:rPr>
                <w:rFonts w:hint="eastAsia"/>
                <w:color w:val="auto"/>
                <w:lang w:val="en-US" w:eastAsia="zh-CN"/>
              </w:rPr>
              <w:t>2019年--2021年</w:t>
            </w:r>
            <w:r>
              <w:rPr>
                <w:rFonts w:hint="eastAsia"/>
                <w:color w:val="auto"/>
                <w:lang w:eastAsia="zh-CN"/>
              </w:rPr>
              <w:t>）</w:t>
            </w:r>
            <w:r>
              <w:rPr>
                <w:rFonts w:hint="eastAsia"/>
                <w:color w:val="auto"/>
              </w:rPr>
              <w:t>经审计的上年度会计报表资产负债率小于50%的得</w:t>
            </w:r>
            <w:r>
              <w:rPr>
                <w:rFonts w:hint="eastAsia"/>
                <w:color w:val="auto"/>
                <w:lang w:val="en-US" w:eastAsia="zh-CN"/>
              </w:rPr>
              <w:t>2</w:t>
            </w:r>
            <w:r>
              <w:rPr>
                <w:rFonts w:hint="eastAsia"/>
                <w:color w:val="auto"/>
              </w:rPr>
              <w:t>分；≥50%得1分；不提供者或报表未经审计的不得分。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56" w:hRule="atLeast"/>
        </w:trPr>
        <w:tc>
          <w:tcPr>
            <w:tcW w:w="525" w:type="dxa"/>
            <w:tcBorders>
              <w:top w:val="single" w:color="000000" w:sz="4" w:space="0"/>
              <w:bottom w:val="single" w:color="000000" w:sz="4" w:space="0"/>
            </w:tcBorders>
          </w:tcPr>
          <w:p>
            <w:pPr>
              <w:pStyle w:val="24"/>
              <w:ind w:firstLine="238" w:firstLineChars="100"/>
              <w:jc w:val="center"/>
              <w:rPr>
                <w:rFonts w:hint="eastAsia"/>
                <w:b/>
                <w:w w:val="99"/>
                <w:sz w:val="24"/>
                <w:lang w:val="en-US" w:eastAsia="zh-CN"/>
              </w:rPr>
            </w:pPr>
          </w:p>
          <w:p>
            <w:pPr>
              <w:pStyle w:val="24"/>
              <w:ind w:firstLine="238" w:firstLineChars="100"/>
              <w:jc w:val="center"/>
              <w:rPr>
                <w:rFonts w:hint="default"/>
                <w:b/>
                <w:w w:val="99"/>
                <w:sz w:val="24"/>
                <w:lang w:val="en-US" w:eastAsia="zh-CN"/>
              </w:rPr>
            </w:pPr>
            <w:r>
              <w:rPr>
                <w:rFonts w:hint="eastAsia"/>
                <w:b/>
                <w:w w:val="99"/>
                <w:sz w:val="24"/>
                <w:lang w:val="en-US" w:eastAsia="zh-CN"/>
              </w:rPr>
              <w:t>6</w:t>
            </w:r>
          </w:p>
        </w:tc>
        <w:tc>
          <w:tcPr>
            <w:tcW w:w="1360" w:type="dxa"/>
            <w:tcBorders>
              <w:top w:val="single" w:color="000000" w:sz="4" w:space="0"/>
              <w:bottom w:val="single" w:color="000000" w:sz="4" w:space="0"/>
            </w:tcBorders>
          </w:tcPr>
          <w:p>
            <w:pPr>
              <w:pStyle w:val="24"/>
              <w:spacing w:before="205" w:line="364" w:lineRule="auto"/>
              <w:ind w:right="166"/>
              <w:jc w:val="center"/>
              <w:rPr>
                <w:sz w:val="24"/>
              </w:rPr>
            </w:pPr>
            <w:r>
              <w:rPr>
                <w:rFonts w:hint="eastAsia" w:ascii="宋体" w:hAnsi="宋体" w:eastAsia="宋体" w:cs="宋体"/>
                <w:color w:val="auto"/>
                <w:sz w:val="24"/>
                <w:szCs w:val="22"/>
                <w:lang w:val="zh-TW" w:eastAsia="zh-TW" w:bidi="zh-CN"/>
              </w:rPr>
              <w:t>交货期</w:t>
            </w:r>
          </w:p>
        </w:tc>
        <w:tc>
          <w:tcPr>
            <w:tcW w:w="1514" w:type="dxa"/>
            <w:tcBorders>
              <w:top w:val="single" w:color="000000" w:sz="4" w:space="0"/>
              <w:bottom w:val="single" w:color="000000" w:sz="4" w:space="0"/>
            </w:tcBorders>
          </w:tcPr>
          <w:p>
            <w:pPr>
              <w:pStyle w:val="24"/>
              <w:ind w:right="128"/>
              <w:jc w:val="center"/>
              <w:rPr>
                <w:rFonts w:hint="eastAsia"/>
                <w:color w:val="auto"/>
                <w:sz w:val="24"/>
                <w:lang w:val="en-US" w:eastAsia="zh-CN"/>
              </w:rPr>
            </w:pPr>
          </w:p>
          <w:p>
            <w:pPr>
              <w:pStyle w:val="24"/>
              <w:ind w:right="128"/>
              <w:jc w:val="center"/>
              <w:rPr>
                <w:rFonts w:hint="default"/>
                <w:color w:val="auto"/>
                <w:sz w:val="24"/>
                <w:lang w:val="en-US" w:eastAsia="zh-CN"/>
              </w:rPr>
            </w:pPr>
            <w:r>
              <w:rPr>
                <w:rFonts w:hint="eastAsia"/>
                <w:color w:val="auto"/>
                <w:sz w:val="24"/>
                <w:lang w:val="en-US" w:eastAsia="zh-CN"/>
              </w:rPr>
              <w:t>2分</w:t>
            </w:r>
          </w:p>
        </w:tc>
        <w:tc>
          <w:tcPr>
            <w:tcW w:w="7000" w:type="dxa"/>
            <w:tcBorders>
              <w:top w:val="single" w:color="000000" w:sz="4" w:space="0"/>
              <w:bottom w:val="single" w:color="000000" w:sz="4" w:space="0"/>
            </w:tcBorders>
          </w:tcPr>
          <w:p>
            <w:pPr>
              <w:spacing w:line="300" w:lineRule="auto"/>
              <w:jc w:val="left"/>
              <w:rPr>
                <w:rFonts w:hint="eastAsia" w:ascii="Times New Roman" w:hAnsi="Times New Roman" w:eastAsia="宋体" w:cs="Times New Roman"/>
                <w:color w:val="auto"/>
                <w:sz w:val="24"/>
                <w:szCs w:val="24"/>
                <w:lang w:val="en-US" w:eastAsia="zh-CN" w:bidi="ar-SA"/>
              </w:rPr>
            </w:pPr>
            <w:r>
              <w:rPr>
                <w:rFonts w:hint="eastAsia" w:ascii="Times New Roman" w:hAnsi="Times New Roman" w:eastAsia="宋体" w:cs="Times New Roman"/>
                <w:color w:val="auto"/>
                <w:sz w:val="24"/>
                <w:szCs w:val="24"/>
                <w:lang w:val="en-US" w:eastAsia="zh-CN" w:bidi="ar-SA"/>
              </w:rPr>
              <w:t>招标文件要求：合同签订后</w:t>
            </w:r>
            <w:r>
              <w:rPr>
                <w:rFonts w:hint="eastAsia" w:ascii="Times New Roman" w:hAnsi="Times New Roman" w:cs="Times New Roman"/>
                <w:color w:val="auto"/>
                <w:sz w:val="24"/>
                <w:szCs w:val="24"/>
                <w:lang w:val="en-US" w:eastAsia="zh-CN" w:bidi="ar-SA"/>
              </w:rPr>
              <w:t>30</w:t>
            </w:r>
            <w:bookmarkStart w:id="0" w:name="_GoBack"/>
            <w:bookmarkEnd w:id="0"/>
            <w:r>
              <w:rPr>
                <w:rFonts w:hint="eastAsia" w:ascii="Times New Roman" w:hAnsi="Times New Roman" w:eastAsia="宋体" w:cs="Times New Roman"/>
                <w:color w:val="auto"/>
                <w:sz w:val="24"/>
                <w:szCs w:val="24"/>
                <w:lang w:val="en-US" w:eastAsia="zh-CN" w:bidi="ar-SA"/>
              </w:rPr>
              <w:t>日内交货、培训、调试完毕。</w:t>
            </w:r>
          </w:p>
          <w:p>
            <w:pPr>
              <w:pStyle w:val="25"/>
              <w:bidi w:val="0"/>
              <w:rPr>
                <w:rFonts w:hint="eastAsia"/>
                <w:color w:val="auto"/>
                <w:lang w:eastAsia="zh-CN"/>
              </w:rPr>
            </w:pPr>
            <w:r>
              <w:rPr>
                <w:rFonts w:hint="eastAsia" w:ascii="Times New Roman" w:hAnsi="Times New Roman" w:eastAsia="宋体" w:cs="Times New Roman"/>
                <w:color w:val="auto"/>
                <w:sz w:val="24"/>
                <w:szCs w:val="24"/>
                <w:lang w:val="en-US" w:eastAsia="zh-CN" w:bidi="ar-SA"/>
              </w:rPr>
              <w:t>交货期满足招标人要求</w:t>
            </w:r>
            <w:r>
              <w:rPr>
                <w:rFonts w:hint="eastAsia" w:cs="Times New Roman"/>
                <w:color w:val="auto"/>
                <w:sz w:val="24"/>
                <w:szCs w:val="24"/>
                <w:lang w:val="en-US" w:eastAsia="zh-CN" w:bidi="ar-SA"/>
              </w:rPr>
              <w:t>得1分</w:t>
            </w:r>
            <w:r>
              <w:rPr>
                <w:rFonts w:hint="eastAsia" w:ascii="Times New Roman" w:hAnsi="Times New Roman" w:eastAsia="宋体" w:cs="Times New Roman"/>
                <w:color w:val="auto"/>
                <w:sz w:val="24"/>
                <w:szCs w:val="24"/>
                <w:lang w:val="en-US" w:eastAsia="zh-CN" w:bidi="ar-SA"/>
              </w:rPr>
              <w:t>，每提前</w:t>
            </w:r>
            <w:r>
              <w:rPr>
                <w:rFonts w:hint="eastAsia" w:cs="Times New Roman"/>
                <w:color w:val="auto"/>
                <w:sz w:val="24"/>
                <w:szCs w:val="24"/>
                <w:lang w:val="en-US" w:eastAsia="zh-CN" w:bidi="ar-SA"/>
              </w:rPr>
              <w:t>5</w:t>
            </w:r>
            <w:r>
              <w:rPr>
                <w:rFonts w:hint="eastAsia" w:ascii="Times New Roman" w:hAnsi="Times New Roman" w:eastAsia="宋体" w:cs="Times New Roman"/>
                <w:color w:val="auto"/>
                <w:sz w:val="24"/>
                <w:szCs w:val="24"/>
                <w:lang w:val="en-US" w:eastAsia="zh-CN" w:bidi="ar-SA"/>
              </w:rPr>
              <w:t>日得</w:t>
            </w:r>
            <w:r>
              <w:rPr>
                <w:rFonts w:hint="eastAsia" w:cs="Times New Roman"/>
                <w:color w:val="auto"/>
                <w:sz w:val="24"/>
                <w:szCs w:val="24"/>
                <w:lang w:val="en-US" w:eastAsia="zh-CN" w:bidi="ar-SA"/>
              </w:rPr>
              <w:t>0.5</w:t>
            </w:r>
            <w:r>
              <w:rPr>
                <w:rFonts w:hint="eastAsia" w:ascii="Times New Roman" w:hAnsi="Times New Roman" w:eastAsia="宋体" w:cs="Times New Roman"/>
                <w:color w:val="auto"/>
                <w:sz w:val="24"/>
                <w:szCs w:val="24"/>
                <w:lang w:val="en-US" w:eastAsia="zh-CN" w:bidi="ar-SA"/>
              </w:rPr>
              <w:t>分；最高得</w:t>
            </w:r>
            <w:r>
              <w:rPr>
                <w:rFonts w:hint="eastAsia" w:cs="Times New Roman"/>
                <w:color w:val="auto"/>
                <w:sz w:val="24"/>
                <w:szCs w:val="24"/>
                <w:lang w:val="en-US" w:eastAsia="zh-CN" w:bidi="ar-SA"/>
              </w:rPr>
              <w:t>2</w:t>
            </w:r>
            <w:r>
              <w:rPr>
                <w:rFonts w:hint="eastAsia" w:ascii="Times New Roman" w:hAnsi="Times New Roman" w:eastAsia="宋体" w:cs="Times New Roman"/>
                <w:color w:val="auto"/>
                <w:sz w:val="24"/>
                <w:szCs w:val="24"/>
                <w:lang w:val="en-US" w:eastAsia="zh-CN" w:bidi="ar-SA"/>
              </w:rPr>
              <w:t>分,否则不得分。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525" w:type="dxa"/>
            <w:tcBorders>
              <w:top w:val="single" w:color="000000" w:sz="4" w:space="0"/>
              <w:bottom w:val="single" w:color="000000" w:sz="4" w:space="0"/>
            </w:tcBorders>
          </w:tcPr>
          <w:p>
            <w:pPr>
              <w:pStyle w:val="24"/>
              <w:ind w:firstLine="238" w:firstLineChars="100"/>
              <w:jc w:val="center"/>
              <w:rPr>
                <w:rFonts w:hint="eastAsia"/>
                <w:b/>
                <w:w w:val="99"/>
                <w:sz w:val="24"/>
                <w:lang w:val="en-US" w:eastAsia="zh-CN"/>
              </w:rPr>
            </w:pPr>
          </w:p>
          <w:p>
            <w:pPr>
              <w:pStyle w:val="24"/>
              <w:ind w:firstLine="238" w:firstLineChars="100"/>
              <w:jc w:val="center"/>
              <w:rPr>
                <w:rFonts w:hint="default"/>
                <w:b/>
                <w:w w:val="99"/>
                <w:sz w:val="24"/>
                <w:lang w:val="en-US" w:eastAsia="zh-CN"/>
              </w:rPr>
            </w:pPr>
            <w:r>
              <w:rPr>
                <w:rFonts w:hint="eastAsia"/>
                <w:b/>
                <w:w w:val="99"/>
                <w:sz w:val="24"/>
                <w:lang w:val="en-US" w:eastAsia="zh-CN"/>
              </w:rPr>
              <w:t>7</w:t>
            </w:r>
          </w:p>
        </w:tc>
        <w:tc>
          <w:tcPr>
            <w:tcW w:w="1360" w:type="dxa"/>
            <w:tcBorders>
              <w:top w:val="single" w:color="000000" w:sz="4" w:space="0"/>
              <w:bottom w:val="single" w:color="000000" w:sz="4" w:space="0"/>
            </w:tcBorders>
          </w:tcPr>
          <w:p>
            <w:pPr>
              <w:pStyle w:val="24"/>
              <w:spacing w:before="205" w:line="364" w:lineRule="auto"/>
              <w:ind w:right="166"/>
              <w:jc w:val="center"/>
              <w:rPr>
                <w:sz w:val="24"/>
              </w:rPr>
            </w:pPr>
            <w:r>
              <w:rPr>
                <w:rFonts w:hint="eastAsia"/>
                <w:sz w:val="24"/>
              </w:rPr>
              <w:t>技术人员配置情况</w:t>
            </w:r>
          </w:p>
        </w:tc>
        <w:tc>
          <w:tcPr>
            <w:tcW w:w="1514" w:type="dxa"/>
            <w:tcBorders>
              <w:top w:val="single" w:color="000000" w:sz="4" w:space="0"/>
              <w:bottom w:val="single" w:color="000000" w:sz="4" w:space="0"/>
            </w:tcBorders>
          </w:tcPr>
          <w:p>
            <w:pPr>
              <w:pStyle w:val="24"/>
              <w:ind w:right="128"/>
              <w:jc w:val="center"/>
              <w:rPr>
                <w:rFonts w:hint="eastAsia"/>
                <w:sz w:val="24"/>
                <w:lang w:val="en-US" w:eastAsia="zh-CN"/>
              </w:rPr>
            </w:pPr>
          </w:p>
          <w:p>
            <w:pPr>
              <w:pStyle w:val="24"/>
              <w:ind w:right="128"/>
              <w:jc w:val="center"/>
              <w:rPr>
                <w:rFonts w:hint="default"/>
                <w:sz w:val="24"/>
                <w:lang w:val="en-US" w:eastAsia="zh-CN"/>
              </w:rPr>
            </w:pPr>
            <w:r>
              <w:rPr>
                <w:rFonts w:hint="eastAsia"/>
                <w:sz w:val="24"/>
                <w:lang w:val="en-US" w:eastAsia="zh-CN"/>
              </w:rPr>
              <w:t>3分</w:t>
            </w:r>
          </w:p>
        </w:tc>
        <w:tc>
          <w:tcPr>
            <w:tcW w:w="7000" w:type="dxa"/>
            <w:tcBorders>
              <w:top w:val="single" w:color="000000" w:sz="4" w:space="0"/>
              <w:bottom w:val="single" w:color="000000" w:sz="4" w:space="0"/>
            </w:tcBorders>
          </w:tcPr>
          <w:p>
            <w:pPr>
              <w:pStyle w:val="25"/>
              <w:bidi w:val="0"/>
              <w:rPr>
                <w:rFonts w:hint="default"/>
                <w:lang w:val="en-US" w:eastAsia="zh-CN"/>
              </w:rPr>
            </w:pPr>
            <w:r>
              <w:rPr>
                <w:rFonts w:hint="eastAsia"/>
                <w:lang w:eastAsia="zh-CN"/>
              </w:rPr>
              <w:t>具有从事专业工作人员和技术工种20人以上得</w:t>
            </w:r>
            <w:r>
              <w:rPr>
                <w:rFonts w:hint="eastAsia"/>
                <w:lang w:val="en-US" w:eastAsia="zh-CN"/>
              </w:rPr>
              <w:t>3</w:t>
            </w:r>
            <w:r>
              <w:rPr>
                <w:rFonts w:hint="eastAsia"/>
                <w:lang w:eastAsia="zh-CN"/>
              </w:rPr>
              <w:t>分；具有从事管理专业工作人员和技术工种</w:t>
            </w:r>
            <w:r>
              <w:rPr>
                <w:rFonts w:hint="eastAsia"/>
                <w:lang w:val="en-US" w:eastAsia="zh-CN"/>
              </w:rPr>
              <w:t>20到</w:t>
            </w:r>
            <w:r>
              <w:rPr>
                <w:rFonts w:hint="eastAsia"/>
                <w:lang w:eastAsia="zh-CN"/>
              </w:rPr>
              <w:t>15人得</w:t>
            </w:r>
            <w:r>
              <w:rPr>
                <w:rFonts w:hint="eastAsia"/>
                <w:lang w:val="en-US" w:eastAsia="zh-CN"/>
              </w:rPr>
              <w:t>2</w:t>
            </w:r>
            <w:r>
              <w:rPr>
                <w:rFonts w:hint="eastAsia"/>
                <w:lang w:eastAsia="zh-CN"/>
              </w:rPr>
              <w:t>分；从事施工管理专业工作人员和技术工种10</w:t>
            </w:r>
            <w:r>
              <w:rPr>
                <w:rFonts w:hint="eastAsia"/>
                <w:lang w:val="en-US" w:eastAsia="zh-CN"/>
              </w:rPr>
              <w:t>人以</w:t>
            </w:r>
            <w:r>
              <w:rPr>
                <w:rFonts w:hint="eastAsia"/>
                <w:lang w:eastAsia="zh-CN"/>
              </w:rPr>
              <w:t>下的</w:t>
            </w:r>
            <w:r>
              <w:rPr>
                <w:rFonts w:hint="eastAsia"/>
                <w:lang w:val="en-US" w:eastAsia="zh-CN"/>
              </w:rPr>
              <w:t>得1</w:t>
            </w:r>
            <w:r>
              <w:rPr>
                <w:rFonts w:hint="eastAsia"/>
                <w:lang w:eastAsia="zh-CN"/>
              </w:rPr>
              <w:t>分，</w:t>
            </w:r>
            <w:r>
              <w:rPr>
                <w:rFonts w:hint="eastAsia"/>
                <w:lang w:val="en-US" w:eastAsia="zh-CN"/>
              </w:rPr>
              <w:t>没有不得分。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1" w:hRule="atLeast"/>
        </w:trPr>
        <w:tc>
          <w:tcPr>
            <w:tcW w:w="525" w:type="dxa"/>
            <w:tcBorders>
              <w:top w:val="single" w:color="000000" w:sz="4" w:space="0"/>
              <w:bottom w:val="single" w:color="000000" w:sz="4" w:space="0"/>
            </w:tcBorders>
          </w:tcPr>
          <w:p>
            <w:pPr>
              <w:pStyle w:val="24"/>
              <w:spacing w:before="2"/>
              <w:jc w:val="center"/>
              <w:rPr>
                <w:b/>
                <w:sz w:val="19"/>
              </w:rPr>
            </w:pPr>
          </w:p>
          <w:p>
            <w:pPr>
              <w:pStyle w:val="24"/>
              <w:spacing w:before="1"/>
              <w:jc w:val="center"/>
              <w:rPr>
                <w:rFonts w:hint="eastAsia"/>
                <w:b/>
                <w:w w:val="99"/>
                <w:sz w:val="24"/>
                <w:lang w:val="en-US" w:eastAsia="zh-CN"/>
              </w:rPr>
            </w:pPr>
          </w:p>
          <w:p>
            <w:pPr>
              <w:pStyle w:val="24"/>
              <w:spacing w:before="1"/>
              <w:ind w:firstLine="238" w:firstLineChars="100"/>
              <w:jc w:val="center"/>
              <w:rPr>
                <w:rFonts w:hint="eastAsia" w:eastAsia="宋体"/>
                <w:b/>
                <w:sz w:val="24"/>
                <w:lang w:eastAsia="zh-CN"/>
              </w:rPr>
            </w:pPr>
            <w:r>
              <w:rPr>
                <w:rFonts w:hint="eastAsia"/>
                <w:b/>
                <w:w w:val="99"/>
                <w:sz w:val="24"/>
                <w:lang w:val="en-US" w:eastAsia="zh-CN"/>
              </w:rPr>
              <w:t>8</w:t>
            </w:r>
          </w:p>
        </w:tc>
        <w:tc>
          <w:tcPr>
            <w:tcW w:w="1360" w:type="dxa"/>
            <w:tcBorders>
              <w:top w:val="single" w:color="000000" w:sz="4" w:space="0"/>
              <w:bottom w:val="single" w:color="000000" w:sz="4" w:space="0"/>
            </w:tcBorders>
          </w:tcPr>
          <w:p>
            <w:pPr>
              <w:pStyle w:val="24"/>
              <w:jc w:val="center"/>
              <w:rPr>
                <w:b/>
                <w:sz w:val="24"/>
              </w:rPr>
            </w:pPr>
          </w:p>
          <w:p>
            <w:pPr>
              <w:pStyle w:val="24"/>
              <w:spacing w:before="1"/>
              <w:ind w:right="166"/>
              <w:jc w:val="center"/>
              <w:rPr>
                <w:sz w:val="24"/>
              </w:rPr>
            </w:pPr>
            <w:r>
              <w:rPr>
                <w:sz w:val="24"/>
              </w:rPr>
              <w:t>类似业绩</w:t>
            </w:r>
          </w:p>
        </w:tc>
        <w:tc>
          <w:tcPr>
            <w:tcW w:w="1514" w:type="dxa"/>
            <w:tcBorders>
              <w:top w:val="single" w:color="000000" w:sz="4" w:space="0"/>
            </w:tcBorders>
          </w:tcPr>
          <w:p>
            <w:pPr>
              <w:pStyle w:val="24"/>
              <w:rPr>
                <w:b/>
                <w:sz w:val="24"/>
              </w:rPr>
            </w:pPr>
          </w:p>
          <w:p>
            <w:pPr>
              <w:pStyle w:val="24"/>
              <w:spacing w:before="1"/>
              <w:ind w:right="128" w:firstLine="480" w:firstLineChars="200"/>
              <w:jc w:val="both"/>
              <w:rPr>
                <w:sz w:val="24"/>
              </w:rPr>
            </w:pPr>
            <w:r>
              <w:rPr>
                <w:rFonts w:hint="eastAsia"/>
                <w:sz w:val="24"/>
                <w:lang w:val="en-US" w:eastAsia="zh-CN"/>
              </w:rPr>
              <w:t>3</w:t>
            </w:r>
            <w:r>
              <w:rPr>
                <w:sz w:val="24"/>
              </w:rPr>
              <w:t>分</w:t>
            </w:r>
          </w:p>
        </w:tc>
        <w:tc>
          <w:tcPr>
            <w:tcW w:w="7000" w:type="dxa"/>
            <w:tcBorders>
              <w:top w:val="single" w:color="000000" w:sz="4" w:space="0"/>
            </w:tcBorders>
          </w:tcPr>
          <w:p>
            <w:pPr>
              <w:pStyle w:val="24"/>
              <w:spacing w:line="364" w:lineRule="auto"/>
              <w:ind w:right="114"/>
              <w:rPr>
                <w:sz w:val="24"/>
              </w:rPr>
            </w:pPr>
            <w:r>
              <w:rPr>
                <w:rFonts w:hint="eastAsia"/>
                <w:spacing w:val="-4"/>
                <w:sz w:val="24"/>
                <w:lang w:val="en-US" w:eastAsia="zh-CN"/>
              </w:rPr>
              <w:t>近三年（2019年至2021年）</w:t>
            </w:r>
            <w:r>
              <w:rPr>
                <w:spacing w:val="-4"/>
                <w:sz w:val="24"/>
              </w:rPr>
              <w:t>有类似业绩成功案例的每个加</w:t>
            </w:r>
            <w:r>
              <w:rPr>
                <w:rFonts w:hint="eastAsia"/>
                <w:spacing w:val="-4"/>
                <w:sz w:val="24"/>
                <w:lang w:val="en-US" w:eastAsia="zh-CN"/>
              </w:rPr>
              <w:t>1</w:t>
            </w:r>
            <w:r>
              <w:rPr>
                <w:spacing w:val="-9"/>
                <w:sz w:val="24"/>
              </w:rPr>
              <w:t>分，</w:t>
            </w:r>
            <w:r>
              <w:rPr>
                <w:rFonts w:hint="eastAsia"/>
                <w:spacing w:val="-9"/>
                <w:sz w:val="24"/>
                <w:lang w:val="en-US" w:eastAsia="zh-CN"/>
              </w:rPr>
              <w:t>满分3分，</w:t>
            </w:r>
            <w:r>
              <w:rPr>
                <w:spacing w:val="-9"/>
                <w:sz w:val="24"/>
              </w:rPr>
              <w:t>有完整合同</w:t>
            </w:r>
            <w:r>
              <w:rPr>
                <w:rFonts w:hint="eastAsia"/>
                <w:spacing w:val="-9"/>
                <w:sz w:val="24"/>
                <w:lang w:eastAsia="zh-CN"/>
              </w:rPr>
              <w:t>或中标通知书</w:t>
            </w:r>
            <w:r>
              <w:rPr>
                <w:sz w:val="24"/>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69" w:hRule="atLeast"/>
        </w:trPr>
        <w:tc>
          <w:tcPr>
            <w:tcW w:w="525" w:type="dxa"/>
            <w:tcBorders>
              <w:top w:val="single" w:color="000000" w:sz="4" w:space="0"/>
              <w:bottom w:val="single" w:color="000000" w:sz="4" w:space="0"/>
            </w:tcBorders>
          </w:tcPr>
          <w:p>
            <w:pPr>
              <w:pStyle w:val="24"/>
              <w:spacing w:before="1"/>
              <w:ind w:firstLine="238" w:firstLineChars="100"/>
              <w:jc w:val="center"/>
              <w:rPr>
                <w:rFonts w:hint="eastAsia"/>
                <w:b/>
                <w:w w:val="99"/>
                <w:sz w:val="24"/>
                <w:lang w:val="en-US" w:eastAsia="zh-CN"/>
              </w:rPr>
            </w:pPr>
          </w:p>
          <w:p>
            <w:pPr>
              <w:pStyle w:val="24"/>
              <w:spacing w:before="1"/>
              <w:ind w:firstLine="238" w:firstLineChars="100"/>
              <w:jc w:val="center"/>
              <w:rPr>
                <w:rFonts w:hint="default"/>
                <w:b/>
                <w:w w:val="99"/>
                <w:sz w:val="24"/>
                <w:lang w:val="en-US" w:eastAsia="zh-CN"/>
              </w:rPr>
            </w:pPr>
            <w:r>
              <w:rPr>
                <w:rFonts w:hint="eastAsia"/>
                <w:b/>
                <w:w w:val="99"/>
                <w:sz w:val="24"/>
                <w:lang w:val="en-US" w:eastAsia="zh-CN"/>
              </w:rPr>
              <w:t>9</w:t>
            </w:r>
          </w:p>
        </w:tc>
        <w:tc>
          <w:tcPr>
            <w:tcW w:w="1360" w:type="dxa"/>
            <w:tcBorders>
              <w:top w:val="single" w:color="000000" w:sz="4" w:space="0"/>
              <w:bottom w:val="single" w:color="000000" w:sz="4" w:space="0"/>
            </w:tcBorders>
          </w:tcPr>
          <w:p>
            <w:pPr>
              <w:pStyle w:val="24"/>
              <w:spacing w:before="1"/>
              <w:ind w:right="166"/>
              <w:jc w:val="center"/>
              <w:rPr>
                <w:rFonts w:hint="eastAsia"/>
                <w:sz w:val="24"/>
              </w:rPr>
            </w:pPr>
          </w:p>
          <w:p>
            <w:pPr>
              <w:pStyle w:val="24"/>
              <w:spacing w:before="1"/>
              <w:ind w:right="166"/>
              <w:jc w:val="center"/>
              <w:rPr>
                <w:sz w:val="24"/>
              </w:rPr>
            </w:pPr>
            <w:r>
              <w:rPr>
                <w:rFonts w:hint="eastAsia"/>
                <w:sz w:val="24"/>
              </w:rPr>
              <w:t>培训计划</w:t>
            </w:r>
          </w:p>
        </w:tc>
        <w:tc>
          <w:tcPr>
            <w:tcW w:w="1514" w:type="dxa"/>
            <w:tcBorders>
              <w:top w:val="single" w:color="000000" w:sz="4" w:space="0"/>
            </w:tcBorders>
          </w:tcPr>
          <w:p>
            <w:pPr>
              <w:pStyle w:val="24"/>
              <w:spacing w:before="1"/>
              <w:ind w:right="128" w:firstLine="480" w:firstLineChars="200"/>
              <w:jc w:val="both"/>
              <w:rPr>
                <w:rFonts w:hint="eastAsia"/>
                <w:sz w:val="24"/>
                <w:lang w:val="en-US" w:eastAsia="zh-CN"/>
              </w:rPr>
            </w:pPr>
          </w:p>
          <w:p>
            <w:pPr>
              <w:pStyle w:val="24"/>
              <w:spacing w:before="1"/>
              <w:ind w:right="128" w:firstLine="480" w:firstLineChars="200"/>
              <w:jc w:val="both"/>
              <w:rPr>
                <w:rFonts w:hint="default"/>
                <w:sz w:val="24"/>
                <w:lang w:val="en-US" w:eastAsia="zh-CN"/>
              </w:rPr>
            </w:pPr>
            <w:r>
              <w:rPr>
                <w:rFonts w:hint="eastAsia"/>
                <w:sz w:val="24"/>
                <w:lang w:val="en-US" w:eastAsia="zh-CN"/>
              </w:rPr>
              <w:t>3分</w:t>
            </w:r>
          </w:p>
        </w:tc>
        <w:tc>
          <w:tcPr>
            <w:tcW w:w="7000" w:type="dxa"/>
            <w:tcBorders>
              <w:top w:val="single" w:color="000000" w:sz="4" w:space="0"/>
            </w:tcBorders>
          </w:tcPr>
          <w:p>
            <w:pPr>
              <w:spacing w:line="300" w:lineRule="auto"/>
              <w:jc w:val="left"/>
              <w:rPr>
                <w:rFonts w:hint="eastAsia" w:ascii="Times New Roman" w:hAnsi="Times New Roman" w:eastAsia="宋体" w:cs="Times New Roman"/>
                <w:color w:val="000000"/>
                <w:sz w:val="24"/>
                <w:szCs w:val="24"/>
                <w:lang w:val="en-US" w:eastAsia="zh-CN" w:bidi="ar-SA"/>
              </w:rPr>
            </w:pPr>
            <w:r>
              <w:rPr>
                <w:rFonts w:hint="eastAsia" w:ascii="Times New Roman" w:hAnsi="Times New Roman" w:eastAsia="宋体" w:cs="Times New Roman"/>
                <w:color w:val="000000"/>
                <w:sz w:val="24"/>
                <w:szCs w:val="24"/>
                <w:lang w:val="en-US" w:eastAsia="zh-CN" w:bidi="ar-SA"/>
              </w:rPr>
              <w:t>培训要求：有详细的培训计划；通过培训驾驶人员能够熟练操作、安全驾驶；了解机械的结构配置，驾驶员对机械故障情况有一定的了解；有培训后的机械使用指导和讲解支持。</w:t>
            </w:r>
          </w:p>
          <w:p>
            <w:pPr>
              <w:spacing w:line="300" w:lineRule="auto"/>
              <w:jc w:val="left"/>
              <w:rPr>
                <w:rFonts w:hint="eastAsia" w:ascii="Times New Roman" w:hAnsi="Times New Roman" w:eastAsia="宋体" w:cs="Times New Roman"/>
                <w:color w:val="000000"/>
                <w:sz w:val="24"/>
                <w:szCs w:val="24"/>
                <w:lang w:val="en-US" w:eastAsia="zh-CN" w:bidi="ar-SA"/>
              </w:rPr>
            </w:pPr>
            <w:r>
              <w:rPr>
                <w:rFonts w:hint="eastAsia" w:ascii="Times New Roman" w:hAnsi="Times New Roman" w:eastAsia="宋体" w:cs="Times New Roman"/>
                <w:color w:val="000000"/>
                <w:sz w:val="24"/>
                <w:szCs w:val="24"/>
                <w:lang w:val="en-US" w:eastAsia="zh-CN" w:bidi="ar-SA"/>
              </w:rPr>
              <w:t>培训方案完全满足本项目培训要求的得1分；</w:t>
            </w:r>
          </w:p>
          <w:p>
            <w:pPr>
              <w:spacing w:line="300" w:lineRule="auto"/>
              <w:jc w:val="left"/>
              <w:rPr>
                <w:rFonts w:hint="eastAsia" w:ascii="Times New Roman" w:hAnsi="Times New Roman" w:eastAsia="宋体" w:cs="Times New Roman"/>
                <w:color w:val="000000"/>
                <w:sz w:val="24"/>
                <w:szCs w:val="24"/>
                <w:lang w:val="en-US" w:eastAsia="zh-CN" w:bidi="ar-SA"/>
              </w:rPr>
            </w:pPr>
            <w:r>
              <w:rPr>
                <w:rFonts w:hint="eastAsia" w:ascii="Times New Roman" w:hAnsi="Times New Roman" w:eastAsia="宋体" w:cs="Times New Roman"/>
                <w:color w:val="000000"/>
                <w:sz w:val="24"/>
                <w:szCs w:val="24"/>
                <w:lang w:val="en-US" w:eastAsia="zh-CN" w:bidi="ar-SA"/>
              </w:rPr>
              <w:t>培训方式新颖且通俗易懂方便驾驶员掌握机械情况的加1分；</w:t>
            </w:r>
          </w:p>
          <w:p>
            <w:pPr>
              <w:spacing w:line="300" w:lineRule="auto"/>
              <w:jc w:val="left"/>
              <w:rPr>
                <w:rFonts w:hint="eastAsia" w:ascii="Times New Roman" w:hAnsi="Times New Roman" w:eastAsia="宋体" w:cs="Times New Roman"/>
                <w:color w:val="000000"/>
                <w:sz w:val="24"/>
                <w:szCs w:val="24"/>
                <w:lang w:val="en-US" w:eastAsia="zh-CN" w:bidi="ar-SA"/>
              </w:rPr>
            </w:pPr>
            <w:r>
              <w:rPr>
                <w:rFonts w:hint="eastAsia" w:ascii="Times New Roman" w:hAnsi="Times New Roman" w:eastAsia="宋体" w:cs="Times New Roman"/>
                <w:color w:val="000000"/>
                <w:sz w:val="24"/>
                <w:szCs w:val="24"/>
                <w:lang w:val="en-US" w:eastAsia="zh-CN" w:bidi="ar-SA"/>
              </w:rPr>
              <w:t>培训时间短且效率高的加1分。</w:t>
            </w:r>
          </w:p>
          <w:p>
            <w:pPr>
              <w:pStyle w:val="24"/>
              <w:spacing w:line="364" w:lineRule="auto"/>
              <w:ind w:right="114"/>
              <w:rPr>
                <w:rFonts w:hint="eastAsia"/>
                <w:spacing w:val="-4"/>
                <w:sz w:val="24"/>
                <w:lang w:val="en-US" w:eastAsia="zh-CN"/>
              </w:rPr>
            </w:pPr>
            <w:r>
              <w:rPr>
                <w:rFonts w:hint="eastAsia" w:ascii="Times New Roman" w:hAnsi="Times New Roman" w:eastAsia="宋体" w:cs="Times New Roman"/>
                <w:color w:val="000000"/>
                <w:sz w:val="24"/>
                <w:szCs w:val="24"/>
                <w:lang w:val="en-US" w:eastAsia="zh-CN" w:bidi="ar-SA"/>
              </w:rPr>
              <w:t>本项满分共3分。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0" w:hRule="atLeast"/>
        </w:trPr>
        <w:tc>
          <w:tcPr>
            <w:tcW w:w="525" w:type="dxa"/>
            <w:tcBorders>
              <w:left w:val="single" w:color="000000" w:sz="6" w:space="0"/>
              <w:right w:val="single" w:color="000000" w:sz="6" w:space="0"/>
            </w:tcBorders>
          </w:tcPr>
          <w:p>
            <w:pPr>
              <w:pStyle w:val="24"/>
              <w:jc w:val="center"/>
              <w:rPr>
                <w:b/>
                <w:sz w:val="24"/>
              </w:rPr>
            </w:pPr>
          </w:p>
          <w:p>
            <w:pPr>
              <w:pStyle w:val="24"/>
              <w:spacing w:before="11"/>
              <w:jc w:val="center"/>
              <w:rPr>
                <w:b/>
                <w:sz w:val="18"/>
              </w:rPr>
            </w:pPr>
          </w:p>
          <w:p>
            <w:pPr>
              <w:pStyle w:val="24"/>
              <w:spacing w:before="1"/>
              <w:ind w:left="14"/>
              <w:jc w:val="center"/>
              <w:rPr>
                <w:rFonts w:hint="default" w:eastAsia="宋体"/>
                <w:b/>
                <w:sz w:val="24"/>
                <w:lang w:val="en-US" w:eastAsia="zh-CN"/>
              </w:rPr>
            </w:pPr>
            <w:r>
              <w:rPr>
                <w:rFonts w:hint="eastAsia"/>
                <w:b/>
                <w:w w:val="99"/>
                <w:sz w:val="24"/>
                <w:lang w:val="en-US" w:eastAsia="zh-CN"/>
              </w:rPr>
              <w:t>10</w:t>
            </w:r>
          </w:p>
        </w:tc>
        <w:tc>
          <w:tcPr>
            <w:tcW w:w="1360" w:type="dxa"/>
            <w:tcBorders>
              <w:left w:val="single" w:color="000000" w:sz="6" w:space="0"/>
              <w:right w:val="single" w:color="000000" w:sz="6" w:space="0"/>
            </w:tcBorders>
            <w:vAlign w:val="center"/>
          </w:tcPr>
          <w:p>
            <w:pPr>
              <w:pStyle w:val="24"/>
              <w:spacing w:before="7"/>
              <w:jc w:val="center"/>
              <w:rPr>
                <w:b/>
                <w:sz w:val="24"/>
              </w:rPr>
            </w:pPr>
          </w:p>
          <w:p>
            <w:pPr>
              <w:pStyle w:val="24"/>
              <w:spacing w:line="364" w:lineRule="auto"/>
              <w:ind w:left="661" w:right="166" w:hanging="480"/>
              <w:jc w:val="center"/>
              <w:rPr>
                <w:sz w:val="24"/>
              </w:rPr>
            </w:pPr>
            <w:r>
              <w:rPr>
                <w:sz w:val="24"/>
              </w:rPr>
              <w:t>投标报价件</w:t>
            </w:r>
          </w:p>
        </w:tc>
        <w:tc>
          <w:tcPr>
            <w:tcW w:w="1514" w:type="dxa"/>
            <w:tcBorders>
              <w:top w:val="single" w:color="000000" w:sz="6" w:space="0"/>
              <w:left w:val="single" w:color="000000" w:sz="6" w:space="0"/>
              <w:right w:val="single" w:color="000000" w:sz="6" w:space="0"/>
            </w:tcBorders>
            <w:vAlign w:val="center"/>
          </w:tcPr>
          <w:p>
            <w:pPr>
              <w:pStyle w:val="24"/>
              <w:spacing w:before="11"/>
              <w:jc w:val="both"/>
              <w:rPr>
                <w:b/>
                <w:sz w:val="18"/>
              </w:rPr>
            </w:pPr>
          </w:p>
          <w:p>
            <w:pPr>
              <w:pStyle w:val="24"/>
              <w:spacing w:before="1"/>
              <w:ind w:right="239"/>
              <w:jc w:val="center"/>
              <w:rPr>
                <w:sz w:val="24"/>
              </w:rPr>
            </w:pPr>
            <w:r>
              <w:rPr>
                <w:rFonts w:hint="eastAsia"/>
                <w:sz w:val="24"/>
                <w:lang w:val="en-US" w:eastAsia="zh-CN"/>
              </w:rPr>
              <w:t>2</w:t>
            </w:r>
            <w:r>
              <w:rPr>
                <w:sz w:val="24"/>
              </w:rPr>
              <w:t>分</w:t>
            </w:r>
          </w:p>
        </w:tc>
        <w:tc>
          <w:tcPr>
            <w:tcW w:w="7000" w:type="dxa"/>
            <w:tcBorders>
              <w:top w:val="single" w:color="000000" w:sz="6" w:space="0"/>
              <w:left w:val="single" w:color="000000" w:sz="6" w:space="0"/>
              <w:right w:val="single" w:color="000000" w:sz="6" w:space="0"/>
            </w:tcBorders>
          </w:tcPr>
          <w:p>
            <w:pPr>
              <w:pStyle w:val="24"/>
              <w:spacing w:before="82" w:line="364" w:lineRule="auto"/>
              <w:ind w:left="108" w:right="138"/>
              <w:jc w:val="left"/>
              <w:rPr>
                <w:sz w:val="24"/>
              </w:rPr>
            </w:pPr>
            <w:r>
              <w:rPr>
                <w:spacing w:val="-1"/>
                <w:sz w:val="24"/>
              </w:rPr>
              <w:t>投标文件有目录和页码、完全响应招标文件制作要求的得</w:t>
            </w:r>
            <w:r>
              <w:rPr>
                <w:rFonts w:hint="eastAsia"/>
                <w:sz w:val="24"/>
                <w:lang w:val="en-US" w:eastAsia="zh-CN"/>
              </w:rPr>
              <w:t>2</w:t>
            </w:r>
            <w:r>
              <w:rPr>
                <w:spacing w:val="-14"/>
                <w:sz w:val="24"/>
              </w:rPr>
              <w:t xml:space="preserve"> 分；基本响应的得 </w:t>
            </w:r>
            <w:r>
              <w:rPr>
                <w:sz w:val="24"/>
              </w:rPr>
              <w:t>1</w:t>
            </w:r>
            <w:r>
              <w:rPr>
                <w:spacing w:val="-8"/>
                <w:sz w:val="24"/>
              </w:rPr>
              <w:t xml:space="preserve"> 分；投标文件无目录、无页码或目</w:t>
            </w:r>
            <w:r>
              <w:rPr>
                <w:sz w:val="24"/>
              </w:rPr>
              <w:t>录、页码编号不符合档案管理要求的得 0 分。</w:t>
            </w:r>
          </w:p>
        </w:tc>
      </w:tr>
    </w:tbl>
    <w:p>
      <w:pPr>
        <w:pStyle w:val="5"/>
        <w:spacing w:before="91"/>
      </w:pPr>
      <w:r>
        <w:t>评审专家（签字）：</w:t>
      </w:r>
    </w:p>
    <w:p>
      <w:pPr>
        <w:pStyle w:val="17"/>
        <w:ind w:left="0" w:leftChars="0" w:firstLine="0" w:firstLineChars="0"/>
        <w:rPr>
          <w:b/>
          <w:sz w:val="32"/>
        </w:rPr>
      </w:pPr>
    </w:p>
    <w:p>
      <w:pPr>
        <w:spacing w:before="55"/>
        <w:ind w:left="0" w:right="610" w:firstLine="0"/>
        <w:jc w:val="center"/>
        <w:rPr>
          <w:rFonts w:hint="eastAsia"/>
          <w:b/>
          <w:sz w:val="32"/>
          <w:lang w:val="en-US" w:eastAsia="zh-CN"/>
        </w:rPr>
      </w:pPr>
    </w:p>
    <w:p>
      <w:pPr>
        <w:spacing w:before="55"/>
        <w:ind w:left="0" w:right="610" w:firstLine="0"/>
        <w:jc w:val="center"/>
        <w:rPr>
          <w:rFonts w:hint="eastAsia"/>
          <w:b/>
          <w:sz w:val="32"/>
          <w:lang w:val="en-US" w:eastAsia="zh-CN"/>
        </w:rPr>
      </w:pPr>
    </w:p>
    <w:p>
      <w:pPr>
        <w:spacing w:before="55"/>
        <w:ind w:left="0" w:right="610" w:firstLine="0"/>
        <w:jc w:val="center"/>
        <w:rPr>
          <w:rFonts w:hint="eastAsia"/>
          <w:b/>
          <w:sz w:val="32"/>
          <w:lang w:val="en-US" w:eastAsia="zh-CN"/>
        </w:rPr>
      </w:pPr>
    </w:p>
    <w:p>
      <w:pPr>
        <w:spacing w:before="55"/>
        <w:ind w:left="0" w:right="610" w:firstLine="0"/>
        <w:jc w:val="both"/>
        <w:rPr>
          <w:rFonts w:hint="eastAsia"/>
          <w:b/>
          <w:sz w:val="32"/>
          <w:lang w:val="en-US" w:eastAsia="zh-CN"/>
        </w:rPr>
      </w:pPr>
    </w:p>
    <w:p>
      <w:pPr>
        <w:spacing w:before="55"/>
        <w:ind w:left="0" w:right="610" w:firstLine="0"/>
        <w:jc w:val="center"/>
        <w:rPr>
          <w:b/>
          <w:sz w:val="32"/>
        </w:rPr>
      </w:pPr>
      <w:r>
        <w:rPr>
          <w:rFonts w:hint="eastAsia"/>
          <w:b/>
          <w:sz w:val="32"/>
          <w:lang w:val="en-US" w:eastAsia="zh-CN"/>
        </w:rPr>
        <w:t xml:space="preserve">  </w:t>
      </w:r>
      <w:r>
        <w:rPr>
          <w:b/>
          <w:sz w:val="32"/>
        </w:rPr>
        <w:t>价格评标（分）记录明细表</w:t>
      </w:r>
    </w:p>
    <w:p>
      <w:pPr>
        <w:pStyle w:val="10"/>
        <w:spacing w:before="4"/>
        <w:ind w:left="0"/>
        <w:rPr>
          <w:b/>
          <w:sz w:val="8"/>
        </w:rPr>
      </w:pPr>
    </w:p>
    <w:tbl>
      <w:tblPr>
        <w:tblStyle w:val="18"/>
        <w:tblW w:w="0" w:type="auto"/>
        <w:tblInd w:w="-3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2"/>
        <w:gridCol w:w="968"/>
        <w:gridCol w:w="836"/>
        <w:gridCol w:w="3600"/>
        <w:gridCol w:w="841"/>
        <w:gridCol w:w="33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832" w:type="dxa"/>
            <w:tcBorders>
              <w:left w:val="single" w:color="000000" w:sz="6" w:space="0"/>
              <w:right w:val="single" w:color="000000" w:sz="6" w:space="0"/>
            </w:tcBorders>
            <w:vAlign w:val="center"/>
          </w:tcPr>
          <w:p>
            <w:pPr>
              <w:pStyle w:val="24"/>
              <w:spacing w:before="81"/>
              <w:ind w:left="108"/>
              <w:jc w:val="center"/>
              <w:rPr>
                <w:b/>
                <w:color w:val="auto"/>
                <w:sz w:val="24"/>
              </w:rPr>
            </w:pPr>
            <w:r>
              <w:rPr>
                <w:b/>
                <w:color w:val="auto"/>
                <w:w w:val="99"/>
                <w:sz w:val="24"/>
              </w:rPr>
              <w:t>序</w:t>
            </w:r>
          </w:p>
          <w:p>
            <w:pPr>
              <w:pStyle w:val="24"/>
              <w:spacing w:before="160"/>
              <w:ind w:left="108"/>
              <w:jc w:val="center"/>
              <w:rPr>
                <w:b/>
                <w:color w:val="auto"/>
                <w:sz w:val="24"/>
              </w:rPr>
            </w:pPr>
            <w:r>
              <w:rPr>
                <w:b/>
                <w:color w:val="auto"/>
                <w:w w:val="99"/>
                <w:sz w:val="24"/>
              </w:rPr>
              <w:t>号</w:t>
            </w:r>
          </w:p>
        </w:tc>
        <w:tc>
          <w:tcPr>
            <w:tcW w:w="968" w:type="dxa"/>
            <w:tcBorders>
              <w:left w:val="single" w:color="000000" w:sz="6" w:space="0"/>
              <w:right w:val="single" w:color="000000" w:sz="6" w:space="0"/>
            </w:tcBorders>
            <w:vAlign w:val="center"/>
          </w:tcPr>
          <w:p>
            <w:pPr>
              <w:pStyle w:val="24"/>
              <w:spacing w:before="81"/>
              <w:ind w:left="210"/>
              <w:jc w:val="center"/>
              <w:rPr>
                <w:b/>
                <w:color w:val="auto"/>
                <w:sz w:val="24"/>
              </w:rPr>
            </w:pPr>
            <w:r>
              <w:rPr>
                <w:b/>
                <w:color w:val="auto"/>
                <w:w w:val="95"/>
                <w:sz w:val="24"/>
              </w:rPr>
              <w:t>考核</w:t>
            </w:r>
          </w:p>
          <w:p>
            <w:pPr>
              <w:pStyle w:val="24"/>
              <w:spacing w:before="160"/>
              <w:ind w:left="210"/>
              <w:jc w:val="center"/>
              <w:rPr>
                <w:b/>
                <w:color w:val="auto"/>
                <w:sz w:val="24"/>
              </w:rPr>
            </w:pPr>
            <w:r>
              <w:rPr>
                <w:b/>
                <w:color w:val="auto"/>
                <w:w w:val="95"/>
                <w:sz w:val="24"/>
              </w:rPr>
              <w:t>项目</w:t>
            </w:r>
          </w:p>
        </w:tc>
        <w:tc>
          <w:tcPr>
            <w:tcW w:w="836" w:type="dxa"/>
            <w:tcBorders>
              <w:left w:val="single" w:color="000000" w:sz="6" w:space="0"/>
              <w:right w:val="single" w:color="000000" w:sz="6" w:space="0"/>
            </w:tcBorders>
            <w:vAlign w:val="center"/>
          </w:tcPr>
          <w:p>
            <w:pPr>
              <w:pStyle w:val="24"/>
              <w:spacing w:before="81"/>
              <w:ind w:left="119"/>
              <w:jc w:val="center"/>
              <w:rPr>
                <w:b/>
                <w:color w:val="auto"/>
                <w:sz w:val="24"/>
              </w:rPr>
            </w:pPr>
            <w:r>
              <w:rPr>
                <w:b/>
                <w:color w:val="auto"/>
                <w:w w:val="95"/>
                <w:sz w:val="24"/>
              </w:rPr>
              <w:t>分数</w:t>
            </w:r>
          </w:p>
          <w:p>
            <w:pPr>
              <w:pStyle w:val="24"/>
              <w:spacing w:before="160"/>
              <w:ind w:left="119"/>
              <w:jc w:val="center"/>
              <w:rPr>
                <w:b/>
                <w:color w:val="auto"/>
                <w:sz w:val="24"/>
              </w:rPr>
            </w:pPr>
            <w:r>
              <w:rPr>
                <w:b/>
                <w:color w:val="auto"/>
                <w:w w:val="95"/>
                <w:sz w:val="24"/>
              </w:rPr>
              <w:t>标准</w:t>
            </w:r>
          </w:p>
        </w:tc>
        <w:tc>
          <w:tcPr>
            <w:tcW w:w="3600" w:type="dxa"/>
            <w:tcBorders>
              <w:left w:val="single" w:color="000000" w:sz="6" w:space="0"/>
              <w:right w:val="single" w:color="000000" w:sz="6" w:space="0"/>
            </w:tcBorders>
            <w:vAlign w:val="center"/>
          </w:tcPr>
          <w:p>
            <w:pPr>
              <w:pStyle w:val="24"/>
              <w:spacing w:before="160"/>
              <w:ind w:left="94" w:right="81"/>
              <w:jc w:val="center"/>
              <w:rPr>
                <w:color w:val="auto"/>
                <w:sz w:val="24"/>
              </w:rPr>
            </w:pPr>
            <w:r>
              <w:rPr>
                <w:b/>
                <w:color w:val="auto"/>
                <w:sz w:val="24"/>
              </w:rPr>
              <w:t>评分标准</w:t>
            </w:r>
          </w:p>
        </w:tc>
        <w:tc>
          <w:tcPr>
            <w:tcW w:w="841" w:type="dxa"/>
            <w:tcBorders>
              <w:top w:val="single" w:color="000000" w:sz="6" w:space="0"/>
              <w:left w:val="single" w:color="000000" w:sz="6" w:space="0"/>
              <w:bottom w:val="single" w:color="000000" w:sz="6" w:space="0"/>
              <w:right w:val="single" w:color="000000" w:sz="6" w:space="0"/>
            </w:tcBorders>
            <w:vAlign w:val="center"/>
          </w:tcPr>
          <w:p>
            <w:pPr>
              <w:pStyle w:val="24"/>
              <w:spacing w:before="8"/>
              <w:jc w:val="center"/>
              <w:rPr>
                <w:b/>
                <w:color w:val="auto"/>
                <w:sz w:val="24"/>
              </w:rPr>
            </w:pPr>
          </w:p>
          <w:p>
            <w:pPr>
              <w:pStyle w:val="24"/>
              <w:spacing w:before="1"/>
              <w:ind w:right="115"/>
              <w:jc w:val="center"/>
              <w:rPr>
                <w:b/>
                <w:color w:val="auto"/>
                <w:sz w:val="24"/>
              </w:rPr>
            </w:pPr>
            <w:r>
              <w:rPr>
                <w:rFonts w:hint="eastAsia"/>
                <w:b/>
                <w:color w:val="auto"/>
                <w:w w:val="95"/>
                <w:sz w:val="24"/>
                <w:lang w:val="en-US" w:eastAsia="zh-CN"/>
              </w:rPr>
              <w:t xml:space="preserve"> </w:t>
            </w:r>
            <w:r>
              <w:rPr>
                <w:b/>
                <w:color w:val="auto"/>
                <w:w w:val="95"/>
                <w:sz w:val="24"/>
              </w:rPr>
              <w:t>得分</w:t>
            </w:r>
          </w:p>
        </w:tc>
        <w:tc>
          <w:tcPr>
            <w:tcW w:w="3382" w:type="dxa"/>
            <w:tcBorders>
              <w:top w:val="single" w:color="000000" w:sz="6" w:space="0"/>
              <w:left w:val="single" w:color="000000" w:sz="6" w:space="0"/>
              <w:bottom w:val="single" w:color="000000" w:sz="6" w:space="0"/>
              <w:right w:val="single" w:color="000000" w:sz="6" w:space="0"/>
            </w:tcBorders>
            <w:vAlign w:val="center"/>
          </w:tcPr>
          <w:p>
            <w:pPr>
              <w:pStyle w:val="24"/>
              <w:spacing w:before="81"/>
              <w:jc w:val="center"/>
              <w:rPr>
                <w:b/>
                <w:color w:val="auto"/>
                <w:sz w:val="24"/>
              </w:rPr>
            </w:pPr>
            <w:r>
              <w:rPr>
                <w:b/>
                <w:color w:val="auto"/>
                <w:sz w:val="24"/>
              </w:rPr>
              <w:t>具体评估（价）的依据及理由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832" w:type="dxa"/>
            <w:tcBorders>
              <w:left w:val="single" w:color="000000" w:sz="6" w:space="0"/>
              <w:right w:val="single" w:color="000000" w:sz="6" w:space="0"/>
            </w:tcBorders>
          </w:tcPr>
          <w:p>
            <w:pPr>
              <w:pStyle w:val="24"/>
              <w:spacing w:before="138"/>
              <w:ind w:left="38"/>
              <w:jc w:val="center"/>
              <w:rPr>
                <w:b/>
                <w:color w:val="auto"/>
                <w:sz w:val="24"/>
              </w:rPr>
            </w:pPr>
            <w:r>
              <w:rPr>
                <w:b/>
                <w:color w:val="auto"/>
                <w:w w:val="99"/>
                <w:sz w:val="24"/>
              </w:rPr>
              <w:t>四</w:t>
            </w:r>
          </w:p>
        </w:tc>
        <w:tc>
          <w:tcPr>
            <w:tcW w:w="968" w:type="dxa"/>
            <w:tcBorders>
              <w:left w:val="single" w:color="000000" w:sz="6" w:space="0"/>
              <w:right w:val="single" w:color="000000" w:sz="6" w:space="0"/>
            </w:tcBorders>
          </w:tcPr>
          <w:p>
            <w:pPr>
              <w:pStyle w:val="24"/>
              <w:spacing w:before="138"/>
              <w:ind w:left="210"/>
              <w:rPr>
                <w:b/>
                <w:color w:val="auto"/>
                <w:sz w:val="24"/>
              </w:rPr>
            </w:pPr>
            <w:r>
              <w:rPr>
                <w:b/>
                <w:color w:val="auto"/>
                <w:sz w:val="24"/>
              </w:rPr>
              <w:t>报价</w:t>
            </w:r>
          </w:p>
        </w:tc>
        <w:tc>
          <w:tcPr>
            <w:tcW w:w="836" w:type="dxa"/>
            <w:tcBorders>
              <w:left w:val="single" w:color="000000" w:sz="6" w:space="0"/>
              <w:right w:val="single" w:color="000000" w:sz="6" w:space="0"/>
            </w:tcBorders>
          </w:tcPr>
          <w:p>
            <w:pPr>
              <w:pStyle w:val="24"/>
              <w:spacing w:before="138"/>
              <w:ind w:left="239"/>
              <w:rPr>
                <w:b/>
                <w:color w:val="auto"/>
                <w:sz w:val="24"/>
              </w:rPr>
            </w:pPr>
            <w:r>
              <w:rPr>
                <w:b/>
                <w:color w:val="auto"/>
                <w:sz w:val="24"/>
              </w:rPr>
              <w:t>30</w:t>
            </w:r>
          </w:p>
        </w:tc>
        <w:tc>
          <w:tcPr>
            <w:tcW w:w="3600" w:type="dxa"/>
            <w:tcBorders>
              <w:left w:val="single" w:color="000000" w:sz="6" w:space="0"/>
              <w:right w:val="single" w:color="000000" w:sz="6" w:space="0"/>
            </w:tcBorders>
          </w:tcPr>
          <w:p>
            <w:pPr>
              <w:pStyle w:val="24"/>
              <w:spacing w:before="138"/>
              <w:ind w:left="107"/>
              <w:rPr>
                <w:b/>
                <w:color w:val="auto"/>
                <w:sz w:val="24"/>
              </w:rPr>
            </w:pPr>
            <w:r>
              <w:rPr>
                <w:b/>
                <w:color w:val="auto"/>
                <w:sz w:val="24"/>
              </w:rPr>
              <w:t>具体按下列标准要求进行评审</w:t>
            </w:r>
          </w:p>
        </w:tc>
        <w:tc>
          <w:tcPr>
            <w:tcW w:w="841" w:type="dxa"/>
            <w:tcBorders>
              <w:top w:val="single" w:color="000000" w:sz="6" w:space="0"/>
              <w:left w:val="single" w:color="000000" w:sz="6" w:space="0"/>
              <w:bottom w:val="single" w:color="000000" w:sz="6" w:space="0"/>
              <w:right w:val="single" w:color="000000" w:sz="6" w:space="0"/>
            </w:tcBorders>
          </w:tcPr>
          <w:p>
            <w:pPr>
              <w:pStyle w:val="24"/>
              <w:spacing w:before="138"/>
              <w:ind w:right="103"/>
              <w:jc w:val="center"/>
              <w:rPr>
                <w:b/>
                <w:color w:val="auto"/>
                <w:sz w:val="24"/>
              </w:rPr>
            </w:pPr>
            <w:r>
              <w:rPr>
                <w:rFonts w:hint="eastAsia"/>
                <w:b/>
                <w:color w:val="auto"/>
                <w:w w:val="95"/>
                <w:sz w:val="24"/>
                <w:lang w:val="en-US" w:eastAsia="zh-CN"/>
              </w:rPr>
              <w:t xml:space="preserve"> </w:t>
            </w:r>
            <w:r>
              <w:rPr>
                <w:b/>
                <w:color w:val="auto"/>
                <w:w w:val="95"/>
                <w:sz w:val="24"/>
              </w:rPr>
              <w:t>得分</w:t>
            </w:r>
          </w:p>
        </w:tc>
        <w:tc>
          <w:tcPr>
            <w:tcW w:w="3382" w:type="dxa"/>
            <w:tcBorders>
              <w:top w:val="single" w:color="000000" w:sz="6" w:space="0"/>
              <w:left w:val="single" w:color="000000" w:sz="6" w:space="0"/>
              <w:bottom w:val="single" w:color="000000" w:sz="6" w:space="0"/>
              <w:right w:val="single" w:color="000000" w:sz="6" w:space="0"/>
            </w:tcBorders>
          </w:tcPr>
          <w:p>
            <w:pPr>
              <w:pStyle w:val="24"/>
              <w:spacing w:before="138"/>
              <w:ind w:left="1914"/>
              <w:rPr>
                <w:b/>
                <w:color w:val="auto"/>
                <w:sz w:val="24"/>
              </w:rPr>
            </w:pPr>
            <w:r>
              <w:rPr>
                <w:b/>
                <w:color w:val="auto"/>
                <w:sz w:val="24"/>
              </w:rPr>
              <w:t>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3" w:hRule="atLeast"/>
        </w:trPr>
        <w:tc>
          <w:tcPr>
            <w:tcW w:w="832" w:type="dxa"/>
            <w:tcBorders>
              <w:left w:val="single" w:color="000000" w:sz="6" w:space="0"/>
              <w:right w:val="single" w:color="000000" w:sz="6" w:space="0"/>
            </w:tcBorders>
          </w:tcPr>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spacing w:before="8"/>
              <w:rPr>
                <w:b/>
                <w:color w:val="auto"/>
                <w:sz w:val="26"/>
              </w:rPr>
            </w:pPr>
          </w:p>
          <w:p>
            <w:pPr>
              <w:pStyle w:val="24"/>
              <w:ind w:left="14"/>
              <w:jc w:val="center"/>
              <w:rPr>
                <w:b/>
                <w:color w:val="auto"/>
                <w:sz w:val="24"/>
              </w:rPr>
            </w:pPr>
            <w:r>
              <w:rPr>
                <w:b/>
                <w:color w:val="auto"/>
                <w:w w:val="99"/>
                <w:sz w:val="24"/>
              </w:rPr>
              <w:t>1</w:t>
            </w:r>
          </w:p>
        </w:tc>
        <w:tc>
          <w:tcPr>
            <w:tcW w:w="968" w:type="dxa"/>
            <w:tcBorders>
              <w:left w:val="single" w:color="000000" w:sz="6" w:space="0"/>
              <w:right w:val="single" w:color="000000" w:sz="6" w:space="0"/>
            </w:tcBorders>
          </w:tcPr>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spacing w:before="6"/>
              <w:rPr>
                <w:b/>
                <w:color w:val="auto"/>
                <w:sz w:val="32"/>
              </w:rPr>
            </w:pPr>
          </w:p>
          <w:p>
            <w:pPr>
              <w:pStyle w:val="24"/>
              <w:spacing w:line="364" w:lineRule="auto"/>
              <w:ind w:left="210" w:right="192"/>
              <w:rPr>
                <w:color w:val="auto"/>
                <w:sz w:val="24"/>
              </w:rPr>
            </w:pPr>
            <w:r>
              <w:rPr>
                <w:color w:val="auto"/>
                <w:sz w:val="24"/>
              </w:rPr>
              <w:t>最终报价</w:t>
            </w:r>
          </w:p>
        </w:tc>
        <w:tc>
          <w:tcPr>
            <w:tcW w:w="836" w:type="dxa"/>
            <w:tcBorders>
              <w:left w:val="single" w:color="000000" w:sz="6" w:space="0"/>
              <w:right w:val="single" w:color="000000" w:sz="6" w:space="0"/>
            </w:tcBorders>
          </w:tcPr>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rPr>
                <w:b/>
                <w:color w:val="auto"/>
                <w:sz w:val="24"/>
              </w:rPr>
            </w:pPr>
          </w:p>
          <w:p>
            <w:pPr>
              <w:pStyle w:val="24"/>
              <w:spacing w:before="6"/>
              <w:rPr>
                <w:b/>
                <w:color w:val="auto"/>
                <w:sz w:val="32"/>
              </w:rPr>
            </w:pPr>
          </w:p>
          <w:p>
            <w:pPr>
              <w:pStyle w:val="24"/>
              <w:ind w:left="239"/>
              <w:rPr>
                <w:color w:val="auto"/>
                <w:sz w:val="24"/>
              </w:rPr>
            </w:pPr>
            <w:r>
              <w:rPr>
                <w:color w:val="auto"/>
                <w:sz w:val="24"/>
              </w:rPr>
              <w:t>30</w:t>
            </w:r>
          </w:p>
          <w:p>
            <w:pPr>
              <w:pStyle w:val="24"/>
              <w:spacing w:before="161"/>
              <w:ind w:left="239"/>
              <w:rPr>
                <w:color w:val="auto"/>
                <w:sz w:val="24"/>
              </w:rPr>
            </w:pPr>
            <w:r>
              <w:rPr>
                <w:color w:val="auto"/>
                <w:sz w:val="24"/>
              </w:rPr>
              <w:t>分</w:t>
            </w:r>
          </w:p>
        </w:tc>
        <w:tc>
          <w:tcPr>
            <w:tcW w:w="3600" w:type="dxa"/>
            <w:tcBorders>
              <w:left w:val="single" w:color="000000" w:sz="6" w:space="0"/>
              <w:right w:val="single" w:color="000000" w:sz="6" w:space="0"/>
            </w:tcBorders>
          </w:tcPr>
          <w:p>
            <w:pPr>
              <w:pStyle w:val="24"/>
              <w:spacing w:before="82" w:line="364" w:lineRule="auto"/>
              <w:ind w:left="107" w:right="91"/>
              <w:jc w:val="both"/>
              <w:rPr>
                <w:color w:val="auto"/>
                <w:sz w:val="24"/>
              </w:rPr>
            </w:pPr>
            <w:r>
              <w:rPr>
                <w:color w:val="auto"/>
                <w:sz w:val="24"/>
              </w:rPr>
              <w:t>价格分应当采用低价优先法计算，即满足招标文件要求且投标价格最低的投标报价为评标基准价，其价格分为满分。其他投标人的价格分统一按照下列公式计算：投标报价得分=(评标基准价／ 投标报价)×100×30%</w:t>
            </w:r>
          </w:p>
          <w:p>
            <w:pPr>
              <w:pStyle w:val="24"/>
              <w:spacing w:before="2"/>
              <w:ind w:left="107"/>
              <w:rPr>
                <w:color w:val="auto"/>
                <w:sz w:val="24"/>
              </w:rPr>
            </w:pPr>
            <w:r>
              <w:rPr>
                <w:color w:val="auto"/>
                <w:sz w:val="24"/>
              </w:rPr>
              <w:t>评估具体依据和理由用其报价金</w:t>
            </w:r>
          </w:p>
          <w:p>
            <w:pPr>
              <w:pStyle w:val="24"/>
              <w:spacing w:before="160"/>
              <w:ind w:left="107"/>
              <w:rPr>
                <w:color w:val="auto"/>
                <w:sz w:val="24"/>
              </w:rPr>
            </w:pPr>
            <w:r>
              <w:rPr>
                <w:color w:val="auto"/>
                <w:sz w:val="24"/>
              </w:rPr>
              <w:t>额表述。</w:t>
            </w:r>
          </w:p>
        </w:tc>
        <w:tc>
          <w:tcPr>
            <w:tcW w:w="841" w:type="dxa"/>
            <w:tcBorders>
              <w:top w:val="single" w:color="000000" w:sz="6" w:space="0"/>
              <w:left w:val="single" w:color="000000" w:sz="6" w:space="0"/>
              <w:bottom w:val="single" w:color="000000" w:sz="6" w:space="0"/>
              <w:right w:val="single" w:color="000000" w:sz="6" w:space="0"/>
            </w:tcBorders>
          </w:tcPr>
          <w:p>
            <w:pPr>
              <w:pStyle w:val="24"/>
              <w:rPr>
                <w:rFonts w:ascii="Times New Roman"/>
                <w:color w:val="auto"/>
                <w:sz w:val="24"/>
              </w:rPr>
            </w:pPr>
          </w:p>
        </w:tc>
        <w:tc>
          <w:tcPr>
            <w:tcW w:w="3382" w:type="dxa"/>
            <w:tcBorders>
              <w:top w:val="single" w:color="000000" w:sz="6" w:space="0"/>
              <w:left w:val="single" w:color="000000" w:sz="6" w:space="0"/>
              <w:bottom w:val="single" w:color="000000" w:sz="6" w:space="0"/>
              <w:right w:val="single" w:color="000000" w:sz="6" w:space="0"/>
            </w:tcBorders>
          </w:tcPr>
          <w:p>
            <w:pPr>
              <w:pStyle w:val="24"/>
              <w:rPr>
                <w:b/>
                <w:color w:val="auto"/>
                <w:sz w:val="24"/>
              </w:rPr>
            </w:pPr>
          </w:p>
          <w:p>
            <w:pPr>
              <w:pStyle w:val="24"/>
              <w:rPr>
                <w:b/>
                <w:color w:val="auto"/>
                <w:sz w:val="24"/>
              </w:rPr>
            </w:pPr>
          </w:p>
          <w:p>
            <w:pPr>
              <w:pStyle w:val="24"/>
              <w:spacing w:before="5"/>
              <w:rPr>
                <w:b/>
                <w:color w:val="auto"/>
                <w:sz w:val="31"/>
              </w:rPr>
            </w:pPr>
          </w:p>
          <w:p>
            <w:pPr>
              <w:pStyle w:val="24"/>
              <w:tabs>
                <w:tab w:val="left" w:pos="2396"/>
              </w:tabs>
              <w:spacing w:before="1"/>
              <w:ind w:left="107"/>
              <w:rPr>
                <w:b/>
                <w:color w:val="auto"/>
                <w:sz w:val="24"/>
              </w:rPr>
            </w:pPr>
            <w:r>
              <w:rPr>
                <w:b/>
                <w:color w:val="auto"/>
                <w:sz w:val="24"/>
              </w:rPr>
              <w:t>￥：</w:t>
            </w:r>
            <w:r>
              <w:rPr>
                <w:b/>
                <w:color w:val="auto"/>
                <w:sz w:val="24"/>
              </w:rPr>
              <w:tab/>
            </w:r>
            <w:r>
              <w:rPr>
                <w:b/>
                <w:color w:val="auto"/>
                <w:sz w:val="24"/>
              </w:rPr>
              <w:t>元</w:t>
            </w:r>
          </w:p>
        </w:tc>
      </w:tr>
    </w:tbl>
    <w:p>
      <w:pPr>
        <w:tabs>
          <w:tab w:val="left" w:pos="4971"/>
          <w:tab w:val="left" w:pos="7261"/>
        </w:tabs>
        <w:spacing w:before="81"/>
        <w:ind w:left="637" w:right="0" w:firstLine="0"/>
        <w:jc w:val="left"/>
        <w:rPr>
          <w:rFonts w:hint="eastAsia"/>
          <w:b/>
          <w:sz w:val="24"/>
          <w:lang w:val="en-US" w:eastAsia="zh-CN"/>
        </w:rPr>
      </w:pPr>
      <w:r>
        <w:rPr>
          <w:b/>
          <w:sz w:val="24"/>
        </w:rPr>
        <w:t>评审专家（签字）：</w:t>
      </w:r>
      <w:r>
        <w:rPr>
          <w:b/>
          <w:sz w:val="24"/>
        </w:rPr>
        <w:tab/>
      </w:r>
      <w:r>
        <w:rPr>
          <w:b/>
          <w:sz w:val="24"/>
        </w:rPr>
        <w:t>核对人：</w:t>
      </w:r>
      <w:r>
        <w:rPr>
          <w:b/>
          <w:sz w:val="24"/>
        </w:rPr>
        <w:tab/>
      </w:r>
      <w:r>
        <w:rPr>
          <w:b/>
          <w:sz w:val="24"/>
        </w:rPr>
        <w:t>录入人</w:t>
      </w:r>
      <w:r>
        <w:rPr>
          <w:rFonts w:hint="eastAsia"/>
          <w:b/>
          <w:sz w:val="24"/>
          <w:lang w:val="en-US" w:eastAsia="zh-CN"/>
        </w:rPr>
        <w:t>:</w:t>
      </w:r>
    </w:p>
    <w:p>
      <w:pPr>
        <w:pStyle w:val="17"/>
      </w:pPr>
    </w:p>
    <w:p>
      <w:pPr>
        <w:pStyle w:val="2"/>
        <w:numPr>
          <w:ilvl w:val="0"/>
          <w:numId w:val="17"/>
        </w:numPr>
        <w:tabs>
          <w:tab w:val="left" w:pos="1660"/>
        </w:tabs>
        <w:spacing w:before="0" w:after="0" w:line="240" w:lineRule="auto"/>
        <w:ind w:left="1660" w:right="0" w:hanging="483"/>
        <w:jc w:val="left"/>
        <w:rPr>
          <w:b/>
          <w:sz w:val="24"/>
        </w:rPr>
      </w:pPr>
      <w:r>
        <w:rPr>
          <w:b/>
          <w:sz w:val="24"/>
        </w:rPr>
        <w:t>推荐拟中标候选人</w:t>
      </w:r>
    </w:p>
    <w:p>
      <w:pPr>
        <w:pStyle w:val="2"/>
        <w:numPr>
          <w:ilvl w:val="1"/>
          <w:numId w:val="17"/>
        </w:numPr>
        <w:tabs>
          <w:tab w:val="left" w:pos="1720"/>
        </w:tabs>
        <w:spacing w:before="161" w:after="0" w:line="364" w:lineRule="auto"/>
        <w:ind w:left="637" w:right="1245" w:firstLine="540"/>
        <w:jc w:val="left"/>
        <w:rPr>
          <w:sz w:val="24"/>
        </w:rPr>
      </w:pPr>
      <w:r>
        <w:rPr>
          <w:sz w:val="24"/>
        </w:rPr>
        <w:t>由评标委员会集体按照经署名确认的汇总得分排序顺序，推荐拟中标候选人。</w:t>
      </w:r>
    </w:p>
    <w:p>
      <w:pPr>
        <w:pStyle w:val="2"/>
        <w:numPr>
          <w:ilvl w:val="1"/>
          <w:numId w:val="17"/>
        </w:numPr>
        <w:tabs>
          <w:tab w:val="left" w:pos="1778"/>
        </w:tabs>
        <w:spacing w:before="1" w:after="0" w:line="240" w:lineRule="auto"/>
        <w:ind w:left="1777" w:right="0" w:hanging="601"/>
        <w:jc w:val="left"/>
        <w:rPr>
          <w:sz w:val="24"/>
        </w:rPr>
      </w:pPr>
      <w:r>
        <w:rPr>
          <w:sz w:val="24"/>
        </w:rPr>
        <w:t>推荐拟中标候选供应商数量应当根据采购需要确定，应当限定在一至三</w:t>
      </w:r>
    </w:p>
    <w:p>
      <w:pPr>
        <w:pStyle w:val="10"/>
        <w:spacing w:before="90"/>
      </w:pPr>
      <w:r>
        <w:t>人，并标明排列顺序。排序第一位的为推荐的第一拟成交供应商。</w:t>
      </w:r>
    </w:p>
    <w:p>
      <w:pPr>
        <w:pStyle w:val="2"/>
        <w:numPr>
          <w:ilvl w:val="1"/>
          <w:numId w:val="17"/>
        </w:numPr>
        <w:tabs>
          <w:tab w:val="left" w:pos="1778"/>
        </w:tabs>
        <w:spacing w:before="160" w:after="0" w:line="364" w:lineRule="auto"/>
        <w:ind w:left="637" w:right="1245" w:firstLine="540"/>
        <w:jc w:val="both"/>
        <w:rPr>
          <w:sz w:val="24"/>
        </w:rPr>
      </w:pPr>
      <w:r>
        <w:rPr>
          <w:sz w:val="24"/>
        </w:rPr>
        <w:t>投标方最低投标报价不是唯一中标条件。对资格资质审查和符合性审查</w:t>
      </w:r>
      <w:r>
        <w:rPr>
          <w:spacing w:val="-3"/>
          <w:sz w:val="24"/>
        </w:rPr>
        <w:t>合格的投标报价文件完整无缺、最大限度的满足谈判文件需求的投标方，中标机会</w:t>
      </w:r>
      <w:r>
        <w:rPr>
          <w:sz w:val="24"/>
        </w:rPr>
        <w:t>均等。</w:t>
      </w:r>
    </w:p>
    <w:p>
      <w:pPr>
        <w:pStyle w:val="2"/>
        <w:numPr>
          <w:ilvl w:val="1"/>
          <w:numId w:val="17"/>
        </w:numPr>
        <w:tabs>
          <w:tab w:val="left" w:pos="1778"/>
        </w:tabs>
        <w:spacing w:before="2" w:after="0" w:line="364" w:lineRule="auto"/>
        <w:ind w:left="637" w:right="1243" w:firstLine="540"/>
        <w:jc w:val="both"/>
        <w:rPr>
          <w:sz w:val="24"/>
        </w:rPr>
      </w:pPr>
      <w:r>
        <w:rPr>
          <w:sz w:val="24"/>
        </w:rPr>
        <w:t>如汇总得分排序后出现推荐拟中标候选人得分相同的，评标委员会只对</w:t>
      </w:r>
      <w:r>
        <w:rPr>
          <w:spacing w:val="-4"/>
          <w:sz w:val="24"/>
        </w:rPr>
        <w:t>取得得分前三位供应商，按照其报价由低到高顺序排列；得分且其报价相等的，则</w:t>
      </w:r>
      <w:r>
        <w:rPr>
          <w:spacing w:val="-3"/>
          <w:sz w:val="24"/>
        </w:rPr>
        <w:t>按核心技术指标优劣顺序排列。价格、技术指标的高低或优劣由评标委员会集体进</w:t>
      </w:r>
      <w:r>
        <w:rPr>
          <w:sz w:val="24"/>
        </w:rPr>
        <w:t>行综合确认评定。排序在前三位之后的，按原排序不变，允许排序并列。</w:t>
      </w:r>
    </w:p>
    <w:p>
      <w:pPr>
        <w:pStyle w:val="2"/>
        <w:numPr>
          <w:ilvl w:val="1"/>
          <w:numId w:val="17"/>
        </w:numPr>
        <w:tabs>
          <w:tab w:val="left" w:pos="1720"/>
        </w:tabs>
        <w:spacing w:before="3" w:after="0" w:line="364" w:lineRule="auto"/>
        <w:ind w:left="637" w:right="1248" w:firstLine="480"/>
        <w:jc w:val="both"/>
        <w:rPr>
          <w:sz w:val="24"/>
        </w:rPr>
      </w:pPr>
      <w:r>
        <w:rPr>
          <w:sz w:val="24"/>
        </w:rPr>
        <w:t>由招标方对未推荐拟成交候选人、确认废标的，进行核对汇总后，由评标委员会各成员签署确认。</w:t>
      </w:r>
    </w:p>
    <w:p>
      <w:pPr>
        <w:pStyle w:val="5"/>
        <w:numPr>
          <w:ilvl w:val="0"/>
          <w:numId w:val="17"/>
        </w:numPr>
        <w:tabs>
          <w:tab w:val="left" w:pos="1660"/>
        </w:tabs>
        <w:spacing w:before="1" w:after="0" w:line="240" w:lineRule="auto"/>
        <w:ind w:left="1660" w:right="0" w:hanging="483"/>
        <w:jc w:val="both"/>
      </w:pPr>
      <w:r>
        <w:t>编写评标报告</w:t>
      </w:r>
    </w:p>
    <w:p>
      <w:pPr>
        <w:pStyle w:val="2"/>
        <w:numPr>
          <w:ilvl w:val="1"/>
          <w:numId w:val="17"/>
        </w:numPr>
        <w:tabs>
          <w:tab w:val="left" w:pos="1720"/>
        </w:tabs>
        <w:spacing w:before="160" w:after="0" w:line="364" w:lineRule="auto"/>
        <w:ind w:left="637" w:right="1245" w:firstLine="540"/>
        <w:jc w:val="both"/>
        <w:rPr>
          <w:sz w:val="24"/>
        </w:rPr>
      </w:pPr>
      <w:r>
        <w:rPr>
          <w:sz w:val="24"/>
        </w:rPr>
        <w:t>评标委员会根据全体成员签字的评标（</w:t>
      </w:r>
      <w:r>
        <w:rPr>
          <w:spacing w:val="2"/>
          <w:sz w:val="24"/>
        </w:rPr>
        <w:t>评审</w:t>
      </w:r>
      <w:r>
        <w:rPr>
          <w:sz w:val="24"/>
        </w:rPr>
        <w:t>）原始记录和结果，编写评标报告，并现场提交给招标方。编写的评标报告要符合招标文件的要求。</w:t>
      </w:r>
    </w:p>
    <w:p>
      <w:pPr>
        <w:pStyle w:val="5"/>
        <w:numPr>
          <w:ilvl w:val="0"/>
          <w:numId w:val="17"/>
        </w:numPr>
        <w:tabs>
          <w:tab w:val="left" w:pos="1660"/>
        </w:tabs>
        <w:spacing w:before="1" w:after="0" w:line="240" w:lineRule="auto"/>
        <w:ind w:left="1660" w:right="0" w:hanging="483"/>
        <w:jc w:val="both"/>
      </w:pPr>
      <w:r>
        <w:t>评标结束</w:t>
      </w:r>
    </w:p>
    <w:p>
      <w:pPr>
        <w:pStyle w:val="2"/>
        <w:numPr>
          <w:ilvl w:val="1"/>
          <w:numId w:val="17"/>
        </w:numPr>
        <w:tabs>
          <w:tab w:val="left" w:pos="1720"/>
        </w:tabs>
        <w:spacing w:before="161" w:after="0" w:line="364" w:lineRule="auto"/>
        <w:ind w:left="637" w:right="1245" w:firstLine="540"/>
        <w:jc w:val="both"/>
        <w:rPr>
          <w:sz w:val="24"/>
        </w:rPr>
      </w:pPr>
      <w:r>
        <w:rPr>
          <w:sz w:val="24"/>
        </w:rPr>
        <w:t>招标方应按规定时间，通知全部参与本次招标投标有效的供应商入场， 进行会议总结，宣布本次评标委员会推荐的第一拟成交供应商名单。</w:t>
      </w:r>
    </w:p>
    <w:p>
      <w:pPr>
        <w:pStyle w:val="2"/>
        <w:numPr>
          <w:ilvl w:val="1"/>
          <w:numId w:val="17"/>
        </w:numPr>
        <w:tabs>
          <w:tab w:val="left" w:pos="1778"/>
        </w:tabs>
        <w:spacing w:before="1" w:after="0" w:line="240" w:lineRule="auto"/>
        <w:ind w:left="1777" w:right="0" w:hanging="601"/>
        <w:jc w:val="both"/>
        <w:rPr>
          <w:sz w:val="24"/>
        </w:rPr>
      </w:pPr>
      <w:r>
        <w:rPr>
          <w:sz w:val="24"/>
        </w:rPr>
        <w:t>谈判评审小组各成员名单不公开。</w:t>
      </w:r>
    </w:p>
    <w:p>
      <w:pPr>
        <w:pStyle w:val="2"/>
        <w:numPr>
          <w:ilvl w:val="1"/>
          <w:numId w:val="17"/>
        </w:numPr>
        <w:tabs>
          <w:tab w:val="left" w:pos="1778"/>
        </w:tabs>
        <w:spacing w:before="161" w:after="0" w:line="364" w:lineRule="auto"/>
        <w:ind w:left="637" w:right="1245" w:firstLine="540"/>
        <w:jc w:val="both"/>
        <w:rPr>
          <w:sz w:val="24"/>
        </w:rPr>
      </w:pPr>
      <w:r>
        <w:rPr>
          <w:sz w:val="24"/>
        </w:rPr>
        <w:t>由招标方宣读有关招标信息公告、中标确认原则及质疑（投诉）</w:t>
      </w:r>
      <w:r>
        <w:rPr>
          <w:spacing w:val="-4"/>
          <w:sz w:val="24"/>
        </w:rPr>
        <w:t>事项等</w:t>
      </w:r>
      <w:r>
        <w:rPr>
          <w:sz w:val="24"/>
        </w:rPr>
        <w:t>说明。</w:t>
      </w:r>
    </w:p>
    <w:p>
      <w:pPr>
        <w:pStyle w:val="2"/>
        <w:numPr>
          <w:ilvl w:val="1"/>
          <w:numId w:val="17"/>
        </w:numPr>
        <w:tabs>
          <w:tab w:val="left" w:pos="1778"/>
        </w:tabs>
        <w:spacing w:before="1" w:after="0" w:line="364" w:lineRule="auto"/>
        <w:ind w:left="637" w:right="1245" w:firstLine="540"/>
        <w:jc w:val="both"/>
        <w:rPr>
          <w:sz w:val="24"/>
        </w:rPr>
      </w:pPr>
      <w:r>
        <w:rPr>
          <w:spacing w:val="-1"/>
          <w:sz w:val="24"/>
        </w:rPr>
        <w:t>在宣布会议结束后，招标方均有义务告知所有投标供应商办理投标保证</w:t>
      </w:r>
      <w:r>
        <w:rPr>
          <w:sz w:val="24"/>
        </w:rPr>
        <w:t>金的退付手续。</w:t>
      </w:r>
    </w:p>
    <w:p>
      <w:pPr>
        <w:pStyle w:val="10"/>
        <w:spacing w:line="364" w:lineRule="auto"/>
        <w:ind w:right="1226" w:firstLine="480"/>
        <w:jc w:val="both"/>
        <w:rPr>
          <w:spacing w:val="-1"/>
        </w:rPr>
      </w:pPr>
      <w:r>
        <w:t>27.51</w:t>
      </w:r>
      <w:r>
        <w:rPr>
          <w:spacing w:val="-4"/>
        </w:rPr>
        <w:t xml:space="preserve"> 评标和定标一般应当在开标后 </w:t>
      </w:r>
      <w:r>
        <w:t>7</w:t>
      </w:r>
      <w:r>
        <w:rPr>
          <w:spacing w:val="-10"/>
        </w:rPr>
        <w:t xml:space="preserve"> 个工作日内完成，项目金额较大、技术</w:t>
      </w:r>
      <w:r>
        <w:rPr>
          <w:spacing w:val="-13"/>
        </w:rPr>
        <w:t xml:space="preserve">较为复杂等特殊项目的评标工作应当在 </w:t>
      </w:r>
      <w:r>
        <w:t>30</w:t>
      </w:r>
      <w:r>
        <w:rPr>
          <w:spacing w:val="-13"/>
        </w:rPr>
        <w:t xml:space="preserve"> 个工作日内完成。不能在开标后 </w:t>
      </w:r>
      <w:r>
        <w:t>30</w:t>
      </w:r>
      <w:r>
        <w:rPr>
          <w:spacing w:val="-20"/>
        </w:rPr>
        <w:t xml:space="preserve"> 个工</w:t>
      </w:r>
      <w:r>
        <w:rPr>
          <w:spacing w:val="-22"/>
        </w:rPr>
        <w:t xml:space="preserve">作日内完成评标和定标的，招标人应当提前 </w:t>
      </w:r>
      <w:r>
        <w:t>3</w:t>
      </w:r>
      <w:r>
        <w:rPr>
          <w:spacing w:val="-9"/>
        </w:rPr>
        <w:t xml:space="preserve"> 天通知所有投标人延长投标有效期。</w:t>
      </w:r>
      <w:r>
        <w:rPr>
          <w:spacing w:val="-1"/>
        </w:rPr>
        <w:t>同意延长投标有效期的投标人应当相应延长其投标保证金的有效期，但不得修改其投标文件的实质性内容。</w:t>
      </w:r>
    </w:p>
    <w:p>
      <w:pPr>
        <w:pStyle w:val="4"/>
        <w:tabs>
          <w:tab w:val="left" w:pos="1766"/>
        </w:tabs>
        <w:spacing w:before="118"/>
      </w:pPr>
      <w:r>
        <w:rPr>
          <w:rFonts w:hint="eastAsia"/>
          <w:lang w:val="en-US" w:eastAsia="zh-CN"/>
        </w:rPr>
        <w:t xml:space="preserve">  </w:t>
      </w:r>
      <w:r>
        <w:t>第三章</w:t>
      </w:r>
      <w:r>
        <w:rPr>
          <w:spacing w:val="-4"/>
        </w:rPr>
        <w:t xml:space="preserve"> </w:t>
      </w:r>
      <w:r>
        <w:t>定</w:t>
      </w:r>
      <w:r>
        <w:rPr>
          <w:rFonts w:hint="eastAsia"/>
          <w:lang w:val="en-US" w:eastAsia="zh-CN"/>
        </w:rPr>
        <w:t xml:space="preserve"> </w:t>
      </w:r>
      <w:r>
        <w:tab/>
      </w:r>
      <w:r>
        <w:t>标</w:t>
      </w:r>
    </w:p>
    <w:p>
      <w:pPr>
        <w:pStyle w:val="5"/>
        <w:numPr>
          <w:ilvl w:val="0"/>
          <w:numId w:val="17"/>
        </w:numPr>
        <w:tabs>
          <w:tab w:val="left" w:pos="1599"/>
        </w:tabs>
        <w:spacing w:before="186" w:after="0" w:line="240" w:lineRule="auto"/>
        <w:ind w:left="1598" w:right="0" w:hanging="482"/>
        <w:jc w:val="left"/>
        <w:rPr>
          <w:sz w:val="22"/>
        </w:rPr>
      </w:pPr>
      <w:r>
        <w:t>定标标准</w:t>
      </w:r>
    </w:p>
    <w:p>
      <w:pPr>
        <w:pStyle w:val="2"/>
        <w:numPr>
          <w:ilvl w:val="1"/>
          <w:numId w:val="17"/>
        </w:numPr>
        <w:tabs>
          <w:tab w:val="left" w:pos="1718"/>
        </w:tabs>
        <w:spacing w:before="160" w:after="0" w:line="364" w:lineRule="auto"/>
        <w:ind w:left="637" w:right="1249" w:firstLine="480"/>
        <w:jc w:val="both"/>
        <w:rPr>
          <w:sz w:val="24"/>
        </w:rPr>
      </w:pPr>
      <w:r>
        <w:rPr>
          <w:sz w:val="24"/>
        </w:rPr>
        <w:t>招标方应在评标结束后2</w:t>
      </w:r>
      <w:r>
        <w:rPr>
          <w:spacing w:val="-4"/>
          <w:sz w:val="24"/>
        </w:rPr>
        <w:t>个工作日内，以书面形式向采购人发出《中标供</w:t>
      </w:r>
      <w:r>
        <w:rPr>
          <w:sz w:val="24"/>
        </w:rPr>
        <w:t>应商确认函》，采购人在收到后5个工作日内，应按照评标报告确定的中标候选供应商名单中的顺序确认中标供应商。</w:t>
      </w:r>
    </w:p>
    <w:p>
      <w:pPr>
        <w:pStyle w:val="2"/>
        <w:numPr>
          <w:ilvl w:val="1"/>
          <w:numId w:val="17"/>
        </w:numPr>
        <w:tabs>
          <w:tab w:val="left" w:pos="1720"/>
        </w:tabs>
        <w:spacing w:before="2" w:after="0" w:line="364" w:lineRule="auto"/>
        <w:ind w:left="637" w:right="1248" w:firstLine="480"/>
        <w:jc w:val="both"/>
        <w:rPr>
          <w:sz w:val="24"/>
        </w:rPr>
      </w:pPr>
      <w:r>
        <w:rPr>
          <w:sz w:val="24"/>
        </w:rPr>
        <w:t>中标供应商因不可抗力或者自身原因不能履行合同的，采购人可以与排位在中标供应商之后第一位的中标候选供应商签订合同，以此类推。</w:t>
      </w:r>
    </w:p>
    <w:p>
      <w:pPr>
        <w:pStyle w:val="2"/>
        <w:numPr>
          <w:ilvl w:val="2"/>
          <w:numId w:val="17"/>
        </w:numPr>
        <w:tabs>
          <w:tab w:val="left" w:pos="1958"/>
        </w:tabs>
        <w:spacing w:before="1" w:after="0" w:line="240" w:lineRule="auto"/>
        <w:ind w:left="1957" w:right="0" w:hanging="841"/>
        <w:jc w:val="both"/>
        <w:rPr>
          <w:sz w:val="24"/>
        </w:rPr>
      </w:pPr>
      <w:r>
        <w:rPr>
          <w:sz w:val="24"/>
        </w:rPr>
        <w:t>最低投标价不一定是被授予合同的保证。</w:t>
      </w:r>
    </w:p>
    <w:p>
      <w:pPr>
        <w:pStyle w:val="2"/>
        <w:numPr>
          <w:ilvl w:val="2"/>
          <w:numId w:val="17"/>
        </w:numPr>
        <w:tabs>
          <w:tab w:val="left" w:pos="1960"/>
        </w:tabs>
        <w:spacing w:before="161" w:after="0" w:line="364" w:lineRule="auto"/>
        <w:ind w:left="637" w:right="1249" w:firstLine="480"/>
        <w:jc w:val="both"/>
        <w:rPr>
          <w:sz w:val="24"/>
        </w:rPr>
      </w:pPr>
      <w:r>
        <w:rPr>
          <w:sz w:val="24"/>
        </w:rPr>
        <w:t>合同将授予被确定为实质上响应招标文件要求，经评定认为具备履行</w:t>
      </w:r>
      <w:r>
        <w:rPr>
          <w:spacing w:val="-5"/>
          <w:sz w:val="24"/>
        </w:rPr>
        <w:t>合同义务能力、报价合理、技术和商务条件都符合招标文件要求的、对买方最为有</w:t>
      </w:r>
      <w:r>
        <w:rPr>
          <w:sz w:val="24"/>
        </w:rPr>
        <w:t>利的投标供应商。</w:t>
      </w:r>
    </w:p>
    <w:p>
      <w:pPr>
        <w:pStyle w:val="2"/>
        <w:numPr>
          <w:ilvl w:val="2"/>
          <w:numId w:val="17"/>
        </w:numPr>
        <w:tabs>
          <w:tab w:val="left" w:pos="1960"/>
        </w:tabs>
        <w:spacing w:before="2" w:after="0" w:line="364" w:lineRule="auto"/>
        <w:ind w:left="637" w:right="1248" w:firstLine="480"/>
        <w:jc w:val="both"/>
        <w:rPr>
          <w:sz w:val="24"/>
        </w:rPr>
      </w:pPr>
      <w:r>
        <w:rPr>
          <w:sz w:val="24"/>
        </w:rPr>
        <w:t>如果采购人确定该中标供应商无条件圆满履行合同，应由招标方将对下一个可能成交的投标供应商资格做出类似的审查。</w:t>
      </w:r>
    </w:p>
    <w:p>
      <w:pPr>
        <w:pStyle w:val="5"/>
        <w:numPr>
          <w:ilvl w:val="0"/>
          <w:numId w:val="17"/>
        </w:numPr>
        <w:tabs>
          <w:tab w:val="left" w:pos="1601"/>
        </w:tabs>
        <w:spacing w:before="1" w:after="0" w:line="240" w:lineRule="auto"/>
        <w:ind w:left="1601" w:right="0" w:hanging="481"/>
        <w:jc w:val="left"/>
        <w:rPr>
          <w:sz w:val="22"/>
        </w:rPr>
      </w:pPr>
      <w:r>
        <w:t>接受和拒绝任何或所有投标的权力</w:t>
      </w:r>
    </w:p>
    <w:p>
      <w:pPr>
        <w:pStyle w:val="2"/>
        <w:numPr>
          <w:ilvl w:val="1"/>
          <w:numId w:val="17"/>
        </w:numPr>
        <w:tabs>
          <w:tab w:val="left" w:pos="1713"/>
        </w:tabs>
        <w:spacing w:before="160" w:after="0" w:line="364" w:lineRule="auto"/>
        <w:ind w:left="637" w:right="1245" w:firstLine="470"/>
        <w:jc w:val="left"/>
        <w:rPr>
          <w:sz w:val="24"/>
        </w:rPr>
      </w:pPr>
      <w:r>
        <w:rPr>
          <w:sz w:val="24"/>
        </w:rPr>
        <w:t>为维护国家利益，评标委员会在授予合同之前仍有选择或拒绝任何投标的权力。</w:t>
      </w:r>
    </w:p>
    <w:p>
      <w:pPr>
        <w:pStyle w:val="5"/>
        <w:numPr>
          <w:ilvl w:val="0"/>
          <w:numId w:val="17"/>
        </w:numPr>
        <w:tabs>
          <w:tab w:val="left" w:pos="1601"/>
        </w:tabs>
        <w:spacing w:before="2" w:after="0" w:line="240" w:lineRule="auto"/>
        <w:ind w:left="1601" w:right="0" w:hanging="481"/>
        <w:jc w:val="left"/>
        <w:rPr>
          <w:sz w:val="22"/>
        </w:rPr>
      </w:pPr>
      <w:r>
        <w:t>中标通知书</w:t>
      </w:r>
    </w:p>
    <w:p>
      <w:pPr>
        <w:pStyle w:val="2"/>
        <w:numPr>
          <w:ilvl w:val="1"/>
          <w:numId w:val="17"/>
        </w:numPr>
        <w:tabs>
          <w:tab w:val="left" w:pos="1713"/>
        </w:tabs>
        <w:spacing w:before="160" w:after="0" w:line="364" w:lineRule="auto"/>
        <w:ind w:left="637" w:right="1245" w:firstLine="470"/>
        <w:jc w:val="both"/>
        <w:rPr>
          <w:sz w:val="24"/>
        </w:rPr>
      </w:pPr>
      <w:r>
        <w:rPr>
          <w:sz w:val="24"/>
        </w:rPr>
        <w:t>中标供应商确定后，招标方应当将中标结果在省级以上财政部门指定的信息发布媒体上公告1个工作日，在公告中标结果的同时，招标方向中标供应商发出《中标通知书》 。</w:t>
      </w:r>
    </w:p>
    <w:p>
      <w:pPr>
        <w:pStyle w:val="2"/>
        <w:numPr>
          <w:ilvl w:val="2"/>
          <w:numId w:val="17"/>
        </w:numPr>
        <w:tabs>
          <w:tab w:val="left" w:pos="1960"/>
        </w:tabs>
        <w:spacing w:before="2" w:after="0" w:line="364" w:lineRule="auto"/>
        <w:ind w:left="637" w:right="1249" w:firstLine="480"/>
        <w:jc w:val="both"/>
        <w:rPr>
          <w:sz w:val="24"/>
        </w:rPr>
      </w:pPr>
      <w:r>
        <w:rPr>
          <w:sz w:val="24"/>
        </w:rPr>
        <w:t>投标供应商对中标公告有异议的，应当在中标公告发布之日起七个工</w:t>
      </w:r>
      <w:r>
        <w:rPr>
          <w:spacing w:val="-5"/>
          <w:sz w:val="24"/>
        </w:rPr>
        <w:t>作日内，以书面形式向招标方提出质疑。招标方应当在收到投标供应商书面质疑后</w:t>
      </w:r>
      <w:r>
        <w:rPr>
          <w:spacing w:val="-4"/>
          <w:sz w:val="24"/>
        </w:rPr>
        <w:t>七个工作日内，对质疑内容做出答复。质疑供应商对答复不满意或者招标方未在规定时间内答复的，可以在答复期满后十五个工作日内按有关规定，向同级人民政府</w:t>
      </w:r>
      <w:r>
        <w:rPr>
          <w:sz w:val="24"/>
        </w:rPr>
        <w:t>财政部门投诉。</w:t>
      </w:r>
    </w:p>
    <w:p>
      <w:pPr>
        <w:pStyle w:val="2"/>
        <w:numPr>
          <w:ilvl w:val="2"/>
          <w:numId w:val="17"/>
        </w:numPr>
        <w:tabs>
          <w:tab w:val="left" w:pos="1948"/>
        </w:tabs>
        <w:spacing w:before="3" w:after="0" w:line="364" w:lineRule="auto"/>
        <w:ind w:left="637" w:right="1245" w:firstLine="470"/>
        <w:jc w:val="both"/>
        <w:rPr>
          <w:sz w:val="24"/>
        </w:rPr>
      </w:pPr>
      <w:r>
        <w:rPr>
          <w:spacing w:val="-2"/>
          <w:sz w:val="24"/>
        </w:rPr>
        <w:t>采购人在收到《中标供应商确认函》</w:t>
      </w:r>
      <w:r>
        <w:rPr>
          <w:sz w:val="24"/>
        </w:rPr>
        <w:t>5</w:t>
      </w:r>
      <w:r>
        <w:rPr>
          <w:spacing w:val="-2"/>
          <w:sz w:val="24"/>
        </w:rPr>
        <w:t>个工作日内，如不按规定确认中</w:t>
      </w:r>
      <w:r>
        <w:rPr>
          <w:sz w:val="24"/>
        </w:rPr>
        <w:t>标供应商，应在规定的</w:t>
      </w:r>
      <w:r>
        <w:rPr>
          <w:spacing w:val="4"/>
          <w:sz w:val="24"/>
        </w:rPr>
        <w:t>5</w:t>
      </w:r>
      <w:r>
        <w:rPr>
          <w:sz w:val="24"/>
        </w:rPr>
        <w:t>个工作日期限内，以书面方式回函提出异议，经过财政监</w:t>
      </w:r>
      <w:r>
        <w:rPr>
          <w:spacing w:val="-5"/>
          <w:sz w:val="24"/>
        </w:rPr>
        <w:t>管部门同意后，由招标方直接向中标首选供应商发出《中标通知书》。如逾期既不</w:t>
      </w:r>
      <w:r>
        <w:rPr>
          <w:spacing w:val="-3"/>
          <w:sz w:val="24"/>
        </w:rPr>
        <w:t>确认也不回函提出异议的，招标方则视同采购人认可评标委员会推荐的中标首选结</w:t>
      </w:r>
    </w:p>
    <w:p>
      <w:pPr>
        <w:pStyle w:val="10"/>
        <w:spacing w:before="90" w:line="364" w:lineRule="auto"/>
        <w:ind w:right="1221"/>
      </w:pPr>
      <w:r>
        <w:t>果，由招标方直接向拟中标首选供应商发出《中标通知书》。一经发出即发生法律效力。</w:t>
      </w:r>
    </w:p>
    <w:p>
      <w:pPr>
        <w:pStyle w:val="2"/>
        <w:numPr>
          <w:ilvl w:val="2"/>
          <w:numId w:val="17"/>
        </w:numPr>
        <w:tabs>
          <w:tab w:val="left" w:pos="1958"/>
        </w:tabs>
        <w:spacing w:before="1" w:after="0" w:line="364" w:lineRule="auto"/>
        <w:ind w:left="637" w:right="1125" w:firstLine="480"/>
        <w:jc w:val="left"/>
        <w:rPr>
          <w:sz w:val="24"/>
        </w:rPr>
      </w:pPr>
      <w:r>
        <w:rPr>
          <w:spacing w:val="-5"/>
          <w:sz w:val="24"/>
        </w:rPr>
        <w:t xml:space="preserve">中标供应商领取《中标通知书》时，须向招标方提交合同履约保证金， </w:t>
      </w:r>
      <w:r>
        <w:rPr>
          <w:sz w:val="24"/>
        </w:rPr>
        <w:t>拒绝提交的，视为放弃成交项目。</w:t>
      </w:r>
    </w:p>
    <w:p>
      <w:pPr>
        <w:pStyle w:val="2"/>
        <w:numPr>
          <w:ilvl w:val="3"/>
          <w:numId w:val="17"/>
        </w:numPr>
        <w:tabs>
          <w:tab w:val="left" w:pos="2200"/>
        </w:tabs>
        <w:spacing w:before="1" w:after="0" w:line="364" w:lineRule="auto"/>
        <w:ind w:left="637" w:right="1248" w:firstLine="480"/>
        <w:jc w:val="left"/>
        <w:rPr>
          <w:sz w:val="24"/>
        </w:rPr>
      </w:pPr>
      <w:r>
        <w:rPr>
          <w:sz w:val="24"/>
        </w:rPr>
        <w:t>合同履约保证金与投标保证金同等额。待合同执行期满、货物验收合格及办理货款结算时，由招标方无息退还。</w:t>
      </w:r>
    </w:p>
    <w:p>
      <w:pPr>
        <w:pStyle w:val="2"/>
        <w:numPr>
          <w:ilvl w:val="3"/>
          <w:numId w:val="17"/>
        </w:numPr>
        <w:tabs>
          <w:tab w:val="left" w:pos="2200"/>
        </w:tabs>
        <w:spacing w:before="1" w:after="0" w:line="364" w:lineRule="auto"/>
        <w:ind w:left="637" w:right="1248" w:firstLine="480"/>
        <w:jc w:val="left"/>
        <w:rPr>
          <w:sz w:val="24"/>
        </w:rPr>
      </w:pPr>
      <w:r>
        <w:rPr>
          <w:sz w:val="24"/>
        </w:rPr>
        <w:t>合同履约保证金可采用银行汇票、银行保函等形式交纳，成交供应商须将履约保证金交到招标方指定帐户。指定账户与投标报价保证金同账户。</w:t>
      </w:r>
    </w:p>
    <w:p>
      <w:pPr>
        <w:pStyle w:val="2"/>
        <w:numPr>
          <w:ilvl w:val="3"/>
          <w:numId w:val="17"/>
        </w:numPr>
        <w:tabs>
          <w:tab w:val="left" w:pos="2200"/>
        </w:tabs>
        <w:spacing w:before="2" w:after="0" w:line="364" w:lineRule="auto"/>
        <w:ind w:left="637" w:right="1248" w:firstLine="480"/>
        <w:jc w:val="left"/>
        <w:rPr>
          <w:sz w:val="24"/>
        </w:rPr>
      </w:pPr>
      <w:r>
        <w:rPr>
          <w:sz w:val="24"/>
        </w:rPr>
        <w:t>中标供应商提交的合同履约保证金，其有效期限应不低于合同有效期。</w:t>
      </w:r>
    </w:p>
    <w:p>
      <w:pPr>
        <w:pStyle w:val="2"/>
        <w:numPr>
          <w:ilvl w:val="1"/>
          <w:numId w:val="17"/>
        </w:numPr>
        <w:tabs>
          <w:tab w:val="left" w:pos="1838"/>
        </w:tabs>
        <w:spacing w:before="1" w:after="0" w:line="364" w:lineRule="auto"/>
        <w:ind w:left="637" w:right="1226" w:firstLine="480"/>
        <w:jc w:val="both"/>
        <w:rPr>
          <w:sz w:val="24"/>
        </w:rPr>
      </w:pPr>
      <w:r>
        <w:rPr>
          <w:spacing w:val="-1"/>
          <w:sz w:val="24"/>
        </w:rPr>
        <w:t xml:space="preserve">在发布中标公告后，招标采购单位应当向中标供应商发出中标通知书， </w:t>
      </w:r>
      <w:r>
        <w:rPr>
          <w:spacing w:val="-3"/>
          <w:sz w:val="24"/>
        </w:rPr>
        <w:t>中标通知书对采购人和中标供应商具有同等法律效力。《中标通知书》发出后，采购人改变中标结果，或者中标供应商放弃成交，应当承担相应的法律责任。</w:t>
      </w:r>
    </w:p>
    <w:p>
      <w:pPr>
        <w:pStyle w:val="2"/>
        <w:numPr>
          <w:ilvl w:val="1"/>
          <w:numId w:val="17"/>
        </w:numPr>
        <w:tabs>
          <w:tab w:val="left" w:pos="1720"/>
        </w:tabs>
        <w:spacing w:before="2" w:after="0" w:line="364" w:lineRule="auto"/>
        <w:ind w:left="637" w:right="1248" w:firstLine="480"/>
        <w:jc w:val="both"/>
      </w:pPr>
      <w:r>
        <w:rPr>
          <w:sz w:val="24"/>
        </w:rPr>
        <w:t>《中标通知书》要作为采购人、中标供应商签订的由招标方监章的合同的依据。</w:t>
      </w:r>
    </w:p>
    <w:p>
      <w:pPr>
        <w:pStyle w:val="4"/>
      </w:pPr>
    </w:p>
    <w:p>
      <w:pPr>
        <w:pStyle w:val="4"/>
      </w:pPr>
    </w:p>
    <w:p>
      <w:pPr>
        <w:pStyle w:val="4"/>
      </w:pPr>
      <w:r>
        <w:t>第四章 授予合同</w:t>
      </w:r>
    </w:p>
    <w:p>
      <w:pPr>
        <w:pStyle w:val="5"/>
        <w:numPr>
          <w:ilvl w:val="0"/>
          <w:numId w:val="17"/>
        </w:numPr>
        <w:tabs>
          <w:tab w:val="left" w:pos="1603"/>
        </w:tabs>
        <w:spacing w:before="186" w:after="0" w:line="240" w:lineRule="auto"/>
        <w:ind w:left="1602" w:right="0" w:hanging="483"/>
        <w:jc w:val="both"/>
      </w:pPr>
      <w:r>
        <w:t>签订合同</w:t>
      </w:r>
    </w:p>
    <w:p>
      <w:pPr>
        <w:pStyle w:val="2"/>
        <w:numPr>
          <w:ilvl w:val="1"/>
          <w:numId w:val="17"/>
        </w:numPr>
        <w:tabs>
          <w:tab w:val="left" w:pos="1713"/>
        </w:tabs>
        <w:spacing w:before="161" w:after="0" w:line="364" w:lineRule="auto"/>
        <w:ind w:left="637" w:right="1245" w:firstLine="470"/>
        <w:jc w:val="both"/>
        <w:rPr>
          <w:sz w:val="24"/>
        </w:rPr>
      </w:pPr>
      <w:r>
        <w:rPr>
          <w:sz w:val="24"/>
        </w:rPr>
        <w:t>中标供应商应当自《中标通知书》发出之日起30日内，按照招标方招标</w:t>
      </w:r>
      <w:r>
        <w:rPr>
          <w:spacing w:val="-2"/>
          <w:sz w:val="24"/>
        </w:rPr>
        <w:t>文件的约定和中标方投标文件中的承诺与采购单位签订书面合同，所签订的合同不</w:t>
      </w:r>
      <w:r>
        <w:rPr>
          <w:sz w:val="24"/>
        </w:rPr>
        <w:t>得对招标方招标文件和中标方的投标文件作实质性修改。</w:t>
      </w:r>
    </w:p>
    <w:p>
      <w:pPr>
        <w:pStyle w:val="2"/>
        <w:numPr>
          <w:ilvl w:val="1"/>
          <w:numId w:val="17"/>
        </w:numPr>
        <w:tabs>
          <w:tab w:val="left" w:pos="1713"/>
        </w:tabs>
        <w:spacing w:before="2" w:after="0" w:line="364" w:lineRule="auto"/>
        <w:ind w:left="637" w:right="1245" w:firstLine="470"/>
        <w:jc w:val="both"/>
        <w:rPr>
          <w:sz w:val="24"/>
        </w:rPr>
      </w:pPr>
      <w:r>
        <w:rPr>
          <w:sz w:val="24"/>
        </w:rPr>
        <w:t>采购单位不得向中标供应商提出任何不合理要求作为签订合同的条件， 不得与中标供应商私下订立背离合同实质性内容的协议。</w:t>
      </w:r>
    </w:p>
    <w:p>
      <w:pPr>
        <w:pStyle w:val="2"/>
        <w:numPr>
          <w:ilvl w:val="1"/>
          <w:numId w:val="17"/>
        </w:numPr>
        <w:tabs>
          <w:tab w:val="left" w:pos="1708"/>
        </w:tabs>
        <w:spacing w:before="1" w:after="0" w:line="240" w:lineRule="auto"/>
        <w:ind w:left="1708" w:right="0" w:hanging="600"/>
        <w:jc w:val="both"/>
        <w:rPr>
          <w:sz w:val="24"/>
        </w:rPr>
      </w:pPr>
      <w:r>
        <w:rPr>
          <w:sz w:val="24"/>
        </w:rPr>
        <w:t>合同的双方当事人不得擅自变更、中止或者终止合同。</w:t>
      </w:r>
    </w:p>
    <w:p>
      <w:pPr>
        <w:pStyle w:val="2"/>
        <w:numPr>
          <w:ilvl w:val="1"/>
          <w:numId w:val="17"/>
        </w:numPr>
        <w:tabs>
          <w:tab w:val="left" w:pos="1708"/>
        </w:tabs>
        <w:spacing w:before="160" w:after="0" w:line="364" w:lineRule="auto"/>
        <w:ind w:left="637" w:right="1129" w:firstLine="470"/>
        <w:jc w:val="left"/>
        <w:rPr>
          <w:sz w:val="24"/>
        </w:rPr>
      </w:pPr>
      <w:r>
        <w:rPr>
          <w:spacing w:val="-2"/>
          <w:sz w:val="24"/>
        </w:rPr>
        <w:t>合同继续履行将损害国家利益和社会公共利益的，双方当事人应当变更、</w:t>
      </w:r>
      <w:r>
        <w:rPr>
          <w:spacing w:val="-3"/>
          <w:sz w:val="24"/>
        </w:rPr>
        <w:t>中止或者终止合同。有过错的一方承担赔偿责任，双方都有过错的，各自承担相应责任。</w:t>
      </w:r>
    </w:p>
    <w:p>
      <w:pPr>
        <w:pStyle w:val="10"/>
        <w:spacing w:before="90"/>
        <w:ind w:firstLine="472" w:firstLineChars="200"/>
        <w:rPr>
          <w:rFonts w:ascii="宋体" w:hAnsi="宋体" w:eastAsia="宋体" w:cs="宋体"/>
          <w:spacing w:val="-2"/>
          <w:sz w:val="24"/>
          <w:szCs w:val="22"/>
          <w:lang w:val="zh-CN" w:eastAsia="zh-CN" w:bidi="zh-CN"/>
        </w:rPr>
      </w:pPr>
      <w:r>
        <w:rPr>
          <w:rFonts w:ascii="宋体" w:hAnsi="宋体" w:eastAsia="宋体" w:cs="宋体"/>
          <w:spacing w:val="-2"/>
          <w:sz w:val="24"/>
          <w:szCs w:val="22"/>
          <w:lang w:val="zh-CN" w:eastAsia="zh-CN" w:bidi="zh-CN"/>
        </w:rPr>
        <w:t>合同履行中，采购人需追加与合同标的相同的货物、工程或者服务的， 在不改</w:t>
      </w:r>
    </w:p>
    <w:p>
      <w:pPr>
        <w:pStyle w:val="10"/>
        <w:spacing w:before="90"/>
        <w:rPr>
          <w:rFonts w:ascii="宋体" w:hAnsi="宋体" w:eastAsia="宋体" w:cs="宋体"/>
          <w:spacing w:val="-2"/>
          <w:sz w:val="24"/>
          <w:szCs w:val="22"/>
          <w:lang w:val="zh-CN" w:eastAsia="zh-CN" w:bidi="zh-CN"/>
        </w:rPr>
      </w:pPr>
      <w:r>
        <w:rPr>
          <w:rFonts w:ascii="宋体" w:hAnsi="宋体" w:eastAsia="宋体" w:cs="宋体"/>
          <w:spacing w:val="-2"/>
          <w:sz w:val="24"/>
          <w:szCs w:val="22"/>
          <w:lang w:val="zh-CN" w:eastAsia="zh-CN" w:bidi="zh-CN"/>
        </w:rPr>
        <w:t>变其他条款的前提下，经招标方审查后，可以与供应商签订补充合同，补充合同须有</w:t>
      </w:r>
    </w:p>
    <w:p>
      <w:pPr>
        <w:pStyle w:val="10"/>
        <w:spacing w:before="90"/>
        <w:rPr>
          <w:rFonts w:ascii="宋体" w:hAnsi="宋体" w:eastAsia="宋体" w:cs="宋体"/>
          <w:spacing w:val="-2"/>
          <w:sz w:val="24"/>
          <w:szCs w:val="22"/>
          <w:lang w:val="zh-CN" w:eastAsia="zh-CN" w:bidi="zh-CN"/>
        </w:rPr>
      </w:pPr>
      <w:r>
        <w:rPr>
          <w:rFonts w:ascii="宋体" w:hAnsi="宋体" w:eastAsia="宋体" w:cs="宋体"/>
          <w:spacing w:val="-2"/>
          <w:sz w:val="24"/>
          <w:szCs w:val="22"/>
          <w:lang w:val="zh-CN" w:eastAsia="zh-CN" w:bidi="zh-CN"/>
        </w:rPr>
        <w:t>招标方监章，但所有补充合同的采购金额不得超过原合同金额的10%。</w:t>
      </w:r>
    </w:p>
    <w:p>
      <w:pPr>
        <w:pStyle w:val="2"/>
        <w:numPr>
          <w:ilvl w:val="2"/>
          <w:numId w:val="17"/>
        </w:numPr>
        <w:tabs>
          <w:tab w:val="left" w:pos="1953"/>
        </w:tabs>
        <w:spacing w:before="160" w:after="0" w:line="364" w:lineRule="auto"/>
        <w:ind w:left="637" w:right="1248" w:firstLine="470"/>
        <w:jc w:val="both"/>
        <w:rPr>
          <w:sz w:val="24"/>
        </w:rPr>
      </w:pPr>
      <w:r>
        <w:rPr>
          <w:sz w:val="24"/>
        </w:rPr>
        <w:t>招标方在授予采购人、中标人合同时，经审查采购人的书面申请后， 有权对招标文件中规定的货物和服务的数量在10%的幅度内予以增加或减少，并要在合同中增加条款进行说明。</w:t>
      </w:r>
    </w:p>
    <w:p>
      <w:pPr>
        <w:pStyle w:val="2"/>
        <w:numPr>
          <w:ilvl w:val="1"/>
          <w:numId w:val="17"/>
        </w:numPr>
        <w:tabs>
          <w:tab w:val="left" w:pos="1713"/>
        </w:tabs>
        <w:spacing w:before="2" w:after="0" w:line="364" w:lineRule="auto"/>
        <w:ind w:left="637" w:right="1245" w:firstLine="470"/>
        <w:jc w:val="both"/>
        <w:rPr>
          <w:sz w:val="24"/>
        </w:rPr>
      </w:pPr>
      <w:r>
        <w:rPr>
          <w:sz w:val="24"/>
        </w:rPr>
        <w:t>如中标供应商拒签合同，则按违约处理。招标方将没收其合同履约保证金。</w:t>
      </w:r>
    </w:p>
    <w:p>
      <w:pPr>
        <w:pStyle w:val="2"/>
        <w:numPr>
          <w:ilvl w:val="1"/>
          <w:numId w:val="17"/>
        </w:numPr>
        <w:tabs>
          <w:tab w:val="left" w:pos="1708"/>
        </w:tabs>
        <w:spacing w:before="1" w:after="0" w:line="364" w:lineRule="auto"/>
        <w:ind w:left="637" w:right="1129" w:firstLine="470"/>
        <w:jc w:val="both"/>
        <w:rPr>
          <w:sz w:val="24"/>
        </w:rPr>
      </w:pPr>
      <w:r>
        <w:rPr>
          <w:spacing w:val="-3"/>
          <w:sz w:val="24"/>
        </w:rPr>
        <w:t>招标方的招标文件、中标方的投标文件及其澄清、询标</w:t>
      </w:r>
      <w:r>
        <w:rPr>
          <w:sz w:val="24"/>
        </w:rPr>
        <w:t>（答疑</w:t>
      </w:r>
      <w:r>
        <w:rPr>
          <w:spacing w:val="-5"/>
          <w:sz w:val="24"/>
        </w:rPr>
        <w:t>）</w:t>
      </w:r>
      <w:r>
        <w:rPr>
          <w:spacing w:val="-4"/>
          <w:sz w:val="24"/>
        </w:rPr>
        <w:t xml:space="preserve">文件等， </w:t>
      </w:r>
      <w:r>
        <w:rPr>
          <w:sz w:val="24"/>
        </w:rPr>
        <w:t>均做为签订合同的法律依据。</w:t>
      </w:r>
    </w:p>
    <w:p>
      <w:pPr>
        <w:pStyle w:val="2"/>
        <w:numPr>
          <w:ilvl w:val="1"/>
          <w:numId w:val="17"/>
        </w:numPr>
        <w:tabs>
          <w:tab w:val="left" w:pos="1713"/>
        </w:tabs>
        <w:spacing w:before="2" w:after="0" w:line="364" w:lineRule="auto"/>
        <w:ind w:left="637" w:right="1245" w:firstLine="470"/>
        <w:jc w:val="both"/>
        <w:rPr>
          <w:sz w:val="24"/>
        </w:rPr>
      </w:pPr>
      <w:r>
        <w:rPr>
          <w:sz w:val="24"/>
        </w:rPr>
        <w:t>在未经采购人和招标方允许的情况下，不允许中标人将成交项目分包或转交他人承担。而且，采购人和招标方也不得直接指定分包人。</w:t>
      </w:r>
    </w:p>
    <w:p>
      <w:pPr>
        <w:pStyle w:val="2"/>
        <w:numPr>
          <w:ilvl w:val="2"/>
          <w:numId w:val="17"/>
        </w:numPr>
        <w:tabs>
          <w:tab w:val="left" w:pos="1948"/>
        </w:tabs>
        <w:spacing w:before="1" w:after="0" w:line="364" w:lineRule="auto"/>
        <w:ind w:left="637" w:right="1129" w:firstLine="470"/>
        <w:jc w:val="left"/>
        <w:rPr>
          <w:sz w:val="24"/>
        </w:rPr>
      </w:pPr>
      <w:r>
        <w:rPr>
          <w:spacing w:val="-3"/>
          <w:sz w:val="24"/>
        </w:rPr>
        <w:t>经采购人和招标方同意，中标供应商可以依法采取分包方式履行合同。合同分包履行的，中标供应商就采购项目和分包项目向采购人负责，分包供应商向分包项目承担责任。</w:t>
      </w:r>
    </w:p>
    <w:p>
      <w:pPr>
        <w:pStyle w:val="2"/>
        <w:numPr>
          <w:ilvl w:val="2"/>
          <w:numId w:val="17"/>
        </w:numPr>
        <w:tabs>
          <w:tab w:val="left" w:pos="1953"/>
        </w:tabs>
        <w:spacing w:before="2" w:after="0" w:line="364" w:lineRule="auto"/>
        <w:ind w:left="637" w:right="1226" w:firstLine="470"/>
        <w:jc w:val="both"/>
        <w:rPr>
          <w:sz w:val="24"/>
        </w:rPr>
      </w:pPr>
      <w:r>
        <w:rPr>
          <w:sz w:val="24"/>
        </w:rPr>
        <w:t>对于不具备分包条件或者不符合分包规定的，招标方有权在签订合同</w:t>
      </w:r>
      <w:r>
        <w:rPr>
          <w:spacing w:val="-2"/>
          <w:sz w:val="24"/>
        </w:rPr>
        <w:t>或中标供应商提出分包要求时予以拒绝。如发现中标供应商转包或违法分包时，有</w:t>
      </w:r>
      <w:r>
        <w:rPr>
          <w:spacing w:val="-3"/>
          <w:sz w:val="24"/>
        </w:rPr>
        <w:t>权要求其改正；拒不改正的，有权要求终止合同，并报请有关行政监督部门查处。</w:t>
      </w:r>
    </w:p>
    <w:p>
      <w:pPr>
        <w:pStyle w:val="2"/>
        <w:numPr>
          <w:ilvl w:val="3"/>
          <w:numId w:val="17"/>
        </w:numPr>
        <w:tabs>
          <w:tab w:val="left" w:pos="2193"/>
        </w:tabs>
        <w:spacing w:before="1" w:after="0" w:line="364" w:lineRule="auto"/>
        <w:ind w:left="637" w:right="1249" w:firstLine="470"/>
        <w:jc w:val="both"/>
      </w:pPr>
      <w:r>
        <w:rPr>
          <w:sz w:val="24"/>
        </w:rPr>
        <w:t>中标供应商必须与采购人、招标方协商后，共同决定将合同标的中</w:t>
      </w:r>
      <w:r>
        <w:rPr>
          <w:spacing w:val="-3"/>
          <w:sz w:val="24"/>
        </w:rPr>
        <w:t>的部分由第三方承担供货和服务责任，但中标供应商必须对合同标的的全部内容向</w:t>
      </w:r>
      <w:r>
        <w:rPr>
          <w:spacing w:val="-5"/>
          <w:sz w:val="24"/>
        </w:rPr>
        <w:t>采购人、招标方负责，并保证第三方提供的供货和服务符合招标方招标文件的约定</w:t>
      </w:r>
      <w:r>
        <w:rPr>
          <w:sz w:val="24"/>
        </w:rPr>
        <w:t>和其投标文件的承诺及相关约定</w:t>
      </w:r>
      <w:r>
        <w:rPr>
          <w:rFonts w:hint="eastAsia"/>
          <w:sz w:val="24"/>
          <w:lang w:eastAsia="zh-CN"/>
        </w:rPr>
        <w:t>。</w:t>
      </w:r>
    </w:p>
    <w:p>
      <w:pPr>
        <w:pStyle w:val="2"/>
        <w:widowControl w:val="0"/>
        <w:numPr>
          <w:ilvl w:val="0"/>
          <w:numId w:val="0"/>
        </w:numPr>
        <w:tabs>
          <w:tab w:val="left" w:pos="2193"/>
        </w:tabs>
        <w:autoSpaceDE w:val="0"/>
        <w:autoSpaceDN w:val="0"/>
        <w:spacing w:before="1" w:after="0" w:line="364" w:lineRule="auto"/>
        <w:ind w:right="1249" w:rightChars="0"/>
        <w:jc w:val="both"/>
      </w:pPr>
    </w:p>
    <w:p>
      <w:pPr>
        <w:pStyle w:val="3"/>
        <w:spacing w:before="163"/>
        <w:ind w:right="605"/>
      </w:pPr>
    </w:p>
    <w:p>
      <w:pPr>
        <w:pStyle w:val="17"/>
        <w:ind w:left="0" w:leftChars="0" w:firstLine="0" w:firstLineChars="0"/>
      </w:pPr>
    </w:p>
    <w:p>
      <w:pPr>
        <w:pStyle w:val="17"/>
        <w:ind w:left="0" w:leftChars="0" w:firstLine="0" w:firstLineChars="0"/>
      </w:pPr>
    </w:p>
    <w:p>
      <w:pPr>
        <w:pStyle w:val="17"/>
        <w:ind w:left="0" w:leftChars="0" w:firstLine="0" w:firstLineChars="0"/>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jc w:val="both"/>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pPr>
    </w:p>
    <w:p>
      <w:pPr>
        <w:pStyle w:val="3"/>
        <w:spacing w:before="163"/>
        <w:ind w:right="605" w:firstLine="2168" w:firstLineChars="600"/>
        <w:jc w:val="both"/>
      </w:pPr>
      <w:r>
        <w:t>第六部分 货物需求、技术规格说明</w:t>
      </w:r>
    </w:p>
    <w:p>
      <w:pPr>
        <w:pStyle w:val="4"/>
        <w:spacing w:before="191"/>
        <w:ind w:right="608"/>
        <w:rPr>
          <w:rFonts w:hint="eastAsia" w:eastAsia="宋体"/>
          <w:lang w:val="en-US" w:eastAsia="zh-CN"/>
        </w:rPr>
      </w:pPr>
      <w:r>
        <w:t xml:space="preserve"> 产品规格报价明细表</w:t>
      </w:r>
      <w:r>
        <w:rPr>
          <w:rFonts w:hint="eastAsia"/>
          <w:lang w:eastAsia="zh-CN"/>
        </w:rPr>
        <w:t>（</w:t>
      </w:r>
      <w:r>
        <w:rPr>
          <w:rFonts w:hint="eastAsia"/>
          <w:lang w:val="en-US" w:eastAsia="zh-CN"/>
        </w:rPr>
        <w:t>详见附表</w:t>
      </w:r>
      <w:r>
        <w:rPr>
          <w:rFonts w:hint="eastAsia"/>
          <w:lang w:eastAsia="zh-CN"/>
        </w:rPr>
        <w:t>）</w:t>
      </w:r>
    </w:p>
    <w:p>
      <w:pPr>
        <w:pStyle w:val="10"/>
        <w:spacing w:before="2"/>
        <w:ind w:left="1117"/>
        <w:rPr>
          <w:rFonts w:hint="eastAsia"/>
          <w:b/>
          <w:bCs/>
          <w:sz w:val="36"/>
          <w:szCs w:val="36"/>
          <w:lang w:val="en-US" w:eastAsia="zh-CN"/>
        </w:rPr>
      </w:pPr>
      <w:r>
        <w:rPr>
          <w:rFonts w:hint="eastAsia"/>
          <w:b/>
          <w:bCs/>
          <w:sz w:val="36"/>
          <w:szCs w:val="36"/>
          <w:lang w:val="en-US" w:eastAsia="zh-CN"/>
        </w:rPr>
        <w:t>第一包清单：</w:t>
      </w:r>
    </w:p>
    <w:tbl>
      <w:tblPr>
        <w:tblStyle w:val="18"/>
        <w:tblW w:w="972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54"/>
        <w:gridCol w:w="1049"/>
        <w:gridCol w:w="2996"/>
        <w:gridCol w:w="1084"/>
        <w:gridCol w:w="1198"/>
        <w:gridCol w:w="28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包号</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标的名称</w:t>
            </w:r>
          </w:p>
        </w:tc>
        <w:tc>
          <w:tcPr>
            <w:tcW w:w="2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购置单位</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载水量（吨）</w:t>
            </w:r>
          </w:p>
        </w:tc>
        <w:tc>
          <w:tcPr>
            <w:tcW w:w="11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载泡沫量（吨）</w:t>
            </w:r>
          </w:p>
        </w:tc>
        <w:tc>
          <w:tcPr>
            <w:tcW w:w="2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b/>
                <w:bCs/>
                <w:i w:val="0"/>
                <w:iCs w:val="0"/>
                <w:color w:val="auto"/>
                <w:kern w:val="0"/>
                <w:sz w:val="22"/>
                <w:szCs w:val="22"/>
                <w:u w:val="none"/>
                <w:lang w:val="en-US" w:eastAsia="zh-CN" w:bidi="ar"/>
              </w:rPr>
              <w:t>泡沫消防车★（国产底盘）</w:t>
            </w:r>
          </w:p>
        </w:tc>
        <w:tc>
          <w:tcPr>
            <w:tcW w:w="2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和硕</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≥5.5</w:t>
            </w:r>
          </w:p>
        </w:tc>
        <w:tc>
          <w:tcPr>
            <w:tcW w:w="11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≥1.8</w:t>
            </w:r>
          </w:p>
        </w:tc>
        <w:tc>
          <w:tcPr>
            <w:tcW w:w="28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序号</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名称</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技术参数及规格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底盘</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1、国产底盘，比功率≥10；驱动形式：4×2。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2、发动机功率≥250kw，上车脚踏板全部采用鱼鳞式不锈钢材质，用直径60mm钢管将踏板与底盘连接固定。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3、尾气排放满足国Ⅵ以上标准，轮胎为钢丝胎，并配有原装、原尺寸备胎1条。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驾驶室</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1、四门双排原装驾驶室，座位数（含驾驶座）≥6个；后排座椅靠背内嵌6.8L空气呼吸器支架，乘员室内有足够的空间保证消防员乘坐及移动，座椅采用软质材料，配备安全带。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kern w:val="0"/>
                <w:sz w:val="22"/>
                <w:szCs w:val="22"/>
                <w:u w:val="none"/>
                <w:lang w:val="en-US" w:eastAsia="zh-CN" w:bidi="ar"/>
              </w:rPr>
            </w:pPr>
            <w:r>
              <w:rPr>
                <w:rFonts w:hint="eastAsia" w:ascii="黑体" w:hAnsi="宋体" w:eastAsia="黑体" w:cs="黑体"/>
                <w:i w:val="0"/>
                <w:iCs w:val="0"/>
                <w:color w:val="auto"/>
                <w:kern w:val="0"/>
                <w:sz w:val="22"/>
                <w:szCs w:val="22"/>
                <w:u w:val="none"/>
                <w:lang w:val="en-US" w:eastAsia="zh-CN" w:bidi="ar"/>
              </w:rPr>
              <w:t>2、①电源总开关安装在驾驶室，切换时有声音提示；预留北斗（GPS）接口和功率≥1000W的逆变器（12V、24V、220v)。②安装360度全景行车记录仪及辅助系统，系统配备超清夜视摄像头和彩色显示屏，显示屏分辨率≥1080P，屏幕尺寸≥7寸，支持分屏、单屏等多种模式，存储卡容量≥128G，可自动分段录制、循环保存。③主副电动车窗，驾驶室翻转具有电动助力系统，采用双缸支撑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kern w:val="0"/>
                <w:sz w:val="22"/>
                <w:szCs w:val="22"/>
                <w:u w:val="none"/>
                <w:lang w:val="en-US" w:eastAsia="zh-CN" w:bidi="ar"/>
              </w:rPr>
            </w:pPr>
            <w:r>
              <w:rPr>
                <w:rFonts w:hint="eastAsia" w:ascii="黑体" w:hAnsi="宋体" w:eastAsia="黑体" w:cs="黑体"/>
                <w:i w:val="0"/>
                <w:iCs w:val="0"/>
                <w:color w:val="auto"/>
                <w:kern w:val="0"/>
                <w:sz w:val="22"/>
                <w:szCs w:val="22"/>
                <w:u w:val="none"/>
                <w:lang w:val="en-US" w:eastAsia="zh-CN" w:bidi="ar"/>
              </w:rPr>
              <w:t>3、配备知名品牌车载台，与采购方通信指挥系统配套使用。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取力器</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1、类    型：全功率取力器；电磁阀、气动控制。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2、冷却方式：强制水冷；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3、控制方式：驾驶室设有控制开关及工作指示灯。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4</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水液罐</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1、载水量≥5.5t，B类≥1.5t、A类≥300kg；罐体材质使用316不锈钢板；罐体底板厚度≥4mm，其余厚度≥3mm。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2、水罐、泡沫罐上方设有人孔，并带有快速锁紧和开启装置，内设纵、横防荡板；水罐设有溢水口及带单向阀的补水口；设有排污口及不锈钢球阀；设有数字液位指示器。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3、水罐顶部补水口两个（水、泡沫液），带闷盖，闷盖口径不得小于400MM，车顶进行防滑处理（喷涂防滑磨砂颗粒材质），设有高度为150mm～200mm的防护栏板及锚点固定装置，并具有排水功能。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4、水罐的补水口设计在车身两侧，口径为80mm，左右两侧各2个，补水口设置单项阀。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5、车辆后尾部设有铝合金爬梯。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5</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消防泵</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1、知名品牌消防泵，流量：≥80L／s，额定压力≥1.0Mpa，7m吸深引水时间≤35s。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2、国际知名品牌压缩空气泡沫系统，全自动全工况泡沫比例混合系统，可在1-10%无级自动调节，步进≤0.5%，最大混合液流量（与消防炮流量相匹配）≥80L/S，工作压力范围不低于0.7-2.0MPa。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3、泵室加装燃油式暖风机，暖风机功率≥8kw，燃油通过车辆底盘油箱供给，可在驾驶室操作控制。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4、泵室设置电脑控制面板，防护等级≥IP68，配备PTO油门控制系统，并设中文讲解说明，同时在控制面板上设置取力器、后启动按键。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5、整车出液口设置泵室左右两侧≥4个。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6</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消防炮</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1、知名品牌消防炮，射水射程≥70m，泡沫液射程≥50m，流量≥70L/S。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2、操控方式：无线遥控控制，无线遥控距离≥150m，可对炮的仰俯、左右角度、射流形式进行调整，水炮左右旋转180°，俯仰角度不低于-30°—85°。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7</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器材箱</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车厢（器材箱、泵室及内骨架）全部采用高强度铝合金型材，内饰板采用光面拉丝氧化铝板。车厢的骨架为全铝合金框架焊接式结构，外蒙皮需采用铝合金板粘接技术；车厢内器材骨架需采用铝合金型材搭接结构，内饰板和底板需采用光面拉丝铝合金板材。帘子门：铝合金材质，顶部设有导流槽，密封条全铺设，防雨、防尘密封。配备拉杆式把手，品牌按压锁、所有卷帘门可通用一把钥匙开启；驾驶室内设置帘子门开闭状态指示灯。配备器材固定带及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2、内设置照明灯（LED），并设有箱门开启时照明感应开关；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3、车顶设置器材箱，铝合金型材，器材箱与车顶固定牢靠，可拆卸。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4、脚踏板：铝合金材质，可承重 ≥300kg，采用机械弹簧加隐藏式锁销，踏板表面采用≥2mm磨砂防滑材质。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8</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电气系统</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1、驾驶室顶部前端装配有红色长排LED警灯；车顶两侧及车尾装配红色频闪警灯；警灯警报功率≥200W，车辆两侧及后方，加装≥80W的LED长条照明射灯，左右各2个，后侧1个，所有控制开关设在驾驶室内。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2、警报器、警灯、电台、器材箱照明等上装部分电气为独立式附加电路，控制键安装在驾驶室内，所有操作按钮有中文防水标识。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电气系统线路改装要求：①加装应急充电、充气装置。②整车电路标识清楚，每根电线都具备单独编号，整车电气系统线路采用铜芯或铜合金芯电线，正负电极线路颜色区分明显，改装线路具有防水、防尘性能，各线路捆扎整齐，线路铺设位置便于检查维修。③改装线路裸露在车体外部、接近热源、靠近油箱等情况下应加装隔板或相应的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9</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油箱</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配有油箱及管路加热保温系统。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10</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随车器材</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1、泡沫输转泵流量≥10L/S及其配套水带；2、80mm水带≥200m；3、65mm水带≥200m；4、65mm异型和80mm-65mm异径接口各4个；5、泡沫炮头1个；6、滤水器1个；7、轮楔两副；8、多功能水枪2把，PQ16泡沫枪2把。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11</w:t>
            </w:r>
          </w:p>
        </w:tc>
        <w:tc>
          <w:tcPr>
            <w:tcW w:w="104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随车资料</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国家工信部认证公告、整车使用说明书、消防车使用说明书及电子版光盘、维修保养手册、整车（底盘）合格证、消防泵、消防炮使用说明书、底盘随车工具和随车器材及易损件清单；操作培训视频，消防车VIN码及发动机号拓印件；所有资料为中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12</w:t>
            </w:r>
          </w:p>
        </w:tc>
        <w:tc>
          <w:tcPr>
            <w:tcW w:w="10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总体要求</w:t>
            </w: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1、所有操作开关、仪表、器材架及车辆均有符合规范的中文防水标识铭牌；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2、加装应急充电、充气装置，全车采用内扣式接口。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3、整车性能符合GB7956、XF39的规定。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4、车用易损件按照1:2随车配备，交车时油水电气处于齐备状态。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5、整车质保期5年，水罐质保10年，底盘出厂日期不早于2022年5月1日。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6、投标时，投标商要提供整车设计效果图，包括整体结构图、三维效果图等。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7、投标时，投标商要提供该车型的国家工信部认证公告或承诺交付时提供国家工信部认证公告。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5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10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auto"/>
                <w:sz w:val="22"/>
                <w:szCs w:val="22"/>
                <w:u w:val="none"/>
              </w:rPr>
            </w:pPr>
          </w:p>
        </w:tc>
        <w:tc>
          <w:tcPr>
            <w:tcW w:w="8119"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auto"/>
                <w:sz w:val="22"/>
                <w:szCs w:val="22"/>
                <w:u w:val="none"/>
              </w:rPr>
            </w:pPr>
            <w:r>
              <w:rPr>
                <w:rFonts w:hint="eastAsia" w:ascii="黑体" w:hAnsi="宋体" w:eastAsia="黑体" w:cs="黑体"/>
                <w:i w:val="0"/>
                <w:iCs w:val="0"/>
                <w:color w:val="auto"/>
                <w:kern w:val="0"/>
                <w:sz w:val="22"/>
                <w:szCs w:val="22"/>
                <w:u w:val="none"/>
                <w:lang w:val="en-US" w:eastAsia="zh-CN" w:bidi="ar"/>
              </w:rPr>
              <w:t>8、按照应急管理部消防救援局最新车辆喷涂标识规定对车身进行喷涂，并对车辆轮毂进行喷涂（颜色为红白相间）。</w:t>
            </w:r>
          </w:p>
        </w:tc>
      </w:tr>
    </w:tbl>
    <w:p>
      <w:pPr>
        <w:pStyle w:val="11"/>
        <w:rPr>
          <w:rFonts w:hint="default"/>
          <w:lang w:val="en-US" w:eastAsia="zh-CN"/>
        </w:rPr>
      </w:pPr>
    </w:p>
    <w:p>
      <w:pPr>
        <w:pStyle w:val="10"/>
        <w:spacing w:before="2"/>
        <w:ind w:left="1117"/>
        <w:rPr>
          <w:b/>
          <w:bCs/>
        </w:rPr>
      </w:pPr>
    </w:p>
    <w:tbl>
      <w:tblPr>
        <w:tblStyle w:val="18"/>
        <w:tblW w:w="930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79"/>
        <w:gridCol w:w="1752"/>
        <w:gridCol w:w="1569"/>
        <w:gridCol w:w="1406"/>
        <w:gridCol w:w="2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标的名称</w:t>
            </w:r>
          </w:p>
        </w:tc>
        <w:tc>
          <w:tcPr>
            <w:tcW w:w="17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购置单位</w:t>
            </w:r>
          </w:p>
        </w:tc>
        <w:tc>
          <w:tcPr>
            <w:tcW w:w="15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载液量（吨）</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举升高度（米）</w:t>
            </w:r>
          </w:p>
        </w:tc>
        <w:tc>
          <w:tcPr>
            <w:tcW w:w="2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b/>
                <w:bCs/>
                <w:i w:val="0"/>
                <w:iCs w:val="0"/>
                <w:color w:val="000000"/>
                <w:kern w:val="0"/>
                <w:sz w:val="21"/>
                <w:szCs w:val="21"/>
                <w:u w:val="none"/>
                <w:lang w:val="en-US" w:eastAsia="zh-CN" w:bidi="ar"/>
              </w:rPr>
              <w:t>举高喷射类消防车（国产底盘）★</w:t>
            </w:r>
          </w:p>
        </w:tc>
        <w:tc>
          <w:tcPr>
            <w:tcW w:w="17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和硕</w:t>
            </w:r>
          </w:p>
        </w:tc>
        <w:tc>
          <w:tcPr>
            <w:tcW w:w="15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≥18</w:t>
            </w:r>
          </w:p>
        </w:tc>
        <w:tc>
          <w:tcPr>
            <w:tcW w:w="2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名称</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技术参数及规格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底盘</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1、国产底盘，比功率≥8；驱动形式：6×4。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2、发动机功率≥320kw，上车脚踏板全部采用鱼鳞式不锈钢材质，用直径60mm钢管将踏板与底盘连接固定。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3、尾气排放满足国Ⅵ以上标准，轮胎为钢丝胎，并配有原装、原尺寸备胎1条。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驾驶室</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1、原装驾驶室，座位是≥2。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①电源总开关安装在驾驶室，切换时有声音提示；预留北斗（GPS）接口和功率≥1000W的逆变器（12V、24V、220v)。②安装360度全景行车记录仪及辅助系统，系统配备超清夜视摄像头和彩色显示屏，显示屏分辨率≥1080P，屏幕尺寸≥7寸，支持分屏、单屏等多种模式，存储卡容量≥128G，可自动分段录制、循环保存。③主副电动车窗，驾驶室翻转具有电动助力系统，采用双缸支撑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3、配备知名品牌车载台，与采购方通信指挥系统配套使用。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取力器</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1、类型：全功率取力器；电磁阀、气动控制；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2、冷却方式：强制水冷；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3、控制方式：驾驶室设有控制开关及工作指示灯。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水液罐</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1、载水量≥10t，载泡沫量≥2t；罐体材质使用316不锈钢板；罐体底板厚度≥4mm，其余厚度≥3mm。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2、水罐、泡沫罐上方设有人孔，并带有快速锁紧和开启装置，内设纵、横防荡板；水罐设有溢水口及带单向阀的补水口；设有排污口及不锈钢球阀；设有数字液位指示器。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3、水罐顶部补水口两个（水、泡沫液），带闷盖，闷盖口径不得小于400MM，车顶进行防滑处理（喷涂防滑磨砂颗粒材质），设有高度为150mm～200mm的防护栏板及锚点固定装置，并具有排水功能。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4、水罐的补水口设计在车身两侧，口径为80mm，左右两侧各2个，补水口设置单项阀。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5、车辆后尾部设有铝合金爬梯。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消防泵和泡沫系统</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1、知名品牌消防泵，流量：≥100L／s，额定压力≥1.0Mpa，7m吸深引水时间≤35s。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2、全自动全工况泡沫比例混合系统，可在1-10%无级自动调节，步进≤0.5%，最大混合液流量≥80L/S（与消防炮流量相匹配），工作压力范围不低于0.7-2.0MPa。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3、泵室加装燃油式暖风机，暖风机功率≥8kw，燃油通过车辆底盘油箱供给，可在驾驶室操作控制。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4、泵室设置电脑控制面板，防护等级≥IP68，配备PTO油门控制系统，并设中文讲解说明，同时在控制面板上设置取力器、后启动按键。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5、整车出液口设置泵室左右两侧≥4个。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喷射臂</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1、采用折叠臂，最大工作高度≥18m，最大工作幅度≥6m，臂架360°回转。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支腿设置</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1、带软腿报警装置和一键回收及展开装置。2、上下车互锁保护装置。3、配备臂架自动对中装置及“一键式”支腿自动调平模式。4、不少于两种以上应急回收装置，其中液压泵应急回收装置为内燃机动力。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消防炮</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1、知名品牌消防炮，射水射程≥70m，泡沫液射程≥50m，流量≥80L/S。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2、操控方式：无线遥控控制，无线遥控距离≥150m，可对炮的仰俯、左右角度、射流形式进行调整，水炮左右旋转180°，俯仰角度不低于-30°—85°。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1979"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器材箱</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车厢（器材箱、泵室及内骨架）全部采用高强度铝合金型材，内饰板采用光面拉丝氧化铝板。车厢的骨架为全铝合金框架焊接式结构，外蒙皮需采用铝合金板粘接技术；车厢内器材骨架需采用铝合金型材搭接结构，内饰板和底板需采用光面拉丝铝合金板材。帘子门：铝合金材质，顶部设有导流槽，密封条全铺设，防雨、防尘密封。配备拉杆式把手，品牌按压锁、所有卷帘门可通用一把钥匙开启；驾驶室内设置帘子门开闭状态指示灯。配备器材固定带及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197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2、内设置照明灯（LED），并设有箱门开启时照明感应开关；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97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3、车顶设置器材箱，铝合金型材，器材箱与车顶固定牢靠，可拆卸。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197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4、脚踏板：铝合金材质，可承重 ≥300kg，采用机械弹簧加隐藏式锁销，踏板表面采用≥2mm磨砂防滑材质。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电气系统</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1、驾驶室顶部前端装配有红色长排LED警灯；车顶两侧及车尾装配红色频闪警灯；警灯警报功率≥200W，车辆两侧及后方，加装≥80W的LED长条照明射灯，左右各2个，后侧1个，所有控制开关设在驾驶室内。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2、警报器、警灯、电台、器材箱照明等上装部分电气为独立式附加电路，控制键安装在驾驶室内，所有操作按钮有中文防水标识。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电气系统线路改装要求：①加装应急充电、充气装置。②整车电路标识清楚，每根电线都具备单独编号，整车电气系统线路采用铜芯或铜合金芯电线，正负电极线路颜色区分明显，改装线路具有防水、防尘性能，各线路捆扎整齐，线路铺设位置便于检查维修。③改装线路裸露在车体外部、接近热源、靠近油箱等情况下应加装隔板或相应的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979"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液压系统</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1、液压系统均采用知名品牌液压泵、电控比例阀、平衡阀、多路阀、负载敏感控制阀、密封元件，控制元件、液压锁液压硬管采用高精镀锌无缝钢管制作。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97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2、液压油箱设置有滤油器，液位液温计，方便液压油检查和更换。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979"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油箱</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配有油箱及管路加热保温系统。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9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随车器材</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1、泡沫输转泵流量≥10L/S及其配套水带；2、80mm水带≥200m；3、65mm水带≥200m；4、65mm异型和80mm-65mm异径接口各4个；5、泡沫炮头1个；6、滤水器1个；7、轮楔两副；8、多功能水枪2把。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979"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随车资料</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国家工信部认证公告、整车使用说明书、消防车使用说明书及电子版光盘、维修保养手册、整车（底盘）合格证、消防泵、消防炮使用说明书、底盘随车工具和随车器材及易损件清单；操作培训视频，消防车VIN码及发动机号拓印件；所有资料为中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1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总体要求</w:t>
            </w: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1、所有操作开关、仪表、器材架及车辆均有符合规范的中文防水标识铭牌；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2、加装应急充电、充气装置，全车采用内扣式接口。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3、整车性能符合GB7956、XF39的规定。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4、车用易损件按照1:2随车配备，交车时油水电气处于齐备状态。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5、整车质保期5年，水罐质保10年，底盘出厂日期不早于2022年5月1日。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6、投标时，投标商要提供整车设计效果图，包括整体结构图、三维效果图等。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7、投标时，投标商要提供该车型的国家工信部认证公告或承诺交付时提供国家工信部认证公告。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1"/>
                <w:szCs w:val="21"/>
                <w:u w:val="none"/>
              </w:rPr>
            </w:pPr>
          </w:p>
        </w:tc>
        <w:tc>
          <w:tcPr>
            <w:tcW w:w="7327"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8、按照应急管理部消防救援局最新车辆喷涂标识规定对车身进行喷涂，并对车辆轮毂进行喷涂（颜色为红白相间）。</w:t>
            </w:r>
          </w:p>
        </w:tc>
      </w:tr>
    </w:tbl>
    <w:p>
      <w:pPr>
        <w:pStyle w:val="10"/>
        <w:spacing w:before="2"/>
        <w:ind w:left="1117"/>
      </w:pPr>
    </w:p>
    <w:p/>
    <w:p>
      <w:pPr>
        <w:pStyle w:val="10"/>
      </w:pPr>
    </w:p>
    <w:tbl>
      <w:tblPr>
        <w:tblStyle w:val="18"/>
        <w:tblW w:w="1002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57"/>
        <w:gridCol w:w="1375"/>
        <w:gridCol w:w="1924"/>
        <w:gridCol w:w="1928"/>
        <w:gridCol w:w="1928"/>
        <w:gridCol w:w="24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包号</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标的名称</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购置单位</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载液量（吨）</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举升高度（米）</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4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w:t>
            </w:r>
          </w:p>
        </w:tc>
        <w:tc>
          <w:tcPr>
            <w:tcW w:w="13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登高平台类消防车（进口底盘）★</w:t>
            </w:r>
          </w:p>
        </w:tc>
        <w:tc>
          <w:tcPr>
            <w:tcW w:w="1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和硕</w:t>
            </w: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9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≥32</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序号</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名称</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技术参数及规格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底盘</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1、国际知名底盘，比功率≥12，驱动形式：4×2。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2、发动机功率≥210kw，上车脚踏板全部采用鱼鳞式不锈钢材质，用直径60mm钢管将踏板与底盘连接固定。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3、尾气排放满足国Ⅵ以上标准，轮胎为钢丝胎，并配有原装、原尺寸备胎1条。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驾驶室</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1、原装驾驶室，座位是≥2。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①电源总开关安装在驾驶室，切换时有声音提示；预留北斗（GPS）接口和功率≥1000W的逆变器（12V、24V、220v)。②安装360度全景行车记录仪及辅助系统，系统配备超清夜视摄像头和彩色显示屏，显示屏分辨率≥1080P，屏幕尺寸≥7寸，支持分屏、单屏等多种模式，存储卡容量≥128G，可自动分段录制、循环保存。③主副电动车窗，驾驶室翻转具有电动助力系统，采用双缸支撑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3、配备知名品牌车载台，与采购方通信指挥系统配套使用。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取力器</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1、类型：全功率取力器或底盘原装变速箱侧取力器；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2、冷却方式：强制水冷；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3、控制方式：驾驶室设有控制开关及工作指示灯。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4</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臂架系统</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1、最大工作高度：≥32m。最大工作幅度≥20；最大工作荷载≥500kg。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5</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支腿设置</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1、带软腿报警装置和一键回收及展开装置。2、上下车互锁保护装置。3、配备臂架自动对中装置及“一键式”支腿自动调平模式。4、不少于两种以上应急回收装置，其中液压泵应急回收装置为内燃机动力。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6</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消防炮</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1、知名品牌消防炮，射水射程≥65m，泡沫液射程≥60m，流量≥80L/S。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Style w:val="27"/>
                <w:sz w:val="24"/>
                <w:szCs w:val="24"/>
                <w:lang w:val="en-US" w:eastAsia="zh-CN" w:bidi="ar"/>
              </w:rPr>
              <w:t>2、操控方式：无线遥控控制，无线遥控距离≥150m，可对炮的仰俯、左右角度、射流形式进行调整，水炮左右旋转</w:t>
            </w:r>
            <w:r>
              <w:rPr>
                <w:rStyle w:val="28"/>
                <w:sz w:val="24"/>
                <w:szCs w:val="24"/>
                <w:lang w:val="en-US" w:eastAsia="zh-CN" w:bidi="ar"/>
              </w:rPr>
              <w:t>≧</w:t>
            </w:r>
            <w:r>
              <w:rPr>
                <w:rStyle w:val="27"/>
                <w:sz w:val="24"/>
                <w:szCs w:val="24"/>
                <w:lang w:val="en-US" w:eastAsia="zh-CN" w:bidi="ar"/>
              </w:rPr>
              <w:t>90°，俯仰角度不低于-30°—45°。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57"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7</w:t>
            </w:r>
          </w:p>
        </w:tc>
        <w:tc>
          <w:tcPr>
            <w:tcW w:w="1375"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器材箱</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车厢（器材箱、泵室及内骨架）全部采用高强度铝合金型材，内饰板采用光面拉丝氧化铝板。车厢的骨架为全铝合金框架焊接式结构，外蒙皮需采用铝合金板粘接技术；车厢内器材骨架需采用铝合金型材搭接结构，内饰板和底板需采用光面拉丝铝合金板材。帘子门：铝合金材质，顶部设有导流槽，密封条全铺设，防雨、防尘密封。配备拉杆式把手，品牌按压锁、所有卷帘门可通用一把钥匙开启；驾驶室内设置帘子门开闭状态指示灯。配备器材固定带及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57"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2、内设置照明灯（LED），并设有箱门开启时照明感应开关；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3、脚踏板：铝合金材质，可承重 ≥300kg，采用机械弹簧加隐藏式锁销，踏板表面采用≥2mm磨砂防滑材质。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8</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电气系统</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驾驶室顶部前端装配有红色长排LED警灯或2个红色LED频闪圆警灯；车顶两侧及车尾装配红色频闪警灯；警灯警报功率≥100W，车辆两侧及后方，加装≥80W的LED长条照明射灯，左右各2个，后侧1个，所有控制开关设在驾驶室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2、警报器、警灯、电台、器材箱照明等上装部分电气为独立式附加电路，控制键安装在驾驶室内，所有操作按钮有中文防水标识。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电气系统线路改装要求：①加装应急充电、充气装置。②整车电路标识清楚，每根电线都具备单独编号，整车电气系统线路采用铜芯或铜合金芯电线，正负电极线路颜色区分明显，改装线路具有防水、防尘性能，各线路捆扎整齐，线路铺设位置便于检查维修。③改装线路裸露在车体外部、接近热源、靠近油箱等情况下应加装隔板或相应的保护。④全车采用线束及防护等级IP67接插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457"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9</w:t>
            </w:r>
          </w:p>
        </w:tc>
        <w:tc>
          <w:tcPr>
            <w:tcW w:w="1375"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液压系统</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1、液压系统均采用国际知名品牌液压泵、电控比例阀、平衡阀、多路阀、负载敏感控制阀、密封元件，控制元件、液压锁液压硬管采用高精镀锌无缝钢管制作。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457"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2、液压油箱设置有滤油器，液位液温计，方便液压油检查和更换。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5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10</w:t>
            </w:r>
          </w:p>
        </w:tc>
        <w:tc>
          <w:tcPr>
            <w:tcW w:w="137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油箱</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配有油箱及管路加热保温系统。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11</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随车器材</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1、支腿垫板；2、80mm水带≥200m；3、65mm水带≥200m；4、65mm异型和80mm-65mm异径接口各4个；5、泡沫炮头1个；6、滤水器1个；7、轮楔两副；8、多功能水枪2把。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57"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12</w:t>
            </w:r>
          </w:p>
        </w:tc>
        <w:tc>
          <w:tcPr>
            <w:tcW w:w="137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随车资料</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国家工信部认证公告、整车使用说明书、消防车使用说明书及电子版光盘、维修保养手册、整车（底盘）合格证、消防泵、消防炮使用说明书、底盘随车工具和随车器材及易损件清单；操作培训视频，消防车VIN码及发动机号拓印件；所有资料为中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4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13</w:t>
            </w:r>
          </w:p>
        </w:tc>
        <w:tc>
          <w:tcPr>
            <w:tcW w:w="1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总体要求</w:t>
            </w: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1、所有操作开关、仪表、器材架及车辆均有符合规范的中文防水标识铭牌；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2、加装应急充电、充气装置，全车采用内扣式接口。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3、整车性能符合GB7956、XF39的规定。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4、车用易损件按照1:2随车配备，交车时油水电气处于齐备状态。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5、整车质保期5年，底盘出厂日期不早于2022年5月1日。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6、投标时，投标商要提供整车设计效果图，包括整体结构图、三维效果图等。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7、投标时，投标商要提供该车型的国家工信部认证公告或承诺交付时提供国家工信部认证公告。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4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1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黑体" w:hAnsi="宋体" w:eastAsia="黑体" w:cs="黑体"/>
                <w:i w:val="0"/>
                <w:iCs w:val="0"/>
                <w:color w:val="000000"/>
                <w:sz w:val="24"/>
                <w:szCs w:val="24"/>
                <w:u w:val="none"/>
              </w:rPr>
            </w:pPr>
          </w:p>
        </w:tc>
        <w:tc>
          <w:tcPr>
            <w:tcW w:w="819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8、按照应急管理部消防救援局最新车辆喷涂标识规定对车身进行喷涂，并对车辆轮毂进行喷涂（颜色为红白相间）。</w:t>
            </w:r>
          </w:p>
        </w:tc>
      </w:tr>
    </w:tbl>
    <w:p>
      <w:pPr>
        <w:pStyle w:val="10"/>
        <w:ind w:left="0" w:leftChars="0" w:firstLine="0" w:firstLineChars="0"/>
      </w:pPr>
    </w:p>
    <w:p>
      <w:pPr>
        <w:pStyle w:val="21"/>
      </w:pPr>
    </w:p>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ind w:firstLine="1679" w:firstLineChars="418"/>
        <w:rPr>
          <w:rFonts w:hint="eastAsia"/>
          <w:b/>
          <w:bCs/>
          <w:sz w:val="40"/>
          <w:szCs w:val="40"/>
        </w:rPr>
      </w:pPr>
      <w:r>
        <w:rPr>
          <w:rFonts w:hint="eastAsia"/>
          <w:b/>
          <w:bCs/>
          <w:sz w:val="40"/>
          <w:szCs w:val="40"/>
          <w:lang w:val="en-US" w:eastAsia="zh-CN"/>
        </w:rPr>
        <w:t xml:space="preserve">第二包清单 </w:t>
      </w:r>
      <w:r>
        <w:rPr>
          <w:rFonts w:hint="eastAsia"/>
          <w:b/>
          <w:bCs/>
          <w:sz w:val="40"/>
          <w:szCs w:val="40"/>
        </w:rPr>
        <w:t>：消防艇、动力救生圈</w:t>
      </w:r>
    </w:p>
    <w:tbl>
      <w:tblPr>
        <w:tblStyle w:val="18"/>
        <w:tblW w:w="102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0"/>
        <w:gridCol w:w="2565"/>
        <w:gridCol w:w="855"/>
        <w:gridCol w:w="63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5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装备</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6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1</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消防艇</w:t>
            </w:r>
            <w:r>
              <w:rPr>
                <w:rFonts w:hint="eastAsia" w:ascii="黑体" w:eastAsia="黑体" w:cs="黑体"/>
                <w:b/>
                <w:bCs/>
                <w:i w:val="0"/>
                <w:iCs w:val="0"/>
                <w:color w:val="000000"/>
                <w:kern w:val="0"/>
                <w:sz w:val="24"/>
                <w:szCs w:val="24"/>
                <w:u w:val="none"/>
                <w:lang w:val="en-US" w:eastAsia="zh-CN" w:bidi="ar"/>
              </w:rPr>
              <w:t xml:space="preserve">  </w:t>
            </w:r>
            <w:r>
              <w:rPr>
                <w:rFonts w:hint="eastAsia" w:ascii="黑体" w:hAnsi="宋体" w:eastAsia="黑体" w:cs="黑体"/>
                <w:b/>
                <w:bCs/>
                <w:i w:val="0"/>
                <w:iCs w:val="0"/>
                <w:color w:val="000000"/>
                <w:kern w:val="0"/>
                <w:sz w:val="24"/>
                <w:szCs w:val="24"/>
                <w:u w:val="none"/>
                <w:lang w:val="en-US" w:eastAsia="zh-CN" w:bidi="ar"/>
              </w:rPr>
              <w:t>★</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1</w:t>
            </w:r>
          </w:p>
        </w:tc>
        <w:tc>
          <w:tcPr>
            <w:tcW w:w="63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r>
              <w:rPr>
                <w:rStyle w:val="29"/>
                <w:lang w:val="en-US" w:eastAsia="zh-CN" w:bidi="ar"/>
              </w:rPr>
              <w:t>船长：10-13.8m 船宽：</w:t>
            </w:r>
            <w:r>
              <w:rPr>
                <w:rStyle w:val="30"/>
                <w:lang w:val="en-US" w:eastAsia="zh-CN" w:bidi="ar"/>
              </w:rPr>
              <w:t>2.8-3.5m</w:t>
            </w:r>
            <w:r>
              <w:rPr>
                <w:rStyle w:val="31"/>
                <w:lang w:val="en-US" w:eastAsia="zh-CN" w:bidi="ar"/>
              </w:rPr>
              <w:t xml:space="preserve"> </w:t>
            </w:r>
            <w:r>
              <w:rPr>
                <w:rStyle w:val="30"/>
                <w:lang w:val="en-US" w:eastAsia="zh-CN" w:bidi="ar"/>
              </w:rPr>
              <w:t>船体</w:t>
            </w:r>
            <w:r>
              <w:rPr>
                <w:rStyle w:val="29"/>
                <w:lang w:val="en-US" w:eastAsia="zh-CN" w:bidi="ar"/>
              </w:rPr>
              <w:t>材质：玻璃钢 发动机：150-200马力四冲程发动机2台  净吨位：≥4吨，吃水 ≥0.55 米 航速：≥45Km/h  续航里程：≥180海里  定员：10-14人。配置：玻璃钢船体， 空调：1.5P 船舱  舱门 4冲程汽油机2台  主机蓄电池 易清洁内饰 船舱排水泵 沙发座椅 音乐播放器 甚高频 磁罗经 舷窗 茶桌 地板 抽屉及储物空间  驾驶台 液压方向系统 风挡玻璃 卫生间 洗手池 电动马桶 污水泵  照明系统 救生衣 灭火器 锚 消防桶 消防斧 救生圈  救生信号   防撞球  警灯、消防泵射水距离≥30M。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90" w:hRule="atLeast"/>
        </w:trPr>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2</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水上无线遥控智能动力救生圈</w:t>
            </w:r>
            <w:r>
              <w:rPr>
                <w:rFonts w:hint="eastAsia" w:ascii="黑体" w:eastAsia="黑体" w:cs="黑体"/>
                <w:b/>
                <w:bCs/>
                <w:i w:val="0"/>
                <w:iCs w:val="0"/>
                <w:color w:val="000000"/>
                <w:kern w:val="0"/>
                <w:sz w:val="24"/>
                <w:szCs w:val="24"/>
                <w:u w:val="none"/>
                <w:lang w:val="en-US" w:eastAsia="zh-CN" w:bidi="ar"/>
              </w:rPr>
              <w:t xml:space="preserve">  </w:t>
            </w:r>
            <w:r>
              <w:rPr>
                <w:rFonts w:hint="eastAsia" w:ascii="黑体" w:hAnsi="宋体" w:eastAsia="黑体" w:cs="黑体"/>
                <w:b/>
                <w:bCs/>
                <w:i w:val="0"/>
                <w:iCs w:val="0"/>
                <w:color w:val="000000"/>
                <w:kern w:val="0"/>
                <w:sz w:val="24"/>
                <w:szCs w:val="24"/>
                <w:u w:val="none"/>
                <w:lang w:val="en-US" w:eastAsia="zh-CN" w:bidi="ar"/>
              </w:rPr>
              <w:t>★</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1</w:t>
            </w:r>
          </w:p>
        </w:tc>
        <w:tc>
          <w:tcPr>
            <w:tcW w:w="63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1、材质：采用长寿命、耐紫外线、耐油的滚塑材料一体成型。2、机身尺寸： ≤970mm*780mm*200mm。3、产品重量：≤15kg。4、水上拖力：≥270 kg。5、遥控距离：≥1000米。6、空载速度：≥21 km/h。7、载人速度：≥10 km/h。8、浮力：≥680N。9、电池充电时间：小于1小时。10、续航时间：≥60分钟。11、动力防护罩：防护罩的间距为≤5.2mm, 手指无法触摸桨叶位置。12、双面行驶：正反两面皆可吸水航行。13、防水等级： IP67。14、抛投高度： ≥18m。15、一键返航：使用一键返航功能，能自动返航到起始位置，误差半径在1.5米以内。16、 电池安全保护：具有过充、过放、过流、高温及短路保护。17、遥控器：具有主机和遥控的电量显示，具备低电量警示功能，确保产品正常返航。18、机身把手：把手和机身为一体化，位置位于机身两侧，把手材质与机身材质为同一材质。19、绳索：机身两侧各有3个凸出来的小孔结合把手用来固定绳索，两侧绳索可用来提供更多的救援。20、失联返航：遥控与主机信号失联4秒，主机会自动返航到定点的位置，误差半径小于1.5米。21、动力配置：4 组泵喷式推进器。22、夜间辅助灯：具有红外爆闪灯进行夜间救援警示，红外爆闪灯隐藏于机身壳内，不凸出于设备主体外表面。注：提供船级社证书或检测报告</w:t>
            </w:r>
          </w:p>
        </w:tc>
      </w:tr>
    </w:tbl>
    <w:p>
      <w:pPr>
        <w:pStyle w:val="2"/>
        <w:ind w:firstLine="1343" w:firstLineChars="418"/>
        <w:rPr>
          <w:rFonts w:hint="eastAsia"/>
          <w:b/>
          <w:bCs/>
          <w:sz w:val="32"/>
          <w:szCs w:val="32"/>
        </w:rPr>
      </w:pPr>
    </w:p>
    <w:p/>
    <w:p>
      <w:pPr>
        <w:pStyle w:val="16"/>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pStyle w:val="17"/>
        <w:rPr>
          <w:rFonts w:hint="eastAsia"/>
          <w:b/>
          <w:bCs/>
          <w:sz w:val="40"/>
          <w:szCs w:val="44"/>
          <w:lang w:val="en-US" w:eastAsia="zh-CN"/>
        </w:rPr>
      </w:pPr>
      <w:r>
        <w:rPr>
          <w:rFonts w:hint="eastAsia"/>
          <w:b/>
          <w:bCs/>
          <w:sz w:val="40"/>
          <w:szCs w:val="44"/>
          <w:lang w:val="en-US" w:eastAsia="zh-CN"/>
        </w:rPr>
        <w:t>第三包清单：</w:t>
      </w:r>
    </w:p>
    <w:tbl>
      <w:tblPr>
        <w:tblStyle w:val="18"/>
        <w:tblW w:w="1006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4"/>
        <w:gridCol w:w="705"/>
        <w:gridCol w:w="1039"/>
        <w:gridCol w:w="915"/>
        <w:gridCol w:w="694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0065" w:type="dxa"/>
            <w:gridSpan w:val="5"/>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40"/>
                <w:szCs w:val="40"/>
                <w:u w:val="none"/>
              </w:rPr>
            </w:pPr>
            <w:r>
              <w:rPr>
                <w:rFonts w:hint="eastAsia" w:ascii="黑体" w:hAnsi="宋体" w:eastAsia="黑体" w:cs="黑体"/>
                <w:b/>
                <w:bCs/>
                <w:i w:val="0"/>
                <w:iCs w:val="0"/>
                <w:color w:val="000000"/>
                <w:kern w:val="0"/>
                <w:sz w:val="40"/>
                <w:szCs w:val="40"/>
                <w:u w:val="none"/>
                <w:lang w:val="en-US" w:eastAsia="zh-CN" w:bidi="ar"/>
              </w:rPr>
              <w:t>包三：（1）破拆工具组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序号</w:t>
            </w:r>
          </w:p>
        </w:tc>
        <w:tc>
          <w:tcPr>
            <w:tcW w:w="17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装备</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数量</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22"/>
                <w:szCs w:val="22"/>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破拆救援工具组套装</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锂电池凿岩机</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正常工作，防水防震；双开关安全启动，安全可靠；采用无刷马达；电池电量降低时工具输出性能不会随之衰减，具备软启动功能；                     技术参数：电压≥72V，电池容量≥6Ah ，充电时间≤90min，工作时间≥60min，夹头尺寸≤28mm，冲击能量≥64J，振动5.17≤m/s²，冲击率 ≥1300bom， 电池重量（含电池）≤29.6kg，便携小推车重量≤15.7kg标准配置：28mm尖凿头1根；28mm平凿头1根，便携小推车1台，电池2块，充电器1个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锂电池金属圆锯</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 整机具备电子刹车功能及碎屑自动收集功能，操作更安全。                                    技术参数：电压≤18V，电池容量≥12Ah ，充电时间≤130min，工作时间≥60min，空载速度≥4000 rpm，最大切割深度≥66mm，锯片直径≥203mm重量（不含电池）≤5.85 kg配置：锂电池 2 块，充电器1个，内六角扳手1把，尼龙工具袋1个，高性能金属锯片1片。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锂电池钻孔机</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正常工作，防水防震；双开关安全启动，安全可靠；采用无刷马达；具备电池电量显示功能；钻孔有安全离合保护； 钻机自身配备LED水平仪和进给力指示灯技术参数：电压≥72V，电池容量≥3Ah ，充电时间≤55min，工作时间≥30min，空载转速≥1550RPM，最大钻孔直径≥152mm，重量（含电池）≤10.3，钻架≤13.2kg，钻架具备密封胶圈配合真空吸盘支持真空泵吸附固定功能标准配置工具；带滚轮的塑料工具箱；快速水管接头1个；A-ROD转接头1个；扳机锁定钥匙1个；充电器1个，电池2块，钻架1个推荐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锂电池手持无齿锯</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正常工作，防水防震；双开关安全启动，安全可靠；采用无刷马达；具备电子刹车功能，操作更安全                                      技术参数：电压≤18V，电池容量≥12Ah ，充电时间≤130min，工作时间≥60min，空载速度≥6600 rpm，最大切割深度≥85mm，锯片直径≥230mm，振动级别≤1.81m/s²，重量（含电池）≤6.2 kg配置：锂电池 2 块，充电器1个，随机专用工具1附， 快速水管连接器1个; 金刚石锯片1片;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5</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锂电池无齿锯</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正常工作，防水防震；双开关安全启动，安全可靠；采用无刷马达；具备电池电量显示功能； 技术参数：电压≥72V，电池容量≥6Ah ，充电时间≤90min，工作时间≥30min，锯片直径≥350 mm，锯片空载速度≤5370 rpm，最大切割深度≥125mm，重量（含电池）≤ 16.7Kg。配置：快充适配器1个、锂电池2块、350mm混凝土金刚石锯片1片、350mm金属锯片1片，随机专用工具1套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锂电池电锤</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正常工作，防水防震；双开关安全启动，安全可靠；采用无刷马达；整机具备自停防卡死功能，有效防止操作过程中的安全性。                            技术参数：电压≤18V，电池容量≥12Ah ，充电时间≤130min，工作时间≥60min，空载转速≥380 rpm，冲击频率≥2900 bpm，冲击能量≥11J，最大钻孔直径（混凝土）≥45mm，钻孔振动级别≤8.6 m/s²，凿击振动级别≤9.4 m/s2，重量（不含电池）≤10.4，标准配置：工具1个; 减振副手柄1个；塑料工具箱1个；电池2块；充电器1个；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7</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锂电池链锯</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 正常工作，防水防震；双开关安全启动，安全可靠；采用无刷马达；                                     技术参数：电压≤18V，电池容量≥12Ah ，充电时间≤130min，工作时间≥60min，链锯速度≥12.4m/s，最大切割深度≥380mm，导板长度≥406mm，重量（含电池）≤4.7 kg配置：锂电池 2 块，充电器1个，专用工具1个；链锯条1根；导板1块；导板护罩1个；链锯润滑液1瓶；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锂电池马刀锯</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排放优势，不受地理位置限制。锂电池可在≤-20℃正常工作，防水防震；双开关安全启动，安全可靠；采用无刷马达；五档速度调及摆动/直线2档切割模式，使得应用中性能更稳定技术参数：电压≤18V，电池容量≥12Ah ，充电时间≤130min，工作时间≥60min，空载速度≥3000 rpm，往复行程：≥32mm，最大切割深度（铝材）≥25mm，最大切割深度（金属管）≥150mm，最大切割深度（钢材）≥20mm，最大切割深度（木材）≥300mm，重量（不含电池）≤ 4Kg。配置：18V 12Ah 锂电池 2 块，充电器1个，内六角扳手1把，塑料工具箱1个，高性能金属锯片1片，石材锯片1片，木材锯片1片。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0" w:hRule="atLeast"/>
        </w:trPr>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9</w:t>
            </w:r>
          </w:p>
        </w:tc>
        <w:tc>
          <w:tcPr>
            <w:tcW w:w="17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电动破拆工具组</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际知名品牌；整套装备包括电动扩张器、电动剪切钳，电动顶杆1个，电池3块，充电器2个。具备电池残量指示灯，由充电器插头，快速接头处有LED照明灯。电动剪切钳：工具一键开关,开关处有两个LED灯，LED灯与液压系统共享电源，电池插口处带发光源。工具手控阀均采用星状设计，任何角度一个手指头即可操作。技术参数：剪断力≥680kN,剪切圆钢直径≥35mm,最大开口距离≥160mm，重量≤19kg，NFPA剪切等级≥A7/B8/C7/D7/E7。须提供EN、NFPA认证。电动扩张器：工具一键开关。开关处有两个LED灯，LED灯与液压系统共享电源,电池插口处带发光源方便夜间更换电池。工具手控阀均采用星状设计，任何角度一个手指头即可操作。扩张臂下内置了挤压盘,还有带刺点菱形颗粒结构的“鲨鱼牙齿”扩张头。技术参数：扩张力≥836kN，NFPA报告扩张力39kN-63kN，扩张距离≥600mm，牵拉力≥56kN；NFPA报告牵拉力23kN-43kN，牵拉距离≥440mm，挤压力≥144kN，重量≤19kg。电动顶杆：机身及工具头部一体式设计，无需外接动力源和油管。交直流两用，电池和电源线均可使用。电源线的使用可使工具救援无时间限制。工具一键开关。开关处有两个LED灯，LED灯与液压系统共享电源，电池插口处带发光源。工具手控阀均采用星状设计，任何角度一个手指头即可操作。技术参数：活塞行程≥387mm，撑顶力≥127kN，闭合长度≤597mm，伸出长度≥984mm，重量≤18kg。</w:t>
            </w:r>
          </w:p>
        </w:tc>
      </w:tr>
    </w:tbl>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rPr>
          <w:rFonts w:hint="eastAsia"/>
          <w:b/>
          <w:bCs/>
          <w:sz w:val="36"/>
          <w:szCs w:val="40"/>
          <w:lang w:val="en-US" w:eastAsia="zh-CN"/>
        </w:rPr>
      </w:pPr>
    </w:p>
    <w:p>
      <w:pPr>
        <w:pStyle w:val="17"/>
        <w:ind w:left="0" w:leftChars="0" w:firstLine="0" w:firstLineChars="0"/>
      </w:pPr>
    </w:p>
    <w:p>
      <w:pPr>
        <w:pStyle w:val="17"/>
      </w:pPr>
    </w:p>
    <w:p>
      <w:pPr>
        <w:pStyle w:val="17"/>
      </w:pPr>
    </w:p>
    <w:tbl>
      <w:tblPr>
        <w:tblStyle w:val="18"/>
        <w:tblW w:w="8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5"/>
        <w:gridCol w:w="921"/>
        <w:gridCol w:w="585"/>
        <w:gridCol w:w="66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8829" w:type="dxa"/>
            <w:gridSpan w:val="4"/>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40"/>
                <w:szCs w:val="40"/>
                <w:u w:val="none"/>
              </w:rPr>
            </w:pPr>
            <w:r>
              <w:rPr>
                <w:rFonts w:hint="eastAsia" w:ascii="黑体" w:hAnsi="宋体" w:eastAsia="黑体" w:cs="黑体"/>
                <w:b/>
                <w:bCs/>
                <w:i w:val="0"/>
                <w:iCs w:val="0"/>
                <w:color w:val="000000"/>
                <w:kern w:val="0"/>
                <w:sz w:val="40"/>
                <w:szCs w:val="40"/>
                <w:u w:val="none"/>
                <w:lang w:val="en-US" w:eastAsia="zh-CN" w:bidi="ar"/>
              </w:rPr>
              <w:t>包三：（2）单兵救援装备单人配置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序号</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装备</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数量</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救援安全带</w:t>
            </w:r>
            <w:r>
              <w:rPr>
                <w:rFonts w:hint="eastAsia" w:ascii="黑体" w:hAnsi="宋体" w:eastAsia="黑体" w:cs="黑体"/>
                <w:i w:val="0"/>
                <w:iCs w:val="0"/>
                <w:color w:val="000000"/>
                <w:kern w:val="0"/>
                <w:sz w:val="22"/>
                <w:szCs w:val="22"/>
                <w:u w:val="none"/>
                <w:lang w:val="en-US" w:eastAsia="zh-CN" w:bidi="ar"/>
              </w:rPr>
              <w:t>★</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五挂点全身安全带，内置一体式胸式上升器，腹部连接点可打开，方便连接挽索、上升器等；半硬式、宽大的腰带和腿环，使用透气泡棉作内衬，提高悬挂时的舒适度；配有双保险卡扣。腿环备有自动上锁扣，后背(腰带和腿环之间)带有自锁扣；配有五个备有保护套的成形工具环，两个工具挂环槽，两个工具包连接点，配有携带工具架凹槽，配有预设型胸式上升器的链接，使上升承载受力时更加安全。腰带70-93cm，腿环47 - 62cm，身高165 - 185cm；重</w:t>
            </w:r>
            <w:r>
              <w:rPr>
                <w:rStyle w:val="33"/>
                <w:sz w:val="20"/>
                <w:szCs w:val="20"/>
                <w:lang w:val="en-US" w:eastAsia="zh-CN" w:bidi="ar"/>
              </w:rPr>
              <w:t>≧</w:t>
            </w:r>
            <w:r>
              <w:rPr>
                <w:rStyle w:val="32"/>
                <w:sz w:val="20"/>
                <w:szCs w:val="20"/>
                <w:lang w:val="en-US" w:eastAsia="zh-CN" w:bidi="ar"/>
              </w:rPr>
              <w:t>1900g；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手持上升器★</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用于绳索上升，铸模的人体工程学把手当在单手或双手拖拉的时候能提供舒适和有力的抓握，宽大的下连接孔能容易的连接挽索锁扣和脚踏圈的锁扣，铸模双密度把手备有食指抓握区域同时宽阔的底部支撑可防止手滑脱，人体工程学的上部结构方便双绳抓握，可开启的安全凸轮让手式上升器在绳索的任何位置都可以用单手打开或安装，配戴手套依然操作自如。材料：铝，不锈钢，塑料和橡胶；重量：</w:t>
            </w:r>
            <w:r>
              <w:rPr>
                <w:rStyle w:val="33"/>
                <w:sz w:val="20"/>
                <w:szCs w:val="20"/>
                <w:lang w:val="en-US" w:eastAsia="zh-CN" w:bidi="ar"/>
              </w:rPr>
              <w:t>≧</w:t>
            </w:r>
            <w:r>
              <w:rPr>
                <w:rStyle w:val="32"/>
                <w:sz w:val="20"/>
                <w:szCs w:val="20"/>
                <w:lang w:val="en-US" w:eastAsia="zh-CN" w:bidi="ar"/>
              </w:rPr>
              <w:t>165g绳索兼容：直径8-13mm颜色：黄色（右手）。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9"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可调挽索</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30</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单臂可调节挽索，采用动力绳挽索配合调节块,能带来一定的缓冲能力，调节块能进行精确的调节，采用橡胶套能固定锁扣的位置，让锁扣始终处于主轴状态，最大长度</w:t>
            </w:r>
            <w:r>
              <w:rPr>
                <w:rStyle w:val="33"/>
                <w:sz w:val="20"/>
                <w:szCs w:val="20"/>
                <w:lang w:val="en-US" w:eastAsia="zh-CN" w:bidi="ar"/>
              </w:rPr>
              <w:t>≧</w:t>
            </w:r>
            <w:r>
              <w:rPr>
                <w:rStyle w:val="32"/>
                <w:sz w:val="20"/>
                <w:szCs w:val="20"/>
                <w:lang w:val="en-US" w:eastAsia="zh-CN" w:bidi="ar"/>
              </w:rPr>
              <w:t xml:space="preserve">100cm, </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w:t>
            </w:r>
            <w:r>
              <w:rPr>
                <w:rStyle w:val="32"/>
                <w:sz w:val="20"/>
                <w:szCs w:val="20"/>
                <w:lang w:val="en-US" w:eastAsia="zh-CN" w:bidi="ar"/>
              </w:rPr>
              <w:t>85g。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脚式上升器防脱扣</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脚式上升器的防脱块，有助于在绳索上升期间将绳索保持在脚式上升器里面，防止绳索脱出。分左右脚两个版本。重量</w:t>
            </w:r>
            <w:r>
              <w:rPr>
                <w:rStyle w:val="33"/>
                <w:sz w:val="20"/>
                <w:szCs w:val="20"/>
                <w:lang w:val="en-US" w:eastAsia="zh-CN" w:bidi="ar"/>
              </w:rPr>
              <w:t>≧</w:t>
            </w:r>
            <w:r>
              <w:rPr>
                <w:rStyle w:val="32"/>
                <w:sz w:val="20"/>
                <w:szCs w:val="20"/>
                <w:lang w:val="en-US" w:eastAsia="zh-CN" w:bidi="ar"/>
              </w:rPr>
              <w:t>25g。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下降器★</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小型自动制停下降器， 手柄能够自动回弹，侧板带有可开启门，可在连接状态下打开，采用了钢制侧板摩擦唇和侧边摩擦槽，更耐用。绳索直径10-11.5mm，可使用9-11mm动力绳，最大工作负</w:t>
            </w:r>
            <w:r>
              <w:rPr>
                <w:rFonts w:hint="eastAsia" w:ascii="宋体" w:hAnsi="宋体" w:eastAsia="宋体" w:cs="宋体"/>
                <w:i w:val="0"/>
                <w:iCs w:val="0"/>
                <w:color w:val="000000"/>
                <w:kern w:val="0"/>
                <w:sz w:val="20"/>
                <w:szCs w:val="20"/>
                <w:u w:val="none"/>
                <w:lang w:val="en-US" w:eastAsia="zh-CN" w:bidi="ar"/>
              </w:rPr>
              <w:t>荷</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200kg，重量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4</w:t>
            </w:r>
            <w:r>
              <w:rPr>
                <w:rStyle w:val="32"/>
                <w:sz w:val="20"/>
                <w:szCs w:val="20"/>
                <w:lang w:val="en-US" w:eastAsia="zh-CN" w:bidi="ar"/>
              </w:rPr>
              <w:t>00g。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不锈钢快挂</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不锈钢直门快挂单锁，不锈钢材质更加耐磨，强度≧16kN,锁门，</w:t>
            </w:r>
            <w:r>
              <w:rPr>
                <w:rFonts w:hint="eastAsia" w:ascii="宋体" w:hAnsi="宋体" w:eastAsia="宋体" w:cs="宋体"/>
                <w:i w:val="0"/>
                <w:iCs w:val="0"/>
                <w:color w:val="000000"/>
                <w:kern w:val="0"/>
                <w:sz w:val="20"/>
                <w:szCs w:val="20"/>
                <w:u w:val="none"/>
                <w:lang w:val="en-US" w:eastAsia="zh-CN" w:bidi="ar"/>
              </w:rPr>
              <w:t>长</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80mm，宽</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44mm，直径</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8mm，开口</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12mm，重量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72g</w:t>
            </w:r>
            <w:r>
              <w:rPr>
                <w:rStyle w:val="32"/>
                <w:sz w:val="20"/>
                <w:szCs w:val="20"/>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2"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7</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滑轮锁★</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该滑轮锁扣用于在连接抓绳器时，可方便地安装绳索拖拉，滑轮锁扣的锁门开合在滑轮一侧，便于滑轮固定在抓绳器上时安装绳索。它具有自动上锁系统和无锁快挂</w:t>
            </w:r>
            <w:r>
              <w:rPr>
                <w:rFonts w:hint="eastAsia" w:ascii="宋体" w:hAnsi="宋体" w:eastAsia="宋体" w:cs="宋体"/>
                <w:i w:val="0"/>
                <w:iCs w:val="0"/>
                <w:color w:val="000000"/>
                <w:kern w:val="0"/>
                <w:sz w:val="20"/>
                <w:szCs w:val="20"/>
                <w:u w:val="none"/>
                <w:lang w:val="en-US" w:eastAsia="zh-CN" w:bidi="ar"/>
              </w:rPr>
              <w:t>可与</w:t>
            </w:r>
            <w:r>
              <w:rPr>
                <w:rStyle w:val="32"/>
                <w:sz w:val="20"/>
                <w:szCs w:val="20"/>
                <w:lang w:val="en-US" w:eastAsia="zh-CN" w:bidi="ar"/>
              </w:rPr>
              <w:t>固定杆配合使用，能使锁扣在主轴受力，减少翻转的风险，并保持与装备的连接。，采用密闭滚珠轴承，登山扣的H形横截面：确保提高的强度重量比，保护标记免受磨损，适用绳索直径：7-13毫米，滑轮直径：18毫米，最大工作负载：≧4 kN，效率：</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85％，主轴强度：</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20 kN，短轴强度：</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 kN，开门强度：</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7 k</w:t>
            </w:r>
            <w:r>
              <w:rPr>
                <w:rStyle w:val="32"/>
                <w:sz w:val="20"/>
                <w:szCs w:val="20"/>
                <w:lang w:val="en-US" w:eastAsia="zh-CN" w:bidi="ar"/>
              </w:rPr>
              <w:t>N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救援头盔</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合式 兼具耐用轻便功能可选配件种类丰富面罩，护耳可拆洗吸汗内衬适压快速释放系统10孔透气兼具防尘-质量合格独立编号适用头围：51-62 cm/重量：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3</w:t>
            </w:r>
            <w:r>
              <w:rPr>
                <w:rStyle w:val="32"/>
                <w:sz w:val="20"/>
                <w:szCs w:val="20"/>
                <w:lang w:val="en-US" w:eastAsia="zh-CN" w:bidi="ar"/>
              </w:rPr>
              <w:t>80 g/外壳材质：聚丙烯/内壳材质：密度50聚苯乙烯泡沫/头盔带：高分子聚乙烯/头灯卡：轻质尼龙扣</w:t>
            </w:r>
            <w:r>
              <w:rPr>
                <w:rFonts w:hint="eastAsia" w:ascii="宋体" w:hAnsi="宋体" w:eastAsia="宋体" w:cs="宋体"/>
                <w:i w:val="0"/>
                <w:iCs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9</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装备包</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材质:聚氯乙烯（pvc）夹网布+织物尺寸：</w:t>
            </w:r>
            <w:r>
              <w:rPr>
                <w:rFonts w:ascii="宋体" w:hAnsi="宋体" w:eastAsia="宋体" w:cs="宋体"/>
                <w:i w:val="0"/>
                <w:iCs w:val="0"/>
                <w:color w:val="000000"/>
                <w:kern w:val="0"/>
                <w:sz w:val="20"/>
                <w:szCs w:val="20"/>
                <w:u w:val="none"/>
                <w:lang w:val="en-US" w:eastAsia="zh-CN" w:bidi="ar"/>
              </w:rPr>
              <w:t>≧</w:t>
            </w:r>
            <w:r>
              <w:rPr>
                <w:rStyle w:val="32"/>
                <w:sz w:val="20"/>
                <w:szCs w:val="20"/>
                <w:lang w:val="en-US" w:eastAsia="zh-CN" w:bidi="ar"/>
              </w:rPr>
              <w:t>34*24*67cm容量：</w:t>
            </w:r>
            <w:r>
              <w:rPr>
                <w:rFonts w:ascii="宋体" w:hAnsi="宋体" w:eastAsia="宋体" w:cs="宋体"/>
                <w:i w:val="0"/>
                <w:iCs w:val="0"/>
                <w:color w:val="000000"/>
                <w:kern w:val="0"/>
                <w:sz w:val="20"/>
                <w:szCs w:val="20"/>
                <w:u w:val="none"/>
                <w:lang w:val="en-US" w:eastAsia="zh-CN" w:bidi="ar"/>
              </w:rPr>
              <w:t>≧</w:t>
            </w:r>
            <w:r>
              <w:rPr>
                <w:rStyle w:val="32"/>
                <w:sz w:val="20"/>
                <w:szCs w:val="20"/>
                <w:lang w:val="en-US" w:eastAsia="zh-CN" w:bidi="ar"/>
              </w:rPr>
              <w:t>45L   重量：</w:t>
            </w:r>
            <w:r>
              <w:rPr>
                <w:rFonts w:ascii="宋体" w:hAnsi="宋体" w:eastAsia="宋体" w:cs="宋体"/>
                <w:i w:val="0"/>
                <w:iCs w:val="0"/>
                <w:color w:val="000000"/>
                <w:kern w:val="0"/>
                <w:sz w:val="20"/>
                <w:szCs w:val="20"/>
                <w:u w:val="none"/>
                <w:lang w:val="en-US" w:eastAsia="zh-CN" w:bidi="ar"/>
              </w:rPr>
              <w:t>≧</w:t>
            </w:r>
            <w:r>
              <w:rPr>
                <w:rStyle w:val="32"/>
                <w:sz w:val="20"/>
                <w:szCs w:val="20"/>
                <w:lang w:val="en-US" w:eastAsia="zh-CN" w:bidi="ar"/>
              </w:rPr>
              <w:t>1600g入150米/10.5MM绳1.PVC夹网，高周波压合，坚固耐磨；低吸水带有衬垫背负，加厚腰带和肩带的舒适性，适合长距离背负，2、内置ID卡位包盖，减少流水对包口的直接冲击，加强防水性能，穿越复杂路段时，减少勾挂；3、面料符合国家环保4、执行标准： QB/T 1333-2018   GB/T 4744-2013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装备钩</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塑料工具架，可安装在工业安全带上，可快速安装和拿取设备，最大工作负荷</w:t>
            </w:r>
            <w:r>
              <w:rPr>
                <w:rFonts w:ascii="宋体" w:hAnsi="宋体" w:eastAsia="宋体" w:cs="宋体"/>
                <w:i w:val="0"/>
                <w:iCs w:val="0"/>
                <w:color w:val="000000"/>
                <w:kern w:val="0"/>
                <w:sz w:val="20"/>
                <w:szCs w:val="20"/>
                <w:u w:val="none"/>
                <w:lang w:val="en-US" w:eastAsia="zh-CN" w:bidi="ar"/>
              </w:rPr>
              <w:t>≧</w:t>
            </w:r>
            <w:r>
              <w:rPr>
                <w:rStyle w:val="32"/>
                <w:sz w:val="20"/>
                <w:szCs w:val="20"/>
                <w:lang w:val="en-US" w:eastAsia="zh-CN" w:bidi="ar"/>
              </w:rPr>
              <w:t>15kg,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止坠器★</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安全绳索通过移动止坠器与安全带的胸部或背部挂点相连，让绳索上升操作更加便捷。普通使用时，不需要人为干预止坠器便可在绳索上自由移动，并且跟随使用者的移动。如遇坠落冲击或突然加速，移动止坠器将在绳索上制动并制止使用者的下坠。内置了锁定功能，能将设备固定在绳索上降低坠落距离。连接臂能防止通过中间时设备发生掉落。配合势能吸收器挽索将绳索与作业面保持一定距离。兼容10-13毫米直径的绳索，颜色为金黄色，重量</w:t>
            </w:r>
            <w:r>
              <w:rPr>
                <w:rFonts w:ascii="宋体" w:hAnsi="宋体" w:eastAsia="宋体" w:cs="宋体"/>
                <w:i w:val="0"/>
                <w:iCs w:val="0"/>
                <w:color w:val="000000"/>
                <w:kern w:val="0"/>
                <w:sz w:val="20"/>
                <w:szCs w:val="20"/>
                <w:u w:val="none"/>
                <w:lang w:val="en-US" w:eastAsia="zh-CN" w:bidi="ar"/>
              </w:rPr>
              <w:t>≧</w:t>
            </w:r>
            <w:r>
              <w:rPr>
                <w:rStyle w:val="32"/>
                <w:sz w:val="20"/>
                <w:szCs w:val="20"/>
                <w:lang w:val="en-US" w:eastAsia="zh-CN" w:bidi="ar"/>
              </w:rPr>
              <w:t>425克。材料：铝，不锈钢和尼龙。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脚式上升器★</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右脚上升器辅助上升,有专利的解锁系统。可以保持设备保持关闭或打开的状态，防止从绳索中滑出。使用单手就能安装；凸轮和解锁机构完全融合在设备内部；凸轮可自清理，能在结冰和有污垢的绳索上使用；扁带可调节，更好的穿戴；脚踏端扁带使用扁带套加固；稳定：不会在受力下翻转。 重量</w:t>
            </w:r>
            <w:r>
              <w:rPr>
                <w:rFonts w:hint="eastAsia" w:ascii="宋体" w:hAnsi="宋体" w:eastAsia="宋体" w:cs="宋体"/>
                <w:i w:val="0"/>
                <w:iCs w:val="0"/>
                <w:color w:val="000000"/>
                <w:kern w:val="0"/>
                <w:sz w:val="20"/>
                <w:szCs w:val="20"/>
                <w:u w:val="none"/>
                <w:lang w:val="en-US" w:eastAsia="zh-CN" w:bidi="ar"/>
              </w:rPr>
              <w:t>：</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16</w:t>
            </w:r>
            <w:r>
              <w:rPr>
                <w:rStyle w:val="32"/>
                <w:sz w:val="20"/>
                <w:szCs w:val="20"/>
                <w:lang w:val="en-US" w:eastAsia="zh-CN" w:bidi="ar"/>
              </w:rPr>
              <w:t>5g，使用绳索：Ø 8 - 13 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13</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势能缓冲包</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配合用于移动止坠器，可双人救援使用，配有撕裂式扁带，装于拉链式包内，可视化管理，便于安全检查，遇冲坠时势能吸收器通过织带撕裂吸收对使用者的冲击力。两端的STRING织带保护器，用于将连接器固定到位并保护织带免受磨损。长</w:t>
            </w:r>
            <w:r>
              <w:rPr>
                <w:rFonts w:hint="eastAsia" w:ascii="宋体" w:hAnsi="宋体" w:eastAsia="宋体" w:cs="宋体"/>
                <w:i w:val="0"/>
                <w:iCs w:val="0"/>
                <w:color w:val="000000"/>
                <w:kern w:val="0"/>
                <w:sz w:val="20"/>
                <w:szCs w:val="20"/>
                <w:u w:val="none"/>
                <w:lang w:val="en-US" w:eastAsia="zh-CN" w:bidi="ar"/>
              </w:rPr>
              <w:t>度</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40cm，重量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205g，最大负荷</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250kg；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14</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脚踏绳</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材质：</w:t>
            </w:r>
            <w:r>
              <w:rPr>
                <w:rFonts w:hint="eastAsia" w:ascii="宋体" w:hAnsi="宋体" w:eastAsia="宋体" w:cs="宋体"/>
                <w:i w:val="0"/>
                <w:iCs w:val="0"/>
                <w:color w:val="000000"/>
                <w:kern w:val="0"/>
                <w:sz w:val="20"/>
                <w:szCs w:val="20"/>
                <w:u w:val="none"/>
                <w:lang w:val="en-US" w:eastAsia="zh-CN" w:bidi="ar"/>
              </w:rPr>
              <w:t>大力马纤维长度：</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143cm直径：</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5.3mm重量：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47g</w:t>
            </w:r>
            <w:r>
              <w:rPr>
                <w:rStyle w:val="32"/>
                <w:sz w:val="20"/>
                <w:szCs w:val="20"/>
                <w:lang w:val="en-US" w:eastAsia="zh-CN" w:bidi="ar"/>
              </w:rPr>
              <w:t>速调式脚蹬绳，用于SRT，救援，登山，攀岩等高空作业活动。1</w:t>
            </w:r>
            <w:r>
              <w:rPr>
                <w:rFonts w:hint="eastAsia" w:ascii="宋体" w:hAnsi="宋体" w:eastAsia="宋体" w:cs="宋体"/>
                <w:i w:val="0"/>
                <w:iCs w:val="0"/>
                <w:color w:val="000000"/>
                <w:kern w:val="0"/>
                <w:sz w:val="20"/>
                <w:szCs w:val="20"/>
                <w:u w:val="none"/>
                <w:lang w:val="en-US" w:eastAsia="zh-CN" w:bidi="ar"/>
              </w:rPr>
              <w:t>、大力马</w:t>
            </w:r>
            <w:r>
              <w:rPr>
                <w:rStyle w:val="32"/>
                <w:sz w:val="20"/>
                <w:szCs w:val="20"/>
                <w:lang w:val="en-US" w:eastAsia="zh-CN" w:bidi="ar"/>
              </w:rPr>
              <w:t>绳与扁带的结合，拉力大，轻便；2、打组缝合，绳芯不滑动；3、不锈钢二孔调节扣，快速调节绳索长度。</w:t>
            </w:r>
            <w:r>
              <w:rPr>
                <w:rFonts w:hint="eastAsia" w:ascii="宋体" w:hAnsi="宋体" w:eastAsia="宋体" w:cs="宋体"/>
                <w:i w:val="0"/>
                <w:iCs w:val="0"/>
                <w:color w:val="000000"/>
                <w:kern w:val="0"/>
                <w:sz w:val="20"/>
                <w:szCs w:val="20"/>
                <w:u w:val="none"/>
                <w:lang w:val="en-US" w:eastAsia="zh-CN" w:bidi="ar"/>
              </w:rPr>
              <w:t>警告：本品不是PPE,只能承受体重，不能承受冲坠。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多功能下降器</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该设备可以在连接到锁扣时安装在绳索上。 因此，在绳索上安装或卸载期间，设备不会掉落。它是市场上无与伦比的工具，是唯一可在高空工作时实现5种功能并在拉紧或对角绳索上保留所有这些功能的工具。跌落保护装置/下降/止坠/救援装备/可调式挽索（+3米专用静力挽索）。材料：铝，不锈钢 颜色：红色，蓝色，黑色  重</w:t>
            </w:r>
            <w:r>
              <w:rPr>
                <w:rFonts w:hint="eastAsia" w:ascii="宋体" w:hAnsi="宋体" w:eastAsia="宋体" w:cs="宋体"/>
                <w:i w:val="0"/>
                <w:iCs w:val="0"/>
                <w:color w:val="000000"/>
                <w:kern w:val="0"/>
                <w:sz w:val="20"/>
                <w:szCs w:val="20"/>
                <w:u w:val="none"/>
                <w:lang w:val="en-US" w:eastAsia="zh-CN" w:bidi="ar"/>
              </w:rPr>
              <w:t>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380克，尺寸长宽高：</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15cm,8cm,4cm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16</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半永久万向节★</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单段可开启万向转还，设计用于和主锁连接。该万向节可防止挽索之间互相缠绕，并让装备保持在合适的位置。采用无滚珠轴承的设计，能在不承重时自由旋转，并且在承重后停止旋，转以确保装备处于合适的位置。材料：铝，塑料，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75克，断裂负荷：</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23 kN</w:t>
            </w:r>
            <w:r>
              <w:rPr>
                <w:rStyle w:val="32"/>
                <w:sz w:val="20"/>
                <w:szCs w:val="20"/>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17</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飞拉达快开锁</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特点：-快开锁-两把交替使用-钩挂顺滑锁头-方便抓握尺寸-质量合格独立编码横向拉力：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 kN/纵向拉力：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30 kN/开口拉力：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9 kN/开口大小：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26 mm/重量：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87</w:t>
            </w:r>
            <w:r>
              <w:rPr>
                <w:rStyle w:val="32"/>
                <w:sz w:val="20"/>
                <w:szCs w:val="20"/>
                <w:lang w:val="en-US" w:eastAsia="zh-CN" w:bidi="ar"/>
              </w:rPr>
              <w:t xml:space="preserve"> 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摩擦锁</w:t>
            </w:r>
          </w:p>
        </w:tc>
        <w:tc>
          <w:tcPr>
            <w:tcW w:w="585"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2"/>
                <w:sz w:val="20"/>
                <w:szCs w:val="20"/>
                <w:lang w:val="en-US" w:eastAsia="zh-CN" w:bidi="ar"/>
              </w:rPr>
              <w:t>带有摩擦块的锁扣，可在下降过程中增加或调节摩擦力，以改善负重下降过程中的下降速度。易于使用和控制。绳索可以快速重新引导到摩擦支点上，并可以用一只手将其卸下，它易于使用，</w:t>
            </w:r>
            <w:r>
              <w:rPr>
                <w:rFonts w:hint="eastAsia" w:ascii="宋体" w:hAnsi="宋体" w:eastAsia="宋体" w:cs="宋体"/>
                <w:i w:val="0"/>
                <w:iCs w:val="0"/>
                <w:color w:val="000000"/>
                <w:kern w:val="0"/>
                <w:sz w:val="20"/>
                <w:szCs w:val="20"/>
                <w:u w:val="none"/>
                <w:lang w:val="en-US" w:eastAsia="zh-CN" w:bidi="ar"/>
              </w:rPr>
              <w:t>在与自制动下降器配合使用时。从设备回路转移到腹部连接点或锚点时，直接旋转，可以防止下降器掉落</w:t>
            </w:r>
            <w:r>
              <w:rPr>
                <w:rStyle w:val="32"/>
                <w:sz w:val="20"/>
                <w:szCs w:val="20"/>
                <w:lang w:val="en-US" w:eastAsia="zh-CN" w:bidi="ar"/>
              </w:rPr>
              <w:t>。材质：铝合金，</w:t>
            </w:r>
            <w:r>
              <w:rPr>
                <w:rFonts w:hint="eastAsia" w:ascii="宋体" w:hAnsi="宋体" w:eastAsia="宋体" w:cs="宋体"/>
                <w:i w:val="0"/>
                <w:iCs w:val="0"/>
                <w:color w:val="000000"/>
                <w:kern w:val="0"/>
                <w:sz w:val="20"/>
                <w:szCs w:val="20"/>
                <w:u w:val="none"/>
                <w:lang w:val="en-US" w:eastAsia="zh-CN" w:bidi="ar"/>
              </w:rPr>
              <w:t>重量</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75g，纵向拉力：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23KN；横向拉力：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8KN；开口拉力：</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8KN；开口尺寸：</w:t>
            </w:r>
            <w:r>
              <w:rPr>
                <w:rStyle w:val="33"/>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18MM。</w:t>
            </w:r>
          </w:p>
        </w:tc>
      </w:tr>
    </w:tbl>
    <w:p>
      <w:pPr>
        <w:pStyle w:val="17"/>
      </w:pPr>
    </w:p>
    <w:p>
      <w:pPr>
        <w:pStyle w:val="17"/>
      </w:pPr>
    </w:p>
    <w:p>
      <w:pPr>
        <w:pStyle w:val="17"/>
      </w:pPr>
    </w:p>
    <w:p>
      <w:pPr>
        <w:pStyle w:val="17"/>
      </w:pPr>
    </w:p>
    <w:p>
      <w:pPr>
        <w:pStyle w:val="17"/>
      </w:pPr>
    </w:p>
    <w:p>
      <w:pPr>
        <w:pStyle w:val="17"/>
      </w:pPr>
    </w:p>
    <w:p>
      <w:pPr>
        <w:pStyle w:val="17"/>
      </w:pPr>
    </w:p>
    <w:p>
      <w:pPr>
        <w:pStyle w:val="17"/>
      </w:pPr>
    </w:p>
    <w:p>
      <w:pPr>
        <w:pStyle w:val="17"/>
      </w:pPr>
    </w:p>
    <w:p>
      <w:pPr>
        <w:spacing w:before="134"/>
        <w:ind w:right="0"/>
        <w:jc w:val="left"/>
        <w:rPr>
          <w:rFonts w:hint="eastAsia" w:ascii="仿宋" w:eastAsia="仿宋"/>
          <w:b/>
          <w:color w:val="0000FF"/>
          <w:sz w:val="24"/>
        </w:rPr>
      </w:pPr>
    </w:p>
    <w:tbl>
      <w:tblPr>
        <w:tblStyle w:val="18"/>
        <w:tblW w:w="88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8"/>
        <w:gridCol w:w="1536"/>
        <w:gridCol w:w="546"/>
        <w:gridCol w:w="61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8887" w:type="dxa"/>
            <w:gridSpan w:val="4"/>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40"/>
                <w:szCs w:val="40"/>
                <w:u w:val="none"/>
              </w:rPr>
            </w:pPr>
            <w:r>
              <w:rPr>
                <w:rFonts w:hint="eastAsia" w:ascii="黑体" w:hAnsi="宋体" w:eastAsia="黑体" w:cs="黑体"/>
                <w:b/>
                <w:bCs/>
                <w:i w:val="0"/>
                <w:iCs w:val="0"/>
                <w:color w:val="000000"/>
                <w:kern w:val="0"/>
                <w:sz w:val="40"/>
                <w:szCs w:val="40"/>
                <w:u w:val="none"/>
                <w:lang w:val="en-US" w:eastAsia="zh-CN" w:bidi="ar"/>
              </w:rPr>
              <w:t>包三：（3）单兵救援装备团队配置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序号</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装备</w:t>
            </w:r>
          </w:p>
        </w:tc>
        <w:tc>
          <w:tcPr>
            <w:tcW w:w="5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数量</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钢丝I型挽索  长度130cm</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两端配有连接环；高强度和高耐用性；适合树上作业或高空焊接；强度≧15kN材料：镀锌钢 PVC外套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钢丝I型挽索  长度5m</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两端配有连接环.高强度和高耐用性.适合树上作业或高空焊接                                                              颜色：连接环颜色为黄色；钢丝直径6mm，外套直径≧13mm；强度：≧15kN；材料：镀锌钢覆盖PVC外套；长度：≧5m；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Y型挽索</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Y型双挽索设计用于为通过中间锚点时提供不间断的保护，通过交替连接两个臂上的锁扣；用于50kg至130kg的人使用；内置小巧势能吸收器，不会阻碍使用者的移动或抓握，耐用的保护袋能防止势能吸收器受到磨损和污染；一旦发生坠落，撕裂式势能吸收器能降低使用者受到的冲击；配有锁眼式锁扣用于连接安全带，和两个MGO大开口锁扣，用于连接金属结构和大直径的钢缆和横条；重量≧1850g，含锁扣在内最大长度≧110cm，坠落撕裂后最大长度≧220cm，最大净空距离≧435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大号分力板</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12孔铝合金锚固点,孔径：≧19毫米，适合用于救援时设置锚点。颜色为金色；材质：铝合金；重量：≧350g；断裂负荷：≧36kN；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5</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超强扁带</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强力扁带，用于设置高强度锚点，或进行辅助攀登 。采用超高分子量聚乙烯材料，保证了极高的断裂强度， 并且增加了材料保护外皮，能保证吊索长时间的耐用性， 并且降低了重量。 注意，纤维材料在锋利的边缘依然需要护绳措施，以保证 设备的安全性 直径: ≧10mm 破断力:≧ 8100kgf 长度: ≧1.2m 耐切割, 耐腐蚀，不生锈 ≧195g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连接环</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可开启圆环，铝合金材质，可在多个方向受力，断裂负荷≧23kN，开口大小≧11mm，重量≧70g。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7</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高效紧绳器</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滑轮式自动制停下降器，用于技术救援，可使操作重物下放和提拉更为简便，可用于主系统或备份系统。多功能性可让救援者适应所有可能碰到的环境。人体工程学手柄可以下放绳索，并舒适掌握下降速度。从下降位置可以立即切换到上升位置，而无须卸下物品。内置制停滑轮，具有大直径的密封滚珠轴承，保证上升时的高效率。AUTO-LOCK系统，可以在不用手柄时自动锁住绳索。一旦锁住，不需触动手柄即可收回绳索。与直径为10.5至11.5毫米的绳索兼容，最多可操作≧250公斤的重物。重量≧1100g，断裂负荷≧36KN，效率可达≧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万向单滑轮★</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1.5单滑轮滑轮直径：1.5”(38mm)滑轮数：单个滑轮材料：铝可用颜色：标准 / 黑色重量：≧260g最小破断强度：≧36kN额定载荷：≧8kN最大可用绳索：≧13mm。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9</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万向双滑轮★</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1.5双滑轮 滑轮直径：1.5”(38mm)滑轮数：两个滑轮材料：铝可用颜色：标准 / 黑色重量：≧411g最小破断强度：≧36kN额定载荷：≧8kN最大可用绳索：≧13mm。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10</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H型自动主锁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自动扣2重安全门主锁，锁体7075合金铝材质，Keylock设计防止使用时勾挂绳索或尖锐物，H型锁可使用意大利半扣下降，锁门关闭指示器设计。断裂拉力（KN)：26-11-8，锁体尺寸：120*78mm，开门尺寸：≧24mm，重量：≧88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单向滑轮</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大直径、高效率的滑轮尤其适 合提拉重物。上锁承重后侧板能够防止滑轮在使用时打开。下方连接孔能组装各种不同的提拉系 统。滑轮直径≦38mm,兼容绳索直径8-13mm,内置滚珠轴承，95%工作效率，最大工作负荷单滑轮≧5KN,单项制停≧2.5KN。最大断裂负荷≧22KN，重量≧265g.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12</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狭小空间全地形担架</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增加舒适性，且简单易操作. 伤员能够以水平、垂直或倾斜的角度运送，以适应不规则或狭窄的地形； 担架里面配有一条全身安全带以确保伤员的安全。不同的颜色标示，可避免任何安装错误； DoubleBack自锁扣可简单快速地调整调节带；光滑，坚硬的塑料底部确保良好的滑行，泡沫垫给伤背部提供舒适的支撑；底部固定的四根横杆装置可以卸除，准许担架卷起装在45L背包里面，在行进过程中降低携带担架的困难；备选配件: STEF 角度调节器， 可与担架的三个连接点连接，可根据地形轻松调节角度。规格• 材质： TPU, 尼龙，聚乙烯, 铝合金， 重量：≧13100g， 尺寸：≧200 × 50 × 5cm，这款担架适用所有的绳索救援技术，特别是在密闭空间。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13</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扭曲钢锁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特殊的螺旋形连接器，带有扭曲的碳钢阀体和圆形棒，在需要“偏移”载荷时必须有。它允许任何连接装置(下降器、绳夹、避雷器等)90°旋转，优化操作对准。可与汽车座(3运动)和扭转锁(2运动)套筒。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14</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过结横渡滑轮★</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重量：≧711g破断力：≧39kn工作载荷：6kn最大绳索直径：≧19mm滑轮直径：≧56mm；重量：≧25盎司（711克）断裂强度：≧2 x 19.5 kN = 39 kN WLL：6 kN最大绳索直径：≧19 mm滑轮直径：≧2.2英寸（56 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15</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绳包20L</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材质：尼龙TPU（420D）尺寸：≧23*23*50cm重量：≧320g容量：≧20L可入80米10.5绳 1抗磨尼龙布环保TPU涂层；高周波压合坚固耐磨；塔式锁口扣具，帮助快速开关袋口操作；2、地上拖拉使用无防，简易背包织带，包身细长可保持挺立，可随意折叠携带。3、面料符合国家环保4、执行标准：QB/T 1333-2018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16</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O型自动锁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轻型O型锁扣椭圆外形可使较宽的装备如滑轮、上升器和移动止坠器位于最佳位置。流畅的内部设计和Keylock系统让使用更为简便。H型轮廓有助于更好的抓力，保护标记不受磨损，减轻重量；其可与固定杆配合使用，能使锁扣在主轴受力，减少翻转的风险，并保持与装备的连接；上锁系统：三段自动扣，为频繁操作而设计。7075铝合金制，开口尺寸≧22mm， 纵向拉力≧25KN， 横向拉力≧8KN，开口拉力：≧7KN， 颜色为银色， 重量为≧75克。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17</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钛合金担架</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w:t>
            </w:r>
            <w:r>
              <w:rPr>
                <w:rStyle w:val="35"/>
                <w:sz w:val="20"/>
                <w:szCs w:val="20"/>
                <w:lang w:val="en-US" w:eastAsia="zh-CN" w:bidi="ar"/>
              </w:rPr>
              <w:t>钛2  （配件：聚乙稀、PE、涤纶）尺寸：</w:t>
            </w:r>
            <w:r>
              <w:rPr>
                <w:rStyle w:val="34"/>
                <w:rFonts w:ascii="宋体" w:hAnsi="宋体" w:eastAsia="宋体" w:cs="宋体"/>
                <w:sz w:val="32"/>
                <w:szCs w:val="32"/>
                <w:lang w:val="en-US" w:eastAsia="zh-CN" w:bidi="ar"/>
              </w:rPr>
              <w:t>≧</w:t>
            </w:r>
            <w:r>
              <w:rPr>
                <w:rStyle w:val="35"/>
                <w:sz w:val="20"/>
                <w:szCs w:val="20"/>
                <w:lang w:val="en-US" w:eastAsia="zh-CN" w:bidi="ar"/>
              </w:rPr>
              <w:t>208*58*18cm（分体）重量：</w:t>
            </w:r>
            <w:r>
              <w:rPr>
                <w:rStyle w:val="34"/>
                <w:rFonts w:ascii="宋体" w:hAnsi="宋体" w:eastAsia="宋体" w:cs="宋体"/>
                <w:sz w:val="32"/>
                <w:szCs w:val="32"/>
                <w:lang w:val="en-US" w:eastAsia="zh-CN" w:bidi="ar"/>
              </w:rPr>
              <w:t>≧</w:t>
            </w:r>
            <w:r>
              <w:rPr>
                <w:rStyle w:val="35"/>
                <w:sz w:val="20"/>
                <w:szCs w:val="20"/>
                <w:lang w:val="en-US" w:eastAsia="zh-CN" w:bidi="ar"/>
              </w:rPr>
              <w:t>7.5 kg（不包含配件）, 包括配件</w:t>
            </w:r>
            <w:r>
              <w:rPr>
                <w:rStyle w:val="34"/>
                <w:rFonts w:ascii="宋体" w:hAnsi="宋体" w:eastAsia="宋体" w:cs="宋体"/>
                <w:sz w:val="32"/>
                <w:szCs w:val="32"/>
                <w:lang w:val="en-US" w:eastAsia="zh-CN" w:bidi="ar"/>
              </w:rPr>
              <w:t>≧</w:t>
            </w:r>
            <w:r>
              <w:rPr>
                <w:rStyle w:val="35"/>
                <w:sz w:val="20"/>
                <w:szCs w:val="20"/>
                <w:lang w:val="en-US" w:eastAsia="zh-CN" w:bidi="ar"/>
              </w:rPr>
              <w:t xml:space="preserve">10.5 kg有效承重:水平 </w:t>
            </w:r>
            <w:r>
              <w:rPr>
                <w:rStyle w:val="34"/>
                <w:rFonts w:ascii="宋体" w:hAnsi="宋体" w:eastAsia="宋体" w:cs="宋体"/>
                <w:sz w:val="32"/>
                <w:szCs w:val="32"/>
                <w:lang w:val="en-US" w:eastAsia="zh-CN" w:bidi="ar"/>
              </w:rPr>
              <w:t>≧</w:t>
            </w:r>
            <w:r>
              <w:rPr>
                <w:rStyle w:val="35"/>
                <w:sz w:val="20"/>
                <w:szCs w:val="20"/>
                <w:lang w:val="en-US" w:eastAsia="zh-CN" w:bidi="ar"/>
              </w:rPr>
              <w:t>300kg；垂直:</w:t>
            </w:r>
            <w:r>
              <w:rPr>
                <w:rStyle w:val="34"/>
                <w:rFonts w:ascii="宋体" w:hAnsi="宋体" w:eastAsia="宋体" w:cs="宋体"/>
                <w:sz w:val="32"/>
                <w:szCs w:val="32"/>
                <w:lang w:val="en-US" w:eastAsia="zh-CN" w:bidi="ar"/>
              </w:rPr>
              <w:t>≧</w:t>
            </w:r>
            <w:r>
              <w:rPr>
                <w:rStyle w:val="35"/>
                <w:sz w:val="20"/>
                <w:szCs w:val="20"/>
                <w:lang w:val="en-US" w:eastAsia="zh-CN" w:bidi="ar"/>
              </w:rPr>
              <w:t>300kg， 用于救援工作中伤员转移使用钛的特点是密度小，机械强度大，使用在救援担架上实现轻量化，利于救援工作中伤员转移使用，根据东亚人种的体形设计，宽</w:t>
            </w:r>
            <w:r>
              <w:rPr>
                <w:rStyle w:val="34"/>
                <w:rFonts w:ascii="宋体" w:hAnsi="宋体" w:eastAsia="宋体" w:cs="宋体"/>
                <w:sz w:val="32"/>
                <w:szCs w:val="32"/>
                <w:lang w:val="en-US" w:eastAsia="zh-CN" w:bidi="ar"/>
              </w:rPr>
              <w:t>≧</w:t>
            </w:r>
            <w:r>
              <w:rPr>
                <w:rStyle w:val="35"/>
                <w:sz w:val="20"/>
                <w:szCs w:val="20"/>
                <w:lang w:val="en-US" w:eastAsia="zh-CN" w:bidi="ar"/>
              </w:rPr>
              <w:t>58CM、长</w:t>
            </w:r>
            <w:r>
              <w:rPr>
                <w:rStyle w:val="34"/>
                <w:rFonts w:ascii="宋体" w:hAnsi="宋体" w:eastAsia="宋体" w:cs="宋体"/>
                <w:sz w:val="32"/>
                <w:szCs w:val="32"/>
                <w:lang w:val="en-US" w:eastAsia="zh-CN" w:bidi="ar"/>
              </w:rPr>
              <w:t>≧</w:t>
            </w:r>
            <w:r>
              <w:rPr>
                <w:rStyle w:val="35"/>
                <w:sz w:val="20"/>
                <w:szCs w:val="20"/>
                <w:lang w:val="en-US" w:eastAsia="zh-CN" w:bidi="ar"/>
              </w:rPr>
              <w:t>208CM和圆形头的特点，在狭窄空间操作更灵活。1.管材一体成型弯管，副管满焊，强度大，共有5个挂点分布在两侧及尾部正中，适合不同的悬吊方式，四点式悬吊，担架平稳舒适，三点式悬吊，担架可快速调整姿态。3.配置背部支撑耐用聚乙稀背板长至小腿部，更舒适，</w:t>
            </w:r>
            <w:r>
              <w:rPr>
                <w:rStyle w:val="34"/>
                <w:rFonts w:ascii="宋体" w:hAnsi="宋体" w:eastAsia="宋体" w:cs="宋体"/>
                <w:sz w:val="32"/>
                <w:szCs w:val="32"/>
                <w:lang w:val="en-US" w:eastAsia="zh-CN" w:bidi="ar"/>
              </w:rPr>
              <w:t>≦</w:t>
            </w:r>
            <w:r>
              <w:rPr>
                <w:rStyle w:val="35"/>
                <w:sz w:val="20"/>
                <w:szCs w:val="20"/>
                <w:lang w:val="en-US" w:eastAsia="zh-CN" w:bidi="ar"/>
              </w:rPr>
              <w:t>13mm格阻燃网衬，四条快拆装功能的固定带。4.主管直径</w:t>
            </w:r>
            <w:r>
              <w:rPr>
                <w:rStyle w:val="34"/>
                <w:rFonts w:ascii="宋体" w:hAnsi="宋体" w:eastAsia="宋体" w:cs="宋体"/>
                <w:sz w:val="32"/>
                <w:szCs w:val="32"/>
                <w:lang w:val="en-US" w:eastAsia="zh-CN" w:bidi="ar"/>
              </w:rPr>
              <w:t>≦</w:t>
            </w:r>
            <w:r>
              <w:rPr>
                <w:rStyle w:val="35"/>
                <w:sz w:val="20"/>
                <w:szCs w:val="20"/>
                <w:lang w:val="en-US" w:eastAsia="zh-CN" w:bidi="ar"/>
              </w:rPr>
              <w:t>24mm方便抓握，架连接采用主管螺纹连接、底部七字互扣，结构强度大，可实现快速拆装.5.本担架可用于垂直、平移、斜坡等多种角度环境使用.6.担架采用</w:t>
            </w:r>
            <w:r>
              <w:rPr>
                <w:rFonts w:hint="eastAsia" w:ascii="宋体" w:hAnsi="宋体" w:eastAsia="宋体" w:cs="宋体"/>
                <w:i w:val="0"/>
                <w:iCs w:val="0"/>
                <w:color w:val="000000"/>
                <w:kern w:val="0"/>
                <w:sz w:val="20"/>
                <w:szCs w:val="20"/>
                <w:u w:val="none"/>
                <w:lang w:val="en-US" w:eastAsia="zh-CN" w:bidi="ar"/>
              </w:rPr>
              <w:t>分体结构，两段可套叠起来，存储、运输更便利。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墙角保护器</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材质：支架/滚珠轴心、轴筒铝合金尺</w:t>
            </w:r>
            <w:r>
              <w:rPr>
                <w:rStyle w:val="35"/>
                <w:sz w:val="20"/>
                <w:szCs w:val="20"/>
                <w:lang w:val="en-US" w:eastAsia="zh-CN" w:bidi="ar"/>
              </w:rPr>
              <w:t>寸：</w:t>
            </w:r>
            <w:r>
              <w:rPr>
                <w:rStyle w:val="34"/>
                <w:rFonts w:ascii="宋体" w:hAnsi="宋体" w:eastAsia="宋体" w:cs="宋体"/>
                <w:sz w:val="32"/>
                <w:szCs w:val="32"/>
                <w:lang w:val="en-US" w:eastAsia="zh-CN" w:bidi="ar"/>
              </w:rPr>
              <w:t>≧</w:t>
            </w:r>
            <w:r>
              <w:rPr>
                <w:rStyle w:val="35"/>
                <w:sz w:val="20"/>
                <w:szCs w:val="20"/>
                <w:lang w:val="en-US" w:eastAsia="zh-CN" w:bidi="ar"/>
              </w:rPr>
              <w:t>20×10×6.8cm X2重量：</w:t>
            </w:r>
            <w:r>
              <w:rPr>
                <w:rStyle w:val="34"/>
                <w:rFonts w:ascii="宋体" w:hAnsi="宋体" w:eastAsia="宋体" w:cs="宋体"/>
                <w:sz w:val="32"/>
                <w:szCs w:val="32"/>
                <w:lang w:val="en-US" w:eastAsia="zh-CN" w:bidi="ar"/>
              </w:rPr>
              <w:t>≧</w:t>
            </w:r>
            <w:r>
              <w:rPr>
                <w:rStyle w:val="35"/>
                <w:sz w:val="20"/>
                <w:szCs w:val="20"/>
                <w:lang w:val="en-US" w:eastAsia="zh-CN" w:bidi="ar"/>
              </w:rPr>
              <w:t>1939g用于保护绳索，避免建筑物的棱角、墙角、岩石等粗糙尖锐突起部份预防磨损绳索，1、2截分体304不锈钢支架，7075合金滚轮，装有2滚动轴承，减少摩擦，担架拖拉操作高效省力；2.2个组合，满足不同角度使用；底座4角有14MM固定孔；侧板每边各留有2个14MM辅绳固定孔，可按实际环境固定绳保。3、有效承重</w:t>
            </w:r>
            <w:r>
              <w:rPr>
                <w:rStyle w:val="34"/>
                <w:rFonts w:ascii="宋体" w:hAnsi="宋体" w:eastAsia="宋体" w:cs="宋体"/>
                <w:sz w:val="32"/>
                <w:szCs w:val="32"/>
                <w:lang w:val="en-US" w:eastAsia="zh-CN" w:bidi="ar"/>
              </w:rPr>
              <w:t>≧</w:t>
            </w:r>
            <w:r>
              <w:rPr>
                <w:rStyle w:val="35"/>
                <w:sz w:val="20"/>
                <w:szCs w:val="20"/>
                <w:lang w:val="en-US" w:eastAsia="zh-CN" w:bidi="ar"/>
              </w:rPr>
              <w:t>350KG。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2"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19</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滚轴绳索保护器</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材质：侧板/轴筒铝合金滚珠</w:t>
            </w:r>
            <w:r>
              <w:rPr>
                <w:rStyle w:val="35"/>
                <w:sz w:val="20"/>
                <w:szCs w:val="20"/>
                <w:lang w:val="en-US" w:eastAsia="zh-CN" w:bidi="ar"/>
              </w:rPr>
              <w:t>轴心尺寸：</w:t>
            </w:r>
            <w:r>
              <w:rPr>
                <w:rStyle w:val="34"/>
                <w:rFonts w:ascii="宋体" w:hAnsi="宋体" w:eastAsia="宋体" w:cs="宋体"/>
                <w:sz w:val="32"/>
                <w:szCs w:val="32"/>
                <w:lang w:val="en-US" w:eastAsia="zh-CN" w:bidi="ar"/>
              </w:rPr>
              <w:t>≧</w:t>
            </w:r>
            <w:r>
              <w:rPr>
                <w:rStyle w:val="35"/>
                <w:sz w:val="20"/>
                <w:szCs w:val="20"/>
                <w:lang w:val="en-US" w:eastAsia="zh-CN" w:bidi="ar"/>
              </w:rPr>
              <w:t>39×12.6×5cm重量：</w:t>
            </w:r>
            <w:r>
              <w:rPr>
                <w:rStyle w:val="34"/>
                <w:rFonts w:ascii="宋体" w:hAnsi="宋体" w:eastAsia="宋体" w:cs="宋体"/>
                <w:sz w:val="32"/>
                <w:szCs w:val="32"/>
                <w:lang w:val="en-US" w:eastAsia="zh-CN" w:bidi="ar"/>
              </w:rPr>
              <w:t>≧</w:t>
            </w:r>
            <w:r>
              <w:rPr>
                <w:rStyle w:val="35"/>
                <w:sz w:val="20"/>
                <w:szCs w:val="20"/>
                <w:lang w:val="en-US" w:eastAsia="zh-CN" w:bidi="ar"/>
              </w:rPr>
              <w:t>935g（可级联）用于保护绳索，避免建筑物的棱角、墙角、岩石等粗糙尖锐突起部份预防磨损绳索。1、滚轮/侧板支架2024航空铝，装有4条滚动轴承，减少摩擦，担架拖拉操作高效省力；2、链条式设计（可级联），4角设置有系辅绳固定用挂点。收纳体积小，展开保护面积大；可组合不同长度，围柱，直角，斜坡等环境均适合使用；3、有效承重</w:t>
            </w:r>
            <w:r>
              <w:rPr>
                <w:rStyle w:val="34"/>
                <w:rFonts w:ascii="宋体" w:hAnsi="宋体" w:eastAsia="宋体" w:cs="宋体"/>
                <w:sz w:val="32"/>
                <w:szCs w:val="32"/>
                <w:lang w:val="en-US" w:eastAsia="zh-CN" w:bidi="ar"/>
              </w:rPr>
              <w:t>≧</w:t>
            </w:r>
            <w:r>
              <w:rPr>
                <w:rStyle w:val="35"/>
                <w:sz w:val="20"/>
                <w:szCs w:val="20"/>
                <w:lang w:val="en-US" w:eastAsia="zh-CN" w:bidi="ar"/>
              </w:rPr>
              <w:t>350KG。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器材包</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材质：锦纶（可提</w:t>
            </w:r>
            <w:r>
              <w:rPr>
                <w:rStyle w:val="35"/>
                <w:sz w:val="20"/>
                <w:szCs w:val="20"/>
                <w:lang w:val="en-US" w:eastAsia="zh-CN" w:bidi="ar"/>
              </w:rPr>
              <w:t>拉）尺寸：</w:t>
            </w:r>
            <w:r>
              <w:rPr>
                <w:rStyle w:val="34"/>
                <w:rFonts w:ascii="宋体" w:hAnsi="宋体" w:eastAsia="宋体" w:cs="宋体"/>
                <w:sz w:val="32"/>
                <w:szCs w:val="32"/>
                <w:lang w:val="en-US" w:eastAsia="zh-CN" w:bidi="ar"/>
              </w:rPr>
              <w:t>≧</w:t>
            </w:r>
            <w:r>
              <w:rPr>
                <w:rStyle w:val="35"/>
                <w:sz w:val="20"/>
                <w:szCs w:val="20"/>
                <w:lang w:val="en-US" w:eastAsia="zh-CN" w:bidi="ar"/>
              </w:rPr>
              <w:t>29*29*59CM容量：</w:t>
            </w:r>
            <w:r>
              <w:rPr>
                <w:rStyle w:val="34"/>
                <w:rFonts w:ascii="宋体" w:hAnsi="宋体" w:eastAsia="宋体" w:cs="宋体"/>
                <w:sz w:val="32"/>
                <w:szCs w:val="32"/>
                <w:lang w:val="en-US" w:eastAsia="zh-CN" w:bidi="ar"/>
              </w:rPr>
              <w:t>≧</w:t>
            </w:r>
            <w:r>
              <w:rPr>
                <w:rStyle w:val="35"/>
                <w:sz w:val="20"/>
                <w:szCs w:val="20"/>
                <w:lang w:val="en-US" w:eastAsia="zh-CN" w:bidi="ar"/>
              </w:rPr>
              <w:t>35L 重量：</w:t>
            </w:r>
            <w:r>
              <w:rPr>
                <w:rStyle w:val="34"/>
                <w:rFonts w:ascii="宋体" w:hAnsi="宋体" w:eastAsia="宋体" w:cs="宋体"/>
                <w:sz w:val="32"/>
                <w:szCs w:val="32"/>
                <w:lang w:val="en-US" w:eastAsia="zh-CN" w:bidi="ar"/>
              </w:rPr>
              <w:t>≧</w:t>
            </w:r>
            <w:r>
              <w:rPr>
                <w:rStyle w:val="35"/>
                <w:sz w:val="20"/>
                <w:szCs w:val="20"/>
                <w:lang w:val="en-US" w:eastAsia="zh-CN" w:bidi="ar"/>
              </w:rPr>
              <w:t>380g1、可提拉（1000D）防磨面料，带防水涂层；2、袋口使用受力收紧式绳扣；3、双肩背包，可入100米11MM绳 4、适合绳索分装管理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帆布垫</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材质：100%棉</w:t>
            </w:r>
            <w:r>
              <w:rPr>
                <w:rStyle w:val="35"/>
                <w:sz w:val="20"/>
                <w:szCs w:val="20"/>
                <w:lang w:val="en-US" w:eastAsia="zh-CN" w:bidi="ar"/>
              </w:rPr>
              <w:t>尺寸：</w:t>
            </w:r>
            <w:r>
              <w:rPr>
                <w:rStyle w:val="34"/>
                <w:rFonts w:ascii="宋体" w:hAnsi="宋体" w:eastAsia="宋体" w:cs="宋体"/>
                <w:sz w:val="32"/>
                <w:szCs w:val="32"/>
                <w:lang w:val="en-US" w:eastAsia="zh-CN" w:bidi="ar"/>
              </w:rPr>
              <w:t>≧</w:t>
            </w:r>
            <w:r>
              <w:rPr>
                <w:rStyle w:val="35"/>
                <w:sz w:val="20"/>
                <w:szCs w:val="20"/>
                <w:lang w:val="en-US" w:eastAsia="zh-CN" w:bidi="ar"/>
              </w:rPr>
              <w:t>69*83重量：</w:t>
            </w:r>
            <w:r>
              <w:rPr>
                <w:rStyle w:val="34"/>
                <w:rFonts w:ascii="宋体" w:hAnsi="宋体" w:eastAsia="宋体" w:cs="宋体"/>
                <w:sz w:val="32"/>
                <w:szCs w:val="32"/>
                <w:lang w:val="en-US" w:eastAsia="zh-CN" w:bidi="ar"/>
              </w:rPr>
              <w:t>≧</w:t>
            </w:r>
            <w:r>
              <w:rPr>
                <w:rStyle w:val="35"/>
                <w:sz w:val="20"/>
                <w:szCs w:val="20"/>
                <w:lang w:val="en-US" w:eastAsia="zh-CN" w:bidi="ar"/>
              </w:rPr>
              <w:t>542g 用于救援时，铺垫于地面，有效保护器材与地面的直接磨擦。1、100%纯棉，耐高温；双层料结构坚固耐磨，充份保护。2、304不锈钢气眼，垫与垫可拼接；17MM气眼，可直接穿主锁；3、保护面积大，特别适合不规则的环境使用。执行标准：GB/T 411-2017《棉印染布》GB 18401-2010 《国家纺织产品基本安全技术规范》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22</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不锈钢梅陇锁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加长型</w:t>
            </w:r>
            <w:r>
              <w:rPr>
                <w:rStyle w:val="35"/>
                <w:sz w:val="20"/>
                <w:szCs w:val="20"/>
                <w:lang w:val="en-US" w:eastAsia="zh-CN" w:bidi="ar"/>
              </w:rPr>
              <w:t>大开口梅隆锁（7mm,不锈钢）,拉力</w:t>
            </w:r>
            <w:r>
              <w:rPr>
                <w:rStyle w:val="34"/>
                <w:rFonts w:ascii="宋体" w:hAnsi="宋体" w:eastAsia="宋体" w:cs="宋体"/>
                <w:sz w:val="32"/>
                <w:szCs w:val="32"/>
                <w:lang w:val="en-US" w:eastAsia="zh-CN" w:bidi="ar"/>
              </w:rPr>
              <w:t>≧</w:t>
            </w:r>
            <w:r>
              <w:rPr>
                <w:rStyle w:val="35"/>
                <w:sz w:val="20"/>
                <w:szCs w:val="20"/>
                <w:lang w:val="en-US" w:eastAsia="zh-CN" w:bidi="ar"/>
              </w:rPr>
              <w:t>25KN，304钢，长</w:t>
            </w:r>
            <w:r>
              <w:rPr>
                <w:rStyle w:val="34"/>
                <w:rFonts w:ascii="宋体" w:hAnsi="宋体" w:eastAsia="宋体" w:cs="宋体"/>
                <w:sz w:val="32"/>
                <w:szCs w:val="32"/>
                <w:lang w:val="en-US" w:eastAsia="zh-CN" w:bidi="ar"/>
              </w:rPr>
              <w:t>≦</w:t>
            </w:r>
            <w:r>
              <w:rPr>
                <w:rStyle w:val="35"/>
                <w:sz w:val="20"/>
                <w:szCs w:val="20"/>
                <w:lang w:val="en-US" w:eastAsia="zh-CN" w:bidi="ar"/>
              </w:rPr>
              <w:t>8cm，宽</w:t>
            </w:r>
            <w:r>
              <w:rPr>
                <w:rStyle w:val="34"/>
                <w:rFonts w:ascii="宋体" w:hAnsi="宋体" w:eastAsia="宋体" w:cs="宋体"/>
                <w:sz w:val="32"/>
                <w:szCs w:val="32"/>
                <w:lang w:val="en-US" w:eastAsia="zh-CN" w:bidi="ar"/>
              </w:rPr>
              <w:t>≦</w:t>
            </w:r>
            <w:r>
              <w:rPr>
                <w:rStyle w:val="35"/>
                <w:sz w:val="20"/>
                <w:szCs w:val="20"/>
                <w:lang w:val="en-US" w:eastAsia="zh-CN" w:bidi="ar"/>
              </w:rPr>
              <w:t>3cm，开口</w:t>
            </w:r>
            <w:r>
              <w:rPr>
                <w:rStyle w:val="34"/>
                <w:rFonts w:ascii="宋体" w:hAnsi="宋体" w:eastAsia="宋体" w:cs="宋体"/>
                <w:sz w:val="32"/>
                <w:szCs w:val="32"/>
                <w:lang w:val="en-US" w:eastAsia="zh-CN" w:bidi="ar"/>
              </w:rPr>
              <w:t>≧</w:t>
            </w:r>
            <w:r>
              <w:rPr>
                <w:rStyle w:val="35"/>
                <w:sz w:val="20"/>
                <w:szCs w:val="20"/>
                <w:lang w:val="en-US" w:eastAsia="zh-CN" w:bidi="ar"/>
              </w:rPr>
              <w:t>10mm，重量：</w:t>
            </w:r>
            <w:r>
              <w:rPr>
                <w:rStyle w:val="34"/>
                <w:rFonts w:ascii="宋体" w:hAnsi="宋体" w:eastAsia="宋体" w:cs="宋体"/>
                <w:sz w:val="32"/>
                <w:szCs w:val="32"/>
                <w:lang w:val="en-US" w:eastAsia="zh-CN" w:bidi="ar"/>
              </w:rPr>
              <w:t>≧</w:t>
            </w:r>
            <w:r>
              <w:rPr>
                <w:rStyle w:val="35"/>
                <w:sz w:val="20"/>
                <w:szCs w:val="20"/>
                <w:lang w:val="en-US" w:eastAsia="zh-CN" w:bidi="ar"/>
              </w:rPr>
              <w:t>62g，执行标准：XF 494-2004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23</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不锈钢挂片</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10mm挂片。用316不锈钢制成，孔径更大，使用更方便。更加防锈和耐腐蚀，适合在降水量很大的地区和海边使用</w:t>
            </w:r>
            <w:r>
              <w:rPr>
                <w:rStyle w:val="35"/>
                <w:sz w:val="20"/>
                <w:szCs w:val="20"/>
                <w:lang w:val="en-US" w:eastAsia="zh-CN" w:bidi="ar"/>
              </w:rPr>
              <w:t>。重量：</w:t>
            </w:r>
            <w:r>
              <w:rPr>
                <w:rStyle w:val="34"/>
                <w:rFonts w:ascii="宋体" w:hAnsi="宋体" w:eastAsia="宋体" w:cs="宋体"/>
                <w:sz w:val="32"/>
                <w:szCs w:val="32"/>
                <w:lang w:val="en-US" w:eastAsia="zh-CN" w:bidi="ar"/>
              </w:rPr>
              <w:t>≧</w:t>
            </w:r>
            <w:r>
              <w:rPr>
                <w:rStyle w:val="35"/>
                <w:sz w:val="20"/>
                <w:szCs w:val="20"/>
                <w:lang w:val="en-US" w:eastAsia="zh-CN" w:bidi="ar"/>
              </w:rPr>
              <w:t>43g 承重：</w:t>
            </w:r>
            <w:r>
              <w:rPr>
                <w:rStyle w:val="34"/>
                <w:rFonts w:ascii="宋体" w:hAnsi="宋体" w:eastAsia="宋体" w:cs="宋体"/>
                <w:sz w:val="32"/>
                <w:szCs w:val="32"/>
                <w:lang w:val="en-US" w:eastAsia="zh-CN" w:bidi="ar"/>
              </w:rPr>
              <w:t>≧</w:t>
            </w:r>
            <w:r>
              <w:rPr>
                <w:rStyle w:val="35"/>
                <w:sz w:val="20"/>
                <w:szCs w:val="20"/>
                <w:lang w:val="en-US" w:eastAsia="zh-CN" w:bidi="ar"/>
              </w:rPr>
              <w:t>25KN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24</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定位挽索</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节挽索用于建立工作定位系统，同时作为防坠落系统的补充。可根据工作位置准确、操作手柄调节长度，以舒适地定位作业位置。缝合终端配有塑料保护套，使绳索保持在适当位置，防止绳索磨损；根据使用环境，可单挂点或双挂点模式使用。重</w:t>
            </w:r>
            <w:r>
              <w:rPr>
                <w:rStyle w:val="35"/>
                <w:sz w:val="20"/>
                <w:szCs w:val="20"/>
                <w:lang w:val="en-US" w:eastAsia="zh-CN" w:bidi="ar"/>
              </w:rPr>
              <w:t>量</w:t>
            </w:r>
            <w:r>
              <w:rPr>
                <w:rStyle w:val="34"/>
                <w:rFonts w:ascii="宋体" w:hAnsi="宋体" w:eastAsia="宋体" w:cs="宋体"/>
                <w:sz w:val="32"/>
                <w:szCs w:val="32"/>
                <w:lang w:val="en-US" w:eastAsia="zh-CN" w:bidi="ar"/>
              </w:rPr>
              <w:t>≧</w:t>
            </w:r>
            <w:r>
              <w:rPr>
                <w:rStyle w:val="35"/>
                <w:sz w:val="20"/>
                <w:szCs w:val="20"/>
                <w:lang w:val="en-US" w:eastAsia="zh-CN" w:bidi="ar"/>
              </w:rPr>
              <w:t>560g，长度可调节至</w:t>
            </w:r>
            <w:r>
              <w:rPr>
                <w:rStyle w:val="34"/>
                <w:rFonts w:ascii="宋体" w:hAnsi="宋体" w:eastAsia="宋体" w:cs="宋体"/>
                <w:sz w:val="32"/>
                <w:szCs w:val="32"/>
                <w:lang w:val="en-US" w:eastAsia="zh-CN" w:bidi="ar"/>
              </w:rPr>
              <w:t>≧</w:t>
            </w:r>
            <w:r>
              <w:rPr>
                <w:rStyle w:val="35"/>
                <w:sz w:val="20"/>
                <w:szCs w:val="20"/>
                <w:lang w:val="en-US" w:eastAsia="zh-CN" w:bidi="ar"/>
              </w:rPr>
              <w:t>3m</w:t>
            </w:r>
            <w:r>
              <w:rPr>
                <w:rFonts w:hint="eastAsia" w:ascii="宋体" w:hAnsi="宋体" w:eastAsia="宋体" w:cs="宋体"/>
                <w:i w:val="0"/>
                <w:iCs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25</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钢制大挂钩</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用于连接大型结构和脚手架等固定锚点的钢制连接大挂钩，双杆锁定系统确保使用的安全</w:t>
            </w:r>
            <w:r>
              <w:rPr>
                <w:rStyle w:val="35"/>
                <w:sz w:val="20"/>
                <w:szCs w:val="20"/>
                <w:lang w:val="en-US" w:eastAsia="zh-CN" w:bidi="ar"/>
              </w:rPr>
              <w:t>性和易操作性,重量：</w:t>
            </w:r>
            <w:r>
              <w:rPr>
                <w:rStyle w:val="34"/>
                <w:rFonts w:ascii="宋体" w:hAnsi="宋体" w:eastAsia="宋体" w:cs="宋体"/>
                <w:sz w:val="32"/>
                <w:szCs w:val="32"/>
                <w:lang w:val="en-US" w:eastAsia="zh-CN" w:bidi="ar"/>
              </w:rPr>
              <w:t>≧</w:t>
            </w:r>
            <w:r>
              <w:rPr>
                <w:rStyle w:val="35"/>
                <w:sz w:val="20"/>
                <w:szCs w:val="20"/>
                <w:lang w:val="en-US" w:eastAsia="zh-CN" w:bidi="ar"/>
              </w:rPr>
              <w:t>470g，纵向拉力：</w:t>
            </w:r>
            <w:r>
              <w:rPr>
                <w:rStyle w:val="34"/>
                <w:rFonts w:ascii="宋体" w:hAnsi="宋体" w:eastAsia="宋体" w:cs="宋体"/>
                <w:sz w:val="32"/>
                <w:szCs w:val="32"/>
                <w:lang w:val="en-US" w:eastAsia="zh-CN" w:bidi="ar"/>
              </w:rPr>
              <w:t>≧</w:t>
            </w:r>
            <w:r>
              <w:rPr>
                <w:rStyle w:val="35"/>
                <w:sz w:val="20"/>
                <w:szCs w:val="20"/>
                <w:lang w:val="en-US" w:eastAsia="zh-CN" w:bidi="ar"/>
              </w:rPr>
              <w:t>25KN，开口尺寸：</w:t>
            </w:r>
            <w:r>
              <w:rPr>
                <w:rStyle w:val="34"/>
                <w:rFonts w:ascii="宋体" w:hAnsi="宋体" w:eastAsia="宋体" w:cs="宋体"/>
                <w:sz w:val="32"/>
                <w:szCs w:val="32"/>
                <w:lang w:val="en-US" w:eastAsia="zh-CN" w:bidi="ar"/>
              </w:rPr>
              <w:t>≧</w:t>
            </w:r>
            <w:r>
              <w:rPr>
                <w:rStyle w:val="35"/>
                <w:sz w:val="20"/>
                <w:szCs w:val="20"/>
                <w:lang w:val="en-US" w:eastAsia="zh-CN" w:bidi="ar"/>
              </w:rPr>
              <w:t>53mm，长度：</w:t>
            </w:r>
            <w:r>
              <w:rPr>
                <w:rStyle w:val="34"/>
                <w:rFonts w:ascii="宋体" w:hAnsi="宋体" w:eastAsia="宋体" w:cs="宋体"/>
                <w:sz w:val="32"/>
                <w:szCs w:val="32"/>
                <w:lang w:val="en-US" w:eastAsia="zh-CN" w:bidi="ar"/>
              </w:rPr>
              <w:t>≧</w:t>
            </w:r>
            <w:r>
              <w:rPr>
                <w:rStyle w:val="35"/>
                <w:sz w:val="20"/>
                <w:szCs w:val="20"/>
                <w:lang w:val="en-US" w:eastAsia="zh-CN" w:bidi="ar"/>
              </w:rPr>
              <w:t>220mm。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2"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26</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四槽护板</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材质：PTFE(聚四氟乙稀)</w:t>
            </w:r>
            <w:r>
              <w:rPr>
                <w:rStyle w:val="35"/>
                <w:sz w:val="20"/>
                <w:szCs w:val="20"/>
                <w:lang w:val="en-US" w:eastAsia="zh-CN" w:bidi="ar"/>
              </w:rPr>
              <w:t>尺寸：</w:t>
            </w:r>
            <w:r>
              <w:rPr>
                <w:rStyle w:val="34"/>
                <w:rFonts w:ascii="宋体" w:hAnsi="宋体" w:eastAsia="宋体" w:cs="宋体"/>
                <w:sz w:val="32"/>
                <w:szCs w:val="32"/>
                <w:lang w:val="en-US" w:eastAsia="zh-CN" w:bidi="ar"/>
              </w:rPr>
              <w:t>≧</w:t>
            </w:r>
            <w:r>
              <w:rPr>
                <w:rStyle w:val="35"/>
                <w:sz w:val="20"/>
                <w:szCs w:val="20"/>
                <w:lang w:val="en-US" w:eastAsia="zh-CN" w:bidi="ar"/>
              </w:rPr>
              <w:t>403*1142*18mm重量：</w:t>
            </w:r>
            <w:r>
              <w:rPr>
                <w:rStyle w:val="34"/>
                <w:rFonts w:ascii="宋体" w:hAnsi="宋体" w:eastAsia="宋体" w:cs="宋体"/>
                <w:sz w:val="32"/>
                <w:szCs w:val="32"/>
                <w:lang w:val="en-US" w:eastAsia="zh-CN" w:bidi="ar"/>
              </w:rPr>
              <w:t>≧</w:t>
            </w:r>
            <w:r>
              <w:rPr>
                <w:rStyle w:val="35"/>
                <w:sz w:val="20"/>
                <w:szCs w:val="20"/>
                <w:lang w:val="en-US" w:eastAsia="zh-CN" w:bidi="ar"/>
              </w:rPr>
              <w:t>776g1、使用PTFE(聚四氟乙稀)制作，具有优良的耐高温和耐低温特性，极低的摩擦系数，耐磨以及强钢韧度和化学稳定性。2、梯槽造型设计加上高强的钢强韧性，适</w:t>
            </w:r>
            <w:r>
              <w:rPr>
                <w:rFonts w:hint="eastAsia" w:ascii="宋体" w:hAnsi="宋体" w:eastAsia="宋体" w:cs="宋体"/>
                <w:i w:val="0"/>
                <w:iCs w:val="0"/>
                <w:color w:val="000000"/>
                <w:kern w:val="0"/>
                <w:sz w:val="20"/>
                <w:szCs w:val="20"/>
                <w:u w:val="none"/>
                <w:lang w:val="en-US" w:eastAsia="zh-CN" w:bidi="ar"/>
              </w:rPr>
              <w:t>合各种不同环境使用。3、四槽、小巧、轻便、两端四角留有固定孔4、可同时保护多条绳索作业。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27</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豆袋</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树上作业用抛投包用于设置锚</w:t>
            </w:r>
            <w:r>
              <w:rPr>
                <w:rStyle w:val="35"/>
                <w:sz w:val="20"/>
                <w:szCs w:val="20"/>
                <w:lang w:val="en-US" w:eastAsia="zh-CN" w:bidi="ar"/>
              </w:rPr>
              <w:t>点采用耐磨材料制造配有</w:t>
            </w:r>
            <w:r>
              <w:rPr>
                <w:rStyle w:val="34"/>
                <w:rFonts w:ascii="宋体" w:hAnsi="宋体" w:eastAsia="宋体" w:cs="宋体"/>
                <w:sz w:val="32"/>
                <w:szCs w:val="32"/>
                <w:lang w:val="en-US" w:eastAsia="zh-CN" w:bidi="ar"/>
              </w:rPr>
              <w:t>≧</w:t>
            </w:r>
            <w:r>
              <w:rPr>
                <w:rStyle w:val="35"/>
                <w:sz w:val="20"/>
                <w:szCs w:val="20"/>
                <w:lang w:val="en-US" w:eastAsia="zh-CN" w:bidi="ar"/>
              </w:rPr>
              <w:t>3mm的钢丝环底部有额外的环，用于拖拽绳索材料：PES，钢，尼龙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28</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抛绳</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材质：大力马纤维16股普</w:t>
            </w:r>
            <w:r>
              <w:rPr>
                <w:rStyle w:val="35"/>
                <w:sz w:val="20"/>
                <w:szCs w:val="20"/>
                <w:lang w:val="en-US" w:eastAsia="zh-CN" w:bidi="ar"/>
              </w:rPr>
              <w:t>编规格：</w:t>
            </w:r>
            <w:r>
              <w:rPr>
                <w:rStyle w:val="34"/>
                <w:rFonts w:ascii="宋体" w:hAnsi="宋体" w:eastAsia="宋体" w:cs="宋体"/>
                <w:sz w:val="32"/>
                <w:szCs w:val="32"/>
                <w:lang w:val="en-US" w:eastAsia="zh-CN" w:bidi="ar"/>
              </w:rPr>
              <w:t>≧</w:t>
            </w:r>
            <w:r>
              <w:rPr>
                <w:rStyle w:val="35"/>
                <w:sz w:val="20"/>
                <w:szCs w:val="20"/>
                <w:lang w:val="en-US" w:eastAsia="zh-CN" w:bidi="ar"/>
              </w:rPr>
              <w:t>2mm（圆绳）ISO 5081:1977标准，实测拉力：</w:t>
            </w:r>
            <w:r>
              <w:rPr>
                <w:rStyle w:val="34"/>
                <w:rFonts w:ascii="宋体" w:hAnsi="宋体" w:eastAsia="宋体" w:cs="宋体"/>
                <w:sz w:val="32"/>
                <w:szCs w:val="32"/>
                <w:lang w:val="en-US" w:eastAsia="zh-CN" w:bidi="ar"/>
              </w:rPr>
              <w:t>≧</w:t>
            </w:r>
            <w:r>
              <w:rPr>
                <w:rStyle w:val="35"/>
                <w:sz w:val="20"/>
                <w:szCs w:val="20"/>
                <w:lang w:val="en-US" w:eastAsia="zh-CN" w:bidi="ar"/>
              </w:rPr>
              <w:t>1419N/144.79KG用于攀树，水域，山地等环境牵引绳索抛投需求使用。1.结合不同使用环境提供50，100，200米长度选择执行标准：ISO 5081:1977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29</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抛绳包</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材质:聚氯乙烯（pvc）夹网布+织物尺</w:t>
            </w:r>
            <w:r>
              <w:rPr>
                <w:rStyle w:val="35"/>
                <w:sz w:val="20"/>
                <w:szCs w:val="20"/>
                <w:lang w:val="en-US" w:eastAsia="zh-CN" w:bidi="ar"/>
              </w:rPr>
              <w:t>寸：</w:t>
            </w:r>
            <w:r>
              <w:rPr>
                <w:rStyle w:val="34"/>
                <w:rFonts w:ascii="宋体" w:hAnsi="宋体" w:eastAsia="宋体" w:cs="宋体"/>
                <w:sz w:val="32"/>
                <w:szCs w:val="32"/>
                <w:lang w:val="en-US" w:eastAsia="zh-CN" w:bidi="ar"/>
              </w:rPr>
              <w:t>≧</w:t>
            </w:r>
            <w:r>
              <w:rPr>
                <w:rStyle w:val="35"/>
                <w:sz w:val="20"/>
                <w:szCs w:val="20"/>
                <w:lang w:val="en-US" w:eastAsia="zh-CN" w:bidi="ar"/>
              </w:rPr>
              <w:t>17x9x24cm容量：4L重量：</w:t>
            </w:r>
            <w:r>
              <w:rPr>
                <w:rStyle w:val="34"/>
                <w:rFonts w:ascii="宋体" w:hAnsi="宋体" w:eastAsia="宋体" w:cs="宋体"/>
                <w:sz w:val="32"/>
                <w:szCs w:val="32"/>
                <w:lang w:val="en-US" w:eastAsia="zh-CN" w:bidi="ar"/>
              </w:rPr>
              <w:t>≧</w:t>
            </w:r>
            <w:r>
              <w:rPr>
                <w:rStyle w:val="35"/>
                <w:sz w:val="20"/>
                <w:szCs w:val="20"/>
                <w:lang w:val="en-US" w:eastAsia="zh-CN" w:bidi="ar"/>
              </w:rPr>
              <w:t>185g10米短绳，15米短绳，单套硅笼适用1、PVC夹网（500D），高周波粘合，坚固耐用，体积小易清洗；2、包身备有多个挂点，可挂或套在安</w:t>
            </w:r>
            <w:r>
              <w:rPr>
                <w:rFonts w:hint="eastAsia" w:ascii="宋体" w:hAnsi="宋体" w:eastAsia="宋体" w:cs="宋体"/>
                <w:i w:val="0"/>
                <w:iCs w:val="0"/>
                <w:color w:val="000000"/>
                <w:kern w:val="0"/>
                <w:sz w:val="20"/>
                <w:szCs w:val="20"/>
                <w:u w:val="none"/>
                <w:lang w:val="en-US" w:eastAsia="zh-CN" w:bidi="ar"/>
              </w:rPr>
              <w:t>全带上；弹力收口绳，放取物方便。3、面料符合国家环保4、QB/T 1333-2018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30</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先锋伸缩杆</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材质：碳纤维孔径：英标1/2-12长度：43-290cm节数：9节、元径：</w:t>
            </w: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31mm、先径：</w:t>
            </w: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12mm重量</w:t>
            </w:r>
            <w:r>
              <w:rPr>
                <w:rStyle w:val="35"/>
                <w:sz w:val="20"/>
                <w:szCs w:val="20"/>
                <w:lang w:val="en-US" w:eastAsia="zh-CN" w:bidi="ar"/>
              </w:rPr>
              <w:t>：</w:t>
            </w:r>
            <w:r>
              <w:rPr>
                <w:rStyle w:val="34"/>
                <w:rFonts w:ascii="宋体" w:hAnsi="宋体" w:eastAsia="宋体" w:cs="宋体"/>
                <w:sz w:val="32"/>
                <w:szCs w:val="32"/>
                <w:lang w:val="en-US" w:eastAsia="zh-CN" w:bidi="ar"/>
              </w:rPr>
              <w:t>≧</w:t>
            </w:r>
            <w:r>
              <w:rPr>
                <w:rStyle w:val="35"/>
                <w:sz w:val="20"/>
                <w:szCs w:val="20"/>
                <w:lang w:val="en-US" w:eastAsia="zh-CN" w:bidi="ar"/>
              </w:rPr>
              <w:t>310g1. 碳纤维材质先锋伸缩杆，长度290CM重量</w:t>
            </w:r>
            <w:r>
              <w:rPr>
                <w:rStyle w:val="34"/>
                <w:rFonts w:ascii="宋体" w:hAnsi="宋体" w:eastAsia="宋体" w:cs="宋体"/>
                <w:sz w:val="32"/>
                <w:szCs w:val="32"/>
                <w:lang w:val="en-US" w:eastAsia="zh-CN" w:bidi="ar"/>
              </w:rPr>
              <w:t>≦</w:t>
            </w:r>
            <w:r>
              <w:rPr>
                <w:rStyle w:val="35"/>
                <w:sz w:val="20"/>
                <w:szCs w:val="20"/>
                <w:lang w:val="en-US" w:eastAsia="zh-CN" w:bidi="ar"/>
              </w:rPr>
              <w:t>310克，最短可以收到43CM，可以装包内携带。2.碳纤材料制造，结实耐用，配合夹子可做先锋挂绳用。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2"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速攀脚踏</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材质：大力马纤维 脚踏</w:t>
            </w:r>
            <w:r>
              <w:rPr>
                <w:rStyle w:val="35"/>
                <w:sz w:val="20"/>
                <w:szCs w:val="20"/>
                <w:lang w:val="en-US" w:eastAsia="zh-CN" w:bidi="ar"/>
              </w:rPr>
              <w:t>长度：</w:t>
            </w:r>
            <w:r>
              <w:rPr>
                <w:rStyle w:val="34"/>
                <w:rFonts w:ascii="宋体" w:hAnsi="宋体" w:eastAsia="宋体" w:cs="宋体"/>
                <w:sz w:val="32"/>
                <w:szCs w:val="32"/>
                <w:lang w:val="en-US" w:eastAsia="zh-CN" w:bidi="ar"/>
              </w:rPr>
              <w:t>≧</w:t>
            </w:r>
            <w:r>
              <w:rPr>
                <w:rStyle w:val="35"/>
                <w:sz w:val="20"/>
                <w:szCs w:val="20"/>
                <w:lang w:val="en-US" w:eastAsia="zh-CN" w:bidi="ar"/>
              </w:rPr>
              <w:t>55cm直径：</w:t>
            </w:r>
            <w:r>
              <w:rPr>
                <w:rStyle w:val="34"/>
                <w:rFonts w:ascii="宋体" w:hAnsi="宋体" w:eastAsia="宋体" w:cs="宋体"/>
                <w:sz w:val="32"/>
                <w:szCs w:val="32"/>
                <w:lang w:val="en-US" w:eastAsia="zh-CN" w:bidi="ar"/>
              </w:rPr>
              <w:t>≧</w:t>
            </w:r>
            <w:r>
              <w:rPr>
                <w:rStyle w:val="35"/>
                <w:sz w:val="20"/>
                <w:szCs w:val="20"/>
                <w:lang w:val="en-US" w:eastAsia="zh-CN" w:bidi="ar"/>
              </w:rPr>
              <w:t>12mm重量：</w:t>
            </w:r>
            <w:r>
              <w:rPr>
                <w:rStyle w:val="34"/>
                <w:rFonts w:ascii="宋体" w:hAnsi="宋体" w:eastAsia="宋体" w:cs="宋体"/>
                <w:sz w:val="32"/>
                <w:szCs w:val="32"/>
                <w:lang w:val="en-US" w:eastAsia="zh-CN" w:bidi="ar"/>
              </w:rPr>
              <w:t>≧</w:t>
            </w:r>
            <w:r>
              <w:rPr>
                <w:rStyle w:val="35"/>
                <w:sz w:val="20"/>
                <w:szCs w:val="20"/>
                <w:lang w:val="en-US" w:eastAsia="zh-CN" w:bidi="ar"/>
              </w:rPr>
              <w:t>56g哈式攀爬脚蹬绳，运用于绳索长距离攀爬比赛，节省体力，提高速度。1、大力马扁带的与橡筋结合，轻巧便携。2、不锈钢日字调节扣，可配合个人身高调节长度；打组缝合，结实美观；脚蹬扁带上的防脱橡筋可紧紧的固定</w:t>
            </w:r>
            <w:r>
              <w:rPr>
                <w:rFonts w:hint="eastAsia" w:ascii="宋体" w:hAnsi="宋体" w:eastAsia="宋体" w:cs="宋体"/>
                <w:i w:val="0"/>
                <w:iCs w:val="0"/>
                <w:color w:val="000000"/>
                <w:kern w:val="0"/>
                <w:sz w:val="20"/>
                <w:szCs w:val="20"/>
                <w:u w:val="none"/>
                <w:lang w:val="en-US" w:eastAsia="zh-CN" w:bidi="ar"/>
              </w:rPr>
              <w:t>鞋子。警告：本品不是PPE,只能承受体重，不能承受冲坠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32</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弹簧绳筐</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便于携带的大容积可收缩绳筐，内沿有四个装备挂环和一个拉链尼龙袋。方便攀岩装备的归类放置及随身小物件的携带。收缩后体积小，便于携带。可提可背。加强尼龙结实耐用，YKK拉链。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33</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静力绳</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10.5</w:t>
            </w:r>
            <w:r>
              <w:rPr>
                <w:rStyle w:val="35"/>
                <w:sz w:val="20"/>
                <w:szCs w:val="20"/>
                <w:lang w:val="en-US" w:eastAsia="zh-CN" w:bidi="ar"/>
              </w:rPr>
              <w:t>mm*200m，绳直径：</w:t>
            </w:r>
            <w:r>
              <w:rPr>
                <w:rStyle w:val="34"/>
                <w:rFonts w:ascii="宋体" w:hAnsi="宋体" w:eastAsia="宋体" w:cs="宋体"/>
                <w:sz w:val="32"/>
                <w:szCs w:val="32"/>
                <w:lang w:val="en-US" w:eastAsia="zh-CN" w:bidi="ar"/>
              </w:rPr>
              <w:t>≧</w:t>
            </w:r>
            <w:r>
              <w:rPr>
                <w:rStyle w:val="35"/>
                <w:sz w:val="20"/>
                <w:szCs w:val="20"/>
                <w:lang w:val="en-US" w:eastAsia="zh-CN" w:bidi="ar"/>
              </w:rPr>
              <w:t>10.5mm，重量：</w:t>
            </w:r>
            <w:r>
              <w:rPr>
                <w:rStyle w:val="34"/>
                <w:rFonts w:ascii="宋体" w:hAnsi="宋体" w:eastAsia="宋体" w:cs="宋体"/>
                <w:sz w:val="32"/>
                <w:szCs w:val="32"/>
                <w:lang w:val="en-US" w:eastAsia="zh-CN" w:bidi="ar"/>
              </w:rPr>
              <w:t>≧</w:t>
            </w:r>
            <w:r>
              <w:rPr>
                <w:rStyle w:val="35"/>
                <w:sz w:val="20"/>
                <w:szCs w:val="20"/>
                <w:lang w:val="en-US" w:eastAsia="zh-CN" w:bidi="ar"/>
              </w:rPr>
              <w:t>71g/m，坠落次数：</w:t>
            </w:r>
            <w:r>
              <w:rPr>
                <w:rStyle w:val="34"/>
                <w:rFonts w:ascii="宋体" w:hAnsi="宋体" w:eastAsia="宋体" w:cs="宋体"/>
                <w:sz w:val="32"/>
                <w:szCs w:val="32"/>
                <w:lang w:val="en-US" w:eastAsia="zh-CN" w:bidi="ar"/>
              </w:rPr>
              <w:t>≧</w:t>
            </w:r>
            <w:r>
              <w:rPr>
                <w:rStyle w:val="35"/>
                <w:sz w:val="20"/>
                <w:szCs w:val="20"/>
                <w:lang w:val="en-US" w:eastAsia="zh-CN" w:bidi="ar"/>
              </w:rPr>
              <w:t>20min.，相对绳皮比率：36%，绳皮滑动率：3%，延展率(50-150kg）：</w:t>
            </w:r>
            <w:r>
              <w:rPr>
                <w:rStyle w:val="34"/>
                <w:rFonts w:ascii="宋体" w:hAnsi="宋体" w:eastAsia="宋体" w:cs="宋体"/>
                <w:sz w:val="32"/>
                <w:szCs w:val="32"/>
                <w:lang w:val="en-US" w:eastAsia="zh-CN" w:bidi="ar"/>
              </w:rPr>
              <w:t>≦</w:t>
            </w:r>
            <w:r>
              <w:rPr>
                <w:rStyle w:val="35"/>
                <w:sz w:val="20"/>
                <w:szCs w:val="20"/>
                <w:lang w:val="en-US" w:eastAsia="zh-CN" w:bidi="ar"/>
              </w:rPr>
              <w:t>3.4%，收缩率：</w:t>
            </w:r>
            <w:r>
              <w:rPr>
                <w:rStyle w:val="34"/>
                <w:rFonts w:ascii="宋体" w:hAnsi="宋体" w:eastAsia="宋体" w:cs="宋体"/>
                <w:sz w:val="32"/>
                <w:szCs w:val="32"/>
                <w:lang w:val="en-US" w:eastAsia="zh-CN" w:bidi="ar"/>
              </w:rPr>
              <w:t>≦</w:t>
            </w:r>
            <w:r>
              <w:rPr>
                <w:rStyle w:val="35"/>
                <w:sz w:val="20"/>
                <w:szCs w:val="20"/>
                <w:lang w:val="en-US" w:eastAsia="zh-CN" w:bidi="ar"/>
              </w:rPr>
              <w:t>1.9%，承载：</w:t>
            </w:r>
            <w:r>
              <w:rPr>
                <w:rStyle w:val="34"/>
                <w:rFonts w:ascii="宋体" w:hAnsi="宋体" w:eastAsia="宋体" w:cs="宋体"/>
                <w:sz w:val="32"/>
                <w:szCs w:val="32"/>
                <w:lang w:val="en-US" w:eastAsia="zh-CN" w:bidi="ar"/>
              </w:rPr>
              <w:t>≧</w:t>
            </w:r>
            <w:r>
              <w:rPr>
                <w:rStyle w:val="35"/>
                <w:sz w:val="20"/>
                <w:szCs w:val="20"/>
                <w:lang w:val="en-US" w:eastAsia="zh-CN" w:bidi="ar"/>
              </w:rPr>
              <w:t>30kN，最小打结承载：</w:t>
            </w:r>
            <w:r>
              <w:rPr>
                <w:rStyle w:val="34"/>
                <w:rFonts w:ascii="宋体" w:hAnsi="宋体" w:eastAsia="宋体" w:cs="宋体"/>
                <w:sz w:val="32"/>
                <w:szCs w:val="32"/>
                <w:lang w:val="en-US" w:eastAsia="zh-CN" w:bidi="ar"/>
              </w:rPr>
              <w:t>≧</w:t>
            </w:r>
            <w:r>
              <w:rPr>
                <w:rStyle w:val="35"/>
                <w:sz w:val="20"/>
                <w:szCs w:val="20"/>
                <w:lang w:val="en-US" w:eastAsia="zh-CN" w:bidi="ar"/>
              </w:rPr>
              <w:t>18kN，使用材料：PA，绳类型：A，颜色：白色。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34</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静力绳</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400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直径</w:t>
            </w:r>
            <w:r>
              <w:rPr>
                <w:rStyle w:val="35"/>
                <w:sz w:val="20"/>
                <w:szCs w:val="20"/>
                <w:lang w:val="en-US" w:eastAsia="zh-CN" w:bidi="ar"/>
              </w:rPr>
              <w:t>：</w:t>
            </w:r>
            <w:r>
              <w:rPr>
                <w:rStyle w:val="34"/>
                <w:rFonts w:ascii="宋体" w:hAnsi="宋体" w:eastAsia="宋体" w:cs="宋体"/>
                <w:sz w:val="32"/>
                <w:szCs w:val="32"/>
                <w:lang w:val="en-US" w:eastAsia="zh-CN" w:bidi="ar"/>
              </w:rPr>
              <w:t>≦</w:t>
            </w:r>
            <w:r>
              <w:rPr>
                <w:rStyle w:val="35"/>
                <w:sz w:val="20"/>
                <w:szCs w:val="20"/>
                <w:lang w:val="en-US" w:eastAsia="zh-CN" w:bidi="ar"/>
              </w:rPr>
              <w:t>10,5 mm；重量：</w:t>
            </w:r>
            <w:r>
              <w:rPr>
                <w:rStyle w:val="34"/>
                <w:rFonts w:ascii="宋体" w:hAnsi="宋体" w:eastAsia="宋体" w:cs="宋体"/>
                <w:sz w:val="32"/>
                <w:szCs w:val="32"/>
                <w:lang w:val="en-US" w:eastAsia="zh-CN" w:bidi="ar"/>
              </w:rPr>
              <w:t>≧</w:t>
            </w:r>
            <w:r>
              <w:rPr>
                <w:rStyle w:val="35"/>
                <w:sz w:val="20"/>
                <w:szCs w:val="20"/>
                <w:lang w:val="en-US" w:eastAsia="zh-CN" w:bidi="ar"/>
              </w:rPr>
              <w:t xml:space="preserve">74 g/m；强度： </w:t>
            </w:r>
            <w:r>
              <w:rPr>
                <w:rStyle w:val="34"/>
                <w:rFonts w:ascii="宋体" w:hAnsi="宋体" w:eastAsia="宋体" w:cs="宋体"/>
                <w:sz w:val="32"/>
                <w:szCs w:val="32"/>
                <w:lang w:val="en-US" w:eastAsia="zh-CN" w:bidi="ar"/>
              </w:rPr>
              <w:t>≧</w:t>
            </w:r>
            <w:r>
              <w:rPr>
                <w:rStyle w:val="35"/>
                <w:sz w:val="20"/>
                <w:szCs w:val="20"/>
                <w:lang w:val="en-US" w:eastAsia="zh-CN" w:bidi="ar"/>
              </w:rPr>
              <w:t>30 kN；8字结强度：</w:t>
            </w:r>
            <w:r>
              <w:rPr>
                <w:rStyle w:val="34"/>
                <w:rFonts w:ascii="宋体" w:hAnsi="宋体" w:eastAsia="宋体" w:cs="宋体"/>
                <w:sz w:val="32"/>
                <w:szCs w:val="32"/>
                <w:lang w:val="en-US" w:eastAsia="zh-CN" w:bidi="ar"/>
              </w:rPr>
              <w:t>≧</w:t>
            </w:r>
            <w:r>
              <w:rPr>
                <w:rStyle w:val="35"/>
                <w:sz w:val="20"/>
                <w:szCs w:val="20"/>
                <w:lang w:val="en-US" w:eastAsia="zh-CN" w:bidi="ar"/>
              </w:rPr>
              <w:t>19 kN；静态延展率：</w:t>
            </w:r>
            <w:r>
              <w:rPr>
                <w:rStyle w:val="34"/>
                <w:rFonts w:ascii="宋体" w:hAnsi="宋体" w:eastAsia="宋体" w:cs="宋体"/>
                <w:sz w:val="32"/>
                <w:szCs w:val="32"/>
                <w:lang w:val="en-US" w:eastAsia="zh-CN" w:bidi="ar"/>
              </w:rPr>
              <w:t>≦</w:t>
            </w:r>
            <w:r>
              <w:rPr>
                <w:rStyle w:val="35"/>
                <w:sz w:val="20"/>
                <w:szCs w:val="20"/>
                <w:lang w:val="en-US" w:eastAsia="zh-CN" w:bidi="ar"/>
              </w:rPr>
              <w:t xml:space="preserve"> 1,9 %；绳皮比例： </w:t>
            </w:r>
            <w:r>
              <w:rPr>
                <w:rStyle w:val="34"/>
                <w:rFonts w:ascii="宋体" w:hAnsi="宋体" w:eastAsia="宋体" w:cs="宋体"/>
                <w:sz w:val="32"/>
                <w:szCs w:val="32"/>
                <w:lang w:val="en-US" w:eastAsia="zh-CN" w:bidi="ar"/>
              </w:rPr>
              <w:t>≧</w:t>
            </w:r>
            <w:r>
              <w:rPr>
                <w:rStyle w:val="35"/>
                <w:sz w:val="20"/>
                <w:szCs w:val="20"/>
                <w:lang w:val="en-US" w:eastAsia="zh-CN" w:bidi="ar"/>
              </w:rPr>
              <w:t>42 %；缩水率：</w:t>
            </w:r>
            <w:r>
              <w:rPr>
                <w:rStyle w:val="34"/>
                <w:rFonts w:ascii="宋体" w:hAnsi="宋体" w:eastAsia="宋体" w:cs="宋体"/>
                <w:sz w:val="32"/>
                <w:szCs w:val="32"/>
                <w:lang w:val="en-US" w:eastAsia="zh-CN" w:bidi="ar"/>
              </w:rPr>
              <w:t>≦</w:t>
            </w:r>
            <w:r>
              <w:rPr>
                <w:rStyle w:val="35"/>
                <w:sz w:val="20"/>
                <w:szCs w:val="20"/>
                <w:lang w:val="en-US" w:eastAsia="zh-CN" w:bidi="ar"/>
              </w:rPr>
              <w:t>2,0 %；打结系数：1,0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35</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头灯</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16</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材质：镁合金</w:t>
            </w:r>
            <w:r>
              <w:rPr>
                <w:rStyle w:val="35"/>
                <w:sz w:val="20"/>
                <w:szCs w:val="20"/>
                <w:lang w:val="en-US" w:eastAsia="zh-CN" w:bidi="ar"/>
              </w:rPr>
              <w:t xml:space="preserve"> 重量</w:t>
            </w:r>
            <w:r>
              <w:rPr>
                <w:rStyle w:val="34"/>
                <w:rFonts w:ascii="宋体" w:hAnsi="宋体" w:eastAsia="宋体" w:cs="宋体"/>
                <w:sz w:val="32"/>
                <w:szCs w:val="32"/>
                <w:lang w:val="en-US" w:eastAsia="zh-CN" w:bidi="ar"/>
              </w:rPr>
              <w:t>≦</w:t>
            </w:r>
            <w:r>
              <w:rPr>
                <w:rStyle w:val="35"/>
                <w:sz w:val="20"/>
                <w:szCs w:val="20"/>
                <w:lang w:val="en-US" w:eastAsia="zh-CN" w:bidi="ar"/>
              </w:rPr>
              <w:t>69.5克（不含电池）8级防水，6级防尘 水下2米LED双光源 亮度七档调节</w:t>
            </w:r>
            <w:r>
              <w:rPr>
                <w:rStyle w:val="34"/>
                <w:rFonts w:ascii="宋体" w:hAnsi="宋体" w:eastAsia="宋体" w:cs="宋体"/>
                <w:sz w:val="32"/>
                <w:szCs w:val="32"/>
                <w:lang w:val="en-US" w:eastAsia="zh-CN" w:bidi="ar"/>
              </w:rPr>
              <w:t>≧</w:t>
            </w:r>
            <w:r>
              <w:rPr>
                <w:rStyle w:val="35"/>
                <w:sz w:val="20"/>
                <w:szCs w:val="20"/>
                <w:lang w:val="en-US" w:eastAsia="zh-CN" w:bidi="ar"/>
              </w:rPr>
              <w:t>300小时续航。最高亮度：</w:t>
            </w:r>
            <w:r>
              <w:rPr>
                <w:rStyle w:val="34"/>
                <w:rFonts w:ascii="宋体" w:hAnsi="宋体" w:eastAsia="宋体" w:cs="宋体"/>
                <w:sz w:val="32"/>
                <w:szCs w:val="32"/>
                <w:lang w:val="en-US" w:eastAsia="zh-CN" w:bidi="ar"/>
              </w:rPr>
              <w:t>≧</w:t>
            </w:r>
            <w:r>
              <w:rPr>
                <w:rStyle w:val="35"/>
                <w:sz w:val="20"/>
                <w:szCs w:val="20"/>
                <w:lang w:val="en-US" w:eastAsia="zh-CN" w:bidi="ar"/>
              </w:rPr>
              <w:t>1400流明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36</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45L绳包</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材质:聚氯乙烯（pvc）夹网</w:t>
            </w:r>
            <w:r>
              <w:rPr>
                <w:rStyle w:val="35"/>
                <w:sz w:val="20"/>
                <w:szCs w:val="20"/>
                <w:lang w:val="en-US" w:eastAsia="zh-CN" w:bidi="ar"/>
              </w:rPr>
              <w:t>布+织物尺寸：</w:t>
            </w:r>
            <w:r>
              <w:rPr>
                <w:rStyle w:val="34"/>
                <w:rFonts w:ascii="宋体" w:hAnsi="宋体" w:eastAsia="宋体" w:cs="宋体"/>
                <w:sz w:val="32"/>
                <w:szCs w:val="32"/>
                <w:lang w:val="en-US" w:eastAsia="zh-CN" w:bidi="ar"/>
              </w:rPr>
              <w:t>≧</w:t>
            </w:r>
            <w:r>
              <w:rPr>
                <w:rStyle w:val="35"/>
                <w:sz w:val="20"/>
                <w:szCs w:val="20"/>
                <w:lang w:val="en-US" w:eastAsia="zh-CN" w:bidi="ar"/>
              </w:rPr>
              <w:t>34*24*65cm容量：</w:t>
            </w:r>
            <w:r>
              <w:rPr>
                <w:rStyle w:val="34"/>
                <w:rFonts w:ascii="宋体" w:hAnsi="宋体" w:eastAsia="宋体" w:cs="宋体"/>
                <w:sz w:val="32"/>
                <w:szCs w:val="32"/>
                <w:lang w:val="en-US" w:eastAsia="zh-CN" w:bidi="ar"/>
              </w:rPr>
              <w:t>≧</w:t>
            </w:r>
            <w:r>
              <w:rPr>
                <w:rStyle w:val="35"/>
                <w:sz w:val="20"/>
                <w:szCs w:val="20"/>
                <w:lang w:val="en-US" w:eastAsia="zh-CN" w:bidi="ar"/>
              </w:rPr>
              <w:t>45L重量：</w:t>
            </w:r>
            <w:r>
              <w:rPr>
                <w:rStyle w:val="34"/>
                <w:rFonts w:ascii="宋体" w:hAnsi="宋体" w:eastAsia="宋体" w:cs="宋体"/>
                <w:sz w:val="32"/>
                <w:szCs w:val="32"/>
                <w:lang w:val="en-US" w:eastAsia="zh-CN" w:bidi="ar"/>
              </w:rPr>
              <w:t>≧</w:t>
            </w:r>
            <w:r>
              <w:rPr>
                <w:rStyle w:val="35"/>
                <w:sz w:val="20"/>
                <w:szCs w:val="20"/>
                <w:lang w:val="en-US" w:eastAsia="zh-CN" w:bidi="ar"/>
              </w:rPr>
              <w:t>1180g入200米/10.5MM绳 1.聚氯乙烯夹网（1000D），高周波压合，坚固耐磨；28*47cm低吸水带有衬垫背负，19*8cm加厚腰带和6.5cm弯型可调节肩带的舒适性，适合长距离背负。2.背负顶上置有1个直向提手，1个吊</w:t>
            </w:r>
            <w:r>
              <w:rPr>
                <w:rFonts w:hint="eastAsia" w:ascii="宋体" w:hAnsi="宋体" w:eastAsia="宋体" w:cs="宋体"/>
                <w:i w:val="0"/>
                <w:iCs w:val="0"/>
                <w:color w:val="000000"/>
                <w:kern w:val="0"/>
                <w:sz w:val="20"/>
                <w:szCs w:val="20"/>
                <w:u w:val="none"/>
                <w:lang w:val="en-US" w:eastAsia="zh-CN" w:bidi="ar"/>
              </w:rPr>
              <w:t>包织带环，侧面有1个横向提手3.袋内置有1个拉链小件附袋，5个挂点。4.袋口有防漏档盖，预防小件漏出。5.袋口锁使用国际品牌UTX搭型扣，实现快速开关操作功能，结实耐用。6、执行标准： QB/T 1333-2018  （有质检报告）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9"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37</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救援三脚架</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救援三脚架用于山地救援，可以调节各脚架长度，调节三脚架到一个合适的救援角度，支撑脚两节可分解式，便于携带，连接头可以组合成三角型、A型支架、斜A型支架或起重支架。组成斜A型支架时，可以更适合悬崖或建筑物边缘的救援。可以帮助救援人员在悬崖、狭窄空间或工业现场更有效地建立起救援系统，建立系统时不需要D型挂钩，顶部直接安装的滑轮，配有多种基座，适合各种救援场所。可收纳到4个便携式背包中，便于在山地、坡道等特殊环境下携带。具备适应沙地、岩石、水泥地等多种环境的架设能力。由三脚架、加长脚、收紧扁带、收紧器、绳包、器材包、弹簧螺栓、螺帽组成。配备连接头1件，工具包 5件，连接头滑轮1个，上支腿 3件，下支腿 7件，连接头销钉 4件，支腿销钉 11件，平支脚3件，尖支脚3件，普通高度</w:t>
            </w:r>
            <w:r>
              <w:rPr>
                <w:rStyle w:val="36"/>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2.7 m，加长高度</w:t>
            </w:r>
            <w:r>
              <w:rPr>
                <w:rStyle w:val="36"/>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3.7 m，安全承重</w:t>
            </w:r>
            <w:r>
              <w:rPr>
                <w:rStyle w:val="36"/>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3600kg，整套系统重量</w:t>
            </w:r>
            <w:r>
              <w:rPr>
                <w:rStyle w:val="36"/>
                <w:sz w:val="20"/>
                <w:szCs w:val="20"/>
                <w:lang w:val="en-US" w:eastAsia="zh-CN" w:bidi="ar"/>
              </w:rPr>
              <w:t>≧</w:t>
            </w:r>
            <w:r>
              <w:rPr>
                <w:rFonts w:hint="eastAsia" w:ascii="宋体" w:hAnsi="宋体" w:eastAsia="宋体" w:cs="宋体"/>
                <w:i w:val="0"/>
                <w:iCs w:val="0"/>
                <w:color w:val="000000"/>
                <w:kern w:val="0"/>
                <w:sz w:val="20"/>
                <w:szCs w:val="20"/>
                <w:u w:val="none"/>
                <w:lang w:val="en-US" w:eastAsia="zh-CN" w:bidi="ar"/>
              </w:rPr>
              <w:t>28 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38</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100L驮包</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材质:聚氯乙烯（pvc）夹网布+织物规格</w:t>
            </w:r>
            <w:r>
              <w:rPr>
                <w:rStyle w:val="35"/>
                <w:sz w:val="20"/>
                <w:szCs w:val="20"/>
                <w:lang w:val="en-US" w:eastAsia="zh-CN" w:bidi="ar"/>
              </w:rPr>
              <w:t>：</w:t>
            </w:r>
            <w:r>
              <w:rPr>
                <w:rStyle w:val="34"/>
                <w:rFonts w:ascii="宋体" w:hAnsi="宋体" w:eastAsia="宋体" w:cs="宋体"/>
                <w:sz w:val="32"/>
                <w:szCs w:val="32"/>
                <w:lang w:val="en-US" w:eastAsia="zh-CN" w:bidi="ar"/>
              </w:rPr>
              <w:t>≧</w:t>
            </w:r>
            <w:r>
              <w:rPr>
                <w:rStyle w:val="35"/>
                <w:sz w:val="20"/>
                <w:szCs w:val="20"/>
                <w:lang w:val="en-US" w:eastAsia="zh-CN" w:bidi="ar"/>
              </w:rPr>
              <w:t>78×40×38cm容量：</w:t>
            </w:r>
            <w:r>
              <w:rPr>
                <w:rStyle w:val="34"/>
                <w:rFonts w:ascii="宋体" w:hAnsi="宋体" w:eastAsia="宋体" w:cs="宋体"/>
                <w:sz w:val="32"/>
                <w:szCs w:val="32"/>
                <w:lang w:val="en-US" w:eastAsia="zh-CN" w:bidi="ar"/>
              </w:rPr>
              <w:t>≧</w:t>
            </w:r>
            <w:r>
              <w:rPr>
                <w:rStyle w:val="35"/>
                <w:sz w:val="20"/>
                <w:szCs w:val="20"/>
                <w:lang w:val="en-US" w:eastAsia="zh-CN" w:bidi="ar"/>
              </w:rPr>
              <w:t>120L重量：</w:t>
            </w:r>
            <w:r>
              <w:rPr>
                <w:rStyle w:val="34"/>
                <w:rFonts w:ascii="宋体" w:hAnsi="宋体" w:eastAsia="宋体" w:cs="宋体"/>
                <w:sz w:val="32"/>
                <w:szCs w:val="32"/>
                <w:lang w:val="en-US" w:eastAsia="zh-CN" w:bidi="ar"/>
              </w:rPr>
              <w:t>≧</w:t>
            </w:r>
            <w:r>
              <w:rPr>
                <w:rStyle w:val="35"/>
                <w:sz w:val="20"/>
                <w:szCs w:val="20"/>
                <w:lang w:val="en-US" w:eastAsia="zh-CN" w:bidi="ar"/>
              </w:rPr>
              <w:t>2290g1、大开口主仓，包盖内设有拉链网袋，独立侧仓，干湿分储，两侧提手，</w:t>
            </w:r>
            <w:r>
              <w:rPr>
                <w:rFonts w:hint="eastAsia" w:ascii="宋体" w:hAnsi="宋体" w:eastAsia="宋体" w:cs="宋体"/>
                <w:i w:val="0"/>
                <w:iCs w:val="0"/>
                <w:color w:val="000000"/>
                <w:kern w:val="0"/>
                <w:sz w:val="20"/>
                <w:szCs w:val="20"/>
                <w:u w:val="none"/>
                <w:lang w:val="en-US" w:eastAsia="zh-CN" w:bidi="ar"/>
              </w:rPr>
              <w:t>可两人抬行；设有可拆装背包带，可变背包；有ID卡片窗。2、巨大容量，坚固耐磨，适合长途运输装备使用。3、面料符合国家环保4、执行标准： QB/T 1333-2018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39</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中号分力板</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8孔铝合金锚固点,孔径：</w:t>
            </w:r>
            <w:r>
              <w:rPr>
                <w:rStyle w:val="34"/>
                <w:rFonts w:ascii="宋体" w:hAnsi="宋体" w:eastAsia="宋体" w:cs="宋体"/>
                <w:sz w:val="32"/>
                <w:szCs w:val="32"/>
                <w:lang w:val="en-US" w:eastAsia="zh-CN" w:bidi="ar"/>
              </w:rPr>
              <w:t>≧</w:t>
            </w:r>
            <w:r>
              <w:rPr>
                <w:rStyle w:val="35"/>
                <w:sz w:val="20"/>
                <w:szCs w:val="20"/>
                <w:lang w:val="en-US" w:eastAsia="zh-CN" w:bidi="ar"/>
              </w:rPr>
              <w:t>19毫米，适合用于救援时设置锚点，颜色为蓝色。 材质：铝合金；重量：</w:t>
            </w:r>
            <w:r>
              <w:rPr>
                <w:rStyle w:val="34"/>
                <w:rFonts w:ascii="宋体" w:hAnsi="宋体" w:eastAsia="宋体" w:cs="宋体"/>
                <w:sz w:val="32"/>
                <w:szCs w:val="32"/>
                <w:lang w:val="en-US" w:eastAsia="zh-CN" w:bidi="ar"/>
              </w:rPr>
              <w:t>≧</w:t>
            </w:r>
            <w:r>
              <w:rPr>
                <w:rStyle w:val="35"/>
                <w:sz w:val="20"/>
                <w:szCs w:val="20"/>
                <w:lang w:val="en-US" w:eastAsia="zh-CN" w:bidi="ar"/>
              </w:rPr>
              <w:t>210g；断裂负荷：</w:t>
            </w:r>
            <w:r>
              <w:rPr>
                <w:rStyle w:val="34"/>
                <w:rFonts w:ascii="宋体" w:hAnsi="宋体" w:eastAsia="宋体" w:cs="宋体"/>
                <w:sz w:val="32"/>
                <w:szCs w:val="32"/>
                <w:lang w:val="en-US" w:eastAsia="zh-CN" w:bidi="ar"/>
              </w:rPr>
              <w:t>≧</w:t>
            </w:r>
            <w:r>
              <w:rPr>
                <w:rStyle w:val="35"/>
                <w:sz w:val="20"/>
                <w:szCs w:val="20"/>
                <w:lang w:val="en-US" w:eastAsia="zh-CN" w:bidi="ar"/>
              </w:rPr>
              <w:t>36kN；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40</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工字钢锚点</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w:t>
            </w:r>
            <w:r>
              <w:rPr>
                <w:rStyle w:val="35"/>
                <w:sz w:val="20"/>
                <w:szCs w:val="20"/>
                <w:lang w:val="en-US" w:eastAsia="zh-CN" w:bidi="ar"/>
              </w:rPr>
              <w:t>：铝合金、不锈钢工作负荷：</w:t>
            </w:r>
            <w:r>
              <w:rPr>
                <w:rStyle w:val="34"/>
                <w:rFonts w:ascii="宋体" w:hAnsi="宋体" w:eastAsia="宋体" w:cs="宋体"/>
                <w:sz w:val="32"/>
                <w:szCs w:val="32"/>
                <w:lang w:val="en-US" w:eastAsia="zh-CN" w:bidi="ar"/>
              </w:rPr>
              <w:t>≧</w:t>
            </w:r>
            <w:r>
              <w:rPr>
                <w:rStyle w:val="35"/>
                <w:sz w:val="20"/>
                <w:szCs w:val="20"/>
                <w:lang w:val="en-US" w:eastAsia="zh-CN" w:bidi="ar"/>
              </w:rPr>
              <w:t>140kg；最小断裂强度：</w:t>
            </w:r>
            <w:r>
              <w:rPr>
                <w:rStyle w:val="34"/>
                <w:rFonts w:ascii="宋体" w:hAnsi="宋体" w:eastAsia="宋体" w:cs="宋体"/>
                <w:sz w:val="32"/>
                <w:szCs w:val="32"/>
                <w:lang w:val="en-US" w:eastAsia="zh-CN" w:bidi="ar"/>
              </w:rPr>
              <w:t>≧</w:t>
            </w:r>
            <w:r>
              <w:rPr>
                <w:rStyle w:val="35"/>
                <w:sz w:val="20"/>
                <w:szCs w:val="20"/>
                <w:lang w:val="en-US" w:eastAsia="zh-CN" w:bidi="ar"/>
              </w:rPr>
              <w:t>22kn；最大安装宽度：</w:t>
            </w:r>
            <w:r>
              <w:rPr>
                <w:rStyle w:val="34"/>
                <w:rFonts w:ascii="宋体" w:hAnsi="宋体" w:eastAsia="宋体" w:cs="宋体"/>
                <w:sz w:val="32"/>
                <w:szCs w:val="32"/>
                <w:lang w:val="en-US" w:eastAsia="zh-CN" w:bidi="ar"/>
              </w:rPr>
              <w:t>≧</w:t>
            </w:r>
            <w:r>
              <w:rPr>
                <w:rStyle w:val="35"/>
                <w:sz w:val="20"/>
                <w:szCs w:val="20"/>
                <w:lang w:val="en-US" w:eastAsia="zh-CN" w:bidi="ar"/>
              </w:rPr>
              <w:t>350mm；最小安装宽度：</w:t>
            </w:r>
            <w:r>
              <w:rPr>
                <w:rStyle w:val="34"/>
                <w:rFonts w:ascii="宋体" w:hAnsi="宋体" w:eastAsia="宋体" w:cs="宋体"/>
                <w:sz w:val="32"/>
                <w:szCs w:val="32"/>
                <w:lang w:val="en-US" w:eastAsia="zh-CN" w:bidi="ar"/>
              </w:rPr>
              <w:t>≦</w:t>
            </w:r>
            <w:r>
              <w:rPr>
                <w:rStyle w:val="35"/>
                <w:sz w:val="20"/>
                <w:szCs w:val="20"/>
                <w:lang w:val="en-US" w:eastAsia="zh-CN" w:bidi="ar"/>
              </w:rPr>
              <w:t>90mm；最大安装厚度：</w:t>
            </w:r>
            <w:r>
              <w:rPr>
                <w:rStyle w:val="34"/>
                <w:rFonts w:ascii="宋体" w:hAnsi="宋体" w:eastAsia="宋体" w:cs="宋体"/>
                <w:sz w:val="32"/>
                <w:szCs w:val="32"/>
                <w:lang w:val="en-US" w:eastAsia="zh-CN" w:bidi="ar"/>
              </w:rPr>
              <w:t>≧</w:t>
            </w:r>
            <w:r>
              <w:rPr>
                <w:rStyle w:val="35"/>
                <w:sz w:val="20"/>
                <w:szCs w:val="20"/>
                <w:lang w:val="en-US" w:eastAsia="zh-CN" w:bidi="ar"/>
              </w:rPr>
              <w:t>30mm；执行标准： GB 30862-2014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门窗锚点</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门窗锚点.用于室内门/窗临时架设锚点.非常快速且易于设置.无需工具即可在窗户或门口固定.根据框架的间距可调间距.轴承表面涂有合成材料.可以同时承受两个人作业（根据空间）.宽900mm以内，连接两个人.宽900-1100mm，只能连接一个人重量:</w:t>
            </w:r>
            <w:r>
              <w:rPr>
                <w:rStyle w:val="35"/>
                <w:sz w:val="20"/>
                <w:szCs w:val="20"/>
                <w:lang w:val="en-US" w:eastAsia="zh-CN" w:bidi="ar"/>
              </w:rPr>
              <w:t xml:space="preserve"> </w:t>
            </w:r>
            <w:r>
              <w:rPr>
                <w:rStyle w:val="34"/>
                <w:rFonts w:ascii="宋体" w:hAnsi="宋体" w:eastAsia="宋体" w:cs="宋体"/>
                <w:sz w:val="32"/>
                <w:szCs w:val="32"/>
                <w:lang w:val="en-US" w:eastAsia="zh-CN" w:bidi="ar"/>
              </w:rPr>
              <w:t>≧</w:t>
            </w:r>
            <w:r>
              <w:rPr>
                <w:rStyle w:val="35"/>
                <w:sz w:val="20"/>
                <w:szCs w:val="20"/>
                <w:lang w:val="en-US" w:eastAsia="zh-CN" w:bidi="ar"/>
              </w:rPr>
              <w:t xml:space="preserve">11 kg强度: </w:t>
            </w:r>
            <w:r>
              <w:rPr>
                <w:rStyle w:val="34"/>
                <w:rFonts w:ascii="宋体" w:hAnsi="宋体" w:eastAsia="宋体" w:cs="宋体"/>
                <w:sz w:val="32"/>
                <w:szCs w:val="32"/>
                <w:lang w:val="en-US" w:eastAsia="zh-CN" w:bidi="ar"/>
              </w:rPr>
              <w:t>≧</w:t>
            </w:r>
            <w:r>
              <w:rPr>
                <w:rStyle w:val="35"/>
                <w:sz w:val="20"/>
                <w:szCs w:val="20"/>
                <w:lang w:val="en-US" w:eastAsia="zh-CN" w:bidi="ar"/>
              </w:rPr>
              <w:t xml:space="preserve">22 kN长度: </w:t>
            </w:r>
            <w:r>
              <w:rPr>
                <w:rStyle w:val="34"/>
                <w:rFonts w:ascii="宋体" w:hAnsi="宋体" w:eastAsia="宋体" w:cs="宋体"/>
                <w:sz w:val="32"/>
                <w:szCs w:val="32"/>
                <w:lang w:val="en-US" w:eastAsia="zh-CN" w:bidi="ar"/>
              </w:rPr>
              <w:t>≧</w:t>
            </w:r>
            <w:r>
              <w:rPr>
                <w:rStyle w:val="35"/>
                <w:sz w:val="20"/>
                <w:szCs w:val="20"/>
                <w:lang w:val="en-US" w:eastAsia="zh-CN" w:bidi="ar"/>
              </w:rPr>
              <w:t>1410 mm (最大内尺寸1100 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成型扁带环</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扁带环，用于设置简易临时确定点。材质采用强力尼龙纤维编制，超强耐磨，颜色绿色，偏于识别。长</w:t>
            </w:r>
            <w:r>
              <w:rPr>
                <w:rStyle w:val="35"/>
                <w:sz w:val="20"/>
                <w:szCs w:val="20"/>
                <w:lang w:val="en-US" w:eastAsia="zh-CN" w:bidi="ar"/>
              </w:rPr>
              <w:t>度</w:t>
            </w:r>
            <w:r>
              <w:rPr>
                <w:rStyle w:val="34"/>
                <w:rFonts w:ascii="宋体" w:hAnsi="宋体" w:eastAsia="宋体" w:cs="宋体"/>
                <w:sz w:val="32"/>
                <w:szCs w:val="32"/>
                <w:lang w:val="en-US" w:eastAsia="zh-CN" w:bidi="ar"/>
              </w:rPr>
              <w:t>≧</w:t>
            </w:r>
            <w:r>
              <w:rPr>
                <w:rStyle w:val="35"/>
                <w:sz w:val="20"/>
                <w:szCs w:val="20"/>
                <w:lang w:val="en-US" w:eastAsia="zh-CN" w:bidi="ar"/>
              </w:rPr>
              <w:t>120cm，宽</w:t>
            </w:r>
            <w:r>
              <w:rPr>
                <w:rStyle w:val="34"/>
                <w:rFonts w:ascii="宋体" w:hAnsi="宋体" w:eastAsia="宋体" w:cs="宋体"/>
                <w:sz w:val="32"/>
                <w:szCs w:val="32"/>
                <w:lang w:val="en-US" w:eastAsia="zh-CN" w:bidi="ar"/>
              </w:rPr>
              <w:t>≧</w:t>
            </w:r>
            <w:r>
              <w:rPr>
                <w:rStyle w:val="35"/>
                <w:sz w:val="20"/>
                <w:szCs w:val="20"/>
                <w:lang w:val="en-US" w:eastAsia="zh-CN" w:bidi="ar"/>
              </w:rPr>
              <w:t>18mm，重量</w:t>
            </w:r>
            <w:r>
              <w:rPr>
                <w:rStyle w:val="34"/>
                <w:rFonts w:ascii="宋体" w:hAnsi="宋体" w:eastAsia="宋体" w:cs="宋体"/>
                <w:sz w:val="32"/>
                <w:szCs w:val="32"/>
                <w:lang w:val="en-US" w:eastAsia="zh-CN" w:bidi="ar"/>
              </w:rPr>
              <w:t>≧</w:t>
            </w:r>
            <w:r>
              <w:rPr>
                <w:rStyle w:val="35"/>
                <w:sz w:val="20"/>
                <w:szCs w:val="20"/>
                <w:lang w:val="en-US" w:eastAsia="zh-CN" w:bidi="ar"/>
              </w:rPr>
              <w:t>100g，断裂负荷</w:t>
            </w:r>
            <w:r>
              <w:rPr>
                <w:rStyle w:val="34"/>
                <w:rFonts w:ascii="宋体" w:hAnsi="宋体" w:eastAsia="宋体" w:cs="宋体"/>
                <w:sz w:val="32"/>
                <w:szCs w:val="32"/>
                <w:lang w:val="en-US" w:eastAsia="zh-CN" w:bidi="ar"/>
              </w:rPr>
              <w:t>≧</w:t>
            </w:r>
            <w:r>
              <w:rPr>
                <w:rStyle w:val="35"/>
                <w:sz w:val="20"/>
                <w:szCs w:val="20"/>
                <w:lang w:val="en-US" w:eastAsia="zh-CN" w:bidi="ar"/>
              </w:rPr>
              <w:t>2</w:t>
            </w:r>
            <w:r>
              <w:rPr>
                <w:rFonts w:hint="eastAsia" w:ascii="宋体" w:hAnsi="宋体" w:eastAsia="宋体" w:cs="宋体"/>
                <w:i w:val="0"/>
                <w:iCs w:val="0"/>
                <w:color w:val="000000"/>
                <w:kern w:val="0"/>
                <w:sz w:val="20"/>
                <w:szCs w:val="20"/>
                <w:u w:val="none"/>
                <w:lang w:val="en-US" w:eastAsia="zh-CN" w:bidi="ar"/>
              </w:rPr>
              <w:t>2KN。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43</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成型扁带环</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扁带环，用于设置简易临时确定点。材质采用强力尼龙纤维编制，超强耐磨，颜色黄色，偏于识别</w:t>
            </w:r>
            <w:r>
              <w:rPr>
                <w:rStyle w:val="35"/>
                <w:sz w:val="20"/>
                <w:szCs w:val="20"/>
                <w:lang w:val="en-US" w:eastAsia="zh-CN" w:bidi="ar"/>
              </w:rPr>
              <w:t>。长度</w:t>
            </w:r>
            <w:r>
              <w:rPr>
                <w:rStyle w:val="34"/>
                <w:rFonts w:ascii="宋体" w:hAnsi="宋体" w:eastAsia="宋体" w:cs="宋体"/>
                <w:sz w:val="32"/>
                <w:szCs w:val="32"/>
                <w:lang w:val="en-US" w:eastAsia="zh-CN" w:bidi="ar"/>
              </w:rPr>
              <w:t>≧</w:t>
            </w:r>
            <w:r>
              <w:rPr>
                <w:rStyle w:val="35"/>
                <w:sz w:val="20"/>
                <w:szCs w:val="20"/>
                <w:lang w:val="en-US" w:eastAsia="zh-CN" w:bidi="ar"/>
              </w:rPr>
              <w:t>60cm，宽</w:t>
            </w:r>
            <w:r>
              <w:rPr>
                <w:rStyle w:val="34"/>
                <w:rFonts w:ascii="宋体" w:hAnsi="宋体" w:eastAsia="宋体" w:cs="宋体"/>
                <w:sz w:val="32"/>
                <w:szCs w:val="32"/>
                <w:lang w:val="en-US" w:eastAsia="zh-CN" w:bidi="ar"/>
              </w:rPr>
              <w:t>≧</w:t>
            </w:r>
            <w:r>
              <w:rPr>
                <w:rStyle w:val="35"/>
                <w:sz w:val="20"/>
                <w:szCs w:val="20"/>
                <w:lang w:val="en-US" w:eastAsia="zh-CN" w:bidi="ar"/>
              </w:rPr>
              <w:t>18mm，重量</w:t>
            </w:r>
            <w:r>
              <w:rPr>
                <w:rStyle w:val="34"/>
                <w:rFonts w:ascii="宋体" w:hAnsi="宋体" w:eastAsia="宋体" w:cs="宋体"/>
                <w:sz w:val="32"/>
                <w:szCs w:val="32"/>
                <w:lang w:val="en-US" w:eastAsia="zh-CN" w:bidi="ar"/>
              </w:rPr>
              <w:t>≧</w:t>
            </w:r>
            <w:r>
              <w:rPr>
                <w:rStyle w:val="35"/>
                <w:sz w:val="20"/>
                <w:szCs w:val="20"/>
                <w:lang w:val="en-US" w:eastAsia="zh-CN" w:bidi="ar"/>
              </w:rPr>
              <w:t>60g，断裂负荷</w:t>
            </w:r>
            <w:r>
              <w:rPr>
                <w:rStyle w:val="34"/>
                <w:rFonts w:ascii="宋体" w:hAnsi="宋体" w:eastAsia="宋体" w:cs="宋体"/>
                <w:sz w:val="32"/>
                <w:szCs w:val="32"/>
                <w:lang w:val="en-US" w:eastAsia="zh-CN" w:bidi="ar"/>
              </w:rPr>
              <w:t>≧</w:t>
            </w:r>
            <w:r>
              <w:rPr>
                <w:rStyle w:val="35"/>
                <w:sz w:val="20"/>
                <w:szCs w:val="20"/>
                <w:lang w:val="en-US" w:eastAsia="zh-CN" w:bidi="ar"/>
              </w:rPr>
              <w:t>22KN。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44</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8mm耐高温抓结绳</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材质：</w:t>
            </w:r>
            <w:r>
              <w:rPr>
                <w:rStyle w:val="35"/>
                <w:sz w:val="20"/>
                <w:szCs w:val="20"/>
                <w:lang w:val="en-US" w:eastAsia="zh-CN" w:bidi="ar"/>
              </w:rPr>
              <w:t>涤纶和芳纶断裂拉力：</w:t>
            </w:r>
            <w:r>
              <w:rPr>
                <w:rStyle w:val="34"/>
                <w:rFonts w:ascii="宋体" w:hAnsi="宋体" w:eastAsia="宋体" w:cs="宋体"/>
                <w:sz w:val="32"/>
                <w:szCs w:val="32"/>
                <w:lang w:val="en-US" w:eastAsia="zh-CN" w:bidi="ar"/>
              </w:rPr>
              <w:t>≧</w:t>
            </w:r>
            <w:r>
              <w:rPr>
                <w:rStyle w:val="35"/>
                <w:sz w:val="20"/>
                <w:szCs w:val="20"/>
                <w:lang w:val="en-US" w:eastAsia="zh-CN" w:bidi="ar"/>
              </w:rPr>
              <w:t>18kN（8mm）20kN（10mm）/ 重量 ：</w:t>
            </w:r>
            <w:r>
              <w:rPr>
                <w:rStyle w:val="34"/>
                <w:rFonts w:ascii="宋体" w:hAnsi="宋体" w:eastAsia="宋体" w:cs="宋体"/>
                <w:sz w:val="32"/>
                <w:szCs w:val="32"/>
                <w:lang w:val="en-US" w:eastAsia="zh-CN" w:bidi="ar"/>
              </w:rPr>
              <w:t>≧</w:t>
            </w:r>
            <w:r>
              <w:rPr>
                <w:rStyle w:val="35"/>
                <w:sz w:val="20"/>
                <w:szCs w:val="20"/>
                <w:lang w:val="en-US" w:eastAsia="zh-CN" w:bidi="ar"/>
              </w:rPr>
              <w:t>79 g/（80cm)。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45</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救援三角吊带</w:t>
            </w:r>
            <w:r>
              <w:rPr>
                <w:rFonts w:hint="eastAsia" w:ascii="黑体" w:hAnsi="宋体" w:eastAsia="黑体" w:cs="黑体"/>
                <w:b/>
                <w:bCs/>
                <w:i w:val="0"/>
                <w:iCs w:val="0"/>
                <w:color w:val="000000"/>
                <w:kern w:val="0"/>
                <w:sz w:val="28"/>
                <w:szCs w:val="28"/>
                <w:u w:val="none"/>
                <w:lang w:val="en-US" w:eastAsia="zh-CN" w:bidi="ar"/>
              </w:rPr>
              <w:t>★</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疏散用三角吊带，用于各类救援，滑雪缆车救援或消防使用，能在短时间内疏散被困者。配有肩带，可快速穿戴，并且配有可调节的自锁扣，可快速调整。重量</w:t>
            </w:r>
            <w:r>
              <w:rPr>
                <w:rStyle w:val="34"/>
                <w:rFonts w:ascii="宋体" w:hAnsi="宋体" w:eastAsia="宋体" w:cs="宋体"/>
                <w:sz w:val="32"/>
                <w:szCs w:val="32"/>
                <w:lang w:val="en-US" w:eastAsia="zh-CN" w:bidi="ar"/>
              </w:rPr>
              <w:t>≧</w:t>
            </w:r>
            <w:r>
              <w:rPr>
                <w:rStyle w:val="35"/>
                <w:sz w:val="20"/>
                <w:szCs w:val="20"/>
                <w:lang w:val="en-US" w:eastAsia="zh-CN" w:bidi="ar"/>
              </w:rPr>
              <w:t>1290g。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9"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46</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30KN缆车救援滑轮</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用于在滑雪缆车上前进和疏散的救援滑轮.直接连接到滑雪缆车的承载电缆.用于在救援行动中疏散人员.在用做救援设备时，它不被视为PPE（个人防护设备），无相应的CE标准.为了更好的可追溯性和检查性，该零件标有唯一编号注意！切勿单独使用此滑轮-必须与备用挽索一起使用切勿在没有制动绳索的情况下使用强度：</w:t>
            </w:r>
            <w:r>
              <w:rPr>
                <w:rStyle w:val="34"/>
                <w:rFonts w:ascii="宋体" w:hAnsi="宋体" w:eastAsia="宋体" w:cs="宋体"/>
                <w:sz w:val="32"/>
                <w:szCs w:val="32"/>
                <w:lang w:val="en-US" w:eastAsia="zh-CN" w:bidi="ar"/>
              </w:rPr>
              <w:t>≧</w:t>
            </w:r>
            <w:r>
              <w:rPr>
                <w:rStyle w:val="35"/>
                <w:sz w:val="20"/>
                <w:szCs w:val="20"/>
                <w:lang w:val="en-US" w:eastAsia="zh-CN" w:bidi="ar"/>
              </w:rPr>
              <w:t>30 kN工作负荷：</w:t>
            </w:r>
            <w:r>
              <w:rPr>
                <w:rStyle w:val="34"/>
                <w:rFonts w:ascii="宋体" w:hAnsi="宋体" w:eastAsia="宋体" w:cs="宋体"/>
                <w:sz w:val="32"/>
                <w:szCs w:val="32"/>
                <w:lang w:val="en-US" w:eastAsia="zh-CN" w:bidi="ar"/>
              </w:rPr>
              <w:t>≧</w:t>
            </w:r>
            <w:r>
              <w:rPr>
                <w:rStyle w:val="35"/>
                <w:sz w:val="20"/>
                <w:szCs w:val="20"/>
                <w:lang w:val="en-US" w:eastAsia="zh-CN" w:bidi="ar"/>
              </w:rPr>
              <w:t>5 kN最高速度：</w:t>
            </w:r>
            <w:r>
              <w:rPr>
                <w:rStyle w:val="34"/>
                <w:rFonts w:ascii="宋体" w:hAnsi="宋体" w:eastAsia="宋体" w:cs="宋体"/>
                <w:sz w:val="32"/>
                <w:szCs w:val="32"/>
                <w:lang w:val="en-US" w:eastAsia="zh-CN" w:bidi="ar"/>
              </w:rPr>
              <w:t>≧</w:t>
            </w:r>
            <w:r>
              <w:rPr>
                <w:rStyle w:val="35"/>
                <w:sz w:val="20"/>
                <w:szCs w:val="20"/>
                <w:lang w:val="en-US" w:eastAsia="zh-CN" w:bidi="ar"/>
              </w:rPr>
              <w:t>2m/s适用绳索（钢缆）最大直径：</w:t>
            </w:r>
            <w:r>
              <w:rPr>
                <w:rStyle w:val="34"/>
                <w:rFonts w:ascii="宋体" w:hAnsi="宋体" w:eastAsia="宋体" w:cs="宋体"/>
                <w:sz w:val="32"/>
                <w:szCs w:val="32"/>
                <w:lang w:val="en-US" w:eastAsia="zh-CN" w:bidi="ar"/>
              </w:rPr>
              <w:t>≧</w:t>
            </w:r>
            <w:r>
              <w:rPr>
                <w:rStyle w:val="35"/>
                <w:sz w:val="20"/>
                <w:szCs w:val="20"/>
                <w:lang w:val="en-US" w:eastAsia="zh-CN" w:bidi="ar"/>
              </w:rPr>
              <w:t>55 mm重量：</w:t>
            </w:r>
            <w:r>
              <w:rPr>
                <w:rStyle w:val="34"/>
                <w:rFonts w:ascii="宋体" w:hAnsi="宋体" w:eastAsia="宋体" w:cs="宋体"/>
                <w:sz w:val="32"/>
                <w:szCs w:val="32"/>
                <w:lang w:val="en-US" w:eastAsia="zh-CN" w:bidi="ar"/>
              </w:rPr>
              <w:t>≧</w:t>
            </w:r>
            <w:r>
              <w:rPr>
                <w:rStyle w:val="35"/>
                <w:sz w:val="20"/>
                <w:szCs w:val="20"/>
                <w:lang w:val="en-US" w:eastAsia="zh-CN" w:bidi="ar"/>
              </w:rPr>
              <w:t>1420g轴承：滚珠材料：主框架-铝合金，开合门-不锈</w:t>
            </w:r>
            <w:r>
              <w:rPr>
                <w:rFonts w:hint="eastAsia" w:ascii="宋体" w:hAnsi="宋体" w:eastAsia="宋体" w:cs="宋体"/>
                <w:i w:val="0"/>
                <w:iCs w:val="0"/>
                <w:color w:val="000000"/>
                <w:kern w:val="0"/>
                <w:sz w:val="20"/>
                <w:szCs w:val="20"/>
                <w:u w:val="none"/>
                <w:lang w:val="en-US" w:eastAsia="zh-CN" w:bidi="ar"/>
              </w:rPr>
              <w:t>钢，滑轮-PA。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2"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47</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短连接扁带</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成付快挂连</w:t>
            </w:r>
            <w:r>
              <w:rPr>
                <w:rStyle w:val="35"/>
                <w:sz w:val="20"/>
                <w:szCs w:val="20"/>
                <w:lang w:val="en-US" w:eastAsia="zh-CN" w:bidi="ar"/>
              </w:rPr>
              <w:t>接扁带，长度</w:t>
            </w:r>
            <w:r>
              <w:rPr>
                <w:rStyle w:val="34"/>
                <w:rFonts w:ascii="宋体" w:hAnsi="宋体" w:eastAsia="宋体" w:cs="宋体"/>
                <w:sz w:val="32"/>
                <w:szCs w:val="32"/>
                <w:lang w:val="en-US" w:eastAsia="zh-CN" w:bidi="ar"/>
              </w:rPr>
              <w:t>≧</w:t>
            </w:r>
            <w:r>
              <w:rPr>
                <w:rStyle w:val="35"/>
                <w:sz w:val="20"/>
                <w:szCs w:val="20"/>
                <w:lang w:val="en-US" w:eastAsia="zh-CN" w:bidi="ar"/>
              </w:rPr>
              <w:t>11cm，宽度</w:t>
            </w:r>
            <w:r>
              <w:rPr>
                <w:rStyle w:val="34"/>
                <w:rFonts w:ascii="宋体" w:hAnsi="宋体" w:eastAsia="宋体" w:cs="宋体"/>
                <w:sz w:val="32"/>
                <w:szCs w:val="32"/>
                <w:lang w:val="en-US" w:eastAsia="zh-CN" w:bidi="ar"/>
              </w:rPr>
              <w:t>≧</w:t>
            </w:r>
            <w:r>
              <w:rPr>
                <w:rStyle w:val="35"/>
                <w:sz w:val="20"/>
                <w:szCs w:val="20"/>
                <w:lang w:val="en-US" w:eastAsia="zh-CN" w:bidi="ar"/>
              </w:rPr>
              <w:t>16mm，拉力：</w:t>
            </w:r>
            <w:r>
              <w:rPr>
                <w:rStyle w:val="34"/>
                <w:rFonts w:ascii="宋体" w:hAnsi="宋体" w:eastAsia="宋体" w:cs="宋体"/>
                <w:sz w:val="32"/>
                <w:szCs w:val="32"/>
                <w:lang w:val="en-US" w:eastAsia="zh-CN" w:bidi="ar"/>
              </w:rPr>
              <w:t>≧</w:t>
            </w:r>
            <w:r>
              <w:rPr>
                <w:rStyle w:val="35"/>
                <w:sz w:val="20"/>
                <w:szCs w:val="20"/>
                <w:lang w:val="en-US" w:eastAsia="zh-CN" w:bidi="ar"/>
              </w:rPr>
              <w:t>22KN，重量</w:t>
            </w:r>
            <w:r>
              <w:rPr>
                <w:rStyle w:val="34"/>
                <w:rFonts w:ascii="宋体" w:hAnsi="宋体" w:eastAsia="宋体" w:cs="宋体"/>
                <w:sz w:val="32"/>
                <w:szCs w:val="32"/>
                <w:lang w:val="en-US" w:eastAsia="zh-CN" w:bidi="ar"/>
              </w:rPr>
              <w:t>≧</w:t>
            </w:r>
            <w:r>
              <w:rPr>
                <w:rStyle w:val="35"/>
                <w:sz w:val="20"/>
                <w:szCs w:val="20"/>
                <w:lang w:val="en-US" w:eastAsia="zh-CN" w:bidi="ar"/>
              </w:rPr>
              <w:t>16g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三阶段自动锁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50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轻型不对称锁扣由铝镁合金制成。它具有D形，特别适合连接到各种设备，例如下降器或定位挂绳。其流畅的内部设计和Keylock系统便于操作，H形锻造横截面，确保更高的强度重量比，保护标记免受磨损，防勾挂锁门设计，避免了登山扣的任何非自愿卡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49</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O型2重自动主锁</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铝合金O型大开口自动主锁，设计用于树上作业、探洞和工业救援：O形锁适合滑轮和上升器的定位，</w:t>
            </w:r>
            <w:r>
              <w:rPr>
                <w:rStyle w:val="35"/>
                <w:sz w:val="20"/>
                <w:szCs w:val="20"/>
                <w:lang w:val="en-US" w:eastAsia="zh-CN" w:bidi="ar"/>
              </w:rPr>
              <w:t>适合与单滑轮配合使用，用于保护站、提拉和救援作业。防钩挂锁鼻防止在扣入和取出设备时发生钩挂，单手即可操作。重量：</w:t>
            </w:r>
            <w:r>
              <w:rPr>
                <w:rStyle w:val="34"/>
                <w:rFonts w:ascii="宋体" w:hAnsi="宋体" w:eastAsia="宋体" w:cs="宋体"/>
                <w:sz w:val="32"/>
                <w:szCs w:val="32"/>
                <w:lang w:val="en-US" w:eastAsia="zh-CN" w:bidi="ar"/>
              </w:rPr>
              <w:t>≧</w:t>
            </w:r>
            <w:r>
              <w:rPr>
                <w:rStyle w:val="35"/>
                <w:sz w:val="20"/>
                <w:szCs w:val="20"/>
                <w:lang w:val="en-US" w:eastAsia="zh-CN" w:bidi="ar"/>
              </w:rPr>
              <w:t>76g，拉力：28-11-7 KN，开口尺寸：</w:t>
            </w:r>
            <w:r>
              <w:rPr>
                <w:rStyle w:val="34"/>
                <w:rFonts w:ascii="宋体" w:hAnsi="宋体" w:eastAsia="宋体" w:cs="宋体"/>
                <w:sz w:val="32"/>
                <w:szCs w:val="32"/>
                <w:lang w:val="en-US" w:eastAsia="zh-CN" w:bidi="ar"/>
              </w:rPr>
              <w:t>≧</w:t>
            </w:r>
            <w:r>
              <w:rPr>
                <w:rStyle w:val="35"/>
                <w:sz w:val="20"/>
                <w:szCs w:val="20"/>
                <w:lang w:val="en-US" w:eastAsia="zh-CN" w:bidi="ar"/>
              </w:rPr>
              <w:t>20mm，长度：</w:t>
            </w:r>
            <w:r>
              <w:rPr>
                <w:rStyle w:val="34"/>
                <w:rFonts w:ascii="宋体" w:hAnsi="宋体" w:eastAsia="宋体" w:cs="宋体"/>
                <w:sz w:val="32"/>
                <w:szCs w:val="32"/>
                <w:lang w:val="en-US" w:eastAsia="zh-CN" w:bidi="ar"/>
              </w:rPr>
              <w:t>≧</w:t>
            </w:r>
            <w:r>
              <w:rPr>
                <w:rStyle w:val="35"/>
                <w:sz w:val="20"/>
                <w:szCs w:val="20"/>
                <w:lang w:val="en-US" w:eastAsia="zh-CN" w:bidi="ar"/>
              </w:rPr>
              <w:t>110mm。双动锁锁定套筒上有粗糙的凹槽，易于操作倾斜的keyLock锁鼻，可平稳夹住和松开热锻工字梁结构使登山扣极为坚固，坚固和轻便几乎呈椭圆形的形状，使登山扣易于在连接处调转（锚点或扁带）由于椭圆形，连接滑轮时力对称分布较大的绳索承重区域，可更好地滑动绳索并减少登山扣的磨损每个登山扣都经过单独测试，强度为</w:t>
            </w:r>
            <w:r>
              <w:rPr>
                <w:rStyle w:val="34"/>
                <w:rFonts w:ascii="宋体" w:hAnsi="宋体" w:eastAsia="宋体" w:cs="宋体"/>
                <w:sz w:val="32"/>
                <w:szCs w:val="32"/>
                <w:lang w:val="en-US" w:eastAsia="zh-CN" w:bidi="ar"/>
              </w:rPr>
              <w:t>≧</w:t>
            </w:r>
            <w:r>
              <w:rPr>
                <w:rStyle w:val="35"/>
                <w:sz w:val="20"/>
                <w:szCs w:val="20"/>
                <w:lang w:val="en-US" w:eastAsia="zh-CN" w:bidi="ar"/>
              </w:rPr>
              <w:t>10 kN唯一的生产编号纵向拉力：</w:t>
            </w:r>
            <w:r>
              <w:rPr>
                <w:rStyle w:val="34"/>
                <w:rFonts w:ascii="宋体" w:hAnsi="宋体" w:eastAsia="宋体" w:cs="宋体"/>
                <w:sz w:val="32"/>
                <w:szCs w:val="32"/>
                <w:lang w:val="en-US" w:eastAsia="zh-CN" w:bidi="ar"/>
              </w:rPr>
              <w:t>≧</w:t>
            </w:r>
            <w:r>
              <w:rPr>
                <w:rStyle w:val="35"/>
                <w:sz w:val="20"/>
                <w:szCs w:val="20"/>
                <w:lang w:val="en-US" w:eastAsia="zh-CN" w:bidi="ar"/>
              </w:rPr>
              <w:t>26 kN/横向拉力：</w:t>
            </w:r>
            <w:r>
              <w:rPr>
                <w:rStyle w:val="34"/>
                <w:rFonts w:ascii="宋体" w:hAnsi="宋体" w:eastAsia="宋体" w:cs="宋体"/>
                <w:sz w:val="32"/>
                <w:szCs w:val="32"/>
                <w:lang w:val="en-US" w:eastAsia="zh-CN" w:bidi="ar"/>
              </w:rPr>
              <w:t>≧</w:t>
            </w:r>
            <w:r>
              <w:rPr>
                <w:rStyle w:val="35"/>
                <w:sz w:val="20"/>
                <w:szCs w:val="20"/>
                <w:lang w:val="en-US" w:eastAsia="zh-CN" w:bidi="ar"/>
              </w:rPr>
              <w:t>8 kN/开口拉力：</w:t>
            </w:r>
            <w:r>
              <w:rPr>
                <w:rStyle w:val="34"/>
                <w:rFonts w:ascii="宋体" w:hAnsi="宋体" w:eastAsia="宋体" w:cs="宋体"/>
                <w:sz w:val="32"/>
                <w:szCs w:val="32"/>
                <w:lang w:val="en-US" w:eastAsia="zh-CN" w:bidi="ar"/>
              </w:rPr>
              <w:t>≧</w:t>
            </w:r>
            <w:r>
              <w:rPr>
                <w:rStyle w:val="35"/>
                <w:sz w:val="20"/>
                <w:szCs w:val="20"/>
                <w:lang w:val="en-US" w:eastAsia="zh-CN" w:bidi="ar"/>
              </w:rPr>
              <w:t>7 kN/开口大小：</w:t>
            </w:r>
            <w:r>
              <w:rPr>
                <w:rStyle w:val="34"/>
                <w:rFonts w:ascii="宋体" w:hAnsi="宋体" w:eastAsia="宋体" w:cs="宋体"/>
                <w:sz w:val="32"/>
                <w:szCs w:val="32"/>
                <w:lang w:val="en-US" w:eastAsia="zh-CN" w:bidi="ar"/>
              </w:rPr>
              <w:t>≧</w:t>
            </w:r>
            <w:r>
              <w:rPr>
                <w:rStyle w:val="35"/>
                <w:sz w:val="20"/>
                <w:szCs w:val="20"/>
                <w:lang w:val="en-US" w:eastAsia="zh-CN" w:bidi="ar"/>
              </w:rPr>
              <w:t>21 mm/重量：</w:t>
            </w:r>
            <w:r>
              <w:rPr>
                <w:rStyle w:val="34"/>
                <w:rFonts w:ascii="宋体" w:hAnsi="宋体" w:eastAsia="宋体" w:cs="宋体"/>
                <w:sz w:val="32"/>
                <w:szCs w:val="32"/>
                <w:lang w:val="en-US" w:eastAsia="zh-CN" w:bidi="ar"/>
              </w:rPr>
              <w:t>≧</w:t>
            </w:r>
            <w:r>
              <w:rPr>
                <w:rStyle w:val="35"/>
                <w:sz w:val="20"/>
                <w:szCs w:val="20"/>
                <w:lang w:val="en-US" w:eastAsia="zh-CN" w:bidi="ar"/>
              </w:rPr>
              <w:t>81 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50</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提拉套装</w:t>
            </w:r>
          </w:p>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b/>
                <w:bCs/>
                <w:i w:val="0"/>
                <w:iCs w:val="0"/>
                <w:color w:val="000000"/>
                <w:kern w:val="0"/>
                <w:sz w:val="22"/>
                <w:szCs w:val="22"/>
                <w:u w:val="none"/>
                <w:lang w:val="en-US" w:eastAsia="zh-CN" w:bidi="ar"/>
              </w:rPr>
              <w:t>★</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省力系统具有体积小、重量轻、集成系统（部件不容易丢失）、携带方便等特点。它具有极其紧凑的高效双向双滑轮组，仅需要颠倒悬挂的方向（上下）就可以根据需要拥有4:1或5:1的机械省力系统。主要用途（1）救援人员进行担架升降护送；（2）高层绳索牵拉作业（3）快速调整绳索系统方向整套系统包含：万向滑轮装置（1个蓝色和1个橙色）万向滑轮插销直径8mm长度15m的绳索，绳端缝合套圈；</w:t>
            </w:r>
            <w:r>
              <w:rPr>
                <w:rStyle w:val="35"/>
                <w:sz w:val="20"/>
                <w:szCs w:val="20"/>
                <w:lang w:val="en-US" w:eastAsia="zh-CN" w:bidi="ar"/>
              </w:rPr>
              <w:t>抓结绳(6mm) 1根蓝色和1根橙色；长绳圈(6mm) 1根蓝色；器材包1个。滑轮技术参数：最小破坏力：</w:t>
            </w:r>
            <w:r>
              <w:rPr>
                <w:rStyle w:val="34"/>
                <w:rFonts w:ascii="宋体" w:hAnsi="宋体" w:eastAsia="宋体" w:cs="宋体"/>
                <w:sz w:val="32"/>
                <w:szCs w:val="32"/>
                <w:lang w:val="en-US" w:eastAsia="zh-CN" w:bidi="ar"/>
              </w:rPr>
              <w:t>≧</w:t>
            </w:r>
            <w:r>
              <w:rPr>
                <w:rStyle w:val="35"/>
                <w:sz w:val="20"/>
                <w:szCs w:val="20"/>
                <w:lang w:val="en-US" w:eastAsia="zh-CN" w:bidi="ar"/>
              </w:rPr>
              <w:t>36KN工作负荷：提拉人3KN提拉物体：</w:t>
            </w:r>
            <w:r>
              <w:rPr>
                <w:rStyle w:val="34"/>
                <w:rFonts w:ascii="宋体" w:hAnsi="宋体" w:eastAsia="宋体" w:cs="宋体"/>
                <w:sz w:val="32"/>
                <w:szCs w:val="32"/>
                <w:lang w:val="en-US" w:eastAsia="zh-CN" w:bidi="ar"/>
              </w:rPr>
              <w:t>≧</w:t>
            </w:r>
            <w:r>
              <w:rPr>
                <w:rStyle w:val="35"/>
                <w:sz w:val="20"/>
                <w:szCs w:val="20"/>
                <w:lang w:val="en-US" w:eastAsia="zh-CN" w:bidi="ar"/>
              </w:rPr>
              <w:t>5KN最大绳索尺寸：</w:t>
            </w:r>
            <w:r>
              <w:rPr>
                <w:rStyle w:val="34"/>
                <w:rFonts w:ascii="宋体" w:hAnsi="宋体" w:eastAsia="宋体" w:cs="宋体"/>
                <w:sz w:val="32"/>
                <w:szCs w:val="32"/>
                <w:lang w:val="en-US" w:eastAsia="zh-CN" w:bidi="ar"/>
              </w:rPr>
              <w:t>≧</w:t>
            </w:r>
            <w:r>
              <w:rPr>
                <w:rStyle w:val="35"/>
                <w:sz w:val="20"/>
                <w:szCs w:val="20"/>
                <w:lang w:val="en-US" w:eastAsia="zh-CN" w:bidi="ar"/>
              </w:rPr>
              <w:t>8mm滑轮直径：</w:t>
            </w:r>
            <w:r>
              <w:rPr>
                <w:rStyle w:val="34"/>
                <w:rFonts w:ascii="宋体" w:hAnsi="宋体" w:eastAsia="宋体" w:cs="宋体"/>
                <w:sz w:val="32"/>
                <w:szCs w:val="32"/>
                <w:lang w:val="en-US" w:eastAsia="zh-CN" w:bidi="ar"/>
              </w:rPr>
              <w:t>≧</w:t>
            </w:r>
            <w:r>
              <w:rPr>
                <w:rStyle w:val="35"/>
                <w:sz w:val="20"/>
                <w:szCs w:val="20"/>
                <w:lang w:val="en-US" w:eastAsia="zh-CN" w:bidi="ar"/>
              </w:rPr>
              <w:t>25mm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51</w:t>
            </w:r>
          </w:p>
        </w:tc>
        <w:tc>
          <w:tcPr>
            <w:tcW w:w="13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机械抓结★</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开启凸轮式抓绳器，人体工程设计，操作简单，设计用于提拉系统或防回跑系统。可开启、定向的凸轮，可以轻松地在绳索的任意位置安装或取下。开关闸上有未关闭指示；大连接孔，方便锁扣旋转；集成凸轮弹簧，避免意外卡结，增加耐用性；重</w:t>
            </w:r>
            <w:r>
              <w:rPr>
                <w:rStyle w:val="35"/>
                <w:sz w:val="20"/>
                <w:szCs w:val="20"/>
                <w:lang w:val="en-US" w:eastAsia="zh-CN" w:bidi="ar"/>
              </w:rPr>
              <w:t>量</w:t>
            </w:r>
            <w:r>
              <w:rPr>
                <w:rStyle w:val="34"/>
                <w:rFonts w:ascii="宋体" w:hAnsi="宋体" w:eastAsia="宋体" w:cs="宋体"/>
                <w:sz w:val="32"/>
                <w:szCs w:val="32"/>
                <w:lang w:val="en-US" w:eastAsia="zh-CN" w:bidi="ar"/>
              </w:rPr>
              <w:t>≧</w:t>
            </w:r>
            <w:r>
              <w:rPr>
                <w:rStyle w:val="35"/>
                <w:sz w:val="20"/>
                <w:szCs w:val="20"/>
                <w:lang w:val="en-US" w:eastAsia="zh-CN" w:bidi="ar"/>
              </w:rPr>
              <w:t>260g，</w:t>
            </w:r>
            <w:r>
              <w:rPr>
                <w:rFonts w:hint="eastAsia" w:ascii="宋体" w:hAnsi="宋体" w:eastAsia="宋体" w:cs="宋体"/>
                <w:i w:val="0"/>
                <w:iCs w:val="0"/>
                <w:color w:val="000000"/>
                <w:kern w:val="0"/>
                <w:sz w:val="20"/>
                <w:szCs w:val="20"/>
                <w:u w:val="none"/>
                <w:lang w:val="en-US" w:eastAsia="zh-CN" w:bidi="ar"/>
              </w:rPr>
              <w:t>绳索兼容9-13mm；</w:t>
            </w:r>
          </w:p>
        </w:tc>
      </w:tr>
    </w:tbl>
    <w:p>
      <w:pPr>
        <w:pStyle w:val="2"/>
        <w:ind w:left="0" w:leftChars="0" w:firstLine="0" w:firstLineChars="0"/>
        <w:rPr>
          <w:b/>
          <w:spacing w:val="-1"/>
          <w:sz w:val="36"/>
        </w:rPr>
      </w:pPr>
    </w:p>
    <w:tbl>
      <w:tblPr>
        <w:tblStyle w:val="18"/>
        <w:tblW w:w="106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609"/>
        <w:gridCol w:w="987"/>
        <w:gridCol w:w="69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10650" w:type="dxa"/>
            <w:gridSpan w:val="4"/>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黑体" w:hAnsi="宋体" w:eastAsia="黑体" w:cs="黑体"/>
                <w:i w:val="0"/>
                <w:iCs w:val="0"/>
                <w:color w:val="000000"/>
                <w:sz w:val="40"/>
                <w:szCs w:val="40"/>
                <w:u w:val="none"/>
              </w:rPr>
            </w:pPr>
            <w:r>
              <w:rPr>
                <w:rFonts w:hint="eastAsia" w:ascii="黑体" w:hAnsi="宋体" w:eastAsia="黑体" w:cs="黑体"/>
                <w:i w:val="0"/>
                <w:iCs w:val="0"/>
                <w:color w:val="000000"/>
                <w:kern w:val="0"/>
                <w:sz w:val="40"/>
                <w:szCs w:val="40"/>
                <w:u w:val="none"/>
                <w:lang w:val="en-US" w:eastAsia="zh-CN" w:bidi="ar"/>
              </w:rPr>
              <w:t>包三：（4）危化品攻坚组器材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6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装备</w:t>
            </w:r>
          </w:p>
        </w:tc>
        <w:tc>
          <w:tcPr>
            <w:tcW w:w="9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24"/>
                <w:szCs w:val="24"/>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小型多功能挖掘机</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整机重量不超过1700kg运输长度不超过3160/1100/2380mm行走速度不小于4km每小时挖掘深度≥2100mm挖掘高度≥2200mm挖掘半径≥3500mm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特级防化服</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满足XF770-2008标准；提供国家级消防装备检测报告或认证证书；2、颜色为绿色或蓝色；3、化学灾害现场或生化恐怖袭击现场处置生化毒剂时的全身防护。4、具有气密性，对军用芥子气、沙林、强酸强碱和工业苯的防护时间≥1h。5、由杜邦材质制成，连体全密封设计，与空气呼吸器配套使用，能有效地将各种化学物质阻隔，含防化手套和防化靴。6、防酸渗透性能：（10mmX1h）防碱渗透性能：（10mmX1h）适用温度范围：-50℃ 到 60℃。 储存温度范围：-5℃到25℃。阻燃性能，损毁长度&lt;10cm，续燃时间&lt;2s，阴燃时间&lt;10se且无溶滴。气密性能（1650Pa+50Pa，6min）压降&lt;300Pa。配空气呼吸器接口。7、尺寸必须按照用户要求供货。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3</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防化手套</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满足XF770-2008标准；提供国家级消防装备检测报告或认证证书；2、化学灾害事故现场作业时的手部和腕部防护，面料和接缝部位抗化学品渗透时间≥60分钟；3、具备耐热、绝缘，有极强的防水防酸、碱及各种溶剂的性能；耐穿刺力≥22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4</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防化靴</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满足XF770-2008标准；提供国家级消防装备检测报告或认证证书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5</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便携危险化学品检测片</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室温2-25摄氏度）下失效时间：≥20小时2、佩戴于手腕脚腕上臂等，通过测试片的颜色变化探测周围环境中的有毒化学气体或蒸汽3、整套配置：臂带、测试片夹子、检测片50个以上，包装小袋子。4、测试片种类：强酸强碱等不少于6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6</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手持测温仪</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1、手持式，非接触测量物体温度；2、测温范围：-50℃-900℃；3、LCD电子显示当时温度，可预设高、低温危险声音报警（中文操作界面）；4、提供中文详细使用说明书（含主要参数、加盖生产或代理企业印章）。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7</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有毒气体检测仪</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便携手持式有毒气体探测仪，配备高清高亮度显示器，内置泵吸式测量（流量≥500毫升/分钟），采样距离10米以上，可存储数据不少于10万条，中文操作界面；2、检测气体范围包括一氧化碳CO、硫化氢H2S、氧气O2、可燃气体Ex等；3、检测气体不低于以下范围：CO（0～1000ppm）、H2S（0～100ppm）、O2（0～30%Vol）、Ex（0～100%LEL）；4、检测气体分辨率不低于以下范围：CO（0.1ppm）、H2S（0.01ppm）、O2（0.01%Vol）、Ex（0.1%LEL）；5、检测精度≤±2%（F.S）；6、报警方式：声光报警、振动报警、视觉报警、声光+振动+视觉报警、关闭报警，响应时间≤20秒，恢复时间≤30秒；7、带过充、过放、过压、过热、短路保护功能；8、防爆等级≥Exia II CT6，防护等级≥IP66；9、整套设备包括探测仪、湿度粉尘过滤器、便携箱等，整机重量≤350g；10、提供中文详细使用说明书（含主要参数、加盖生产或代理企业印章）。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8</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漏电探测仪</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用于探测电源泄漏位置，尺寸不超过：106mm*75mm*38mm，重量≤0.5kg；2、可探测120V/60Hz或220V/50Hz、7.2KV/Hz或15Kv/50Hz；3、带彩色显示屏，声光报警、温度显示、电量显示；4、使用锂电池驱动，持续使用时间380min；5、具有声光报警功能；6、提供中文详细使用说明书（含主要参数、加盖生产或代理企业印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9</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激光测距仪</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具备测距、测高、测角、测速等功能，整机净重不超过172g；2、测距范围不低于3-1500米，300米内测量误差≤0.5米，300米以上测量误差≤1米；3、测角范围不低于-90°-+90°，测角误差不高于土1°；4、测速范围不低于10-300公里/小时，测速误差不高于5公里/小时；5、视野范围8°，放大倍数不低于7倍；6、物镜孔径25mm，目镜孔径不低于16mm；7、提供中文详细使用说明书（含主要参数、加盖生产或代理企业印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高压强磁堵漏装置</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各种罐体和管道表面点状、线状泄漏的堵漏作业，全套设备包括磁压器、极靴、防爆片、胶和铝合金携带箱等；2、最大吸附力≥300kg，堵漏温度≥80°，堵漏压力≥0.8Mpa，符合Q/FY001-2012《堵漏工具》标准；3、提供产品相关认证书或国家级检测报告文印件，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11</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内封式堵漏袋（4种）</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1、由防腐橡胶制成，化学耐药性中等，工作压力≥0.15MPa，封堵压力≥0.1MPa。2、配有快速充气接口，连接头为实心黄铜材质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12</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外封式堵漏袋</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提供国家消防装备质量监督检验中心或其他具有相应资质的第三方检测机构出具的检验报告和消防产品认证书2、设备由脚踏气泵、堵漏垫、捆扎带、气管、携行箱子组成；3、脚踏泵工作压力≥0.2mpa，充气时间≤60S；4、堵漏垫工作压力≥0.2mpa，可封堵泄漏介质的最大压力≥0.15Mpa；5、气管长度≥3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13</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头骨震动式通讯装置</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10</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消防队员佩戴空气呼吸器及重型防化服时正常通话，在保持通话时解放消防队员双手，利于灭火救援作业。2、与头盔一体化佩戴。3、在高噪音环境下正常通话。4、防水、耐温、抗酸碱，能在一20度~+75度之间正常使用。防水防尘：IP54。5、按键寿命：≥30万次，电磁干扰：GT/T17626.3，3级，电线单体负重≥10公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14</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手动隔膜抽吸泵</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1、排液量≥50L/min，最大吸入颗粒直径≥10mm；2、防爆、防腐蚀；3、配备进水管、排水管各1根，长度≥2米4、提供产品相关认证书或国家级检测报告，配备详细的中文说明书。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15</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防爆输转泵</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1、水轮机驱动，防爆、防腐蚀，吸附、转输各种液体；                                                      2、排液量≥400L/min，最大吸入颗粒直径≥5mm；                                                           3、进出水口直径65mm，内扣式接口；                                                                     4、吸排液口径50mm，工作压力≤0.3mpa。                                                        5、提供产品相关认证书或国家级检测报告，配备详细的中文说明书。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16</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粘稠液体抽吸泵</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用于抽取有毒有害及粘稠液体，防爆、防腐蚀，循环风冷；2、220V交流电驱动，功率≥2kw；3、最大抽吸深度≥4米；4、抽吸流量≥5000L/h，最大吸入颗粒直径≥10mm；5、出液口直径50mm，内扣式接口。6、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17</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排污泵</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1、流量：≥800立方米每小时2、电机功率：≥55km3、转速≥2900r/min4、介质温：≥100摄氏度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18</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有毒物质密封桶</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1、用于收集并转运有毒物体、液体及有毒有害物质；                                                2、高密度聚乙烯材质，带旋盖；                                                                  3、容量≥60L；                                                                                  4、配备带有万向轮的底座，可拖拽行驶。                                                       5、提供产品相关认证书或国家级检测报告，配备详细的中文说明书。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19</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围油栏</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1、用于陆地及水面，防止油类及污水蔓延，防腐材料制成；                                                    2、长度≥100米，填充高度≥25cm，每段设置充气和供水接口，并带截止阀。                          3、提供产品相关认证书或国家级检测报告，配备详细的中文说明书。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20</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吸附垫</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1、吸附各类液体包括油污、强酸强碱等任何有害危险液体。吸收表面积大，松软而有弹性，不易分层脱落，吸液速度快，适合大小面积抛散或铺设；                                                                                                       2、配备便携箱，内置100片吸附垫。适用于清理、围堵、预防任何可能出现的油液和化学品泄漏的区域，包括生产制造业、运输业、石油化工业、海上紧急救援、港口、航空、消防、医疗业、能源电力业、食品加工业等任何需要清除泄漏液体的场所。                                                                                3、提供产品相关认证书或国家级检测报告，配备详细的中文说明书。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21</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集污袋</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1、暂时存放酸、碱及油类液体，材料耐酸碱。2、产品符合国家有关技术标准。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22</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粘帖式堵漏工具组</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kern w:val="0"/>
                <w:sz w:val="22"/>
                <w:szCs w:val="22"/>
                <w:u w:val="none"/>
                <w:lang w:val="en-US" w:eastAsia="zh-CN" w:bidi="ar"/>
              </w:rPr>
            </w:pPr>
            <w:r>
              <w:rPr>
                <w:rFonts w:hint="eastAsia" w:ascii="黑体" w:hAnsi="宋体" w:eastAsia="黑体" w:cs="黑体"/>
                <w:i w:val="0"/>
                <w:iCs w:val="0"/>
                <w:color w:val="000000"/>
                <w:kern w:val="0"/>
                <w:sz w:val="22"/>
                <w:szCs w:val="22"/>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堵漏温度≤2000℃工作压力≤2Mpa抗压能力≤10Mpa耐化学性质：水、油、气、盐、碱、稀酸类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32"/>
                <w:szCs w:val="32"/>
                <w:u w:val="none"/>
              </w:rPr>
            </w:pPr>
            <w:r>
              <w:rPr>
                <w:rFonts w:hint="eastAsia" w:ascii="黑体" w:hAnsi="宋体" w:eastAsia="黑体" w:cs="黑体"/>
                <w:i w:val="0"/>
                <w:iCs w:val="0"/>
                <w:color w:val="000000"/>
                <w:kern w:val="0"/>
                <w:sz w:val="32"/>
                <w:szCs w:val="32"/>
                <w:u w:val="none"/>
                <w:lang w:val="en-US" w:eastAsia="zh-CN" w:bidi="ar"/>
              </w:rPr>
              <w:t>23</w:t>
            </w:r>
          </w:p>
        </w:tc>
        <w:tc>
          <w:tcPr>
            <w:tcW w:w="16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小型（四旋翼）无人机(双光版)</w:t>
            </w:r>
          </w:p>
        </w:tc>
        <w:tc>
          <w:tcPr>
            <w:tcW w:w="9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1</w:t>
            </w:r>
          </w:p>
        </w:tc>
        <w:tc>
          <w:tcPr>
            <w:tcW w:w="69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含飞行器、电池、DJI带屏遥控器、喊话器、探照灯、夜航灯、安全保护箱双光相机（640×512分辨率热成像相机和1/2英寸CMOS传感器4800万像素可见光相机）支持网络RTK模式支持10km图传</w:t>
            </w:r>
          </w:p>
        </w:tc>
      </w:tr>
    </w:tbl>
    <w:p>
      <w:pPr>
        <w:pStyle w:val="2"/>
        <w:rPr>
          <w:b/>
          <w:spacing w:val="-1"/>
          <w:sz w:val="36"/>
        </w:rPr>
      </w:pPr>
    </w:p>
    <w:p>
      <w:pPr>
        <w:spacing w:before="50"/>
        <w:ind w:right="608"/>
        <w:jc w:val="both"/>
        <w:rPr>
          <w:rFonts w:hint="eastAsia"/>
          <w:b/>
          <w:spacing w:val="-1"/>
          <w:sz w:val="36"/>
          <w:lang w:val="en-US" w:eastAsia="zh-CN"/>
        </w:rPr>
      </w:pPr>
      <w:r>
        <w:rPr>
          <w:rFonts w:hint="eastAsia"/>
          <w:b/>
          <w:spacing w:val="-1"/>
          <w:sz w:val="36"/>
          <w:lang w:val="en-US" w:eastAsia="zh-CN"/>
        </w:rPr>
        <w:t>第四包清单：</w:t>
      </w:r>
    </w:p>
    <w:tbl>
      <w:tblPr>
        <w:tblStyle w:val="18"/>
        <w:tblW w:w="99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8"/>
        <w:gridCol w:w="1159"/>
        <w:gridCol w:w="698"/>
        <w:gridCol w:w="73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9905" w:type="dxa"/>
            <w:gridSpan w:val="4"/>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 xml:space="preserve"> 模块、指挥车辆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装备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60" w:hRule="atLeast"/>
        </w:trPr>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b/>
                <w:bCs/>
                <w:i w:val="0"/>
                <w:iCs w:val="0"/>
                <w:color w:val="000000"/>
                <w:kern w:val="0"/>
                <w:sz w:val="28"/>
                <w:szCs w:val="28"/>
                <w:u w:val="none"/>
                <w:lang w:val="en-US" w:eastAsia="zh-CN" w:bidi="ar"/>
              </w:rPr>
              <w:t>模块消防车（皮卡车）★</w:t>
            </w: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1</w:t>
            </w:r>
          </w:p>
        </w:tc>
        <w:tc>
          <w:tcPr>
            <w:tcW w:w="7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黑体" w:hAnsi="宋体" w:eastAsia="黑体" w:cs="黑体"/>
                <w:b/>
                <w:bCs/>
                <w:i w:val="0"/>
                <w:iCs w:val="0"/>
                <w:color w:val="000000"/>
                <w:sz w:val="20"/>
                <w:szCs w:val="20"/>
                <w:u w:val="none"/>
              </w:rPr>
            </w:pPr>
            <w:r>
              <w:rPr>
                <w:rFonts w:hint="eastAsia" w:ascii="黑体" w:hAnsi="宋体" w:eastAsia="黑体" w:cs="黑体"/>
                <w:i w:val="0"/>
                <w:iCs w:val="0"/>
                <w:color w:val="000000"/>
                <w:kern w:val="0"/>
                <w:sz w:val="21"/>
                <w:szCs w:val="21"/>
                <w:u w:val="none"/>
                <w:lang w:val="en-US" w:eastAsia="zh-CN" w:bidi="ar"/>
              </w:rPr>
              <w:t>一、整车参数：1、国产皮卡知名品牌符合国VI排放标准，2.0T涡轮增压汽油发动机、发动机功率≥140kw；手自一体变速箱、四驱、电动助力、非承载式车身、后悬架为多连杆整体桥式悬架。前后通风盘式刹车，轮胎规格≥17。4门双排5座；配备遥控钥匙、灯光光源应采用氙气大灯或者LED灯、配备LED日间行车灯、空调温度控制方式为自动空调；安全配置：ABS防抱死、制动力分配、刹车辅助、牵引力控制、车身稳定控制等， 2、驾驶室顶部前端装配红色长条频闪警灯；警报器、警灯、电台等上装部分电气为独立式附加电路，警灯、警报器≥500W。控制器键安装在驾驶室内。3、原车配置中央差速器锁，加装后差速器锁。二、加装要求：1、绞盘：电动驱动，具有防水功能、防水等级≥IP65，配备有线绞盘控制手柄，钢绳长度≥20m，拉力≥40KN。2、后斗设计可拆卸的硬质箱盖、车厢内器材骨架需采用铝合金型材搭接结构，内饰板和底板需采用光面拉丝铝合金板材。顶部设有导流槽，密封条全铺设，防雨、防尘密封。3、配有收纳盒，放置器材装备。4、车载电台。三、随车资料：国家工信部认证证书、整车使用说明书电子版光盘、维修保养手册、整车合格证、底盘随车工具和随车器材及易损件清单；操作培训视频，VIN码及发动机号拓印件。四、总体要求：1、所有操作开关、仪表、器材架及车辆均有符合规范的中文防水标识铭牌；2、改装性能符合GB7956.1-2014的规定；3、车用易损件按照1:2随车配备，交车时油水电气处于齐备状态。4、整车质保期3年，底盘出厂日期不早于2022年5月1日。5、投标时，投标商要提供整车设计效果图，包括整体结构图、三维效果图等。6、按照应急管理部消防救援局最新车辆喷涂标识规定对车身进行喷涂、贴装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12" w:hRule="atLeast"/>
        </w:trPr>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b/>
                <w:bCs/>
                <w:i w:val="0"/>
                <w:iCs w:val="0"/>
                <w:color w:val="000000"/>
                <w:kern w:val="0"/>
                <w:sz w:val="24"/>
                <w:szCs w:val="24"/>
                <w:u w:val="none"/>
                <w:lang w:val="en-US" w:eastAsia="zh-CN" w:bidi="ar"/>
              </w:rPr>
              <w:t>消防指挥车（SUV）★</w:t>
            </w:r>
          </w:p>
        </w:tc>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1</w:t>
            </w:r>
          </w:p>
        </w:tc>
        <w:tc>
          <w:tcPr>
            <w:tcW w:w="7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黑体" w:hAnsi="宋体" w:eastAsia="黑体" w:cs="黑体"/>
                <w:b/>
                <w:bCs/>
                <w:i w:val="0"/>
                <w:iCs w:val="0"/>
                <w:color w:val="000000"/>
                <w:sz w:val="20"/>
                <w:szCs w:val="20"/>
                <w:u w:val="none"/>
              </w:rPr>
            </w:pPr>
            <w:r>
              <w:rPr>
                <w:rFonts w:hint="eastAsia" w:ascii="黑体" w:hAnsi="宋体" w:eastAsia="黑体" w:cs="黑体"/>
                <w:i w:val="0"/>
                <w:iCs w:val="0"/>
                <w:color w:val="000000"/>
                <w:kern w:val="0"/>
                <w:sz w:val="21"/>
                <w:szCs w:val="21"/>
                <w:u w:val="none"/>
                <w:lang w:val="en-US" w:eastAsia="zh-CN" w:bidi="ar"/>
              </w:rPr>
              <w:t>一、整车参数：1、外形尺寸 ≥4800mm×1900mm×1900mm（允许误差±50mm）；整备质量：≤2350kg。2、国产知名中大型SUV品牌品牌符合国VI排放标准，2.0T涡轮增压汽油发动机、发动机功率≥160kw；手自一体变速箱、前置四驱、电动助力、非承载式车身。前后通风盘式，轮胎规格≥18。4门双排5座；配备遥控钥匙、多种驾驶模式可调，灯光光源应采用氙气大灯或者LED灯、配备LED日间行车灯、空调温度控制方式为自动空调；安全配置：ABS防抱死、制动力分配、刹车辅助、牵引力控制、并线辅助、车身稳定控制等；3、前中网加装1套LED频闪警灯，采用独立式附加电路，隐藏式警报器，警报器功率≥300W。控制器键安装在驾驶室内。；4、安装360度全景行车记录仪及辅助系统，系统配备超清夜视摄像头和彩色显示屏，显示屏分辨率≥1080P，存储卡容量≥128G，可自动分段录制、循环保存。5、原车配置中央差速器锁，加装前差速器锁。二、随车资料：国家工信部认证证书、整车使用说明书、维修保养手册、整车合格证、底盘随车工具和随车器材及易损件清单；操作培训视频，VIN码及发动机号拓印件。三、总体要求：1、整车性能符合国标的规定；2、车用易损件按照1:2随车配备，交车时油水电气处于齐备状态；3、整车质保期3年，底盘出厂日期不早于2022年5月1日；4、后挂式备胎，小天窗。</w:t>
            </w:r>
          </w:p>
        </w:tc>
      </w:tr>
    </w:tbl>
    <w:p>
      <w:pPr>
        <w:spacing w:before="50"/>
        <w:ind w:right="608" w:firstLine="3594" w:firstLineChars="1000"/>
        <w:jc w:val="both"/>
        <w:rPr>
          <w:b/>
          <w:sz w:val="36"/>
        </w:rPr>
      </w:pPr>
      <w:r>
        <w:rPr>
          <w:b/>
          <w:spacing w:val="-1"/>
          <w:sz w:val="36"/>
        </w:rPr>
        <w:t>第七部分 商务部分</w:t>
      </w:r>
    </w:p>
    <w:p>
      <w:pPr>
        <w:spacing w:before="191"/>
        <w:ind w:left="0" w:right="613" w:firstLine="0"/>
        <w:jc w:val="center"/>
        <w:rPr>
          <w:b/>
          <w:sz w:val="32"/>
        </w:rPr>
      </w:pPr>
      <w:r>
        <w:rPr>
          <w:b/>
          <w:spacing w:val="-3"/>
          <w:sz w:val="32"/>
        </w:rPr>
        <w:t>第一章 合同一般条款</w:t>
      </w:r>
    </w:p>
    <w:p>
      <w:pPr>
        <w:pStyle w:val="2"/>
        <w:numPr>
          <w:ilvl w:val="0"/>
          <w:numId w:val="22"/>
        </w:numPr>
        <w:tabs>
          <w:tab w:val="left" w:pos="1479"/>
        </w:tabs>
        <w:spacing w:before="186" w:after="0" w:line="240" w:lineRule="auto"/>
        <w:ind w:left="1478" w:right="0" w:hanging="362"/>
        <w:jc w:val="left"/>
        <w:rPr>
          <w:b/>
          <w:sz w:val="24"/>
        </w:rPr>
      </w:pPr>
      <w:r>
        <w:rPr>
          <w:b/>
          <w:sz w:val="24"/>
        </w:rPr>
        <w:t>定义</w:t>
      </w:r>
    </w:p>
    <w:p>
      <w:pPr>
        <w:pStyle w:val="2"/>
        <w:numPr>
          <w:ilvl w:val="1"/>
          <w:numId w:val="22"/>
        </w:numPr>
        <w:tabs>
          <w:tab w:val="left" w:pos="1591"/>
        </w:tabs>
        <w:spacing w:before="160" w:after="0" w:line="364" w:lineRule="auto"/>
        <w:ind w:left="637" w:right="1226" w:firstLine="480"/>
        <w:jc w:val="both"/>
        <w:rPr>
          <w:sz w:val="24"/>
        </w:rPr>
      </w:pPr>
      <w:r>
        <w:rPr>
          <w:spacing w:val="-3"/>
          <w:sz w:val="24"/>
        </w:rPr>
        <w:t>“合同”系指买方和卖方(以下简称合同双方)已达成的协议，即由双方签</w:t>
      </w:r>
      <w:r>
        <w:rPr>
          <w:spacing w:val="-4"/>
          <w:sz w:val="24"/>
        </w:rPr>
        <w:t>订的合同格式文件，包括所有的招标文件、投标文件、招标答疑纪录、澄清说明、</w:t>
      </w:r>
      <w:r>
        <w:rPr>
          <w:sz w:val="24"/>
        </w:rPr>
        <w:t>附件、附录和组成合同的所有其他文件。</w:t>
      </w:r>
    </w:p>
    <w:p>
      <w:pPr>
        <w:pStyle w:val="2"/>
        <w:numPr>
          <w:ilvl w:val="1"/>
          <w:numId w:val="22"/>
        </w:numPr>
        <w:tabs>
          <w:tab w:val="left" w:pos="1593"/>
        </w:tabs>
        <w:spacing w:before="90" w:after="0" w:line="364" w:lineRule="auto"/>
        <w:ind w:left="637" w:right="1249" w:firstLine="480"/>
        <w:jc w:val="left"/>
        <w:rPr>
          <w:sz w:val="24"/>
        </w:rPr>
      </w:pPr>
      <w:r>
        <w:rPr>
          <w:spacing w:val="-4"/>
          <w:sz w:val="24"/>
        </w:rPr>
        <w:t>“合同价格”系指根据合同规定，在卖方全面正确地履行合同义务时，买</w:t>
      </w:r>
      <w:r>
        <w:rPr>
          <w:sz w:val="24"/>
        </w:rPr>
        <w:t>方应支付给卖方的款项。</w:t>
      </w:r>
    </w:p>
    <w:p>
      <w:pPr>
        <w:pStyle w:val="2"/>
        <w:numPr>
          <w:ilvl w:val="1"/>
          <w:numId w:val="22"/>
        </w:numPr>
        <w:tabs>
          <w:tab w:val="left" w:pos="1593"/>
        </w:tabs>
        <w:spacing w:before="1" w:after="0" w:line="364" w:lineRule="auto"/>
        <w:ind w:left="637" w:right="1249" w:firstLine="480"/>
        <w:jc w:val="left"/>
        <w:rPr>
          <w:sz w:val="24"/>
        </w:rPr>
      </w:pPr>
      <w:r>
        <w:rPr>
          <w:spacing w:val="-6"/>
          <w:sz w:val="24"/>
        </w:rPr>
        <w:t>“货物”系指卖方按合同要求，须向买方提供的一切设备、机械、仪器仪</w:t>
      </w:r>
      <w:r>
        <w:rPr>
          <w:sz w:val="24"/>
        </w:rPr>
        <w:t>表、备品备件、工具、手册、其它技术资料和其它材料。</w:t>
      </w:r>
    </w:p>
    <w:p>
      <w:pPr>
        <w:pStyle w:val="2"/>
        <w:numPr>
          <w:ilvl w:val="1"/>
          <w:numId w:val="22"/>
        </w:numPr>
        <w:tabs>
          <w:tab w:val="left" w:pos="1593"/>
        </w:tabs>
        <w:spacing w:before="1" w:after="0" w:line="364" w:lineRule="auto"/>
        <w:ind w:left="637" w:right="1243" w:firstLine="480"/>
        <w:jc w:val="left"/>
        <w:rPr>
          <w:sz w:val="24"/>
        </w:rPr>
      </w:pPr>
      <w:r>
        <w:rPr>
          <w:spacing w:val="-5"/>
          <w:sz w:val="24"/>
        </w:rPr>
        <w:t>“服务”系指合同规定卖方必须承担的安装、调试、技术协助、校准、培</w:t>
      </w:r>
      <w:r>
        <w:rPr>
          <w:sz w:val="24"/>
        </w:rPr>
        <w:t>训以及其他类似义务。</w:t>
      </w:r>
    </w:p>
    <w:p>
      <w:pPr>
        <w:pStyle w:val="2"/>
        <w:numPr>
          <w:ilvl w:val="1"/>
          <w:numId w:val="22"/>
        </w:numPr>
        <w:tabs>
          <w:tab w:val="left" w:pos="1596"/>
        </w:tabs>
        <w:spacing w:before="1" w:after="0" w:line="364" w:lineRule="auto"/>
        <w:ind w:left="637" w:right="1240" w:firstLine="480"/>
        <w:jc w:val="left"/>
        <w:rPr>
          <w:sz w:val="24"/>
        </w:rPr>
      </w:pPr>
      <w:r>
        <w:rPr>
          <w:spacing w:val="-5"/>
          <w:sz w:val="24"/>
        </w:rPr>
        <w:t>“甲方”、“买方”、“招标方”均系指通过招标采购，接受合同货物及</w:t>
      </w:r>
      <w:r>
        <w:rPr>
          <w:sz w:val="24"/>
        </w:rPr>
        <w:t>服务的采购单位及</w:t>
      </w:r>
      <w:r>
        <w:rPr>
          <w:rFonts w:hint="eastAsia"/>
          <w:sz w:val="24"/>
        </w:rPr>
        <w:t>新疆正聚方企业管理咨询有限公司</w:t>
      </w:r>
      <w:r>
        <w:rPr>
          <w:sz w:val="24"/>
        </w:rPr>
        <w:t>。</w:t>
      </w:r>
    </w:p>
    <w:p>
      <w:pPr>
        <w:pStyle w:val="2"/>
        <w:numPr>
          <w:ilvl w:val="1"/>
          <w:numId w:val="22"/>
        </w:numPr>
        <w:tabs>
          <w:tab w:val="left" w:pos="1598"/>
        </w:tabs>
        <w:spacing w:before="2" w:after="0" w:line="240" w:lineRule="auto"/>
        <w:ind w:left="1597" w:right="0" w:hanging="481"/>
        <w:jc w:val="left"/>
        <w:rPr>
          <w:sz w:val="24"/>
        </w:rPr>
      </w:pPr>
      <w:r>
        <w:rPr>
          <w:sz w:val="24"/>
        </w:rPr>
        <w:t>“乙方”、“卖方”系指中标后提供合同货物和服务的经济实体。</w:t>
      </w:r>
    </w:p>
    <w:p>
      <w:pPr>
        <w:pStyle w:val="2"/>
        <w:numPr>
          <w:ilvl w:val="1"/>
          <w:numId w:val="22"/>
        </w:numPr>
        <w:tabs>
          <w:tab w:val="left" w:pos="1598"/>
        </w:tabs>
        <w:spacing w:before="160" w:after="0" w:line="240" w:lineRule="auto"/>
        <w:ind w:left="1597" w:right="0" w:hanging="481"/>
        <w:jc w:val="left"/>
        <w:rPr>
          <w:sz w:val="24"/>
        </w:rPr>
      </w:pPr>
      <w:r>
        <w:rPr>
          <w:sz w:val="24"/>
        </w:rPr>
        <w:t>“现场”系指将要进行货物安装和运转的地点。</w:t>
      </w:r>
    </w:p>
    <w:p>
      <w:pPr>
        <w:pStyle w:val="2"/>
        <w:numPr>
          <w:ilvl w:val="1"/>
          <w:numId w:val="22"/>
        </w:numPr>
        <w:tabs>
          <w:tab w:val="left" w:pos="1588"/>
        </w:tabs>
        <w:spacing w:before="161" w:after="0" w:line="364" w:lineRule="auto"/>
        <w:ind w:left="637" w:right="1249" w:firstLine="480"/>
        <w:jc w:val="left"/>
        <w:rPr>
          <w:sz w:val="24"/>
        </w:rPr>
      </w:pPr>
      <w:r>
        <w:rPr>
          <w:spacing w:val="-4"/>
          <w:sz w:val="24"/>
        </w:rPr>
        <w:t>“验收”系指买方依据技术参数规格规定接受合同货物所依据的程序和条</w:t>
      </w:r>
      <w:r>
        <w:rPr>
          <w:sz w:val="24"/>
        </w:rPr>
        <w:t>件。</w:t>
      </w:r>
    </w:p>
    <w:p>
      <w:pPr>
        <w:pStyle w:val="5"/>
        <w:numPr>
          <w:ilvl w:val="0"/>
          <w:numId w:val="22"/>
        </w:numPr>
        <w:tabs>
          <w:tab w:val="left" w:pos="1479"/>
        </w:tabs>
        <w:spacing w:before="1" w:after="0" w:line="240" w:lineRule="auto"/>
        <w:ind w:left="1478" w:right="0" w:hanging="362"/>
        <w:jc w:val="left"/>
      </w:pPr>
      <w:r>
        <w:t>适用范围</w:t>
      </w:r>
    </w:p>
    <w:p>
      <w:pPr>
        <w:pStyle w:val="2"/>
        <w:numPr>
          <w:ilvl w:val="1"/>
          <w:numId w:val="22"/>
        </w:numPr>
        <w:tabs>
          <w:tab w:val="left" w:pos="1598"/>
        </w:tabs>
        <w:spacing w:before="160" w:after="0" w:line="364" w:lineRule="auto"/>
        <w:ind w:left="1117" w:right="5066" w:firstLine="0"/>
        <w:jc w:val="left"/>
        <w:rPr>
          <w:b/>
          <w:sz w:val="24"/>
        </w:rPr>
      </w:pPr>
      <w:r>
        <w:rPr>
          <w:spacing w:val="-2"/>
          <w:sz w:val="24"/>
        </w:rPr>
        <w:t>本合同条款仅适用于本次招标活动。</w:t>
      </w:r>
      <w:r>
        <w:rPr>
          <w:b/>
          <w:sz w:val="24"/>
        </w:rPr>
        <w:t>3．原产地</w:t>
      </w:r>
    </w:p>
    <w:p>
      <w:pPr>
        <w:spacing w:before="2" w:line="364" w:lineRule="auto"/>
        <w:ind w:left="1117" w:right="3146" w:firstLine="0"/>
        <w:jc w:val="left"/>
        <w:rPr>
          <w:b/>
          <w:sz w:val="24"/>
        </w:rPr>
      </w:pPr>
      <w:r>
        <w:rPr>
          <w:sz w:val="24"/>
        </w:rPr>
        <w:t>3.1 原产地系指货物的生产地，或提供辅助服务的来源地。</w:t>
      </w:r>
      <w:r>
        <w:rPr>
          <w:b/>
          <w:sz w:val="24"/>
        </w:rPr>
        <w:t>4．技术规格和标准</w:t>
      </w:r>
    </w:p>
    <w:p>
      <w:pPr>
        <w:pStyle w:val="10"/>
        <w:spacing w:line="364" w:lineRule="auto"/>
        <w:ind w:right="1245" w:firstLine="480"/>
        <w:jc w:val="both"/>
      </w:pPr>
      <w:r>
        <w:t>4.1</w:t>
      </w:r>
      <w:r>
        <w:rPr>
          <w:spacing w:val="5"/>
        </w:rPr>
        <w:t xml:space="preserve"> 本合同项下所供货物的技术规格应与本谈判文件技术规格规定的标准相</w:t>
      </w:r>
      <w:r>
        <w:rPr>
          <w:spacing w:val="-5"/>
        </w:rPr>
        <w:t>一致。若技术规格中无相应规定，货物则应符合相应的国家标准或有关权威部门最</w:t>
      </w:r>
      <w:r>
        <w:t>新颁布的相应的正式标准。</w:t>
      </w:r>
    </w:p>
    <w:p>
      <w:pPr>
        <w:pStyle w:val="5"/>
        <w:numPr>
          <w:ilvl w:val="0"/>
          <w:numId w:val="23"/>
        </w:numPr>
        <w:tabs>
          <w:tab w:val="left" w:pos="1479"/>
        </w:tabs>
        <w:spacing w:before="2" w:after="0" w:line="240" w:lineRule="auto"/>
        <w:ind w:left="1478" w:right="0" w:hanging="362"/>
        <w:jc w:val="left"/>
      </w:pPr>
      <w:r>
        <w:t>专利权</w:t>
      </w:r>
    </w:p>
    <w:p>
      <w:pPr>
        <w:pStyle w:val="2"/>
        <w:numPr>
          <w:ilvl w:val="1"/>
          <w:numId w:val="23"/>
        </w:numPr>
        <w:tabs>
          <w:tab w:val="left" w:pos="1598"/>
        </w:tabs>
        <w:spacing w:before="160" w:after="0" w:line="364" w:lineRule="auto"/>
        <w:ind w:left="637" w:right="1249" w:firstLine="480"/>
        <w:jc w:val="both"/>
        <w:rPr>
          <w:sz w:val="24"/>
        </w:rPr>
      </w:pPr>
      <w:r>
        <w:rPr>
          <w:spacing w:val="-3"/>
          <w:sz w:val="24"/>
        </w:rPr>
        <w:t>卖方须保障买方在使用其提供的货物、服务及其任何部分时不受到第三方</w:t>
      </w:r>
      <w:r>
        <w:rPr>
          <w:spacing w:val="-4"/>
          <w:sz w:val="24"/>
        </w:rPr>
        <w:t>关于侵犯专利权、商标权或工业设计权的指控。任何第三方如果提出侵权指控，卖</w:t>
      </w:r>
      <w:r>
        <w:rPr>
          <w:sz w:val="24"/>
        </w:rPr>
        <w:t>方须与第三方交涉并承担由此而引起的一切法律责任和费用。</w:t>
      </w:r>
    </w:p>
    <w:p>
      <w:pPr>
        <w:pStyle w:val="5"/>
        <w:numPr>
          <w:ilvl w:val="0"/>
          <w:numId w:val="23"/>
        </w:numPr>
        <w:tabs>
          <w:tab w:val="left" w:pos="1479"/>
        </w:tabs>
        <w:spacing w:before="2" w:after="0" w:line="240" w:lineRule="auto"/>
        <w:ind w:left="1478" w:right="0" w:hanging="362"/>
        <w:jc w:val="left"/>
      </w:pPr>
      <w:r>
        <w:t>包装</w:t>
      </w:r>
    </w:p>
    <w:p>
      <w:pPr>
        <w:pStyle w:val="2"/>
        <w:numPr>
          <w:ilvl w:val="1"/>
          <w:numId w:val="23"/>
        </w:numPr>
        <w:tabs>
          <w:tab w:val="left" w:pos="1598"/>
        </w:tabs>
        <w:spacing w:before="90" w:after="0" w:line="364" w:lineRule="auto"/>
        <w:ind w:left="637" w:right="1249" w:firstLine="480"/>
        <w:jc w:val="left"/>
        <w:rPr>
          <w:sz w:val="24"/>
        </w:rPr>
      </w:pPr>
      <w:r>
        <w:rPr>
          <w:spacing w:val="-1"/>
          <w:sz w:val="24"/>
        </w:rPr>
        <w:t>除本合同另有规定之外，提供的全部货物须采用相应标准的保护措施进行</w:t>
      </w:r>
      <w:r>
        <w:rPr>
          <w:spacing w:val="-6"/>
          <w:sz w:val="24"/>
        </w:rPr>
        <w:t>包装。这种包装应适于空运和内陆运输，并有良好的防潮、防震、防锈和防野蛮装</w:t>
      </w:r>
      <w:r>
        <w:rPr>
          <w:spacing w:val="-4"/>
          <w:sz w:val="24"/>
        </w:rPr>
        <w:t>卸等保护措施，以确保货物安全运抵现场。卖方应承担由于其包装或其防护措施不</w:t>
      </w:r>
      <w:r>
        <w:rPr>
          <w:sz w:val="24"/>
        </w:rPr>
        <w:t>妥而引起货物锈蚀、损坏和丢失造成的任何损失或费用。</w:t>
      </w:r>
      <w:r>
        <w:rPr>
          <w:spacing w:val="-3"/>
          <w:sz w:val="24"/>
        </w:rPr>
        <w:t>每件包装应附有详细装箱单和质量证书各两套，一套在包装箱里，一套在</w:t>
      </w:r>
      <w:r>
        <w:rPr>
          <w:sz w:val="24"/>
        </w:rPr>
        <w:t>包装箱外。</w:t>
      </w:r>
    </w:p>
    <w:p>
      <w:pPr>
        <w:pStyle w:val="5"/>
        <w:numPr>
          <w:ilvl w:val="0"/>
          <w:numId w:val="23"/>
        </w:numPr>
        <w:tabs>
          <w:tab w:val="left" w:pos="1479"/>
        </w:tabs>
        <w:spacing w:before="1" w:after="0" w:line="240" w:lineRule="auto"/>
        <w:ind w:left="1478" w:right="0" w:hanging="362"/>
        <w:jc w:val="left"/>
      </w:pPr>
      <w:r>
        <w:t>运输标记</w:t>
      </w:r>
    </w:p>
    <w:p>
      <w:pPr>
        <w:pStyle w:val="2"/>
        <w:numPr>
          <w:ilvl w:val="1"/>
          <w:numId w:val="23"/>
        </w:numPr>
        <w:tabs>
          <w:tab w:val="left" w:pos="1538"/>
        </w:tabs>
        <w:spacing w:before="161" w:after="0" w:line="364" w:lineRule="auto"/>
        <w:ind w:left="637" w:right="1248" w:firstLine="480"/>
        <w:jc w:val="left"/>
        <w:rPr>
          <w:sz w:val="24"/>
        </w:rPr>
      </w:pPr>
      <w:r>
        <w:rPr>
          <w:spacing w:val="-1"/>
          <w:sz w:val="24"/>
        </w:rPr>
        <w:t>卖方应在每一包装箱邻接的四个侧面用不易褪色的油漆以醒目的中文印刷</w:t>
      </w:r>
      <w:r>
        <w:rPr>
          <w:sz w:val="24"/>
        </w:rPr>
        <w:t>字体标明以下各项：</w:t>
      </w:r>
    </w:p>
    <w:p>
      <w:pPr>
        <w:pStyle w:val="2"/>
        <w:numPr>
          <w:ilvl w:val="0"/>
          <w:numId w:val="24"/>
        </w:numPr>
        <w:tabs>
          <w:tab w:val="left" w:pos="1479"/>
        </w:tabs>
        <w:spacing w:before="1" w:after="0" w:line="240" w:lineRule="auto"/>
        <w:ind w:left="1478" w:right="0" w:hanging="362"/>
        <w:jc w:val="left"/>
        <w:rPr>
          <w:sz w:val="24"/>
        </w:rPr>
      </w:pPr>
      <w:r>
        <w:rPr>
          <w:sz w:val="24"/>
        </w:rPr>
        <w:t>收货人</w:t>
      </w:r>
    </w:p>
    <w:p>
      <w:pPr>
        <w:pStyle w:val="2"/>
        <w:numPr>
          <w:ilvl w:val="0"/>
          <w:numId w:val="24"/>
        </w:numPr>
        <w:tabs>
          <w:tab w:val="left" w:pos="1479"/>
        </w:tabs>
        <w:spacing w:before="160" w:after="0" w:line="240" w:lineRule="auto"/>
        <w:ind w:left="1478" w:right="0" w:hanging="362"/>
        <w:jc w:val="left"/>
        <w:rPr>
          <w:sz w:val="24"/>
        </w:rPr>
      </w:pPr>
      <w:r>
        <w:rPr>
          <w:sz w:val="24"/>
        </w:rPr>
        <w:t>合同号</w:t>
      </w:r>
    </w:p>
    <w:p>
      <w:pPr>
        <w:pStyle w:val="2"/>
        <w:numPr>
          <w:ilvl w:val="0"/>
          <w:numId w:val="24"/>
        </w:numPr>
        <w:tabs>
          <w:tab w:val="left" w:pos="1479"/>
        </w:tabs>
        <w:spacing w:before="161" w:after="0" w:line="364" w:lineRule="auto"/>
        <w:ind w:left="1117" w:right="7826" w:firstLine="0"/>
        <w:jc w:val="left"/>
        <w:rPr>
          <w:sz w:val="24"/>
        </w:rPr>
      </w:pPr>
      <w:r>
        <w:rPr>
          <w:spacing w:val="-4"/>
          <w:sz w:val="24"/>
        </w:rPr>
        <w:t>收货人代号</w:t>
      </w:r>
      <w:r>
        <w:rPr>
          <w:sz w:val="24"/>
        </w:rPr>
        <w:t>(4)目的地</w:t>
      </w:r>
    </w:p>
    <w:p>
      <w:pPr>
        <w:pStyle w:val="10"/>
        <w:spacing w:line="364" w:lineRule="auto"/>
        <w:ind w:left="1117" w:right="6146"/>
      </w:pPr>
      <w:r>
        <w:t>(5)货物的名称、品目号、箱号(6)毛重／净重(公斤)</w:t>
      </w:r>
    </w:p>
    <w:p>
      <w:pPr>
        <w:spacing w:before="1" w:line="364" w:lineRule="auto"/>
        <w:ind w:left="1117" w:right="5906" w:firstLine="0"/>
        <w:jc w:val="left"/>
        <w:rPr>
          <w:b/>
          <w:sz w:val="24"/>
        </w:rPr>
      </w:pPr>
      <w:r>
        <w:rPr>
          <w:sz w:val="24"/>
        </w:rPr>
        <w:t>(7)</w:t>
      </w:r>
      <w:r>
        <w:rPr>
          <w:spacing w:val="-12"/>
          <w:sz w:val="24"/>
        </w:rPr>
        <w:t xml:space="preserve">尺寸(长 </w:t>
      </w:r>
      <w:r>
        <w:rPr>
          <w:sz w:val="24"/>
        </w:rPr>
        <w:t>x</w:t>
      </w:r>
      <w:r>
        <w:rPr>
          <w:spacing w:val="-40"/>
          <w:sz w:val="24"/>
        </w:rPr>
        <w:t xml:space="preserve"> 宽 </w:t>
      </w:r>
      <w:r>
        <w:rPr>
          <w:sz w:val="24"/>
        </w:rPr>
        <w:t>x</w:t>
      </w:r>
      <w:r>
        <w:rPr>
          <w:spacing w:val="-10"/>
          <w:sz w:val="24"/>
        </w:rPr>
        <w:t xml:space="preserve"> 高，以厘米计) </w:t>
      </w:r>
      <w:r>
        <w:rPr>
          <w:b/>
          <w:sz w:val="24"/>
        </w:rPr>
        <w:t>8．卖方的交货价</w:t>
      </w:r>
    </w:p>
    <w:p>
      <w:pPr>
        <w:pStyle w:val="2"/>
        <w:numPr>
          <w:ilvl w:val="1"/>
          <w:numId w:val="25"/>
        </w:numPr>
        <w:tabs>
          <w:tab w:val="left" w:pos="1600"/>
        </w:tabs>
        <w:spacing w:before="1" w:after="0" w:line="364" w:lineRule="auto"/>
        <w:ind w:left="637" w:right="1226" w:firstLine="480"/>
        <w:jc w:val="both"/>
        <w:rPr>
          <w:sz w:val="24"/>
        </w:rPr>
      </w:pPr>
      <w:r>
        <w:rPr>
          <w:spacing w:val="-4"/>
          <w:sz w:val="24"/>
        </w:rPr>
        <w:t xml:space="preserve">卖方应在合同规定的交货期前 </w:t>
      </w:r>
      <w:r>
        <w:rPr>
          <w:sz w:val="24"/>
        </w:rPr>
        <w:t>10</w:t>
      </w:r>
      <w:r>
        <w:rPr>
          <w:spacing w:val="-5"/>
          <w:sz w:val="24"/>
        </w:rPr>
        <w:t xml:space="preserve"> 天以电报、传真或电传等方式通知买方</w:t>
      </w:r>
      <w:r>
        <w:rPr>
          <w:spacing w:val="-6"/>
          <w:sz w:val="24"/>
        </w:rPr>
        <w:t>合同号、货物名称、数量、包装件数、总毛重、总体积(立方米)和备妥待运日期。</w:t>
      </w:r>
      <w:r>
        <w:rPr>
          <w:spacing w:val="-1"/>
          <w:sz w:val="24"/>
        </w:rPr>
        <w:t>同时，卖方应以挂号信寄给买方详细交货清单一式五份，包括合同号、货物名称、</w:t>
      </w:r>
      <w:r>
        <w:rPr>
          <w:spacing w:val="-2"/>
          <w:sz w:val="24"/>
        </w:rPr>
        <w:t xml:space="preserve">规格、数量、总重、总体积(立方米)和每一包装箱的尺寸(长 </w:t>
      </w:r>
      <w:r>
        <w:rPr>
          <w:sz w:val="24"/>
        </w:rPr>
        <w:t>x</w:t>
      </w:r>
      <w:r>
        <w:rPr>
          <w:spacing w:val="-37"/>
          <w:sz w:val="24"/>
        </w:rPr>
        <w:t xml:space="preserve"> 宽 </w:t>
      </w:r>
      <w:r>
        <w:rPr>
          <w:sz w:val="24"/>
        </w:rPr>
        <w:t>x 高)、单价和总价、备妥待运日期，以及货物在运输和仓储中的特殊要求和注意事项。</w:t>
      </w:r>
    </w:p>
    <w:p>
      <w:pPr>
        <w:pStyle w:val="2"/>
        <w:numPr>
          <w:ilvl w:val="1"/>
          <w:numId w:val="25"/>
        </w:numPr>
        <w:tabs>
          <w:tab w:val="left" w:pos="1598"/>
        </w:tabs>
        <w:spacing w:before="3" w:after="0" w:line="240" w:lineRule="auto"/>
        <w:ind w:left="1597" w:right="0" w:hanging="481"/>
        <w:jc w:val="both"/>
        <w:rPr>
          <w:sz w:val="24"/>
        </w:rPr>
      </w:pPr>
      <w:r>
        <w:rPr>
          <w:sz w:val="24"/>
        </w:rPr>
        <w:t>卖方负责安排自发运地至买方现场的运输，费用包含在合同总价中。</w:t>
      </w:r>
    </w:p>
    <w:p>
      <w:pPr>
        <w:pStyle w:val="2"/>
        <w:numPr>
          <w:ilvl w:val="1"/>
          <w:numId w:val="25"/>
        </w:numPr>
        <w:tabs>
          <w:tab w:val="left" w:pos="1598"/>
        </w:tabs>
        <w:spacing w:before="161" w:after="0" w:line="240" w:lineRule="auto"/>
        <w:ind w:left="1597" w:right="0" w:hanging="481"/>
        <w:jc w:val="left"/>
        <w:rPr>
          <w:sz w:val="24"/>
        </w:rPr>
      </w:pPr>
      <w:r>
        <w:rPr>
          <w:sz w:val="24"/>
        </w:rPr>
        <w:t>交货日期以货物到达买方现场为准。</w:t>
      </w:r>
    </w:p>
    <w:p>
      <w:pPr>
        <w:pStyle w:val="2"/>
        <w:numPr>
          <w:ilvl w:val="1"/>
          <w:numId w:val="25"/>
        </w:numPr>
        <w:tabs>
          <w:tab w:val="left" w:pos="1598"/>
        </w:tabs>
        <w:spacing w:before="160" w:after="0" w:line="364" w:lineRule="auto"/>
        <w:ind w:left="637" w:right="1226" w:firstLine="480"/>
        <w:jc w:val="left"/>
        <w:rPr>
          <w:sz w:val="24"/>
        </w:rPr>
      </w:pPr>
      <w:r>
        <w:rPr>
          <w:spacing w:val="-1"/>
          <w:sz w:val="24"/>
        </w:rPr>
        <w:t xml:space="preserve">卖方装运的货物必须符合合同规定的货物名称、型号规格、数量或重量， </w:t>
      </w:r>
      <w:r>
        <w:rPr>
          <w:sz w:val="24"/>
        </w:rPr>
        <w:t>否则，一切后果均由卖方承担。</w:t>
      </w:r>
    </w:p>
    <w:p>
      <w:pPr>
        <w:pStyle w:val="5"/>
        <w:numPr>
          <w:ilvl w:val="0"/>
          <w:numId w:val="26"/>
        </w:numPr>
        <w:tabs>
          <w:tab w:val="left" w:pos="1479"/>
        </w:tabs>
        <w:spacing w:before="2" w:after="0" w:line="240" w:lineRule="auto"/>
        <w:ind w:left="1478" w:right="0" w:hanging="362"/>
        <w:jc w:val="left"/>
      </w:pPr>
      <w:r>
        <w:t>装运通知</w:t>
      </w:r>
    </w:p>
    <w:p>
      <w:pPr>
        <w:pStyle w:val="2"/>
        <w:numPr>
          <w:ilvl w:val="1"/>
          <w:numId w:val="26"/>
        </w:numPr>
        <w:tabs>
          <w:tab w:val="left" w:pos="1600"/>
        </w:tabs>
        <w:spacing w:before="160" w:after="0" w:line="364" w:lineRule="auto"/>
        <w:ind w:left="637" w:right="1243" w:firstLine="480"/>
        <w:jc w:val="both"/>
        <w:rPr>
          <w:sz w:val="24"/>
        </w:rPr>
      </w:pPr>
      <w:r>
        <w:rPr>
          <w:spacing w:val="-4"/>
          <w:sz w:val="24"/>
        </w:rPr>
        <w:t xml:space="preserve">卖方应在货物装运完成 </w:t>
      </w:r>
      <w:r>
        <w:rPr>
          <w:sz w:val="24"/>
        </w:rPr>
        <w:t>24</w:t>
      </w:r>
      <w:r>
        <w:rPr>
          <w:spacing w:val="-5"/>
          <w:sz w:val="24"/>
        </w:rPr>
        <w:t xml:space="preserve"> 小时内以电报、传真或电传通知买方合同号、</w:t>
      </w:r>
      <w:r>
        <w:rPr>
          <w:spacing w:val="-6"/>
          <w:sz w:val="24"/>
        </w:rPr>
        <w:t>货物名称、数量、毛重、体积(立方米)、发票金额、载运车次名称和启运日期。如</w:t>
      </w:r>
      <w:r>
        <w:rPr>
          <w:spacing w:val="-7"/>
          <w:sz w:val="24"/>
        </w:rPr>
        <w:t xml:space="preserve">果包装件重量超过 </w:t>
      </w:r>
      <w:r>
        <w:rPr>
          <w:sz w:val="24"/>
        </w:rPr>
        <w:t>20</w:t>
      </w:r>
      <w:r>
        <w:rPr>
          <w:spacing w:val="-13"/>
          <w:sz w:val="24"/>
        </w:rPr>
        <w:t xml:space="preserve"> 吨或尺寸达到或超过 </w:t>
      </w:r>
      <w:r>
        <w:rPr>
          <w:sz w:val="24"/>
        </w:rPr>
        <w:t>12</w:t>
      </w:r>
      <w:r>
        <w:rPr>
          <w:spacing w:val="-14"/>
          <w:sz w:val="24"/>
        </w:rPr>
        <w:t xml:space="preserve"> 米长、</w:t>
      </w:r>
      <w:r>
        <w:rPr>
          <w:sz w:val="24"/>
        </w:rPr>
        <w:t>2.7</w:t>
      </w:r>
      <w:r>
        <w:rPr>
          <w:spacing w:val="-23"/>
          <w:sz w:val="24"/>
        </w:rPr>
        <w:t xml:space="preserve"> 米宽和 </w:t>
      </w:r>
      <w:r>
        <w:rPr>
          <w:sz w:val="24"/>
        </w:rPr>
        <w:t>3</w:t>
      </w:r>
      <w:r>
        <w:rPr>
          <w:spacing w:val="-8"/>
          <w:sz w:val="24"/>
        </w:rPr>
        <w:t xml:space="preserve"> 米高，卖方应将</w:t>
      </w:r>
      <w:r>
        <w:rPr>
          <w:spacing w:val="-11"/>
          <w:sz w:val="24"/>
        </w:rPr>
        <w:t>其重量或尺寸通知买方。若货物中有易燃品或危险品，卖方也须将详细情况通知买</w:t>
      </w:r>
      <w:r>
        <w:rPr>
          <w:sz w:val="24"/>
        </w:rPr>
        <w:t>方。</w:t>
      </w:r>
    </w:p>
    <w:p>
      <w:pPr>
        <w:pStyle w:val="5"/>
        <w:numPr>
          <w:ilvl w:val="0"/>
          <w:numId w:val="26"/>
        </w:numPr>
        <w:tabs>
          <w:tab w:val="left" w:pos="1599"/>
        </w:tabs>
        <w:spacing w:before="3" w:after="0" w:line="240" w:lineRule="auto"/>
        <w:ind w:left="1598" w:right="0" w:hanging="482"/>
        <w:jc w:val="left"/>
      </w:pPr>
      <w:r>
        <w:t>保险</w:t>
      </w:r>
    </w:p>
    <w:p>
      <w:pPr>
        <w:pStyle w:val="2"/>
        <w:numPr>
          <w:ilvl w:val="1"/>
          <w:numId w:val="26"/>
        </w:numPr>
        <w:tabs>
          <w:tab w:val="left" w:pos="1658"/>
        </w:tabs>
        <w:spacing w:before="90" w:after="0" w:line="364" w:lineRule="auto"/>
        <w:ind w:left="1117" w:right="4526" w:firstLine="0"/>
        <w:jc w:val="left"/>
        <w:rPr>
          <w:b/>
          <w:sz w:val="24"/>
        </w:rPr>
      </w:pPr>
      <w:r>
        <w:rPr>
          <w:spacing w:val="-1"/>
          <w:sz w:val="24"/>
        </w:rPr>
        <w:t>在合同价条件下，由卖方负责办理保险。</w:t>
      </w:r>
      <w:r>
        <w:rPr>
          <w:b/>
          <w:sz w:val="24"/>
        </w:rPr>
        <w:t>11．合同价款的支付方式</w:t>
      </w:r>
    </w:p>
    <w:p>
      <w:pPr>
        <w:pStyle w:val="10"/>
        <w:spacing w:line="364" w:lineRule="auto"/>
        <w:ind w:left="1117" w:right="2306"/>
        <w:rPr>
          <w:rFonts w:hint="eastAsia" w:ascii="宋体" w:hAnsi="宋体" w:eastAsia="宋体" w:cs="宋体"/>
          <w:sz w:val="24"/>
          <w:lang w:eastAsia="zh-CN"/>
        </w:rPr>
      </w:pPr>
      <w:r>
        <w:rPr>
          <w:rFonts w:ascii="宋体" w:hAnsi="宋体" w:eastAsia="宋体" w:cs="宋体"/>
          <w:spacing w:val="-1"/>
          <w:sz w:val="24"/>
          <w:szCs w:val="22"/>
          <w:lang w:val="zh-CN" w:eastAsia="zh-CN" w:bidi="zh-CN"/>
        </w:rPr>
        <w:t>11.1 除另有规定者外，</w:t>
      </w:r>
      <w:r>
        <w:rPr>
          <w:rFonts w:hint="eastAsia" w:ascii="宋体" w:hAnsi="宋体" w:cs="宋体"/>
          <w:sz w:val="24"/>
        </w:rPr>
        <w:t>本合同价款将由买方直接向卖方支付</w:t>
      </w:r>
      <w:r>
        <w:rPr>
          <w:rFonts w:hint="eastAsia" w:ascii="宋体" w:hAnsi="宋体" w:cs="宋体"/>
          <w:sz w:val="24"/>
          <w:lang w:eastAsia="zh-CN"/>
        </w:rPr>
        <w:t>。</w:t>
      </w:r>
    </w:p>
    <w:p>
      <w:pPr>
        <w:pStyle w:val="10"/>
        <w:spacing w:line="364" w:lineRule="auto"/>
        <w:ind w:left="1117" w:right="2306"/>
        <w:rPr>
          <w:b/>
        </w:rPr>
      </w:pPr>
      <w:r>
        <w:rPr>
          <w:b/>
        </w:rPr>
        <w:t>12．技术资料</w:t>
      </w:r>
    </w:p>
    <w:p>
      <w:pPr>
        <w:pStyle w:val="2"/>
        <w:numPr>
          <w:ilvl w:val="1"/>
          <w:numId w:val="27"/>
        </w:numPr>
        <w:tabs>
          <w:tab w:val="left" w:pos="1658"/>
        </w:tabs>
        <w:spacing w:before="1" w:after="0" w:line="364" w:lineRule="auto"/>
        <w:ind w:left="637" w:right="1226" w:firstLine="480"/>
        <w:jc w:val="both"/>
        <w:rPr>
          <w:sz w:val="24"/>
        </w:rPr>
      </w:pPr>
      <w:r>
        <w:rPr>
          <w:spacing w:val="-5"/>
          <w:sz w:val="24"/>
        </w:rPr>
        <w:t xml:space="preserve">除谈判文件的技术规范书中另有规定的外，卖方应准备与合同设备或仪器相符的中文技术资料，并于合同生效后 </w:t>
      </w:r>
      <w:r>
        <w:rPr>
          <w:sz w:val="24"/>
        </w:rPr>
        <w:t>15</w:t>
      </w:r>
      <w:r>
        <w:rPr>
          <w:spacing w:val="-5"/>
          <w:sz w:val="24"/>
        </w:rPr>
        <w:t xml:space="preserve"> 天内寄送到买方，如样本、图纸、操作</w:t>
      </w:r>
      <w:r>
        <w:rPr>
          <w:spacing w:val="-6"/>
          <w:sz w:val="24"/>
        </w:rPr>
        <w:t xml:space="preserve">手册、使用说明、维修指南或服务手册等。如本条款所述资料寄送不完整或丢失， </w:t>
      </w:r>
      <w:r>
        <w:rPr>
          <w:sz w:val="24"/>
        </w:rPr>
        <w:t>卖方应在收到买方通知后立即免费另寄。</w:t>
      </w:r>
    </w:p>
    <w:p>
      <w:pPr>
        <w:pStyle w:val="2"/>
        <w:numPr>
          <w:ilvl w:val="1"/>
          <w:numId w:val="27"/>
        </w:numPr>
        <w:tabs>
          <w:tab w:val="left" w:pos="1718"/>
        </w:tabs>
        <w:spacing w:before="3" w:after="0" w:line="364" w:lineRule="auto"/>
        <w:ind w:left="1117" w:right="3266" w:firstLine="0"/>
        <w:jc w:val="both"/>
        <w:rPr>
          <w:b/>
          <w:sz w:val="24"/>
        </w:rPr>
      </w:pPr>
      <w:r>
        <w:rPr>
          <w:spacing w:val="-1"/>
          <w:sz w:val="24"/>
        </w:rPr>
        <w:t>上述一套完整的资料应包装好随每批货物一起发运。</w:t>
      </w:r>
      <w:r>
        <w:rPr>
          <w:b/>
          <w:sz w:val="24"/>
        </w:rPr>
        <w:t>13．价格</w:t>
      </w:r>
    </w:p>
    <w:p>
      <w:pPr>
        <w:pStyle w:val="10"/>
        <w:spacing w:line="364" w:lineRule="auto"/>
        <w:ind w:right="1249" w:firstLine="480"/>
      </w:pPr>
      <w:r>
        <w:t>13.1</w:t>
      </w:r>
      <w:r>
        <w:rPr>
          <w:spacing w:val="-14"/>
        </w:rPr>
        <w:t xml:space="preserve"> 除合同中另有规定者外，卖方为其所供货物和服务而要求买方支付的金额</w:t>
      </w:r>
      <w:r>
        <w:t>应与其投标报价一致。</w:t>
      </w:r>
    </w:p>
    <w:p>
      <w:pPr>
        <w:pStyle w:val="5"/>
        <w:numPr>
          <w:ilvl w:val="0"/>
          <w:numId w:val="28"/>
        </w:numPr>
        <w:tabs>
          <w:tab w:val="left" w:pos="1599"/>
        </w:tabs>
        <w:spacing w:before="1" w:after="0" w:line="240" w:lineRule="auto"/>
        <w:ind w:left="1598" w:right="0" w:hanging="482"/>
        <w:jc w:val="left"/>
      </w:pPr>
      <w:r>
        <w:t>质量保证</w:t>
      </w:r>
    </w:p>
    <w:p>
      <w:pPr>
        <w:pStyle w:val="2"/>
        <w:numPr>
          <w:ilvl w:val="1"/>
          <w:numId w:val="28"/>
        </w:numPr>
        <w:tabs>
          <w:tab w:val="left" w:pos="1658"/>
        </w:tabs>
        <w:spacing w:before="161" w:after="0" w:line="364" w:lineRule="auto"/>
        <w:ind w:left="637" w:right="1249" w:firstLine="480"/>
        <w:jc w:val="both"/>
        <w:rPr>
          <w:sz w:val="24"/>
        </w:rPr>
      </w:pPr>
      <w:r>
        <w:rPr>
          <w:spacing w:val="-6"/>
          <w:sz w:val="24"/>
        </w:rPr>
        <w:t>卖方应保证其提供的货物是全新的、未使用过的，采用的是最佳材料和一</w:t>
      </w:r>
      <w:r>
        <w:rPr>
          <w:spacing w:val="-5"/>
          <w:sz w:val="24"/>
        </w:rPr>
        <w:t>流工艺，并在各个方面符合合同规定的质量、规格和性能要求。卖方应保证其货物经过正确安装、合理操作和维护保养，在货物寿命期内运转良好。在规定的质量保证期内，卖方应对由于设计、工艺或材料的缺陷而造成的任何缺陷或故障负责。除</w:t>
      </w:r>
      <w:r>
        <w:rPr>
          <w:spacing w:val="-2"/>
          <w:sz w:val="24"/>
        </w:rPr>
        <w:t xml:space="preserve">合同中另有规定者外，出现上述情况，卖方应在收到买方通知后 </w:t>
      </w:r>
      <w:r>
        <w:rPr>
          <w:sz w:val="24"/>
        </w:rPr>
        <w:t>30</w:t>
      </w:r>
      <w:r>
        <w:rPr>
          <w:spacing w:val="-6"/>
          <w:sz w:val="24"/>
        </w:rPr>
        <w:t xml:space="preserve"> 天内，免费负责修理或更换有缺陷的零部件或整机</w:t>
      </w:r>
      <w:r>
        <w:rPr>
          <w:rFonts w:hint="eastAsia"/>
          <w:spacing w:val="-6"/>
          <w:sz w:val="24"/>
          <w:lang w:eastAsia="zh-CN"/>
        </w:rPr>
        <w:t>，</w:t>
      </w:r>
      <w:r>
        <w:rPr>
          <w:spacing w:val="-6"/>
          <w:sz w:val="24"/>
        </w:rPr>
        <w:t>对造成的损失买方保留索赔的权利。</w:t>
      </w:r>
    </w:p>
    <w:p>
      <w:pPr>
        <w:pStyle w:val="2"/>
        <w:numPr>
          <w:ilvl w:val="1"/>
          <w:numId w:val="28"/>
        </w:numPr>
        <w:tabs>
          <w:tab w:val="left" w:pos="1720"/>
        </w:tabs>
        <w:spacing w:before="3" w:after="0" w:line="364" w:lineRule="auto"/>
        <w:ind w:left="637" w:right="1248" w:firstLine="480"/>
        <w:jc w:val="both"/>
        <w:rPr>
          <w:sz w:val="24"/>
        </w:rPr>
      </w:pPr>
      <w:r>
        <w:rPr>
          <w:sz w:val="24"/>
        </w:rPr>
        <w:t>除合同中另有规定者外，合同项下货物的质量保证期为货物正式验收合</w:t>
      </w:r>
      <w:r>
        <w:rPr>
          <w:spacing w:val="-20"/>
          <w:sz w:val="24"/>
        </w:rPr>
        <w:t xml:space="preserve">格后 </w:t>
      </w:r>
      <w:r>
        <w:rPr>
          <w:sz w:val="24"/>
        </w:rPr>
        <w:t>12</w:t>
      </w:r>
      <w:r>
        <w:rPr>
          <w:spacing w:val="-15"/>
          <w:sz w:val="24"/>
        </w:rPr>
        <w:t xml:space="preserve"> 个月。</w:t>
      </w:r>
    </w:p>
    <w:p>
      <w:pPr>
        <w:pStyle w:val="5"/>
        <w:numPr>
          <w:ilvl w:val="0"/>
          <w:numId w:val="28"/>
        </w:numPr>
        <w:tabs>
          <w:tab w:val="left" w:pos="1599"/>
        </w:tabs>
        <w:spacing w:before="1" w:after="0" w:line="240" w:lineRule="auto"/>
        <w:ind w:left="1598" w:right="0" w:hanging="482"/>
        <w:jc w:val="left"/>
      </w:pPr>
      <w:r>
        <w:t>履约保证金</w:t>
      </w:r>
    </w:p>
    <w:p>
      <w:pPr>
        <w:pStyle w:val="2"/>
        <w:numPr>
          <w:ilvl w:val="1"/>
          <w:numId w:val="28"/>
        </w:numPr>
        <w:tabs>
          <w:tab w:val="left" w:pos="1658"/>
        </w:tabs>
        <w:spacing w:before="161" w:after="0" w:line="240" w:lineRule="auto"/>
        <w:ind w:left="1657" w:right="0" w:hanging="541"/>
        <w:jc w:val="left"/>
        <w:rPr>
          <w:sz w:val="24"/>
        </w:rPr>
      </w:pPr>
      <w:r>
        <w:rPr>
          <w:sz w:val="24"/>
        </w:rPr>
        <w:t>合同签订后，卖方须向买方提供招标文件中规定金额的履约保证金。</w:t>
      </w:r>
    </w:p>
    <w:p>
      <w:pPr>
        <w:pStyle w:val="2"/>
        <w:numPr>
          <w:ilvl w:val="1"/>
          <w:numId w:val="28"/>
        </w:numPr>
        <w:tabs>
          <w:tab w:val="left" w:pos="1658"/>
        </w:tabs>
        <w:spacing w:before="160" w:after="0" w:line="364" w:lineRule="auto"/>
        <w:ind w:left="637" w:right="1249" w:firstLine="480"/>
        <w:jc w:val="left"/>
        <w:rPr>
          <w:sz w:val="24"/>
        </w:rPr>
      </w:pPr>
      <w:r>
        <w:rPr>
          <w:spacing w:val="-6"/>
          <w:sz w:val="24"/>
        </w:rPr>
        <w:t>卖方在收到买方的货物验收合格的报告后，买方在七个工作日无息退还履</w:t>
      </w:r>
      <w:r>
        <w:rPr>
          <w:sz w:val="24"/>
        </w:rPr>
        <w:t>约保证金。</w:t>
      </w:r>
    </w:p>
    <w:p>
      <w:pPr>
        <w:pStyle w:val="5"/>
        <w:numPr>
          <w:ilvl w:val="0"/>
          <w:numId w:val="28"/>
        </w:numPr>
        <w:tabs>
          <w:tab w:val="left" w:pos="1599"/>
        </w:tabs>
        <w:spacing w:before="2" w:after="0" w:line="240" w:lineRule="auto"/>
        <w:ind w:left="1598" w:right="0" w:hanging="482"/>
        <w:jc w:val="left"/>
      </w:pPr>
      <w:r>
        <w:t>检验</w:t>
      </w:r>
    </w:p>
    <w:p>
      <w:pPr>
        <w:pStyle w:val="2"/>
        <w:numPr>
          <w:ilvl w:val="1"/>
          <w:numId w:val="28"/>
        </w:numPr>
        <w:tabs>
          <w:tab w:val="left" w:pos="1720"/>
        </w:tabs>
        <w:spacing w:before="160" w:after="0" w:line="364" w:lineRule="auto"/>
        <w:ind w:left="637" w:right="1249" w:firstLine="480"/>
        <w:jc w:val="both"/>
        <w:rPr>
          <w:sz w:val="24"/>
        </w:rPr>
      </w:pPr>
      <w:r>
        <w:rPr>
          <w:sz w:val="24"/>
        </w:rPr>
        <w:t>卖方应在发货之前，对货物的有关内在和外观质量、规格、性能、数量</w:t>
      </w:r>
      <w:r>
        <w:rPr>
          <w:spacing w:val="-3"/>
          <w:sz w:val="24"/>
        </w:rPr>
        <w:t>和重量进行准确和全面的检验，并出具其货物符合合同规定的质量证书。该证书将</w:t>
      </w:r>
      <w:r>
        <w:rPr>
          <w:spacing w:val="-5"/>
          <w:sz w:val="24"/>
        </w:rPr>
        <w:t>作为提交付款单据的组成部分，但不应视为是对质量、规格、性能、数量或重量的</w:t>
      </w:r>
    </w:p>
    <w:p>
      <w:pPr>
        <w:pStyle w:val="10"/>
        <w:spacing w:before="90"/>
      </w:pPr>
      <w:r>
        <w:t>最终定论。质量证书应附有写明制造商检验的细节和结果的说明。</w:t>
      </w:r>
    </w:p>
    <w:p>
      <w:pPr>
        <w:pStyle w:val="2"/>
        <w:numPr>
          <w:ilvl w:val="1"/>
          <w:numId w:val="28"/>
        </w:numPr>
        <w:tabs>
          <w:tab w:val="left" w:pos="1720"/>
        </w:tabs>
        <w:spacing w:before="160" w:after="0" w:line="364" w:lineRule="auto"/>
        <w:ind w:left="637" w:right="1249" w:firstLine="480"/>
        <w:jc w:val="both"/>
        <w:rPr>
          <w:sz w:val="24"/>
        </w:rPr>
      </w:pPr>
      <w:r>
        <w:rPr>
          <w:sz w:val="24"/>
        </w:rPr>
        <w:t>在合同规定的质量保证期内，如果发现货物的质量或规格与合同规定不</w:t>
      </w:r>
      <w:r>
        <w:rPr>
          <w:spacing w:val="-6"/>
          <w:sz w:val="24"/>
        </w:rPr>
        <w:t>符，或证明货物有缺陷，包括潜在的缺陷或使用不合适的原材料等，买方应申请质</w:t>
      </w:r>
      <w:r>
        <w:rPr>
          <w:sz w:val="24"/>
        </w:rPr>
        <w:t>检部门进行检验，并有权根据检验证书及质量保证条款立即向卖方提出索赔。</w:t>
      </w:r>
    </w:p>
    <w:p>
      <w:pPr>
        <w:pStyle w:val="5"/>
        <w:numPr>
          <w:ilvl w:val="0"/>
          <w:numId w:val="28"/>
        </w:numPr>
        <w:tabs>
          <w:tab w:val="left" w:pos="1599"/>
        </w:tabs>
        <w:spacing w:before="2" w:after="0" w:line="240" w:lineRule="auto"/>
        <w:ind w:left="1598" w:right="0" w:hanging="482"/>
        <w:jc w:val="left"/>
      </w:pPr>
      <w:r>
        <w:t>索赔</w:t>
      </w:r>
    </w:p>
    <w:p>
      <w:pPr>
        <w:pStyle w:val="2"/>
        <w:numPr>
          <w:ilvl w:val="1"/>
          <w:numId w:val="28"/>
        </w:numPr>
        <w:tabs>
          <w:tab w:val="left" w:pos="1658"/>
        </w:tabs>
        <w:spacing w:before="161" w:after="0" w:line="364" w:lineRule="auto"/>
        <w:ind w:left="637" w:right="1166" w:firstLine="480"/>
        <w:jc w:val="left"/>
        <w:rPr>
          <w:sz w:val="24"/>
        </w:rPr>
      </w:pPr>
      <w:r>
        <w:rPr>
          <w:spacing w:val="-1"/>
          <w:sz w:val="24"/>
        </w:rPr>
        <w:t>卖方对所供货物与合同约定相一致负完全责任。在买方已于规定的检验、</w:t>
      </w:r>
      <w:r>
        <w:rPr>
          <w:spacing w:val="-4"/>
          <w:sz w:val="24"/>
        </w:rPr>
        <w:t>安装、调试和验收测试期限内和质量保证期内提出索赔时，卖方应按买方同意的下述一种或多种方法解决索赔事宜。</w:t>
      </w:r>
    </w:p>
    <w:p>
      <w:pPr>
        <w:pStyle w:val="2"/>
        <w:numPr>
          <w:ilvl w:val="0"/>
          <w:numId w:val="29"/>
        </w:numPr>
        <w:tabs>
          <w:tab w:val="left" w:pos="1605"/>
        </w:tabs>
        <w:spacing w:before="1" w:after="0" w:line="364" w:lineRule="auto"/>
        <w:ind w:left="637" w:right="1129" w:firstLine="480"/>
        <w:jc w:val="left"/>
        <w:rPr>
          <w:sz w:val="24"/>
        </w:rPr>
      </w:pPr>
      <w:r>
        <w:rPr>
          <w:spacing w:val="5"/>
          <w:sz w:val="24"/>
        </w:rPr>
        <w:t>卖方同意买方拒收货物并把被拒收货物的金额以合同规定的同类货币还</w:t>
      </w:r>
      <w:r>
        <w:rPr>
          <w:spacing w:val="-10"/>
          <w:sz w:val="24"/>
        </w:rPr>
        <w:t>付给买方，卖方负担发生的一切损失和费用，包括利息、银行费用、运输和保险费、</w:t>
      </w:r>
      <w:r>
        <w:rPr>
          <w:sz w:val="24"/>
        </w:rPr>
        <w:t>检验费、仓储和装卸费以及为保管和保护被拒绝货物所需的其它必要费用。</w:t>
      </w:r>
    </w:p>
    <w:p>
      <w:pPr>
        <w:pStyle w:val="2"/>
        <w:numPr>
          <w:ilvl w:val="0"/>
          <w:numId w:val="29"/>
        </w:numPr>
        <w:tabs>
          <w:tab w:val="left" w:pos="1586"/>
        </w:tabs>
        <w:spacing w:before="2" w:after="0" w:line="240" w:lineRule="auto"/>
        <w:ind w:left="1585" w:right="0" w:hanging="469"/>
        <w:jc w:val="left"/>
        <w:rPr>
          <w:sz w:val="24"/>
        </w:rPr>
      </w:pPr>
      <w:r>
        <w:rPr>
          <w:spacing w:val="-12"/>
          <w:sz w:val="24"/>
        </w:rPr>
        <w:t>根据货物的疵劣和受损程度以及买方遭受损失的金额，经双方同意降低货价。</w:t>
      </w:r>
    </w:p>
    <w:p>
      <w:pPr>
        <w:pStyle w:val="2"/>
        <w:numPr>
          <w:ilvl w:val="0"/>
          <w:numId w:val="29"/>
        </w:numPr>
        <w:tabs>
          <w:tab w:val="left" w:pos="1598"/>
        </w:tabs>
        <w:spacing w:before="161" w:after="0" w:line="364" w:lineRule="auto"/>
        <w:ind w:left="637" w:right="1249" w:firstLine="480"/>
        <w:jc w:val="both"/>
        <w:rPr>
          <w:sz w:val="24"/>
        </w:rPr>
      </w:pPr>
      <w:r>
        <w:rPr>
          <w:spacing w:val="-4"/>
          <w:sz w:val="24"/>
        </w:rPr>
        <w:t>更换有缺陷的零件、部件和设备，或修理缺陷部分，以达到合同规定的规</w:t>
      </w:r>
      <w:r>
        <w:rPr>
          <w:spacing w:val="-6"/>
          <w:sz w:val="24"/>
        </w:rPr>
        <w:t>格、质量和性能，卖方承担一切费用和风险并负担买方遭受的一切直接费用。同时</w:t>
      </w:r>
      <w:r>
        <w:rPr>
          <w:sz w:val="24"/>
        </w:rPr>
        <w:t>卖方应相应延长被更换货物的质量保证期。</w:t>
      </w:r>
    </w:p>
    <w:p>
      <w:pPr>
        <w:pStyle w:val="2"/>
        <w:numPr>
          <w:ilvl w:val="1"/>
          <w:numId w:val="28"/>
        </w:numPr>
        <w:tabs>
          <w:tab w:val="left" w:pos="1839"/>
          <w:tab w:val="left" w:pos="1840"/>
        </w:tabs>
        <w:spacing w:before="2" w:after="0" w:line="364" w:lineRule="auto"/>
        <w:ind w:left="637" w:right="1129" w:firstLine="480"/>
        <w:jc w:val="left"/>
        <w:rPr>
          <w:sz w:val="24"/>
        </w:rPr>
      </w:pPr>
      <w:r>
        <w:rPr>
          <w:spacing w:val="-5"/>
          <w:sz w:val="24"/>
        </w:rPr>
        <w:t xml:space="preserve">如果买方提出索赔通知后 </w:t>
      </w:r>
      <w:r>
        <w:rPr>
          <w:sz w:val="24"/>
        </w:rPr>
        <w:t>30</w:t>
      </w:r>
      <w:r>
        <w:rPr>
          <w:spacing w:val="-6"/>
          <w:sz w:val="24"/>
        </w:rPr>
        <w:t xml:space="preserve"> 天内卖方未能予以答复，该索赔应视为已</w:t>
      </w:r>
      <w:r>
        <w:rPr>
          <w:spacing w:val="-10"/>
          <w:sz w:val="24"/>
        </w:rPr>
        <w:t xml:space="preserve">被卖方接受。若卖方未能在买方提出索赔通知的 </w:t>
      </w:r>
      <w:r>
        <w:rPr>
          <w:sz w:val="24"/>
        </w:rPr>
        <w:t>30</w:t>
      </w:r>
      <w:r>
        <w:rPr>
          <w:spacing w:val="-9"/>
          <w:sz w:val="24"/>
        </w:rPr>
        <w:t xml:space="preserve"> 天内或买方同意的更长时间内， </w:t>
      </w:r>
      <w:r>
        <w:rPr>
          <w:spacing w:val="-2"/>
          <w:sz w:val="24"/>
        </w:rPr>
        <w:t>按买方同意的上述任何一种方式处理索赔事宜，买方将从未付款或卖方提供的履约保证金中扣回索赔金额，同时保留进一步要求赔偿的权利。</w:t>
      </w:r>
    </w:p>
    <w:p>
      <w:pPr>
        <w:pStyle w:val="5"/>
        <w:numPr>
          <w:ilvl w:val="0"/>
          <w:numId w:val="28"/>
        </w:numPr>
        <w:tabs>
          <w:tab w:val="left" w:pos="1599"/>
        </w:tabs>
        <w:spacing w:before="2" w:after="0" w:line="240" w:lineRule="auto"/>
        <w:ind w:left="1598" w:right="0" w:hanging="482"/>
        <w:jc w:val="left"/>
      </w:pPr>
      <w:r>
        <w:t>延期交货与核定损失额</w:t>
      </w:r>
    </w:p>
    <w:p>
      <w:pPr>
        <w:pStyle w:val="2"/>
        <w:numPr>
          <w:ilvl w:val="1"/>
          <w:numId w:val="28"/>
        </w:numPr>
        <w:tabs>
          <w:tab w:val="left" w:pos="1658"/>
        </w:tabs>
        <w:spacing w:before="160" w:after="0" w:line="364" w:lineRule="auto"/>
        <w:ind w:left="637" w:right="1129" w:firstLine="480"/>
        <w:jc w:val="left"/>
        <w:rPr>
          <w:sz w:val="24"/>
        </w:rPr>
      </w:pPr>
      <w:r>
        <w:rPr>
          <w:spacing w:val="-4"/>
          <w:sz w:val="24"/>
        </w:rPr>
        <w:t>如果卖方未能按合同规定的时间按期交货(不可抗力除外)，在卖方同意支</w:t>
      </w:r>
      <w:r>
        <w:rPr>
          <w:spacing w:val="-6"/>
          <w:sz w:val="24"/>
        </w:rPr>
        <w:t>付核定损失额的条件下，买方将同意延长交货期。核定损失额的支付将从未付款或</w:t>
      </w:r>
      <w:r>
        <w:rPr>
          <w:spacing w:val="-12"/>
          <w:sz w:val="24"/>
        </w:rPr>
        <w:t xml:space="preserve">从履约保证金中扣除。核定损失额比率为每迟交 </w:t>
      </w:r>
      <w:r>
        <w:rPr>
          <w:sz w:val="24"/>
        </w:rPr>
        <w:t>7</w:t>
      </w:r>
      <w:r>
        <w:rPr>
          <w:spacing w:val="-15"/>
          <w:sz w:val="24"/>
        </w:rPr>
        <w:t xml:space="preserve"> 天，按迟交货物金额的 </w:t>
      </w:r>
      <w:r>
        <w:rPr>
          <w:spacing w:val="-6"/>
          <w:sz w:val="24"/>
        </w:rPr>
        <w:t>0.5%</w:t>
      </w:r>
      <w:r>
        <w:rPr>
          <w:spacing w:val="-3"/>
          <w:sz w:val="24"/>
        </w:rPr>
        <w:t>，不</w:t>
      </w:r>
      <w:r>
        <w:rPr>
          <w:spacing w:val="-32"/>
          <w:sz w:val="24"/>
        </w:rPr>
        <w:t xml:space="preserve">满 </w:t>
      </w:r>
      <w:r>
        <w:rPr>
          <w:sz w:val="24"/>
        </w:rPr>
        <w:t>7</w:t>
      </w:r>
      <w:r>
        <w:rPr>
          <w:spacing w:val="-30"/>
          <w:sz w:val="24"/>
        </w:rPr>
        <w:t xml:space="preserve"> 天按 </w:t>
      </w:r>
      <w:r>
        <w:rPr>
          <w:sz w:val="24"/>
        </w:rPr>
        <w:t>7</w:t>
      </w:r>
      <w:r>
        <w:rPr>
          <w:spacing w:val="-20"/>
          <w:sz w:val="24"/>
        </w:rPr>
        <w:t xml:space="preserve"> 天计算，但是，核定损失额的支付不得超过迟交货物部分合同金额的 </w:t>
      </w:r>
      <w:r>
        <w:rPr>
          <w:sz w:val="24"/>
        </w:rPr>
        <w:t>5%</w:t>
      </w:r>
      <w:r>
        <w:rPr>
          <w:spacing w:val="-18"/>
          <w:sz w:val="24"/>
        </w:rPr>
        <w:t>。</w:t>
      </w:r>
      <w:r>
        <w:rPr>
          <w:spacing w:val="-1"/>
          <w:sz w:val="24"/>
        </w:rPr>
        <w:t>如果卖方在达到核定损失额的最高限额后仍不能交货，买方有权因卖方违约终止合同，而卖方仍有义务支付上述迟交核定损失金额。</w:t>
      </w:r>
    </w:p>
    <w:p>
      <w:pPr>
        <w:pStyle w:val="5"/>
        <w:numPr>
          <w:ilvl w:val="0"/>
          <w:numId w:val="28"/>
        </w:numPr>
        <w:tabs>
          <w:tab w:val="left" w:pos="1599"/>
        </w:tabs>
        <w:spacing w:before="4" w:after="0" w:line="240" w:lineRule="auto"/>
        <w:ind w:left="1598" w:right="0" w:hanging="482"/>
        <w:jc w:val="left"/>
      </w:pPr>
      <w:r>
        <w:t>不可抗力</w:t>
      </w:r>
    </w:p>
    <w:p>
      <w:pPr>
        <w:pStyle w:val="2"/>
        <w:numPr>
          <w:ilvl w:val="1"/>
          <w:numId w:val="28"/>
        </w:numPr>
        <w:tabs>
          <w:tab w:val="left" w:pos="1658"/>
        </w:tabs>
        <w:spacing w:before="161" w:after="0" w:line="364" w:lineRule="auto"/>
        <w:ind w:left="637" w:right="1249" w:firstLine="480"/>
        <w:jc w:val="left"/>
        <w:rPr>
          <w:sz w:val="24"/>
        </w:rPr>
      </w:pPr>
      <w:r>
        <w:rPr>
          <w:spacing w:val="-6"/>
          <w:sz w:val="24"/>
        </w:rPr>
        <w:t>签约任何一方由于受诸如战争、严重火灾、洪水、台风、地震等不可抗力</w:t>
      </w:r>
      <w:r>
        <w:rPr>
          <w:spacing w:val="-3"/>
          <w:sz w:val="24"/>
        </w:rPr>
        <w:t>事故的影响而不能执行合同时，履行合同的期限应予以延长，则延长的期限应相当</w:t>
      </w:r>
    </w:p>
    <w:p>
      <w:pPr>
        <w:pStyle w:val="10"/>
        <w:spacing w:before="90" w:line="364" w:lineRule="auto"/>
        <w:ind w:right="1201"/>
      </w:pPr>
      <w:r>
        <w:t>于事故所影响的时间。不可抗力事故系指买卖双方在缔结合同时所不能预见的，并且它的发生及其后果是无法避免和无法克服的事故。</w:t>
      </w:r>
    </w:p>
    <w:p>
      <w:pPr>
        <w:pStyle w:val="2"/>
        <w:numPr>
          <w:ilvl w:val="1"/>
          <w:numId w:val="28"/>
        </w:numPr>
        <w:tabs>
          <w:tab w:val="left" w:pos="1720"/>
        </w:tabs>
        <w:spacing w:before="1" w:after="0" w:line="364" w:lineRule="auto"/>
        <w:ind w:left="637" w:right="1249" w:firstLine="480"/>
        <w:jc w:val="both"/>
        <w:rPr>
          <w:sz w:val="24"/>
        </w:rPr>
      </w:pPr>
      <w:r>
        <w:rPr>
          <w:sz w:val="24"/>
        </w:rPr>
        <w:t xml:space="preserve">受阻一方应在不可抗力事故发生后尽快用电报、传真或电传通知对方， </w:t>
      </w:r>
      <w:r>
        <w:rPr>
          <w:spacing w:val="-5"/>
          <w:sz w:val="24"/>
        </w:rPr>
        <w:t xml:space="preserve">并于事故发生后 </w:t>
      </w:r>
      <w:r>
        <w:rPr>
          <w:sz w:val="24"/>
        </w:rPr>
        <w:t>15</w:t>
      </w:r>
      <w:r>
        <w:rPr>
          <w:spacing w:val="-5"/>
          <w:sz w:val="24"/>
        </w:rPr>
        <w:t xml:space="preserve"> 天内将有关部门出具的证明文件用特快专递或挂号信等形式寄</w:t>
      </w:r>
      <w:r>
        <w:rPr>
          <w:spacing w:val="-9"/>
          <w:sz w:val="24"/>
        </w:rPr>
        <w:t xml:space="preserve">给对方审阅确认。一旦不可抗力事故的影响持续 </w:t>
      </w:r>
      <w:r>
        <w:rPr>
          <w:sz w:val="24"/>
        </w:rPr>
        <w:t>120</w:t>
      </w:r>
      <w:r>
        <w:rPr>
          <w:spacing w:val="-10"/>
          <w:sz w:val="24"/>
        </w:rPr>
        <w:t xml:space="preserve"> 天以上，双方应通过友好协商</w:t>
      </w:r>
      <w:r>
        <w:rPr>
          <w:sz w:val="24"/>
        </w:rPr>
        <w:t>在合理的时间内达成进一步履行合同的协议。</w:t>
      </w:r>
    </w:p>
    <w:p>
      <w:pPr>
        <w:pStyle w:val="5"/>
        <w:numPr>
          <w:ilvl w:val="0"/>
          <w:numId w:val="28"/>
        </w:numPr>
        <w:tabs>
          <w:tab w:val="left" w:pos="1599"/>
        </w:tabs>
        <w:spacing w:before="2" w:after="0" w:line="240" w:lineRule="auto"/>
        <w:ind w:left="1598" w:right="0" w:hanging="482"/>
        <w:jc w:val="left"/>
      </w:pPr>
      <w:r>
        <w:t>仲裁</w:t>
      </w:r>
    </w:p>
    <w:p>
      <w:pPr>
        <w:pStyle w:val="2"/>
        <w:numPr>
          <w:ilvl w:val="1"/>
          <w:numId w:val="28"/>
        </w:numPr>
        <w:tabs>
          <w:tab w:val="left" w:pos="1663"/>
        </w:tabs>
        <w:spacing w:before="161" w:after="0" w:line="364" w:lineRule="auto"/>
        <w:ind w:left="637" w:right="1245" w:firstLine="480"/>
        <w:jc w:val="left"/>
        <w:rPr>
          <w:sz w:val="24"/>
        </w:rPr>
      </w:pPr>
      <w:r>
        <w:rPr>
          <w:spacing w:val="3"/>
          <w:sz w:val="24"/>
        </w:rPr>
        <w:t>在执行本合同中发生的或与本合同有关的争端，双方应通过友好协商解</w:t>
      </w:r>
      <w:r>
        <w:rPr>
          <w:spacing w:val="-6"/>
          <w:sz w:val="24"/>
        </w:rPr>
        <w:t xml:space="preserve">决，经协商在 </w:t>
      </w:r>
      <w:r>
        <w:rPr>
          <w:sz w:val="24"/>
        </w:rPr>
        <w:t>30</w:t>
      </w:r>
      <w:r>
        <w:rPr>
          <w:spacing w:val="-8"/>
          <w:sz w:val="24"/>
        </w:rPr>
        <w:t xml:space="preserve"> 天内不能达成协议时，应提交仲裁。</w:t>
      </w:r>
    </w:p>
    <w:p>
      <w:pPr>
        <w:pStyle w:val="2"/>
        <w:numPr>
          <w:ilvl w:val="1"/>
          <w:numId w:val="28"/>
        </w:numPr>
        <w:tabs>
          <w:tab w:val="left" w:pos="1718"/>
        </w:tabs>
        <w:spacing w:before="1" w:after="0" w:line="240" w:lineRule="auto"/>
        <w:ind w:left="1717" w:right="0" w:hanging="601"/>
        <w:jc w:val="left"/>
        <w:rPr>
          <w:sz w:val="24"/>
        </w:rPr>
      </w:pPr>
      <w:r>
        <w:rPr>
          <w:sz w:val="24"/>
        </w:rPr>
        <w:t>仲裁应由买方所在地仲裁机构，根据其仲裁程序和规则进行。</w:t>
      </w:r>
    </w:p>
    <w:p>
      <w:pPr>
        <w:pStyle w:val="2"/>
        <w:numPr>
          <w:ilvl w:val="1"/>
          <w:numId w:val="28"/>
        </w:numPr>
        <w:tabs>
          <w:tab w:val="left" w:pos="1718"/>
        </w:tabs>
        <w:spacing w:before="161" w:after="0" w:line="240" w:lineRule="auto"/>
        <w:ind w:left="1717" w:right="0" w:hanging="601"/>
        <w:jc w:val="left"/>
        <w:rPr>
          <w:sz w:val="24"/>
        </w:rPr>
      </w:pPr>
      <w:r>
        <w:rPr>
          <w:sz w:val="24"/>
        </w:rPr>
        <w:t>仲裁裁决为最终决定，并对双方具有约束力。</w:t>
      </w:r>
    </w:p>
    <w:p>
      <w:pPr>
        <w:pStyle w:val="2"/>
        <w:numPr>
          <w:ilvl w:val="1"/>
          <w:numId w:val="28"/>
        </w:numPr>
        <w:tabs>
          <w:tab w:val="left" w:pos="1718"/>
        </w:tabs>
        <w:spacing w:before="160" w:after="0" w:line="240" w:lineRule="auto"/>
        <w:ind w:left="1717" w:right="0" w:hanging="601"/>
        <w:jc w:val="both"/>
        <w:rPr>
          <w:sz w:val="24"/>
        </w:rPr>
      </w:pPr>
      <w:r>
        <w:rPr>
          <w:sz w:val="24"/>
        </w:rPr>
        <w:t>除另有裁决外，仲裁费应由败诉方负担。</w:t>
      </w:r>
    </w:p>
    <w:p>
      <w:pPr>
        <w:pStyle w:val="2"/>
        <w:numPr>
          <w:ilvl w:val="1"/>
          <w:numId w:val="28"/>
        </w:numPr>
        <w:tabs>
          <w:tab w:val="left" w:pos="1718"/>
        </w:tabs>
        <w:spacing w:before="161" w:after="0" w:line="364" w:lineRule="auto"/>
        <w:ind w:left="1117" w:right="1826" w:firstLine="0"/>
        <w:jc w:val="both"/>
        <w:rPr>
          <w:b/>
          <w:sz w:val="24"/>
        </w:rPr>
      </w:pPr>
      <w:r>
        <w:rPr>
          <w:spacing w:val="-1"/>
          <w:sz w:val="24"/>
        </w:rPr>
        <w:t>在仲裁期间，除正在进行的仲裁部分外，合同其它部分继续执行。</w:t>
      </w:r>
      <w:r>
        <w:rPr>
          <w:b/>
          <w:sz w:val="24"/>
        </w:rPr>
        <w:t>21．违约终止合同</w:t>
      </w:r>
    </w:p>
    <w:p>
      <w:pPr>
        <w:pStyle w:val="2"/>
        <w:numPr>
          <w:ilvl w:val="1"/>
          <w:numId w:val="30"/>
        </w:numPr>
        <w:tabs>
          <w:tab w:val="left" w:pos="1658"/>
        </w:tabs>
        <w:spacing w:before="1" w:after="0" w:line="364" w:lineRule="auto"/>
        <w:ind w:left="637" w:right="1245" w:firstLine="480"/>
        <w:jc w:val="both"/>
        <w:rPr>
          <w:sz w:val="24"/>
        </w:rPr>
      </w:pPr>
      <w:r>
        <w:rPr>
          <w:spacing w:val="-5"/>
          <w:sz w:val="24"/>
        </w:rPr>
        <w:t xml:space="preserve">在补救违约而采取的任何其他措施未能实现的情况下，即在卖方收到买方发出的违约通知后 </w:t>
      </w:r>
      <w:r>
        <w:rPr>
          <w:sz w:val="24"/>
        </w:rPr>
        <w:t>30</w:t>
      </w:r>
      <w:r>
        <w:rPr>
          <w:spacing w:val="-6"/>
          <w:sz w:val="24"/>
        </w:rPr>
        <w:t xml:space="preserve"> 天内(或经买方书面确认的更长时间内)仍未纠正其下述任何一种违约行为，买方可向卖方发出书面违约通知，终止全部或部分合同：</w:t>
      </w:r>
    </w:p>
    <w:p>
      <w:pPr>
        <w:pStyle w:val="2"/>
        <w:numPr>
          <w:ilvl w:val="0"/>
          <w:numId w:val="31"/>
        </w:numPr>
        <w:tabs>
          <w:tab w:val="left" w:pos="1480"/>
        </w:tabs>
        <w:spacing w:before="2" w:after="0" w:line="364" w:lineRule="auto"/>
        <w:ind w:left="637" w:right="1248" w:firstLine="480"/>
        <w:jc w:val="left"/>
        <w:rPr>
          <w:sz w:val="24"/>
        </w:rPr>
      </w:pPr>
      <w:r>
        <w:rPr>
          <w:sz w:val="24"/>
        </w:rPr>
        <w:t>如果卖方未能在合同规定的期限内或买方准许的任何延期内交付部分或全部货物。</w:t>
      </w:r>
    </w:p>
    <w:p>
      <w:pPr>
        <w:pStyle w:val="2"/>
        <w:numPr>
          <w:ilvl w:val="0"/>
          <w:numId w:val="31"/>
        </w:numPr>
        <w:tabs>
          <w:tab w:val="left" w:pos="1479"/>
        </w:tabs>
        <w:spacing w:before="1" w:after="0" w:line="240" w:lineRule="auto"/>
        <w:ind w:left="1478" w:right="0" w:hanging="362"/>
        <w:jc w:val="left"/>
        <w:rPr>
          <w:sz w:val="24"/>
        </w:rPr>
      </w:pPr>
      <w:r>
        <w:rPr>
          <w:sz w:val="24"/>
        </w:rPr>
        <w:t>卖方未能履行合同项下的其它义务。</w:t>
      </w:r>
    </w:p>
    <w:p>
      <w:pPr>
        <w:pStyle w:val="2"/>
        <w:numPr>
          <w:ilvl w:val="1"/>
          <w:numId w:val="30"/>
        </w:numPr>
        <w:tabs>
          <w:tab w:val="left" w:pos="1718"/>
        </w:tabs>
        <w:spacing w:before="160" w:after="0" w:line="364" w:lineRule="auto"/>
        <w:ind w:left="637" w:right="1245" w:firstLine="480"/>
        <w:jc w:val="both"/>
        <w:rPr>
          <w:sz w:val="24"/>
        </w:rPr>
      </w:pPr>
      <w:r>
        <w:rPr>
          <w:spacing w:val="-8"/>
          <w:sz w:val="24"/>
        </w:rPr>
        <w:t xml:space="preserve">一旦买方根据第 </w:t>
      </w:r>
      <w:r>
        <w:rPr>
          <w:sz w:val="24"/>
        </w:rPr>
        <w:t>21.1</w:t>
      </w:r>
      <w:r>
        <w:rPr>
          <w:spacing w:val="-11"/>
          <w:sz w:val="24"/>
        </w:rPr>
        <w:t xml:space="preserve"> 款终止部分或全部合同，买方可以按其认为适当的</w:t>
      </w:r>
      <w:r>
        <w:rPr>
          <w:spacing w:val="3"/>
          <w:sz w:val="24"/>
        </w:rPr>
        <w:t>条件和方式采购类似未交付部分的货物。卖方应承担买方购买类似货物的额外费用。但是，卖方应继续履行合同中未终止的部分。</w:t>
      </w:r>
    </w:p>
    <w:p>
      <w:pPr>
        <w:pStyle w:val="5"/>
        <w:numPr>
          <w:ilvl w:val="0"/>
          <w:numId w:val="32"/>
        </w:numPr>
        <w:tabs>
          <w:tab w:val="left" w:pos="1599"/>
        </w:tabs>
        <w:spacing w:before="2" w:after="0" w:line="240" w:lineRule="auto"/>
        <w:ind w:left="1598" w:right="0" w:hanging="482"/>
        <w:jc w:val="left"/>
      </w:pPr>
      <w:r>
        <w:t>变更指示</w:t>
      </w:r>
    </w:p>
    <w:p>
      <w:pPr>
        <w:pStyle w:val="2"/>
        <w:numPr>
          <w:ilvl w:val="1"/>
          <w:numId w:val="32"/>
        </w:numPr>
        <w:tabs>
          <w:tab w:val="left" w:pos="1658"/>
        </w:tabs>
        <w:spacing w:before="161" w:after="0" w:line="364" w:lineRule="auto"/>
        <w:ind w:left="637" w:right="1249" w:firstLine="480"/>
        <w:jc w:val="left"/>
        <w:rPr>
          <w:sz w:val="24"/>
        </w:rPr>
      </w:pPr>
      <w:r>
        <w:rPr>
          <w:spacing w:val="-7"/>
          <w:sz w:val="24"/>
        </w:rPr>
        <w:t>买方可以随时向卖方发出书面指示，在合同总体范围内对如下一点或几点</w:t>
      </w:r>
      <w:r>
        <w:rPr>
          <w:sz w:val="24"/>
        </w:rPr>
        <w:t>提出变更：</w:t>
      </w:r>
    </w:p>
    <w:p>
      <w:pPr>
        <w:pStyle w:val="2"/>
        <w:numPr>
          <w:ilvl w:val="2"/>
          <w:numId w:val="32"/>
        </w:numPr>
        <w:tabs>
          <w:tab w:val="left" w:pos="1599"/>
        </w:tabs>
        <w:spacing w:before="1" w:after="0" w:line="364" w:lineRule="auto"/>
        <w:ind w:left="1320" w:leftChars="0" w:right="3146" w:firstLine="0" w:firstLineChars="0"/>
        <w:jc w:val="left"/>
        <w:rPr>
          <w:sz w:val="24"/>
        </w:rPr>
      </w:pPr>
      <w:r>
        <w:rPr>
          <w:spacing w:val="-1"/>
          <w:sz w:val="24"/>
        </w:rPr>
        <w:t xml:space="preserve">合同项下需为买方特殊制造货物的图纸、设计或规格； </w:t>
      </w:r>
    </w:p>
    <w:p>
      <w:pPr>
        <w:pStyle w:val="2"/>
        <w:numPr>
          <w:ilvl w:val="2"/>
          <w:numId w:val="32"/>
        </w:numPr>
        <w:tabs>
          <w:tab w:val="left" w:pos="1599"/>
        </w:tabs>
        <w:spacing w:before="1" w:after="0" w:line="364" w:lineRule="auto"/>
        <w:ind w:left="1320" w:leftChars="0" w:right="3146" w:firstLine="0" w:firstLineChars="0"/>
        <w:jc w:val="left"/>
        <w:rPr>
          <w:sz w:val="24"/>
        </w:rPr>
      </w:pPr>
      <w:r>
        <w:rPr>
          <w:sz w:val="24"/>
        </w:rPr>
        <w:t>装运方式和包装方式；</w:t>
      </w:r>
    </w:p>
    <w:p>
      <w:pPr>
        <w:pStyle w:val="2"/>
        <w:numPr>
          <w:ilvl w:val="2"/>
          <w:numId w:val="32"/>
        </w:numPr>
        <w:tabs>
          <w:tab w:val="left" w:pos="1599"/>
        </w:tabs>
        <w:spacing w:before="1" w:after="0" w:line="364" w:lineRule="auto"/>
        <w:ind w:left="1320" w:leftChars="0" w:right="3146" w:firstLine="0" w:firstLineChars="0"/>
        <w:jc w:val="left"/>
        <w:rPr>
          <w:sz w:val="24"/>
        </w:rPr>
      </w:pPr>
      <w:r>
        <w:rPr>
          <w:sz w:val="24"/>
        </w:rPr>
        <w:t>交货地点；</w:t>
      </w:r>
    </w:p>
    <w:p>
      <w:pPr>
        <w:pStyle w:val="2"/>
        <w:numPr>
          <w:ilvl w:val="2"/>
          <w:numId w:val="32"/>
        </w:numPr>
        <w:tabs>
          <w:tab w:val="left" w:pos="1599"/>
        </w:tabs>
        <w:spacing w:before="1" w:after="0" w:line="364" w:lineRule="auto"/>
        <w:ind w:left="1320" w:leftChars="0" w:right="3146" w:firstLine="0" w:firstLineChars="0"/>
        <w:jc w:val="left"/>
        <w:rPr>
          <w:sz w:val="24"/>
        </w:rPr>
      </w:pPr>
      <w:r>
        <w:rPr>
          <w:sz w:val="24"/>
        </w:rPr>
        <w:t>卖方须提供的服务。</w:t>
      </w:r>
    </w:p>
    <w:p>
      <w:pPr>
        <w:pStyle w:val="2"/>
        <w:widowControl w:val="0"/>
        <w:numPr>
          <w:ilvl w:val="0"/>
          <w:numId w:val="0"/>
        </w:numPr>
        <w:tabs>
          <w:tab w:val="left" w:pos="1599"/>
        </w:tabs>
        <w:autoSpaceDE w:val="0"/>
        <w:autoSpaceDN w:val="0"/>
        <w:spacing w:before="1" w:after="0" w:line="364" w:lineRule="auto"/>
        <w:ind w:right="3146" w:rightChars="0"/>
        <w:jc w:val="left"/>
        <w:rPr>
          <w:sz w:val="24"/>
        </w:rPr>
      </w:pPr>
    </w:p>
    <w:p>
      <w:pPr>
        <w:pStyle w:val="2"/>
        <w:widowControl w:val="0"/>
        <w:numPr>
          <w:ilvl w:val="0"/>
          <w:numId w:val="0"/>
        </w:numPr>
        <w:tabs>
          <w:tab w:val="left" w:pos="1599"/>
        </w:tabs>
        <w:autoSpaceDE w:val="0"/>
        <w:autoSpaceDN w:val="0"/>
        <w:spacing w:before="1" w:after="0" w:line="364" w:lineRule="auto"/>
        <w:ind w:right="3146" w:rightChars="0"/>
        <w:jc w:val="left"/>
        <w:rPr>
          <w:sz w:val="24"/>
        </w:rPr>
        <w:sectPr>
          <w:footerReference r:id="rId7" w:type="default"/>
          <w:pgSz w:w="11910" w:h="16840"/>
          <w:pgMar w:top="1200" w:right="240" w:bottom="1180" w:left="1160" w:header="878" w:footer="993" w:gutter="0"/>
          <w:pgNumType w:fmt="decimal"/>
          <w:cols w:space="720" w:num="1"/>
        </w:sectPr>
      </w:pPr>
    </w:p>
    <w:p>
      <w:pPr>
        <w:pStyle w:val="2"/>
        <w:numPr>
          <w:ilvl w:val="1"/>
          <w:numId w:val="32"/>
        </w:numPr>
        <w:tabs>
          <w:tab w:val="left" w:pos="1845"/>
        </w:tabs>
        <w:spacing w:before="160" w:after="0" w:line="364" w:lineRule="auto"/>
        <w:ind w:left="637" w:right="1245" w:firstLine="480"/>
        <w:jc w:val="both"/>
        <w:rPr>
          <w:sz w:val="24"/>
        </w:rPr>
      </w:pPr>
      <w:r>
        <w:rPr>
          <w:spacing w:val="6"/>
          <w:sz w:val="24"/>
        </w:rPr>
        <w:t>若上述变更导致了卖方履行合同项下任何部分义务的费用或所需时间</w:t>
      </w:r>
      <w:r>
        <w:rPr>
          <w:spacing w:val="-5"/>
          <w:sz w:val="24"/>
        </w:rPr>
        <w:t xml:space="preserve">的增减，应对合同价格或交货进度进行合理的调整，同时相应地修改合同。卖方必须在接到买方的变更指示后 </w:t>
      </w:r>
      <w:r>
        <w:rPr>
          <w:sz w:val="24"/>
        </w:rPr>
        <w:t>30</w:t>
      </w:r>
      <w:r>
        <w:rPr>
          <w:spacing w:val="-8"/>
          <w:sz w:val="24"/>
        </w:rPr>
        <w:t xml:space="preserve"> 天内根据本款提出调整的实施意见。</w:t>
      </w:r>
    </w:p>
    <w:p>
      <w:pPr>
        <w:pStyle w:val="5"/>
        <w:numPr>
          <w:ilvl w:val="0"/>
          <w:numId w:val="32"/>
        </w:numPr>
        <w:tabs>
          <w:tab w:val="left" w:pos="1599"/>
        </w:tabs>
        <w:spacing w:before="2" w:after="0" w:line="240" w:lineRule="auto"/>
        <w:ind w:left="1598" w:right="0" w:hanging="482"/>
        <w:jc w:val="left"/>
      </w:pPr>
      <w:r>
        <w:t>合同修改</w:t>
      </w:r>
    </w:p>
    <w:p>
      <w:pPr>
        <w:pStyle w:val="2"/>
        <w:numPr>
          <w:ilvl w:val="1"/>
          <w:numId w:val="32"/>
        </w:numPr>
        <w:tabs>
          <w:tab w:val="left" w:pos="1658"/>
        </w:tabs>
        <w:spacing w:before="161" w:after="0" w:line="364" w:lineRule="auto"/>
        <w:ind w:left="637" w:right="1249" w:firstLine="480"/>
        <w:jc w:val="left"/>
        <w:rPr>
          <w:sz w:val="24"/>
        </w:rPr>
      </w:pPr>
      <w:r>
        <w:rPr>
          <w:spacing w:val="-7"/>
          <w:sz w:val="24"/>
        </w:rPr>
        <w:t>欲对合同条款做出任何改动或偏离，均须由买卖双方签署书面的合同修改</w:t>
      </w:r>
      <w:r>
        <w:rPr>
          <w:sz w:val="24"/>
        </w:rPr>
        <w:t>书。</w:t>
      </w:r>
    </w:p>
    <w:p>
      <w:pPr>
        <w:pStyle w:val="5"/>
        <w:numPr>
          <w:ilvl w:val="0"/>
          <w:numId w:val="32"/>
        </w:numPr>
        <w:tabs>
          <w:tab w:val="left" w:pos="1599"/>
        </w:tabs>
        <w:spacing w:before="1" w:after="0" w:line="240" w:lineRule="auto"/>
        <w:ind w:left="1598" w:right="0" w:hanging="482"/>
        <w:jc w:val="left"/>
      </w:pPr>
      <w:r>
        <w:t>转让与分包</w:t>
      </w:r>
    </w:p>
    <w:p>
      <w:pPr>
        <w:pStyle w:val="2"/>
        <w:numPr>
          <w:ilvl w:val="1"/>
          <w:numId w:val="32"/>
        </w:numPr>
        <w:tabs>
          <w:tab w:val="left" w:pos="1658"/>
        </w:tabs>
        <w:spacing w:before="160" w:after="0" w:line="364" w:lineRule="auto"/>
        <w:ind w:left="637" w:right="1249" w:firstLine="480"/>
        <w:jc w:val="left"/>
        <w:rPr>
          <w:sz w:val="24"/>
        </w:rPr>
      </w:pPr>
      <w:r>
        <w:rPr>
          <w:spacing w:val="-10"/>
          <w:sz w:val="24"/>
        </w:rPr>
        <w:t>除买方事先同意外，卖方不得部分转让或全部转让其应履行的合同项下的</w:t>
      </w:r>
      <w:r>
        <w:rPr>
          <w:sz w:val="24"/>
        </w:rPr>
        <w:t>义务。</w:t>
      </w:r>
    </w:p>
    <w:p>
      <w:pPr>
        <w:pStyle w:val="2"/>
        <w:numPr>
          <w:ilvl w:val="1"/>
          <w:numId w:val="32"/>
        </w:numPr>
        <w:tabs>
          <w:tab w:val="left" w:pos="1658"/>
        </w:tabs>
        <w:spacing w:before="2" w:after="0" w:line="364" w:lineRule="auto"/>
        <w:ind w:left="637" w:right="1249" w:firstLine="480"/>
        <w:jc w:val="left"/>
        <w:rPr>
          <w:sz w:val="24"/>
        </w:rPr>
      </w:pPr>
      <w:r>
        <w:rPr>
          <w:spacing w:val="-5"/>
          <w:sz w:val="24"/>
        </w:rPr>
        <w:t>卖方应书面通知买方本合同项下所授予的所有分包合同。但该通知不解除</w:t>
      </w:r>
      <w:r>
        <w:rPr>
          <w:sz w:val="24"/>
        </w:rPr>
        <w:t>卖方承担的本合同项下的任何责任或义务。</w:t>
      </w:r>
    </w:p>
    <w:p>
      <w:pPr>
        <w:pStyle w:val="5"/>
        <w:numPr>
          <w:ilvl w:val="0"/>
          <w:numId w:val="32"/>
        </w:numPr>
        <w:tabs>
          <w:tab w:val="left" w:pos="1599"/>
        </w:tabs>
        <w:spacing w:before="1" w:after="0" w:line="240" w:lineRule="auto"/>
        <w:ind w:left="1598" w:right="0" w:hanging="482"/>
        <w:jc w:val="left"/>
      </w:pPr>
      <w:r>
        <w:t>适用法律</w:t>
      </w:r>
    </w:p>
    <w:p>
      <w:pPr>
        <w:pStyle w:val="2"/>
        <w:numPr>
          <w:ilvl w:val="1"/>
          <w:numId w:val="32"/>
        </w:numPr>
        <w:tabs>
          <w:tab w:val="left" w:pos="1658"/>
        </w:tabs>
        <w:spacing w:before="160" w:after="0" w:line="364" w:lineRule="auto"/>
        <w:ind w:left="1117" w:right="4046" w:firstLine="0"/>
        <w:jc w:val="left"/>
        <w:rPr>
          <w:b/>
          <w:sz w:val="24"/>
        </w:rPr>
      </w:pPr>
      <w:r>
        <w:rPr>
          <w:spacing w:val="-1"/>
          <w:sz w:val="24"/>
        </w:rPr>
        <w:t>本合同应按中华人民共和国的相关法律解释。</w:t>
      </w:r>
      <w:r>
        <w:rPr>
          <w:b/>
          <w:sz w:val="24"/>
        </w:rPr>
        <w:t>26．通知</w:t>
      </w:r>
    </w:p>
    <w:p>
      <w:pPr>
        <w:pStyle w:val="10"/>
        <w:spacing w:line="364" w:lineRule="auto"/>
        <w:ind w:right="1249" w:firstLine="480"/>
      </w:pPr>
      <w:r>
        <w:t>26.1</w:t>
      </w:r>
      <w:r>
        <w:rPr>
          <w:spacing w:val="-13"/>
        </w:rPr>
        <w:t xml:space="preserve"> 本合同任何一方给另一方的通知都应以书面或电传、电报、传真的形式发</w:t>
      </w:r>
      <w:r>
        <w:t>送，而另一方应以书面形式确认并发送到对方明确的地址。</w:t>
      </w:r>
    </w:p>
    <w:p>
      <w:pPr>
        <w:pStyle w:val="5"/>
        <w:numPr>
          <w:ilvl w:val="0"/>
          <w:numId w:val="33"/>
        </w:numPr>
        <w:tabs>
          <w:tab w:val="left" w:pos="1599"/>
        </w:tabs>
        <w:spacing w:before="2" w:after="0" w:line="240" w:lineRule="auto"/>
        <w:ind w:left="1598" w:right="0" w:hanging="482"/>
        <w:jc w:val="left"/>
      </w:pPr>
      <w:r>
        <w:t>合同文件及资料的使用</w:t>
      </w:r>
    </w:p>
    <w:p>
      <w:pPr>
        <w:pStyle w:val="2"/>
        <w:numPr>
          <w:ilvl w:val="1"/>
          <w:numId w:val="33"/>
        </w:numPr>
        <w:tabs>
          <w:tab w:val="left" w:pos="1658"/>
        </w:tabs>
        <w:spacing w:before="160" w:after="0" w:line="364" w:lineRule="auto"/>
        <w:ind w:left="637" w:right="1243" w:firstLine="480"/>
        <w:jc w:val="both"/>
        <w:rPr>
          <w:sz w:val="24"/>
        </w:rPr>
      </w:pPr>
      <w:r>
        <w:rPr>
          <w:spacing w:val="-6"/>
          <w:sz w:val="24"/>
        </w:rPr>
        <w:t>除了卖方为执行合同所雇人员外，在未经买方同意的情况下，卖方不得将</w:t>
      </w:r>
      <w:r>
        <w:rPr>
          <w:spacing w:val="-5"/>
          <w:sz w:val="24"/>
        </w:rPr>
        <w:t>合同、合同中的规定、有关规格、计划、图纸、式样、样本或买方为上述内容向卖</w:t>
      </w:r>
      <w:r>
        <w:rPr>
          <w:spacing w:val="-3"/>
          <w:sz w:val="24"/>
        </w:rPr>
        <w:t>方提供的资料透露给任何人。卖方须在对外保密的前提下，对其雇用人员提供有关</w:t>
      </w:r>
      <w:r>
        <w:rPr>
          <w:sz w:val="24"/>
        </w:rPr>
        <w:t>情况，所提供的情况仅限于执行本合同必不可少的范围内。</w:t>
      </w:r>
    </w:p>
    <w:p>
      <w:pPr>
        <w:pStyle w:val="2"/>
        <w:numPr>
          <w:ilvl w:val="1"/>
          <w:numId w:val="33"/>
        </w:numPr>
        <w:tabs>
          <w:tab w:val="left" w:pos="1720"/>
        </w:tabs>
        <w:spacing w:before="3" w:after="0" w:line="364" w:lineRule="auto"/>
        <w:ind w:left="637" w:right="1248" w:firstLine="480"/>
        <w:jc w:val="both"/>
        <w:rPr>
          <w:sz w:val="24"/>
        </w:rPr>
      </w:pPr>
      <w:r>
        <w:rPr>
          <w:sz w:val="24"/>
        </w:rPr>
        <w:t>除非执行合同需要，在事先末得到买方同意的情况下，卖方不得将与本合同有关的任何文件和资料给第三方使用。</w:t>
      </w:r>
    </w:p>
    <w:p>
      <w:pPr>
        <w:pStyle w:val="2"/>
        <w:numPr>
          <w:ilvl w:val="1"/>
          <w:numId w:val="33"/>
        </w:numPr>
        <w:tabs>
          <w:tab w:val="left" w:pos="1720"/>
        </w:tabs>
        <w:spacing w:before="1" w:after="0" w:line="364" w:lineRule="auto"/>
        <w:ind w:left="637" w:right="1248" w:firstLine="480"/>
        <w:jc w:val="both"/>
        <w:rPr>
          <w:sz w:val="24"/>
        </w:rPr>
      </w:pPr>
      <w:r>
        <w:rPr>
          <w:sz w:val="24"/>
        </w:rPr>
        <w:t>除合同本身以外，若买方要求，卖方应于其合同义务履行完毕以后将这些资料(包括所有副本)退还买方。</w:t>
      </w:r>
    </w:p>
    <w:p>
      <w:pPr>
        <w:pStyle w:val="5"/>
        <w:numPr>
          <w:ilvl w:val="0"/>
          <w:numId w:val="33"/>
        </w:numPr>
        <w:tabs>
          <w:tab w:val="left" w:pos="1599"/>
        </w:tabs>
        <w:spacing w:before="1" w:after="0" w:line="240" w:lineRule="auto"/>
        <w:ind w:left="1598" w:right="0" w:hanging="482"/>
        <w:jc w:val="left"/>
      </w:pPr>
      <w:r>
        <w:t>合同生效及其他</w:t>
      </w:r>
    </w:p>
    <w:p>
      <w:pPr>
        <w:pStyle w:val="2"/>
        <w:numPr>
          <w:ilvl w:val="1"/>
          <w:numId w:val="33"/>
        </w:numPr>
        <w:tabs>
          <w:tab w:val="left" w:pos="1658"/>
        </w:tabs>
        <w:spacing w:before="160" w:after="0" w:line="364" w:lineRule="auto"/>
        <w:ind w:left="637" w:right="1249" w:firstLine="480"/>
        <w:jc w:val="left"/>
        <w:rPr>
          <w:sz w:val="24"/>
        </w:rPr>
      </w:pPr>
      <w:r>
        <w:rPr>
          <w:spacing w:val="-4"/>
          <w:sz w:val="24"/>
        </w:rPr>
        <w:t>本合同应在买方</w:t>
      </w:r>
      <w:r>
        <w:rPr>
          <w:sz w:val="24"/>
        </w:rPr>
        <w:t>（采购单位</w:t>
      </w:r>
      <w:r>
        <w:rPr>
          <w:spacing w:val="-20"/>
          <w:sz w:val="24"/>
        </w:rPr>
        <w:t>）</w:t>
      </w:r>
      <w:r>
        <w:rPr>
          <w:spacing w:val="-5"/>
          <w:sz w:val="24"/>
        </w:rPr>
        <w:t>和卖方签字后，招标方</w:t>
      </w:r>
      <w:r>
        <w:rPr>
          <w:sz w:val="24"/>
        </w:rPr>
        <w:t>（</w:t>
      </w:r>
      <w:r>
        <w:rPr>
          <w:rFonts w:hint="eastAsia"/>
          <w:sz w:val="24"/>
        </w:rPr>
        <w:t>新疆正聚方企业管理咨询有限公司</w:t>
      </w:r>
      <w:r>
        <w:rPr>
          <w:spacing w:val="-22"/>
          <w:sz w:val="24"/>
        </w:rPr>
        <w:t>）</w:t>
      </w:r>
      <w:r>
        <w:rPr>
          <w:spacing w:val="-2"/>
          <w:sz w:val="24"/>
        </w:rPr>
        <w:t>收到卖方的履约保证金并加盖鉴证章</w:t>
      </w:r>
    </w:p>
    <w:p>
      <w:pPr>
        <w:spacing w:after="0" w:line="364" w:lineRule="auto"/>
        <w:jc w:val="left"/>
        <w:rPr>
          <w:sz w:val="24"/>
        </w:rPr>
        <w:sectPr>
          <w:footerReference r:id="rId8" w:type="default"/>
          <w:pgSz w:w="11910" w:h="16840"/>
          <w:pgMar w:top="1420" w:right="240" w:bottom="1180" w:left="1160" w:header="878" w:footer="993" w:gutter="0"/>
          <w:pgNumType w:fmt="decimal"/>
          <w:cols w:space="720" w:num="1"/>
        </w:sectPr>
      </w:pPr>
    </w:p>
    <w:p>
      <w:pPr>
        <w:pStyle w:val="10"/>
        <w:spacing w:before="90"/>
      </w:pPr>
      <w:r>
        <w:t>后生效。</w:t>
      </w:r>
    </w:p>
    <w:p>
      <w:pPr>
        <w:pStyle w:val="2"/>
        <w:numPr>
          <w:ilvl w:val="1"/>
          <w:numId w:val="33"/>
        </w:numPr>
        <w:tabs>
          <w:tab w:val="left" w:pos="1720"/>
        </w:tabs>
        <w:spacing w:before="160" w:after="0" w:line="364" w:lineRule="auto"/>
        <w:ind w:left="637" w:right="1248" w:firstLine="480"/>
        <w:jc w:val="left"/>
        <w:rPr>
          <w:sz w:val="24"/>
        </w:rPr>
      </w:pPr>
      <w:r>
        <w:rPr>
          <w:sz w:val="24"/>
        </w:rPr>
        <w:t>卖方须按技术规格中的规定，向买方提供与合同项下货物有关的现场安装调试、技术服务、培训等其他相关服务。</w:t>
      </w:r>
    </w:p>
    <w:p>
      <w:pPr>
        <w:pStyle w:val="2"/>
        <w:numPr>
          <w:ilvl w:val="1"/>
          <w:numId w:val="33"/>
        </w:numPr>
        <w:tabs>
          <w:tab w:val="left" w:pos="1718"/>
        </w:tabs>
        <w:spacing w:before="2" w:after="0" w:line="240" w:lineRule="auto"/>
        <w:ind w:left="1717" w:right="0" w:hanging="601"/>
        <w:jc w:val="left"/>
        <w:rPr>
          <w:sz w:val="24"/>
        </w:rPr>
      </w:pPr>
      <w:r>
        <w:rPr>
          <w:sz w:val="24"/>
        </w:rPr>
        <w:t>商务合同应包括买方最后确认的价格条款和付款方式。</w:t>
      </w:r>
    </w:p>
    <w:p>
      <w:pPr>
        <w:pStyle w:val="2"/>
        <w:numPr>
          <w:ilvl w:val="1"/>
          <w:numId w:val="33"/>
        </w:numPr>
        <w:tabs>
          <w:tab w:val="left" w:pos="1718"/>
        </w:tabs>
        <w:spacing w:before="160" w:after="0" w:line="364" w:lineRule="auto"/>
        <w:ind w:left="637" w:right="1236" w:firstLine="480"/>
        <w:jc w:val="left"/>
        <w:rPr>
          <w:sz w:val="24"/>
        </w:rPr>
      </w:pPr>
      <w:r>
        <w:rPr>
          <w:spacing w:val="-13"/>
          <w:sz w:val="24"/>
        </w:rPr>
        <w:t>下述文件将作为合同附件，为本合同不可分割的组成部分，并与本合具有同</w:t>
      </w:r>
      <w:r>
        <w:rPr>
          <w:spacing w:val="-9"/>
          <w:sz w:val="24"/>
        </w:rPr>
        <w:t>等效力；</w:t>
      </w:r>
    </w:p>
    <w:p>
      <w:pPr>
        <w:pStyle w:val="2"/>
        <w:numPr>
          <w:ilvl w:val="0"/>
          <w:numId w:val="34"/>
        </w:numPr>
        <w:tabs>
          <w:tab w:val="left" w:pos="1719"/>
        </w:tabs>
        <w:spacing w:before="1" w:after="0" w:line="240" w:lineRule="auto"/>
        <w:ind w:left="1718" w:right="0" w:hanging="602"/>
        <w:jc w:val="left"/>
        <w:rPr>
          <w:sz w:val="24"/>
        </w:rPr>
      </w:pPr>
      <w:r>
        <w:rPr>
          <w:sz w:val="24"/>
        </w:rPr>
        <w:t>招标文件</w:t>
      </w:r>
    </w:p>
    <w:p>
      <w:pPr>
        <w:pStyle w:val="2"/>
        <w:numPr>
          <w:ilvl w:val="0"/>
          <w:numId w:val="34"/>
        </w:numPr>
        <w:tabs>
          <w:tab w:val="left" w:pos="1719"/>
        </w:tabs>
        <w:spacing w:before="161" w:after="0" w:line="240" w:lineRule="auto"/>
        <w:ind w:left="1718" w:right="0" w:hanging="602"/>
        <w:jc w:val="left"/>
        <w:rPr>
          <w:sz w:val="24"/>
        </w:rPr>
      </w:pPr>
      <w:r>
        <w:rPr>
          <w:sz w:val="24"/>
        </w:rPr>
        <w:t>中标通知书</w:t>
      </w:r>
    </w:p>
    <w:p>
      <w:pPr>
        <w:pStyle w:val="2"/>
        <w:numPr>
          <w:ilvl w:val="0"/>
          <w:numId w:val="34"/>
        </w:numPr>
        <w:tabs>
          <w:tab w:val="left" w:pos="1719"/>
        </w:tabs>
        <w:spacing w:before="160" w:after="0" w:line="240" w:lineRule="auto"/>
        <w:ind w:left="1718" w:right="0" w:hanging="602"/>
        <w:jc w:val="left"/>
      </w:pPr>
      <w:r>
        <w:rPr>
          <w:sz w:val="24"/>
        </w:rPr>
        <w:t>中标方的投标文件及询标过程中的书面答疑记录</w:t>
      </w:r>
    </w:p>
    <w:p>
      <w:pPr>
        <w:pStyle w:val="4"/>
        <w:spacing w:before="198"/>
        <w:ind w:right="613"/>
      </w:pPr>
      <w:r>
        <w:t>第二章 合同特殊条款</w:t>
      </w:r>
    </w:p>
    <w:p>
      <w:pPr>
        <w:pStyle w:val="10"/>
        <w:spacing w:before="186" w:line="364" w:lineRule="auto"/>
        <w:ind w:right="1245" w:firstLine="480"/>
      </w:pPr>
      <w:r>
        <w:t>合同特殊条款是对合同一般条款的补充和修改，如果两者之间有不一致之处时，应以特殊条款为准。</w:t>
      </w:r>
    </w:p>
    <w:p>
      <w:pPr>
        <w:pStyle w:val="5"/>
        <w:numPr>
          <w:ilvl w:val="0"/>
          <w:numId w:val="35"/>
        </w:numPr>
        <w:tabs>
          <w:tab w:val="left" w:pos="1479"/>
        </w:tabs>
        <w:spacing w:before="1" w:after="0" w:line="240" w:lineRule="auto"/>
        <w:ind w:left="1478" w:right="0" w:hanging="362"/>
        <w:jc w:val="left"/>
      </w:pPr>
      <w:r>
        <w:t>培训：</w:t>
      </w:r>
    </w:p>
    <w:p>
      <w:pPr>
        <w:pStyle w:val="2"/>
        <w:numPr>
          <w:ilvl w:val="1"/>
          <w:numId w:val="35"/>
        </w:numPr>
        <w:tabs>
          <w:tab w:val="left" w:pos="1598"/>
        </w:tabs>
        <w:spacing w:before="160" w:after="0" w:line="364" w:lineRule="auto"/>
        <w:ind w:left="637" w:right="1226" w:firstLine="480"/>
        <w:jc w:val="both"/>
        <w:rPr>
          <w:sz w:val="24"/>
        </w:rPr>
      </w:pPr>
      <w:r>
        <w:rPr>
          <w:spacing w:val="-1"/>
          <w:sz w:val="24"/>
        </w:rPr>
        <w:t>卖方的安装调试人员有义务对买方的设备维修人员及使用人员进行培训， 使维修人员能对设备进行日常维护和一般性故障的查找及故障的排除，使用人员能够熟练掌握设备的各项功能和操作；</w:t>
      </w:r>
    </w:p>
    <w:p>
      <w:pPr>
        <w:pStyle w:val="5"/>
        <w:numPr>
          <w:ilvl w:val="0"/>
          <w:numId w:val="35"/>
        </w:numPr>
        <w:tabs>
          <w:tab w:val="left" w:pos="1479"/>
        </w:tabs>
        <w:spacing w:before="2" w:after="0" w:line="240" w:lineRule="auto"/>
        <w:ind w:left="1478" w:right="0" w:hanging="362"/>
        <w:jc w:val="left"/>
      </w:pPr>
      <w:r>
        <w:t>检验</w:t>
      </w:r>
    </w:p>
    <w:p>
      <w:pPr>
        <w:pStyle w:val="2"/>
        <w:numPr>
          <w:ilvl w:val="1"/>
          <w:numId w:val="35"/>
        </w:numPr>
        <w:tabs>
          <w:tab w:val="left" w:pos="1598"/>
        </w:tabs>
        <w:spacing w:before="161" w:after="0" w:line="364" w:lineRule="auto"/>
        <w:ind w:left="637" w:right="1249" w:firstLine="480"/>
        <w:jc w:val="both"/>
        <w:rPr>
          <w:sz w:val="24"/>
        </w:rPr>
      </w:pPr>
      <w:r>
        <w:rPr>
          <w:spacing w:val="-2"/>
          <w:sz w:val="24"/>
        </w:rPr>
        <w:t>卖方提供的所有货物应符合国际及国内通行的标准，并应附有相应的测试</w:t>
      </w:r>
      <w:r>
        <w:rPr>
          <w:sz w:val="24"/>
        </w:rPr>
        <w:t>报告和合同证书；</w:t>
      </w:r>
    </w:p>
    <w:p>
      <w:pPr>
        <w:pStyle w:val="2"/>
        <w:numPr>
          <w:ilvl w:val="1"/>
          <w:numId w:val="35"/>
        </w:numPr>
        <w:tabs>
          <w:tab w:val="left" w:pos="1605"/>
        </w:tabs>
        <w:spacing w:before="1" w:after="0" w:line="364" w:lineRule="auto"/>
        <w:ind w:left="637" w:right="1249" w:firstLine="480"/>
        <w:jc w:val="both"/>
        <w:rPr>
          <w:sz w:val="24"/>
        </w:rPr>
      </w:pPr>
      <w:r>
        <w:rPr>
          <w:spacing w:val="3"/>
          <w:sz w:val="24"/>
        </w:rPr>
        <w:t>对于卖方提供的所有货物, 买方可按货物的一定比例委托自治区质量监</w:t>
      </w:r>
      <w:r>
        <w:rPr>
          <w:spacing w:val="-5"/>
          <w:sz w:val="24"/>
        </w:rPr>
        <w:t>督部门进行抽检，验收会格后，所产生的费用由买方承担，经检验不合格时，所产</w:t>
      </w:r>
      <w:r>
        <w:rPr>
          <w:sz w:val="24"/>
        </w:rPr>
        <w:t>生的费用由卖方承担。</w:t>
      </w:r>
    </w:p>
    <w:p>
      <w:pPr>
        <w:pStyle w:val="2"/>
        <w:numPr>
          <w:ilvl w:val="1"/>
          <w:numId w:val="35"/>
        </w:numPr>
        <w:tabs>
          <w:tab w:val="left" w:pos="1605"/>
        </w:tabs>
        <w:spacing w:before="2" w:after="0" w:line="364" w:lineRule="auto"/>
        <w:ind w:left="637" w:right="1245" w:firstLine="480"/>
        <w:jc w:val="both"/>
        <w:rPr>
          <w:sz w:val="24"/>
        </w:rPr>
      </w:pPr>
      <w:r>
        <w:rPr>
          <w:spacing w:val="5"/>
          <w:sz w:val="24"/>
        </w:rPr>
        <w:t>具体的国际或国内检验标准按卖方在投标文件中承诺的并经买方确认的</w:t>
      </w:r>
      <w:r>
        <w:rPr>
          <w:sz w:val="24"/>
        </w:rPr>
        <w:t>规定执行。</w:t>
      </w:r>
    </w:p>
    <w:p>
      <w:pPr>
        <w:pStyle w:val="5"/>
        <w:numPr>
          <w:ilvl w:val="0"/>
          <w:numId w:val="35"/>
        </w:numPr>
        <w:tabs>
          <w:tab w:val="left" w:pos="1479"/>
        </w:tabs>
        <w:spacing w:before="1" w:after="0" w:line="240" w:lineRule="auto"/>
        <w:ind w:left="1478" w:right="0" w:hanging="362"/>
        <w:jc w:val="left"/>
      </w:pPr>
      <w:r>
        <w:t>安装调试</w:t>
      </w:r>
    </w:p>
    <w:p>
      <w:pPr>
        <w:pStyle w:val="2"/>
        <w:numPr>
          <w:ilvl w:val="1"/>
          <w:numId w:val="35"/>
        </w:numPr>
        <w:tabs>
          <w:tab w:val="left" w:pos="1598"/>
        </w:tabs>
        <w:spacing w:before="160" w:after="0" w:line="364" w:lineRule="auto"/>
        <w:ind w:left="637" w:right="1249" w:firstLine="480"/>
        <w:jc w:val="left"/>
        <w:rPr>
          <w:sz w:val="24"/>
        </w:rPr>
      </w:pPr>
      <w:r>
        <w:rPr>
          <w:spacing w:val="-3"/>
          <w:sz w:val="24"/>
        </w:rPr>
        <w:t>卖方必须在合同签订后将所有的安装调试条件、需买方配合的事项以书面</w:t>
      </w:r>
      <w:r>
        <w:rPr>
          <w:sz w:val="24"/>
        </w:rPr>
        <w:t>方式通知用户；</w:t>
      </w:r>
    </w:p>
    <w:p>
      <w:pPr>
        <w:pStyle w:val="2"/>
        <w:numPr>
          <w:ilvl w:val="1"/>
          <w:numId w:val="35"/>
        </w:numPr>
        <w:tabs>
          <w:tab w:val="left" w:pos="1598"/>
        </w:tabs>
        <w:spacing w:before="2" w:after="0" w:line="240" w:lineRule="auto"/>
        <w:ind w:left="1597" w:right="0" w:hanging="481"/>
        <w:jc w:val="left"/>
        <w:rPr>
          <w:sz w:val="24"/>
        </w:rPr>
      </w:pPr>
      <w:r>
        <w:rPr>
          <w:sz w:val="24"/>
        </w:rPr>
        <w:t>卖方免费负责设备在买方的安装、调试，买方协助开展工作；</w:t>
      </w:r>
    </w:p>
    <w:p>
      <w:pPr>
        <w:spacing w:after="0" w:line="240" w:lineRule="auto"/>
        <w:jc w:val="left"/>
        <w:rPr>
          <w:sz w:val="24"/>
        </w:rPr>
        <w:sectPr>
          <w:pgSz w:w="11910" w:h="16840"/>
          <w:pgMar w:top="1420" w:right="240" w:bottom="1180" w:left="1160" w:header="878" w:footer="993" w:gutter="0"/>
          <w:pgNumType w:fmt="decimal"/>
          <w:cols w:space="720" w:num="1"/>
        </w:sectPr>
      </w:pPr>
    </w:p>
    <w:p>
      <w:pPr>
        <w:pStyle w:val="2"/>
        <w:numPr>
          <w:ilvl w:val="1"/>
          <w:numId w:val="35"/>
        </w:numPr>
        <w:tabs>
          <w:tab w:val="left" w:pos="1598"/>
        </w:tabs>
        <w:spacing w:before="90" w:after="0" w:line="364" w:lineRule="auto"/>
        <w:ind w:left="637" w:right="1249" w:firstLine="480"/>
        <w:jc w:val="both"/>
        <w:rPr>
          <w:sz w:val="24"/>
        </w:rPr>
      </w:pPr>
      <w:r>
        <w:rPr>
          <w:spacing w:val="-3"/>
          <w:sz w:val="24"/>
        </w:rPr>
        <w:t>卖方安装调试专家人员应及时到达买方现场，直至安装调试结束、通过验</w:t>
      </w:r>
      <w:r>
        <w:rPr>
          <w:sz w:val="24"/>
        </w:rPr>
        <w:t>收；</w:t>
      </w:r>
    </w:p>
    <w:p>
      <w:pPr>
        <w:pStyle w:val="2"/>
        <w:numPr>
          <w:ilvl w:val="1"/>
          <w:numId w:val="35"/>
        </w:numPr>
        <w:tabs>
          <w:tab w:val="left" w:pos="1598"/>
        </w:tabs>
        <w:spacing w:before="1" w:after="0" w:line="364" w:lineRule="auto"/>
        <w:ind w:left="637" w:right="1249" w:firstLine="480"/>
        <w:jc w:val="both"/>
        <w:rPr>
          <w:sz w:val="24"/>
        </w:rPr>
      </w:pPr>
      <w:r>
        <w:rPr>
          <w:spacing w:val="-1"/>
          <w:sz w:val="24"/>
        </w:rPr>
        <w:t>卖方负责安装调试期间</w:t>
      </w:r>
      <w:r>
        <w:rPr>
          <w:sz w:val="24"/>
        </w:rPr>
        <w:t>（包括错发或运输中</w:t>
      </w:r>
      <w:r>
        <w:rPr>
          <w:spacing w:val="-8"/>
          <w:sz w:val="24"/>
        </w:rPr>
        <w:t>）</w:t>
      </w:r>
      <w:r>
        <w:rPr>
          <w:spacing w:val="-3"/>
          <w:sz w:val="24"/>
        </w:rPr>
        <w:t>可能损坏的元器件、测试材</w:t>
      </w:r>
      <w:r>
        <w:rPr>
          <w:spacing w:val="-5"/>
          <w:sz w:val="24"/>
        </w:rPr>
        <w:t>料的准备，如因时间关系，买方可以考虑使用随机的易损件进行更换，但卖方应及</w:t>
      </w:r>
      <w:r>
        <w:rPr>
          <w:sz w:val="24"/>
        </w:rPr>
        <w:t>时给买方补齐（中间产生的任何费用，均由卖方承担）；</w:t>
      </w:r>
    </w:p>
    <w:p>
      <w:pPr>
        <w:pStyle w:val="2"/>
        <w:numPr>
          <w:ilvl w:val="1"/>
          <w:numId w:val="35"/>
        </w:numPr>
        <w:tabs>
          <w:tab w:val="left" w:pos="1598"/>
        </w:tabs>
        <w:spacing w:before="2" w:after="0" w:line="364" w:lineRule="auto"/>
        <w:ind w:left="637" w:right="1249" w:firstLine="480"/>
        <w:jc w:val="both"/>
        <w:rPr>
          <w:sz w:val="24"/>
        </w:rPr>
      </w:pPr>
      <w:r>
        <w:rPr>
          <w:spacing w:val="-4"/>
          <w:sz w:val="24"/>
        </w:rPr>
        <w:t>上述安装调试完成后，买方按相应的卖方在投标文件中所提供的技术指标</w:t>
      </w:r>
      <w:r>
        <w:rPr>
          <w:sz w:val="24"/>
        </w:rPr>
        <w:t>进行验收；</w:t>
      </w:r>
    </w:p>
    <w:p>
      <w:pPr>
        <w:pStyle w:val="2"/>
        <w:numPr>
          <w:ilvl w:val="1"/>
          <w:numId w:val="35"/>
        </w:numPr>
        <w:tabs>
          <w:tab w:val="left" w:pos="1598"/>
        </w:tabs>
        <w:spacing w:before="1" w:after="0" w:line="240" w:lineRule="auto"/>
        <w:ind w:left="1597" w:right="0" w:hanging="481"/>
        <w:jc w:val="both"/>
        <w:rPr>
          <w:sz w:val="24"/>
        </w:rPr>
      </w:pPr>
      <w:r>
        <w:rPr>
          <w:sz w:val="24"/>
        </w:rPr>
        <w:t>卖方如不能按时完成安装、调试工作，应赔偿由此买方造成的所有损失；</w:t>
      </w:r>
    </w:p>
    <w:p>
      <w:pPr>
        <w:pStyle w:val="2"/>
        <w:numPr>
          <w:ilvl w:val="1"/>
          <w:numId w:val="35"/>
        </w:numPr>
        <w:tabs>
          <w:tab w:val="left" w:pos="1598"/>
        </w:tabs>
        <w:spacing w:before="161" w:after="0" w:line="364" w:lineRule="auto"/>
        <w:ind w:left="1117" w:right="3146" w:firstLine="0"/>
        <w:jc w:val="both"/>
        <w:rPr>
          <w:b/>
          <w:sz w:val="24"/>
        </w:rPr>
      </w:pPr>
      <w:r>
        <w:rPr>
          <w:spacing w:val="-1"/>
          <w:sz w:val="24"/>
        </w:rPr>
        <w:t>最终的测试验收报告由买卖双方代表签字认可后生效。</w:t>
      </w:r>
      <w:r>
        <w:rPr>
          <w:b/>
          <w:sz w:val="24"/>
        </w:rPr>
        <w:t>4．质量保证</w:t>
      </w:r>
    </w:p>
    <w:p>
      <w:pPr>
        <w:pStyle w:val="2"/>
        <w:numPr>
          <w:ilvl w:val="1"/>
          <w:numId w:val="36"/>
        </w:numPr>
        <w:tabs>
          <w:tab w:val="left" w:pos="1538"/>
        </w:tabs>
        <w:spacing w:before="1" w:after="0" w:line="364" w:lineRule="auto"/>
        <w:ind w:left="637" w:right="1248" w:firstLine="480"/>
        <w:jc w:val="left"/>
        <w:rPr>
          <w:sz w:val="24"/>
        </w:rPr>
      </w:pPr>
      <w:r>
        <w:rPr>
          <w:sz w:val="24"/>
        </w:rPr>
        <w:t>因卖方原因造成买方不能按时使用（根据合同有关条款）所购买货物（</w:t>
      </w:r>
      <w:r>
        <w:rPr>
          <w:spacing w:val="-11"/>
          <w:sz w:val="24"/>
        </w:rPr>
        <w:t>设</w:t>
      </w:r>
      <w:r>
        <w:rPr>
          <w:sz w:val="24"/>
        </w:rPr>
        <w:t>备）时，卖方应根据合同规定向买方做出赔偿；</w:t>
      </w:r>
    </w:p>
    <w:p>
      <w:pPr>
        <w:pStyle w:val="2"/>
        <w:numPr>
          <w:ilvl w:val="1"/>
          <w:numId w:val="36"/>
        </w:numPr>
        <w:tabs>
          <w:tab w:val="left" w:pos="1598"/>
        </w:tabs>
        <w:spacing w:before="1" w:after="0" w:line="364" w:lineRule="auto"/>
        <w:ind w:left="637" w:right="1249" w:firstLine="480"/>
        <w:jc w:val="left"/>
        <w:rPr>
          <w:b/>
          <w:bCs/>
          <w:color w:val="auto"/>
          <w:sz w:val="24"/>
        </w:rPr>
      </w:pPr>
      <w:r>
        <w:rPr>
          <w:b/>
          <w:bCs/>
          <w:color w:val="auto"/>
          <w:spacing w:val="-3"/>
          <w:sz w:val="24"/>
        </w:rPr>
        <w:t>卖方对合同项下设备提供</w:t>
      </w:r>
      <w:r>
        <w:rPr>
          <w:rFonts w:hint="eastAsia"/>
          <w:b/>
          <w:bCs/>
          <w:color w:val="auto"/>
          <w:spacing w:val="-3"/>
          <w:sz w:val="24"/>
          <w:lang w:val="en-US" w:eastAsia="zh-CN"/>
        </w:rPr>
        <w:t>质保</w:t>
      </w:r>
      <w:r>
        <w:rPr>
          <w:b/>
          <w:bCs/>
          <w:color w:val="auto"/>
          <w:spacing w:val="-3"/>
          <w:sz w:val="24"/>
        </w:rPr>
        <w:t>期</w:t>
      </w:r>
      <w:r>
        <w:rPr>
          <w:rFonts w:hint="eastAsia"/>
          <w:b/>
          <w:bCs/>
          <w:color w:val="auto"/>
          <w:spacing w:val="-3"/>
          <w:sz w:val="24"/>
          <w:lang w:val="en-US" w:eastAsia="zh-CN"/>
        </w:rPr>
        <w:t>为五</w:t>
      </w:r>
      <w:r>
        <w:rPr>
          <w:b/>
          <w:bCs/>
          <w:color w:val="auto"/>
          <w:spacing w:val="-3"/>
          <w:sz w:val="24"/>
        </w:rPr>
        <w:t>年的保修服务，保修期自验收合格双方签</w:t>
      </w:r>
      <w:r>
        <w:rPr>
          <w:b/>
          <w:bCs/>
          <w:color w:val="auto"/>
          <w:sz w:val="24"/>
        </w:rPr>
        <w:t>字时算起。在保修期内，卖方需提供免费的维修零配件。</w:t>
      </w:r>
    </w:p>
    <w:p>
      <w:pPr>
        <w:pStyle w:val="5"/>
        <w:numPr>
          <w:ilvl w:val="0"/>
          <w:numId w:val="37"/>
        </w:numPr>
        <w:tabs>
          <w:tab w:val="left" w:pos="1479"/>
        </w:tabs>
        <w:spacing w:before="1" w:after="0" w:line="240" w:lineRule="auto"/>
        <w:ind w:left="1478" w:right="0" w:hanging="362"/>
        <w:jc w:val="left"/>
      </w:pPr>
      <w:r>
        <w:t>售后服务</w:t>
      </w:r>
    </w:p>
    <w:p>
      <w:pPr>
        <w:pStyle w:val="2"/>
        <w:numPr>
          <w:ilvl w:val="1"/>
          <w:numId w:val="37"/>
        </w:numPr>
        <w:tabs>
          <w:tab w:val="left" w:pos="1538"/>
        </w:tabs>
        <w:spacing w:before="161" w:after="0" w:line="364" w:lineRule="auto"/>
        <w:ind w:left="637" w:right="1248" w:firstLine="480"/>
        <w:jc w:val="left"/>
        <w:rPr>
          <w:sz w:val="24"/>
        </w:rPr>
      </w:pPr>
      <w:r>
        <w:rPr>
          <w:spacing w:val="-1"/>
          <w:sz w:val="24"/>
        </w:rPr>
        <w:t>提供给买方详细的设备清单及相应的使用、维修、故障查询手册及电器、</w:t>
      </w:r>
      <w:r>
        <w:rPr>
          <w:sz w:val="24"/>
        </w:rPr>
        <w:t>电路图；</w:t>
      </w:r>
    </w:p>
    <w:p>
      <w:pPr>
        <w:pStyle w:val="2"/>
        <w:numPr>
          <w:ilvl w:val="1"/>
          <w:numId w:val="37"/>
        </w:numPr>
        <w:tabs>
          <w:tab w:val="left" w:pos="1600"/>
        </w:tabs>
        <w:spacing w:before="1" w:after="0" w:line="364" w:lineRule="auto"/>
        <w:ind w:left="637" w:right="1248" w:firstLine="480"/>
        <w:jc w:val="left"/>
        <w:rPr>
          <w:sz w:val="24"/>
        </w:rPr>
      </w:pPr>
      <w:r>
        <w:rPr>
          <w:spacing w:val="-4"/>
          <w:sz w:val="24"/>
        </w:rPr>
        <w:t xml:space="preserve">在买方发出要求服务通知的 </w:t>
      </w:r>
      <w:r>
        <w:rPr>
          <w:rFonts w:hint="eastAsia"/>
          <w:sz w:val="24"/>
          <w:lang w:val="en-US" w:eastAsia="zh-CN"/>
        </w:rPr>
        <w:t>6</w:t>
      </w:r>
      <w:r>
        <w:rPr>
          <w:spacing w:val="-5"/>
          <w:sz w:val="24"/>
        </w:rPr>
        <w:t>小时内，卖方指派的服务人员必须到达买</w:t>
      </w:r>
      <w:r>
        <w:rPr>
          <w:spacing w:val="-8"/>
          <w:sz w:val="24"/>
        </w:rPr>
        <w:t xml:space="preserve">方现场，对设备出现的较大问题，解决时间不应超过 </w:t>
      </w:r>
      <w:r>
        <w:rPr>
          <w:sz w:val="24"/>
        </w:rPr>
        <w:t>5</w:t>
      </w:r>
      <w:r>
        <w:rPr>
          <w:spacing w:val="-10"/>
          <w:sz w:val="24"/>
        </w:rPr>
        <w:t xml:space="preserve"> 个日历日；</w:t>
      </w:r>
    </w:p>
    <w:p>
      <w:pPr>
        <w:pStyle w:val="2"/>
        <w:numPr>
          <w:ilvl w:val="1"/>
          <w:numId w:val="37"/>
        </w:numPr>
        <w:tabs>
          <w:tab w:val="left" w:pos="1598"/>
        </w:tabs>
        <w:spacing w:before="1" w:after="0" w:line="364" w:lineRule="auto"/>
        <w:ind w:left="637" w:right="1249" w:firstLine="480"/>
        <w:jc w:val="left"/>
        <w:rPr>
          <w:sz w:val="24"/>
        </w:rPr>
      </w:pPr>
      <w:r>
        <w:rPr>
          <w:spacing w:val="-7"/>
          <w:sz w:val="24"/>
        </w:rPr>
        <w:t xml:space="preserve">在保修期内，如设备出现故障，必须在 </w:t>
      </w:r>
      <w:r>
        <w:rPr>
          <w:sz w:val="24"/>
        </w:rPr>
        <w:t>3</w:t>
      </w:r>
      <w:r>
        <w:rPr>
          <w:spacing w:val="-9"/>
          <w:sz w:val="24"/>
        </w:rPr>
        <w:t xml:space="preserve"> 个日历日内完成维修工作，否则</w:t>
      </w:r>
      <w:r>
        <w:rPr>
          <w:sz w:val="24"/>
        </w:rPr>
        <w:t>更换新机；</w:t>
      </w:r>
    </w:p>
    <w:p>
      <w:pPr>
        <w:pStyle w:val="2"/>
        <w:numPr>
          <w:ilvl w:val="1"/>
          <w:numId w:val="37"/>
        </w:numPr>
        <w:tabs>
          <w:tab w:val="left" w:pos="1598"/>
        </w:tabs>
        <w:spacing w:before="1" w:after="0" w:line="364" w:lineRule="auto"/>
        <w:ind w:left="637" w:right="1249" w:firstLine="480"/>
        <w:jc w:val="left"/>
        <w:rPr>
          <w:sz w:val="24"/>
        </w:rPr>
      </w:pPr>
      <w:r>
        <w:rPr>
          <w:spacing w:val="-1"/>
          <w:sz w:val="24"/>
        </w:rPr>
        <w:t>提供相应的售后服务承诺</w:t>
      </w:r>
      <w:r>
        <w:rPr>
          <w:sz w:val="24"/>
        </w:rPr>
        <w:t>（</w:t>
      </w:r>
      <w:r>
        <w:rPr>
          <w:spacing w:val="-2"/>
          <w:sz w:val="24"/>
        </w:rPr>
        <w:t>需要设备生产企业协助的部分，须由该生产企</w:t>
      </w:r>
      <w:r>
        <w:rPr>
          <w:sz w:val="24"/>
        </w:rPr>
        <w:t>业做出相应的服务承诺），并附在投标文件中。</w:t>
      </w:r>
    </w:p>
    <w:p>
      <w:pPr>
        <w:pStyle w:val="5"/>
        <w:numPr>
          <w:ilvl w:val="0"/>
          <w:numId w:val="37"/>
        </w:numPr>
        <w:tabs>
          <w:tab w:val="left" w:pos="1479"/>
        </w:tabs>
        <w:spacing w:before="1" w:after="0" w:line="240" w:lineRule="auto"/>
        <w:ind w:left="1478" w:right="0" w:hanging="362"/>
        <w:jc w:val="left"/>
      </w:pPr>
      <w:r>
        <w:t>其他</w:t>
      </w:r>
    </w:p>
    <w:p>
      <w:pPr>
        <w:pStyle w:val="2"/>
        <w:numPr>
          <w:ilvl w:val="1"/>
          <w:numId w:val="37"/>
        </w:numPr>
        <w:tabs>
          <w:tab w:val="left" w:pos="1598"/>
        </w:tabs>
        <w:spacing w:before="161" w:after="0" w:line="240" w:lineRule="auto"/>
        <w:ind w:left="1597" w:right="0" w:hanging="481"/>
        <w:jc w:val="both"/>
        <w:rPr>
          <w:sz w:val="24"/>
        </w:rPr>
      </w:pPr>
      <w:r>
        <w:rPr>
          <w:sz w:val="24"/>
        </w:rPr>
        <w:t>投标报价：设备使用地安装调试完成、且验收合格后的交货价</w:t>
      </w:r>
    </w:p>
    <w:p>
      <w:pPr>
        <w:pStyle w:val="2"/>
        <w:numPr>
          <w:ilvl w:val="1"/>
          <w:numId w:val="37"/>
        </w:numPr>
        <w:tabs>
          <w:tab w:val="left" w:pos="1598"/>
        </w:tabs>
        <w:spacing w:before="160" w:after="0" w:line="240" w:lineRule="auto"/>
        <w:ind w:left="1597" w:right="0" w:hanging="481"/>
        <w:jc w:val="left"/>
        <w:rPr>
          <w:sz w:val="24"/>
        </w:rPr>
      </w:pPr>
      <w:r>
        <w:rPr>
          <w:sz w:val="24"/>
        </w:rPr>
        <w:t>投标货币：人民币</w:t>
      </w:r>
    </w:p>
    <w:p>
      <w:pPr>
        <w:pStyle w:val="2"/>
        <w:numPr>
          <w:ilvl w:val="1"/>
          <w:numId w:val="37"/>
        </w:numPr>
        <w:tabs>
          <w:tab w:val="left" w:pos="1598"/>
        </w:tabs>
        <w:spacing w:before="161" w:after="0" w:line="364" w:lineRule="auto"/>
        <w:ind w:left="637" w:right="1226" w:firstLine="480"/>
        <w:jc w:val="left"/>
        <w:rPr>
          <w:sz w:val="24"/>
        </w:rPr>
      </w:pPr>
      <w:r>
        <w:rPr>
          <w:sz w:val="24"/>
        </w:rPr>
        <w:t>列出详细的易损件、专用工具的清单，并分项报价（应包括在总价内）</w:t>
      </w:r>
      <w:r>
        <w:rPr>
          <w:spacing w:val="-17"/>
          <w:sz w:val="24"/>
        </w:rPr>
        <w:t>。</w:t>
      </w:r>
      <w:r>
        <w:rPr>
          <w:sz w:val="24"/>
        </w:rPr>
        <w:t>清单内容应包括：名称、数量、单价、总价</w:t>
      </w:r>
    </w:p>
    <w:p>
      <w:pPr>
        <w:pStyle w:val="2"/>
        <w:numPr>
          <w:ilvl w:val="1"/>
          <w:numId w:val="37"/>
        </w:numPr>
        <w:tabs>
          <w:tab w:val="left" w:pos="1598"/>
        </w:tabs>
        <w:spacing w:before="1" w:after="0" w:line="240" w:lineRule="auto"/>
        <w:ind w:left="1597" w:right="0" w:hanging="481"/>
        <w:jc w:val="left"/>
        <w:rPr>
          <w:sz w:val="24"/>
        </w:rPr>
      </w:pPr>
      <w:r>
        <w:rPr>
          <w:sz w:val="24"/>
        </w:rPr>
        <w:t>付款币种及方式（见第三章）</w:t>
      </w:r>
    </w:p>
    <w:p>
      <w:pPr>
        <w:spacing w:after="0" w:line="240" w:lineRule="auto"/>
        <w:jc w:val="left"/>
        <w:rPr>
          <w:sz w:val="24"/>
        </w:rPr>
        <w:sectPr>
          <w:pgSz w:w="11910" w:h="16840"/>
          <w:pgMar w:top="1420" w:right="240" w:bottom="1180" w:left="1160" w:header="878" w:footer="993" w:gutter="0"/>
          <w:pgNumType w:fmt="decimal"/>
          <w:cols w:space="720" w:num="1"/>
        </w:sectPr>
      </w:pPr>
    </w:p>
    <w:p>
      <w:pPr>
        <w:pStyle w:val="2"/>
        <w:numPr>
          <w:ilvl w:val="1"/>
          <w:numId w:val="37"/>
        </w:numPr>
        <w:tabs>
          <w:tab w:val="left" w:pos="1658"/>
        </w:tabs>
        <w:spacing w:before="90" w:after="0" w:line="240" w:lineRule="auto"/>
        <w:ind w:left="1657" w:right="0" w:hanging="481"/>
        <w:jc w:val="left"/>
        <w:rPr>
          <w:sz w:val="24"/>
        </w:rPr>
      </w:pPr>
      <w:r>
        <w:rPr>
          <w:sz w:val="24"/>
        </w:rPr>
        <w:t>交货地点</w:t>
      </w:r>
      <w:r>
        <w:rPr>
          <w:spacing w:val="-8"/>
          <w:sz w:val="24"/>
        </w:rPr>
        <w:t>：</w:t>
      </w:r>
      <w:r>
        <w:rPr>
          <w:rFonts w:hint="eastAsia"/>
          <w:spacing w:val="-8"/>
          <w:sz w:val="24"/>
          <w:lang w:eastAsia="zh-CN"/>
        </w:rPr>
        <w:t>和硕县；</w:t>
      </w:r>
    </w:p>
    <w:p>
      <w:pPr>
        <w:pStyle w:val="2"/>
        <w:numPr>
          <w:ilvl w:val="1"/>
          <w:numId w:val="37"/>
        </w:numPr>
        <w:tabs>
          <w:tab w:val="left" w:pos="1598"/>
        </w:tabs>
        <w:spacing w:before="160" w:after="0" w:line="240" w:lineRule="auto"/>
        <w:ind w:left="1597" w:right="0" w:hanging="481"/>
        <w:jc w:val="left"/>
        <w:rPr>
          <w:color w:val="auto"/>
          <w:sz w:val="24"/>
        </w:rPr>
      </w:pPr>
      <w:r>
        <w:rPr>
          <w:spacing w:val="-6"/>
          <w:sz w:val="24"/>
        </w:rPr>
        <w:t>交货时间：</w:t>
      </w:r>
      <w:r>
        <w:rPr>
          <w:color w:val="auto"/>
          <w:spacing w:val="-6"/>
          <w:sz w:val="24"/>
        </w:rPr>
        <w:t xml:space="preserve">签订合同后 </w:t>
      </w:r>
      <w:r>
        <w:rPr>
          <w:rFonts w:hint="eastAsia"/>
          <w:color w:val="auto"/>
          <w:sz w:val="24"/>
          <w:lang w:val="en-US" w:eastAsia="zh-CN"/>
        </w:rPr>
        <w:t>30</w:t>
      </w:r>
      <w:r>
        <w:rPr>
          <w:color w:val="auto"/>
          <w:spacing w:val="-8"/>
          <w:sz w:val="24"/>
        </w:rPr>
        <w:t>天内交货安装调试完毕。</w:t>
      </w:r>
    </w:p>
    <w:p>
      <w:pPr>
        <w:pStyle w:val="4"/>
        <w:spacing w:before="189"/>
      </w:pPr>
      <w:r>
        <w:t>第三章 付款币种及方式</w:t>
      </w:r>
    </w:p>
    <w:p>
      <w:pPr>
        <w:pStyle w:val="10"/>
        <w:spacing w:before="186"/>
        <w:ind w:left="1117"/>
      </w:pPr>
      <w:r>
        <w:t>1．付款币种</w:t>
      </w:r>
    </w:p>
    <w:p>
      <w:pPr>
        <w:pStyle w:val="10"/>
        <w:spacing w:before="160" w:line="364" w:lineRule="auto"/>
        <w:ind w:left="1117" w:right="4826"/>
      </w:pPr>
      <w:r>
        <w:rPr>
          <w:spacing w:val="-1"/>
        </w:rPr>
        <w:t>本次招标所述的项目资金均以人民币支付。</w:t>
      </w:r>
      <w:r>
        <w:t>3.付款方式：</w:t>
      </w:r>
    </w:p>
    <w:p>
      <w:pPr>
        <w:spacing w:line="420" w:lineRule="exact"/>
        <w:ind w:left="440" w:leftChars="200" w:right="829" w:rightChars="377" w:firstLine="480" w:firstLineChars="200"/>
        <w:rPr>
          <w:rFonts w:hint="eastAsia" w:ascii="宋体" w:hAnsi="宋体" w:eastAsia="宋体" w:cs="Times New Roman"/>
          <w:b/>
          <w:bCs/>
          <w:kern w:val="2"/>
          <w:sz w:val="24"/>
          <w:szCs w:val="24"/>
          <w:lang w:val="zh-CN" w:eastAsia="zh-CN" w:bidi="ar-SA"/>
        </w:rPr>
      </w:pPr>
      <w:r>
        <w:rPr>
          <w:rFonts w:hint="eastAsia" w:ascii="宋体" w:hAnsi="宋体"/>
          <w:sz w:val="24"/>
          <w:szCs w:val="24"/>
          <w:lang w:eastAsia="zh-CN"/>
        </w:rPr>
        <w:t>（</w:t>
      </w:r>
      <w:r>
        <w:rPr>
          <w:rFonts w:hint="eastAsia" w:ascii="宋体" w:hAnsi="宋体"/>
          <w:sz w:val="24"/>
          <w:szCs w:val="24"/>
          <w:lang w:val="en-US" w:eastAsia="zh-CN"/>
        </w:rPr>
        <w:t>1</w:t>
      </w:r>
      <w:r>
        <w:rPr>
          <w:rFonts w:hint="eastAsia" w:ascii="宋体" w:hAnsi="宋体"/>
          <w:sz w:val="24"/>
          <w:szCs w:val="24"/>
          <w:lang w:eastAsia="zh-CN"/>
        </w:rPr>
        <w:t>）</w:t>
      </w:r>
      <w:r>
        <w:rPr>
          <w:rFonts w:hint="eastAsia" w:ascii="宋体" w:hAnsi="宋体"/>
          <w:sz w:val="24"/>
          <w:szCs w:val="24"/>
        </w:rPr>
        <w:t>本项目的付款方式：</w:t>
      </w:r>
      <w:r>
        <w:rPr>
          <w:rFonts w:hint="eastAsia" w:ascii="宋体" w:hAnsi="宋体" w:eastAsia="宋体" w:cs="Times New Roman"/>
          <w:b/>
          <w:bCs/>
          <w:kern w:val="2"/>
          <w:sz w:val="24"/>
          <w:szCs w:val="24"/>
          <w:lang w:val="zh-CN" w:eastAsia="zh-CN" w:bidi="ar-SA"/>
        </w:rPr>
        <w:t>签订合同后，支付30%的预付款，全部货物到达采购人指定现场并经验收合格后付至审计价的9</w:t>
      </w:r>
      <w:r>
        <w:rPr>
          <w:rFonts w:hint="eastAsia" w:ascii="宋体" w:hAnsi="宋体" w:eastAsia="宋体" w:cs="Times New Roman"/>
          <w:b/>
          <w:bCs/>
          <w:kern w:val="2"/>
          <w:sz w:val="24"/>
          <w:szCs w:val="24"/>
          <w:lang w:val="en-US" w:eastAsia="zh-CN" w:bidi="ar-SA"/>
        </w:rPr>
        <w:t>7</w:t>
      </w:r>
      <w:r>
        <w:rPr>
          <w:rFonts w:hint="eastAsia" w:ascii="宋体" w:hAnsi="宋体" w:eastAsia="宋体" w:cs="Times New Roman"/>
          <w:b/>
          <w:bCs/>
          <w:kern w:val="2"/>
          <w:sz w:val="24"/>
          <w:szCs w:val="24"/>
          <w:lang w:val="zh-CN" w:eastAsia="zh-CN" w:bidi="ar-SA"/>
        </w:rPr>
        <w:t>%；留</w:t>
      </w:r>
      <w:r>
        <w:rPr>
          <w:rFonts w:hint="eastAsia" w:ascii="宋体" w:hAnsi="宋体" w:eastAsia="宋体" w:cs="Times New Roman"/>
          <w:b/>
          <w:bCs/>
          <w:kern w:val="2"/>
          <w:sz w:val="24"/>
          <w:szCs w:val="24"/>
          <w:lang w:val="en-US" w:eastAsia="zh-CN" w:bidi="ar-SA"/>
        </w:rPr>
        <w:t>3</w:t>
      </w:r>
      <w:r>
        <w:rPr>
          <w:rFonts w:hint="eastAsia" w:ascii="宋体" w:hAnsi="宋体" w:eastAsia="宋体" w:cs="Times New Roman"/>
          <w:b/>
          <w:bCs/>
          <w:kern w:val="2"/>
          <w:sz w:val="24"/>
          <w:szCs w:val="24"/>
          <w:lang w:val="zh-CN" w:eastAsia="zh-CN" w:bidi="ar-SA"/>
        </w:rPr>
        <w:t>% 的质量保证金，</w:t>
      </w:r>
      <w:r>
        <w:rPr>
          <w:rFonts w:hint="eastAsia" w:ascii="宋体" w:hAnsi="宋体" w:eastAsia="宋体" w:cs="Times New Roman"/>
          <w:b/>
          <w:bCs/>
          <w:kern w:val="2"/>
          <w:sz w:val="24"/>
          <w:szCs w:val="24"/>
          <w:lang w:val="en-US" w:eastAsia="zh-CN" w:bidi="ar-SA"/>
        </w:rPr>
        <w:t>质保期过后退还。</w:t>
      </w:r>
      <w:r>
        <w:rPr>
          <w:rFonts w:hint="eastAsia" w:ascii="宋体" w:hAnsi="宋体" w:eastAsia="宋体" w:cs="Times New Roman"/>
          <w:b/>
          <w:bCs/>
          <w:kern w:val="2"/>
          <w:sz w:val="24"/>
          <w:szCs w:val="24"/>
          <w:lang w:val="zh-CN" w:eastAsia="zh-CN" w:bidi="ar-SA"/>
        </w:rPr>
        <w:t>备注：最终付款方式以和甲方单位签订合同为主。</w:t>
      </w:r>
    </w:p>
    <w:p>
      <w:pPr>
        <w:pStyle w:val="17"/>
        <w:spacing w:line="500" w:lineRule="exact"/>
        <w:ind w:left="0" w:leftChars="0" w:firstLine="960" w:firstLineChars="400"/>
        <w:rPr>
          <w:rFonts w:hint="eastAsia" w:ascii="宋体" w:hAnsi="宋体"/>
          <w:sz w:val="24"/>
          <w:szCs w:val="24"/>
        </w:rPr>
      </w:pPr>
      <w:r>
        <w:rPr>
          <w:rFonts w:hint="eastAsia" w:ascii="宋体" w:hAnsi="宋体"/>
          <w:sz w:val="24"/>
          <w:szCs w:val="24"/>
          <w:lang w:eastAsia="zh-CN"/>
        </w:rPr>
        <w:t>（</w:t>
      </w:r>
      <w:r>
        <w:rPr>
          <w:rFonts w:hint="eastAsia" w:ascii="宋体" w:hAnsi="宋体"/>
          <w:sz w:val="24"/>
          <w:szCs w:val="24"/>
          <w:lang w:val="en-US" w:eastAsia="zh-CN"/>
        </w:rPr>
        <w:t>2</w:t>
      </w:r>
      <w:r>
        <w:rPr>
          <w:rFonts w:hint="eastAsia" w:ascii="宋体" w:hAnsi="宋体"/>
          <w:sz w:val="24"/>
          <w:szCs w:val="24"/>
          <w:lang w:eastAsia="zh-CN"/>
        </w:rPr>
        <w:t>）</w:t>
      </w:r>
      <w:r>
        <w:rPr>
          <w:rFonts w:hint="eastAsia" w:ascii="宋体" w:hAnsi="宋体"/>
          <w:sz w:val="24"/>
          <w:szCs w:val="24"/>
        </w:rPr>
        <w:t>验收付款时供应商应必须提交：</w:t>
      </w:r>
    </w:p>
    <w:p>
      <w:pPr>
        <w:pStyle w:val="17"/>
        <w:spacing w:line="360" w:lineRule="exact"/>
        <w:ind w:left="0" w:leftChars="0" w:firstLine="0" w:firstLineChars="0"/>
        <w:rPr>
          <w:rFonts w:hint="eastAsia" w:ascii="宋体" w:hAnsi="宋体" w:cs="宋体"/>
          <w:kern w:val="0"/>
          <w:sz w:val="24"/>
          <w:szCs w:val="24"/>
        </w:rPr>
      </w:pPr>
      <w:r>
        <w:rPr>
          <w:rFonts w:hint="eastAsia" w:ascii="宋体" w:hAnsi="宋体" w:cs="宋体"/>
          <w:kern w:val="0"/>
          <w:sz w:val="24"/>
          <w:szCs w:val="24"/>
        </w:rPr>
        <w:t xml:space="preserve">  </w:t>
      </w:r>
      <w:r>
        <w:rPr>
          <w:rFonts w:hint="eastAsia" w:ascii="宋体" w:hAnsi="宋体" w:cs="宋体"/>
          <w:kern w:val="0"/>
          <w:sz w:val="24"/>
          <w:szCs w:val="24"/>
          <w:lang w:val="en-US" w:eastAsia="zh-CN"/>
        </w:rPr>
        <w:t xml:space="preserve">       </w:t>
      </w:r>
      <w:r>
        <w:rPr>
          <w:rFonts w:hint="eastAsia" w:ascii="宋体" w:hAnsi="宋体" w:cs="宋体"/>
          <w:kern w:val="0"/>
          <w:sz w:val="24"/>
          <w:szCs w:val="24"/>
        </w:rPr>
        <w:t xml:space="preserve"> </w:t>
      </w:r>
      <w:r>
        <w:rPr>
          <w:rFonts w:hint="eastAsia" w:ascii="宋体" w:hAnsi="宋体" w:cs="宋体"/>
          <w:kern w:val="0"/>
          <w:sz w:val="24"/>
          <w:szCs w:val="24"/>
        </w:rPr>
        <w:fldChar w:fldCharType="begin"/>
      </w:r>
      <w:r>
        <w:rPr>
          <w:rFonts w:hint="eastAsia" w:ascii="宋体" w:hAnsi="宋体" w:cs="宋体"/>
          <w:kern w:val="0"/>
          <w:sz w:val="24"/>
          <w:szCs w:val="24"/>
        </w:rPr>
        <w:instrText xml:space="preserve"> = 1 \* GB3 \* MERGEFORMAT </w:instrText>
      </w:r>
      <w:r>
        <w:rPr>
          <w:rFonts w:hint="eastAsia" w:ascii="宋体" w:hAnsi="宋体" w:cs="宋体"/>
          <w:kern w:val="0"/>
          <w:sz w:val="24"/>
          <w:szCs w:val="24"/>
        </w:rPr>
        <w:fldChar w:fldCharType="separate"/>
      </w:r>
      <w:r>
        <w:t>①</w:t>
      </w:r>
      <w:r>
        <w:rPr>
          <w:rFonts w:hint="eastAsia" w:ascii="宋体" w:hAnsi="宋体" w:cs="宋体"/>
          <w:kern w:val="0"/>
          <w:sz w:val="24"/>
          <w:szCs w:val="24"/>
        </w:rPr>
        <w:fldChar w:fldCharType="end"/>
      </w:r>
      <w:r>
        <w:rPr>
          <w:rFonts w:hint="eastAsia" w:ascii="宋体" w:hAnsi="宋体" w:cs="宋体"/>
          <w:kern w:val="0"/>
          <w:sz w:val="24"/>
          <w:szCs w:val="24"/>
        </w:rPr>
        <w:t>符合招标人要求的发票；</w:t>
      </w:r>
    </w:p>
    <w:p>
      <w:pPr>
        <w:pStyle w:val="17"/>
        <w:spacing w:line="360" w:lineRule="exact"/>
        <w:ind w:left="0" w:leftChars="0" w:firstLine="0" w:firstLineChars="0"/>
      </w:pPr>
      <w:r>
        <w:rPr>
          <w:rFonts w:hint="eastAsia" w:ascii="宋体" w:hAnsi="宋体" w:cs="宋体"/>
          <w:kern w:val="0"/>
          <w:sz w:val="24"/>
          <w:szCs w:val="24"/>
        </w:rPr>
        <w:t xml:space="preserve"> </w:t>
      </w:r>
      <w:r>
        <w:rPr>
          <w:rFonts w:hint="eastAsia" w:ascii="宋体" w:hAnsi="宋体" w:cs="宋体"/>
          <w:kern w:val="0"/>
          <w:sz w:val="24"/>
          <w:szCs w:val="24"/>
          <w:lang w:val="en-US" w:eastAsia="zh-CN"/>
        </w:rPr>
        <w:t xml:space="preserve">        </w:t>
      </w:r>
      <w:r>
        <w:rPr>
          <w:rFonts w:hint="eastAsia" w:ascii="宋体" w:hAnsi="宋体" w:cs="宋体"/>
          <w:kern w:val="0"/>
          <w:sz w:val="24"/>
          <w:szCs w:val="24"/>
        </w:rPr>
        <w:t xml:space="preserve"> </w:t>
      </w:r>
      <w:r>
        <w:rPr>
          <w:rFonts w:hint="eastAsia" w:ascii="宋体" w:hAnsi="宋体" w:cs="宋体"/>
          <w:kern w:val="0"/>
          <w:sz w:val="24"/>
          <w:szCs w:val="24"/>
        </w:rPr>
        <w:fldChar w:fldCharType="begin"/>
      </w:r>
      <w:r>
        <w:rPr>
          <w:rFonts w:hint="eastAsia" w:ascii="宋体" w:hAnsi="宋体" w:cs="宋体"/>
          <w:kern w:val="0"/>
          <w:sz w:val="24"/>
          <w:szCs w:val="24"/>
        </w:rPr>
        <w:instrText xml:space="preserve"> = 2 \* GB3 \* MERGEFORMAT </w:instrText>
      </w:r>
      <w:r>
        <w:rPr>
          <w:rFonts w:hint="eastAsia" w:ascii="宋体" w:hAnsi="宋体" w:cs="宋体"/>
          <w:kern w:val="0"/>
          <w:sz w:val="24"/>
          <w:szCs w:val="24"/>
        </w:rPr>
        <w:fldChar w:fldCharType="separate"/>
      </w:r>
      <w:r>
        <w:t>②</w:t>
      </w:r>
      <w:r>
        <w:rPr>
          <w:rFonts w:hint="eastAsia" w:ascii="宋体" w:hAnsi="宋体" w:cs="宋体"/>
          <w:kern w:val="0"/>
          <w:sz w:val="24"/>
          <w:szCs w:val="24"/>
        </w:rPr>
        <w:fldChar w:fldCharType="end"/>
      </w:r>
      <w:r>
        <w:rPr>
          <w:rFonts w:hint="eastAsia" w:ascii="宋体" w:hAnsi="宋体" w:cs="宋体"/>
          <w:kern w:val="0"/>
          <w:sz w:val="24"/>
          <w:szCs w:val="24"/>
        </w:rPr>
        <w:t>采购人认可的签字盖章的验收回执一份。</w:t>
      </w:r>
    </w:p>
    <w:p>
      <w:pPr>
        <w:pStyle w:val="4"/>
        <w:spacing w:before="197"/>
        <w:ind w:right="613"/>
      </w:pPr>
      <w:r>
        <w:t>第四章 售后服务承诺</w:t>
      </w:r>
    </w:p>
    <w:p>
      <w:pPr>
        <w:pStyle w:val="2"/>
        <w:numPr>
          <w:ilvl w:val="0"/>
          <w:numId w:val="38"/>
        </w:numPr>
        <w:tabs>
          <w:tab w:val="left" w:pos="1480"/>
        </w:tabs>
        <w:spacing w:before="186" w:after="0" w:line="364" w:lineRule="auto"/>
        <w:ind w:left="637" w:right="1249" w:firstLine="480"/>
        <w:jc w:val="both"/>
        <w:rPr>
          <w:sz w:val="24"/>
          <w:u w:val="none"/>
        </w:rPr>
      </w:pPr>
      <w:r>
        <w:rPr>
          <w:sz w:val="24"/>
        </w:rPr>
        <w:t>在交付使用后，卖方应对保修期及其以后的服务做出承诺，并具有切实可</w:t>
      </w:r>
      <w:r>
        <w:rPr>
          <w:spacing w:val="-4"/>
          <w:sz w:val="24"/>
        </w:rPr>
        <w:t>行的服务措施。</w:t>
      </w:r>
      <w:r>
        <w:rPr>
          <w:color w:val="auto"/>
          <w:spacing w:val="-4"/>
          <w:sz w:val="24"/>
          <w:u w:val="none"/>
        </w:rPr>
        <w:t>不能及时兑现服务承诺内容而影响买方使用时，卖方应给予补偿的</w:t>
      </w:r>
      <w:r>
        <w:rPr>
          <w:color w:val="auto"/>
          <w:spacing w:val="-5"/>
          <w:sz w:val="24"/>
          <w:u w:val="none"/>
        </w:rPr>
        <w:t>承诺，在投标书中均应明确说明。</w:t>
      </w:r>
    </w:p>
    <w:p>
      <w:pPr>
        <w:pStyle w:val="10"/>
        <w:spacing w:before="0"/>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10"/>
        <w:spacing w:before="12"/>
        <w:ind w:left="0"/>
      </w:pPr>
    </w:p>
    <w:p>
      <w:pPr>
        <w:pStyle w:val="3"/>
        <w:spacing w:before="0"/>
        <w:ind w:right="605"/>
      </w:pPr>
      <w:r>
        <w:t>第八部分 投标文件的编制装订</w:t>
      </w:r>
    </w:p>
    <w:p>
      <w:pPr>
        <w:pStyle w:val="5"/>
        <w:spacing w:before="163"/>
        <w:ind w:left="1235"/>
      </w:pPr>
      <w:r>
        <w:t>一、投标文件编制和装订顺序</w:t>
      </w:r>
    </w:p>
    <w:p>
      <w:pPr>
        <w:pStyle w:val="10"/>
        <w:spacing w:before="2" w:line="364" w:lineRule="auto"/>
        <w:ind w:right="1248" w:firstLine="597"/>
      </w:pPr>
      <w:r>
        <w:t>（</w:t>
      </w:r>
      <w:r>
        <w:rPr>
          <w:rFonts w:hint="eastAsia"/>
          <w:lang w:eastAsia="zh-CN"/>
        </w:rPr>
        <w:t>一</w:t>
      </w:r>
      <w:r>
        <w:t>）投标人的投标文件编制顺序，必须按下列顺序排列和装订。否则，其投标文件将可能被拒绝接受，或作为废标处理。编制排列和装订顺序严格如下：</w:t>
      </w:r>
    </w:p>
    <w:p>
      <w:pPr>
        <w:pStyle w:val="10"/>
        <w:ind w:left="1225"/>
        <w:rPr>
          <w:rFonts w:hint="eastAsia" w:eastAsia="宋体"/>
          <w:lang w:eastAsia="zh-CN"/>
        </w:rPr>
      </w:pPr>
      <w:r>
        <w:t>1、投标函</w:t>
      </w:r>
      <w:r>
        <w:rPr>
          <w:rFonts w:hint="eastAsia"/>
          <w:lang w:eastAsia="zh-CN"/>
        </w:rPr>
        <w:t>；</w:t>
      </w:r>
    </w:p>
    <w:p>
      <w:pPr>
        <w:pStyle w:val="10"/>
        <w:spacing w:before="160"/>
        <w:ind w:left="1237"/>
        <w:rPr>
          <w:rFonts w:hint="eastAsia" w:eastAsia="宋体"/>
          <w:lang w:eastAsia="zh-CN"/>
        </w:rPr>
      </w:pPr>
      <w:r>
        <w:t>2、法人代表授权委托书原件及授权代表身份证明原件</w:t>
      </w:r>
      <w:r>
        <w:rPr>
          <w:rFonts w:hint="eastAsia"/>
          <w:lang w:eastAsia="zh-CN"/>
        </w:rPr>
        <w:t>；</w:t>
      </w:r>
    </w:p>
    <w:p>
      <w:pPr>
        <w:pStyle w:val="10"/>
        <w:spacing w:before="161"/>
        <w:ind w:left="1237"/>
        <w:rPr>
          <w:rFonts w:hint="eastAsia" w:eastAsia="宋体"/>
          <w:lang w:eastAsia="zh-CN"/>
        </w:rPr>
      </w:pPr>
      <w:r>
        <w:t>3、开标一览表</w:t>
      </w:r>
      <w:r>
        <w:rPr>
          <w:rFonts w:hint="eastAsia"/>
          <w:lang w:eastAsia="zh-CN"/>
        </w:rPr>
        <w:t>；</w:t>
      </w:r>
    </w:p>
    <w:p>
      <w:pPr>
        <w:pStyle w:val="10"/>
        <w:spacing w:before="160"/>
        <w:ind w:left="1237"/>
      </w:pPr>
      <w:r>
        <w:t>4、投标方资质证明文件，包括：</w:t>
      </w:r>
    </w:p>
    <w:p>
      <w:pPr>
        <w:pStyle w:val="2"/>
        <w:numPr>
          <w:ilvl w:val="1"/>
          <w:numId w:val="38"/>
        </w:numPr>
        <w:tabs>
          <w:tab w:val="left" w:pos="1959"/>
        </w:tabs>
        <w:spacing w:before="161" w:after="0" w:line="240" w:lineRule="auto"/>
        <w:ind w:left="1958" w:right="0" w:hanging="602"/>
        <w:jc w:val="left"/>
        <w:rPr>
          <w:sz w:val="24"/>
        </w:rPr>
      </w:pPr>
      <w:r>
        <w:rPr>
          <w:sz w:val="24"/>
        </w:rPr>
        <w:t>投标人营业执照复印件</w:t>
      </w:r>
      <w:r>
        <w:rPr>
          <w:rFonts w:hint="eastAsia"/>
          <w:sz w:val="24"/>
          <w:lang w:eastAsia="zh-CN"/>
        </w:rPr>
        <w:t>；</w:t>
      </w:r>
    </w:p>
    <w:p>
      <w:pPr>
        <w:pStyle w:val="2"/>
        <w:numPr>
          <w:ilvl w:val="1"/>
          <w:numId w:val="38"/>
        </w:numPr>
        <w:tabs>
          <w:tab w:val="left" w:pos="1959"/>
        </w:tabs>
        <w:spacing w:before="160" w:after="0" w:line="240" w:lineRule="auto"/>
        <w:ind w:left="1958" w:right="0" w:hanging="602"/>
        <w:jc w:val="left"/>
        <w:rPr>
          <w:sz w:val="24"/>
        </w:rPr>
      </w:pPr>
      <w:r>
        <w:rPr>
          <w:sz w:val="24"/>
        </w:rPr>
        <w:t>招标文件要求的各项资质证件</w:t>
      </w:r>
      <w:r>
        <w:rPr>
          <w:rFonts w:hint="eastAsia"/>
          <w:sz w:val="24"/>
          <w:lang w:eastAsia="zh-CN"/>
        </w:rPr>
        <w:t>；</w:t>
      </w:r>
    </w:p>
    <w:p>
      <w:pPr>
        <w:pStyle w:val="2"/>
        <w:numPr>
          <w:ilvl w:val="1"/>
          <w:numId w:val="38"/>
        </w:numPr>
        <w:tabs>
          <w:tab w:val="left" w:pos="1959"/>
        </w:tabs>
        <w:spacing w:before="161" w:after="0" w:line="240" w:lineRule="auto"/>
        <w:ind w:left="1958" w:right="0" w:hanging="602"/>
        <w:jc w:val="left"/>
        <w:rPr>
          <w:rFonts w:ascii="Times New Roman"/>
          <w:sz w:val="20"/>
        </w:rPr>
      </w:pPr>
      <w:r>
        <w:rPr>
          <w:sz w:val="24"/>
        </w:rPr>
        <w:t>投标供应商人员资质证件</w:t>
      </w:r>
      <w:r>
        <w:rPr>
          <w:rFonts w:hint="eastAsia"/>
          <w:sz w:val="24"/>
          <w:lang w:eastAsia="zh-CN"/>
        </w:rPr>
        <w:t>；</w:t>
      </w:r>
    </w:p>
    <w:p>
      <w:pPr>
        <w:pStyle w:val="2"/>
        <w:numPr>
          <w:ilvl w:val="1"/>
          <w:numId w:val="38"/>
        </w:numPr>
        <w:tabs>
          <w:tab w:val="left" w:pos="1959"/>
        </w:tabs>
        <w:spacing w:before="90" w:after="0" w:line="240" w:lineRule="auto"/>
        <w:ind w:left="1958" w:right="0" w:hanging="602"/>
        <w:jc w:val="left"/>
        <w:rPr>
          <w:color w:val="auto"/>
          <w:sz w:val="24"/>
          <w:u w:val="none"/>
        </w:rPr>
      </w:pPr>
      <w:r>
        <w:rPr>
          <w:color w:val="auto"/>
          <w:spacing w:val="-20"/>
          <w:sz w:val="24"/>
          <w:u w:val="none"/>
        </w:rPr>
        <w:t xml:space="preserve">最近 </w:t>
      </w:r>
      <w:r>
        <w:rPr>
          <w:color w:val="auto"/>
          <w:sz w:val="24"/>
          <w:u w:val="none"/>
        </w:rPr>
        <w:t>6</w:t>
      </w:r>
      <w:r>
        <w:rPr>
          <w:color w:val="auto"/>
          <w:spacing w:val="-8"/>
          <w:sz w:val="24"/>
          <w:u w:val="none"/>
        </w:rPr>
        <w:t xml:space="preserve"> 个月纳税证明</w:t>
      </w:r>
      <w:r>
        <w:rPr>
          <w:rFonts w:hint="eastAsia"/>
          <w:color w:val="auto"/>
          <w:spacing w:val="-8"/>
          <w:sz w:val="24"/>
          <w:u w:val="none"/>
          <w:lang w:eastAsia="zh-CN"/>
        </w:rPr>
        <w:t>（完税证明）</w:t>
      </w:r>
      <w:r>
        <w:rPr>
          <w:color w:val="auto"/>
          <w:spacing w:val="-8"/>
          <w:sz w:val="24"/>
          <w:u w:val="none"/>
        </w:rPr>
        <w:t>及社保资金缴纳证明</w:t>
      </w:r>
      <w:r>
        <w:rPr>
          <w:rFonts w:hint="eastAsia"/>
          <w:color w:val="auto"/>
          <w:spacing w:val="-8"/>
          <w:sz w:val="24"/>
          <w:u w:val="none"/>
          <w:lang w:eastAsia="zh-CN"/>
        </w:rPr>
        <w:t>（社保缴纳凭证）</w:t>
      </w:r>
      <w:r>
        <w:rPr>
          <w:color w:val="auto"/>
          <w:spacing w:val="-8"/>
          <w:sz w:val="24"/>
          <w:u w:val="none"/>
        </w:rPr>
        <w:t>复</w:t>
      </w:r>
    </w:p>
    <w:p>
      <w:pPr>
        <w:pStyle w:val="2"/>
        <w:numPr>
          <w:ilvl w:val="0"/>
          <w:numId w:val="0"/>
        </w:numPr>
        <w:tabs>
          <w:tab w:val="left" w:pos="1959"/>
        </w:tabs>
        <w:spacing w:before="90" w:after="0" w:line="240" w:lineRule="auto"/>
        <w:ind w:right="0" w:rightChars="0" w:firstLine="2016" w:firstLineChars="900"/>
        <w:jc w:val="left"/>
        <w:rPr>
          <w:rFonts w:hint="eastAsia" w:eastAsia="宋体"/>
          <w:color w:val="auto"/>
          <w:sz w:val="24"/>
          <w:u w:val="none"/>
          <w:lang w:eastAsia="zh-CN"/>
        </w:rPr>
      </w:pPr>
      <w:r>
        <w:rPr>
          <w:color w:val="auto"/>
          <w:spacing w:val="-8"/>
          <w:sz w:val="24"/>
          <w:u w:val="none"/>
        </w:rPr>
        <w:t>印件</w:t>
      </w:r>
      <w:r>
        <w:rPr>
          <w:rFonts w:hint="eastAsia"/>
          <w:color w:val="auto"/>
          <w:spacing w:val="-8"/>
          <w:sz w:val="24"/>
          <w:u w:val="none"/>
          <w:lang w:eastAsia="zh-CN"/>
        </w:rPr>
        <w:t>；</w:t>
      </w:r>
    </w:p>
    <w:p>
      <w:pPr>
        <w:pStyle w:val="2"/>
        <w:numPr>
          <w:ilvl w:val="1"/>
          <w:numId w:val="38"/>
        </w:numPr>
        <w:tabs>
          <w:tab w:val="left" w:pos="1965"/>
        </w:tabs>
        <w:spacing w:before="160" w:after="0" w:line="364" w:lineRule="auto"/>
        <w:ind w:left="637" w:right="1248" w:firstLine="720"/>
        <w:jc w:val="left"/>
        <w:rPr>
          <w:sz w:val="24"/>
        </w:rPr>
      </w:pPr>
      <w:r>
        <w:rPr>
          <w:sz w:val="24"/>
        </w:rPr>
        <w:t>有关行业的经营企业许可证、注册证复印件</w:t>
      </w:r>
      <w:r>
        <w:rPr>
          <w:rFonts w:hint="eastAsia"/>
          <w:sz w:val="24"/>
          <w:lang w:eastAsia="zh-CN"/>
        </w:rPr>
        <w:t>；</w:t>
      </w:r>
    </w:p>
    <w:p>
      <w:pPr>
        <w:pStyle w:val="2"/>
        <w:numPr>
          <w:ilvl w:val="1"/>
          <w:numId w:val="38"/>
        </w:numPr>
        <w:tabs>
          <w:tab w:val="left" w:pos="1959"/>
        </w:tabs>
        <w:spacing w:before="2" w:after="0" w:line="240" w:lineRule="auto"/>
        <w:ind w:left="1958" w:right="0" w:hanging="602"/>
        <w:jc w:val="left"/>
        <w:rPr>
          <w:sz w:val="24"/>
        </w:rPr>
      </w:pPr>
      <w:r>
        <w:rPr>
          <w:sz w:val="24"/>
        </w:rPr>
        <w:t>关于资格的声明函</w:t>
      </w:r>
      <w:r>
        <w:rPr>
          <w:rFonts w:hint="eastAsia"/>
          <w:sz w:val="24"/>
          <w:lang w:eastAsia="zh-CN"/>
        </w:rPr>
        <w:t>；</w:t>
      </w:r>
    </w:p>
    <w:p>
      <w:pPr>
        <w:pStyle w:val="2"/>
        <w:numPr>
          <w:ilvl w:val="1"/>
          <w:numId w:val="38"/>
        </w:numPr>
        <w:tabs>
          <w:tab w:val="left" w:pos="1959"/>
        </w:tabs>
        <w:spacing w:before="160" w:after="0" w:line="240" w:lineRule="auto"/>
        <w:ind w:left="1958" w:right="0" w:hanging="602"/>
        <w:jc w:val="left"/>
        <w:rPr>
          <w:sz w:val="24"/>
        </w:rPr>
      </w:pPr>
      <w:r>
        <w:rPr>
          <w:sz w:val="24"/>
        </w:rPr>
        <w:t>制造商的资格声明函</w:t>
      </w:r>
      <w:r>
        <w:rPr>
          <w:rFonts w:hint="eastAsia"/>
          <w:sz w:val="24"/>
          <w:lang w:eastAsia="zh-CN"/>
        </w:rPr>
        <w:t>；</w:t>
      </w:r>
    </w:p>
    <w:p>
      <w:pPr>
        <w:pStyle w:val="2"/>
        <w:numPr>
          <w:ilvl w:val="1"/>
          <w:numId w:val="38"/>
        </w:numPr>
        <w:tabs>
          <w:tab w:val="left" w:pos="1965"/>
        </w:tabs>
        <w:spacing w:before="161" w:after="0" w:line="364" w:lineRule="auto"/>
        <w:ind w:left="637" w:right="1248" w:firstLine="720"/>
        <w:jc w:val="left"/>
        <w:rPr>
          <w:sz w:val="24"/>
        </w:rPr>
      </w:pPr>
      <w:r>
        <w:rPr>
          <w:sz w:val="24"/>
        </w:rPr>
        <w:t>有关投标产品供应商出具的授权函</w:t>
      </w:r>
      <w:r>
        <w:rPr>
          <w:rFonts w:hint="eastAsia"/>
          <w:sz w:val="24"/>
          <w:lang w:eastAsia="zh-CN"/>
        </w:rPr>
        <w:t>；</w:t>
      </w:r>
    </w:p>
    <w:p>
      <w:pPr>
        <w:pStyle w:val="2"/>
        <w:numPr>
          <w:ilvl w:val="1"/>
          <w:numId w:val="38"/>
        </w:numPr>
        <w:tabs>
          <w:tab w:val="left" w:pos="1959"/>
        </w:tabs>
        <w:spacing w:before="1" w:after="0" w:line="240" w:lineRule="auto"/>
        <w:ind w:left="1958" w:right="0" w:hanging="602"/>
        <w:jc w:val="left"/>
        <w:rPr>
          <w:sz w:val="24"/>
        </w:rPr>
      </w:pPr>
      <w:r>
        <w:rPr>
          <w:rFonts w:hint="eastAsia"/>
          <w:sz w:val="24"/>
          <w:lang w:eastAsia="zh-CN"/>
        </w:rPr>
        <w:t>近三年（</w:t>
      </w:r>
      <w:r>
        <w:rPr>
          <w:rFonts w:hint="eastAsia"/>
          <w:sz w:val="24"/>
          <w:lang w:val="en-US" w:eastAsia="zh-CN"/>
        </w:rPr>
        <w:t>2019年至2021年</w:t>
      </w:r>
      <w:r>
        <w:rPr>
          <w:rFonts w:hint="eastAsia"/>
          <w:sz w:val="24"/>
          <w:lang w:eastAsia="zh-CN"/>
        </w:rPr>
        <w:t>）</w:t>
      </w:r>
      <w:r>
        <w:rPr>
          <w:sz w:val="24"/>
        </w:rPr>
        <w:t>财务</w:t>
      </w:r>
      <w:r>
        <w:rPr>
          <w:rFonts w:hint="eastAsia"/>
          <w:sz w:val="24"/>
          <w:lang w:eastAsia="zh-CN"/>
        </w:rPr>
        <w:t>审</w:t>
      </w:r>
      <w:r>
        <w:rPr>
          <w:sz w:val="24"/>
        </w:rPr>
        <w:t>计报表</w:t>
      </w:r>
      <w:r>
        <w:rPr>
          <w:rFonts w:hint="eastAsia"/>
          <w:sz w:val="24"/>
          <w:lang w:eastAsia="zh-CN"/>
        </w:rPr>
        <w:t>；</w:t>
      </w:r>
    </w:p>
    <w:p>
      <w:pPr>
        <w:pStyle w:val="10"/>
        <w:spacing w:before="161"/>
        <w:ind w:left="1237"/>
        <w:rPr>
          <w:rFonts w:hint="eastAsia" w:eastAsia="宋体"/>
          <w:lang w:eastAsia="zh-CN"/>
        </w:rPr>
      </w:pPr>
      <w:r>
        <w:rPr>
          <w:rFonts w:hint="eastAsia"/>
          <w:lang w:val="en-US" w:eastAsia="zh-CN"/>
        </w:rPr>
        <w:t>5</w:t>
      </w:r>
      <w:r>
        <w:t>、产品的检测报告</w:t>
      </w:r>
      <w:r>
        <w:rPr>
          <w:rFonts w:hint="eastAsia"/>
          <w:lang w:eastAsia="zh-CN"/>
        </w:rPr>
        <w:t>；</w:t>
      </w:r>
    </w:p>
    <w:p>
      <w:pPr>
        <w:pStyle w:val="10"/>
        <w:spacing w:before="160"/>
        <w:ind w:left="1237"/>
        <w:rPr>
          <w:rFonts w:hint="eastAsia" w:eastAsia="宋体"/>
          <w:lang w:eastAsia="zh-CN"/>
        </w:rPr>
      </w:pPr>
      <w:r>
        <w:rPr>
          <w:rFonts w:hint="eastAsia"/>
          <w:lang w:val="en-US" w:eastAsia="zh-CN"/>
        </w:rPr>
        <w:t>6</w:t>
      </w:r>
      <w:r>
        <w:t>、产品规格报价明细表</w:t>
      </w:r>
      <w:r>
        <w:rPr>
          <w:rFonts w:hint="eastAsia"/>
          <w:lang w:eastAsia="zh-CN"/>
        </w:rPr>
        <w:t>；</w:t>
      </w:r>
    </w:p>
    <w:p>
      <w:pPr>
        <w:pStyle w:val="10"/>
        <w:spacing w:before="161"/>
        <w:ind w:left="1237"/>
        <w:rPr>
          <w:rFonts w:hint="eastAsia" w:eastAsia="宋体"/>
          <w:lang w:eastAsia="zh-CN"/>
        </w:rPr>
      </w:pPr>
      <w:r>
        <w:rPr>
          <w:rFonts w:hint="eastAsia"/>
          <w:lang w:val="en-US" w:eastAsia="zh-CN"/>
        </w:rPr>
        <w:t>7</w:t>
      </w:r>
      <w:r>
        <w:t>、投标产品技术规格及要求详述</w:t>
      </w:r>
      <w:r>
        <w:rPr>
          <w:rFonts w:hint="eastAsia"/>
          <w:lang w:eastAsia="zh-CN"/>
        </w:rPr>
        <w:t>；</w:t>
      </w:r>
    </w:p>
    <w:p>
      <w:pPr>
        <w:pStyle w:val="10"/>
        <w:spacing w:before="160"/>
        <w:ind w:left="1237"/>
        <w:rPr>
          <w:rFonts w:hint="eastAsia" w:eastAsia="宋体"/>
          <w:lang w:eastAsia="zh-CN"/>
        </w:rPr>
      </w:pPr>
      <w:r>
        <w:rPr>
          <w:rFonts w:hint="eastAsia"/>
          <w:lang w:val="en-US" w:eastAsia="zh-CN"/>
        </w:rPr>
        <w:t>8</w:t>
      </w:r>
      <w:r>
        <w:t>、有关投标产品的制造、验收标准</w:t>
      </w:r>
      <w:r>
        <w:rPr>
          <w:rFonts w:hint="eastAsia"/>
          <w:lang w:eastAsia="zh-CN"/>
        </w:rPr>
        <w:t>；</w:t>
      </w:r>
    </w:p>
    <w:p>
      <w:pPr>
        <w:pStyle w:val="10"/>
        <w:spacing w:before="161"/>
        <w:ind w:left="1237"/>
        <w:rPr>
          <w:rFonts w:hint="eastAsia" w:eastAsia="宋体"/>
          <w:lang w:eastAsia="zh-CN"/>
        </w:rPr>
      </w:pPr>
      <w:r>
        <w:rPr>
          <w:rFonts w:hint="eastAsia"/>
          <w:lang w:val="en-US" w:eastAsia="zh-CN"/>
        </w:rPr>
        <w:t>9</w:t>
      </w:r>
      <w:r>
        <w:t>、售后服务承诺详述、维修、培训等计划详述</w:t>
      </w:r>
      <w:r>
        <w:rPr>
          <w:rFonts w:hint="eastAsia"/>
          <w:lang w:eastAsia="zh-CN"/>
        </w:rPr>
        <w:t>；</w:t>
      </w:r>
    </w:p>
    <w:p>
      <w:pPr>
        <w:pStyle w:val="10"/>
        <w:spacing w:before="160"/>
        <w:ind w:left="1237"/>
        <w:rPr>
          <w:rFonts w:hint="eastAsia" w:eastAsia="宋体"/>
          <w:lang w:eastAsia="zh-CN"/>
        </w:rPr>
      </w:pPr>
      <w:r>
        <w:rPr>
          <w:rFonts w:hint="eastAsia"/>
          <w:lang w:val="en-US" w:eastAsia="zh-CN"/>
        </w:rPr>
        <w:t>10</w:t>
      </w:r>
      <w:r>
        <w:t>、备品、备件清单</w:t>
      </w:r>
      <w:r>
        <w:rPr>
          <w:rFonts w:hint="eastAsia"/>
          <w:lang w:eastAsia="zh-CN"/>
        </w:rPr>
        <w:t>；</w:t>
      </w:r>
    </w:p>
    <w:p>
      <w:pPr>
        <w:pStyle w:val="10"/>
        <w:spacing w:before="161"/>
        <w:ind w:left="1237"/>
        <w:rPr>
          <w:rFonts w:hint="eastAsia" w:eastAsia="宋体"/>
          <w:lang w:eastAsia="zh-CN"/>
        </w:rPr>
      </w:pPr>
      <w:r>
        <w:rPr>
          <w:rFonts w:hint="eastAsia"/>
          <w:lang w:val="en-US" w:eastAsia="zh-CN"/>
        </w:rPr>
        <w:t>11</w:t>
      </w:r>
      <w:r>
        <w:t>、技术参数、功能偏离表</w:t>
      </w:r>
      <w:r>
        <w:rPr>
          <w:rFonts w:hint="eastAsia"/>
          <w:lang w:eastAsia="zh-CN"/>
        </w:rPr>
        <w:t>；</w:t>
      </w:r>
    </w:p>
    <w:p>
      <w:pPr>
        <w:pStyle w:val="10"/>
        <w:spacing w:before="160"/>
        <w:ind w:left="1237"/>
        <w:rPr>
          <w:rFonts w:hint="eastAsia" w:eastAsia="宋体"/>
          <w:lang w:eastAsia="zh-CN"/>
        </w:rPr>
      </w:pPr>
      <w:r>
        <w:rPr>
          <w:rFonts w:hint="eastAsia"/>
          <w:lang w:val="en-US" w:eastAsia="zh-CN"/>
        </w:rPr>
        <w:t>12</w:t>
      </w:r>
      <w:r>
        <w:t>、商务条款偏离表</w:t>
      </w:r>
      <w:r>
        <w:rPr>
          <w:rFonts w:hint="eastAsia"/>
          <w:lang w:eastAsia="zh-CN"/>
        </w:rPr>
        <w:t>；</w:t>
      </w:r>
    </w:p>
    <w:p>
      <w:pPr>
        <w:pStyle w:val="10"/>
        <w:spacing w:before="161"/>
        <w:ind w:left="1237"/>
        <w:rPr>
          <w:rFonts w:hint="eastAsia" w:eastAsia="宋体"/>
          <w:lang w:eastAsia="zh-CN"/>
        </w:rPr>
      </w:pPr>
      <w:r>
        <w:rPr>
          <w:rFonts w:hint="eastAsia"/>
          <w:lang w:val="en-US" w:eastAsia="zh-CN"/>
        </w:rPr>
        <w:t>13</w:t>
      </w:r>
      <w:r>
        <w:t>、提供其它有利于投标的资料</w:t>
      </w:r>
      <w:r>
        <w:rPr>
          <w:rFonts w:hint="eastAsia"/>
          <w:lang w:eastAsia="zh-CN"/>
        </w:rPr>
        <w:t>；</w:t>
      </w:r>
    </w:p>
    <w:p>
      <w:pPr>
        <w:pStyle w:val="10"/>
        <w:spacing w:before="160"/>
        <w:ind w:left="1237"/>
        <w:rPr>
          <w:rFonts w:hint="eastAsia" w:eastAsia="宋体"/>
          <w:lang w:eastAsia="zh-CN"/>
        </w:rPr>
      </w:pPr>
      <w:r>
        <w:rPr>
          <w:rFonts w:hint="eastAsia"/>
          <w:lang w:val="en-US" w:eastAsia="zh-CN"/>
        </w:rPr>
        <w:t>14</w:t>
      </w:r>
      <w:r>
        <w:t>、近三年</w:t>
      </w:r>
      <w:r>
        <w:rPr>
          <w:rFonts w:hint="eastAsia"/>
          <w:lang w:eastAsia="zh-CN"/>
        </w:rPr>
        <w:t>（</w:t>
      </w:r>
      <w:r>
        <w:rPr>
          <w:rFonts w:hint="eastAsia"/>
          <w:lang w:val="en-US" w:eastAsia="zh-CN"/>
        </w:rPr>
        <w:t>2019年-2021年</w:t>
      </w:r>
      <w:r>
        <w:rPr>
          <w:rFonts w:hint="eastAsia"/>
          <w:lang w:eastAsia="zh-CN"/>
        </w:rPr>
        <w:t>）类似项目</w:t>
      </w:r>
      <w:r>
        <w:t>的业绩表</w:t>
      </w:r>
      <w:r>
        <w:rPr>
          <w:rFonts w:hint="eastAsia"/>
          <w:lang w:eastAsia="zh-CN"/>
        </w:rPr>
        <w:t>；</w:t>
      </w:r>
    </w:p>
    <w:p>
      <w:pPr>
        <w:spacing w:before="161" w:line="364" w:lineRule="auto"/>
        <w:ind w:left="1237" w:right="4706" w:firstLine="0"/>
        <w:jc w:val="left"/>
        <w:rPr>
          <w:b/>
          <w:sz w:val="24"/>
        </w:rPr>
      </w:pPr>
      <w:r>
        <w:rPr>
          <w:rFonts w:hint="eastAsia"/>
          <w:sz w:val="24"/>
          <w:lang w:val="en-US" w:eastAsia="zh-CN"/>
        </w:rPr>
        <w:t>15</w:t>
      </w:r>
      <w:r>
        <w:rPr>
          <w:sz w:val="24"/>
        </w:rPr>
        <w:t>、投标单位（供应商）反商业贿赂承诺书</w:t>
      </w:r>
      <w:r>
        <w:rPr>
          <w:rFonts w:hint="eastAsia"/>
          <w:sz w:val="24"/>
          <w:lang w:eastAsia="zh-CN"/>
        </w:rPr>
        <w:t>；</w:t>
      </w:r>
      <w:r>
        <w:rPr>
          <w:b/>
          <w:sz w:val="24"/>
        </w:rPr>
        <w:t>二、投标文件顺序及格式范本</w:t>
      </w:r>
    </w:p>
    <w:p>
      <w:pPr>
        <w:pStyle w:val="5"/>
        <w:ind w:left="1237"/>
      </w:pPr>
      <w:r>
        <w:t>（一）投标文件顺序及要求</w:t>
      </w:r>
    </w:p>
    <w:p>
      <w:pPr>
        <w:pStyle w:val="10"/>
        <w:spacing w:before="160" w:line="364" w:lineRule="auto"/>
        <w:ind w:right="1212" w:firstLine="600"/>
      </w:pPr>
      <w:r>
        <w:t>1、各投标人应严格按格式范本提供，不允许擅自或随意改变和变动，标书范本应做到工整整齐和完整。</w:t>
      </w:r>
    </w:p>
    <w:p>
      <w:pPr>
        <w:pStyle w:val="10"/>
        <w:spacing w:line="364" w:lineRule="auto"/>
        <w:ind w:right="1212" w:firstLine="600"/>
      </w:pPr>
      <w:r>
        <w:rPr>
          <w:rFonts w:hint="eastAsia"/>
          <w:lang w:val="en-US" w:eastAsia="zh-CN"/>
        </w:rPr>
        <w:t>2</w:t>
      </w:r>
      <w:r>
        <w:t>、凡须要签字盖章的，必须有符合招标文件规定要求的人员签字，公章必须是单位法人印章。</w:t>
      </w:r>
    </w:p>
    <w:p>
      <w:pPr>
        <w:pStyle w:val="10"/>
        <w:ind w:left="1237"/>
        <w:rPr>
          <w:rFonts w:hint="eastAsia" w:eastAsia="宋体"/>
          <w:b/>
          <w:lang w:eastAsia="zh-CN"/>
        </w:rPr>
      </w:pPr>
      <w:r>
        <w:rPr>
          <w:rFonts w:hint="eastAsia"/>
          <w:lang w:val="en-US" w:eastAsia="zh-CN"/>
        </w:rPr>
        <w:t>3</w:t>
      </w:r>
      <w:r>
        <w:t>、凡有备注说明的，必须符合说明的要求</w:t>
      </w:r>
      <w:r>
        <w:rPr>
          <w:rFonts w:hint="eastAsia"/>
          <w:lang w:eastAsia="zh-CN"/>
        </w:rPr>
        <w:t>。</w:t>
      </w:r>
    </w:p>
    <w:p>
      <w:pPr>
        <w:pStyle w:val="10"/>
        <w:spacing w:before="90" w:line="364" w:lineRule="auto"/>
        <w:ind w:left="218" w:leftChars="0" w:right="1212" w:hanging="218" w:hangingChars="91"/>
        <w:sectPr>
          <w:headerReference r:id="rId9" w:type="default"/>
          <w:footerReference r:id="rId10" w:type="default"/>
          <w:pgSz w:w="11910" w:h="16840"/>
          <w:pgMar w:top="1420" w:right="240" w:bottom="1180" w:left="1160" w:header="878" w:footer="993" w:gutter="0"/>
          <w:pgNumType w:fmt="decimal"/>
          <w:cols w:space="720" w:num="1"/>
        </w:sectPr>
      </w:pPr>
      <w:r>
        <w:rPr>
          <w:rFonts w:hint="eastAsia"/>
          <w:sz w:val="24"/>
          <w:lang w:val="en-US" w:eastAsia="zh-CN"/>
        </w:rPr>
        <w:t xml:space="preserve">          </w:t>
      </w:r>
      <w:r>
        <w:rPr>
          <w:rFonts w:hint="eastAsia"/>
          <w:lang w:val="en-US" w:eastAsia="zh-CN"/>
        </w:rPr>
        <w:t>4</w:t>
      </w:r>
      <w:r>
        <w:t>、凡招标文件要求提供的，必须提供。否则，将视为不响应招标文件的实质性要求，可能投标文件将会被拒绝。</w:t>
      </w:r>
    </w:p>
    <w:p>
      <w:pPr>
        <w:pStyle w:val="5"/>
        <w:ind w:left="0" w:leftChars="0" w:firstLine="723" w:firstLineChars="300"/>
      </w:pPr>
      <w:r>
        <w:t>（二）投标文件格式范本</w:t>
      </w:r>
    </w:p>
    <w:p>
      <w:pPr>
        <w:pStyle w:val="10"/>
        <w:spacing w:before="2"/>
        <w:ind w:left="0"/>
        <w:rPr>
          <w:b/>
          <w:sz w:val="11"/>
        </w:rPr>
      </w:pPr>
    </w:p>
    <w:p>
      <w:pPr>
        <w:spacing w:before="58"/>
        <w:ind w:left="0" w:right="464" w:firstLine="0"/>
        <w:jc w:val="center"/>
        <w:rPr>
          <w:b/>
          <w:sz w:val="30"/>
        </w:rPr>
      </w:pPr>
      <w:r>
        <w:rPr>
          <w:b/>
          <w:sz w:val="30"/>
        </w:rPr>
        <w:t>投标函</w:t>
      </w:r>
    </w:p>
    <w:p>
      <w:pPr>
        <w:pStyle w:val="10"/>
        <w:spacing w:before="199"/>
      </w:pPr>
      <w:r>
        <w:t>致：</w:t>
      </w:r>
      <w:r>
        <w:rPr>
          <w:rFonts w:hint="eastAsia"/>
        </w:rPr>
        <w:t>和硕县应急案管理局</w:t>
      </w:r>
      <w:r>
        <w:t>:</w:t>
      </w:r>
    </w:p>
    <w:p>
      <w:pPr>
        <w:pStyle w:val="10"/>
        <w:tabs>
          <w:tab w:val="left" w:pos="3116"/>
        </w:tabs>
        <w:spacing w:before="161" w:line="364" w:lineRule="auto"/>
        <w:ind w:right="1243" w:firstLine="554"/>
        <w:jc w:val="both"/>
        <w:rPr>
          <w:strike/>
          <w:color w:val="FF0000"/>
        </w:rPr>
      </w:pPr>
      <w:r>
        <w:t>根据贵方为</w:t>
      </w:r>
      <w:r>
        <w:rPr>
          <w:u w:val="single"/>
        </w:rPr>
        <w:t xml:space="preserve"> </w:t>
      </w:r>
      <w:r>
        <w:rPr>
          <w:u w:val="single"/>
        </w:rPr>
        <w:tab/>
      </w:r>
      <w:r>
        <w:rPr>
          <w:u w:val="single"/>
        </w:rPr>
        <w:t xml:space="preserve">（项目名称）  </w:t>
      </w:r>
      <w:r>
        <w:rPr>
          <w:spacing w:val="11"/>
          <w:u w:val="single"/>
        </w:rPr>
        <w:t xml:space="preserve"> </w:t>
      </w:r>
      <w:r>
        <w:t>项目招标的投标邀请</w:t>
      </w:r>
      <w:r>
        <w:rPr>
          <w:u w:val="single"/>
        </w:rPr>
        <w:t>（招标编号）</w:t>
      </w:r>
      <w:r>
        <w:rPr>
          <w:spacing w:val="4"/>
          <w:u w:val="single"/>
        </w:rPr>
        <w:t xml:space="preserve"> </w:t>
      </w:r>
      <w:r>
        <w:t>，签字代</w:t>
      </w:r>
      <w:r>
        <w:rPr>
          <w:spacing w:val="-5"/>
        </w:rPr>
        <w:t>表</w:t>
      </w:r>
      <w:r>
        <w:rPr>
          <w:u w:val="single"/>
        </w:rPr>
        <w:t>（姓名</w:t>
      </w:r>
      <w:r>
        <w:rPr>
          <w:spacing w:val="-3"/>
          <w:u w:val="single"/>
        </w:rPr>
        <w:t>、</w:t>
      </w:r>
      <w:r>
        <w:rPr>
          <w:u w:val="single"/>
        </w:rPr>
        <w:t>职务</w:t>
      </w:r>
      <w:r>
        <w:rPr>
          <w:spacing w:val="-3"/>
          <w:u w:val="single"/>
        </w:rPr>
        <w:t>）</w:t>
      </w:r>
      <w:r>
        <w:t>经正式授权并代表投标</w:t>
      </w:r>
      <w:r>
        <w:rPr>
          <w:spacing w:val="-3"/>
        </w:rPr>
        <w:t>人</w:t>
      </w:r>
      <w:r>
        <w:rPr>
          <w:u w:val="single"/>
        </w:rPr>
        <w:t>（投标人名称</w:t>
      </w:r>
      <w:r>
        <w:rPr>
          <w:spacing w:val="-3"/>
          <w:u w:val="single"/>
        </w:rPr>
        <w:t>、</w:t>
      </w:r>
      <w:r>
        <w:rPr>
          <w:u w:val="single"/>
        </w:rPr>
        <w:t>地址</w:t>
      </w:r>
      <w:r>
        <w:rPr>
          <w:spacing w:val="-3"/>
          <w:u w:val="single"/>
        </w:rPr>
        <w:t>）</w:t>
      </w:r>
    </w:p>
    <w:p>
      <w:pPr>
        <w:pStyle w:val="2"/>
        <w:numPr>
          <w:ilvl w:val="0"/>
          <w:numId w:val="39"/>
        </w:numPr>
        <w:tabs>
          <w:tab w:val="left" w:pos="1881"/>
        </w:tabs>
        <w:spacing w:before="2" w:after="0" w:line="240" w:lineRule="auto"/>
        <w:ind w:left="1880" w:right="0" w:hanging="690"/>
        <w:jc w:val="both"/>
        <w:rPr>
          <w:sz w:val="24"/>
        </w:rPr>
      </w:pPr>
      <w:r>
        <w:rPr>
          <w:sz w:val="24"/>
        </w:rPr>
        <w:t>开标一览表</w:t>
      </w:r>
    </w:p>
    <w:p>
      <w:pPr>
        <w:pStyle w:val="2"/>
        <w:numPr>
          <w:ilvl w:val="0"/>
          <w:numId w:val="39"/>
        </w:numPr>
        <w:tabs>
          <w:tab w:val="left" w:pos="1881"/>
        </w:tabs>
        <w:spacing w:before="160" w:after="0" w:line="240" w:lineRule="auto"/>
        <w:ind w:left="1880" w:right="0" w:hanging="690"/>
        <w:jc w:val="both"/>
        <w:rPr>
          <w:sz w:val="24"/>
        </w:rPr>
      </w:pPr>
      <w:r>
        <w:rPr>
          <w:sz w:val="24"/>
        </w:rPr>
        <w:t>投标分项报价表</w:t>
      </w:r>
    </w:p>
    <w:p>
      <w:pPr>
        <w:pStyle w:val="2"/>
        <w:numPr>
          <w:ilvl w:val="0"/>
          <w:numId w:val="39"/>
        </w:numPr>
        <w:tabs>
          <w:tab w:val="left" w:pos="1881"/>
        </w:tabs>
        <w:spacing w:before="161" w:after="0" w:line="240" w:lineRule="auto"/>
        <w:ind w:left="1880" w:right="0" w:hanging="690"/>
        <w:jc w:val="left"/>
        <w:rPr>
          <w:sz w:val="24"/>
        </w:rPr>
      </w:pPr>
      <w:r>
        <w:rPr>
          <w:sz w:val="24"/>
        </w:rPr>
        <w:t>规格、技术参数、功能偏离表</w:t>
      </w:r>
    </w:p>
    <w:p>
      <w:pPr>
        <w:pStyle w:val="2"/>
        <w:numPr>
          <w:ilvl w:val="0"/>
          <w:numId w:val="39"/>
        </w:numPr>
        <w:tabs>
          <w:tab w:val="left" w:pos="1881"/>
        </w:tabs>
        <w:spacing w:before="160" w:after="0" w:line="240" w:lineRule="auto"/>
        <w:ind w:left="1880" w:right="0" w:hanging="690"/>
        <w:jc w:val="left"/>
        <w:rPr>
          <w:sz w:val="24"/>
        </w:rPr>
      </w:pPr>
      <w:r>
        <w:rPr>
          <w:sz w:val="24"/>
        </w:rPr>
        <w:t>商务条款偏离表</w:t>
      </w:r>
    </w:p>
    <w:p>
      <w:pPr>
        <w:pStyle w:val="2"/>
        <w:numPr>
          <w:ilvl w:val="0"/>
          <w:numId w:val="39"/>
        </w:numPr>
        <w:tabs>
          <w:tab w:val="left" w:pos="1881"/>
        </w:tabs>
        <w:spacing w:before="161" w:after="0" w:line="240" w:lineRule="auto"/>
        <w:ind w:left="1880" w:right="0" w:hanging="690"/>
        <w:jc w:val="left"/>
        <w:rPr>
          <w:sz w:val="24"/>
        </w:rPr>
      </w:pPr>
      <w:r>
        <w:rPr>
          <w:sz w:val="24"/>
        </w:rPr>
        <w:t>按谈判文件投标人须知、技术规格要求及其他要求提供有关文件</w:t>
      </w:r>
    </w:p>
    <w:p>
      <w:pPr>
        <w:pStyle w:val="2"/>
        <w:numPr>
          <w:ilvl w:val="0"/>
          <w:numId w:val="39"/>
        </w:numPr>
        <w:tabs>
          <w:tab w:val="left" w:pos="1881"/>
        </w:tabs>
        <w:spacing w:before="160" w:after="0" w:line="240" w:lineRule="auto"/>
        <w:ind w:left="1880" w:right="0" w:hanging="690"/>
        <w:jc w:val="left"/>
        <w:rPr>
          <w:sz w:val="24"/>
        </w:rPr>
      </w:pPr>
      <w:r>
        <w:rPr>
          <w:sz w:val="24"/>
        </w:rPr>
        <w:t>资格证明文件</w:t>
      </w:r>
    </w:p>
    <w:p>
      <w:pPr>
        <w:pStyle w:val="2"/>
        <w:numPr>
          <w:ilvl w:val="0"/>
          <w:numId w:val="39"/>
        </w:numPr>
        <w:tabs>
          <w:tab w:val="left" w:pos="1881"/>
          <w:tab w:val="left" w:pos="6680"/>
        </w:tabs>
        <w:spacing w:before="161" w:after="0" w:line="364" w:lineRule="auto"/>
        <w:ind w:left="1191" w:right="3583" w:firstLine="0"/>
        <w:jc w:val="left"/>
        <w:rPr>
          <w:sz w:val="24"/>
        </w:rPr>
      </w:pPr>
      <w:r>
        <w:rPr>
          <w:sz w:val="24"/>
        </w:rPr>
        <w:t>投标保证金，金额为</w:t>
      </w:r>
      <w:r>
        <w:rPr>
          <w:sz w:val="24"/>
          <w:u w:val="single"/>
        </w:rPr>
        <w:t xml:space="preserve"> </w:t>
      </w:r>
      <w:r>
        <w:rPr>
          <w:sz w:val="24"/>
          <w:u w:val="single"/>
        </w:rPr>
        <w:tab/>
      </w:r>
      <w:r>
        <w:rPr>
          <w:spacing w:val="-17"/>
          <w:sz w:val="24"/>
        </w:rPr>
        <w:t>。</w:t>
      </w:r>
      <w:r>
        <w:rPr>
          <w:sz w:val="24"/>
        </w:rPr>
        <w:t>据此函，签字代表宣布并同意如下：</w:t>
      </w:r>
    </w:p>
    <w:p>
      <w:pPr>
        <w:pStyle w:val="10"/>
        <w:tabs>
          <w:tab w:val="left" w:pos="1357"/>
        </w:tabs>
        <w:spacing w:line="364" w:lineRule="auto"/>
        <w:ind w:right="1248" w:firstLine="554"/>
      </w:pPr>
      <w:r>
        <w:t>1、所附投标报价表中规定的应提交和交付的货物和服务投标总价为</w:t>
      </w:r>
      <w:r>
        <w:rPr>
          <w:u w:val="single"/>
        </w:rPr>
        <w:t>（注明</w:t>
      </w:r>
      <w:r>
        <w:rPr>
          <w:spacing w:val="-13"/>
          <w:u w:val="single"/>
        </w:rPr>
        <w:t>币</w:t>
      </w:r>
      <w:r>
        <w:rPr>
          <w:spacing w:val="-220"/>
          <w:u w:val="single"/>
        </w:rPr>
        <w:t>种</w:t>
      </w:r>
      <w:r>
        <w:rPr>
          <w:u w:val="single"/>
        </w:rPr>
        <w:t>，</w:t>
      </w:r>
      <w:r>
        <w:rPr>
          <w:u w:val="none"/>
        </w:rPr>
        <w:tab/>
      </w:r>
      <w:r>
        <w:rPr>
          <w:u w:val="single"/>
        </w:rPr>
        <w:t>并用文字和数字表示的投标总价</w:t>
      </w:r>
      <w:r>
        <w:t>）。</w:t>
      </w:r>
    </w:p>
    <w:p>
      <w:pPr>
        <w:pStyle w:val="10"/>
        <w:ind w:left="1191"/>
      </w:pPr>
      <w:r>
        <w:t>2、投标方将按招标文件的规定履行合同责任和义务；</w:t>
      </w:r>
    </w:p>
    <w:p>
      <w:pPr>
        <w:pStyle w:val="10"/>
        <w:spacing w:before="160" w:line="364" w:lineRule="auto"/>
        <w:ind w:right="1248" w:firstLine="554"/>
      </w:pPr>
      <w:r>
        <w:t>3、投标方已详细阅读并理解了招标文件的全部，包括修改文件。我们完全理解并同意放弃对这方面有不明及误解的权利。</w:t>
      </w:r>
    </w:p>
    <w:p>
      <w:pPr>
        <w:pStyle w:val="10"/>
        <w:tabs>
          <w:tab w:val="left" w:pos="5151"/>
        </w:tabs>
        <w:spacing w:before="2"/>
        <w:ind w:left="1191"/>
      </w:pPr>
      <w:r>
        <w:t>4、本投标有效期自开标之日起</w:t>
      </w:r>
      <w:r>
        <w:rPr>
          <w:u w:val="single"/>
        </w:rPr>
        <w:t xml:space="preserve"> </w:t>
      </w:r>
      <w:r>
        <w:rPr>
          <w:u w:val="single"/>
        </w:rPr>
        <w:tab/>
      </w:r>
      <w:r>
        <w:t>个日历日。</w:t>
      </w:r>
    </w:p>
    <w:p>
      <w:pPr>
        <w:pStyle w:val="10"/>
        <w:spacing w:before="160" w:line="364" w:lineRule="auto"/>
        <w:ind w:right="1248" w:firstLine="554"/>
      </w:pPr>
      <w:r>
        <w:t>5、在规定的开标时间后，如果在投标有效期内撤回投标，同意投标保证金将被贵方没收。</w:t>
      </w:r>
    </w:p>
    <w:p>
      <w:pPr>
        <w:pStyle w:val="10"/>
        <w:spacing w:line="364" w:lineRule="auto"/>
        <w:ind w:right="1248" w:firstLine="554"/>
      </w:pPr>
      <w:r>
        <w:t>6、投标人同意提供按照贵方可能要求的与其投标有关的一切数据或资料，完全理解贵方不一定接受最低价的投标或收到的任何投标的约定。</w:t>
      </w:r>
    </w:p>
    <w:p>
      <w:pPr>
        <w:pStyle w:val="10"/>
        <w:spacing w:before="2"/>
        <w:ind w:left="1206"/>
      </w:pPr>
      <w:r>
        <w:t>7、与本投标有关的一切正式往来信函请寄：</w:t>
      </w:r>
    </w:p>
    <w:p>
      <w:pPr>
        <w:pStyle w:val="10"/>
        <w:tabs>
          <w:tab w:val="left" w:pos="6096"/>
          <w:tab w:val="left" w:pos="6576"/>
        </w:tabs>
        <w:spacing w:before="160" w:line="364" w:lineRule="auto"/>
        <w:ind w:left="1477" w:right="3927"/>
        <w:rPr>
          <w:rFonts w:hint="default" w:ascii="Times New Roman" w:eastAsia="宋体"/>
          <w:lang w:val="en-US" w:eastAsia="zh-CN"/>
        </w:rPr>
      </w:pPr>
      <w:r>
        <w:t>投 标 人 名</w:t>
      </w:r>
      <w:r>
        <w:rPr>
          <w:spacing w:val="-1"/>
        </w:rPr>
        <w:t xml:space="preserve"> </w:t>
      </w:r>
      <w:r>
        <w:t>称：</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r>
        <w:rPr>
          <w:rFonts w:ascii="Times New Roman" w:eastAsia="Times New Roman"/>
          <w:spacing w:val="-1"/>
          <w:u w:val="single"/>
        </w:rPr>
        <w:t xml:space="preserve">                        </w:t>
      </w:r>
      <w:r>
        <w:rPr>
          <w:rFonts w:ascii="Times New Roman" w:eastAsia="Times New Roman"/>
          <w:spacing w:val="24"/>
          <w:u w:val="single"/>
        </w:rPr>
        <w:t xml:space="preserve"> </w:t>
      </w:r>
      <w:r>
        <w:rPr>
          <w:spacing w:val="-1"/>
        </w:rPr>
        <w:t>投</w:t>
      </w:r>
      <w:r>
        <w:t>标人代表签字：</w:t>
      </w:r>
      <w:r>
        <w:rPr>
          <w:rFonts w:ascii="Times New Roman" w:eastAsia="Times New Roman"/>
          <w:u w:val="single"/>
        </w:rPr>
        <w:t xml:space="preserve"> </w:t>
      </w:r>
      <w:r>
        <w:rPr>
          <w:rFonts w:ascii="Times New Roman" w:eastAsia="Times New Roman"/>
          <w:u w:val="single"/>
        </w:rPr>
        <w:tab/>
      </w:r>
      <w:r>
        <w:rPr>
          <w:rFonts w:hint="eastAsia" w:ascii="Times New Roman" w:eastAsia="宋体"/>
          <w:u w:val="single"/>
          <w:lang w:val="en-US" w:eastAsia="zh-CN"/>
        </w:rPr>
        <w:t xml:space="preserve"> </w:t>
      </w:r>
      <w:r>
        <w:rPr>
          <w:rFonts w:hint="eastAsia" w:ascii="Times New Roman"/>
          <w:u w:val="single"/>
          <w:lang w:val="en-US" w:eastAsia="zh-CN"/>
        </w:rPr>
        <w:t xml:space="preserve">      </w:t>
      </w:r>
    </w:p>
    <w:p>
      <w:pPr>
        <w:pStyle w:val="10"/>
        <w:tabs>
          <w:tab w:val="left" w:pos="2917"/>
          <w:tab w:val="left" w:pos="6576"/>
        </w:tabs>
        <w:spacing w:before="90"/>
        <w:ind w:left="1477"/>
        <w:rPr>
          <w:rFonts w:ascii="Times New Roman" w:eastAsia="Times New Roman"/>
        </w:rPr>
      </w:pPr>
      <w:r>
        <w:t>公</w:t>
      </w:r>
      <w:r>
        <w:tab/>
      </w:r>
      <w:r>
        <w:rPr>
          <w:spacing w:val="-1"/>
        </w:rPr>
        <w:t>章</w:t>
      </w:r>
      <w:r>
        <w:t>：</w:t>
      </w:r>
      <w:r>
        <w:rPr>
          <w:rFonts w:ascii="Times New Roman" w:eastAsia="Times New Roman"/>
          <w:u w:val="single"/>
        </w:rPr>
        <w:t xml:space="preserve"> </w:t>
      </w:r>
      <w:r>
        <w:rPr>
          <w:rFonts w:ascii="Times New Roman" w:eastAsia="Times New Roman"/>
          <w:u w:val="single"/>
        </w:rPr>
        <w:tab/>
      </w:r>
    </w:p>
    <w:p>
      <w:pPr>
        <w:pStyle w:val="10"/>
        <w:tabs>
          <w:tab w:val="left" w:pos="2953"/>
          <w:tab w:val="left" w:pos="6132"/>
        </w:tabs>
        <w:spacing w:before="160"/>
        <w:ind w:left="1513"/>
        <w:rPr>
          <w:rFonts w:hint="default" w:ascii="Times New Roman" w:eastAsia="宋体"/>
          <w:lang w:val="en-US" w:eastAsia="zh-CN"/>
        </w:rPr>
      </w:pPr>
      <w:r>
        <w:t>地</w:t>
      </w:r>
      <w:r>
        <w:tab/>
      </w:r>
      <w:r>
        <w:rPr>
          <w:spacing w:val="-1"/>
        </w:rPr>
        <w:t>址</w:t>
      </w:r>
      <w:r>
        <w:t>：</w:t>
      </w:r>
      <w:r>
        <w:rPr>
          <w:rFonts w:ascii="Times New Roman" w:eastAsia="Times New Roman"/>
          <w:u w:val="single"/>
        </w:rPr>
        <w:t xml:space="preserve"> </w:t>
      </w:r>
      <w:r>
        <w:rPr>
          <w:rFonts w:ascii="Times New Roman" w:eastAsia="Times New Roman"/>
          <w:u w:val="single"/>
        </w:rPr>
        <w:tab/>
      </w:r>
      <w:r>
        <w:rPr>
          <w:rFonts w:hint="eastAsia" w:ascii="Times New Roman"/>
          <w:u w:val="single"/>
          <w:lang w:val="en-US" w:eastAsia="zh-CN"/>
        </w:rPr>
        <w:t xml:space="preserve">      </w:t>
      </w:r>
    </w:p>
    <w:p>
      <w:pPr>
        <w:pStyle w:val="10"/>
        <w:tabs>
          <w:tab w:val="left" w:pos="2917"/>
          <w:tab w:val="left" w:pos="5856"/>
        </w:tabs>
        <w:spacing w:before="161"/>
        <w:ind w:left="1477"/>
        <w:rPr>
          <w:rFonts w:hint="default" w:ascii="Times New Roman" w:eastAsia="宋体"/>
          <w:lang w:val="en-US" w:eastAsia="zh-CN"/>
        </w:rPr>
      </w:pPr>
      <w:r>
        <w:t>电</w:t>
      </w:r>
      <w:r>
        <w:tab/>
      </w:r>
      <w:r>
        <w:rPr>
          <w:spacing w:val="-1"/>
        </w:rPr>
        <w:t>话</w:t>
      </w:r>
      <w:r>
        <w:t>：</w:t>
      </w:r>
      <w:r>
        <w:rPr>
          <w:rFonts w:ascii="Times New Roman" w:eastAsia="Times New Roman"/>
          <w:u w:val="single"/>
        </w:rPr>
        <w:t xml:space="preserve"> </w:t>
      </w:r>
      <w:r>
        <w:rPr>
          <w:rFonts w:ascii="Times New Roman" w:eastAsia="Times New Roman"/>
          <w:u w:val="single"/>
        </w:rPr>
        <w:tab/>
      </w:r>
      <w:r>
        <w:rPr>
          <w:rFonts w:hint="eastAsia" w:ascii="Times New Roman" w:eastAsia="宋体"/>
          <w:u w:val="single"/>
          <w:lang w:val="en-US" w:eastAsia="zh-CN"/>
        </w:rPr>
        <w:t xml:space="preserve">          </w:t>
      </w:r>
    </w:p>
    <w:p>
      <w:pPr>
        <w:pStyle w:val="10"/>
        <w:tabs>
          <w:tab w:val="left" w:pos="2917"/>
          <w:tab w:val="left" w:pos="5496"/>
        </w:tabs>
        <w:spacing w:before="160"/>
        <w:ind w:left="1477" w:firstLine="240" w:firstLineChars="100"/>
        <w:rPr>
          <w:rFonts w:hint="default" w:ascii="Times New Roman" w:eastAsia="宋体"/>
          <w:lang w:val="en-US" w:eastAsia="zh-CN"/>
        </w:rPr>
      </w:pPr>
      <w:r>
        <w:t>邮</w:t>
      </w:r>
      <w:r>
        <w:rPr>
          <w:rFonts w:hint="eastAsia"/>
          <w:lang w:val="en-US" w:eastAsia="zh-CN"/>
        </w:rPr>
        <w:t xml:space="preserve">   </w:t>
      </w:r>
      <w:r>
        <w:rPr>
          <w:spacing w:val="-1"/>
        </w:rPr>
        <w:t>编</w:t>
      </w:r>
      <w:r>
        <w:t>：</w:t>
      </w:r>
      <w:r>
        <w:rPr>
          <w:rFonts w:ascii="Times New Roman" w:eastAsia="Times New Roman"/>
          <w:u w:val="single"/>
        </w:rPr>
        <w:t xml:space="preserve"> </w:t>
      </w:r>
      <w:r>
        <w:rPr>
          <w:rFonts w:ascii="Times New Roman" w:eastAsia="Times New Roman"/>
          <w:u w:val="single"/>
        </w:rPr>
        <w:tab/>
      </w:r>
      <w:r>
        <w:rPr>
          <w:rFonts w:hint="eastAsia" w:ascii="Times New Roman"/>
          <w:u w:val="single"/>
          <w:lang w:val="en-US" w:eastAsia="zh-CN"/>
        </w:rPr>
        <w:t xml:space="preserve">                     </w:t>
      </w:r>
    </w:p>
    <w:p>
      <w:pPr>
        <w:pStyle w:val="10"/>
        <w:tabs>
          <w:tab w:val="left" w:pos="2917"/>
          <w:tab w:val="left" w:pos="5496"/>
        </w:tabs>
        <w:spacing w:before="161"/>
        <w:ind w:left="1477" w:firstLine="240" w:firstLineChars="100"/>
        <w:rPr>
          <w:rFonts w:hint="default" w:ascii="Times New Roman" w:eastAsia="宋体"/>
          <w:lang w:val="en-US" w:eastAsia="zh-CN"/>
        </w:rPr>
      </w:pPr>
      <w:r>
        <w:t>传</w:t>
      </w:r>
      <w:r>
        <w:rPr>
          <w:rFonts w:hint="eastAsia"/>
          <w:lang w:val="en-US" w:eastAsia="zh-CN"/>
        </w:rPr>
        <w:t xml:space="preserve">   </w:t>
      </w:r>
      <w:r>
        <w:rPr>
          <w:spacing w:val="-1"/>
        </w:rPr>
        <w:t>真</w:t>
      </w:r>
      <w:r>
        <w:t>：</w:t>
      </w:r>
      <w:r>
        <w:rPr>
          <w:rFonts w:ascii="Times New Roman" w:eastAsia="Times New Roman"/>
          <w:u w:val="single"/>
        </w:rPr>
        <w:t xml:space="preserve"> </w:t>
      </w:r>
      <w:r>
        <w:rPr>
          <w:rFonts w:ascii="Times New Roman" w:eastAsia="Times New Roman"/>
          <w:u w:val="single"/>
        </w:rPr>
        <w:tab/>
      </w:r>
      <w:r>
        <w:rPr>
          <w:rFonts w:hint="eastAsia" w:ascii="Times New Roman"/>
          <w:u w:val="single"/>
          <w:lang w:val="en-US" w:eastAsia="zh-CN"/>
        </w:rPr>
        <w:t xml:space="preserve">                      </w:t>
      </w:r>
    </w:p>
    <w:p>
      <w:pPr>
        <w:pStyle w:val="10"/>
        <w:spacing w:before="0"/>
        <w:ind w:left="0"/>
        <w:rPr>
          <w:rFonts w:ascii="Times New Roman"/>
          <w:sz w:val="20"/>
        </w:rPr>
      </w:pPr>
    </w:p>
    <w:p>
      <w:pPr>
        <w:pStyle w:val="10"/>
        <w:tabs>
          <w:tab w:val="left" w:pos="2917"/>
          <w:tab w:val="left" w:pos="5496"/>
        </w:tabs>
        <w:spacing w:before="161"/>
        <w:ind w:left="1477"/>
        <w:rPr>
          <w:rFonts w:ascii="Times New Roman" w:hAnsi="宋体" w:eastAsia="Times New Roman" w:cs="宋体"/>
          <w:u w:val="single"/>
        </w:rPr>
      </w:pPr>
    </w:p>
    <w:p>
      <w:pPr>
        <w:pStyle w:val="10"/>
        <w:tabs>
          <w:tab w:val="left" w:pos="2917"/>
          <w:tab w:val="left" w:pos="5496"/>
        </w:tabs>
        <w:spacing w:before="161"/>
        <w:ind w:left="1477"/>
        <w:jc w:val="center"/>
        <w:rPr>
          <w:rFonts w:ascii="Times New Roman" w:hAnsi="宋体" w:eastAsia="Times New Roman" w:cs="宋体"/>
          <w:u w:val="single"/>
        </w:rPr>
      </w:pPr>
      <w:r>
        <w:rPr>
          <w:rFonts w:hint="eastAsia" w:ascii="Times New Roman" w:hAnsi="宋体" w:cs="宋体"/>
          <w:u w:val="single"/>
          <w:lang w:val="en-US" w:eastAsia="zh-CN"/>
        </w:rPr>
        <w:t xml:space="preserve">          </w:t>
      </w:r>
      <w:r>
        <w:rPr>
          <w:rFonts w:ascii="Times New Roman" w:hAnsi="宋体" w:eastAsia="Times New Roman" w:cs="宋体"/>
          <w:u w:val="single"/>
        </w:rPr>
        <w:t xml:space="preserve">年 </w:t>
      </w:r>
      <w:r>
        <w:rPr>
          <w:rFonts w:hint="eastAsia" w:ascii="Times New Roman" w:hAnsi="宋体" w:cs="宋体"/>
          <w:u w:val="single"/>
          <w:lang w:val="en-US" w:eastAsia="zh-CN"/>
        </w:rPr>
        <w:t xml:space="preserve">         </w:t>
      </w:r>
      <w:r>
        <w:rPr>
          <w:rFonts w:ascii="Times New Roman" w:hAnsi="宋体" w:eastAsia="Times New Roman" w:cs="宋体"/>
          <w:u w:val="single"/>
        </w:rPr>
        <w:t>月</w:t>
      </w:r>
      <w:r>
        <w:rPr>
          <w:rFonts w:hint="eastAsia" w:ascii="Times New Roman" w:hAnsi="宋体" w:cs="宋体"/>
          <w:u w:val="single"/>
          <w:lang w:val="en-US" w:eastAsia="zh-CN"/>
        </w:rPr>
        <w:t xml:space="preserve">         </w:t>
      </w:r>
      <w:r>
        <w:rPr>
          <w:rFonts w:ascii="Times New Roman" w:hAnsi="宋体" w:eastAsia="Times New Roman" w:cs="宋体"/>
          <w:u w:val="single"/>
        </w:rPr>
        <w:t xml:space="preserve"> 日</w:t>
      </w:r>
    </w:p>
    <w:p>
      <w:pPr>
        <w:pStyle w:val="5"/>
        <w:spacing w:before="67"/>
        <w:ind w:left="0" w:leftChars="0" w:firstLine="0" w:firstLineChars="0"/>
      </w:pPr>
    </w:p>
    <w:p>
      <w:pPr>
        <w:pStyle w:val="5"/>
        <w:spacing w:before="67"/>
        <w:ind w:left="0" w:leftChars="0" w:firstLine="0" w:firstLineChars="0"/>
      </w:pPr>
    </w:p>
    <w:p>
      <w:pPr>
        <w:pStyle w:val="5"/>
        <w:spacing w:before="67"/>
        <w:ind w:left="0" w:leftChars="0" w:firstLine="0" w:firstLineChars="0"/>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10"/>
      </w:pPr>
    </w:p>
    <w:p>
      <w:pPr>
        <w:pStyle w:val="21"/>
      </w:pPr>
    </w:p>
    <w:p/>
    <w:p>
      <w:pPr>
        <w:pStyle w:val="5"/>
        <w:spacing w:before="67"/>
        <w:ind w:left="0" w:leftChars="0" w:firstLine="964" w:firstLineChars="400"/>
      </w:pPr>
    </w:p>
    <w:p>
      <w:pPr>
        <w:pStyle w:val="5"/>
        <w:spacing w:before="67"/>
        <w:ind w:left="0" w:leftChars="0" w:firstLine="964" w:firstLineChars="400"/>
      </w:pPr>
      <w:r>
        <w:t>（</w:t>
      </w:r>
      <w:r>
        <w:rPr>
          <w:rFonts w:hint="eastAsia"/>
          <w:lang w:eastAsia="zh-CN"/>
        </w:rPr>
        <w:t>三</w:t>
      </w:r>
      <w:r>
        <w:t>）法人代表授权书格式</w:t>
      </w:r>
    </w:p>
    <w:p>
      <w:pPr>
        <w:pStyle w:val="10"/>
        <w:spacing w:before="0"/>
        <w:ind w:left="0"/>
        <w:rPr>
          <w:b/>
        </w:rPr>
      </w:pPr>
    </w:p>
    <w:p>
      <w:pPr>
        <w:pStyle w:val="10"/>
        <w:spacing w:before="3"/>
        <w:ind w:left="0"/>
        <w:rPr>
          <w:b/>
          <w:sz w:val="28"/>
        </w:rPr>
      </w:pPr>
    </w:p>
    <w:p>
      <w:pPr>
        <w:spacing w:before="0"/>
        <w:ind w:left="0" w:right="612" w:firstLine="0"/>
        <w:jc w:val="center"/>
        <w:rPr>
          <w:b/>
          <w:sz w:val="30"/>
        </w:rPr>
      </w:pPr>
      <w:r>
        <w:rPr>
          <w:b/>
          <w:sz w:val="30"/>
        </w:rPr>
        <w:t>法人代表授权书</w:t>
      </w:r>
    </w:p>
    <w:p>
      <w:pPr>
        <w:pStyle w:val="10"/>
        <w:tabs>
          <w:tab w:val="left" w:pos="3997"/>
          <w:tab w:val="left" w:pos="4957"/>
        </w:tabs>
        <w:spacing w:before="199" w:line="364" w:lineRule="auto"/>
        <w:ind w:right="1245" w:firstLine="602"/>
        <w:jc w:val="both"/>
      </w:pPr>
      <w:r>
        <w:t>本</w:t>
      </w:r>
      <w:r>
        <w:rPr>
          <w:spacing w:val="4"/>
        </w:rPr>
        <w:t>授</w:t>
      </w:r>
      <w:r>
        <w:t>权书</w:t>
      </w:r>
      <w:r>
        <w:rPr>
          <w:spacing w:val="4"/>
        </w:rPr>
        <w:t>声</w:t>
      </w:r>
      <w:r>
        <w:t>明：注</w:t>
      </w:r>
      <w:r>
        <w:rPr>
          <w:spacing w:val="4"/>
        </w:rPr>
        <w:t>册</w:t>
      </w:r>
      <w:r>
        <w:t>于</w:t>
      </w:r>
      <w:r>
        <w:rPr>
          <w:u w:val="single"/>
        </w:rPr>
        <w:t>（</w:t>
      </w:r>
      <w:r>
        <w:rPr>
          <w:spacing w:val="4"/>
          <w:u w:val="single"/>
        </w:rPr>
        <w:t>地</w:t>
      </w:r>
      <w:r>
        <w:rPr>
          <w:u w:val="single"/>
        </w:rPr>
        <w:t>区的</w:t>
      </w:r>
      <w:r>
        <w:rPr>
          <w:spacing w:val="4"/>
          <w:u w:val="single"/>
        </w:rPr>
        <w:t>名</w:t>
      </w:r>
      <w:r>
        <w:rPr>
          <w:u w:val="single"/>
        </w:rPr>
        <w:t>称</w:t>
      </w:r>
      <w:r>
        <w:rPr>
          <w:spacing w:val="4"/>
          <w:u w:val="single"/>
        </w:rPr>
        <w:t>）</w:t>
      </w:r>
      <w:r>
        <w:t>的</w:t>
      </w:r>
      <w:r>
        <w:rPr>
          <w:u w:val="single"/>
        </w:rPr>
        <w:t>（</w:t>
      </w:r>
      <w:r>
        <w:rPr>
          <w:spacing w:val="4"/>
          <w:u w:val="single"/>
        </w:rPr>
        <w:t>公</w:t>
      </w:r>
      <w:r>
        <w:rPr>
          <w:u w:val="single"/>
        </w:rPr>
        <w:t>司名</w:t>
      </w:r>
      <w:r>
        <w:rPr>
          <w:spacing w:val="4"/>
          <w:u w:val="single"/>
        </w:rPr>
        <w:t>称</w:t>
      </w:r>
      <w:r>
        <w:rPr>
          <w:u w:val="single"/>
        </w:rPr>
        <w:t>）</w:t>
      </w:r>
      <w:r>
        <w:t>，</w:t>
      </w:r>
      <w:r>
        <w:rPr>
          <w:spacing w:val="4"/>
        </w:rPr>
        <w:t>在</w:t>
      </w:r>
      <w:r>
        <w:t>下面</w:t>
      </w:r>
      <w:r>
        <w:rPr>
          <w:spacing w:val="4"/>
        </w:rPr>
        <w:t>签</w:t>
      </w:r>
      <w:r>
        <w:t>字的法人代</w:t>
      </w:r>
      <w:r>
        <w:rPr>
          <w:spacing w:val="-3"/>
        </w:rPr>
        <w:t>表</w:t>
      </w:r>
      <w:r>
        <w:rPr>
          <w:spacing w:val="-3"/>
          <w:u w:val="single"/>
        </w:rPr>
        <w:t>（</w:t>
      </w:r>
      <w:r>
        <w:rPr>
          <w:u w:val="single"/>
        </w:rPr>
        <w:t>姓名</w:t>
      </w:r>
      <w:r>
        <w:rPr>
          <w:spacing w:val="-3"/>
          <w:u w:val="single"/>
        </w:rPr>
        <w:t>、</w:t>
      </w:r>
      <w:r>
        <w:rPr>
          <w:u w:val="single"/>
        </w:rPr>
        <w:t>职务</w:t>
      </w:r>
      <w:r>
        <w:rPr>
          <w:spacing w:val="-3"/>
          <w:u w:val="single"/>
        </w:rPr>
        <w:t>）</w:t>
      </w:r>
      <w:r>
        <w:rPr>
          <w:spacing w:val="-3"/>
        </w:rPr>
        <w:t>，</w:t>
      </w:r>
      <w:r>
        <w:t>代表本公司授权在下面签字</w:t>
      </w:r>
      <w:r>
        <w:rPr>
          <w:spacing w:val="-3"/>
        </w:rPr>
        <w:t>的</w:t>
      </w:r>
      <w:r>
        <w:rPr>
          <w:u w:val="single"/>
        </w:rPr>
        <w:t>（被授权人的姓名</w:t>
      </w:r>
      <w:r>
        <w:rPr>
          <w:spacing w:val="-3"/>
          <w:u w:val="single"/>
        </w:rPr>
        <w:t>、</w:t>
      </w:r>
      <w:r>
        <w:rPr>
          <w:u w:val="single"/>
        </w:rPr>
        <w:t>职务</w:t>
      </w:r>
      <w:r>
        <w:rPr>
          <w:spacing w:val="-5"/>
          <w:u w:val="single"/>
        </w:rPr>
        <w:t>）</w:t>
      </w:r>
      <w:r>
        <w:rPr>
          <w:spacing w:val="-10"/>
        </w:rPr>
        <w:t>为</w:t>
      </w:r>
      <w:r>
        <w:t>本公司的合法代理人</w:t>
      </w:r>
      <w:r>
        <w:rPr>
          <w:spacing w:val="-5"/>
        </w:rPr>
        <w:t>，</w:t>
      </w:r>
      <w:r>
        <w:t>就</w:t>
      </w:r>
      <w:r>
        <w:rPr>
          <w:spacing w:val="115"/>
          <w:u w:val="single"/>
        </w:rPr>
        <w:t xml:space="preserve"> </w:t>
      </w:r>
      <w:r>
        <w:rPr>
          <w:u w:val="single"/>
        </w:rPr>
        <w:t>（项目名称）</w:t>
      </w:r>
      <w:r>
        <w:rPr>
          <w:spacing w:val="112"/>
          <w:u w:val="single"/>
        </w:rPr>
        <w:t xml:space="preserve"> </w:t>
      </w:r>
      <w:r>
        <w:t>的投标</w:t>
      </w:r>
      <w:r>
        <w:rPr>
          <w:spacing w:val="-5"/>
        </w:rPr>
        <w:t>，</w:t>
      </w:r>
      <w:r>
        <w:t>以本公司的名义处理一切与</w:t>
      </w:r>
      <w:r>
        <w:rPr>
          <w:spacing w:val="-13"/>
        </w:rPr>
        <w:t>之</w:t>
      </w:r>
      <w:r>
        <w:t>有关的事务。本授权书于</w:t>
      </w:r>
      <w:r>
        <w:rPr>
          <w:u w:val="single"/>
        </w:rPr>
        <w:t xml:space="preserve"> </w:t>
      </w:r>
      <w:r>
        <w:rPr>
          <w:u w:val="single"/>
        </w:rPr>
        <w:tab/>
      </w:r>
      <w:r>
        <w:t>年</w:t>
      </w:r>
      <w:r>
        <w:rPr>
          <w:u w:val="single"/>
        </w:rPr>
        <w:t xml:space="preserve"> </w:t>
      </w:r>
      <w:r>
        <w:rPr>
          <w:u w:val="single"/>
        </w:rPr>
        <w:tab/>
      </w:r>
      <w:r>
        <w:t>月</w:t>
      </w:r>
      <w:r>
        <w:rPr>
          <w:spacing w:val="119"/>
          <w:u w:val="single"/>
        </w:rPr>
        <w:t xml:space="preserve"> </w:t>
      </w:r>
      <w:r>
        <w:t>日签字生效，特此声明。</w:t>
      </w:r>
    </w:p>
    <w:p>
      <w:pPr>
        <w:pStyle w:val="10"/>
        <w:spacing w:before="9"/>
        <w:ind w:left="0"/>
        <w:rPr>
          <w:sz w:val="36"/>
        </w:rPr>
      </w:pPr>
    </w:p>
    <w:p>
      <w:pPr>
        <w:pStyle w:val="10"/>
        <w:tabs>
          <w:tab w:val="left" w:pos="8376"/>
        </w:tabs>
        <w:spacing w:before="0" w:line="364" w:lineRule="auto"/>
        <w:ind w:left="3037" w:right="2127"/>
        <w:jc w:val="both"/>
      </w:pPr>
      <w:r>
        <w:rPr>
          <w:spacing w:val="-1"/>
        </w:rPr>
        <w:t>法</w:t>
      </w:r>
      <w:r>
        <w:t>人代表签字：</w:t>
      </w:r>
      <w:r>
        <w:rPr>
          <w:rFonts w:ascii="Times New Roman" w:eastAsia="Times New Roman"/>
          <w:u w:val="single"/>
        </w:rPr>
        <w:t xml:space="preserve"> </w:t>
      </w:r>
      <w:r>
        <w:rPr>
          <w:rFonts w:ascii="Times New Roman" w:eastAsia="Times New Roman"/>
          <w:u w:val="single"/>
        </w:rPr>
        <w:tab/>
      </w:r>
      <w:r>
        <w:rPr>
          <w:rFonts w:ascii="Times New Roman" w:eastAsia="Times New Roman"/>
          <w:spacing w:val="-1"/>
          <w:u w:val="single"/>
        </w:rPr>
        <w:t xml:space="preserve">                            </w:t>
      </w:r>
      <w:r>
        <w:rPr>
          <w:rFonts w:ascii="Times New Roman" w:eastAsia="Times New Roman"/>
          <w:spacing w:val="28"/>
          <w:u w:val="single"/>
        </w:rPr>
        <w:t xml:space="preserve"> </w:t>
      </w:r>
      <w:r>
        <w:rPr>
          <w:spacing w:val="-1"/>
        </w:rPr>
        <w:t>被</w:t>
      </w:r>
      <w:r>
        <w:t>授权人签字：</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公 章 ：</w:t>
      </w:r>
    </w:p>
    <w:p>
      <w:pPr>
        <w:pStyle w:val="10"/>
        <w:spacing w:before="2"/>
        <w:ind w:left="3037"/>
        <w:jc w:val="both"/>
      </w:pPr>
      <w:r>
        <w:t>授 权 日 期 ：</w:t>
      </w:r>
      <w:r>
        <w:rPr>
          <w:u w:val="single"/>
        </w:rPr>
        <w:t xml:space="preserve"> </w:t>
      </w:r>
      <w:r>
        <w:t>年</w:t>
      </w:r>
      <w:r>
        <w:rPr>
          <w:u w:val="single"/>
        </w:rPr>
        <w:t xml:space="preserve"> </w:t>
      </w:r>
      <w:r>
        <w:t>月</w:t>
      </w:r>
      <w:r>
        <w:rPr>
          <w:spacing w:val="118"/>
          <w:u w:val="single"/>
        </w:rPr>
        <w:t xml:space="preserve"> </w:t>
      </w:r>
      <w:r>
        <w:t>日</w:t>
      </w:r>
    </w:p>
    <w:p>
      <w:pPr>
        <w:pStyle w:val="10"/>
        <w:spacing w:before="0"/>
        <w:ind w:left="0"/>
        <w:rPr>
          <w:sz w:val="26"/>
        </w:rPr>
      </w:pPr>
    </w:p>
    <w:p>
      <w:pPr>
        <w:pStyle w:val="10"/>
        <w:spacing w:before="0"/>
        <w:ind w:left="0"/>
        <w:rPr>
          <w:sz w:val="23"/>
        </w:rPr>
      </w:pPr>
    </w:p>
    <w:p>
      <w:pPr>
        <w:pStyle w:val="5"/>
        <w:spacing w:before="0" w:line="364" w:lineRule="auto"/>
        <w:ind w:right="1185" w:firstLine="480"/>
      </w:pPr>
      <w:r>
        <w:t>注：法人代表本人作为公司代理人前来参加投标的，投标方可以不提供此项证明文件。</w:t>
      </w: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0"/>
        </w:rPr>
      </w:pPr>
    </w:p>
    <w:p>
      <w:pPr>
        <w:pStyle w:val="10"/>
        <w:spacing w:before="0"/>
        <w:ind w:left="0"/>
        <w:rPr>
          <w:b/>
          <w:sz w:val="28"/>
        </w:rPr>
      </w:pPr>
    </w:p>
    <w:p>
      <w:pPr>
        <w:spacing w:after="0"/>
        <w:rPr>
          <w:sz w:val="28"/>
        </w:rPr>
        <w:sectPr>
          <w:pgSz w:w="11910" w:h="16840"/>
          <w:pgMar w:top="1420" w:right="240" w:bottom="1180" w:left="1160" w:header="878" w:footer="993" w:gutter="0"/>
          <w:pgNumType w:fmt="decimal"/>
          <w:cols w:space="720" w:num="1"/>
        </w:sectPr>
      </w:pPr>
    </w:p>
    <w:p>
      <w:pPr>
        <w:spacing w:before="66"/>
        <w:ind w:left="1117" w:right="0" w:firstLine="0"/>
        <w:jc w:val="left"/>
        <w:rPr>
          <w:b/>
          <w:sz w:val="44"/>
        </w:rPr>
      </w:pPr>
      <w:r>
        <w:rPr>
          <w:b/>
          <w:sz w:val="24"/>
        </w:rPr>
        <w:t>（三）</w:t>
      </w:r>
      <w:r>
        <w:rPr>
          <w:b/>
          <w:spacing w:val="-3"/>
          <w:sz w:val="24"/>
        </w:rPr>
        <w:t>开标一览表格式</w:t>
      </w:r>
    </w:p>
    <w:p>
      <w:pPr>
        <w:spacing w:before="0"/>
        <w:ind w:left="704" w:right="0" w:firstLine="0"/>
        <w:jc w:val="center"/>
        <w:rPr>
          <w:b/>
          <w:sz w:val="30"/>
        </w:rPr>
      </w:pPr>
      <w:r>
        <w:rPr>
          <w:b/>
          <w:sz w:val="30"/>
        </w:rPr>
        <w:t>开标一览表</w:t>
      </w:r>
    </w:p>
    <w:p>
      <w:pPr>
        <w:pStyle w:val="10"/>
        <w:spacing w:before="5"/>
        <w:ind w:left="0"/>
        <w:rPr>
          <w:b/>
          <w:sz w:val="10"/>
        </w:rPr>
      </w:pPr>
    </w:p>
    <w:p>
      <w:pPr>
        <w:spacing w:before="66"/>
        <w:ind w:left="455" w:right="0" w:firstLine="0"/>
        <w:jc w:val="left"/>
        <w:rPr>
          <w:b/>
          <w:sz w:val="24"/>
        </w:rPr>
      </w:pPr>
      <w:r>
        <w:rPr>
          <w:b/>
          <w:sz w:val="24"/>
        </w:rPr>
        <w:t>投标人名称：</w:t>
      </w:r>
    </w:p>
    <w:p>
      <w:pPr>
        <w:spacing w:before="90" w:line="364" w:lineRule="auto"/>
        <w:ind w:left="455" w:right="8364" w:firstLine="0"/>
        <w:jc w:val="left"/>
        <w:rPr>
          <w:b/>
          <w:sz w:val="24"/>
        </w:rPr>
      </w:pPr>
      <w:r>
        <mc:AlternateContent>
          <mc:Choice Requires="wps">
            <w:drawing>
              <wp:anchor distT="0" distB="0" distL="0" distR="0" simplePos="0" relativeHeight="251659264" behindDoc="0" locked="0" layoutInCell="1" allowOverlap="1">
                <wp:simplePos x="0" y="0"/>
                <wp:positionH relativeFrom="page">
                  <wp:posOffset>1069340</wp:posOffset>
                </wp:positionH>
                <wp:positionV relativeFrom="paragraph">
                  <wp:posOffset>600075</wp:posOffset>
                </wp:positionV>
                <wp:extent cx="5621655" cy="1723390"/>
                <wp:effectExtent l="6350" t="6350" r="10795" b="22860"/>
                <wp:wrapNone/>
                <wp:docPr id="1026" name="文本框 8"/>
                <wp:cNvGraphicFramePr/>
                <a:graphic xmlns:a="http://schemas.openxmlformats.org/drawingml/2006/main">
                  <a:graphicData uri="http://schemas.microsoft.com/office/word/2010/wordprocessingShape">
                    <wps:wsp>
                      <wps:cNvSpPr/>
                      <wps:spPr>
                        <a:xfrm>
                          <a:off x="0" y="0"/>
                          <a:ext cx="5621655" cy="1723390"/>
                        </a:xfrm>
                        <a:prstGeom prst="rect">
                          <a:avLst/>
                        </a:prstGeom>
                        <a:ln w="12700" cap="flat" cmpd="sng">
                          <a:solidFill>
                            <a:srgbClr val="000000"/>
                          </a:solidFill>
                          <a:prstDash val="solid"/>
                          <a:miter/>
                          <a:headEnd type="none" w="med" len="med"/>
                          <a:tailEnd type="none" w="med" len="med"/>
                        </a:ln>
                      </wps:spPr>
                      <wps:txbx>
                        <w:txbxContent>
                          <w:tbl>
                            <w:tblPr>
                              <w:tblStyle w:val="18"/>
                              <w:tblW w:w="0" w:type="auto"/>
                              <w:tblInd w:w="5" w:type="dxa"/>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fixed"/>
                              <w:tblCellMar>
                                <w:top w:w="0" w:type="dxa"/>
                                <w:left w:w="0" w:type="dxa"/>
                                <w:bottom w:w="0" w:type="dxa"/>
                                <w:right w:w="0" w:type="dxa"/>
                              </w:tblCellMar>
                            </w:tblPr>
                            <w:tblGrid>
                              <w:gridCol w:w="1821"/>
                              <w:gridCol w:w="1034"/>
                              <w:gridCol w:w="3130"/>
                              <w:gridCol w:w="1350"/>
                              <w:gridCol w:w="1502"/>
                            </w:tblGrid>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1821" w:type="dxa"/>
                                </w:tcPr>
                                <w:p>
                                  <w:pPr>
                                    <w:pStyle w:val="24"/>
                                    <w:spacing w:before="5"/>
                                    <w:rPr>
                                      <w:b/>
                                      <w:sz w:val="22"/>
                                    </w:rPr>
                                  </w:pPr>
                                </w:p>
                                <w:p>
                                  <w:pPr>
                                    <w:pStyle w:val="24"/>
                                    <w:ind w:left="281"/>
                                    <w:rPr>
                                      <w:b/>
                                      <w:sz w:val="21"/>
                                    </w:rPr>
                                  </w:pPr>
                                  <w:r>
                                    <w:rPr>
                                      <w:b/>
                                      <w:sz w:val="21"/>
                                    </w:rPr>
                                    <w:t>采购单位名称</w:t>
                                  </w:r>
                                </w:p>
                              </w:tc>
                              <w:tc>
                                <w:tcPr>
                                  <w:tcW w:w="1034" w:type="dxa"/>
                                </w:tcPr>
                                <w:p>
                                  <w:pPr>
                                    <w:pStyle w:val="24"/>
                                    <w:spacing w:before="5"/>
                                    <w:rPr>
                                      <w:b/>
                                      <w:sz w:val="22"/>
                                    </w:rPr>
                                  </w:pPr>
                                </w:p>
                                <w:p>
                                  <w:pPr>
                                    <w:pStyle w:val="24"/>
                                    <w:ind w:left="307"/>
                                    <w:rPr>
                                      <w:b/>
                                      <w:sz w:val="21"/>
                                    </w:rPr>
                                  </w:pPr>
                                  <w:r>
                                    <w:rPr>
                                      <w:b/>
                                      <w:sz w:val="21"/>
                                    </w:rPr>
                                    <w:t>包段</w:t>
                                  </w:r>
                                </w:p>
                              </w:tc>
                              <w:tc>
                                <w:tcPr>
                                  <w:tcW w:w="3130" w:type="dxa"/>
                                </w:tcPr>
                                <w:p>
                                  <w:pPr>
                                    <w:pStyle w:val="24"/>
                                    <w:spacing w:before="5"/>
                                    <w:rPr>
                                      <w:b/>
                                      <w:sz w:val="22"/>
                                    </w:rPr>
                                  </w:pPr>
                                </w:p>
                                <w:p>
                                  <w:pPr>
                                    <w:pStyle w:val="24"/>
                                    <w:ind w:left="972"/>
                                    <w:rPr>
                                      <w:b/>
                                      <w:sz w:val="21"/>
                                    </w:rPr>
                                  </w:pPr>
                                  <w:r>
                                    <w:rPr>
                                      <w:b/>
                                      <w:sz w:val="21"/>
                                    </w:rPr>
                                    <w:t>投标报价（元）</w:t>
                                  </w:r>
                                </w:p>
                              </w:tc>
                              <w:tc>
                                <w:tcPr>
                                  <w:tcW w:w="1350" w:type="dxa"/>
                                  <w:tcBorders>
                                    <w:right w:val="single" w:color="auto" w:sz="4" w:space="0"/>
                                  </w:tcBorders>
                                </w:tcPr>
                                <w:p>
                                  <w:pPr>
                                    <w:pStyle w:val="24"/>
                                    <w:spacing w:before="5"/>
                                    <w:rPr>
                                      <w:b/>
                                      <w:sz w:val="22"/>
                                    </w:rPr>
                                  </w:pPr>
                                </w:p>
                                <w:p>
                                  <w:pPr>
                                    <w:pStyle w:val="24"/>
                                    <w:ind w:left="216"/>
                                    <w:rPr>
                                      <w:b/>
                                      <w:sz w:val="21"/>
                                    </w:rPr>
                                  </w:pPr>
                                  <w:r>
                                    <w:rPr>
                                      <w:b/>
                                      <w:sz w:val="21"/>
                                    </w:rPr>
                                    <w:t>交货日期</w:t>
                                  </w:r>
                                </w:p>
                              </w:tc>
                              <w:tc>
                                <w:tcPr>
                                  <w:tcW w:w="1502" w:type="dxa"/>
                                  <w:tcBorders>
                                    <w:left w:val="single" w:color="auto" w:sz="4" w:space="0"/>
                                    <w:bottom w:val="single" w:color="auto" w:sz="4" w:space="0"/>
                                  </w:tcBorders>
                                </w:tcPr>
                                <w:p>
                                  <w:pPr>
                                    <w:pStyle w:val="24"/>
                                    <w:spacing w:before="5"/>
                                    <w:rPr>
                                      <w:b/>
                                      <w:sz w:val="22"/>
                                    </w:rPr>
                                  </w:pPr>
                                </w:p>
                                <w:p>
                                  <w:pPr>
                                    <w:pStyle w:val="24"/>
                                    <w:ind w:left="552"/>
                                    <w:rPr>
                                      <w:b/>
                                      <w:sz w:val="21"/>
                                    </w:rPr>
                                  </w:pPr>
                                  <w:r>
                                    <w:rPr>
                                      <w:b/>
                                      <w:sz w:val="21"/>
                                    </w:rPr>
                                    <w:t>备 注</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947" w:hRule="atLeast"/>
                              </w:trPr>
                              <w:tc>
                                <w:tcPr>
                                  <w:tcW w:w="1821" w:type="dxa"/>
                                  <w:tcBorders>
                                    <w:bottom w:val="single" w:color="auto" w:sz="4" w:space="0"/>
                                  </w:tcBorders>
                                </w:tcPr>
                                <w:p>
                                  <w:pPr>
                                    <w:pStyle w:val="24"/>
                                    <w:rPr>
                                      <w:rFonts w:ascii="Times New Roman"/>
                                      <w:sz w:val="22"/>
                                    </w:rPr>
                                  </w:pPr>
                                </w:p>
                              </w:tc>
                              <w:tc>
                                <w:tcPr>
                                  <w:tcW w:w="1034" w:type="dxa"/>
                                  <w:tcBorders>
                                    <w:bottom w:val="single" w:color="auto" w:sz="4" w:space="0"/>
                                  </w:tcBorders>
                                </w:tcPr>
                                <w:p>
                                  <w:pPr>
                                    <w:pStyle w:val="24"/>
                                    <w:rPr>
                                      <w:rFonts w:ascii="Times New Roman"/>
                                      <w:sz w:val="22"/>
                                    </w:rPr>
                                  </w:pPr>
                                </w:p>
                              </w:tc>
                              <w:tc>
                                <w:tcPr>
                                  <w:tcW w:w="3130" w:type="dxa"/>
                                  <w:tcBorders>
                                    <w:bottom w:val="single" w:color="auto" w:sz="4" w:space="0"/>
                                  </w:tcBorders>
                                </w:tcPr>
                                <w:p>
                                  <w:pPr>
                                    <w:pStyle w:val="24"/>
                                    <w:rPr>
                                      <w:rFonts w:ascii="Times New Roman"/>
                                      <w:sz w:val="22"/>
                                    </w:rPr>
                                  </w:pPr>
                                </w:p>
                              </w:tc>
                              <w:tc>
                                <w:tcPr>
                                  <w:tcW w:w="1350" w:type="dxa"/>
                                  <w:tcBorders>
                                    <w:bottom w:val="single" w:color="auto" w:sz="4" w:space="0"/>
                                    <w:right w:val="single" w:color="auto" w:sz="4" w:space="0"/>
                                  </w:tcBorders>
                                </w:tcPr>
                                <w:p>
                                  <w:pPr>
                                    <w:pStyle w:val="24"/>
                                    <w:rPr>
                                      <w:rFonts w:ascii="Times New Roman"/>
                                      <w:sz w:val="22"/>
                                    </w:rPr>
                                  </w:pPr>
                                </w:p>
                              </w:tc>
                              <w:tc>
                                <w:tcPr>
                                  <w:tcW w:w="1502" w:type="dxa"/>
                                  <w:tcBorders>
                                    <w:top w:val="single" w:color="auto" w:sz="4" w:space="0"/>
                                    <w:left w:val="single" w:color="auto" w:sz="4" w:space="0"/>
                                    <w:bottom w:val="single" w:color="auto" w:sz="4" w:space="0"/>
                                  </w:tcBorders>
                                </w:tcPr>
                                <w:p>
                                  <w:pPr>
                                    <w:pStyle w:val="24"/>
                                    <w:rPr>
                                      <w:rFonts w:ascii="Times New Roman"/>
                                      <w:sz w:val="22"/>
                                    </w:rPr>
                                  </w:pP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8837" w:type="dxa"/>
                                  <w:gridSpan w:val="5"/>
                                  <w:tcBorders>
                                    <w:top w:val="single" w:color="auto" w:sz="4" w:space="0"/>
                                  </w:tcBorders>
                                </w:tcPr>
                                <w:p>
                                  <w:pPr>
                                    <w:pStyle w:val="24"/>
                                    <w:spacing w:before="11"/>
                                    <w:rPr>
                                      <w:b/>
                                      <w:sz w:val="15"/>
                                    </w:rPr>
                                  </w:pPr>
                                </w:p>
                                <w:p>
                                  <w:pPr>
                                    <w:pStyle w:val="24"/>
                                    <w:ind w:left="79"/>
                                    <w:rPr>
                                      <w:b/>
                                      <w:sz w:val="21"/>
                                    </w:rPr>
                                  </w:pPr>
                                  <w:r>
                                    <w:rPr>
                                      <w:b/>
                                      <w:sz w:val="21"/>
                                    </w:rPr>
                                    <w:t>人民币大写：</w:t>
                                  </w:r>
                                </w:p>
                              </w:tc>
                            </w:tr>
                          </w:tbl>
                          <w:p>
                            <w:pPr>
                              <w:pStyle w:val="10"/>
                              <w:spacing w:before="0"/>
                              <w:ind w:left="0"/>
                            </w:pPr>
                          </w:p>
                        </w:txbxContent>
                      </wps:txbx>
                      <wps:bodyPr lIns="0" tIns="0" rIns="0" bIns="0" upright="1"/>
                    </wps:wsp>
                  </a:graphicData>
                </a:graphic>
              </wp:anchor>
            </w:drawing>
          </mc:Choice>
          <mc:Fallback>
            <w:pict>
              <v:rect id="文本框 8" o:spid="_x0000_s1026" o:spt="1" style="position:absolute;left:0pt;margin-left:84.2pt;margin-top:47.25pt;height:135.7pt;width:442.65pt;mso-position-horizontal-relative:page;z-index:251659264;mso-width-relative:page;mso-height-relative:page;" filled="f" stroked="t" coordsize="21600,21600" o:gfxdata="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O6989oAAAALAQAADwAAAAAAAAAB&#10;ACAAAAAiAAAAZHJzL2Rvd25yZXYueG1sUEsBAhQAFAAAAAgAh07iQDt/jtwOAgAAIQQAAA4AAAAA&#10;AAAAAQAgAAAAKQEAAGRycy9lMm9Eb2MueG1sUEsFBgAAAAAGAAYAWQEAAKkFAAAAAA==&#10;">
                <v:fill on="f" focussize="0,0"/>
                <v:stroke weight="1pt" color="#000000" joinstyle="miter"/>
                <v:imagedata o:title=""/>
                <o:lock v:ext="edit" aspectratio="f"/>
                <v:textbox inset="0mm,0mm,0mm,0mm">
                  <w:txbxContent>
                    <w:tbl>
                      <w:tblPr>
                        <w:tblStyle w:val="18"/>
                        <w:tblW w:w="0" w:type="auto"/>
                        <w:tblInd w:w="5" w:type="dxa"/>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fixed"/>
                        <w:tblCellMar>
                          <w:top w:w="0" w:type="dxa"/>
                          <w:left w:w="0" w:type="dxa"/>
                          <w:bottom w:w="0" w:type="dxa"/>
                          <w:right w:w="0" w:type="dxa"/>
                        </w:tblCellMar>
                      </w:tblPr>
                      <w:tblGrid>
                        <w:gridCol w:w="1821"/>
                        <w:gridCol w:w="1034"/>
                        <w:gridCol w:w="3130"/>
                        <w:gridCol w:w="1350"/>
                        <w:gridCol w:w="1502"/>
                      </w:tblGrid>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1821" w:type="dxa"/>
                          </w:tcPr>
                          <w:p>
                            <w:pPr>
                              <w:pStyle w:val="24"/>
                              <w:spacing w:before="5"/>
                              <w:rPr>
                                <w:b/>
                                <w:sz w:val="22"/>
                              </w:rPr>
                            </w:pPr>
                          </w:p>
                          <w:p>
                            <w:pPr>
                              <w:pStyle w:val="24"/>
                              <w:ind w:left="281"/>
                              <w:rPr>
                                <w:b/>
                                <w:sz w:val="21"/>
                              </w:rPr>
                            </w:pPr>
                            <w:r>
                              <w:rPr>
                                <w:b/>
                                <w:sz w:val="21"/>
                              </w:rPr>
                              <w:t>采购单位名称</w:t>
                            </w:r>
                          </w:p>
                        </w:tc>
                        <w:tc>
                          <w:tcPr>
                            <w:tcW w:w="1034" w:type="dxa"/>
                          </w:tcPr>
                          <w:p>
                            <w:pPr>
                              <w:pStyle w:val="24"/>
                              <w:spacing w:before="5"/>
                              <w:rPr>
                                <w:b/>
                                <w:sz w:val="22"/>
                              </w:rPr>
                            </w:pPr>
                          </w:p>
                          <w:p>
                            <w:pPr>
                              <w:pStyle w:val="24"/>
                              <w:ind w:left="307"/>
                              <w:rPr>
                                <w:b/>
                                <w:sz w:val="21"/>
                              </w:rPr>
                            </w:pPr>
                            <w:r>
                              <w:rPr>
                                <w:b/>
                                <w:sz w:val="21"/>
                              </w:rPr>
                              <w:t>包段</w:t>
                            </w:r>
                          </w:p>
                        </w:tc>
                        <w:tc>
                          <w:tcPr>
                            <w:tcW w:w="3130" w:type="dxa"/>
                          </w:tcPr>
                          <w:p>
                            <w:pPr>
                              <w:pStyle w:val="24"/>
                              <w:spacing w:before="5"/>
                              <w:rPr>
                                <w:b/>
                                <w:sz w:val="22"/>
                              </w:rPr>
                            </w:pPr>
                          </w:p>
                          <w:p>
                            <w:pPr>
                              <w:pStyle w:val="24"/>
                              <w:ind w:left="972"/>
                              <w:rPr>
                                <w:b/>
                                <w:sz w:val="21"/>
                              </w:rPr>
                            </w:pPr>
                            <w:r>
                              <w:rPr>
                                <w:b/>
                                <w:sz w:val="21"/>
                              </w:rPr>
                              <w:t>投标报价（元）</w:t>
                            </w:r>
                          </w:p>
                        </w:tc>
                        <w:tc>
                          <w:tcPr>
                            <w:tcW w:w="1350" w:type="dxa"/>
                            <w:tcBorders>
                              <w:right w:val="single" w:color="auto" w:sz="4" w:space="0"/>
                            </w:tcBorders>
                          </w:tcPr>
                          <w:p>
                            <w:pPr>
                              <w:pStyle w:val="24"/>
                              <w:spacing w:before="5"/>
                              <w:rPr>
                                <w:b/>
                                <w:sz w:val="22"/>
                              </w:rPr>
                            </w:pPr>
                          </w:p>
                          <w:p>
                            <w:pPr>
                              <w:pStyle w:val="24"/>
                              <w:ind w:left="216"/>
                              <w:rPr>
                                <w:b/>
                                <w:sz w:val="21"/>
                              </w:rPr>
                            </w:pPr>
                            <w:r>
                              <w:rPr>
                                <w:b/>
                                <w:sz w:val="21"/>
                              </w:rPr>
                              <w:t>交货日期</w:t>
                            </w:r>
                          </w:p>
                        </w:tc>
                        <w:tc>
                          <w:tcPr>
                            <w:tcW w:w="1502" w:type="dxa"/>
                            <w:tcBorders>
                              <w:left w:val="single" w:color="auto" w:sz="4" w:space="0"/>
                              <w:bottom w:val="single" w:color="auto" w:sz="4" w:space="0"/>
                            </w:tcBorders>
                          </w:tcPr>
                          <w:p>
                            <w:pPr>
                              <w:pStyle w:val="24"/>
                              <w:spacing w:before="5"/>
                              <w:rPr>
                                <w:b/>
                                <w:sz w:val="22"/>
                              </w:rPr>
                            </w:pPr>
                          </w:p>
                          <w:p>
                            <w:pPr>
                              <w:pStyle w:val="24"/>
                              <w:ind w:left="552"/>
                              <w:rPr>
                                <w:b/>
                                <w:sz w:val="21"/>
                              </w:rPr>
                            </w:pPr>
                            <w:r>
                              <w:rPr>
                                <w:b/>
                                <w:sz w:val="21"/>
                              </w:rPr>
                              <w:t>备 注</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947" w:hRule="atLeast"/>
                        </w:trPr>
                        <w:tc>
                          <w:tcPr>
                            <w:tcW w:w="1821" w:type="dxa"/>
                            <w:tcBorders>
                              <w:bottom w:val="single" w:color="auto" w:sz="4" w:space="0"/>
                            </w:tcBorders>
                          </w:tcPr>
                          <w:p>
                            <w:pPr>
                              <w:pStyle w:val="24"/>
                              <w:rPr>
                                <w:rFonts w:ascii="Times New Roman"/>
                                <w:sz w:val="22"/>
                              </w:rPr>
                            </w:pPr>
                          </w:p>
                        </w:tc>
                        <w:tc>
                          <w:tcPr>
                            <w:tcW w:w="1034" w:type="dxa"/>
                            <w:tcBorders>
                              <w:bottom w:val="single" w:color="auto" w:sz="4" w:space="0"/>
                            </w:tcBorders>
                          </w:tcPr>
                          <w:p>
                            <w:pPr>
                              <w:pStyle w:val="24"/>
                              <w:rPr>
                                <w:rFonts w:ascii="Times New Roman"/>
                                <w:sz w:val="22"/>
                              </w:rPr>
                            </w:pPr>
                          </w:p>
                        </w:tc>
                        <w:tc>
                          <w:tcPr>
                            <w:tcW w:w="3130" w:type="dxa"/>
                            <w:tcBorders>
                              <w:bottom w:val="single" w:color="auto" w:sz="4" w:space="0"/>
                            </w:tcBorders>
                          </w:tcPr>
                          <w:p>
                            <w:pPr>
                              <w:pStyle w:val="24"/>
                              <w:rPr>
                                <w:rFonts w:ascii="Times New Roman"/>
                                <w:sz w:val="22"/>
                              </w:rPr>
                            </w:pPr>
                          </w:p>
                        </w:tc>
                        <w:tc>
                          <w:tcPr>
                            <w:tcW w:w="1350" w:type="dxa"/>
                            <w:tcBorders>
                              <w:bottom w:val="single" w:color="auto" w:sz="4" w:space="0"/>
                              <w:right w:val="single" w:color="auto" w:sz="4" w:space="0"/>
                            </w:tcBorders>
                          </w:tcPr>
                          <w:p>
                            <w:pPr>
                              <w:pStyle w:val="24"/>
                              <w:rPr>
                                <w:rFonts w:ascii="Times New Roman"/>
                                <w:sz w:val="22"/>
                              </w:rPr>
                            </w:pPr>
                          </w:p>
                        </w:tc>
                        <w:tc>
                          <w:tcPr>
                            <w:tcW w:w="1502" w:type="dxa"/>
                            <w:tcBorders>
                              <w:top w:val="single" w:color="auto" w:sz="4" w:space="0"/>
                              <w:left w:val="single" w:color="auto" w:sz="4" w:space="0"/>
                              <w:bottom w:val="single" w:color="auto" w:sz="4" w:space="0"/>
                            </w:tcBorders>
                          </w:tcPr>
                          <w:p>
                            <w:pPr>
                              <w:pStyle w:val="24"/>
                              <w:rPr>
                                <w:rFonts w:ascii="Times New Roman"/>
                                <w:sz w:val="22"/>
                              </w:rPr>
                            </w:pP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8837" w:type="dxa"/>
                            <w:gridSpan w:val="5"/>
                            <w:tcBorders>
                              <w:top w:val="single" w:color="auto" w:sz="4" w:space="0"/>
                            </w:tcBorders>
                          </w:tcPr>
                          <w:p>
                            <w:pPr>
                              <w:pStyle w:val="24"/>
                              <w:spacing w:before="11"/>
                              <w:rPr>
                                <w:b/>
                                <w:sz w:val="15"/>
                              </w:rPr>
                            </w:pPr>
                          </w:p>
                          <w:p>
                            <w:pPr>
                              <w:pStyle w:val="24"/>
                              <w:ind w:left="79"/>
                              <w:rPr>
                                <w:b/>
                                <w:sz w:val="21"/>
                              </w:rPr>
                            </w:pPr>
                            <w:r>
                              <w:rPr>
                                <w:b/>
                                <w:sz w:val="21"/>
                              </w:rPr>
                              <w:t>人民币大写：</w:t>
                            </w:r>
                          </w:p>
                        </w:tc>
                      </w:tr>
                    </w:tbl>
                    <w:p>
                      <w:pPr>
                        <w:pStyle w:val="10"/>
                        <w:spacing w:before="0"/>
                        <w:ind w:left="0"/>
                      </w:pPr>
                    </w:p>
                  </w:txbxContent>
                </v:textbox>
              </v:rect>
            </w:pict>
          </mc:Fallback>
        </mc:AlternateContent>
      </w:r>
      <w:r>
        <w:rPr>
          <w:b/>
          <w:sz w:val="24"/>
        </w:rPr>
        <w:t>招标文件编号： 采购项目名称：</w:t>
      </w:r>
    </w:p>
    <w:p>
      <w:pPr>
        <w:pStyle w:val="10"/>
        <w:spacing w:before="0"/>
        <w:ind w:left="0"/>
        <w:rPr>
          <w:b/>
        </w:rPr>
      </w:pPr>
    </w:p>
    <w:p>
      <w:pPr>
        <w:pStyle w:val="10"/>
        <w:spacing w:before="0"/>
        <w:ind w:left="0"/>
        <w:rPr>
          <w:b/>
        </w:rPr>
      </w:pPr>
    </w:p>
    <w:p>
      <w:pPr>
        <w:pStyle w:val="10"/>
        <w:spacing w:before="0"/>
        <w:ind w:left="0"/>
        <w:rPr>
          <w:b/>
        </w:rPr>
      </w:pPr>
    </w:p>
    <w:p>
      <w:pPr>
        <w:pStyle w:val="10"/>
        <w:spacing w:before="0"/>
        <w:ind w:left="0"/>
        <w:rPr>
          <w:b/>
        </w:rPr>
      </w:pPr>
    </w:p>
    <w:p>
      <w:pPr>
        <w:pStyle w:val="10"/>
        <w:spacing w:before="0"/>
        <w:ind w:left="0"/>
        <w:rPr>
          <w:b/>
        </w:rPr>
      </w:pPr>
    </w:p>
    <w:p>
      <w:pPr>
        <w:pStyle w:val="10"/>
        <w:spacing w:before="0"/>
        <w:ind w:left="0"/>
        <w:rPr>
          <w:b/>
        </w:rPr>
      </w:pPr>
    </w:p>
    <w:p>
      <w:pPr>
        <w:pStyle w:val="10"/>
        <w:spacing w:before="0"/>
        <w:ind w:left="0"/>
        <w:rPr>
          <w:b/>
        </w:rPr>
      </w:pPr>
    </w:p>
    <w:p>
      <w:pPr>
        <w:pStyle w:val="10"/>
        <w:spacing w:before="3"/>
        <w:ind w:left="0"/>
        <w:rPr>
          <w:b/>
          <w:sz w:val="19"/>
        </w:rPr>
      </w:pPr>
    </w:p>
    <w:p>
      <w:pPr>
        <w:spacing w:before="0"/>
        <w:ind w:left="637" w:right="0" w:firstLine="0"/>
        <w:jc w:val="left"/>
        <w:rPr>
          <w:b/>
          <w:sz w:val="24"/>
        </w:rPr>
      </w:pPr>
    </w:p>
    <w:p>
      <w:pPr>
        <w:spacing w:before="0"/>
        <w:ind w:left="637" w:right="0" w:firstLine="0"/>
        <w:jc w:val="left"/>
        <w:rPr>
          <w:rFonts w:hint="eastAsia"/>
          <w:b/>
          <w:sz w:val="24"/>
          <w:lang w:eastAsia="zh-CN"/>
        </w:rPr>
      </w:pPr>
      <w:r>
        <w:rPr>
          <w:b/>
          <w:sz w:val="24"/>
        </w:rPr>
        <w:t>投单位法人代表或授权代表签字</w:t>
      </w:r>
    </w:p>
    <w:p>
      <w:pPr>
        <w:spacing w:before="0"/>
        <w:ind w:left="637" w:right="0" w:firstLine="0"/>
        <w:jc w:val="left"/>
        <w:rPr>
          <w:rFonts w:hint="eastAsia"/>
          <w:b/>
          <w:sz w:val="24"/>
          <w:lang w:eastAsia="zh-CN"/>
        </w:rPr>
      </w:pPr>
    </w:p>
    <w:p>
      <w:pPr>
        <w:spacing w:before="0"/>
        <w:ind w:left="637" w:right="0" w:firstLine="0"/>
        <w:jc w:val="left"/>
        <w:rPr>
          <w:rFonts w:hint="eastAsia"/>
          <w:b/>
          <w:sz w:val="24"/>
          <w:lang w:eastAsia="zh-CN"/>
        </w:rPr>
      </w:pPr>
    </w:p>
    <w:p>
      <w:pPr>
        <w:spacing w:before="0"/>
        <w:ind w:left="637" w:right="0" w:firstLine="0"/>
        <w:jc w:val="left"/>
        <w:rPr>
          <w:rFonts w:hint="eastAsia"/>
          <w:b/>
          <w:sz w:val="24"/>
          <w:lang w:eastAsia="zh-CN"/>
        </w:rPr>
      </w:pPr>
    </w:p>
    <w:p>
      <w:pPr>
        <w:spacing w:before="0"/>
        <w:ind w:left="637" w:right="0" w:firstLine="0"/>
        <w:jc w:val="left"/>
        <w:rPr>
          <w:b/>
          <w:sz w:val="24"/>
        </w:rPr>
      </w:pPr>
      <w:r>
        <w:rPr>
          <w:b/>
          <w:sz w:val="24"/>
        </w:rPr>
        <w:t>（四）关于资格的声明函</w:t>
      </w:r>
    </w:p>
    <w:p>
      <w:pPr>
        <w:spacing w:before="201"/>
        <w:ind w:left="0" w:right="610" w:firstLine="0"/>
        <w:jc w:val="center"/>
        <w:rPr>
          <w:b/>
          <w:sz w:val="30"/>
        </w:rPr>
      </w:pPr>
      <w:r>
        <w:rPr>
          <w:b/>
          <w:sz w:val="30"/>
        </w:rPr>
        <w:t>关于资格的声明函</w:t>
      </w:r>
    </w:p>
    <w:p>
      <w:pPr>
        <w:spacing w:before="199"/>
        <w:ind w:left="637" w:right="0" w:firstLine="0"/>
        <w:jc w:val="left"/>
        <w:rPr>
          <w:b/>
          <w:sz w:val="24"/>
        </w:rPr>
      </w:pPr>
      <w:r>
        <w:rPr>
          <w:b/>
          <w:sz w:val="24"/>
        </w:rPr>
        <w:t>致：</w:t>
      </w:r>
      <w:r>
        <w:rPr>
          <w:rFonts w:hint="eastAsia"/>
          <w:b/>
          <w:sz w:val="24"/>
        </w:rPr>
        <w:t>和硕县应急案管理局</w:t>
      </w:r>
      <w:r>
        <w:rPr>
          <w:b/>
          <w:sz w:val="24"/>
        </w:rPr>
        <w:t>：</w:t>
      </w:r>
    </w:p>
    <w:p>
      <w:pPr>
        <w:pStyle w:val="10"/>
        <w:tabs>
          <w:tab w:val="left" w:pos="2797"/>
        </w:tabs>
        <w:spacing w:before="160" w:line="364" w:lineRule="auto"/>
        <w:ind w:right="1245" w:firstLine="480"/>
        <w:jc w:val="both"/>
      </w:pPr>
      <w:r>
        <w:t>关</w:t>
      </w:r>
      <w:r>
        <w:rPr>
          <w:spacing w:val="-44"/>
        </w:rPr>
        <w:t xml:space="preserve"> </w:t>
      </w:r>
      <w:r>
        <w:t>于</w:t>
      </w:r>
      <w:r>
        <w:rPr>
          <w:spacing w:val="-46"/>
        </w:rPr>
        <w:t xml:space="preserve"> </w:t>
      </w:r>
      <w:r>
        <w:t>贵</w:t>
      </w:r>
      <w:r>
        <w:rPr>
          <w:spacing w:val="-44"/>
        </w:rPr>
        <w:t xml:space="preserve"> </w:t>
      </w:r>
      <w:r>
        <w:t>方</w:t>
      </w:r>
      <w:r>
        <w:rPr>
          <w:u w:val="single"/>
        </w:rPr>
        <w:t xml:space="preserve">   </w:t>
      </w:r>
      <w:r>
        <w:rPr>
          <w:spacing w:val="107"/>
          <w:u w:val="single"/>
        </w:rPr>
        <w:t xml:space="preserve"> </w:t>
      </w:r>
      <w:r>
        <w:t>年</w:t>
      </w:r>
      <w:r>
        <w:rPr>
          <w:u w:val="single"/>
        </w:rPr>
        <w:t xml:space="preserve">    </w:t>
      </w:r>
      <w:r>
        <w:rPr>
          <w:spacing w:val="107"/>
          <w:u w:val="single"/>
        </w:rPr>
        <w:t xml:space="preserve"> </w:t>
      </w:r>
      <w:r>
        <w:t>月</w:t>
      </w:r>
      <w:r>
        <w:rPr>
          <w:u w:val="single"/>
        </w:rPr>
        <w:t xml:space="preserve">    </w:t>
      </w:r>
      <w:r>
        <w:rPr>
          <w:spacing w:val="107"/>
          <w:u w:val="single"/>
        </w:rPr>
        <w:t xml:space="preserve"> </w:t>
      </w:r>
      <w:r>
        <w:t>日</w:t>
      </w:r>
      <w:r>
        <w:rPr>
          <w:spacing w:val="-44"/>
        </w:rPr>
        <w:t xml:space="preserve"> </w:t>
      </w:r>
      <w:r>
        <w:t>第</w:t>
      </w:r>
      <w:r>
        <w:rPr>
          <w:spacing w:val="-46"/>
        </w:rPr>
        <w:t xml:space="preserve"> </w:t>
      </w:r>
      <w:r>
        <w:t>（</w:t>
      </w:r>
      <w:r>
        <w:rPr>
          <w:spacing w:val="-44"/>
        </w:rPr>
        <w:t xml:space="preserve"> </w:t>
      </w:r>
      <w:r>
        <w:t>招</w:t>
      </w:r>
      <w:r>
        <w:rPr>
          <w:spacing w:val="-44"/>
        </w:rPr>
        <w:t xml:space="preserve"> </w:t>
      </w:r>
      <w:r>
        <w:t>标</w:t>
      </w:r>
      <w:r>
        <w:rPr>
          <w:spacing w:val="-46"/>
        </w:rPr>
        <w:t xml:space="preserve"> </w:t>
      </w:r>
      <w:r>
        <w:t>编</w:t>
      </w:r>
      <w:r>
        <w:rPr>
          <w:spacing w:val="-44"/>
        </w:rPr>
        <w:t xml:space="preserve"> </w:t>
      </w:r>
      <w:r>
        <w:t>号</w:t>
      </w:r>
      <w:r>
        <w:rPr>
          <w:spacing w:val="-44"/>
        </w:rPr>
        <w:t xml:space="preserve"> </w:t>
      </w:r>
      <w:r>
        <w:t>）</w:t>
      </w:r>
      <w:r>
        <w:rPr>
          <w:spacing w:val="-46"/>
        </w:rPr>
        <w:t xml:space="preserve"> </w:t>
      </w:r>
      <w:r>
        <w:t>招</w:t>
      </w:r>
      <w:r>
        <w:rPr>
          <w:spacing w:val="-44"/>
        </w:rPr>
        <w:t xml:space="preserve"> </w:t>
      </w:r>
      <w:r>
        <w:t>标</w:t>
      </w:r>
      <w:r>
        <w:rPr>
          <w:spacing w:val="-44"/>
        </w:rPr>
        <w:t xml:space="preserve"> </w:t>
      </w:r>
      <w:r>
        <w:t>公</w:t>
      </w:r>
      <w:r>
        <w:rPr>
          <w:spacing w:val="-46"/>
        </w:rPr>
        <w:t xml:space="preserve"> </w:t>
      </w:r>
      <w:r>
        <w:t>告</w:t>
      </w:r>
      <w:r>
        <w:rPr>
          <w:spacing w:val="-44"/>
        </w:rPr>
        <w:t xml:space="preserve"> </w:t>
      </w:r>
      <w:r>
        <w:t>关</w:t>
      </w:r>
      <w:r>
        <w:rPr>
          <w:spacing w:val="-44"/>
        </w:rPr>
        <w:t xml:space="preserve"> </w:t>
      </w:r>
      <w:r>
        <w:t>于</w:t>
      </w:r>
      <w:r>
        <w:rPr>
          <w:u w:val="single"/>
        </w:rPr>
        <w:t>“</w:t>
      </w:r>
      <w:r>
        <w:rPr>
          <w:u w:val="single"/>
        </w:rPr>
        <w:tab/>
      </w:r>
      <w:r>
        <w:rPr>
          <w:spacing w:val="-5"/>
          <w:u w:val="single"/>
        </w:rPr>
        <w:t>”</w:t>
      </w:r>
      <w:r>
        <w:t>的招标项目</w:t>
      </w:r>
      <w:r>
        <w:rPr>
          <w:spacing w:val="-5"/>
        </w:rPr>
        <w:t>，</w:t>
      </w:r>
      <w:r>
        <w:t>本签字人愿意参加投标</w:t>
      </w:r>
      <w:r>
        <w:rPr>
          <w:spacing w:val="-8"/>
        </w:rPr>
        <w:t>，</w:t>
      </w:r>
      <w:r>
        <w:t>并有能力提供</w:t>
      </w:r>
      <w:r>
        <w:rPr>
          <w:spacing w:val="115"/>
          <w:u w:val="single"/>
        </w:rPr>
        <w:t xml:space="preserve"> </w:t>
      </w:r>
      <w:r>
        <w:rPr>
          <w:u w:val="single"/>
        </w:rPr>
        <w:t>（</w:t>
      </w:r>
      <w:r>
        <w:rPr>
          <w:spacing w:val="-13"/>
          <w:u w:val="single"/>
        </w:rPr>
        <w:t>项</w:t>
      </w:r>
      <w:r>
        <w:rPr>
          <w:spacing w:val="-220"/>
          <w:u w:val="single"/>
        </w:rPr>
        <w:t>目</w:t>
      </w:r>
      <w:r>
        <w:rPr>
          <w:u w:val="single"/>
        </w:rPr>
        <w:t xml:space="preserve">名称）   </w:t>
      </w:r>
      <w:r>
        <w:rPr>
          <w:spacing w:val="6"/>
          <w:u w:val="single"/>
        </w:rPr>
        <w:t xml:space="preserve"> </w:t>
      </w:r>
      <w:r>
        <w:t>项目中</w:t>
      </w:r>
      <w:r>
        <w:rPr>
          <w:spacing w:val="-5"/>
        </w:rPr>
        <w:t>的</w:t>
      </w:r>
      <w:r>
        <w:t>（</w:t>
      </w:r>
      <w:r>
        <w:rPr>
          <w:u w:val="single"/>
        </w:rPr>
        <w:t>包号及货物名称</w:t>
      </w:r>
      <w:r>
        <w:rPr>
          <w:spacing w:val="-8"/>
          <w:u w:val="single"/>
        </w:rPr>
        <w:t>）</w:t>
      </w:r>
      <w:r>
        <w:t>招标货物及相关服务</w:t>
      </w:r>
      <w:r>
        <w:rPr>
          <w:spacing w:val="-5"/>
        </w:rPr>
        <w:t>，</w:t>
      </w:r>
      <w:r>
        <w:t>并保证所提交的所有文件和说明是真实和准确的。</w:t>
      </w:r>
    </w:p>
    <w:p>
      <w:pPr>
        <w:pStyle w:val="10"/>
        <w:tabs>
          <w:tab w:val="left" w:pos="8376"/>
        </w:tabs>
        <w:spacing w:before="3"/>
        <w:ind w:left="1777"/>
        <w:jc w:val="both"/>
      </w:pPr>
      <w:r>
        <w:t>投标人（盖章）：</w:t>
      </w:r>
      <w:r>
        <w:rPr>
          <w:spacing w:val="119"/>
          <w:u w:val="single"/>
        </w:rPr>
        <w:t xml:space="preserve"> </w:t>
      </w:r>
      <w:r>
        <w:rPr>
          <w:u w:val="single"/>
        </w:rPr>
        <w:t>投标人名称</w:t>
      </w:r>
      <w:r>
        <w:rPr>
          <w:u w:val="single"/>
        </w:rPr>
        <w:tab/>
      </w:r>
    </w:p>
    <w:p>
      <w:pPr>
        <w:pStyle w:val="10"/>
        <w:spacing w:before="9"/>
        <w:ind w:left="0"/>
        <w:rPr>
          <w:sz w:val="16"/>
        </w:rPr>
      </w:pPr>
    </w:p>
    <w:p>
      <w:pPr>
        <w:pStyle w:val="10"/>
        <w:spacing w:before="66"/>
        <w:ind w:left="1777"/>
      </w:pPr>
      <w:r>
        <w:t>授权签署本资格文件人（签字）：</w:t>
      </w:r>
      <w:r>
        <w:rPr>
          <w:u w:val="single"/>
        </w:rPr>
        <w:t>被授权人姓名</w:t>
      </w:r>
    </w:p>
    <w:p>
      <w:pPr>
        <w:pStyle w:val="10"/>
        <w:spacing w:before="9"/>
        <w:ind w:left="0"/>
        <w:rPr>
          <w:sz w:val="16"/>
        </w:rPr>
      </w:pPr>
    </w:p>
    <w:p>
      <w:pPr>
        <w:pStyle w:val="10"/>
        <w:spacing w:before="67"/>
        <w:ind w:left="1777"/>
      </w:pPr>
      <w:r>
        <w:t>签字人姓名、职务：</w:t>
      </w:r>
      <w:r>
        <w:rPr>
          <w:u w:val="single"/>
        </w:rPr>
        <w:t>被授权人姓名、职务</w:t>
      </w:r>
    </w:p>
    <w:p>
      <w:pPr>
        <w:pStyle w:val="10"/>
        <w:spacing w:before="9"/>
        <w:ind w:left="0"/>
        <w:rPr>
          <w:sz w:val="16"/>
        </w:rPr>
      </w:pPr>
    </w:p>
    <w:p>
      <w:pPr>
        <w:pStyle w:val="10"/>
        <w:tabs>
          <w:tab w:val="left" w:pos="6479"/>
        </w:tabs>
        <w:spacing w:before="66"/>
        <w:ind w:left="0" w:right="469"/>
        <w:jc w:val="center"/>
      </w:pPr>
      <w:r>
        <w:t>地址：</w:t>
      </w:r>
      <w:r>
        <w:rPr>
          <w:u w:val="single"/>
        </w:rPr>
        <w:t>投标人地址</w:t>
      </w:r>
      <w:r>
        <w:rPr>
          <w:u w:val="single"/>
        </w:rPr>
        <w:tab/>
      </w:r>
    </w:p>
    <w:p>
      <w:pPr>
        <w:pStyle w:val="10"/>
        <w:spacing w:before="2"/>
        <w:ind w:left="0"/>
        <w:rPr>
          <w:sz w:val="16"/>
        </w:rPr>
      </w:pPr>
    </w:p>
    <w:p>
      <w:pPr>
        <w:pStyle w:val="10"/>
        <w:tabs>
          <w:tab w:val="left" w:pos="1979"/>
          <w:tab w:val="left" w:pos="4379"/>
          <w:tab w:val="left" w:pos="4679"/>
          <w:tab w:val="left" w:pos="6539"/>
        </w:tabs>
        <w:spacing w:before="74"/>
        <w:ind w:left="0" w:right="409"/>
        <w:jc w:val="center"/>
        <w:rPr>
          <w:rFonts w:ascii="Times New Roman" w:eastAsia="Times New Roman"/>
        </w:rPr>
      </w:pPr>
      <w:r>
        <w:t>传真：</w:t>
      </w:r>
      <w:r>
        <w:rPr>
          <w:u w:val="single"/>
        </w:rPr>
        <w:t xml:space="preserve"> </w:t>
      </w:r>
      <w:r>
        <w:rPr>
          <w:u w:val="single"/>
        </w:rPr>
        <w:tab/>
      </w:r>
      <w:r>
        <w:t>电话：</w:t>
      </w:r>
      <w:r>
        <w:rPr>
          <w:u w:val="single"/>
        </w:rPr>
        <w:t xml:space="preserve"> </w:t>
      </w:r>
      <w:r>
        <w:rPr>
          <w:u w:val="single"/>
        </w:rPr>
        <w:tab/>
      </w:r>
      <w:r>
        <w:tab/>
      </w:r>
      <w:r>
        <w:rPr>
          <w:spacing w:val="-1"/>
        </w:rPr>
        <w:t>邮</w:t>
      </w:r>
      <w:r>
        <w:t>编：</w:t>
      </w:r>
      <w:r>
        <w:rPr>
          <w:rFonts w:ascii="Times New Roman" w:eastAsia="Times New Roman"/>
          <w:u w:val="single"/>
        </w:rPr>
        <w:t xml:space="preserve"> </w:t>
      </w:r>
      <w:r>
        <w:rPr>
          <w:rFonts w:ascii="Times New Roman" w:eastAsia="Times New Roman"/>
          <w:u w:val="single"/>
        </w:rPr>
        <w:tab/>
      </w:r>
    </w:p>
    <w:p>
      <w:pPr>
        <w:pStyle w:val="10"/>
        <w:spacing w:before="0"/>
        <w:ind w:left="0"/>
        <w:rPr>
          <w:rFonts w:ascii="Times New Roman"/>
          <w:sz w:val="20"/>
        </w:rPr>
      </w:pPr>
    </w:p>
    <w:p>
      <w:pPr>
        <w:pStyle w:val="10"/>
        <w:spacing w:before="0"/>
        <w:ind w:left="0"/>
        <w:rPr>
          <w:rFonts w:ascii="Times New Roman"/>
          <w:sz w:val="20"/>
        </w:rPr>
      </w:pPr>
    </w:p>
    <w:p>
      <w:pPr>
        <w:pStyle w:val="10"/>
        <w:ind w:left="0"/>
        <w:rPr>
          <w:rFonts w:ascii="Times New Roman"/>
          <w:sz w:val="29"/>
        </w:rPr>
      </w:pPr>
    </w:p>
    <w:p>
      <w:pPr>
        <w:tabs>
          <w:tab w:val="left" w:pos="7232"/>
        </w:tabs>
        <w:spacing w:before="74"/>
        <w:ind w:left="5548" w:right="0" w:firstLine="0"/>
        <w:jc w:val="left"/>
        <w:rPr>
          <w:sz w:val="26"/>
        </w:rPr>
      </w:pPr>
      <w:r>
        <w:rPr>
          <w:b/>
          <w:sz w:val="24"/>
        </w:rPr>
        <w:t>声明日期：</w:t>
      </w:r>
      <w:r>
        <w:rPr>
          <w:b/>
          <w:sz w:val="24"/>
          <w:u w:val="single"/>
        </w:rPr>
        <w:t xml:space="preserve"> </w:t>
      </w:r>
      <w:r>
        <w:rPr>
          <w:b/>
          <w:sz w:val="24"/>
          <w:u w:val="single"/>
        </w:rPr>
        <w:tab/>
      </w:r>
      <w:r>
        <w:rPr>
          <w:sz w:val="24"/>
        </w:rPr>
        <w:t>年</w:t>
      </w:r>
      <w:r>
        <w:rPr>
          <w:sz w:val="24"/>
          <w:u w:val="single"/>
        </w:rPr>
        <w:t xml:space="preserve"> </w:t>
      </w:r>
      <w:r>
        <w:rPr>
          <w:sz w:val="24"/>
        </w:rPr>
        <w:t>月</w:t>
      </w:r>
      <w:r>
        <w:rPr>
          <w:spacing w:val="119"/>
          <w:sz w:val="24"/>
          <w:u w:val="single"/>
        </w:rPr>
        <w:t xml:space="preserve"> </w:t>
      </w:r>
      <w:r>
        <w:rPr>
          <w:sz w:val="24"/>
        </w:rPr>
        <w:t>日</w:t>
      </w:r>
    </w:p>
    <w:p>
      <w:pPr>
        <w:pStyle w:val="10"/>
        <w:spacing w:before="0"/>
        <w:ind w:left="0"/>
        <w:rPr>
          <w:sz w:val="23"/>
        </w:rPr>
        <w:sectPr>
          <w:pgSz w:w="11910" w:h="16840"/>
          <w:pgMar w:top="1420" w:right="240" w:bottom="1180" w:left="1160" w:header="878" w:footer="993" w:gutter="0"/>
          <w:pgNumType w:fmt="decimal"/>
          <w:cols w:space="720" w:num="1"/>
        </w:sectPr>
      </w:pPr>
    </w:p>
    <w:p>
      <w:pPr>
        <w:pStyle w:val="10"/>
        <w:spacing w:before="0"/>
        <w:ind w:left="0"/>
        <w:rPr>
          <w:sz w:val="23"/>
        </w:rPr>
      </w:pPr>
    </w:p>
    <w:p>
      <w:pPr>
        <w:pStyle w:val="5"/>
      </w:pPr>
      <w:r>
        <w:t>（五）制造商出具的授权函</w:t>
      </w:r>
    </w:p>
    <w:p>
      <w:pPr>
        <w:spacing w:before="201"/>
        <w:ind w:left="0" w:right="610" w:firstLine="0"/>
        <w:jc w:val="center"/>
        <w:rPr>
          <w:b/>
          <w:sz w:val="30"/>
        </w:rPr>
      </w:pPr>
      <w:r>
        <w:rPr>
          <w:b/>
          <w:sz w:val="30"/>
        </w:rPr>
        <w:t>制造商出具的授权函</w:t>
      </w:r>
    </w:p>
    <w:p>
      <w:pPr>
        <w:spacing w:before="90"/>
        <w:ind w:left="637" w:right="0" w:firstLine="0"/>
        <w:jc w:val="left"/>
        <w:rPr>
          <w:b/>
          <w:sz w:val="24"/>
        </w:rPr>
      </w:pPr>
      <w:r>
        <w:rPr>
          <w:b/>
          <w:sz w:val="24"/>
        </w:rPr>
        <w:t>致：</w:t>
      </w:r>
      <w:r>
        <w:rPr>
          <w:rFonts w:hint="eastAsia"/>
          <w:b/>
          <w:sz w:val="24"/>
        </w:rPr>
        <w:t>和硕县应急案管理局</w:t>
      </w:r>
      <w:r>
        <w:rPr>
          <w:b/>
          <w:sz w:val="24"/>
        </w:rPr>
        <w:t>：</w:t>
      </w:r>
    </w:p>
    <w:p>
      <w:pPr>
        <w:pStyle w:val="10"/>
        <w:tabs>
          <w:tab w:val="left" w:pos="3787"/>
          <w:tab w:val="left" w:pos="8285"/>
        </w:tabs>
        <w:spacing w:before="160" w:line="364" w:lineRule="auto"/>
        <w:ind w:right="1248" w:firstLine="480"/>
      </w:pPr>
      <w:r>
        <w:t>我们</w:t>
      </w:r>
      <w:r>
        <w:rPr>
          <w:u w:val="single"/>
        </w:rPr>
        <w:t xml:space="preserve"> </w:t>
      </w:r>
      <w:r>
        <w:rPr>
          <w:spacing w:val="9"/>
          <w:u w:val="single"/>
        </w:rPr>
        <w:t xml:space="preserve"> </w:t>
      </w:r>
      <w:r>
        <w:rPr>
          <w:u w:val="single"/>
        </w:rPr>
        <w:t>（</w:t>
      </w:r>
      <w:r>
        <w:rPr>
          <w:spacing w:val="4"/>
          <w:u w:val="single"/>
        </w:rPr>
        <w:t>制</w:t>
      </w:r>
      <w:r>
        <w:rPr>
          <w:u w:val="single"/>
        </w:rPr>
        <w:t>造商名</w:t>
      </w:r>
      <w:r>
        <w:rPr>
          <w:spacing w:val="4"/>
          <w:u w:val="single"/>
        </w:rPr>
        <w:t>称</w:t>
      </w:r>
      <w:r>
        <w:rPr>
          <w:u w:val="single"/>
        </w:rPr>
        <w:t>）</w:t>
      </w:r>
      <w:r>
        <w:rPr>
          <w:u w:val="single"/>
        </w:rPr>
        <w:tab/>
      </w:r>
      <w:r>
        <w:t>兹</w:t>
      </w:r>
      <w:r>
        <w:rPr>
          <w:spacing w:val="4"/>
        </w:rPr>
        <w:t>指</w:t>
      </w:r>
      <w:r>
        <w:t>派主要</w:t>
      </w:r>
      <w:r>
        <w:rPr>
          <w:spacing w:val="4"/>
        </w:rPr>
        <w:t>营</w:t>
      </w:r>
      <w:r>
        <w:t>业地点</w:t>
      </w:r>
      <w:r>
        <w:rPr>
          <w:spacing w:val="4"/>
        </w:rPr>
        <w:t>设</w:t>
      </w:r>
      <w:r>
        <w:t>在</w:t>
      </w:r>
      <w:r>
        <w:rPr>
          <w:u w:val="single"/>
        </w:rPr>
        <w:t xml:space="preserve"> </w:t>
      </w:r>
      <w:r>
        <w:rPr>
          <w:spacing w:val="15"/>
          <w:u w:val="single"/>
        </w:rPr>
        <w:t xml:space="preserve"> </w:t>
      </w:r>
      <w:r>
        <w:rPr>
          <w:u w:val="single"/>
        </w:rPr>
        <w:t>投</w:t>
      </w:r>
      <w:r>
        <w:rPr>
          <w:spacing w:val="4"/>
          <w:u w:val="single"/>
        </w:rPr>
        <w:t>标</w:t>
      </w:r>
      <w:r>
        <w:rPr>
          <w:u w:val="single"/>
        </w:rPr>
        <w:t>人地址</w:t>
      </w:r>
      <w:r>
        <w:rPr>
          <w:u w:val="single"/>
        </w:rPr>
        <w:tab/>
      </w:r>
      <w:r>
        <w:t>的</w:t>
      </w:r>
      <w:r>
        <w:rPr>
          <w:u w:val="single"/>
        </w:rPr>
        <w:t>投</w:t>
      </w:r>
      <w:r>
        <w:rPr>
          <w:spacing w:val="4"/>
          <w:u w:val="single"/>
        </w:rPr>
        <w:t>标</w:t>
      </w:r>
      <w:r>
        <w:rPr>
          <w:spacing w:val="-15"/>
          <w:u w:val="single"/>
        </w:rPr>
        <w:t>人</w:t>
      </w:r>
      <w:r>
        <w:rPr>
          <w:spacing w:val="-220"/>
          <w:u w:val="single"/>
        </w:rPr>
        <w:t>名</w:t>
      </w:r>
      <w:r>
        <w:rPr>
          <w:u w:val="single"/>
        </w:rPr>
        <w:t>称</w:t>
      </w:r>
      <w:r>
        <w:rPr>
          <w:spacing w:val="-1"/>
          <w:u w:val="single"/>
        </w:rPr>
        <w:t xml:space="preserve"> </w:t>
      </w:r>
      <w:r>
        <w:t>作为我方真正和合法的唯一代理人进行下列有效的活动：</w:t>
      </w:r>
    </w:p>
    <w:p>
      <w:pPr>
        <w:pStyle w:val="2"/>
        <w:numPr>
          <w:ilvl w:val="0"/>
          <w:numId w:val="40"/>
        </w:numPr>
        <w:tabs>
          <w:tab w:val="left" w:pos="1480"/>
          <w:tab w:val="left" w:pos="2317"/>
          <w:tab w:val="left" w:pos="4236"/>
          <w:tab w:val="left" w:pos="6831"/>
        </w:tabs>
        <w:spacing w:before="2" w:after="0" w:line="364" w:lineRule="auto"/>
        <w:ind w:left="637" w:right="1248" w:firstLine="480"/>
        <w:jc w:val="left"/>
        <w:rPr>
          <w:sz w:val="24"/>
        </w:rPr>
      </w:pPr>
      <w:r>
        <w:rPr>
          <w:sz w:val="24"/>
        </w:rPr>
        <w:t>代表我</w:t>
      </w:r>
      <w:r>
        <w:rPr>
          <w:spacing w:val="4"/>
          <w:sz w:val="24"/>
        </w:rPr>
        <w:t>方</w:t>
      </w:r>
      <w:r>
        <w:rPr>
          <w:sz w:val="24"/>
        </w:rPr>
        <w:t>办理贵方招</w:t>
      </w:r>
      <w:r>
        <w:rPr>
          <w:spacing w:val="4"/>
          <w:sz w:val="24"/>
        </w:rPr>
        <w:t>标</w:t>
      </w:r>
      <w:r>
        <w:rPr>
          <w:sz w:val="24"/>
        </w:rPr>
        <w:t>文件编号</w:t>
      </w:r>
      <w:r>
        <w:rPr>
          <w:sz w:val="24"/>
          <w:u w:val="single"/>
        </w:rPr>
        <w:t xml:space="preserve"> </w:t>
      </w:r>
      <w:r>
        <w:rPr>
          <w:spacing w:val="35"/>
          <w:sz w:val="24"/>
          <w:u w:val="single"/>
        </w:rPr>
        <w:t xml:space="preserve"> </w:t>
      </w:r>
      <w:r>
        <w:rPr>
          <w:sz w:val="24"/>
          <w:u w:val="single"/>
        </w:rPr>
        <w:t>文件编号</w:t>
      </w:r>
      <w:r>
        <w:rPr>
          <w:sz w:val="24"/>
          <w:u w:val="single"/>
        </w:rPr>
        <w:tab/>
      </w:r>
      <w:r>
        <w:rPr>
          <w:sz w:val="24"/>
        </w:rPr>
        <w:t>号投标</w:t>
      </w:r>
      <w:r>
        <w:rPr>
          <w:spacing w:val="4"/>
          <w:sz w:val="24"/>
        </w:rPr>
        <w:t>要</w:t>
      </w:r>
      <w:r>
        <w:rPr>
          <w:sz w:val="24"/>
        </w:rPr>
        <w:t>求提供的由</w:t>
      </w:r>
      <w:r>
        <w:rPr>
          <w:spacing w:val="-13"/>
          <w:sz w:val="24"/>
        </w:rPr>
        <w:t>我</w:t>
      </w:r>
      <w:r>
        <w:rPr>
          <w:sz w:val="24"/>
        </w:rPr>
        <w:t>方制造设备</w:t>
      </w:r>
      <w:r>
        <w:rPr>
          <w:sz w:val="24"/>
          <w:u w:val="single"/>
        </w:rPr>
        <w:t xml:space="preserve"> </w:t>
      </w:r>
      <w:r>
        <w:rPr>
          <w:sz w:val="24"/>
          <w:u w:val="single"/>
        </w:rPr>
        <w:tab/>
      </w:r>
      <w:r>
        <w:rPr>
          <w:sz w:val="24"/>
          <w:u w:val="single"/>
        </w:rPr>
        <w:t>（货物名称）</w:t>
      </w:r>
      <w:r>
        <w:rPr>
          <w:sz w:val="24"/>
          <w:u w:val="single"/>
        </w:rPr>
        <w:tab/>
      </w:r>
      <w:r>
        <w:rPr>
          <w:sz w:val="24"/>
        </w:rPr>
        <w:t>的有关事宜，并对我方具有约束力；</w:t>
      </w:r>
    </w:p>
    <w:p>
      <w:pPr>
        <w:pStyle w:val="2"/>
        <w:numPr>
          <w:ilvl w:val="0"/>
          <w:numId w:val="40"/>
        </w:numPr>
        <w:tabs>
          <w:tab w:val="left" w:pos="1480"/>
        </w:tabs>
        <w:spacing w:before="1" w:after="0" w:line="364" w:lineRule="auto"/>
        <w:ind w:left="637" w:right="1248" w:firstLine="480"/>
        <w:jc w:val="left"/>
        <w:rPr>
          <w:sz w:val="24"/>
        </w:rPr>
      </w:pPr>
      <w:r>
        <w:rPr>
          <w:sz w:val="24"/>
        </w:rPr>
        <w:t>作为制造商，我方保证以投标合作者来约束自己，并对该投标共同和分别承担招标文件中所规定的义务；</w:t>
      </w:r>
    </w:p>
    <w:p>
      <w:pPr>
        <w:pStyle w:val="2"/>
        <w:numPr>
          <w:ilvl w:val="0"/>
          <w:numId w:val="40"/>
        </w:numPr>
        <w:tabs>
          <w:tab w:val="left" w:pos="1483"/>
        </w:tabs>
        <w:spacing w:before="1" w:after="0" w:line="364" w:lineRule="auto"/>
        <w:ind w:left="637" w:right="1245" w:firstLine="480"/>
        <w:jc w:val="both"/>
        <w:rPr>
          <w:sz w:val="24"/>
        </w:rPr>
      </w:pPr>
      <w:r>
        <w:rPr>
          <w:spacing w:val="5"/>
          <w:sz w:val="24"/>
        </w:rPr>
        <w:t>我方兹授予</w:t>
      </w:r>
      <w:r>
        <w:rPr>
          <w:spacing w:val="15"/>
          <w:sz w:val="24"/>
          <w:u w:val="single"/>
        </w:rPr>
        <w:t xml:space="preserve"> 投标人名称   </w:t>
      </w:r>
      <w:r>
        <w:rPr>
          <w:spacing w:val="3"/>
          <w:sz w:val="24"/>
        </w:rPr>
        <w:t xml:space="preserve"> 全权办理和履行上述我方为完成上述各点</w:t>
      </w:r>
      <w:r>
        <w:rPr>
          <w:sz w:val="24"/>
        </w:rPr>
        <w:t>所必须的事宜。兹确认</w:t>
      </w:r>
      <w:r>
        <w:rPr>
          <w:sz w:val="24"/>
          <w:u w:val="single"/>
        </w:rPr>
        <w:t xml:space="preserve">  投标人名称</w:t>
      </w:r>
      <w:r>
        <w:rPr>
          <w:sz w:val="24"/>
        </w:rPr>
        <w:t xml:space="preserve"> 和其正式授权代表</w:t>
      </w:r>
      <w:r>
        <w:rPr>
          <w:spacing w:val="2"/>
          <w:sz w:val="24"/>
          <w:u w:val="single"/>
        </w:rPr>
        <w:t xml:space="preserve">  姓名  </w:t>
      </w:r>
      <w:r>
        <w:rPr>
          <w:spacing w:val="4"/>
          <w:sz w:val="24"/>
        </w:rPr>
        <w:t xml:space="preserve"> ，依此合法地办理一切事宜。</w:t>
      </w:r>
    </w:p>
    <w:p>
      <w:pPr>
        <w:pStyle w:val="10"/>
        <w:spacing w:before="2" w:line="364" w:lineRule="auto"/>
        <w:ind w:right="1249" w:firstLine="480"/>
        <w:jc w:val="both"/>
      </w:pPr>
      <w:r>
        <w:t>我方于</w:t>
      </w:r>
      <w:r>
        <w:rPr>
          <w:u w:val="single"/>
        </w:rPr>
        <w:t xml:space="preserve">    </w:t>
      </w:r>
      <w:r>
        <w:t>年</w:t>
      </w:r>
      <w:r>
        <w:rPr>
          <w:u w:val="single"/>
        </w:rPr>
        <w:t xml:space="preserve">    </w:t>
      </w:r>
      <w:r>
        <w:t>月</w:t>
      </w:r>
      <w:r>
        <w:rPr>
          <w:u w:val="single"/>
        </w:rPr>
        <w:t xml:space="preserve">    </w:t>
      </w:r>
      <w:r>
        <w:t>日签署本文件，</w:t>
      </w:r>
      <w:r>
        <w:rPr>
          <w:u w:val="single"/>
        </w:rPr>
        <w:t xml:space="preserve">  投标人名称 </w:t>
      </w:r>
      <w:r>
        <w:t>于</w:t>
      </w:r>
      <w:r>
        <w:rPr>
          <w:u w:val="single"/>
        </w:rPr>
        <w:t xml:space="preserve">     </w:t>
      </w:r>
      <w:r>
        <w:t>年     月日接受此件，以此为证。</w:t>
      </w:r>
    </w:p>
    <w:p>
      <w:pPr>
        <w:pStyle w:val="10"/>
        <w:spacing w:before="0"/>
        <w:ind w:left="0"/>
      </w:pPr>
    </w:p>
    <w:p>
      <w:pPr>
        <w:pStyle w:val="10"/>
        <w:spacing w:before="12"/>
        <w:ind w:left="0"/>
        <w:rPr>
          <w:sz w:val="21"/>
        </w:rPr>
      </w:pPr>
    </w:p>
    <w:p>
      <w:pPr>
        <w:pStyle w:val="10"/>
        <w:tabs>
          <w:tab w:val="left" w:pos="4057"/>
        </w:tabs>
        <w:spacing w:before="0"/>
        <w:ind w:left="1057"/>
      </w:pPr>
      <w:r>
        <w:t>制造商名称（公章）：</w:t>
      </w:r>
      <w:r>
        <w:rPr>
          <w:u w:val="single"/>
        </w:rPr>
        <w:t xml:space="preserve"> </w:t>
      </w:r>
      <w:r>
        <w:rPr>
          <w:u w:val="single"/>
        </w:rPr>
        <w:tab/>
      </w:r>
      <w:r>
        <w:rPr>
          <w:u w:val="single"/>
        </w:rPr>
        <w:t>企业全称</w:t>
      </w:r>
    </w:p>
    <w:p>
      <w:pPr>
        <w:pStyle w:val="10"/>
        <w:spacing w:before="9"/>
        <w:ind w:left="0"/>
        <w:rPr>
          <w:sz w:val="16"/>
        </w:rPr>
      </w:pPr>
    </w:p>
    <w:p>
      <w:pPr>
        <w:pStyle w:val="10"/>
        <w:spacing w:before="67"/>
        <w:ind w:left="1057"/>
      </w:pPr>
      <w:r>
        <w:t>制造商法人或其授权代表（签字）：</w:t>
      </w:r>
    </w:p>
    <w:p>
      <w:pPr>
        <w:pStyle w:val="10"/>
        <w:spacing w:before="11"/>
        <w:ind w:left="0"/>
        <w:rPr>
          <w:sz w:val="21"/>
        </w:rPr>
      </w:pPr>
    </w:p>
    <w:p>
      <w:pPr>
        <w:pStyle w:val="10"/>
        <w:tabs>
          <w:tab w:val="left" w:pos="8496"/>
        </w:tabs>
        <w:spacing w:before="0"/>
        <w:ind w:left="1057"/>
      </w:pPr>
      <w:r>
        <w:t>授权投标人（公章）：</w:t>
      </w:r>
      <w:r>
        <w:rPr>
          <w:spacing w:val="119"/>
          <w:u w:val="single"/>
        </w:rPr>
        <w:t xml:space="preserve"> </w:t>
      </w:r>
      <w:r>
        <w:rPr>
          <w:u w:val="single"/>
        </w:rPr>
        <w:t>投标人全称</w:t>
      </w:r>
      <w:r>
        <w:rPr>
          <w:u w:val="single"/>
        </w:rPr>
        <w:tab/>
      </w:r>
    </w:p>
    <w:p>
      <w:pPr>
        <w:pStyle w:val="10"/>
        <w:spacing w:before="9"/>
        <w:ind w:left="0"/>
        <w:rPr>
          <w:sz w:val="16"/>
        </w:rPr>
      </w:pPr>
    </w:p>
    <w:p>
      <w:pPr>
        <w:pStyle w:val="10"/>
        <w:spacing w:before="67"/>
        <w:ind w:left="1057"/>
      </w:pPr>
      <w:r>
        <w:t>授权投标人法人代表或授权代表人（签字）：</w:t>
      </w:r>
      <w:r>
        <w:rPr>
          <w:u w:val="single"/>
        </w:rPr>
        <w:t>被授权人姓名</w:t>
      </w:r>
    </w:p>
    <w:p>
      <w:pPr>
        <w:pStyle w:val="10"/>
        <w:ind w:left="0"/>
        <w:rPr>
          <w:sz w:val="16"/>
        </w:rPr>
      </w:pPr>
    </w:p>
    <w:p>
      <w:pPr>
        <w:pStyle w:val="10"/>
        <w:tabs>
          <w:tab w:val="left" w:pos="8556"/>
        </w:tabs>
        <w:spacing w:before="74"/>
        <w:ind w:left="1057"/>
        <w:rPr>
          <w:rFonts w:ascii="Times New Roman" w:eastAsia="Times New Roman"/>
        </w:rPr>
      </w:pPr>
      <w:r>
        <w:rPr>
          <w:spacing w:val="-1"/>
        </w:rPr>
        <w:t>制</w:t>
      </w:r>
      <w:r>
        <w:t>造商地址：</w:t>
      </w:r>
      <w:r>
        <w:rPr>
          <w:rFonts w:ascii="Times New Roman" w:eastAsia="Times New Roman"/>
          <w:u w:val="single"/>
        </w:rPr>
        <w:t xml:space="preserve"> </w:t>
      </w:r>
      <w:r>
        <w:rPr>
          <w:rFonts w:ascii="Times New Roman" w:eastAsia="Times New Roman"/>
          <w:u w:val="single"/>
        </w:rPr>
        <w:tab/>
      </w:r>
    </w:p>
    <w:p>
      <w:pPr>
        <w:pStyle w:val="10"/>
        <w:spacing w:before="7"/>
        <w:ind w:left="0"/>
        <w:rPr>
          <w:rFonts w:ascii="Times New Roman"/>
          <w:sz w:val="18"/>
        </w:rPr>
      </w:pPr>
    </w:p>
    <w:p>
      <w:pPr>
        <w:pStyle w:val="10"/>
        <w:tabs>
          <w:tab w:val="left" w:pos="3816"/>
          <w:tab w:val="left" w:pos="6216"/>
          <w:tab w:val="left" w:pos="6517"/>
        </w:tabs>
        <w:spacing w:before="67" w:line="364" w:lineRule="auto"/>
        <w:ind w:left="1117" w:right="3266"/>
      </w:pPr>
      <w:r>
        <w:t>制造商传真：</w:t>
      </w:r>
      <w:r>
        <w:rPr>
          <w:u w:val="single"/>
        </w:rPr>
        <w:t xml:space="preserve"> </w:t>
      </w:r>
      <w:r>
        <w:rPr>
          <w:u w:val="single"/>
        </w:rPr>
        <w:tab/>
      </w:r>
      <w:r>
        <w:t>电话：</w:t>
      </w:r>
      <w:r>
        <w:rPr>
          <w:u w:val="single"/>
        </w:rPr>
        <w:t xml:space="preserve"> </w:t>
      </w:r>
      <w:r>
        <w:rPr>
          <w:u w:val="single"/>
        </w:rPr>
        <w:tab/>
      </w:r>
      <w:r>
        <w:tab/>
      </w:r>
      <w:r>
        <w:t>邮编</w:t>
      </w:r>
      <w:r>
        <w:rPr>
          <w:spacing w:val="-17"/>
        </w:rPr>
        <w:t xml:space="preserve">： </w:t>
      </w:r>
      <w:r>
        <w:t>授权投标人地址：</w:t>
      </w:r>
    </w:p>
    <w:p>
      <w:pPr>
        <w:pStyle w:val="10"/>
        <w:tabs>
          <w:tab w:val="left" w:pos="4296"/>
          <w:tab w:val="left" w:pos="6696"/>
        </w:tabs>
        <w:ind w:left="1117"/>
      </w:pPr>
      <w:r>
        <w:t>授权投标人传真：</w:t>
      </w:r>
      <w:r>
        <w:rPr>
          <w:u w:val="single"/>
        </w:rPr>
        <w:t xml:space="preserve"> </w:t>
      </w:r>
      <w:r>
        <w:rPr>
          <w:u w:val="single"/>
        </w:rPr>
        <w:tab/>
      </w:r>
      <w:r>
        <w:t>电话：</w:t>
      </w:r>
      <w:r>
        <w:rPr>
          <w:u w:val="single"/>
        </w:rPr>
        <w:t xml:space="preserve"> </w:t>
      </w:r>
      <w:r>
        <w:rPr>
          <w:u w:val="single"/>
        </w:rPr>
        <w:tab/>
      </w:r>
      <w:r>
        <w:t>邮编：</w:t>
      </w:r>
    </w:p>
    <w:p>
      <w:pPr>
        <w:pStyle w:val="5"/>
        <w:spacing w:before="161"/>
        <w:ind w:left="1117"/>
      </w:pPr>
      <w:r>
        <w:t>注：若制造商作为投标主体直接参与投标，可以不提供此项证明文件。</w:t>
      </w:r>
    </w:p>
    <w:p>
      <w:pPr>
        <w:pStyle w:val="5"/>
        <w:spacing w:before="161"/>
        <w:ind w:left="1117"/>
        <w:rPr>
          <w:b/>
          <w:sz w:val="24"/>
        </w:rPr>
      </w:pPr>
    </w:p>
    <w:p>
      <w:pPr>
        <w:pStyle w:val="5"/>
        <w:spacing w:before="161"/>
        <w:ind w:left="1117"/>
        <w:rPr>
          <w:b/>
          <w:sz w:val="24"/>
        </w:rPr>
      </w:pPr>
    </w:p>
    <w:p>
      <w:pPr>
        <w:pStyle w:val="5"/>
        <w:spacing w:before="161"/>
        <w:ind w:left="1117"/>
        <w:rPr>
          <w:b/>
          <w:sz w:val="24"/>
        </w:rPr>
      </w:pPr>
    </w:p>
    <w:p>
      <w:pPr>
        <w:pStyle w:val="5"/>
        <w:spacing w:before="161"/>
        <w:ind w:left="1117"/>
        <w:rPr>
          <w:b/>
          <w:sz w:val="24"/>
        </w:rPr>
      </w:pPr>
    </w:p>
    <w:p>
      <w:pPr>
        <w:pStyle w:val="5"/>
        <w:spacing w:before="161"/>
        <w:ind w:left="1117"/>
        <w:rPr>
          <w:b/>
          <w:color w:val="auto"/>
          <w:sz w:val="24"/>
        </w:rPr>
      </w:pPr>
      <w:r>
        <w:rPr>
          <w:b/>
          <w:color w:val="auto"/>
          <w:sz w:val="24"/>
        </w:rPr>
        <w:t>（六）检测报告</w:t>
      </w:r>
    </w:p>
    <w:p>
      <w:pPr>
        <w:pStyle w:val="10"/>
        <w:spacing w:before="161" w:line="364" w:lineRule="auto"/>
        <w:ind w:right="1248" w:firstLine="480"/>
        <w:rPr>
          <w:color w:val="auto"/>
        </w:rPr>
      </w:pPr>
      <w:r>
        <w:rPr>
          <w:color w:val="auto"/>
        </w:rPr>
        <w:t>1、投标方提供由国家权威部门出具的产品质量鉴定证书或检测报告复印件（均须加盖生产企业法人公章）。</w:t>
      </w:r>
    </w:p>
    <w:p>
      <w:pPr>
        <w:pStyle w:val="10"/>
        <w:spacing w:line="364" w:lineRule="auto"/>
        <w:ind w:right="1248" w:firstLine="480"/>
        <w:rPr>
          <w:color w:val="auto"/>
        </w:rPr>
      </w:pPr>
      <w:r>
        <w:rPr>
          <w:color w:val="auto"/>
        </w:rPr>
        <w:t>2、投标方提供由国家权威部门出具的所投产品环保节能证书复印件（均须加盖生产企业法人公章）。</w:t>
      </w:r>
    </w:p>
    <w:p>
      <w:pPr>
        <w:pStyle w:val="5"/>
        <w:ind w:left="1117"/>
      </w:pPr>
      <w:r>
        <w:t>（七）有关投标产品的制造、验收标准</w:t>
      </w:r>
    </w:p>
    <w:p>
      <w:pPr>
        <w:spacing w:before="90"/>
        <w:ind w:left="1117" w:right="0" w:firstLine="0"/>
        <w:jc w:val="left"/>
        <w:rPr>
          <w:b/>
          <w:sz w:val="24"/>
        </w:rPr>
      </w:pPr>
      <w:r>
        <w:rPr>
          <w:b/>
          <w:sz w:val="24"/>
        </w:rPr>
        <w:t>（八）售后维修计划及备品、备件清单</w:t>
      </w:r>
    </w:p>
    <w:p>
      <w:pPr>
        <w:spacing w:before="160"/>
        <w:ind w:left="1117" w:right="0" w:firstLine="0"/>
        <w:jc w:val="left"/>
        <w:rPr>
          <w:b/>
          <w:sz w:val="24"/>
        </w:rPr>
      </w:pPr>
      <w:r>
        <w:rPr>
          <w:b/>
          <w:sz w:val="24"/>
        </w:rPr>
        <w:t>（九）产品规格报价明细表</w:t>
      </w:r>
    </w:p>
    <w:p>
      <w:pPr>
        <w:pStyle w:val="10"/>
        <w:spacing w:before="0"/>
        <w:ind w:left="0"/>
        <w:rPr>
          <w:b/>
        </w:rPr>
      </w:pPr>
    </w:p>
    <w:p>
      <w:pPr>
        <w:pStyle w:val="10"/>
        <w:ind w:left="0"/>
        <w:rPr>
          <w:b/>
          <w:sz w:val="25"/>
        </w:rPr>
      </w:pPr>
    </w:p>
    <w:p>
      <w:pPr>
        <w:spacing w:before="201"/>
        <w:ind w:left="0" w:right="610" w:firstLine="0"/>
        <w:jc w:val="center"/>
        <w:rPr>
          <w:b/>
          <w:sz w:val="30"/>
        </w:rPr>
      </w:pPr>
      <w:r>
        <w:rPr>
          <w:b/>
          <w:sz w:val="30"/>
        </w:rPr>
        <w:t>产品规格报价明细表</w:t>
      </w:r>
    </w:p>
    <w:p>
      <w:pPr>
        <w:tabs>
          <w:tab w:val="left" w:pos="5860"/>
          <w:tab w:val="left" w:pos="8378"/>
        </w:tabs>
        <w:spacing w:before="161"/>
        <w:ind w:left="0" w:right="610" w:firstLine="0"/>
        <w:jc w:val="center"/>
        <w:rPr>
          <w:b/>
          <w:sz w:val="24"/>
        </w:rPr>
      </w:pPr>
      <w:r>
        <w:rPr>
          <w:b/>
          <w:sz w:val="24"/>
        </w:rPr>
        <w:t>投标人名</w:t>
      </w:r>
      <w:r>
        <w:rPr>
          <w:b/>
          <w:spacing w:val="-15"/>
          <w:sz w:val="24"/>
        </w:rPr>
        <w:t>称</w:t>
      </w:r>
      <w:r>
        <w:rPr>
          <w:b/>
          <w:sz w:val="24"/>
        </w:rPr>
        <w:t>（公章</w:t>
      </w:r>
      <w:r>
        <w:rPr>
          <w:b/>
          <w:spacing w:val="-6"/>
          <w:sz w:val="24"/>
        </w:rPr>
        <w:t>）：</w:t>
      </w:r>
      <w:r>
        <w:rPr>
          <w:b/>
          <w:spacing w:val="-6"/>
          <w:sz w:val="24"/>
        </w:rPr>
        <w:tab/>
      </w:r>
      <w:r>
        <w:rPr>
          <w:b/>
          <w:sz w:val="24"/>
        </w:rPr>
        <w:t>招标编号/标段号：</w:t>
      </w:r>
      <w:r>
        <w:rPr>
          <w:b/>
          <w:sz w:val="24"/>
        </w:rPr>
        <w:tab/>
      </w:r>
      <w:r>
        <w:rPr>
          <w:b/>
          <w:sz w:val="24"/>
        </w:rPr>
        <w:t>包</w:t>
      </w:r>
    </w:p>
    <w:p>
      <w:pPr>
        <w:pStyle w:val="10"/>
        <w:spacing w:before="3"/>
        <w:ind w:left="0"/>
        <w:rPr>
          <w:b/>
          <w:sz w:val="6"/>
        </w:rPr>
      </w:pPr>
    </w:p>
    <w:tbl>
      <w:tblPr>
        <w:tblStyle w:val="18"/>
        <w:tblW w:w="0" w:type="auto"/>
        <w:tblInd w:w="5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1413"/>
        <w:gridCol w:w="2340"/>
        <w:gridCol w:w="900"/>
        <w:gridCol w:w="872"/>
        <w:gridCol w:w="1068"/>
        <w:gridCol w:w="12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675" w:type="dxa"/>
          </w:tcPr>
          <w:p>
            <w:pPr>
              <w:pStyle w:val="24"/>
              <w:rPr>
                <w:b/>
                <w:sz w:val="26"/>
              </w:rPr>
            </w:pPr>
          </w:p>
          <w:p>
            <w:pPr>
              <w:pStyle w:val="24"/>
              <w:ind w:left="106" w:right="96"/>
              <w:jc w:val="center"/>
              <w:rPr>
                <w:b/>
                <w:sz w:val="21"/>
              </w:rPr>
            </w:pPr>
            <w:r>
              <w:rPr>
                <w:b/>
                <w:sz w:val="21"/>
              </w:rPr>
              <w:t>序号</w:t>
            </w:r>
          </w:p>
        </w:tc>
        <w:tc>
          <w:tcPr>
            <w:tcW w:w="1413" w:type="dxa"/>
          </w:tcPr>
          <w:p>
            <w:pPr>
              <w:pStyle w:val="24"/>
              <w:rPr>
                <w:b/>
                <w:sz w:val="26"/>
              </w:rPr>
            </w:pPr>
          </w:p>
          <w:p>
            <w:pPr>
              <w:pStyle w:val="24"/>
              <w:ind w:left="285"/>
              <w:rPr>
                <w:b/>
                <w:sz w:val="21"/>
              </w:rPr>
            </w:pPr>
            <w:r>
              <w:rPr>
                <w:b/>
                <w:sz w:val="21"/>
              </w:rPr>
              <w:t>产品名称</w:t>
            </w:r>
          </w:p>
        </w:tc>
        <w:tc>
          <w:tcPr>
            <w:tcW w:w="2340" w:type="dxa"/>
          </w:tcPr>
          <w:p>
            <w:pPr>
              <w:pStyle w:val="24"/>
              <w:spacing w:before="98"/>
              <w:ind w:left="99" w:right="81"/>
              <w:jc w:val="center"/>
              <w:rPr>
                <w:b/>
                <w:sz w:val="21"/>
              </w:rPr>
            </w:pPr>
            <w:r>
              <w:rPr>
                <w:b/>
                <w:sz w:val="21"/>
              </w:rPr>
              <w:t>规格型号及主要技术参</w:t>
            </w:r>
          </w:p>
          <w:p>
            <w:pPr>
              <w:pStyle w:val="24"/>
              <w:spacing w:before="6"/>
              <w:rPr>
                <w:b/>
                <w:sz w:val="15"/>
              </w:rPr>
            </w:pPr>
          </w:p>
          <w:p>
            <w:pPr>
              <w:pStyle w:val="24"/>
              <w:ind w:left="6"/>
              <w:jc w:val="center"/>
              <w:rPr>
                <w:b/>
                <w:sz w:val="21"/>
              </w:rPr>
            </w:pPr>
            <w:r>
              <w:rPr>
                <w:b/>
                <w:w w:val="99"/>
                <w:sz w:val="21"/>
              </w:rPr>
              <w:t>数</w:t>
            </w:r>
          </w:p>
        </w:tc>
        <w:tc>
          <w:tcPr>
            <w:tcW w:w="900" w:type="dxa"/>
          </w:tcPr>
          <w:p>
            <w:pPr>
              <w:pStyle w:val="24"/>
              <w:rPr>
                <w:b/>
                <w:sz w:val="26"/>
              </w:rPr>
            </w:pPr>
          </w:p>
          <w:p>
            <w:pPr>
              <w:pStyle w:val="24"/>
              <w:ind w:left="108"/>
              <w:rPr>
                <w:b/>
                <w:sz w:val="21"/>
              </w:rPr>
            </w:pPr>
            <w:r>
              <w:rPr>
                <w:b/>
                <w:sz w:val="21"/>
              </w:rPr>
              <w:t>数量</w:t>
            </w:r>
          </w:p>
        </w:tc>
        <w:tc>
          <w:tcPr>
            <w:tcW w:w="872" w:type="dxa"/>
          </w:tcPr>
          <w:p>
            <w:pPr>
              <w:pStyle w:val="24"/>
              <w:spacing w:before="98"/>
              <w:ind w:left="99" w:right="89"/>
              <w:jc w:val="center"/>
              <w:rPr>
                <w:b/>
                <w:sz w:val="21"/>
              </w:rPr>
            </w:pPr>
            <w:r>
              <w:rPr>
                <w:b/>
                <w:sz w:val="21"/>
              </w:rPr>
              <w:t>产地及</w:t>
            </w:r>
          </w:p>
          <w:p>
            <w:pPr>
              <w:pStyle w:val="24"/>
              <w:spacing w:before="6"/>
              <w:rPr>
                <w:b/>
                <w:sz w:val="15"/>
              </w:rPr>
            </w:pPr>
          </w:p>
          <w:p>
            <w:pPr>
              <w:pStyle w:val="24"/>
              <w:ind w:left="99" w:right="89"/>
              <w:jc w:val="center"/>
              <w:rPr>
                <w:b/>
                <w:sz w:val="21"/>
              </w:rPr>
            </w:pPr>
            <w:r>
              <w:rPr>
                <w:b/>
                <w:sz w:val="21"/>
              </w:rPr>
              <w:t>品牌</w:t>
            </w:r>
          </w:p>
        </w:tc>
        <w:tc>
          <w:tcPr>
            <w:tcW w:w="1068" w:type="dxa"/>
          </w:tcPr>
          <w:p>
            <w:pPr>
              <w:pStyle w:val="24"/>
              <w:rPr>
                <w:b/>
                <w:sz w:val="26"/>
              </w:rPr>
            </w:pPr>
          </w:p>
          <w:p>
            <w:pPr>
              <w:pStyle w:val="24"/>
              <w:ind w:left="323"/>
              <w:rPr>
                <w:b/>
                <w:sz w:val="21"/>
              </w:rPr>
            </w:pPr>
            <w:r>
              <w:rPr>
                <w:b/>
                <w:sz w:val="21"/>
              </w:rPr>
              <w:t>单价</w:t>
            </w:r>
          </w:p>
        </w:tc>
        <w:tc>
          <w:tcPr>
            <w:tcW w:w="1260" w:type="dxa"/>
          </w:tcPr>
          <w:p>
            <w:pPr>
              <w:pStyle w:val="24"/>
              <w:rPr>
                <w:b/>
                <w:sz w:val="26"/>
              </w:rPr>
            </w:pPr>
          </w:p>
          <w:p>
            <w:pPr>
              <w:pStyle w:val="24"/>
              <w:ind w:left="419"/>
              <w:rPr>
                <w:b/>
                <w:sz w:val="21"/>
              </w:rPr>
            </w:pPr>
            <w:r>
              <w:rPr>
                <w:b/>
                <w:sz w:val="21"/>
              </w:rPr>
              <w:t>总价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675" w:type="dxa"/>
          </w:tcPr>
          <w:p>
            <w:pPr>
              <w:pStyle w:val="24"/>
              <w:spacing w:before="118"/>
              <w:ind w:left="6"/>
              <w:jc w:val="center"/>
              <w:rPr>
                <w:sz w:val="18"/>
              </w:rPr>
            </w:pPr>
            <w:r>
              <w:rPr>
                <w:sz w:val="18"/>
              </w:rPr>
              <w:t>1</w:t>
            </w:r>
          </w:p>
        </w:tc>
        <w:tc>
          <w:tcPr>
            <w:tcW w:w="1413" w:type="dxa"/>
          </w:tcPr>
          <w:p>
            <w:pPr>
              <w:pStyle w:val="24"/>
              <w:rPr>
                <w:rFonts w:ascii="Times New Roman"/>
                <w:sz w:val="22"/>
              </w:rPr>
            </w:pPr>
          </w:p>
        </w:tc>
        <w:tc>
          <w:tcPr>
            <w:tcW w:w="2340" w:type="dxa"/>
          </w:tcPr>
          <w:p>
            <w:pPr>
              <w:pStyle w:val="24"/>
              <w:rPr>
                <w:rFonts w:ascii="Times New Roman"/>
                <w:sz w:val="22"/>
              </w:rPr>
            </w:pPr>
          </w:p>
        </w:tc>
        <w:tc>
          <w:tcPr>
            <w:tcW w:w="900" w:type="dxa"/>
          </w:tcPr>
          <w:p>
            <w:pPr>
              <w:pStyle w:val="24"/>
              <w:rPr>
                <w:rFonts w:ascii="Times New Roman"/>
                <w:sz w:val="22"/>
              </w:rPr>
            </w:pPr>
          </w:p>
        </w:tc>
        <w:tc>
          <w:tcPr>
            <w:tcW w:w="872" w:type="dxa"/>
          </w:tcPr>
          <w:p>
            <w:pPr>
              <w:pStyle w:val="24"/>
              <w:rPr>
                <w:rFonts w:ascii="Times New Roman"/>
                <w:sz w:val="22"/>
              </w:rPr>
            </w:pPr>
          </w:p>
        </w:tc>
        <w:tc>
          <w:tcPr>
            <w:tcW w:w="1068" w:type="dxa"/>
          </w:tcPr>
          <w:p>
            <w:pPr>
              <w:pStyle w:val="24"/>
              <w:rPr>
                <w:rFonts w:ascii="Times New Roman"/>
                <w:sz w:val="22"/>
              </w:rPr>
            </w:pPr>
          </w:p>
        </w:tc>
        <w:tc>
          <w:tcPr>
            <w:tcW w:w="1260" w:type="dxa"/>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675" w:type="dxa"/>
          </w:tcPr>
          <w:p>
            <w:pPr>
              <w:pStyle w:val="24"/>
              <w:spacing w:before="120"/>
              <w:ind w:left="6"/>
              <w:jc w:val="center"/>
              <w:rPr>
                <w:sz w:val="18"/>
              </w:rPr>
            </w:pPr>
            <w:r>
              <w:rPr>
                <w:sz w:val="18"/>
              </w:rPr>
              <w:t>2</w:t>
            </w:r>
          </w:p>
        </w:tc>
        <w:tc>
          <w:tcPr>
            <w:tcW w:w="1413" w:type="dxa"/>
          </w:tcPr>
          <w:p>
            <w:pPr>
              <w:pStyle w:val="24"/>
              <w:rPr>
                <w:rFonts w:ascii="Times New Roman"/>
                <w:sz w:val="22"/>
              </w:rPr>
            </w:pPr>
          </w:p>
        </w:tc>
        <w:tc>
          <w:tcPr>
            <w:tcW w:w="2340" w:type="dxa"/>
          </w:tcPr>
          <w:p>
            <w:pPr>
              <w:pStyle w:val="24"/>
              <w:rPr>
                <w:rFonts w:ascii="Times New Roman"/>
                <w:sz w:val="22"/>
              </w:rPr>
            </w:pPr>
          </w:p>
        </w:tc>
        <w:tc>
          <w:tcPr>
            <w:tcW w:w="900" w:type="dxa"/>
          </w:tcPr>
          <w:p>
            <w:pPr>
              <w:pStyle w:val="24"/>
              <w:rPr>
                <w:rFonts w:ascii="Times New Roman"/>
                <w:sz w:val="22"/>
              </w:rPr>
            </w:pPr>
          </w:p>
        </w:tc>
        <w:tc>
          <w:tcPr>
            <w:tcW w:w="872" w:type="dxa"/>
          </w:tcPr>
          <w:p>
            <w:pPr>
              <w:pStyle w:val="24"/>
              <w:rPr>
                <w:rFonts w:ascii="Times New Roman"/>
                <w:sz w:val="22"/>
              </w:rPr>
            </w:pPr>
          </w:p>
        </w:tc>
        <w:tc>
          <w:tcPr>
            <w:tcW w:w="1068" w:type="dxa"/>
          </w:tcPr>
          <w:p>
            <w:pPr>
              <w:pStyle w:val="24"/>
              <w:rPr>
                <w:rFonts w:ascii="Times New Roman"/>
                <w:sz w:val="22"/>
              </w:rPr>
            </w:pPr>
          </w:p>
        </w:tc>
        <w:tc>
          <w:tcPr>
            <w:tcW w:w="1260" w:type="dxa"/>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675" w:type="dxa"/>
          </w:tcPr>
          <w:p>
            <w:pPr>
              <w:pStyle w:val="24"/>
              <w:spacing w:before="119"/>
              <w:ind w:left="6"/>
              <w:jc w:val="center"/>
              <w:rPr>
                <w:sz w:val="18"/>
              </w:rPr>
            </w:pPr>
            <w:r>
              <w:rPr>
                <w:sz w:val="18"/>
              </w:rPr>
              <w:t>3</w:t>
            </w:r>
          </w:p>
        </w:tc>
        <w:tc>
          <w:tcPr>
            <w:tcW w:w="1413" w:type="dxa"/>
          </w:tcPr>
          <w:p>
            <w:pPr>
              <w:pStyle w:val="24"/>
              <w:rPr>
                <w:rFonts w:ascii="Times New Roman"/>
                <w:sz w:val="22"/>
              </w:rPr>
            </w:pPr>
          </w:p>
        </w:tc>
        <w:tc>
          <w:tcPr>
            <w:tcW w:w="2340" w:type="dxa"/>
          </w:tcPr>
          <w:p>
            <w:pPr>
              <w:pStyle w:val="24"/>
              <w:rPr>
                <w:rFonts w:ascii="Times New Roman"/>
                <w:sz w:val="22"/>
              </w:rPr>
            </w:pPr>
          </w:p>
        </w:tc>
        <w:tc>
          <w:tcPr>
            <w:tcW w:w="900" w:type="dxa"/>
          </w:tcPr>
          <w:p>
            <w:pPr>
              <w:pStyle w:val="24"/>
              <w:rPr>
                <w:rFonts w:ascii="Times New Roman"/>
                <w:sz w:val="22"/>
              </w:rPr>
            </w:pPr>
          </w:p>
        </w:tc>
        <w:tc>
          <w:tcPr>
            <w:tcW w:w="872" w:type="dxa"/>
          </w:tcPr>
          <w:p>
            <w:pPr>
              <w:pStyle w:val="24"/>
              <w:rPr>
                <w:rFonts w:ascii="Times New Roman"/>
                <w:sz w:val="22"/>
              </w:rPr>
            </w:pPr>
          </w:p>
        </w:tc>
        <w:tc>
          <w:tcPr>
            <w:tcW w:w="1068" w:type="dxa"/>
          </w:tcPr>
          <w:p>
            <w:pPr>
              <w:pStyle w:val="24"/>
              <w:rPr>
                <w:rFonts w:ascii="Times New Roman"/>
                <w:sz w:val="22"/>
              </w:rPr>
            </w:pPr>
          </w:p>
        </w:tc>
        <w:tc>
          <w:tcPr>
            <w:tcW w:w="1260" w:type="dxa"/>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528" w:type="dxa"/>
            <w:gridSpan w:val="7"/>
          </w:tcPr>
          <w:p>
            <w:pPr>
              <w:pStyle w:val="24"/>
              <w:spacing w:before="99"/>
              <w:ind w:left="108"/>
              <w:rPr>
                <w:b/>
                <w:sz w:val="21"/>
              </w:rPr>
            </w:pPr>
            <w:r>
              <w:rPr>
                <w:b/>
                <w:sz w:val="21"/>
              </w:rPr>
              <w:t>运输费、保险费、安装费、调试费、培训费及其它含在单项报价中。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8528" w:type="dxa"/>
            <w:gridSpan w:val="7"/>
          </w:tcPr>
          <w:p>
            <w:pPr>
              <w:pStyle w:val="24"/>
              <w:tabs>
                <w:tab w:val="left" w:pos="3374"/>
                <w:tab w:val="left" w:pos="6115"/>
              </w:tabs>
              <w:spacing w:before="98"/>
              <w:ind w:left="108"/>
              <w:rPr>
                <w:b/>
                <w:sz w:val="21"/>
              </w:rPr>
            </w:pPr>
            <w:r>
              <w:rPr>
                <w:b/>
                <w:sz w:val="21"/>
              </w:rPr>
              <w:t>投标总报价：￥</w:t>
            </w:r>
            <w:r>
              <w:rPr>
                <w:b/>
                <w:sz w:val="21"/>
              </w:rPr>
              <w:tab/>
            </w:r>
            <w:r>
              <w:rPr>
                <w:b/>
                <w:sz w:val="21"/>
              </w:rPr>
              <w:t>元（大写：</w:t>
            </w:r>
            <w:r>
              <w:rPr>
                <w:b/>
                <w:sz w:val="21"/>
              </w:rPr>
              <w:tab/>
            </w:r>
            <w:r>
              <w:rPr>
                <w:b/>
                <w:sz w:val="21"/>
              </w:rPr>
              <w:t>）</w:t>
            </w:r>
          </w:p>
        </w:tc>
      </w:tr>
    </w:tbl>
    <w:p>
      <w:pPr>
        <w:spacing w:before="80"/>
        <w:ind w:left="637" w:right="0" w:firstLine="0"/>
        <w:jc w:val="left"/>
        <w:rPr>
          <w:b/>
          <w:sz w:val="24"/>
        </w:rPr>
      </w:pPr>
      <w:r>
        <w:rPr>
          <w:b/>
          <w:sz w:val="24"/>
        </w:rPr>
        <w:t>注：此表需详列投标的每种产品。</w:t>
      </w:r>
    </w:p>
    <w:p>
      <w:pPr>
        <w:pStyle w:val="10"/>
        <w:ind w:left="0"/>
        <w:rPr>
          <w:b/>
          <w:color w:val="FF0000"/>
          <w:sz w:val="25"/>
        </w:rPr>
      </w:pPr>
    </w:p>
    <w:p>
      <w:pPr>
        <w:tabs>
          <w:tab w:val="left" w:pos="5031"/>
        </w:tabs>
        <w:spacing w:before="0"/>
        <w:ind w:left="637" w:right="0" w:firstLine="0"/>
        <w:jc w:val="left"/>
        <w:rPr>
          <w:rFonts w:ascii="Times New Roman" w:eastAsia="Times New Roman"/>
          <w:b/>
          <w:color w:val="auto"/>
          <w:sz w:val="24"/>
        </w:rPr>
      </w:pPr>
      <w:r>
        <w:rPr>
          <w:rFonts w:hint="eastAsia"/>
          <w:b/>
          <w:color w:val="auto"/>
          <w:w w:val="95"/>
          <w:sz w:val="24"/>
          <w:lang w:val="en-US" w:eastAsia="zh-CN"/>
        </w:rPr>
        <w:t>法定代表人或</w:t>
      </w:r>
      <w:r>
        <w:rPr>
          <w:b/>
          <w:color w:val="auto"/>
          <w:w w:val="95"/>
          <w:sz w:val="24"/>
        </w:rPr>
        <w:t>投标人代表签字</w:t>
      </w:r>
      <w:r>
        <w:rPr>
          <w:rFonts w:hint="eastAsia"/>
          <w:b/>
          <w:color w:val="auto"/>
          <w:w w:val="95"/>
          <w:sz w:val="24"/>
          <w:lang w:val="en-US" w:eastAsia="zh-CN"/>
        </w:rPr>
        <w:t>或盖章</w:t>
      </w:r>
      <w:r>
        <w:rPr>
          <w:b/>
          <w:color w:val="auto"/>
          <w:w w:val="95"/>
          <w:sz w:val="24"/>
        </w:rPr>
        <w:t>：</w:t>
      </w:r>
      <w:r>
        <w:rPr>
          <w:rFonts w:ascii="Times New Roman" w:eastAsia="Times New Roman"/>
          <w:b/>
          <w:color w:val="auto"/>
          <w:sz w:val="24"/>
          <w:u w:val="single"/>
        </w:rPr>
        <w:t xml:space="preserve"> </w:t>
      </w:r>
      <w:r>
        <w:rPr>
          <w:rFonts w:ascii="Times New Roman" w:eastAsia="Times New Roman"/>
          <w:b/>
          <w:color w:val="auto"/>
          <w:sz w:val="24"/>
          <w:u w:val="single"/>
        </w:rPr>
        <w:tab/>
      </w:r>
    </w:p>
    <w:p>
      <w:pPr>
        <w:pStyle w:val="10"/>
        <w:spacing w:before="0"/>
        <w:ind w:left="0"/>
        <w:rPr>
          <w:rFonts w:ascii="Times New Roman"/>
          <w:b/>
          <w:sz w:val="20"/>
        </w:rPr>
      </w:pPr>
    </w:p>
    <w:p>
      <w:pPr>
        <w:pStyle w:val="10"/>
        <w:spacing w:before="0"/>
        <w:ind w:left="0"/>
        <w:rPr>
          <w:rFonts w:ascii="Times New Roman"/>
          <w:b/>
          <w:sz w:val="20"/>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pStyle w:val="10"/>
        <w:spacing w:before="7"/>
        <w:ind w:left="0"/>
        <w:rPr>
          <w:rFonts w:ascii="Times New Roman"/>
          <w:b/>
          <w:sz w:val="29"/>
        </w:rPr>
      </w:pPr>
    </w:p>
    <w:p>
      <w:pPr>
        <w:spacing w:before="66"/>
        <w:ind w:right="0" w:firstLine="2711" w:firstLineChars="900"/>
        <w:jc w:val="left"/>
        <w:rPr>
          <w:b/>
          <w:sz w:val="30"/>
          <w:szCs w:val="30"/>
        </w:rPr>
      </w:pPr>
      <w:r>
        <w:rPr>
          <w:b/>
          <w:sz w:val="30"/>
          <w:szCs w:val="30"/>
        </w:rPr>
        <w:t>（十）产品简要说明一览表</w:t>
      </w:r>
    </w:p>
    <w:p>
      <w:pPr>
        <w:spacing w:before="201"/>
        <w:ind w:left="0" w:right="610" w:firstLine="0"/>
        <w:jc w:val="center"/>
        <w:rPr>
          <w:b/>
          <w:sz w:val="30"/>
        </w:rPr>
      </w:pPr>
      <w:r>
        <w:rPr>
          <w:b/>
          <w:sz w:val="30"/>
        </w:rPr>
        <w:t>产品简要说明一览表</w:t>
      </w:r>
    </w:p>
    <w:p>
      <w:pPr>
        <w:tabs>
          <w:tab w:val="left" w:pos="6258"/>
          <w:tab w:val="left" w:pos="9015"/>
        </w:tabs>
        <w:spacing w:before="199"/>
        <w:ind w:left="637" w:right="0" w:firstLine="0"/>
        <w:jc w:val="left"/>
        <w:rPr>
          <w:b/>
          <w:sz w:val="24"/>
        </w:rPr>
      </w:pPr>
      <w:r>
        <w:rPr>
          <w:b/>
          <w:sz w:val="24"/>
        </w:rPr>
        <w:t>投标人名</w:t>
      </w:r>
      <w:r>
        <w:rPr>
          <w:b/>
          <w:spacing w:val="-15"/>
          <w:sz w:val="24"/>
        </w:rPr>
        <w:t>称</w:t>
      </w:r>
      <w:r>
        <w:rPr>
          <w:b/>
          <w:sz w:val="24"/>
        </w:rPr>
        <w:t>（公章</w:t>
      </w:r>
      <w:r>
        <w:rPr>
          <w:b/>
          <w:spacing w:val="-6"/>
          <w:sz w:val="24"/>
        </w:rPr>
        <w:t>）：</w:t>
      </w:r>
      <w:r>
        <w:rPr>
          <w:b/>
          <w:spacing w:val="-6"/>
          <w:sz w:val="24"/>
        </w:rPr>
        <w:tab/>
      </w:r>
      <w:r>
        <w:rPr>
          <w:b/>
          <w:sz w:val="24"/>
        </w:rPr>
        <w:t>招标编号/标段号：</w:t>
      </w:r>
      <w:r>
        <w:rPr>
          <w:b/>
          <w:sz w:val="24"/>
        </w:rPr>
        <w:tab/>
      </w:r>
      <w:r>
        <w:rPr>
          <w:b/>
          <w:sz w:val="24"/>
        </w:rPr>
        <w:t>包</w:t>
      </w:r>
    </w:p>
    <w:p>
      <w:pPr>
        <w:pStyle w:val="10"/>
        <w:spacing w:before="4"/>
        <w:ind w:left="0"/>
        <w:rPr>
          <w:b/>
          <w:sz w:val="6"/>
        </w:rPr>
      </w:pPr>
    </w:p>
    <w:tbl>
      <w:tblPr>
        <w:tblStyle w:val="18"/>
        <w:tblW w:w="0" w:type="auto"/>
        <w:tblInd w:w="64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7"/>
        <w:gridCol w:w="1233"/>
        <w:gridCol w:w="3702"/>
        <w:gridCol w:w="1518"/>
        <w:gridCol w:w="18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67" w:type="dxa"/>
          </w:tcPr>
          <w:p>
            <w:pPr>
              <w:pStyle w:val="24"/>
              <w:spacing w:before="100"/>
              <w:ind w:left="177"/>
              <w:rPr>
                <w:b/>
                <w:sz w:val="22"/>
                <w:szCs w:val="24"/>
              </w:rPr>
            </w:pPr>
            <w:r>
              <w:rPr>
                <w:b/>
                <w:w w:val="99"/>
                <w:sz w:val="22"/>
                <w:szCs w:val="24"/>
              </w:rPr>
              <w:t>序</w:t>
            </w:r>
          </w:p>
          <w:p>
            <w:pPr>
              <w:pStyle w:val="24"/>
              <w:spacing w:before="6"/>
              <w:rPr>
                <w:b/>
                <w:sz w:val="16"/>
                <w:szCs w:val="24"/>
              </w:rPr>
            </w:pPr>
          </w:p>
          <w:p>
            <w:pPr>
              <w:pStyle w:val="24"/>
              <w:ind w:left="177"/>
              <w:rPr>
                <w:b/>
                <w:sz w:val="22"/>
                <w:szCs w:val="24"/>
              </w:rPr>
            </w:pPr>
            <w:r>
              <w:rPr>
                <w:b/>
                <w:w w:val="99"/>
                <w:sz w:val="22"/>
                <w:szCs w:val="24"/>
              </w:rPr>
              <w:t>号</w:t>
            </w:r>
          </w:p>
        </w:tc>
        <w:tc>
          <w:tcPr>
            <w:tcW w:w="1233" w:type="dxa"/>
          </w:tcPr>
          <w:p>
            <w:pPr>
              <w:pStyle w:val="24"/>
              <w:spacing w:before="12"/>
              <w:rPr>
                <w:b/>
                <w:sz w:val="28"/>
                <w:szCs w:val="24"/>
              </w:rPr>
            </w:pPr>
          </w:p>
          <w:p>
            <w:pPr>
              <w:pStyle w:val="24"/>
              <w:ind w:left="196"/>
              <w:rPr>
                <w:b/>
                <w:sz w:val="22"/>
                <w:szCs w:val="24"/>
              </w:rPr>
            </w:pPr>
            <w:r>
              <w:rPr>
                <w:b/>
                <w:sz w:val="22"/>
                <w:szCs w:val="24"/>
              </w:rPr>
              <w:t>产品名称</w:t>
            </w:r>
          </w:p>
        </w:tc>
        <w:tc>
          <w:tcPr>
            <w:tcW w:w="3702" w:type="dxa"/>
          </w:tcPr>
          <w:p>
            <w:pPr>
              <w:pStyle w:val="24"/>
              <w:spacing w:before="12"/>
              <w:rPr>
                <w:b/>
                <w:sz w:val="28"/>
                <w:szCs w:val="24"/>
              </w:rPr>
            </w:pPr>
          </w:p>
          <w:p>
            <w:pPr>
              <w:pStyle w:val="24"/>
              <w:ind w:left="379"/>
              <w:rPr>
                <w:b/>
                <w:sz w:val="22"/>
                <w:szCs w:val="24"/>
              </w:rPr>
            </w:pPr>
            <w:r>
              <w:rPr>
                <w:b/>
                <w:sz w:val="22"/>
                <w:szCs w:val="24"/>
              </w:rPr>
              <w:t>品牌、规格型号及主要技术参数</w:t>
            </w:r>
          </w:p>
        </w:tc>
        <w:tc>
          <w:tcPr>
            <w:tcW w:w="1518" w:type="dxa"/>
          </w:tcPr>
          <w:p>
            <w:pPr>
              <w:pStyle w:val="24"/>
              <w:spacing w:before="12"/>
              <w:rPr>
                <w:b/>
                <w:sz w:val="28"/>
                <w:szCs w:val="24"/>
              </w:rPr>
            </w:pPr>
          </w:p>
          <w:p>
            <w:pPr>
              <w:pStyle w:val="24"/>
              <w:ind w:left="337"/>
              <w:rPr>
                <w:b/>
                <w:sz w:val="22"/>
                <w:szCs w:val="24"/>
              </w:rPr>
            </w:pPr>
            <w:r>
              <w:rPr>
                <w:b/>
                <w:sz w:val="22"/>
                <w:szCs w:val="24"/>
              </w:rPr>
              <w:t>性能说明</w:t>
            </w:r>
          </w:p>
        </w:tc>
        <w:tc>
          <w:tcPr>
            <w:tcW w:w="1856" w:type="dxa"/>
          </w:tcPr>
          <w:p>
            <w:pPr>
              <w:pStyle w:val="24"/>
              <w:spacing w:before="12"/>
              <w:rPr>
                <w:b/>
                <w:sz w:val="28"/>
                <w:szCs w:val="24"/>
              </w:rPr>
            </w:pPr>
          </w:p>
          <w:p>
            <w:pPr>
              <w:pStyle w:val="24"/>
              <w:ind w:left="697" w:right="687"/>
              <w:jc w:val="center"/>
              <w:rPr>
                <w:b/>
                <w:sz w:val="22"/>
                <w:szCs w:val="24"/>
              </w:rPr>
            </w:pPr>
            <w:r>
              <w:rPr>
                <w:b/>
                <w:sz w:val="22"/>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567" w:type="dxa"/>
          </w:tcPr>
          <w:p>
            <w:pPr>
              <w:pStyle w:val="24"/>
              <w:spacing w:before="120"/>
              <w:ind w:left="8"/>
              <w:jc w:val="center"/>
              <w:rPr>
                <w:sz w:val="20"/>
                <w:szCs w:val="24"/>
              </w:rPr>
            </w:pPr>
            <w:r>
              <w:rPr>
                <w:sz w:val="20"/>
                <w:szCs w:val="24"/>
              </w:rPr>
              <w:t>1</w:t>
            </w:r>
          </w:p>
        </w:tc>
        <w:tc>
          <w:tcPr>
            <w:tcW w:w="1233" w:type="dxa"/>
          </w:tcPr>
          <w:p>
            <w:pPr>
              <w:pStyle w:val="24"/>
              <w:rPr>
                <w:rFonts w:ascii="Times New Roman"/>
                <w:sz w:val="24"/>
                <w:szCs w:val="24"/>
              </w:rPr>
            </w:pPr>
          </w:p>
        </w:tc>
        <w:tc>
          <w:tcPr>
            <w:tcW w:w="3702" w:type="dxa"/>
          </w:tcPr>
          <w:p>
            <w:pPr>
              <w:pStyle w:val="24"/>
              <w:rPr>
                <w:rFonts w:ascii="Times New Roman"/>
                <w:sz w:val="24"/>
                <w:szCs w:val="24"/>
              </w:rPr>
            </w:pPr>
          </w:p>
        </w:tc>
        <w:tc>
          <w:tcPr>
            <w:tcW w:w="1518" w:type="dxa"/>
          </w:tcPr>
          <w:p>
            <w:pPr>
              <w:pStyle w:val="24"/>
              <w:rPr>
                <w:rFonts w:ascii="Times New Roman"/>
                <w:sz w:val="24"/>
                <w:szCs w:val="24"/>
              </w:rPr>
            </w:pPr>
          </w:p>
        </w:tc>
        <w:tc>
          <w:tcPr>
            <w:tcW w:w="1856"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567" w:type="dxa"/>
          </w:tcPr>
          <w:p>
            <w:pPr>
              <w:pStyle w:val="24"/>
              <w:spacing w:before="119"/>
              <w:ind w:left="8"/>
              <w:jc w:val="center"/>
              <w:rPr>
                <w:sz w:val="20"/>
                <w:szCs w:val="24"/>
              </w:rPr>
            </w:pPr>
            <w:r>
              <w:rPr>
                <w:sz w:val="20"/>
                <w:szCs w:val="24"/>
              </w:rPr>
              <w:t>2</w:t>
            </w:r>
          </w:p>
        </w:tc>
        <w:tc>
          <w:tcPr>
            <w:tcW w:w="1233" w:type="dxa"/>
          </w:tcPr>
          <w:p>
            <w:pPr>
              <w:pStyle w:val="24"/>
              <w:rPr>
                <w:rFonts w:ascii="Times New Roman"/>
                <w:sz w:val="24"/>
                <w:szCs w:val="24"/>
              </w:rPr>
            </w:pPr>
          </w:p>
        </w:tc>
        <w:tc>
          <w:tcPr>
            <w:tcW w:w="3702" w:type="dxa"/>
          </w:tcPr>
          <w:p>
            <w:pPr>
              <w:pStyle w:val="24"/>
              <w:rPr>
                <w:rFonts w:ascii="Times New Roman"/>
                <w:sz w:val="24"/>
                <w:szCs w:val="24"/>
              </w:rPr>
            </w:pPr>
          </w:p>
        </w:tc>
        <w:tc>
          <w:tcPr>
            <w:tcW w:w="1518" w:type="dxa"/>
          </w:tcPr>
          <w:p>
            <w:pPr>
              <w:pStyle w:val="24"/>
              <w:rPr>
                <w:rFonts w:ascii="Times New Roman"/>
                <w:sz w:val="24"/>
                <w:szCs w:val="24"/>
              </w:rPr>
            </w:pPr>
          </w:p>
        </w:tc>
        <w:tc>
          <w:tcPr>
            <w:tcW w:w="1856"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567" w:type="dxa"/>
          </w:tcPr>
          <w:p>
            <w:pPr>
              <w:pStyle w:val="24"/>
              <w:spacing w:before="119"/>
              <w:ind w:left="8"/>
              <w:jc w:val="center"/>
              <w:rPr>
                <w:sz w:val="20"/>
                <w:szCs w:val="24"/>
              </w:rPr>
            </w:pPr>
            <w:r>
              <w:rPr>
                <w:sz w:val="20"/>
                <w:szCs w:val="24"/>
              </w:rPr>
              <w:t>3</w:t>
            </w:r>
          </w:p>
        </w:tc>
        <w:tc>
          <w:tcPr>
            <w:tcW w:w="1233" w:type="dxa"/>
          </w:tcPr>
          <w:p>
            <w:pPr>
              <w:pStyle w:val="24"/>
              <w:rPr>
                <w:rFonts w:ascii="Times New Roman"/>
                <w:sz w:val="24"/>
                <w:szCs w:val="24"/>
              </w:rPr>
            </w:pPr>
          </w:p>
        </w:tc>
        <w:tc>
          <w:tcPr>
            <w:tcW w:w="3702" w:type="dxa"/>
          </w:tcPr>
          <w:p>
            <w:pPr>
              <w:pStyle w:val="24"/>
              <w:rPr>
                <w:rFonts w:ascii="Times New Roman"/>
                <w:sz w:val="24"/>
                <w:szCs w:val="24"/>
              </w:rPr>
            </w:pPr>
          </w:p>
        </w:tc>
        <w:tc>
          <w:tcPr>
            <w:tcW w:w="1518" w:type="dxa"/>
          </w:tcPr>
          <w:p>
            <w:pPr>
              <w:pStyle w:val="24"/>
              <w:rPr>
                <w:rFonts w:ascii="Times New Roman"/>
                <w:sz w:val="24"/>
                <w:szCs w:val="24"/>
              </w:rPr>
            </w:pPr>
          </w:p>
        </w:tc>
        <w:tc>
          <w:tcPr>
            <w:tcW w:w="1856"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567" w:type="dxa"/>
          </w:tcPr>
          <w:p>
            <w:pPr>
              <w:pStyle w:val="24"/>
              <w:spacing w:before="119"/>
              <w:ind w:left="7"/>
              <w:jc w:val="center"/>
              <w:rPr>
                <w:sz w:val="20"/>
                <w:szCs w:val="24"/>
              </w:rPr>
            </w:pPr>
            <w:r>
              <w:rPr>
                <w:sz w:val="20"/>
                <w:szCs w:val="24"/>
              </w:rPr>
              <w:t>…</w:t>
            </w:r>
          </w:p>
        </w:tc>
        <w:tc>
          <w:tcPr>
            <w:tcW w:w="1233" w:type="dxa"/>
          </w:tcPr>
          <w:p>
            <w:pPr>
              <w:pStyle w:val="24"/>
              <w:rPr>
                <w:rFonts w:ascii="Times New Roman"/>
                <w:sz w:val="24"/>
                <w:szCs w:val="24"/>
              </w:rPr>
            </w:pPr>
          </w:p>
        </w:tc>
        <w:tc>
          <w:tcPr>
            <w:tcW w:w="3702" w:type="dxa"/>
          </w:tcPr>
          <w:p>
            <w:pPr>
              <w:pStyle w:val="24"/>
              <w:rPr>
                <w:rFonts w:ascii="Times New Roman"/>
                <w:sz w:val="24"/>
                <w:szCs w:val="24"/>
              </w:rPr>
            </w:pPr>
          </w:p>
        </w:tc>
        <w:tc>
          <w:tcPr>
            <w:tcW w:w="1518" w:type="dxa"/>
          </w:tcPr>
          <w:p>
            <w:pPr>
              <w:pStyle w:val="24"/>
              <w:rPr>
                <w:rFonts w:ascii="Times New Roman"/>
                <w:sz w:val="24"/>
                <w:szCs w:val="24"/>
              </w:rPr>
            </w:pPr>
          </w:p>
        </w:tc>
        <w:tc>
          <w:tcPr>
            <w:tcW w:w="1856" w:type="dxa"/>
          </w:tcPr>
          <w:p>
            <w:pPr>
              <w:pStyle w:val="24"/>
              <w:rPr>
                <w:rFonts w:ascii="Times New Roman"/>
                <w:sz w:val="24"/>
                <w:szCs w:val="24"/>
              </w:rPr>
            </w:pPr>
          </w:p>
        </w:tc>
      </w:tr>
    </w:tbl>
    <w:p>
      <w:pPr>
        <w:spacing w:before="80"/>
        <w:ind w:left="637" w:right="0" w:firstLine="0"/>
        <w:jc w:val="left"/>
        <w:rPr>
          <w:b/>
          <w:sz w:val="24"/>
        </w:rPr>
      </w:pPr>
      <w:r>
        <w:rPr>
          <w:b/>
          <w:sz w:val="24"/>
        </w:rPr>
        <w:t>注：此表需详列投标的每种产品。</w:t>
      </w:r>
    </w:p>
    <w:p>
      <w:pPr>
        <w:pStyle w:val="10"/>
        <w:spacing w:before="0"/>
        <w:ind w:left="0"/>
        <w:rPr>
          <w:b/>
        </w:rPr>
      </w:pPr>
    </w:p>
    <w:p>
      <w:pPr>
        <w:pStyle w:val="10"/>
        <w:ind w:left="0"/>
        <w:rPr>
          <w:b/>
          <w:color w:val="auto"/>
          <w:sz w:val="25"/>
        </w:rPr>
      </w:pPr>
    </w:p>
    <w:p>
      <w:pPr>
        <w:tabs>
          <w:tab w:val="left" w:pos="5031"/>
        </w:tabs>
        <w:spacing w:before="0"/>
        <w:ind w:left="637" w:right="0" w:firstLine="0"/>
        <w:jc w:val="left"/>
        <w:rPr>
          <w:rFonts w:ascii="Times New Roman" w:eastAsia="Times New Roman"/>
          <w:b/>
          <w:color w:val="auto"/>
          <w:sz w:val="24"/>
        </w:rPr>
      </w:pPr>
      <w:r>
        <w:rPr>
          <w:rFonts w:hint="eastAsia"/>
          <w:b/>
          <w:color w:val="auto"/>
          <w:w w:val="95"/>
          <w:sz w:val="24"/>
          <w:lang w:val="en-US" w:eastAsia="zh-CN"/>
        </w:rPr>
        <w:t>法定代表人或</w:t>
      </w:r>
      <w:r>
        <w:rPr>
          <w:b/>
          <w:color w:val="auto"/>
          <w:w w:val="95"/>
          <w:sz w:val="24"/>
        </w:rPr>
        <w:t>投标人代表签字</w:t>
      </w:r>
      <w:r>
        <w:rPr>
          <w:rFonts w:hint="eastAsia"/>
          <w:b/>
          <w:color w:val="auto"/>
          <w:w w:val="95"/>
          <w:sz w:val="24"/>
          <w:lang w:val="en-US" w:eastAsia="zh-CN"/>
        </w:rPr>
        <w:t>或盖章</w:t>
      </w:r>
      <w:r>
        <w:rPr>
          <w:b/>
          <w:color w:val="auto"/>
          <w:w w:val="95"/>
          <w:sz w:val="24"/>
        </w:rPr>
        <w:t>：</w:t>
      </w:r>
      <w:r>
        <w:rPr>
          <w:rFonts w:ascii="Times New Roman" w:eastAsia="Times New Roman"/>
          <w:b/>
          <w:color w:val="auto"/>
          <w:sz w:val="24"/>
          <w:u w:val="single"/>
        </w:rPr>
        <w:t xml:space="preserve"> </w:t>
      </w:r>
      <w:r>
        <w:rPr>
          <w:rFonts w:ascii="Times New Roman" w:eastAsia="Times New Roman"/>
          <w:b/>
          <w:color w:val="auto"/>
          <w:sz w:val="24"/>
          <w:u w:val="single"/>
        </w:rPr>
        <w:tab/>
      </w:r>
    </w:p>
    <w:p>
      <w:pPr>
        <w:spacing w:after="0"/>
        <w:jc w:val="left"/>
        <w:rPr>
          <w:rFonts w:ascii="Times New Roman" w:eastAsia="Times New Roman"/>
          <w:color w:val="auto"/>
          <w:sz w:val="24"/>
        </w:rPr>
        <w:sectPr>
          <w:footerReference r:id="rId11" w:type="default"/>
          <w:pgSz w:w="11910" w:h="16840"/>
          <w:pgMar w:top="1420" w:right="240" w:bottom="1180" w:left="1160" w:header="878" w:footer="993" w:gutter="0"/>
          <w:pgNumType w:fmt="decimal"/>
          <w:cols w:space="720" w:num="1"/>
        </w:sectPr>
      </w:pPr>
    </w:p>
    <w:p>
      <w:pPr>
        <w:pStyle w:val="10"/>
        <w:spacing w:before="8"/>
        <w:ind w:left="0"/>
        <w:rPr>
          <w:rFonts w:ascii="Times New Roman"/>
          <w:b/>
          <w:sz w:val="22"/>
        </w:rPr>
      </w:pPr>
    </w:p>
    <w:p>
      <w:pPr>
        <w:spacing w:before="67"/>
        <w:ind w:left="1117" w:right="0" w:firstLine="1968" w:firstLineChars="700"/>
        <w:jc w:val="left"/>
        <w:rPr>
          <w:b/>
          <w:sz w:val="28"/>
          <w:szCs w:val="28"/>
        </w:rPr>
      </w:pPr>
      <w:r>
        <w:rPr>
          <w:b/>
          <w:sz w:val="28"/>
          <w:szCs w:val="28"/>
        </w:rPr>
        <w:t>（十一）产品技术参数、功能偏离表</w:t>
      </w:r>
    </w:p>
    <w:p>
      <w:pPr>
        <w:spacing w:before="67"/>
        <w:ind w:left="1117" w:right="0" w:firstLine="2530" w:firstLineChars="900"/>
        <w:jc w:val="left"/>
        <w:rPr>
          <w:b/>
          <w:sz w:val="28"/>
          <w:szCs w:val="28"/>
        </w:rPr>
      </w:pPr>
      <w:r>
        <w:rPr>
          <w:b/>
          <w:sz w:val="28"/>
          <w:szCs w:val="28"/>
        </w:rPr>
        <w:t>产品技术参数、功能偏离表</w:t>
      </w:r>
    </w:p>
    <w:p>
      <w:pPr>
        <w:tabs>
          <w:tab w:val="left" w:pos="6498"/>
          <w:tab w:val="left" w:pos="9015"/>
        </w:tabs>
        <w:spacing w:before="199"/>
        <w:ind w:left="637" w:right="0" w:firstLine="0"/>
        <w:jc w:val="left"/>
        <w:rPr>
          <w:b/>
          <w:sz w:val="24"/>
        </w:rPr>
      </w:pPr>
      <w:r>
        <w:rPr>
          <w:b/>
          <w:sz w:val="24"/>
        </w:rPr>
        <w:t>投标人名</w:t>
      </w:r>
      <w:r>
        <w:rPr>
          <w:b/>
          <w:spacing w:val="-15"/>
          <w:sz w:val="24"/>
        </w:rPr>
        <w:t>称</w:t>
      </w:r>
      <w:r>
        <w:rPr>
          <w:b/>
          <w:sz w:val="24"/>
        </w:rPr>
        <w:t>（公章</w:t>
      </w:r>
      <w:r>
        <w:rPr>
          <w:b/>
          <w:spacing w:val="-6"/>
          <w:sz w:val="24"/>
        </w:rPr>
        <w:t>）：</w:t>
      </w:r>
      <w:r>
        <w:rPr>
          <w:b/>
          <w:spacing w:val="-6"/>
          <w:sz w:val="24"/>
        </w:rPr>
        <w:tab/>
      </w:r>
      <w:r>
        <w:rPr>
          <w:b/>
          <w:sz w:val="24"/>
        </w:rPr>
        <w:t>招标编号/标段号：</w:t>
      </w:r>
      <w:r>
        <w:rPr>
          <w:b/>
          <w:sz w:val="24"/>
        </w:rPr>
        <w:tab/>
      </w:r>
      <w:r>
        <w:rPr>
          <w:b/>
          <w:sz w:val="24"/>
        </w:rPr>
        <w:t>包</w:t>
      </w:r>
    </w:p>
    <w:p>
      <w:pPr>
        <w:pStyle w:val="10"/>
        <w:spacing w:before="3"/>
        <w:ind w:left="0"/>
        <w:rPr>
          <w:b/>
          <w:sz w:val="6"/>
        </w:rPr>
      </w:pPr>
    </w:p>
    <w:tbl>
      <w:tblPr>
        <w:tblStyle w:val="18"/>
        <w:tblW w:w="0" w:type="auto"/>
        <w:tblInd w:w="6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5"/>
        <w:gridCol w:w="1496"/>
        <w:gridCol w:w="2453"/>
        <w:gridCol w:w="2227"/>
        <w:gridCol w:w="1600"/>
        <w:gridCol w:w="11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495" w:type="dxa"/>
          </w:tcPr>
          <w:p>
            <w:pPr>
              <w:pStyle w:val="24"/>
              <w:spacing w:before="98"/>
              <w:ind w:left="142"/>
              <w:rPr>
                <w:b/>
                <w:sz w:val="22"/>
                <w:szCs w:val="24"/>
              </w:rPr>
            </w:pPr>
            <w:r>
              <w:rPr>
                <w:b/>
                <w:w w:val="99"/>
                <w:sz w:val="22"/>
                <w:szCs w:val="24"/>
              </w:rPr>
              <w:t>序</w:t>
            </w:r>
          </w:p>
          <w:p>
            <w:pPr>
              <w:pStyle w:val="24"/>
              <w:spacing w:before="6"/>
              <w:rPr>
                <w:b/>
                <w:sz w:val="16"/>
                <w:szCs w:val="24"/>
              </w:rPr>
            </w:pPr>
          </w:p>
          <w:p>
            <w:pPr>
              <w:pStyle w:val="24"/>
              <w:ind w:left="142"/>
              <w:rPr>
                <w:b/>
                <w:sz w:val="22"/>
                <w:szCs w:val="24"/>
              </w:rPr>
            </w:pPr>
            <w:r>
              <w:rPr>
                <w:b/>
                <w:w w:val="99"/>
                <w:sz w:val="22"/>
                <w:szCs w:val="24"/>
              </w:rPr>
              <w:t>号</w:t>
            </w:r>
          </w:p>
        </w:tc>
        <w:tc>
          <w:tcPr>
            <w:tcW w:w="1496" w:type="dxa"/>
          </w:tcPr>
          <w:p>
            <w:pPr>
              <w:pStyle w:val="24"/>
              <w:spacing w:before="98"/>
              <w:ind w:left="96" w:right="84"/>
              <w:jc w:val="center"/>
              <w:rPr>
                <w:b/>
                <w:sz w:val="22"/>
                <w:szCs w:val="24"/>
              </w:rPr>
            </w:pPr>
            <w:r>
              <w:rPr>
                <w:b/>
                <w:sz w:val="22"/>
                <w:szCs w:val="24"/>
              </w:rPr>
              <w:t>招标文件规格</w:t>
            </w:r>
          </w:p>
          <w:p>
            <w:pPr>
              <w:pStyle w:val="24"/>
              <w:spacing w:before="6"/>
              <w:rPr>
                <w:b/>
                <w:sz w:val="16"/>
                <w:szCs w:val="24"/>
              </w:rPr>
            </w:pPr>
          </w:p>
          <w:p>
            <w:pPr>
              <w:pStyle w:val="24"/>
              <w:ind w:left="94" w:right="84"/>
              <w:jc w:val="center"/>
              <w:rPr>
                <w:b/>
                <w:sz w:val="22"/>
                <w:szCs w:val="24"/>
              </w:rPr>
            </w:pPr>
            <w:r>
              <w:rPr>
                <w:b/>
                <w:sz w:val="22"/>
                <w:szCs w:val="24"/>
              </w:rPr>
              <w:t>条目号</w:t>
            </w:r>
          </w:p>
        </w:tc>
        <w:tc>
          <w:tcPr>
            <w:tcW w:w="2453" w:type="dxa"/>
          </w:tcPr>
          <w:p>
            <w:pPr>
              <w:pStyle w:val="24"/>
              <w:rPr>
                <w:b/>
                <w:sz w:val="28"/>
                <w:szCs w:val="24"/>
              </w:rPr>
            </w:pPr>
          </w:p>
          <w:p>
            <w:pPr>
              <w:pStyle w:val="24"/>
              <w:ind w:left="805"/>
              <w:rPr>
                <w:b/>
                <w:sz w:val="22"/>
                <w:szCs w:val="24"/>
              </w:rPr>
            </w:pPr>
            <w:r>
              <w:rPr>
                <w:b/>
                <w:sz w:val="22"/>
                <w:szCs w:val="24"/>
              </w:rPr>
              <w:t>招标规格</w:t>
            </w:r>
          </w:p>
        </w:tc>
        <w:tc>
          <w:tcPr>
            <w:tcW w:w="2227" w:type="dxa"/>
          </w:tcPr>
          <w:p>
            <w:pPr>
              <w:pStyle w:val="24"/>
              <w:rPr>
                <w:b/>
                <w:sz w:val="28"/>
                <w:szCs w:val="24"/>
              </w:rPr>
            </w:pPr>
          </w:p>
          <w:p>
            <w:pPr>
              <w:pStyle w:val="24"/>
              <w:ind w:left="692"/>
              <w:rPr>
                <w:b/>
                <w:sz w:val="22"/>
                <w:szCs w:val="24"/>
              </w:rPr>
            </w:pPr>
            <w:r>
              <w:rPr>
                <w:b/>
                <w:sz w:val="22"/>
                <w:szCs w:val="24"/>
              </w:rPr>
              <w:t>投标规格</w:t>
            </w:r>
          </w:p>
        </w:tc>
        <w:tc>
          <w:tcPr>
            <w:tcW w:w="1600" w:type="dxa"/>
          </w:tcPr>
          <w:p>
            <w:pPr>
              <w:pStyle w:val="24"/>
              <w:rPr>
                <w:b/>
                <w:sz w:val="28"/>
                <w:szCs w:val="24"/>
              </w:rPr>
            </w:pPr>
          </w:p>
          <w:p>
            <w:pPr>
              <w:pStyle w:val="24"/>
              <w:ind w:left="569" w:right="559"/>
              <w:jc w:val="center"/>
              <w:rPr>
                <w:b/>
                <w:sz w:val="22"/>
                <w:szCs w:val="24"/>
              </w:rPr>
            </w:pPr>
            <w:r>
              <w:rPr>
                <w:b/>
                <w:sz w:val="22"/>
                <w:szCs w:val="24"/>
              </w:rPr>
              <w:t>偏离</w:t>
            </w:r>
          </w:p>
        </w:tc>
        <w:tc>
          <w:tcPr>
            <w:tcW w:w="1134" w:type="dxa"/>
          </w:tcPr>
          <w:p>
            <w:pPr>
              <w:pStyle w:val="24"/>
              <w:rPr>
                <w:b/>
                <w:sz w:val="28"/>
                <w:szCs w:val="24"/>
              </w:rPr>
            </w:pPr>
          </w:p>
          <w:p>
            <w:pPr>
              <w:pStyle w:val="24"/>
              <w:ind w:left="355"/>
              <w:rPr>
                <w:b/>
                <w:sz w:val="22"/>
                <w:szCs w:val="24"/>
              </w:rPr>
            </w:pPr>
            <w:r>
              <w:rPr>
                <w:b/>
                <w:sz w:val="22"/>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495" w:type="dxa"/>
          </w:tcPr>
          <w:p>
            <w:pPr>
              <w:pStyle w:val="24"/>
              <w:rPr>
                <w:rFonts w:ascii="Times New Roman"/>
                <w:sz w:val="24"/>
                <w:szCs w:val="24"/>
              </w:rPr>
            </w:pPr>
          </w:p>
        </w:tc>
        <w:tc>
          <w:tcPr>
            <w:tcW w:w="1496" w:type="dxa"/>
          </w:tcPr>
          <w:p>
            <w:pPr>
              <w:pStyle w:val="24"/>
              <w:rPr>
                <w:rFonts w:ascii="Times New Roman"/>
                <w:sz w:val="24"/>
                <w:szCs w:val="24"/>
              </w:rPr>
            </w:pPr>
          </w:p>
        </w:tc>
        <w:tc>
          <w:tcPr>
            <w:tcW w:w="2453" w:type="dxa"/>
          </w:tcPr>
          <w:p>
            <w:pPr>
              <w:pStyle w:val="24"/>
              <w:rPr>
                <w:rFonts w:ascii="Times New Roman"/>
                <w:sz w:val="24"/>
                <w:szCs w:val="24"/>
              </w:rPr>
            </w:pPr>
          </w:p>
        </w:tc>
        <w:tc>
          <w:tcPr>
            <w:tcW w:w="2227" w:type="dxa"/>
          </w:tcPr>
          <w:p>
            <w:pPr>
              <w:pStyle w:val="24"/>
              <w:rPr>
                <w:rFonts w:ascii="Times New Roman"/>
                <w:sz w:val="24"/>
                <w:szCs w:val="24"/>
              </w:rPr>
            </w:pPr>
          </w:p>
        </w:tc>
        <w:tc>
          <w:tcPr>
            <w:tcW w:w="1600" w:type="dxa"/>
          </w:tcPr>
          <w:p>
            <w:pPr>
              <w:pStyle w:val="24"/>
              <w:rPr>
                <w:rFonts w:ascii="Times New Roman"/>
                <w:sz w:val="24"/>
                <w:szCs w:val="24"/>
              </w:rPr>
            </w:pPr>
          </w:p>
        </w:tc>
        <w:tc>
          <w:tcPr>
            <w:tcW w:w="1134"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95" w:type="dxa"/>
          </w:tcPr>
          <w:p>
            <w:pPr>
              <w:pStyle w:val="24"/>
              <w:rPr>
                <w:rFonts w:ascii="Times New Roman"/>
                <w:sz w:val="24"/>
                <w:szCs w:val="24"/>
              </w:rPr>
            </w:pPr>
          </w:p>
        </w:tc>
        <w:tc>
          <w:tcPr>
            <w:tcW w:w="1496" w:type="dxa"/>
          </w:tcPr>
          <w:p>
            <w:pPr>
              <w:pStyle w:val="24"/>
              <w:rPr>
                <w:rFonts w:ascii="Times New Roman"/>
                <w:sz w:val="24"/>
                <w:szCs w:val="24"/>
              </w:rPr>
            </w:pPr>
          </w:p>
        </w:tc>
        <w:tc>
          <w:tcPr>
            <w:tcW w:w="2453" w:type="dxa"/>
          </w:tcPr>
          <w:p>
            <w:pPr>
              <w:pStyle w:val="24"/>
              <w:rPr>
                <w:rFonts w:ascii="Times New Roman"/>
                <w:sz w:val="24"/>
                <w:szCs w:val="24"/>
              </w:rPr>
            </w:pPr>
          </w:p>
        </w:tc>
        <w:tc>
          <w:tcPr>
            <w:tcW w:w="2227" w:type="dxa"/>
          </w:tcPr>
          <w:p>
            <w:pPr>
              <w:pStyle w:val="24"/>
              <w:rPr>
                <w:rFonts w:ascii="Times New Roman"/>
                <w:sz w:val="24"/>
                <w:szCs w:val="24"/>
              </w:rPr>
            </w:pPr>
          </w:p>
        </w:tc>
        <w:tc>
          <w:tcPr>
            <w:tcW w:w="1600" w:type="dxa"/>
          </w:tcPr>
          <w:p>
            <w:pPr>
              <w:pStyle w:val="24"/>
              <w:rPr>
                <w:rFonts w:ascii="Times New Roman"/>
                <w:sz w:val="24"/>
                <w:szCs w:val="24"/>
              </w:rPr>
            </w:pPr>
          </w:p>
        </w:tc>
        <w:tc>
          <w:tcPr>
            <w:tcW w:w="1134"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95" w:type="dxa"/>
          </w:tcPr>
          <w:p>
            <w:pPr>
              <w:pStyle w:val="24"/>
              <w:rPr>
                <w:rFonts w:ascii="Times New Roman"/>
                <w:sz w:val="24"/>
                <w:szCs w:val="24"/>
              </w:rPr>
            </w:pPr>
          </w:p>
        </w:tc>
        <w:tc>
          <w:tcPr>
            <w:tcW w:w="1496" w:type="dxa"/>
          </w:tcPr>
          <w:p>
            <w:pPr>
              <w:pStyle w:val="24"/>
              <w:rPr>
                <w:rFonts w:ascii="Times New Roman"/>
                <w:sz w:val="24"/>
                <w:szCs w:val="24"/>
              </w:rPr>
            </w:pPr>
          </w:p>
        </w:tc>
        <w:tc>
          <w:tcPr>
            <w:tcW w:w="2453" w:type="dxa"/>
          </w:tcPr>
          <w:p>
            <w:pPr>
              <w:pStyle w:val="24"/>
              <w:rPr>
                <w:rFonts w:ascii="Times New Roman"/>
                <w:sz w:val="24"/>
                <w:szCs w:val="24"/>
              </w:rPr>
            </w:pPr>
          </w:p>
        </w:tc>
        <w:tc>
          <w:tcPr>
            <w:tcW w:w="2227" w:type="dxa"/>
          </w:tcPr>
          <w:p>
            <w:pPr>
              <w:pStyle w:val="24"/>
              <w:rPr>
                <w:rFonts w:ascii="Times New Roman"/>
                <w:sz w:val="24"/>
                <w:szCs w:val="24"/>
              </w:rPr>
            </w:pPr>
          </w:p>
        </w:tc>
        <w:tc>
          <w:tcPr>
            <w:tcW w:w="1600" w:type="dxa"/>
          </w:tcPr>
          <w:p>
            <w:pPr>
              <w:pStyle w:val="24"/>
              <w:rPr>
                <w:rFonts w:ascii="Times New Roman"/>
                <w:sz w:val="24"/>
                <w:szCs w:val="24"/>
              </w:rPr>
            </w:pPr>
          </w:p>
        </w:tc>
        <w:tc>
          <w:tcPr>
            <w:tcW w:w="1134" w:type="dxa"/>
          </w:tcPr>
          <w:p>
            <w:pPr>
              <w:pStyle w:val="24"/>
              <w:rPr>
                <w:rFonts w:ascii="Times New Roman"/>
                <w:sz w:val="24"/>
                <w:szCs w:val="24"/>
              </w:rPr>
            </w:pPr>
          </w:p>
        </w:tc>
      </w:tr>
    </w:tbl>
    <w:p>
      <w:pPr>
        <w:spacing w:before="81"/>
        <w:ind w:left="637" w:right="0" w:firstLine="0"/>
        <w:jc w:val="left"/>
        <w:rPr>
          <w:b/>
          <w:sz w:val="24"/>
        </w:rPr>
      </w:pPr>
      <w:r>
        <w:rPr>
          <w:b/>
          <w:sz w:val="24"/>
        </w:rPr>
        <w:t>注：与招标文件要求逐条对应填写。</w:t>
      </w:r>
    </w:p>
    <w:p>
      <w:pPr>
        <w:tabs>
          <w:tab w:val="left" w:pos="5273"/>
        </w:tabs>
        <w:spacing w:before="161"/>
        <w:ind w:left="637" w:right="0" w:firstLine="0"/>
        <w:jc w:val="left"/>
        <w:rPr>
          <w:rFonts w:ascii="Times New Roman" w:eastAsia="Times New Roman"/>
          <w:b/>
          <w:color w:val="auto"/>
          <w:sz w:val="24"/>
          <w:u w:val="single"/>
        </w:rPr>
      </w:pPr>
      <w:r>
        <w:rPr>
          <w:rFonts w:hint="eastAsia"/>
          <w:b/>
          <w:color w:val="auto"/>
          <w:w w:val="95"/>
          <w:sz w:val="24"/>
          <w:lang w:val="en-US" w:eastAsia="zh-CN"/>
        </w:rPr>
        <w:t>法定代表人或</w:t>
      </w:r>
      <w:r>
        <w:rPr>
          <w:b/>
          <w:color w:val="auto"/>
          <w:w w:val="95"/>
          <w:sz w:val="24"/>
        </w:rPr>
        <w:t>投标人代表签字</w:t>
      </w:r>
      <w:r>
        <w:rPr>
          <w:rFonts w:hint="eastAsia"/>
          <w:b/>
          <w:color w:val="auto"/>
          <w:w w:val="95"/>
          <w:sz w:val="24"/>
          <w:lang w:val="en-US" w:eastAsia="zh-CN"/>
        </w:rPr>
        <w:t>或盖章</w:t>
      </w:r>
      <w:r>
        <w:rPr>
          <w:b/>
          <w:color w:val="auto"/>
          <w:w w:val="95"/>
          <w:sz w:val="24"/>
        </w:rPr>
        <w:t>：</w:t>
      </w:r>
      <w:r>
        <w:rPr>
          <w:rFonts w:ascii="Times New Roman" w:eastAsia="Times New Roman"/>
          <w:b/>
          <w:color w:val="auto"/>
          <w:sz w:val="24"/>
          <w:u w:val="single"/>
        </w:rPr>
        <w:t xml:space="preserve"> </w:t>
      </w:r>
      <w:r>
        <w:rPr>
          <w:rFonts w:ascii="Times New Roman" w:eastAsia="Times New Roman"/>
          <w:b/>
          <w:color w:val="auto"/>
          <w:sz w:val="24"/>
          <w:u w:val="single"/>
        </w:rPr>
        <w:tab/>
      </w:r>
    </w:p>
    <w:p>
      <w:pPr>
        <w:pStyle w:val="2"/>
        <w:rPr>
          <w:rFonts w:ascii="Times New Roman" w:eastAsia="Times New Roman"/>
          <w:b/>
          <w:color w:val="auto"/>
          <w:sz w:val="24"/>
          <w:u w:val="single"/>
        </w:rPr>
      </w:pPr>
    </w:p>
    <w:p>
      <w:pPr>
        <w:pStyle w:val="2"/>
        <w:rPr>
          <w:rFonts w:ascii="Times New Roman" w:eastAsia="Times New Roman"/>
          <w:b/>
          <w:color w:val="auto"/>
          <w:sz w:val="24"/>
          <w:u w:val="single"/>
        </w:rPr>
      </w:pPr>
    </w:p>
    <w:p>
      <w:pPr>
        <w:spacing w:before="67"/>
        <w:ind w:right="0" w:firstLine="3373" w:firstLineChars="1200"/>
        <w:jc w:val="left"/>
        <w:rPr>
          <w:b/>
          <w:sz w:val="28"/>
          <w:szCs w:val="28"/>
        </w:rPr>
      </w:pPr>
      <w:r>
        <w:rPr>
          <w:b/>
          <w:sz w:val="28"/>
          <w:szCs w:val="28"/>
        </w:rPr>
        <w:t>（十二）商务条款偏离表</w:t>
      </w:r>
    </w:p>
    <w:p>
      <w:pPr>
        <w:pStyle w:val="10"/>
        <w:spacing w:before="0"/>
        <w:ind w:left="0"/>
        <w:rPr>
          <w:b/>
          <w:sz w:val="11"/>
        </w:rPr>
      </w:pPr>
    </w:p>
    <w:p>
      <w:pPr>
        <w:spacing w:before="67"/>
        <w:ind w:left="1117" w:right="0" w:firstLine="3092" w:firstLineChars="1100"/>
        <w:jc w:val="left"/>
        <w:rPr>
          <w:b/>
          <w:sz w:val="28"/>
          <w:szCs w:val="28"/>
        </w:rPr>
      </w:pPr>
      <w:r>
        <w:rPr>
          <w:b/>
          <w:sz w:val="28"/>
          <w:szCs w:val="28"/>
        </w:rPr>
        <w:t>商务条款偏离表</w:t>
      </w:r>
    </w:p>
    <w:p>
      <w:pPr>
        <w:tabs>
          <w:tab w:val="left" w:pos="6378"/>
          <w:tab w:val="left" w:pos="9015"/>
        </w:tabs>
        <w:spacing w:before="202"/>
        <w:ind w:left="637" w:right="0" w:firstLine="0"/>
        <w:jc w:val="left"/>
        <w:rPr>
          <w:b/>
          <w:sz w:val="24"/>
        </w:rPr>
      </w:pPr>
      <w:r>
        <w:rPr>
          <w:b/>
          <w:sz w:val="24"/>
        </w:rPr>
        <w:t>投标人名</w:t>
      </w:r>
      <w:r>
        <w:rPr>
          <w:b/>
          <w:spacing w:val="-15"/>
          <w:sz w:val="24"/>
        </w:rPr>
        <w:t>称</w:t>
      </w:r>
      <w:r>
        <w:rPr>
          <w:b/>
          <w:sz w:val="24"/>
        </w:rPr>
        <w:t>（公章</w:t>
      </w:r>
      <w:r>
        <w:rPr>
          <w:b/>
          <w:spacing w:val="-6"/>
          <w:sz w:val="24"/>
        </w:rPr>
        <w:t>）：</w:t>
      </w:r>
      <w:r>
        <w:rPr>
          <w:rFonts w:hint="eastAsia"/>
          <w:b/>
          <w:spacing w:val="-6"/>
          <w:sz w:val="24"/>
          <w:lang w:val="en-US" w:eastAsia="zh-CN"/>
        </w:rPr>
        <w:t xml:space="preserve">                     </w:t>
      </w:r>
      <w:r>
        <w:rPr>
          <w:b/>
          <w:sz w:val="24"/>
        </w:rPr>
        <w:t>招标编号/标段</w:t>
      </w:r>
      <w:r>
        <w:rPr>
          <w:rFonts w:hint="eastAsia"/>
          <w:b/>
          <w:sz w:val="24"/>
          <w:lang w:val="en-US" w:eastAsia="zh-CN"/>
        </w:rPr>
        <w:t xml:space="preserve">     </w:t>
      </w:r>
      <w:r>
        <w:rPr>
          <w:b/>
          <w:sz w:val="24"/>
        </w:rPr>
        <w:t>号：</w:t>
      </w:r>
      <w:r>
        <w:rPr>
          <w:rFonts w:hint="eastAsia"/>
          <w:b/>
          <w:sz w:val="24"/>
          <w:lang w:val="en-US" w:eastAsia="zh-CN"/>
        </w:rPr>
        <w:t xml:space="preserve">  </w:t>
      </w:r>
      <w:r>
        <w:rPr>
          <w:b/>
          <w:sz w:val="24"/>
        </w:rPr>
        <w:t>包</w:t>
      </w:r>
    </w:p>
    <w:p>
      <w:pPr>
        <w:pStyle w:val="10"/>
        <w:spacing w:before="3"/>
        <w:ind w:left="0"/>
        <w:rPr>
          <w:b/>
          <w:sz w:val="6"/>
        </w:rPr>
      </w:pPr>
    </w:p>
    <w:tbl>
      <w:tblPr>
        <w:tblStyle w:val="18"/>
        <w:tblW w:w="0" w:type="auto"/>
        <w:tblInd w:w="6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1260"/>
        <w:gridCol w:w="2520"/>
        <w:gridCol w:w="2556"/>
        <w:gridCol w:w="20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675" w:type="dxa"/>
          </w:tcPr>
          <w:p>
            <w:pPr>
              <w:pStyle w:val="24"/>
              <w:rPr>
                <w:b/>
                <w:sz w:val="28"/>
                <w:szCs w:val="24"/>
              </w:rPr>
            </w:pPr>
          </w:p>
          <w:p>
            <w:pPr>
              <w:pStyle w:val="24"/>
              <w:ind w:left="125"/>
              <w:rPr>
                <w:b/>
                <w:sz w:val="22"/>
                <w:szCs w:val="24"/>
              </w:rPr>
            </w:pPr>
            <w:r>
              <w:rPr>
                <w:b/>
                <w:sz w:val="22"/>
                <w:szCs w:val="24"/>
              </w:rPr>
              <w:t>序号</w:t>
            </w:r>
          </w:p>
        </w:tc>
        <w:tc>
          <w:tcPr>
            <w:tcW w:w="1260" w:type="dxa"/>
          </w:tcPr>
          <w:p>
            <w:pPr>
              <w:pStyle w:val="24"/>
              <w:spacing w:before="98"/>
              <w:ind w:left="188" w:right="178"/>
              <w:jc w:val="center"/>
              <w:rPr>
                <w:b/>
                <w:sz w:val="22"/>
                <w:szCs w:val="24"/>
              </w:rPr>
            </w:pPr>
            <w:r>
              <w:rPr>
                <w:b/>
                <w:sz w:val="22"/>
                <w:szCs w:val="24"/>
              </w:rPr>
              <w:t>招标文件</w:t>
            </w:r>
          </w:p>
          <w:p>
            <w:pPr>
              <w:pStyle w:val="24"/>
              <w:spacing w:before="7"/>
              <w:rPr>
                <w:b/>
                <w:sz w:val="16"/>
                <w:szCs w:val="24"/>
              </w:rPr>
            </w:pPr>
          </w:p>
          <w:p>
            <w:pPr>
              <w:pStyle w:val="24"/>
              <w:ind w:left="188" w:right="178"/>
              <w:jc w:val="center"/>
              <w:rPr>
                <w:b/>
                <w:sz w:val="22"/>
                <w:szCs w:val="24"/>
              </w:rPr>
            </w:pPr>
            <w:r>
              <w:rPr>
                <w:b/>
                <w:sz w:val="22"/>
                <w:szCs w:val="24"/>
              </w:rPr>
              <w:t>条目号</w:t>
            </w:r>
          </w:p>
        </w:tc>
        <w:tc>
          <w:tcPr>
            <w:tcW w:w="2520" w:type="dxa"/>
          </w:tcPr>
          <w:p>
            <w:pPr>
              <w:pStyle w:val="24"/>
              <w:rPr>
                <w:b/>
                <w:sz w:val="28"/>
                <w:szCs w:val="24"/>
              </w:rPr>
            </w:pPr>
          </w:p>
          <w:p>
            <w:pPr>
              <w:pStyle w:val="24"/>
              <w:ind w:left="211"/>
              <w:rPr>
                <w:b/>
                <w:sz w:val="22"/>
                <w:szCs w:val="24"/>
              </w:rPr>
            </w:pPr>
            <w:r>
              <w:rPr>
                <w:b/>
                <w:sz w:val="22"/>
                <w:szCs w:val="24"/>
              </w:rPr>
              <w:t>招标文件的商务条款</w:t>
            </w:r>
          </w:p>
        </w:tc>
        <w:tc>
          <w:tcPr>
            <w:tcW w:w="2556" w:type="dxa"/>
          </w:tcPr>
          <w:p>
            <w:pPr>
              <w:pStyle w:val="24"/>
              <w:rPr>
                <w:b/>
                <w:sz w:val="28"/>
                <w:szCs w:val="24"/>
              </w:rPr>
            </w:pPr>
          </w:p>
          <w:p>
            <w:pPr>
              <w:pStyle w:val="24"/>
              <w:ind w:left="331"/>
              <w:rPr>
                <w:b/>
                <w:sz w:val="22"/>
                <w:szCs w:val="24"/>
              </w:rPr>
            </w:pPr>
            <w:r>
              <w:rPr>
                <w:b/>
                <w:sz w:val="22"/>
                <w:szCs w:val="24"/>
              </w:rPr>
              <w:t>投标文件的商务条款</w:t>
            </w:r>
          </w:p>
        </w:tc>
        <w:tc>
          <w:tcPr>
            <w:tcW w:w="2059" w:type="dxa"/>
          </w:tcPr>
          <w:p>
            <w:pPr>
              <w:pStyle w:val="24"/>
              <w:rPr>
                <w:b/>
                <w:sz w:val="28"/>
                <w:szCs w:val="24"/>
              </w:rPr>
            </w:pPr>
          </w:p>
          <w:p>
            <w:pPr>
              <w:pStyle w:val="24"/>
              <w:ind w:left="668" w:right="660"/>
              <w:jc w:val="center"/>
              <w:rPr>
                <w:b/>
                <w:sz w:val="22"/>
                <w:szCs w:val="24"/>
              </w:rPr>
            </w:pPr>
            <w:r>
              <w:rPr>
                <w:b/>
                <w:sz w:val="22"/>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675" w:type="dxa"/>
          </w:tcPr>
          <w:p>
            <w:pPr>
              <w:pStyle w:val="24"/>
              <w:rPr>
                <w:rFonts w:ascii="Times New Roman"/>
                <w:sz w:val="24"/>
                <w:szCs w:val="24"/>
              </w:rPr>
            </w:pPr>
          </w:p>
        </w:tc>
        <w:tc>
          <w:tcPr>
            <w:tcW w:w="1260" w:type="dxa"/>
          </w:tcPr>
          <w:p>
            <w:pPr>
              <w:pStyle w:val="24"/>
              <w:rPr>
                <w:rFonts w:ascii="Times New Roman"/>
                <w:sz w:val="24"/>
                <w:szCs w:val="24"/>
              </w:rPr>
            </w:pPr>
          </w:p>
        </w:tc>
        <w:tc>
          <w:tcPr>
            <w:tcW w:w="2520" w:type="dxa"/>
          </w:tcPr>
          <w:p>
            <w:pPr>
              <w:pStyle w:val="24"/>
              <w:rPr>
                <w:rFonts w:ascii="Times New Roman"/>
                <w:sz w:val="24"/>
                <w:szCs w:val="24"/>
              </w:rPr>
            </w:pPr>
          </w:p>
        </w:tc>
        <w:tc>
          <w:tcPr>
            <w:tcW w:w="2556" w:type="dxa"/>
          </w:tcPr>
          <w:p>
            <w:pPr>
              <w:pStyle w:val="24"/>
              <w:rPr>
                <w:rFonts w:ascii="Times New Roman"/>
                <w:sz w:val="24"/>
                <w:szCs w:val="24"/>
              </w:rPr>
            </w:pPr>
          </w:p>
        </w:tc>
        <w:tc>
          <w:tcPr>
            <w:tcW w:w="2059"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675" w:type="dxa"/>
          </w:tcPr>
          <w:p>
            <w:pPr>
              <w:pStyle w:val="24"/>
              <w:rPr>
                <w:rFonts w:ascii="Times New Roman"/>
                <w:sz w:val="24"/>
                <w:szCs w:val="24"/>
              </w:rPr>
            </w:pPr>
          </w:p>
        </w:tc>
        <w:tc>
          <w:tcPr>
            <w:tcW w:w="1260" w:type="dxa"/>
          </w:tcPr>
          <w:p>
            <w:pPr>
              <w:pStyle w:val="24"/>
              <w:rPr>
                <w:rFonts w:ascii="Times New Roman"/>
                <w:sz w:val="24"/>
                <w:szCs w:val="24"/>
              </w:rPr>
            </w:pPr>
          </w:p>
        </w:tc>
        <w:tc>
          <w:tcPr>
            <w:tcW w:w="2520" w:type="dxa"/>
          </w:tcPr>
          <w:p>
            <w:pPr>
              <w:pStyle w:val="24"/>
              <w:rPr>
                <w:rFonts w:ascii="Times New Roman"/>
                <w:sz w:val="24"/>
                <w:szCs w:val="24"/>
              </w:rPr>
            </w:pPr>
          </w:p>
        </w:tc>
        <w:tc>
          <w:tcPr>
            <w:tcW w:w="2556" w:type="dxa"/>
          </w:tcPr>
          <w:p>
            <w:pPr>
              <w:pStyle w:val="24"/>
              <w:rPr>
                <w:rFonts w:ascii="Times New Roman"/>
                <w:sz w:val="24"/>
                <w:szCs w:val="24"/>
              </w:rPr>
            </w:pPr>
          </w:p>
        </w:tc>
        <w:tc>
          <w:tcPr>
            <w:tcW w:w="2059"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675" w:type="dxa"/>
          </w:tcPr>
          <w:p>
            <w:pPr>
              <w:pStyle w:val="24"/>
              <w:rPr>
                <w:rFonts w:ascii="Times New Roman"/>
                <w:sz w:val="24"/>
                <w:szCs w:val="24"/>
              </w:rPr>
            </w:pPr>
          </w:p>
        </w:tc>
        <w:tc>
          <w:tcPr>
            <w:tcW w:w="1260" w:type="dxa"/>
          </w:tcPr>
          <w:p>
            <w:pPr>
              <w:pStyle w:val="24"/>
              <w:rPr>
                <w:rFonts w:ascii="Times New Roman"/>
                <w:sz w:val="24"/>
                <w:szCs w:val="24"/>
              </w:rPr>
            </w:pPr>
          </w:p>
        </w:tc>
        <w:tc>
          <w:tcPr>
            <w:tcW w:w="2520" w:type="dxa"/>
          </w:tcPr>
          <w:p>
            <w:pPr>
              <w:pStyle w:val="24"/>
              <w:rPr>
                <w:rFonts w:ascii="Times New Roman"/>
                <w:sz w:val="24"/>
                <w:szCs w:val="24"/>
              </w:rPr>
            </w:pPr>
          </w:p>
        </w:tc>
        <w:tc>
          <w:tcPr>
            <w:tcW w:w="2556" w:type="dxa"/>
          </w:tcPr>
          <w:p>
            <w:pPr>
              <w:pStyle w:val="24"/>
              <w:rPr>
                <w:rFonts w:ascii="Times New Roman"/>
                <w:sz w:val="24"/>
                <w:szCs w:val="24"/>
              </w:rPr>
            </w:pPr>
          </w:p>
        </w:tc>
        <w:tc>
          <w:tcPr>
            <w:tcW w:w="2059" w:type="dxa"/>
          </w:tcPr>
          <w:p>
            <w:pPr>
              <w:pStyle w:val="24"/>
              <w:rPr>
                <w:rFonts w:ascii="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675" w:type="dxa"/>
          </w:tcPr>
          <w:p>
            <w:pPr>
              <w:pStyle w:val="24"/>
              <w:rPr>
                <w:rFonts w:ascii="Times New Roman"/>
                <w:sz w:val="24"/>
                <w:szCs w:val="24"/>
              </w:rPr>
            </w:pPr>
          </w:p>
        </w:tc>
        <w:tc>
          <w:tcPr>
            <w:tcW w:w="1260" w:type="dxa"/>
          </w:tcPr>
          <w:p>
            <w:pPr>
              <w:pStyle w:val="24"/>
              <w:rPr>
                <w:rFonts w:ascii="Times New Roman"/>
                <w:sz w:val="24"/>
                <w:szCs w:val="24"/>
              </w:rPr>
            </w:pPr>
          </w:p>
        </w:tc>
        <w:tc>
          <w:tcPr>
            <w:tcW w:w="2520" w:type="dxa"/>
          </w:tcPr>
          <w:p>
            <w:pPr>
              <w:pStyle w:val="24"/>
              <w:rPr>
                <w:rFonts w:ascii="Times New Roman"/>
                <w:sz w:val="24"/>
                <w:szCs w:val="24"/>
              </w:rPr>
            </w:pPr>
          </w:p>
        </w:tc>
        <w:tc>
          <w:tcPr>
            <w:tcW w:w="2556" w:type="dxa"/>
          </w:tcPr>
          <w:p>
            <w:pPr>
              <w:pStyle w:val="24"/>
              <w:rPr>
                <w:rFonts w:ascii="Times New Roman"/>
                <w:sz w:val="24"/>
                <w:szCs w:val="24"/>
              </w:rPr>
            </w:pPr>
          </w:p>
        </w:tc>
        <w:tc>
          <w:tcPr>
            <w:tcW w:w="2059" w:type="dxa"/>
          </w:tcPr>
          <w:p>
            <w:pPr>
              <w:pStyle w:val="24"/>
              <w:rPr>
                <w:rFonts w:ascii="Times New Roman"/>
                <w:sz w:val="24"/>
                <w:szCs w:val="24"/>
              </w:rPr>
            </w:pPr>
          </w:p>
        </w:tc>
      </w:tr>
    </w:tbl>
    <w:p>
      <w:pPr>
        <w:pStyle w:val="10"/>
        <w:spacing w:before="0"/>
        <w:ind w:left="0"/>
        <w:rPr>
          <w:b/>
        </w:rPr>
      </w:pPr>
    </w:p>
    <w:p>
      <w:pPr>
        <w:pStyle w:val="10"/>
        <w:spacing w:before="10"/>
        <w:ind w:left="0"/>
        <w:rPr>
          <w:b/>
          <w:sz w:val="18"/>
        </w:rPr>
      </w:pPr>
    </w:p>
    <w:p>
      <w:pPr>
        <w:tabs>
          <w:tab w:val="left" w:pos="6235"/>
        </w:tabs>
        <w:spacing w:before="1"/>
        <w:ind w:left="637" w:right="0" w:firstLine="0"/>
        <w:jc w:val="left"/>
        <w:rPr>
          <w:rFonts w:ascii="Times New Roman" w:eastAsia="Times New Roman"/>
          <w:b/>
          <w:color w:val="auto"/>
          <w:sz w:val="24"/>
        </w:rPr>
      </w:pPr>
      <w:r>
        <w:rPr>
          <w:rFonts w:hint="eastAsia"/>
          <w:b/>
          <w:color w:val="auto"/>
          <w:w w:val="95"/>
          <w:sz w:val="24"/>
          <w:lang w:val="en-US" w:eastAsia="zh-CN"/>
        </w:rPr>
        <w:t>法定代表人或</w:t>
      </w:r>
      <w:r>
        <w:rPr>
          <w:b/>
          <w:color w:val="auto"/>
          <w:w w:val="95"/>
          <w:sz w:val="24"/>
        </w:rPr>
        <w:t>投标人代表签字</w:t>
      </w:r>
      <w:r>
        <w:rPr>
          <w:rFonts w:hint="eastAsia"/>
          <w:b/>
          <w:color w:val="auto"/>
          <w:w w:val="95"/>
          <w:sz w:val="24"/>
          <w:lang w:val="en-US" w:eastAsia="zh-CN"/>
        </w:rPr>
        <w:t>或盖章</w:t>
      </w:r>
      <w:r>
        <w:rPr>
          <w:b/>
          <w:color w:val="auto"/>
          <w:w w:val="95"/>
          <w:sz w:val="24"/>
        </w:rPr>
        <w:t>：</w:t>
      </w:r>
      <w:r>
        <w:rPr>
          <w:rFonts w:ascii="Times New Roman" w:eastAsia="Times New Roman"/>
          <w:b/>
          <w:color w:val="auto"/>
          <w:sz w:val="24"/>
          <w:u w:val="single"/>
        </w:rPr>
        <w:t xml:space="preserve"> </w:t>
      </w:r>
      <w:r>
        <w:rPr>
          <w:rFonts w:ascii="Times New Roman" w:eastAsia="Times New Roman"/>
          <w:b/>
          <w:color w:val="auto"/>
          <w:sz w:val="24"/>
          <w:u w:val="single"/>
        </w:rPr>
        <w:tab/>
      </w:r>
    </w:p>
    <w:p>
      <w:pPr>
        <w:spacing w:before="160"/>
        <w:ind w:left="0" w:right="111" w:firstLine="0"/>
        <w:jc w:val="center"/>
        <w:rPr>
          <w:b/>
          <w:color w:val="auto"/>
          <w:sz w:val="24"/>
        </w:rPr>
      </w:pPr>
    </w:p>
    <w:p>
      <w:pPr>
        <w:spacing w:before="160"/>
        <w:ind w:left="0" w:right="111" w:firstLine="0"/>
        <w:jc w:val="center"/>
        <w:rPr>
          <w:b/>
          <w:sz w:val="24"/>
        </w:rPr>
      </w:pPr>
    </w:p>
    <w:p>
      <w:pPr>
        <w:spacing w:before="160"/>
        <w:ind w:left="0" w:right="111" w:firstLine="0"/>
        <w:jc w:val="center"/>
        <w:rPr>
          <w:b/>
          <w:sz w:val="24"/>
        </w:rPr>
      </w:pPr>
    </w:p>
    <w:p>
      <w:pPr>
        <w:spacing w:before="160"/>
        <w:ind w:left="0" w:right="111" w:firstLine="0"/>
        <w:jc w:val="center"/>
        <w:rPr>
          <w:b/>
          <w:sz w:val="24"/>
        </w:rPr>
      </w:pPr>
    </w:p>
    <w:p>
      <w:pPr>
        <w:spacing w:before="160"/>
        <w:ind w:left="0" w:right="111" w:firstLine="0"/>
        <w:jc w:val="center"/>
        <w:rPr>
          <w:b/>
          <w:sz w:val="24"/>
        </w:rPr>
      </w:pPr>
    </w:p>
    <w:p>
      <w:pPr>
        <w:spacing w:before="160"/>
        <w:ind w:left="0" w:right="111" w:firstLine="0"/>
        <w:jc w:val="both"/>
        <w:rPr>
          <w:b/>
          <w:sz w:val="24"/>
        </w:rPr>
      </w:pPr>
    </w:p>
    <w:p>
      <w:pPr>
        <w:spacing w:before="199"/>
        <w:ind w:left="0" w:right="10" w:firstLine="0"/>
        <w:jc w:val="center"/>
        <w:rPr>
          <w:b/>
          <w:sz w:val="30"/>
        </w:rPr>
      </w:pPr>
      <w:r>
        <w:rPr>
          <w:b/>
          <w:sz w:val="30"/>
        </w:rPr>
        <w:t>（十三）近三年</w:t>
      </w:r>
      <w:r>
        <w:rPr>
          <w:rFonts w:hint="eastAsia"/>
          <w:b/>
          <w:sz w:val="30"/>
          <w:lang w:eastAsia="zh-CN"/>
        </w:rPr>
        <w:t>（</w:t>
      </w:r>
      <w:r>
        <w:rPr>
          <w:rFonts w:hint="eastAsia"/>
          <w:b/>
          <w:sz w:val="30"/>
          <w:lang w:val="en-US" w:eastAsia="zh-CN"/>
        </w:rPr>
        <w:t>2019至2021</w:t>
      </w:r>
      <w:r>
        <w:rPr>
          <w:rFonts w:hint="eastAsia"/>
          <w:b/>
          <w:sz w:val="30"/>
          <w:lang w:eastAsia="zh-CN"/>
        </w:rPr>
        <w:t>）类似项目</w:t>
      </w:r>
      <w:r>
        <w:rPr>
          <w:b/>
          <w:sz w:val="30"/>
        </w:rPr>
        <w:t>的业绩表</w:t>
      </w:r>
    </w:p>
    <w:p>
      <w:pPr>
        <w:tabs>
          <w:tab w:val="left" w:pos="6529"/>
          <w:tab w:val="left" w:pos="9015"/>
        </w:tabs>
        <w:spacing w:before="201"/>
        <w:ind w:left="637" w:right="0" w:firstLine="0"/>
        <w:jc w:val="left"/>
        <w:rPr>
          <w:b/>
          <w:sz w:val="24"/>
        </w:rPr>
      </w:pPr>
      <w:r>
        <w:rPr>
          <w:b/>
          <w:sz w:val="24"/>
        </w:rPr>
        <w:t>投标人名</w:t>
      </w:r>
      <w:r>
        <w:rPr>
          <w:b/>
          <w:spacing w:val="-46"/>
          <w:sz w:val="24"/>
        </w:rPr>
        <w:t>称</w:t>
      </w:r>
      <w:r>
        <w:rPr>
          <w:b/>
          <w:sz w:val="24"/>
        </w:rPr>
        <w:t>（公章</w:t>
      </w:r>
      <w:r>
        <w:rPr>
          <w:b/>
          <w:spacing w:val="-21"/>
          <w:sz w:val="24"/>
        </w:rPr>
        <w:t>）：</w:t>
      </w:r>
      <w:r>
        <w:rPr>
          <w:b/>
          <w:spacing w:val="-21"/>
          <w:sz w:val="24"/>
        </w:rPr>
        <w:tab/>
      </w:r>
      <w:r>
        <w:rPr>
          <w:b/>
          <w:sz w:val="24"/>
        </w:rPr>
        <w:t>招标编号/标段号：</w:t>
      </w:r>
      <w:r>
        <w:rPr>
          <w:b/>
          <w:sz w:val="24"/>
        </w:rPr>
        <w:tab/>
      </w:r>
      <w:r>
        <w:rPr>
          <w:b/>
          <w:sz w:val="24"/>
        </w:rPr>
        <w:t>包</w:t>
      </w:r>
    </w:p>
    <w:p>
      <w:pPr>
        <w:pStyle w:val="10"/>
        <w:spacing w:before="3"/>
        <w:ind w:left="0"/>
        <w:rPr>
          <w:b/>
          <w:sz w:val="6"/>
        </w:rPr>
      </w:pPr>
    </w:p>
    <w:tbl>
      <w:tblPr>
        <w:tblStyle w:val="18"/>
        <w:tblW w:w="0" w:type="auto"/>
        <w:tblInd w:w="64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20"/>
        <w:gridCol w:w="1620"/>
        <w:gridCol w:w="3060"/>
        <w:gridCol w:w="900"/>
        <w:gridCol w:w="18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620" w:type="dxa"/>
          </w:tcPr>
          <w:p>
            <w:pPr>
              <w:pStyle w:val="24"/>
              <w:tabs>
                <w:tab w:val="left" w:pos="1022"/>
              </w:tabs>
              <w:spacing w:before="98"/>
              <w:ind w:left="389"/>
              <w:rPr>
                <w:b/>
                <w:sz w:val="21"/>
              </w:rPr>
            </w:pPr>
            <w:r>
              <w:rPr>
                <w:b/>
                <w:sz w:val="21"/>
              </w:rPr>
              <w:t>地</w:t>
            </w:r>
            <w:r>
              <w:rPr>
                <w:b/>
                <w:sz w:val="21"/>
              </w:rPr>
              <w:tab/>
            </w:r>
            <w:r>
              <w:rPr>
                <w:b/>
                <w:sz w:val="21"/>
              </w:rPr>
              <w:t>区</w:t>
            </w:r>
          </w:p>
        </w:tc>
        <w:tc>
          <w:tcPr>
            <w:tcW w:w="1620" w:type="dxa"/>
          </w:tcPr>
          <w:p>
            <w:pPr>
              <w:pStyle w:val="24"/>
              <w:spacing w:before="98"/>
              <w:ind w:left="441"/>
              <w:rPr>
                <w:b/>
                <w:sz w:val="21"/>
              </w:rPr>
            </w:pPr>
            <w:r>
              <w:rPr>
                <w:b/>
                <w:sz w:val="21"/>
              </w:rPr>
              <w:t>货物名称</w:t>
            </w:r>
          </w:p>
        </w:tc>
        <w:tc>
          <w:tcPr>
            <w:tcW w:w="3060" w:type="dxa"/>
          </w:tcPr>
          <w:p>
            <w:pPr>
              <w:pStyle w:val="24"/>
              <w:spacing w:before="98"/>
              <w:ind w:left="528"/>
              <w:rPr>
                <w:b/>
                <w:sz w:val="21"/>
              </w:rPr>
            </w:pPr>
            <w:r>
              <w:rPr>
                <w:b/>
                <w:sz w:val="21"/>
              </w:rPr>
              <w:t>规格及型号</w:t>
            </w:r>
          </w:p>
        </w:tc>
        <w:tc>
          <w:tcPr>
            <w:tcW w:w="900" w:type="dxa"/>
          </w:tcPr>
          <w:p>
            <w:pPr>
              <w:pStyle w:val="24"/>
              <w:spacing w:before="98"/>
              <w:ind w:left="240"/>
              <w:rPr>
                <w:b/>
                <w:sz w:val="21"/>
              </w:rPr>
            </w:pPr>
            <w:r>
              <w:rPr>
                <w:b/>
                <w:sz w:val="21"/>
              </w:rPr>
              <w:t>数量</w:t>
            </w:r>
          </w:p>
        </w:tc>
        <w:tc>
          <w:tcPr>
            <w:tcW w:w="1800" w:type="dxa"/>
          </w:tcPr>
          <w:p>
            <w:pPr>
              <w:pStyle w:val="24"/>
              <w:spacing w:before="98"/>
              <w:ind w:left="521"/>
              <w:rPr>
                <w:b/>
                <w:sz w:val="21"/>
              </w:rPr>
            </w:pPr>
            <w:r>
              <w:rPr>
                <w:b/>
                <w:sz w:val="21"/>
              </w:rPr>
              <w:t>备 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7" w:hRule="atLeast"/>
        </w:trPr>
        <w:tc>
          <w:tcPr>
            <w:tcW w:w="1620" w:type="dxa"/>
          </w:tcPr>
          <w:p>
            <w:pPr>
              <w:pStyle w:val="24"/>
              <w:rPr>
                <w:rFonts w:ascii="Times New Roman"/>
                <w:sz w:val="22"/>
              </w:rPr>
            </w:pPr>
          </w:p>
        </w:tc>
        <w:tc>
          <w:tcPr>
            <w:tcW w:w="1620" w:type="dxa"/>
          </w:tcPr>
          <w:p>
            <w:pPr>
              <w:pStyle w:val="24"/>
              <w:rPr>
                <w:rFonts w:ascii="Times New Roman"/>
                <w:sz w:val="22"/>
              </w:rPr>
            </w:pPr>
          </w:p>
        </w:tc>
        <w:tc>
          <w:tcPr>
            <w:tcW w:w="3060" w:type="dxa"/>
          </w:tcPr>
          <w:p>
            <w:pPr>
              <w:pStyle w:val="24"/>
              <w:rPr>
                <w:rFonts w:ascii="Times New Roman"/>
                <w:sz w:val="22"/>
              </w:rPr>
            </w:pPr>
          </w:p>
        </w:tc>
        <w:tc>
          <w:tcPr>
            <w:tcW w:w="900" w:type="dxa"/>
          </w:tcPr>
          <w:p>
            <w:pPr>
              <w:pStyle w:val="24"/>
              <w:rPr>
                <w:rFonts w:ascii="Times New Roman"/>
                <w:sz w:val="22"/>
              </w:rPr>
            </w:pPr>
          </w:p>
        </w:tc>
        <w:tc>
          <w:tcPr>
            <w:tcW w:w="1800" w:type="dxa"/>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620" w:type="dxa"/>
          </w:tcPr>
          <w:p>
            <w:pPr>
              <w:pStyle w:val="24"/>
              <w:rPr>
                <w:rFonts w:ascii="Times New Roman"/>
                <w:sz w:val="22"/>
              </w:rPr>
            </w:pPr>
          </w:p>
        </w:tc>
        <w:tc>
          <w:tcPr>
            <w:tcW w:w="1620" w:type="dxa"/>
          </w:tcPr>
          <w:p>
            <w:pPr>
              <w:pStyle w:val="24"/>
              <w:rPr>
                <w:rFonts w:ascii="Times New Roman"/>
                <w:sz w:val="22"/>
              </w:rPr>
            </w:pPr>
          </w:p>
        </w:tc>
        <w:tc>
          <w:tcPr>
            <w:tcW w:w="3060" w:type="dxa"/>
          </w:tcPr>
          <w:p>
            <w:pPr>
              <w:pStyle w:val="24"/>
              <w:rPr>
                <w:rFonts w:ascii="Times New Roman"/>
                <w:sz w:val="22"/>
              </w:rPr>
            </w:pPr>
          </w:p>
        </w:tc>
        <w:tc>
          <w:tcPr>
            <w:tcW w:w="900" w:type="dxa"/>
          </w:tcPr>
          <w:p>
            <w:pPr>
              <w:pStyle w:val="24"/>
              <w:rPr>
                <w:rFonts w:ascii="Times New Roman"/>
                <w:sz w:val="22"/>
              </w:rPr>
            </w:pPr>
          </w:p>
        </w:tc>
        <w:tc>
          <w:tcPr>
            <w:tcW w:w="1800" w:type="dxa"/>
          </w:tcPr>
          <w:p>
            <w:pPr>
              <w:pStyle w:val="24"/>
              <w:rPr>
                <w:rFonts w:ascii="Times New Roman"/>
                <w:sz w:val="22"/>
              </w:rPr>
            </w:pPr>
          </w:p>
        </w:tc>
      </w:tr>
    </w:tbl>
    <w:p>
      <w:pPr>
        <w:spacing w:before="91"/>
        <w:ind w:left="637" w:right="0" w:firstLine="0"/>
        <w:jc w:val="left"/>
        <w:rPr>
          <w:b/>
          <w:color w:val="auto"/>
          <w:sz w:val="24"/>
        </w:rPr>
      </w:pPr>
      <w:r>
        <w:rPr>
          <w:b/>
          <w:color w:val="auto"/>
          <w:sz w:val="24"/>
        </w:rPr>
        <w:t>注：业绩须附有合同</w:t>
      </w:r>
      <w:r>
        <w:rPr>
          <w:rFonts w:hint="eastAsia"/>
          <w:b/>
          <w:color w:val="auto"/>
          <w:sz w:val="24"/>
          <w:lang w:val="en-US" w:eastAsia="zh-CN"/>
        </w:rPr>
        <w:t>或者中标通知书</w:t>
      </w:r>
      <w:r>
        <w:rPr>
          <w:b/>
          <w:color w:val="auto"/>
          <w:sz w:val="24"/>
        </w:rPr>
        <w:t>。</w:t>
      </w:r>
    </w:p>
    <w:p>
      <w:pPr>
        <w:tabs>
          <w:tab w:val="left" w:pos="6235"/>
        </w:tabs>
        <w:spacing w:before="160"/>
        <w:ind w:left="637" w:right="0" w:firstLine="0"/>
        <w:jc w:val="left"/>
        <w:rPr>
          <w:rFonts w:ascii="Times New Roman" w:eastAsia="Times New Roman"/>
          <w:b/>
          <w:color w:val="auto"/>
          <w:sz w:val="24"/>
        </w:rPr>
      </w:pPr>
      <w:r>
        <w:rPr>
          <w:rFonts w:hint="eastAsia"/>
          <w:b/>
          <w:color w:val="auto"/>
          <w:w w:val="95"/>
          <w:sz w:val="24"/>
          <w:lang w:val="en-US" w:eastAsia="zh-CN"/>
        </w:rPr>
        <w:t>法定代表人或</w:t>
      </w:r>
      <w:r>
        <w:rPr>
          <w:b/>
          <w:color w:val="auto"/>
          <w:w w:val="95"/>
          <w:sz w:val="24"/>
        </w:rPr>
        <w:t>投标人代表签字</w:t>
      </w:r>
      <w:r>
        <w:rPr>
          <w:rFonts w:hint="eastAsia"/>
          <w:b/>
          <w:color w:val="auto"/>
          <w:w w:val="95"/>
          <w:sz w:val="24"/>
          <w:lang w:val="en-US" w:eastAsia="zh-CN"/>
        </w:rPr>
        <w:t>或盖章</w:t>
      </w:r>
      <w:r>
        <w:rPr>
          <w:b/>
          <w:color w:val="auto"/>
          <w:w w:val="95"/>
          <w:sz w:val="24"/>
        </w:rPr>
        <w:t>：</w:t>
      </w:r>
      <w:r>
        <w:rPr>
          <w:rFonts w:ascii="Times New Roman" w:eastAsia="Times New Roman"/>
          <w:b/>
          <w:color w:val="auto"/>
          <w:sz w:val="24"/>
          <w:u w:val="single"/>
        </w:rPr>
        <w:t xml:space="preserve"> </w:t>
      </w:r>
      <w:r>
        <w:rPr>
          <w:rFonts w:ascii="Times New Roman" w:eastAsia="Times New Roman"/>
          <w:b/>
          <w:color w:val="auto"/>
          <w:sz w:val="24"/>
          <w:u w:val="single"/>
        </w:rPr>
        <w:tab/>
      </w:r>
    </w:p>
    <w:p>
      <w:pPr>
        <w:spacing w:after="0"/>
        <w:rPr>
          <w:rFonts w:ascii="Times New Roman"/>
          <w:color w:val="auto"/>
          <w:sz w:val="22"/>
        </w:rPr>
        <w:sectPr>
          <w:pgSz w:w="11910" w:h="16840"/>
          <w:pgMar w:top="1420" w:right="240" w:bottom="1180" w:left="1160" w:header="878" w:footer="993" w:gutter="0"/>
          <w:pgNumType w:fmt="decimal"/>
          <w:cols w:space="720" w:num="1"/>
        </w:sectPr>
      </w:pPr>
    </w:p>
    <w:p>
      <w:pPr>
        <w:spacing w:before="199"/>
        <w:ind w:left="0" w:right="10" w:firstLine="0"/>
        <w:jc w:val="center"/>
        <w:rPr>
          <w:b/>
          <w:sz w:val="30"/>
        </w:rPr>
      </w:pPr>
      <w:r>
        <w:rPr>
          <w:b/>
          <w:sz w:val="30"/>
        </w:rPr>
        <w:t>（十四）投标单位（供应商）反商业贿赂承诺书</w:t>
      </w:r>
    </w:p>
    <w:p>
      <w:pPr>
        <w:spacing w:before="199"/>
        <w:ind w:left="0" w:right="10" w:firstLine="0"/>
        <w:jc w:val="center"/>
        <w:rPr>
          <w:b/>
          <w:sz w:val="30"/>
        </w:rPr>
      </w:pPr>
      <w:r>
        <w:rPr>
          <w:b/>
          <w:sz w:val="30"/>
        </w:rPr>
        <w:t>投标单位（供应商）反商业贿赂承诺书</w:t>
      </w:r>
    </w:p>
    <w:p>
      <w:pPr>
        <w:pStyle w:val="10"/>
        <w:spacing w:before="201" w:line="364" w:lineRule="auto"/>
        <w:ind w:right="1249" w:firstLine="480"/>
        <w:jc w:val="both"/>
      </w:pPr>
      <w:r>
        <w:rPr>
          <w:spacing w:val="-1"/>
        </w:rPr>
        <w:t>我公司承诺在</w:t>
      </w:r>
      <w:r>
        <w:rPr>
          <w:u w:val="single"/>
        </w:rPr>
        <w:t>（</w:t>
      </w:r>
      <w:r>
        <w:rPr>
          <w:spacing w:val="-1"/>
          <w:u w:val="single"/>
        </w:rPr>
        <w:t>项目编号、项目名称</w:t>
      </w:r>
      <w:r>
        <w:rPr>
          <w:spacing w:val="-8"/>
          <w:u w:val="single"/>
        </w:rPr>
        <w:t>）</w:t>
      </w:r>
      <w:r>
        <w:rPr>
          <w:spacing w:val="-2"/>
        </w:rPr>
        <w:t>招标活动中，不给予国家工作人员以及</w:t>
      </w:r>
      <w:r>
        <w:rPr>
          <w:spacing w:val="-1"/>
        </w:rPr>
        <w:t>中介机构工作人员及其亲属各种形式的商业贿赂</w:t>
      </w:r>
      <w:r>
        <w:t>（</w:t>
      </w:r>
      <w:r>
        <w:rPr>
          <w:spacing w:val="-3"/>
        </w:rPr>
        <w:t>包括送礼金礼品、有价证券、购</w:t>
      </w:r>
      <w:r>
        <w:rPr>
          <w:spacing w:val="-5"/>
        </w:rPr>
        <w:t>物券、回扣、佣金、咨询费、劳务费、赞助费、宣传费、支付旅游费用、报销各种</w:t>
      </w:r>
      <w:r>
        <w:rPr>
          <w:spacing w:val="-2"/>
        </w:rPr>
        <w:t>消费凭证、宴请、娱乐等</w:t>
      </w:r>
      <w:r>
        <w:rPr>
          <w:spacing w:val="-4"/>
        </w:rPr>
        <w:t>）</w:t>
      </w:r>
      <w:r>
        <w:rPr>
          <w:spacing w:val="-5"/>
        </w:rPr>
        <w:t>，如有上述行为，我公司及项目参与人员愿意按照《反</w:t>
      </w:r>
      <w:r>
        <w:t>不正当竞争法》的有关规定接受处罚。</w:t>
      </w:r>
    </w:p>
    <w:p>
      <w:pPr>
        <w:pStyle w:val="10"/>
        <w:spacing w:before="3" w:line="364" w:lineRule="auto"/>
        <w:ind w:left="1117" w:right="7226"/>
      </w:pPr>
      <w:r>
        <w:t>公司法人代表签字： 法人授权代表签字：</w:t>
      </w:r>
    </w:p>
    <w:p>
      <w:pPr>
        <w:pStyle w:val="10"/>
        <w:spacing w:before="0"/>
        <w:ind w:left="0"/>
        <w:rPr>
          <w:sz w:val="22"/>
        </w:rPr>
      </w:pPr>
    </w:p>
    <w:p>
      <w:pPr>
        <w:tabs>
          <w:tab w:val="left" w:pos="5859"/>
          <w:tab w:val="left" w:pos="6459"/>
          <w:tab w:val="left" w:pos="7179"/>
        </w:tabs>
        <w:spacing w:before="0"/>
        <w:ind w:left="4292" w:right="0" w:firstLine="0"/>
        <w:jc w:val="left"/>
        <w:rPr>
          <w:sz w:val="24"/>
        </w:rPr>
      </w:pPr>
      <w:r>
        <w:rPr>
          <w:b/>
          <w:sz w:val="24"/>
        </w:rPr>
        <w:t>承诺日期：</w:t>
      </w:r>
      <w:r>
        <w:rPr>
          <w:b/>
          <w:sz w:val="24"/>
        </w:rPr>
        <w:tab/>
      </w:r>
      <w:r>
        <w:rPr>
          <w:sz w:val="24"/>
        </w:rPr>
        <w:t>年</w:t>
      </w:r>
      <w:r>
        <w:rPr>
          <w:sz w:val="24"/>
        </w:rPr>
        <w:tab/>
      </w:r>
      <w:r>
        <w:rPr>
          <w:sz w:val="24"/>
        </w:rPr>
        <w:t>月</w:t>
      </w:r>
      <w:r>
        <w:rPr>
          <w:sz w:val="24"/>
        </w:rPr>
        <w:tab/>
      </w:r>
      <w:r>
        <w:rPr>
          <w:sz w:val="24"/>
        </w:rPr>
        <w:t>日</w:t>
      </w:r>
    </w:p>
    <w:p>
      <w:pPr>
        <w:pStyle w:val="10"/>
        <w:spacing w:before="3"/>
        <w:ind w:left="0"/>
        <w:rPr>
          <w:sz w:val="34"/>
        </w:rPr>
      </w:pPr>
    </w:p>
    <w:p>
      <w:pPr>
        <w:spacing w:before="199"/>
        <w:ind w:left="0" w:right="10" w:firstLine="1807" w:firstLineChars="600"/>
        <w:jc w:val="both"/>
        <w:rPr>
          <w:b/>
          <w:sz w:val="30"/>
        </w:rPr>
      </w:pPr>
      <w:r>
        <w:rPr>
          <w:b/>
          <w:sz w:val="30"/>
        </w:rPr>
        <w:t>（十五）其</w:t>
      </w:r>
      <w:r>
        <w:rPr>
          <w:rFonts w:hint="eastAsia"/>
          <w:b/>
          <w:sz w:val="30"/>
          <w:lang w:val="en-US" w:eastAsia="zh-CN"/>
        </w:rPr>
        <w:t xml:space="preserve">  </w:t>
      </w:r>
      <w:r>
        <w:rPr>
          <w:b/>
          <w:sz w:val="30"/>
        </w:rPr>
        <w:t>他</w:t>
      </w:r>
    </w:p>
    <w:p>
      <w:pPr>
        <w:bidi w:val="0"/>
        <w:rPr>
          <w:rFonts w:hint="eastAsia"/>
          <w:lang w:val="en-US" w:eastAsia="zh-CN"/>
        </w:rPr>
      </w:pPr>
      <w:r>
        <w:rPr>
          <w:rFonts w:hint="eastAsia"/>
          <w:lang w:val="en-US" w:eastAsia="zh-CN"/>
        </w:rPr>
        <w:t xml:space="preserve">          </w:t>
      </w:r>
    </w:p>
    <w:p>
      <w:pPr>
        <w:pStyle w:val="10"/>
        <w:spacing w:before="201" w:line="364" w:lineRule="auto"/>
        <w:ind w:right="1249" w:firstLine="1706" w:firstLineChars="717"/>
        <w:jc w:val="both"/>
        <w:rPr>
          <w:rFonts w:hint="default"/>
          <w:spacing w:val="-1"/>
          <w:lang w:val="en-US" w:eastAsia="zh-CN"/>
        </w:rPr>
      </w:pPr>
      <w:r>
        <w:rPr>
          <w:rFonts w:hint="eastAsia"/>
          <w:spacing w:val="-1"/>
          <w:lang w:val="en-US" w:eastAsia="zh-CN"/>
        </w:rPr>
        <w:t xml:space="preserve"> 附：采购清单</w:t>
      </w:r>
    </w:p>
    <w:p>
      <w:pPr>
        <w:pStyle w:val="10"/>
        <w:spacing w:before="201" w:line="364" w:lineRule="auto"/>
        <w:ind w:right="1249" w:firstLine="480"/>
        <w:jc w:val="both"/>
        <w:rPr>
          <w:spacing w:val="-1"/>
        </w:rPr>
      </w:pPr>
    </w:p>
    <w:p>
      <w:pPr>
        <w:tabs>
          <w:tab w:val="left" w:pos="1750"/>
        </w:tabs>
        <w:bidi w:val="0"/>
        <w:jc w:val="left"/>
        <w:rPr>
          <w:rFonts w:hint="eastAsia"/>
          <w:lang w:eastAsia="zh-CN"/>
        </w:rPr>
      </w:pPr>
      <w:r>
        <w:rPr>
          <w:rFonts w:hint="eastAsia"/>
          <w:lang w:eastAsia="zh-CN"/>
        </w:rPr>
        <w:tab/>
      </w: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rPr>
          <w:rFonts w:hint="eastAsia"/>
          <w:lang w:eastAsia="zh-CN"/>
        </w:rPr>
      </w:pPr>
    </w:p>
    <w:p>
      <w:pPr>
        <w:pStyle w:val="5"/>
        <w:rPr>
          <w:rFonts w:hint="eastAsia"/>
          <w:lang w:eastAsia="zh-CN"/>
        </w:rPr>
      </w:pPr>
    </w:p>
    <w:p>
      <w:pPr>
        <w:pStyle w:val="5"/>
        <w:ind w:left="0" w:leftChars="0" w:firstLine="0" w:firstLineChars="0"/>
        <w:rPr>
          <w:rFonts w:hint="eastAsia"/>
          <w:lang w:val="en-US" w:eastAsia="zh-CN"/>
        </w:rPr>
      </w:pPr>
    </w:p>
    <w:sectPr>
      <w:headerReference r:id="rId12" w:type="default"/>
      <w:footerReference r:id="rId13" w:type="default"/>
      <w:pgSz w:w="11910" w:h="16840"/>
      <w:pgMar w:top="1420" w:right="240" w:bottom="1180" w:left="1160" w:header="878" w:footer="993"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3823970</wp:posOffset>
              </wp:positionH>
              <wp:positionV relativeFrom="page">
                <wp:posOffset>9921240</wp:posOffset>
              </wp:positionV>
              <wp:extent cx="379095" cy="152400"/>
              <wp:effectExtent l="0" t="0" r="0" b="0"/>
              <wp:wrapNone/>
              <wp:docPr id="4099" name="文本框 3"/>
              <wp:cNvGraphicFramePr/>
              <a:graphic xmlns:a="http://schemas.openxmlformats.org/drawingml/2006/main">
                <a:graphicData uri="http://schemas.microsoft.com/office/word/2010/wordprocessingShape">
                  <wps:wsp>
                    <wps:cNvSpPr/>
                    <wps:spPr>
                      <a:xfrm>
                        <a:off x="0" y="0"/>
                        <a:ext cx="379095"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2</w:t>
                          </w:r>
                          <w:r>
                            <w:fldChar w:fldCharType="end"/>
                          </w:r>
                        </w:p>
                      </w:txbxContent>
                    </wps:txbx>
                    <wps:bodyPr lIns="0" tIns="0" rIns="0" bIns="0" upright="1"/>
                  </wps:wsp>
                </a:graphicData>
              </a:graphic>
            </wp:anchor>
          </w:drawing>
        </mc:Choice>
        <mc:Fallback>
          <w:pict>
            <v:rect id="文本框 3" o:spid="_x0000_s1026" o:spt="1" style="position:absolute;left:0pt;margin-left:301.1pt;margin-top:781.2pt;height:12pt;width:29.85pt;mso-position-horizontal-relative:page;mso-position-vertical-relative:page;z-index:-251657216;mso-width-relative:page;mso-height-relative:page;" filled="f" stroked="f" coordsize="21600,21600" o:gfxdata="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o7HTdwAAAANAQAADwAAAAAAAAABACAAAAAiAAAAZHJzL2Rvd25yZXYueG1sUEsBAhQA&#10;FAAAAAgAh07iQImC7zu1AQAAXwMAAA4AAAAAAAAAAQAgAAAAKwEAAGRycy9lMm9Eb2MueG1sUEsF&#10;BgAAAAAGAAYAWQEAAFIFA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2</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3794760</wp:posOffset>
              </wp:positionH>
              <wp:positionV relativeFrom="page">
                <wp:posOffset>9921240</wp:posOffset>
              </wp:positionV>
              <wp:extent cx="166370" cy="152400"/>
              <wp:effectExtent l="0" t="0" r="0" b="0"/>
              <wp:wrapNone/>
              <wp:docPr id="4100" name="文本框 25"/>
              <wp:cNvGraphicFramePr/>
              <a:graphic xmlns:a="http://schemas.openxmlformats.org/drawingml/2006/main">
                <a:graphicData uri="http://schemas.microsoft.com/office/word/2010/wordprocessingShape">
                  <wps:wsp>
                    <wps:cNvSpPr/>
                    <wps:spPr>
                      <a:xfrm>
                        <a:off x="0" y="0"/>
                        <a:ext cx="166370"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rect id="文本框 25" o:spid="_x0000_s1026" o:spt="1" style="position:absolute;left:0pt;margin-left:298.8pt;margin-top:781.2pt;height:12pt;width:13.1pt;mso-position-horizontal-relative:page;mso-position-vertical-relative:page;z-index:-251657216;mso-width-relative:page;mso-height-relative:page;" filled="f" stroked="f" coordsize="21600,21600" o:gfxdata="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EnJX7/cAAAADQEAAA8AAAAAAAAAAQAgAAAAIgAAAGRycy9kb3ducmV2LnhtbFBLAQIUABQA&#10;AAAIAIdO4kBNxF01swEAAGADAAAOAAAAAAAAAAEAIAAAACsBAABkcnMvZTJvRG9jLnhtbFBLBQYA&#10;AAAABgAGAFkBAABQBQ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3794760</wp:posOffset>
              </wp:positionH>
              <wp:positionV relativeFrom="page">
                <wp:posOffset>9921240</wp:posOffset>
              </wp:positionV>
              <wp:extent cx="166370" cy="152400"/>
              <wp:effectExtent l="0" t="0" r="0" b="0"/>
              <wp:wrapNone/>
              <wp:docPr id="4101" name="文本框 25"/>
              <wp:cNvGraphicFramePr/>
              <a:graphic xmlns:a="http://schemas.openxmlformats.org/drawingml/2006/main">
                <a:graphicData uri="http://schemas.microsoft.com/office/word/2010/wordprocessingShape">
                  <wps:wsp>
                    <wps:cNvSpPr/>
                    <wps:spPr>
                      <a:xfrm>
                        <a:off x="0" y="0"/>
                        <a:ext cx="166370"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rect id="文本框 25" o:spid="_x0000_s1026" o:spt="1" style="position:absolute;left:0pt;margin-left:298.8pt;margin-top:781.2pt;height:12pt;width:13.1pt;mso-position-horizontal-relative:page;mso-position-vertical-relative:page;z-index:-251657216;mso-width-relative:page;mso-height-relative:page;" filled="f" stroked="f" coordsize="21600,21600" o:gfxdata="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BJyV+/3AAAAA0BAAAPAAAAAAAAAAEAIAAAACIAAABkcnMvZG93bnJldi54bWxQSwECFAAU&#10;AAAACACHTuJA/hyJ97QBAABgAwAADgAAAAAAAAABACAAAAArAQAAZHJzL2Uyb0RvYy54bWxQSwUG&#10;AAAAAAYABgBZAQAAUQU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3794760</wp:posOffset>
              </wp:positionH>
              <wp:positionV relativeFrom="page">
                <wp:posOffset>9921240</wp:posOffset>
              </wp:positionV>
              <wp:extent cx="166370" cy="152400"/>
              <wp:effectExtent l="0" t="0" r="0" b="0"/>
              <wp:wrapNone/>
              <wp:docPr id="4104" name="文本框 32"/>
              <wp:cNvGraphicFramePr/>
              <a:graphic xmlns:a="http://schemas.openxmlformats.org/drawingml/2006/main">
                <a:graphicData uri="http://schemas.microsoft.com/office/word/2010/wordprocessingShape">
                  <wps:wsp>
                    <wps:cNvSpPr/>
                    <wps:spPr>
                      <a:xfrm>
                        <a:off x="0" y="0"/>
                        <a:ext cx="166370"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wps:txbx>
                    <wps:bodyPr lIns="0" tIns="0" rIns="0" bIns="0" upright="1"/>
                  </wps:wsp>
                </a:graphicData>
              </a:graphic>
            </wp:anchor>
          </w:drawing>
        </mc:Choice>
        <mc:Fallback>
          <w:pict>
            <v:rect id="文本框 32" o:spid="_x0000_s1026" o:spt="1" style="position:absolute;left:0pt;margin-left:298.8pt;margin-top:781.2pt;height:12pt;width:13.1pt;mso-position-horizontal-relative:page;mso-position-vertical-relative:page;z-index:-251657216;mso-width-relative:page;mso-height-relative:page;" filled="f" stroked="f" coordsize="21600,21600" o:gfxdata="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Sclfv9wAAAANAQAADwAAAAAAAAABACAAAAAiAAAAZHJzL2Rvd25yZXYueG1sUEsBAhQA&#10;FAAAAAgAh07iQEM/oDq1AQAAYAMAAA4AAAAAAAAAAQAgAAAAKwEAAGRycy9lMm9Eb2MueG1sUEsF&#10;BgAAAAAGAAYAWQEAAFIFA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40</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3794760</wp:posOffset>
              </wp:positionH>
              <wp:positionV relativeFrom="page">
                <wp:posOffset>9921240</wp:posOffset>
              </wp:positionV>
              <wp:extent cx="166370" cy="152400"/>
              <wp:effectExtent l="0" t="0" r="0" b="0"/>
              <wp:wrapNone/>
              <wp:docPr id="4105" name="文本框 33"/>
              <wp:cNvGraphicFramePr/>
              <a:graphic xmlns:a="http://schemas.openxmlformats.org/drawingml/2006/main">
                <a:graphicData uri="http://schemas.microsoft.com/office/word/2010/wordprocessingShape">
                  <wps:wsp>
                    <wps:cNvSpPr/>
                    <wps:spPr>
                      <a:xfrm>
                        <a:off x="0" y="0"/>
                        <a:ext cx="166370"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50</w:t>
                          </w:r>
                          <w:r>
                            <w:fldChar w:fldCharType="end"/>
                          </w:r>
                        </w:p>
                      </w:txbxContent>
                    </wps:txbx>
                    <wps:bodyPr lIns="0" tIns="0" rIns="0" bIns="0" upright="1"/>
                  </wps:wsp>
                </a:graphicData>
              </a:graphic>
            </wp:anchor>
          </w:drawing>
        </mc:Choice>
        <mc:Fallback>
          <w:pict>
            <v:rect id="文本框 33" o:spid="_x0000_s1026" o:spt="1" style="position:absolute;left:0pt;margin-left:298.8pt;margin-top:781.2pt;height:12pt;width:13.1pt;mso-position-horizontal-relative:page;mso-position-vertical-relative:page;z-index:-251657216;mso-width-relative:page;mso-height-relative:page;" filled="f" stroked="f" coordsize="21600,21600" o:gfxdata="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Sclfv9wAAAANAQAADwAAAAAAAAABACAAAAAiAAAAZHJzL2Rvd25yZXYueG1sUEsBAhQA&#10;FAAAAAgAh07iQMyUxMq1AQAAYAMAAA4AAAAAAAAAAQAgAAAAKwEAAGRycy9lMm9Eb2MueG1sUEsF&#10;BgAAAAAGAAYAWQEAAFIFA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50</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3794760</wp:posOffset>
              </wp:positionH>
              <wp:positionV relativeFrom="page">
                <wp:posOffset>9921240</wp:posOffset>
              </wp:positionV>
              <wp:extent cx="166370" cy="152400"/>
              <wp:effectExtent l="0" t="0" r="0" b="0"/>
              <wp:wrapNone/>
              <wp:docPr id="4108" name="文本框 8"/>
              <wp:cNvGraphicFramePr/>
              <a:graphic xmlns:a="http://schemas.openxmlformats.org/drawingml/2006/main">
                <a:graphicData uri="http://schemas.microsoft.com/office/word/2010/wordprocessingShape">
                  <wps:wsp>
                    <wps:cNvSpPr/>
                    <wps:spPr>
                      <a:xfrm>
                        <a:off x="0" y="0"/>
                        <a:ext cx="166370" cy="152400"/>
                      </a:xfrm>
                      <a:prstGeom prst="rect">
                        <a:avLst/>
                      </a:prstGeom>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50</w:t>
                          </w:r>
                          <w:r>
                            <w:fldChar w:fldCharType="end"/>
                          </w:r>
                        </w:p>
                      </w:txbxContent>
                    </wps:txbx>
                    <wps:bodyPr lIns="0" tIns="0" rIns="0" bIns="0" upright="1"/>
                  </wps:wsp>
                </a:graphicData>
              </a:graphic>
            </wp:anchor>
          </w:drawing>
        </mc:Choice>
        <mc:Fallback>
          <w:pict>
            <v:rect id="文本框 8" o:spid="_x0000_s1026" o:spt="1" style="position:absolute;left:0pt;margin-left:298.8pt;margin-top:781.2pt;height:12pt;width:13.1pt;mso-position-horizontal-relative:page;mso-position-vertical-relative:page;z-index:-251657216;mso-width-relative:page;mso-height-relative:page;" filled="f" stroked="f" coordsize="21600,21600" o:gfxdata="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BJyV+/3AAAAA0BAAAPAAAAAAAAAAEAIAAAACIAAABkcnMvZG93bnJldi54bWxQSwECFAAU&#10;AAAACACHTuJAPBKpwLQBAABfAwAADgAAAAAAAAABACAAAAArAQAAZHJzL2Uyb0RvYy54bWxQSwUG&#10;AAAAAAYABgBZAQAAUQU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50</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2637790</wp:posOffset>
              </wp:positionH>
              <wp:positionV relativeFrom="page">
                <wp:posOffset>544830</wp:posOffset>
              </wp:positionV>
              <wp:extent cx="3441700" cy="160655"/>
              <wp:effectExtent l="0" t="0" r="0" b="0"/>
              <wp:wrapNone/>
              <wp:docPr id="4097" name="文本框 2"/>
              <wp:cNvGraphicFramePr/>
              <a:graphic xmlns:a="http://schemas.openxmlformats.org/drawingml/2006/main">
                <a:graphicData uri="http://schemas.microsoft.com/office/word/2010/wordprocessingShape">
                  <wps:wsp>
                    <wps:cNvSpPr/>
                    <wps:spPr>
                      <a:xfrm>
                        <a:off x="0" y="0"/>
                        <a:ext cx="3441700" cy="160655"/>
                      </a:xfrm>
                      <a:prstGeom prst="rect">
                        <a:avLst/>
                      </a:prstGeom>
                      <a:ln>
                        <a:noFill/>
                      </a:ln>
                    </wps:spPr>
                    <wps:txbx>
                      <w:txbxContent>
                        <w:p>
                          <w:pPr>
                            <w:spacing w:before="0" w:line="220" w:lineRule="exact"/>
                            <w:ind w:right="0"/>
                            <w:jc w:val="left"/>
                            <w:rPr>
                              <w:rFonts w:hint="eastAsia" w:eastAsia="宋体"/>
                              <w:sz w:val="18"/>
                              <w:lang w:eastAsia="zh-CN"/>
                            </w:rPr>
                          </w:pPr>
                          <w:r>
                            <w:rPr>
                              <w:rFonts w:hint="eastAsia" w:cs="宋体"/>
                              <w:color w:val="auto"/>
                              <w:kern w:val="0"/>
                              <w:sz w:val="24"/>
                              <w:szCs w:val="24"/>
                              <w:lang w:eastAsia="zh-CN"/>
                            </w:rPr>
                            <w:t>新疆正聚方企业管理咨询有限公司</w:t>
                          </w:r>
                        </w:p>
                      </w:txbxContent>
                    </wps:txbx>
                    <wps:bodyPr lIns="0" tIns="0" rIns="0" bIns="0" upright="1"/>
                  </wps:wsp>
                </a:graphicData>
              </a:graphic>
            </wp:anchor>
          </w:drawing>
        </mc:Choice>
        <mc:Fallback>
          <w:pict>
            <v:rect id="文本框 2" o:spid="_x0000_s1026" o:spt="1" style="position:absolute;left:0pt;margin-left:207.7pt;margin-top:42.9pt;height:12.65pt;width:271pt;mso-position-horizontal-relative:page;mso-position-vertical-relative:page;z-index:-251657216;mso-width-relative:page;mso-height-relative:page;" filled="f" stroked="f" coordsize="21600,21600" o:gfxdata="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hnDly2QAAAAoBAAAPAAAAAAAAAAEAIAAAACIAAABkcnMvZG93bnJldi54bWxQSwECFAAUAAAA&#10;CACHTuJAUln8IrQBAABgAwAADgAAAAAAAAABACAAAAAoAQAAZHJzL2Uyb0RvYy54bWxQSwUGAAAA&#10;AAYABgBZAQAATgUAAAAA&#10;">
              <v:fill on="f" focussize="0,0"/>
              <v:stroke on="f"/>
              <v:imagedata o:title=""/>
              <o:lock v:ext="edit" aspectratio="f"/>
              <v:textbox inset="0mm,0mm,0mm,0mm">
                <w:txbxContent>
                  <w:p>
                    <w:pPr>
                      <w:spacing w:before="0" w:line="220" w:lineRule="exact"/>
                      <w:ind w:right="0"/>
                      <w:jc w:val="left"/>
                      <w:rPr>
                        <w:rFonts w:hint="eastAsia" w:eastAsia="宋体"/>
                        <w:sz w:val="18"/>
                        <w:lang w:eastAsia="zh-CN"/>
                      </w:rPr>
                    </w:pPr>
                    <w:r>
                      <w:rPr>
                        <w:rFonts w:hint="eastAsia" w:cs="宋体"/>
                        <w:color w:val="auto"/>
                        <w:kern w:val="0"/>
                        <w:sz w:val="24"/>
                        <w:szCs w:val="24"/>
                        <w:lang w:eastAsia="zh-CN"/>
                      </w:rPr>
                      <w:t>新疆正聚方企业管理咨询有限公司</w:t>
                    </w:r>
                  </w:p>
                </w:txbxContent>
              </v:textbox>
            </v:rect>
          </w:pict>
        </mc:Fallback>
      </mc:AlternateContent>
    </w:r>
    <w:r>
      <mc:AlternateContent>
        <mc:Choice Requires="wps">
          <w:drawing>
            <wp:anchor distT="0" distB="0" distL="0" distR="0" simplePos="0" relativeHeight="251659264" behindDoc="1" locked="0" layoutInCell="1" allowOverlap="1">
              <wp:simplePos x="0" y="0"/>
              <wp:positionH relativeFrom="page">
                <wp:posOffset>1140460</wp:posOffset>
              </wp:positionH>
              <wp:positionV relativeFrom="page">
                <wp:posOffset>705485</wp:posOffset>
              </wp:positionV>
              <wp:extent cx="5473700" cy="0"/>
              <wp:effectExtent l="0" t="0" r="0" b="0"/>
              <wp:wrapNone/>
              <wp:docPr id="4098" name="直线 1"/>
              <wp:cNvGraphicFramePr/>
              <a:graphic xmlns:a="http://schemas.openxmlformats.org/drawingml/2006/main">
                <a:graphicData uri="http://schemas.microsoft.com/office/word/2010/wordprocessingShape">
                  <wps:wsp>
                    <wps:cNvCnPr/>
                    <wps:spPr>
                      <a:xfrm>
                        <a:off x="0" y="0"/>
                        <a:ext cx="5473700" cy="0"/>
                      </a:xfrm>
                      <a:prstGeom prst="line">
                        <a:avLst/>
                      </a:prstGeom>
                      <a:ln w="9144" cap="flat" cmpd="sng">
                        <a:solidFill>
                          <a:srgbClr val="000000"/>
                        </a:solidFill>
                        <a:prstDash val="solid"/>
                        <a:round/>
                        <a:headEnd type="none" w="med" len="med"/>
                        <a:tailEnd type="none" w="med" len="med"/>
                      </a:ln>
                    </wps:spPr>
                    <wps:bodyPr/>
                  </wps:wsp>
                </a:graphicData>
              </a:graphic>
            </wp:anchor>
          </w:drawing>
        </mc:Choice>
        <mc:Fallback>
          <w:pict>
            <v:line id="直线 1" o:spid="_x0000_s1026" o:spt="20" style="position:absolute;left:0pt;margin-left:89.8pt;margin-top:55.55pt;height:0pt;width:431pt;mso-position-horizontal-relative:page;mso-position-vertical-relative:page;z-index:-251657216;mso-width-relative:page;mso-height-relative:page;" filled="f" stroked="t" coordsize="21600,21600" o:gfxdata="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JhWTo9QAAAAM&#10;AQAADwAAAAAAAAABACAAAAAiAAAAZHJzL2Rvd25yZXYueG1sUEsBAhQAFAAAAAgAh07iQJyt6dPn&#10;AQAA3AMAAA4AAAAAAAAAAQAgAAAAIwEAAGRycy9lMm9Eb2MueG1sUEsFBgAAAAAGAAYAWQEAAHwF&#10;AAAAAA==&#10;">
              <v:fill on="f" focussize="0,0"/>
              <v:stroke weight="0.72pt" color="#000000" joinstyle="round"/>
              <v:imagedata o:title=""/>
              <o:lock v:ext="edit" aspectratio="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p>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2600960</wp:posOffset>
              </wp:positionH>
              <wp:positionV relativeFrom="page">
                <wp:posOffset>513715</wp:posOffset>
              </wp:positionV>
              <wp:extent cx="2687955" cy="243205"/>
              <wp:effectExtent l="0" t="0" r="0" b="0"/>
              <wp:wrapNone/>
              <wp:docPr id="4102" name="文本框 27"/>
              <wp:cNvGraphicFramePr/>
              <a:graphic xmlns:a="http://schemas.openxmlformats.org/drawingml/2006/main">
                <a:graphicData uri="http://schemas.microsoft.com/office/word/2010/wordprocessingShape">
                  <wps:wsp>
                    <wps:cNvSpPr/>
                    <wps:spPr>
                      <a:xfrm>
                        <a:off x="0" y="0"/>
                        <a:ext cx="2687955" cy="243204"/>
                      </a:xfrm>
                      <a:prstGeom prst="rect">
                        <a:avLst/>
                      </a:prstGeom>
                      <a:ln>
                        <a:noFill/>
                      </a:ln>
                    </wps:spPr>
                    <wps:txbx>
                      <w:txbxContent>
                        <w:p>
                          <w:pPr>
                            <w:spacing w:before="0" w:line="220" w:lineRule="exact"/>
                            <w:ind w:right="0"/>
                            <w:jc w:val="center"/>
                            <w:rPr>
                              <w:rFonts w:hint="eastAsia" w:eastAsia="宋体"/>
                              <w:sz w:val="18"/>
                              <w:lang w:eastAsia="zh-CN"/>
                            </w:rPr>
                          </w:pPr>
                          <w:r>
                            <w:rPr>
                              <w:rFonts w:hint="eastAsia" w:cs="宋体"/>
                              <w:color w:val="auto"/>
                              <w:kern w:val="0"/>
                              <w:sz w:val="24"/>
                              <w:szCs w:val="24"/>
                              <w:lang w:eastAsia="zh-CN"/>
                            </w:rPr>
                            <w:t>新疆正聚方企业管理咨询有限公司</w:t>
                          </w:r>
                        </w:p>
                        <w:p>
                          <w:pPr>
                            <w:jc w:val="center"/>
                            <w:rPr>
                              <w:rFonts w:hint="eastAsia"/>
                              <w:lang w:eastAsia="zh-CN"/>
                            </w:rPr>
                          </w:pPr>
                        </w:p>
                      </w:txbxContent>
                    </wps:txbx>
                    <wps:bodyPr lIns="0" tIns="0" rIns="0" bIns="0" upright="1"/>
                  </wps:wsp>
                </a:graphicData>
              </a:graphic>
            </wp:anchor>
          </w:drawing>
        </mc:Choice>
        <mc:Fallback>
          <w:pict>
            <v:rect id="文本框 27" o:spid="_x0000_s1026" o:spt="1" style="position:absolute;left:0pt;margin-left:204.8pt;margin-top:40.45pt;height:19.15pt;width:211.65pt;mso-position-horizontal-relative:page;mso-position-vertical-relative:page;z-index:-251657216;mso-width-relative:page;mso-height-relative:page;" filled="f" stroked="f" coordsize="21600,21600" o:gfxdata="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HLGoDraAAAACgEAAA8AAAAAAAAAAQAgAAAAIgAAAGRycy9kb3ducmV2LnhtbFBLAQIUABQA&#10;AAAIAIdO4kDJc0BqtQEAAGEDAAAOAAAAAAAAAAEAIAAAACkBAABkcnMvZTJvRG9jLnhtbFBLBQYA&#10;AAAABgAGAFkBAABQBQAAAAA=&#10;">
              <v:fill on="f" focussize="0,0"/>
              <v:stroke on="f"/>
              <v:imagedata o:title=""/>
              <o:lock v:ext="edit" aspectratio="f"/>
              <v:textbox inset="0mm,0mm,0mm,0mm">
                <w:txbxContent>
                  <w:p>
                    <w:pPr>
                      <w:spacing w:before="0" w:line="220" w:lineRule="exact"/>
                      <w:ind w:right="0"/>
                      <w:jc w:val="center"/>
                      <w:rPr>
                        <w:rFonts w:hint="eastAsia" w:eastAsia="宋体"/>
                        <w:sz w:val="18"/>
                        <w:lang w:eastAsia="zh-CN"/>
                      </w:rPr>
                    </w:pPr>
                    <w:r>
                      <w:rPr>
                        <w:rFonts w:hint="eastAsia" w:cs="宋体"/>
                        <w:color w:val="auto"/>
                        <w:kern w:val="0"/>
                        <w:sz w:val="24"/>
                        <w:szCs w:val="24"/>
                        <w:lang w:eastAsia="zh-CN"/>
                      </w:rPr>
                      <w:t>新疆正聚方企业管理咨询有限公司</w:t>
                    </w:r>
                  </w:p>
                  <w:p>
                    <w:pPr>
                      <w:jc w:val="center"/>
                      <w:rPr>
                        <w:rFonts w:hint="eastAsia"/>
                        <w:lang w:eastAsia="zh-CN"/>
                      </w:rPr>
                    </w:pPr>
                  </w:p>
                </w:txbxContent>
              </v:textbox>
            </v:rect>
          </w:pict>
        </mc:Fallback>
      </mc:AlternateContent>
    </w:r>
    <w:r>
      <mc:AlternateContent>
        <mc:Choice Requires="wps">
          <w:drawing>
            <wp:anchor distT="0" distB="0" distL="0" distR="0" simplePos="0" relativeHeight="251659264" behindDoc="1" locked="0" layoutInCell="1" allowOverlap="1">
              <wp:simplePos x="0" y="0"/>
              <wp:positionH relativeFrom="page">
                <wp:posOffset>1140460</wp:posOffset>
              </wp:positionH>
              <wp:positionV relativeFrom="page">
                <wp:posOffset>705485</wp:posOffset>
              </wp:positionV>
              <wp:extent cx="5473700" cy="0"/>
              <wp:effectExtent l="0" t="0" r="0" b="0"/>
              <wp:wrapNone/>
              <wp:docPr id="4103" name="直线 26"/>
              <wp:cNvGraphicFramePr/>
              <a:graphic xmlns:a="http://schemas.openxmlformats.org/drawingml/2006/main">
                <a:graphicData uri="http://schemas.microsoft.com/office/word/2010/wordprocessingShape">
                  <wps:wsp>
                    <wps:cNvCnPr/>
                    <wps:spPr>
                      <a:xfrm>
                        <a:off x="0" y="0"/>
                        <a:ext cx="5473700" cy="0"/>
                      </a:xfrm>
                      <a:prstGeom prst="line">
                        <a:avLst/>
                      </a:prstGeom>
                      <a:ln w="9144" cap="flat" cmpd="sng">
                        <a:solidFill>
                          <a:srgbClr val="000000"/>
                        </a:solidFill>
                        <a:prstDash val="solid"/>
                        <a:round/>
                        <a:headEnd type="none" w="med" len="med"/>
                        <a:tailEnd type="none" w="med" len="med"/>
                      </a:ln>
                    </wps:spPr>
                    <wps:bodyPr/>
                  </wps:wsp>
                </a:graphicData>
              </a:graphic>
            </wp:anchor>
          </w:drawing>
        </mc:Choice>
        <mc:Fallback>
          <w:pict>
            <v:line id="直线 26" o:spid="_x0000_s1026" o:spt="20" style="position:absolute;left:0pt;margin-left:89.8pt;margin-top:55.55pt;height:0pt;width:431pt;mso-position-horizontal-relative:page;mso-position-vertical-relative:page;z-index:-251657216;mso-width-relative:page;mso-height-relative:page;" filled="f" stroked="t" coordsize="21600,21600" o:gfxdata="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mFZOj1AAA&#10;AAwBAAAPAAAAAAAAAAEAIAAAACIAAABkcnMvZG93bnJldi54bWxQSwECFAAUAAAACACHTuJAWfhY&#10;SOkBAADdAwAADgAAAAAAAAABACAAAAAjAQAAZHJzL2Uyb0RvYy54bWxQSwUGAAAAAAYABgBZAQAA&#10;fgUAAAAA&#10;">
              <v:fill on="f" focussize="0,0"/>
              <v:stroke weight="0.72pt" color="#000000" joinstyle="round"/>
              <v:imagedata o:title=""/>
              <o:lock v:ext="edit" aspectratio="f"/>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before="0" w:line="14" w:lineRule="auto"/>
      <w:ind w:left="0"/>
      <w:rPr>
        <w:sz w:val="20"/>
      </w:rPr>
    </w:pPr>
    <w:r>
      <mc:AlternateContent>
        <mc:Choice Requires="wps">
          <w:drawing>
            <wp:anchor distT="0" distB="0" distL="0" distR="0" simplePos="0" relativeHeight="251659264" behindDoc="1" locked="0" layoutInCell="1" allowOverlap="1">
              <wp:simplePos x="0" y="0"/>
              <wp:positionH relativeFrom="page">
                <wp:posOffset>1140460</wp:posOffset>
              </wp:positionH>
              <wp:positionV relativeFrom="page">
                <wp:posOffset>705485</wp:posOffset>
              </wp:positionV>
              <wp:extent cx="5473700" cy="0"/>
              <wp:effectExtent l="0" t="0" r="0" b="0"/>
              <wp:wrapNone/>
              <wp:docPr id="4106" name="直线 14"/>
              <wp:cNvGraphicFramePr/>
              <a:graphic xmlns:a="http://schemas.openxmlformats.org/drawingml/2006/main">
                <a:graphicData uri="http://schemas.microsoft.com/office/word/2010/wordprocessingShape">
                  <wps:wsp>
                    <wps:cNvCnPr/>
                    <wps:spPr>
                      <a:xfrm>
                        <a:off x="0" y="0"/>
                        <a:ext cx="5473700" cy="0"/>
                      </a:xfrm>
                      <a:prstGeom prst="line">
                        <a:avLst/>
                      </a:prstGeom>
                      <a:ln w="9144" cap="flat" cmpd="sng">
                        <a:solidFill>
                          <a:srgbClr val="000000"/>
                        </a:solidFill>
                        <a:prstDash val="solid"/>
                        <a:round/>
                        <a:headEnd type="none" w="med" len="med"/>
                        <a:tailEnd type="none" w="med" len="med"/>
                      </a:ln>
                    </wps:spPr>
                    <wps:bodyPr/>
                  </wps:wsp>
                </a:graphicData>
              </a:graphic>
            </wp:anchor>
          </w:drawing>
        </mc:Choice>
        <mc:Fallback>
          <w:pict>
            <v:line id="直线 14" o:spid="_x0000_s1026" o:spt="20" style="position:absolute;left:0pt;margin-left:89.8pt;margin-top:55.55pt;height:0pt;width:431pt;mso-position-horizontal-relative:page;mso-position-vertical-relative:page;z-index:-251657216;mso-width-relative:page;mso-height-relative:page;" filled="f" stroked="t" coordsize="21600,21600" o:gfxdata="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YVk6PUAAAA&#10;DAEAAA8AAAAAAAAAAQAgAAAAIgAAAGRycy9kb3ducmV2LnhtbFBLAQIUABQAAAAIAIdO4kD0pIm3&#10;6AEAAN0DAAAOAAAAAAAAAAEAIAAAACMBAABkcnMvZTJvRG9jLnhtbFBLBQYAAAAABgAGAFkBAAB9&#10;BQAAAAA=&#10;">
              <v:fill on="f" focussize="0,0"/>
              <v:stroke weight="0.72pt" color="#000000" joinstyle="round"/>
              <v:imagedata o:title=""/>
              <o:lock v:ext="edit" aspectratio="f"/>
            </v:line>
          </w:pict>
        </mc:Fallback>
      </mc:AlternateContent>
    </w:r>
    <w:r>
      <mc:AlternateContent>
        <mc:Choice Requires="wps">
          <w:drawing>
            <wp:anchor distT="0" distB="0" distL="0" distR="0" simplePos="0" relativeHeight="251659264" behindDoc="1" locked="0" layoutInCell="1" allowOverlap="1">
              <wp:simplePos x="0" y="0"/>
              <wp:positionH relativeFrom="page">
                <wp:posOffset>3093085</wp:posOffset>
              </wp:positionH>
              <wp:positionV relativeFrom="page">
                <wp:posOffset>544830</wp:posOffset>
              </wp:positionV>
              <wp:extent cx="1625600" cy="139700"/>
              <wp:effectExtent l="0" t="0" r="0" b="0"/>
              <wp:wrapNone/>
              <wp:docPr id="4107" name="文本框 15"/>
              <wp:cNvGraphicFramePr/>
              <a:graphic xmlns:a="http://schemas.openxmlformats.org/drawingml/2006/main">
                <a:graphicData uri="http://schemas.microsoft.com/office/word/2010/wordprocessingShape">
                  <wps:wsp>
                    <wps:cNvSpPr/>
                    <wps:spPr>
                      <a:xfrm>
                        <a:off x="0" y="0"/>
                        <a:ext cx="1625599" cy="139700"/>
                      </a:xfrm>
                      <a:prstGeom prst="rect">
                        <a:avLst/>
                      </a:prstGeom>
                      <a:ln>
                        <a:noFill/>
                      </a:ln>
                    </wps:spPr>
                    <wps:txbx>
                      <w:txbxContent>
                        <w:p>
                          <w:pPr>
                            <w:spacing w:before="0" w:line="220" w:lineRule="exact"/>
                            <w:ind w:left="20" w:right="0" w:firstLine="0"/>
                            <w:jc w:val="left"/>
                            <w:rPr>
                              <w:rFonts w:hint="eastAsia" w:eastAsia="宋体"/>
                              <w:sz w:val="18"/>
                              <w:lang w:eastAsia="zh-CN"/>
                            </w:rPr>
                          </w:pPr>
                          <w:r>
                            <w:rPr>
                              <w:rFonts w:hint="eastAsia"/>
                              <w:sz w:val="18"/>
                              <w:lang w:eastAsia="zh-CN"/>
                            </w:rPr>
                            <w:t>新疆正聚方企业管理咨询有限公司</w:t>
                          </w:r>
                        </w:p>
                      </w:txbxContent>
                    </wps:txbx>
                    <wps:bodyPr lIns="0" tIns="0" rIns="0" bIns="0" upright="1"/>
                  </wps:wsp>
                </a:graphicData>
              </a:graphic>
            </wp:anchor>
          </w:drawing>
        </mc:Choice>
        <mc:Fallback>
          <w:pict>
            <v:rect id="文本框 15" o:spid="_x0000_s1026" o:spt="1" style="position:absolute;left:0pt;margin-left:243.55pt;margin-top:42.9pt;height:11pt;width:128pt;mso-position-horizontal-relative:page;mso-position-vertical-relative:page;z-index:-251657216;mso-width-relative:page;mso-height-relative:page;" filled="f" stroked="f" coordsize="21600,21600" o:gfxdata="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P9LHaHZAAAACgEAAA8AAAAAAAAAAQAgAAAAIgAAAGRycy9kb3ducmV2LnhtbFBLAQIUABQA&#10;AAAIAIdO4kAbAr+FtgEAAGEDAAAOAAAAAAAAAAEAIAAAACgBAABkcnMvZTJvRG9jLnhtbFBLBQYA&#10;AAAABgAGAFkBAABQBQAAAAA=&#10;">
              <v:fill on="f" focussize="0,0"/>
              <v:stroke on="f"/>
              <v:imagedata o:title=""/>
              <o:lock v:ext="edit" aspectratio="f"/>
              <v:textbox inset="0mm,0mm,0mm,0mm">
                <w:txbxContent>
                  <w:p>
                    <w:pPr>
                      <w:spacing w:before="0" w:line="220" w:lineRule="exact"/>
                      <w:ind w:left="20" w:right="0" w:firstLine="0"/>
                      <w:jc w:val="left"/>
                      <w:rPr>
                        <w:rFonts w:hint="eastAsia" w:eastAsia="宋体"/>
                        <w:sz w:val="18"/>
                        <w:lang w:eastAsia="zh-CN"/>
                      </w:rPr>
                    </w:pPr>
                    <w:r>
                      <w:rPr>
                        <w:rFonts w:hint="eastAsia"/>
                        <w:sz w:val="18"/>
                        <w:lang w:eastAsia="zh-CN"/>
                      </w:rPr>
                      <w:t>新疆正聚方企业管理咨询有限公司</w:t>
                    </w:r>
                  </w:p>
                </w:txbxContent>
              </v:textbox>
            </v:rect>
          </w:pict>
        </mc:Fallback>
      </mc:AlternateContent>
    </w:r>
    <w:r>
      <w:rPr>
        <w:rFonts w:hint="eastAsia"/>
        <w:sz w:val="20"/>
        <w:lang w:eastAsia="zh-CN"/>
      </w:rPr>
      <w:t>咨询</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21"/>
      <w:numFmt w:val="decimal"/>
      <w:lvlText w:val="%1"/>
      <w:lvlJc w:val="left"/>
      <w:pPr>
        <w:ind w:left="637" w:hanging="540"/>
        <w:jc w:val="left"/>
      </w:pPr>
      <w:rPr>
        <w:rFonts w:hint="default"/>
        <w:lang w:val="zh-CN" w:eastAsia="zh-CN" w:bidi="zh-CN"/>
      </w:rPr>
    </w:lvl>
    <w:lvl w:ilvl="1" w:tentative="0">
      <w:start w:val="1"/>
      <w:numFmt w:val="decimal"/>
      <w:lvlText w:val="%1.%2"/>
      <w:lvlJc w:val="left"/>
      <w:pPr>
        <w:ind w:left="637"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613" w:hanging="540"/>
      </w:pPr>
      <w:rPr>
        <w:rFonts w:hint="default"/>
        <w:lang w:val="zh-CN" w:eastAsia="zh-CN" w:bidi="zh-CN"/>
      </w:rPr>
    </w:lvl>
    <w:lvl w:ilvl="3" w:tentative="0">
      <w:start w:val="0"/>
      <w:numFmt w:val="bullet"/>
      <w:lvlText w:val="•"/>
      <w:lvlJc w:val="left"/>
      <w:pPr>
        <w:ind w:left="3599" w:hanging="540"/>
      </w:pPr>
      <w:rPr>
        <w:rFonts w:hint="default"/>
        <w:lang w:val="zh-CN" w:eastAsia="zh-CN" w:bidi="zh-CN"/>
      </w:rPr>
    </w:lvl>
    <w:lvl w:ilvl="4" w:tentative="0">
      <w:start w:val="0"/>
      <w:numFmt w:val="bullet"/>
      <w:lvlText w:val="•"/>
      <w:lvlJc w:val="left"/>
      <w:pPr>
        <w:ind w:left="4586" w:hanging="540"/>
      </w:pPr>
      <w:rPr>
        <w:rFonts w:hint="default"/>
        <w:lang w:val="zh-CN" w:eastAsia="zh-CN" w:bidi="zh-CN"/>
      </w:rPr>
    </w:lvl>
    <w:lvl w:ilvl="5" w:tentative="0">
      <w:start w:val="0"/>
      <w:numFmt w:val="bullet"/>
      <w:lvlText w:val="•"/>
      <w:lvlJc w:val="left"/>
      <w:pPr>
        <w:ind w:left="5573" w:hanging="540"/>
      </w:pPr>
      <w:rPr>
        <w:rFonts w:hint="default"/>
        <w:lang w:val="zh-CN" w:eastAsia="zh-CN" w:bidi="zh-CN"/>
      </w:rPr>
    </w:lvl>
    <w:lvl w:ilvl="6" w:tentative="0">
      <w:start w:val="0"/>
      <w:numFmt w:val="bullet"/>
      <w:lvlText w:val="•"/>
      <w:lvlJc w:val="left"/>
      <w:pPr>
        <w:ind w:left="6559" w:hanging="540"/>
      </w:pPr>
      <w:rPr>
        <w:rFonts w:hint="default"/>
        <w:lang w:val="zh-CN" w:eastAsia="zh-CN" w:bidi="zh-CN"/>
      </w:rPr>
    </w:lvl>
    <w:lvl w:ilvl="7" w:tentative="0">
      <w:start w:val="0"/>
      <w:numFmt w:val="bullet"/>
      <w:lvlText w:val="•"/>
      <w:lvlJc w:val="left"/>
      <w:pPr>
        <w:ind w:left="7546" w:hanging="540"/>
      </w:pPr>
      <w:rPr>
        <w:rFonts w:hint="default"/>
        <w:lang w:val="zh-CN" w:eastAsia="zh-CN" w:bidi="zh-CN"/>
      </w:rPr>
    </w:lvl>
    <w:lvl w:ilvl="8" w:tentative="0">
      <w:start w:val="0"/>
      <w:numFmt w:val="bullet"/>
      <w:lvlText w:val="•"/>
      <w:lvlJc w:val="left"/>
      <w:pPr>
        <w:ind w:left="8532" w:hanging="540"/>
      </w:pPr>
      <w:rPr>
        <w:rFonts w:hint="default"/>
        <w:lang w:val="zh-CN" w:eastAsia="zh-CN" w:bidi="zh-CN"/>
      </w:rPr>
    </w:lvl>
  </w:abstractNum>
  <w:abstractNum w:abstractNumId="1">
    <w:nsid w:val="00000001"/>
    <w:multiLevelType w:val="multilevel"/>
    <w:tmpl w:val="00000001"/>
    <w:lvl w:ilvl="0" w:tentative="0">
      <w:start w:val="1"/>
      <w:numFmt w:val="decimal"/>
      <w:lvlText w:val="(%1)"/>
      <w:lvlJc w:val="left"/>
      <w:pPr>
        <w:ind w:left="637" w:hanging="363"/>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626" w:hanging="363"/>
      </w:pPr>
      <w:rPr>
        <w:rFonts w:hint="default"/>
        <w:lang w:val="zh-CN" w:eastAsia="zh-CN" w:bidi="zh-CN"/>
      </w:rPr>
    </w:lvl>
    <w:lvl w:ilvl="2" w:tentative="0">
      <w:start w:val="0"/>
      <w:numFmt w:val="bullet"/>
      <w:lvlText w:val="•"/>
      <w:lvlJc w:val="left"/>
      <w:pPr>
        <w:ind w:left="2613" w:hanging="363"/>
      </w:pPr>
      <w:rPr>
        <w:rFonts w:hint="default"/>
        <w:lang w:val="zh-CN" w:eastAsia="zh-CN" w:bidi="zh-CN"/>
      </w:rPr>
    </w:lvl>
    <w:lvl w:ilvl="3" w:tentative="0">
      <w:start w:val="0"/>
      <w:numFmt w:val="bullet"/>
      <w:lvlText w:val="•"/>
      <w:lvlJc w:val="left"/>
      <w:pPr>
        <w:ind w:left="3599" w:hanging="363"/>
      </w:pPr>
      <w:rPr>
        <w:rFonts w:hint="default"/>
        <w:lang w:val="zh-CN" w:eastAsia="zh-CN" w:bidi="zh-CN"/>
      </w:rPr>
    </w:lvl>
    <w:lvl w:ilvl="4" w:tentative="0">
      <w:start w:val="0"/>
      <w:numFmt w:val="bullet"/>
      <w:lvlText w:val="•"/>
      <w:lvlJc w:val="left"/>
      <w:pPr>
        <w:ind w:left="4586" w:hanging="363"/>
      </w:pPr>
      <w:rPr>
        <w:rFonts w:hint="default"/>
        <w:lang w:val="zh-CN" w:eastAsia="zh-CN" w:bidi="zh-CN"/>
      </w:rPr>
    </w:lvl>
    <w:lvl w:ilvl="5" w:tentative="0">
      <w:start w:val="0"/>
      <w:numFmt w:val="bullet"/>
      <w:lvlText w:val="•"/>
      <w:lvlJc w:val="left"/>
      <w:pPr>
        <w:ind w:left="5573" w:hanging="363"/>
      </w:pPr>
      <w:rPr>
        <w:rFonts w:hint="default"/>
        <w:lang w:val="zh-CN" w:eastAsia="zh-CN" w:bidi="zh-CN"/>
      </w:rPr>
    </w:lvl>
    <w:lvl w:ilvl="6" w:tentative="0">
      <w:start w:val="0"/>
      <w:numFmt w:val="bullet"/>
      <w:lvlText w:val="•"/>
      <w:lvlJc w:val="left"/>
      <w:pPr>
        <w:ind w:left="6559" w:hanging="363"/>
      </w:pPr>
      <w:rPr>
        <w:rFonts w:hint="default"/>
        <w:lang w:val="zh-CN" w:eastAsia="zh-CN" w:bidi="zh-CN"/>
      </w:rPr>
    </w:lvl>
    <w:lvl w:ilvl="7" w:tentative="0">
      <w:start w:val="0"/>
      <w:numFmt w:val="bullet"/>
      <w:lvlText w:val="•"/>
      <w:lvlJc w:val="left"/>
      <w:pPr>
        <w:ind w:left="7546" w:hanging="363"/>
      </w:pPr>
      <w:rPr>
        <w:rFonts w:hint="default"/>
        <w:lang w:val="zh-CN" w:eastAsia="zh-CN" w:bidi="zh-CN"/>
      </w:rPr>
    </w:lvl>
    <w:lvl w:ilvl="8" w:tentative="0">
      <w:start w:val="0"/>
      <w:numFmt w:val="bullet"/>
      <w:lvlText w:val="•"/>
      <w:lvlJc w:val="left"/>
      <w:pPr>
        <w:ind w:left="8532" w:hanging="363"/>
      </w:pPr>
      <w:rPr>
        <w:rFonts w:hint="default"/>
        <w:lang w:val="zh-CN" w:eastAsia="zh-CN" w:bidi="zh-CN"/>
      </w:rPr>
    </w:lvl>
  </w:abstractNum>
  <w:abstractNum w:abstractNumId="2">
    <w:nsid w:val="00000002"/>
    <w:multiLevelType w:val="multilevel"/>
    <w:tmpl w:val="00000002"/>
    <w:lvl w:ilvl="0" w:tentative="0">
      <w:start w:val="12"/>
      <w:numFmt w:val="decimal"/>
      <w:lvlText w:val="%1"/>
      <w:lvlJc w:val="left"/>
      <w:pPr>
        <w:ind w:left="637" w:hanging="540"/>
        <w:jc w:val="left"/>
      </w:pPr>
      <w:rPr>
        <w:rFonts w:hint="default"/>
        <w:lang w:val="zh-CN" w:eastAsia="zh-CN" w:bidi="zh-CN"/>
      </w:rPr>
    </w:lvl>
    <w:lvl w:ilvl="1" w:tentative="0">
      <w:start w:val="1"/>
      <w:numFmt w:val="decimal"/>
      <w:lvlText w:val="%1.%2"/>
      <w:lvlJc w:val="left"/>
      <w:pPr>
        <w:ind w:left="637"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613" w:hanging="540"/>
      </w:pPr>
      <w:rPr>
        <w:rFonts w:hint="default"/>
        <w:lang w:val="zh-CN" w:eastAsia="zh-CN" w:bidi="zh-CN"/>
      </w:rPr>
    </w:lvl>
    <w:lvl w:ilvl="3" w:tentative="0">
      <w:start w:val="0"/>
      <w:numFmt w:val="bullet"/>
      <w:lvlText w:val="•"/>
      <w:lvlJc w:val="left"/>
      <w:pPr>
        <w:ind w:left="3599" w:hanging="540"/>
      </w:pPr>
      <w:rPr>
        <w:rFonts w:hint="default"/>
        <w:lang w:val="zh-CN" w:eastAsia="zh-CN" w:bidi="zh-CN"/>
      </w:rPr>
    </w:lvl>
    <w:lvl w:ilvl="4" w:tentative="0">
      <w:start w:val="0"/>
      <w:numFmt w:val="bullet"/>
      <w:lvlText w:val="•"/>
      <w:lvlJc w:val="left"/>
      <w:pPr>
        <w:ind w:left="4586" w:hanging="540"/>
      </w:pPr>
      <w:rPr>
        <w:rFonts w:hint="default"/>
        <w:lang w:val="zh-CN" w:eastAsia="zh-CN" w:bidi="zh-CN"/>
      </w:rPr>
    </w:lvl>
    <w:lvl w:ilvl="5" w:tentative="0">
      <w:start w:val="0"/>
      <w:numFmt w:val="bullet"/>
      <w:lvlText w:val="•"/>
      <w:lvlJc w:val="left"/>
      <w:pPr>
        <w:ind w:left="5573" w:hanging="540"/>
      </w:pPr>
      <w:rPr>
        <w:rFonts w:hint="default"/>
        <w:lang w:val="zh-CN" w:eastAsia="zh-CN" w:bidi="zh-CN"/>
      </w:rPr>
    </w:lvl>
    <w:lvl w:ilvl="6" w:tentative="0">
      <w:start w:val="0"/>
      <w:numFmt w:val="bullet"/>
      <w:lvlText w:val="•"/>
      <w:lvlJc w:val="left"/>
      <w:pPr>
        <w:ind w:left="6559" w:hanging="540"/>
      </w:pPr>
      <w:rPr>
        <w:rFonts w:hint="default"/>
        <w:lang w:val="zh-CN" w:eastAsia="zh-CN" w:bidi="zh-CN"/>
      </w:rPr>
    </w:lvl>
    <w:lvl w:ilvl="7" w:tentative="0">
      <w:start w:val="0"/>
      <w:numFmt w:val="bullet"/>
      <w:lvlText w:val="•"/>
      <w:lvlJc w:val="left"/>
      <w:pPr>
        <w:ind w:left="7546" w:hanging="540"/>
      </w:pPr>
      <w:rPr>
        <w:rFonts w:hint="default"/>
        <w:lang w:val="zh-CN" w:eastAsia="zh-CN" w:bidi="zh-CN"/>
      </w:rPr>
    </w:lvl>
    <w:lvl w:ilvl="8" w:tentative="0">
      <w:start w:val="0"/>
      <w:numFmt w:val="bullet"/>
      <w:lvlText w:val="•"/>
      <w:lvlJc w:val="left"/>
      <w:pPr>
        <w:ind w:left="8532" w:hanging="540"/>
      </w:pPr>
      <w:rPr>
        <w:rFonts w:hint="default"/>
        <w:lang w:val="zh-CN" w:eastAsia="zh-CN" w:bidi="zh-CN"/>
      </w:rPr>
    </w:lvl>
  </w:abstractNum>
  <w:abstractNum w:abstractNumId="3">
    <w:nsid w:val="00000003"/>
    <w:multiLevelType w:val="multilevel"/>
    <w:tmpl w:val="00000003"/>
    <w:lvl w:ilvl="0" w:tentative="0">
      <w:start w:val="5"/>
      <w:numFmt w:val="decimal"/>
      <w:lvlText w:val="%1."/>
      <w:lvlJc w:val="left"/>
      <w:pPr>
        <w:ind w:left="1478"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00" w:hanging="420"/>
      </w:pPr>
      <w:rPr>
        <w:rFonts w:hint="default"/>
        <w:lang w:val="zh-CN" w:eastAsia="zh-CN" w:bidi="zh-CN"/>
      </w:rPr>
    </w:lvl>
    <w:lvl w:ilvl="3" w:tentative="0">
      <w:start w:val="0"/>
      <w:numFmt w:val="bullet"/>
      <w:lvlText w:val="•"/>
      <w:lvlJc w:val="left"/>
      <w:pPr>
        <w:ind w:left="2713" w:hanging="420"/>
      </w:pPr>
      <w:rPr>
        <w:rFonts w:hint="default"/>
        <w:lang w:val="zh-CN" w:eastAsia="zh-CN" w:bidi="zh-CN"/>
      </w:rPr>
    </w:lvl>
    <w:lvl w:ilvl="4" w:tentative="0">
      <w:start w:val="0"/>
      <w:numFmt w:val="bullet"/>
      <w:lvlText w:val="•"/>
      <w:lvlJc w:val="left"/>
      <w:pPr>
        <w:ind w:left="3826" w:hanging="420"/>
      </w:pPr>
      <w:rPr>
        <w:rFonts w:hint="default"/>
        <w:lang w:val="zh-CN" w:eastAsia="zh-CN" w:bidi="zh-CN"/>
      </w:rPr>
    </w:lvl>
    <w:lvl w:ilvl="5" w:tentative="0">
      <w:start w:val="0"/>
      <w:numFmt w:val="bullet"/>
      <w:lvlText w:val="•"/>
      <w:lvlJc w:val="left"/>
      <w:pPr>
        <w:ind w:left="4939" w:hanging="420"/>
      </w:pPr>
      <w:rPr>
        <w:rFonts w:hint="default"/>
        <w:lang w:val="zh-CN" w:eastAsia="zh-CN" w:bidi="zh-CN"/>
      </w:rPr>
    </w:lvl>
    <w:lvl w:ilvl="6" w:tentative="0">
      <w:start w:val="0"/>
      <w:numFmt w:val="bullet"/>
      <w:lvlText w:val="•"/>
      <w:lvlJc w:val="left"/>
      <w:pPr>
        <w:ind w:left="6053" w:hanging="420"/>
      </w:pPr>
      <w:rPr>
        <w:rFonts w:hint="default"/>
        <w:lang w:val="zh-CN" w:eastAsia="zh-CN" w:bidi="zh-CN"/>
      </w:rPr>
    </w:lvl>
    <w:lvl w:ilvl="7" w:tentative="0">
      <w:start w:val="0"/>
      <w:numFmt w:val="bullet"/>
      <w:lvlText w:val="•"/>
      <w:lvlJc w:val="left"/>
      <w:pPr>
        <w:ind w:left="7166" w:hanging="420"/>
      </w:pPr>
      <w:rPr>
        <w:rFonts w:hint="default"/>
        <w:lang w:val="zh-CN" w:eastAsia="zh-CN" w:bidi="zh-CN"/>
      </w:rPr>
    </w:lvl>
    <w:lvl w:ilvl="8" w:tentative="0">
      <w:start w:val="0"/>
      <w:numFmt w:val="bullet"/>
      <w:lvlText w:val="•"/>
      <w:lvlJc w:val="left"/>
      <w:pPr>
        <w:ind w:left="8279" w:hanging="420"/>
      </w:pPr>
      <w:rPr>
        <w:rFonts w:hint="default"/>
        <w:lang w:val="zh-CN" w:eastAsia="zh-CN" w:bidi="zh-CN"/>
      </w:rPr>
    </w:lvl>
  </w:abstractNum>
  <w:abstractNum w:abstractNumId="4">
    <w:nsid w:val="00000004"/>
    <w:multiLevelType w:val="multilevel"/>
    <w:tmpl w:val="00000004"/>
    <w:lvl w:ilvl="0" w:tentative="0">
      <w:start w:val="6"/>
      <w:numFmt w:val="decimal"/>
      <w:lvlText w:val="%1."/>
      <w:lvlJc w:val="left"/>
      <w:pPr>
        <w:ind w:left="1481"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80"/>
        <w:jc w:val="left"/>
      </w:pPr>
      <w:rPr>
        <w:rFonts w:hint="default" w:ascii="宋体" w:hAnsi="宋体" w:eastAsia="宋体" w:cs="宋体"/>
        <w:spacing w:val="-17"/>
        <w:w w:val="100"/>
        <w:sz w:val="24"/>
        <w:szCs w:val="24"/>
        <w:lang w:val="zh-CN" w:eastAsia="zh-CN" w:bidi="zh-CN"/>
      </w:rPr>
    </w:lvl>
    <w:lvl w:ilvl="2" w:tentative="0">
      <w:start w:val="0"/>
      <w:numFmt w:val="bullet"/>
      <w:lvlText w:val="•"/>
      <w:lvlJc w:val="left"/>
      <w:pPr>
        <w:ind w:left="1480" w:hanging="480"/>
      </w:pPr>
      <w:rPr>
        <w:rFonts w:hint="default"/>
        <w:lang w:val="zh-CN" w:eastAsia="zh-CN" w:bidi="zh-CN"/>
      </w:rPr>
    </w:lvl>
    <w:lvl w:ilvl="3" w:tentative="0">
      <w:start w:val="0"/>
      <w:numFmt w:val="bullet"/>
      <w:lvlText w:val="•"/>
      <w:lvlJc w:val="left"/>
      <w:pPr>
        <w:ind w:left="2608" w:hanging="480"/>
      </w:pPr>
      <w:rPr>
        <w:rFonts w:hint="default"/>
        <w:lang w:val="zh-CN" w:eastAsia="zh-CN" w:bidi="zh-CN"/>
      </w:rPr>
    </w:lvl>
    <w:lvl w:ilvl="4" w:tentative="0">
      <w:start w:val="0"/>
      <w:numFmt w:val="bullet"/>
      <w:lvlText w:val="•"/>
      <w:lvlJc w:val="left"/>
      <w:pPr>
        <w:ind w:left="3736" w:hanging="480"/>
      </w:pPr>
      <w:rPr>
        <w:rFonts w:hint="default"/>
        <w:lang w:val="zh-CN" w:eastAsia="zh-CN" w:bidi="zh-CN"/>
      </w:rPr>
    </w:lvl>
    <w:lvl w:ilvl="5" w:tentative="0">
      <w:start w:val="0"/>
      <w:numFmt w:val="bullet"/>
      <w:lvlText w:val="•"/>
      <w:lvlJc w:val="left"/>
      <w:pPr>
        <w:ind w:left="4864" w:hanging="480"/>
      </w:pPr>
      <w:rPr>
        <w:rFonts w:hint="default"/>
        <w:lang w:val="zh-CN" w:eastAsia="zh-CN" w:bidi="zh-CN"/>
      </w:rPr>
    </w:lvl>
    <w:lvl w:ilvl="6" w:tentative="0">
      <w:start w:val="0"/>
      <w:numFmt w:val="bullet"/>
      <w:lvlText w:val="•"/>
      <w:lvlJc w:val="left"/>
      <w:pPr>
        <w:ind w:left="5993" w:hanging="480"/>
      </w:pPr>
      <w:rPr>
        <w:rFonts w:hint="default"/>
        <w:lang w:val="zh-CN" w:eastAsia="zh-CN" w:bidi="zh-CN"/>
      </w:rPr>
    </w:lvl>
    <w:lvl w:ilvl="7" w:tentative="0">
      <w:start w:val="0"/>
      <w:numFmt w:val="bullet"/>
      <w:lvlText w:val="•"/>
      <w:lvlJc w:val="left"/>
      <w:pPr>
        <w:ind w:left="7121" w:hanging="480"/>
      </w:pPr>
      <w:rPr>
        <w:rFonts w:hint="default"/>
        <w:lang w:val="zh-CN" w:eastAsia="zh-CN" w:bidi="zh-CN"/>
      </w:rPr>
    </w:lvl>
    <w:lvl w:ilvl="8" w:tentative="0">
      <w:start w:val="0"/>
      <w:numFmt w:val="bullet"/>
      <w:lvlText w:val="•"/>
      <w:lvlJc w:val="left"/>
      <w:pPr>
        <w:ind w:left="8249" w:hanging="480"/>
      </w:pPr>
      <w:rPr>
        <w:rFonts w:hint="default"/>
        <w:lang w:val="zh-CN" w:eastAsia="zh-CN" w:bidi="zh-CN"/>
      </w:rPr>
    </w:lvl>
  </w:abstractNum>
  <w:abstractNum w:abstractNumId="5">
    <w:nsid w:val="00000005"/>
    <w:multiLevelType w:val="multilevel"/>
    <w:tmpl w:val="00000005"/>
    <w:lvl w:ilvl="0" w:tentative="0">
      <w:start w:val="8"/>
      <w:numFmt w:val="decimal"/>
      <w:lvlText w:val="%1"/>
      <w:lvlJc w:val="left"/>
      <w:pPr>
        <w:ind w:left="637" w:hanging="483"/>
        <w:jc w:val="left"/>
      </w:pPr>
      <w:rPr>
        <w:rFonts w:hint="default"/>
        <w:lang w:val="zh-CN" w:eastAsia="zh-CN" w:bidi="zh-CN"/>
      </w:rPr>
    </w:lvl>
    <w:lvl w:ilvl="1" w:tentative="0">
      <w:start w:val="1"/>
      <w:numFmt w:val="decimal"/>
      <w:lvlText w:val="%1.%2"/>
      <w:lvlJc w:val="left"/>
      <w:pPr>
        <w:ind w:left="637" w:hanging="483"/>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613" w:hanging="483"/>
      </w:pPr>
      <w:rPr>
        <w:rFonts w:hint="default"/>
        <w:lang w:val="zh-CN" w:eastAsia="zh-CN" w:bidi="zh-CN"/>
      </w:rPr>
    </w:lvl>
    <w:lvl w:ilvl="3" w:tentative="0">
      <w:start w:val="0"/>
      <w:numFmt w:val="bullet"/>
      <w:lvlText w:val="•"/>
      <w:lvlJc w:val="left"/>
      <w:pPr>
        <w:ind w:left="3599" w:hanging="483"/>
      </w:pPr>
      <w:rPr>
        <w:rFonts w:hint="default"/>
        <w:lang w:val="zh-CN" w:eastAsia="zh-CN" w:bidi="zh-CN"/>
      </w:rPr>
    </w:lvl>
    <w:lvl w:ilvl="4" w:tentative="0">
      <w:start w:val="0"/>
      <w:numFmt w:val="bullet"/>
      <w:lvlText w:val="•"/>
      <w:lvlJc w:val="left"/>
      <w:pPr>
        <w:ind w:left="4586" w:hanging="483"/>
      </w:pPr>
      <w:rPr>
        <w:rFonts w:hint="default"/>
        <w:lang w:val="zh-CN" w:eastAsia="zh-CN" w:bidi="zh-CN"/>
      </w:rPr>
    </w:lvl>
    <w:lvl w:ilvl="5" w:tentative="0">
      <w:start w:val="0"/>
      <w:numFmt w:val="bullet"/>
      <w:lvlText w:val="•"/>
      <w:lvlJc w:val="left"/>
      <w:pPr>
        <w:ind w:left="5573" w:hanging="483"/>
      </w:pPr>
      <w:rPr>
        <w:rFonts w:hint="default"/>
        <w:lang w:val="zh-CN" w:eastAsia="zh-CN" w:bidi="zh-CN"/>
      </w:rPr>
    </w:lvl>
    <w:lvl w:ilvl="6" w:tentative="0">
      <w:start w:val="0"/>
      <w:numFmt w:val="bullet"/>
      <w:lvlText w:val="•"/>
      <w:lvlJc w:val="left"/>
      <w:pPr>
        <w:ind w:left="6559" w:hanging="483"/>
      </w:pPr>
      <w:rPr>
        <w:rFonts w:hint="default"/>
        <w:lang w:val="zh-CN" w:eastAsia="zh-CN" w:bidi="zh-CN"/>
      </w:rPr>
    </w:lvl>
    <w:lvl w:ilvl="7" w:tentative="0">
      <w:start w:val="0"/>
      <w:numFmt w:val="bullet"/>
      <w:lvlText w:val="•"/>
      <w:lvlJc w:val="left"/>
      <w:pPr>
        <w:ind w:left="7546" w:hanging="483"/>
      </w:pPr>
      <w:rPr>
        <w:rFonts w:hint="default"/>
        <w:lang w:val="zh-CN" w:eastAsia="zh-CN" w:bidi="zh-CN"/>
      </w:rPr>
    </w:lvl>
    <w:lvl w:ilvl="8" w:tentative="0">
      <w:start w:val="0"/>
      <w:numFmt w:val="bullet"/>
      <w:lvlText w:val="•"/>
      <w:lvlJc w:val="left"/>
      <w:pPr>
        <w:ind w:left="8532" w:hanging="483"/>
      </w:pPr>
      <w:rPr>
        <w:rFonts w:hint="default"/>
        <w:lang w:val="zh-CN" w:eastAsia="zh-CN" w:bidi="zh-CN"/>
      </w:rPr>
    </w:lvl>
  </w:abstractNum>
  <w:abstractNum w:abstractNumId="6">
    <w:nsid w:val="00000006"/>
    <w:multiLevelType w:val="multilevel"/>
    <w:tmpl w:val="00000006"/>
    <w:lvl w:ilvl="0" w:tentative="0">
      <w:start w:val="23"/>
      <w:numFmt w:val="decimal"/>
      <w:lvlText w:val="%1"/>
      <w:lvlJc w:val="left"/>
      <w:pPr>
        <w:ind w:left="1710" w:hanging="603"/>
        <w:jc w:val="left"/>
      </w:pPr>
      <w:rPr>
        <w:rFonts w:hint="default"/>
        <w:lang w:val="zh-CN" w:eastAsia="zh-CN" w:bidi="zh-CN"/>
      </w:rPr>
    </w:lvl>
    <w:lvl w:ilvl="1" w:tentative="0">
      <w:start w:val="6"/>
      <w:numFmt w:val="decimal"/>
      <w:lvlText w:val="%1.%2"/>
      <w:lvlJc w:val="left"/>
      <w:pPr>
        <w:ind w:left="1710" w:hanging="603"/>
        <w:jc w:val="left"/>
      </w:pPr>
      <w:rPr>
        <w:rFonts w:hint="default" w:ascii="宋体" w:hAnsi="宋体" w:eastAsia="宋体" w:cs="宋体"/>
        <w:b/>
        <w:bCs/>
        <w:w w:val="99"/>
        <w:sz w:val="24"/>
        <w:szCs w:val="24"/>
        <w:lang w:val="zh-CN" w:eastAsia="zh-CN" w:bidi="zh-CN"/>
      </w:rPr>
    </w:lvl>
    <w:lvl w:ilvl="2" w:tentative="0">
      <w:start w:val="1"/>
      <w:numFmt w:val="decimal"/>
      <w:lvlText w:val="%1.%2.%3"/>
      <w:lvlJc w:val="left"/>
      <w:pPr>
        <w:ind w:left="637" w:hanging="78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3672" w:hanging="780"/>
      </w:pPr>
      <w:rPr>
        <w:rFonts w:hint="default"/>
        <w:lang w:val="zh-CN" w:eastAsia="zh-CN" w:bidi="zh-CN"/>
      </w:rPr>
    </w:lvl>
    <w:lvl w:ilvl="4" w:tentative="0">
      <w:start w:val="0"/>
      <w:numFmt w:val="bullet"/>
      <w:lvlText w:val="•"/>
      <w:lvlJc w:val="left"/>
      <w:pPr>
        <w:ind w:left="4648" w:hanging="780"/>
      </w:pPr>
      <w:rPr>
        <w:rFonts w:hint="default"/>
        <w:lang w:val="zh-CN" w:eastAsia="zh-CN" w:bidi="zh-CN"/>
      </w:rPr>
    </w:lvl>
    <w:lvl w:ilvl="5" w:tentative="0">
      <w:start w:val="0"/>
      <w:numFmt w:val="bullet"/>
      <w:lvlText w:val="•"/>
      <w:lvlJc w:val="left"/>
      <w:pPr>
        <w:ind w:left="5624" w:hanging="780"/>
      </w:pPr>
      <w:rPr>
        <w:rFonts w:hint="default"/>
        <w:lang w:val="zh-CN" w:eastAsia="zh-CN" w:bidi="zh-CN"/>
      </w:rPr>
    </w:lvl>
    <w:lvl w:ilvl="6" w:tentative="0">
      <w:start w:val="0"/>
      <w:numFmt w:val="bullet"/>
      <w:lvlText w:val="•"/>
      <w:lvlJc w:val="left"/>
      <w:pPr>
        <w:ind w:left="6601" w:hanging="780"/>
      </w:pPr>
      <w:rPr>
        <w:rFonts w:hint="default"/>
        <w:lang w:val="zh-CN" w:eastAsia="zh-CN" w:bidi="zh-CN"/>
      </w:rPr>
    </w:lvl>
    <w:lvl w:ilvl="7" w:tentative="0">
      <w:start w:val="0"/>
      <w:numFmt w:val="bullet"/>
      <w:lvlText w:val="•"/>
      <w:lvlJc w:val="left"/>
      <w:pPr>
        <w:ind w:left="7577" w:hanging="780"/>
      </w:pPr>
      <w:rPr>
        <w:rFonts w:hint="default"/>
        <w:lang w:val="zh-CN" w:eastAsia="zh-CN" w:bidi="zh-CN"/>
      </w:rPr>
    </w:lvl>
    <w:lvl w:ilvl="8" w:tentative="0">
      <w:start w:val="0"/>
      <w:numFmt w:val="bullet"/>
      <w:lvlText w:val="•"/>
      <w:lvlJc w:val="left"/>
      <w:pPr>
        <w:ind w:left="8553" w:hanging="780"/>
      </w:pPr>
      <w:rPr>
        <w:rFonts w:hint="default"/>
        <w:lang w:val="zh-CN" w:eastAsia="zh-CN" w:bidi="zh-CN"/>
      </w:rPr>
    </w:lvl>
  </w:abstractNum>
  <w:abstractNum w:abstractNumId="7">
    <w:nsid w:val="00000007"/>
    <w:multiLevelType w:val="multilevel"/>
    <w:tmpl w:val="00000007"/>
    <w:lvl w:ilvl="0" w:tentative="0">
      <w:start w:val="1"/>
      <w:numFmt w:val="decimal"/>
      <w:lvlText w:val="%1"/>
      <w:lvlJc w:val="left"/>
      <w:pPr>
        <w:ind w:left="637" w:hanging="488"/>
        <w:jc w:val="left"/>
      </w:pPr>
      <w:rPr>
        <w:rFonts w:hint="default"/>
        <w:lang w:val="zh-CN" w:eastAsia="zh-CN" w:bidi="zh-CN"/>
      </w:rPr>
    </w:lvl>
    <w:lvl w:ilvl="1" w:tentative="0">
      <w:start w:val="1"/>
      <w:numFmt w:val="decimal"/>
      <w:lvlText w:val="%1.%2"/>
      <w:lvlJc w:val="left"/>
      <w:pPr>
        <w:ind w:left="637" w:hanging="488"/>
        <w:jc w:val="right"/>
      </w:pPr>
      <w:rPr>
        <w:rFonts w:hint="default"/>
        <w:w w:val="100"/>
        <w:lang w:val="zh-CN" w:eastAsia="zh-CN" w:bidi="zh-CN"/>
      </w:rPr>
    </w:lvl>
    <w:lvl w:ilvl="2" w:tentative="0">
      <w:start w:val="0"/>
      <w:numFmt w:val="bullet"/>
      <w:lvlText w:val="•"/>
      <w:lvlJc w:val="left"/>
      <w:pPr>
        <w:ind w:left="2613" w:hanging="488"/>
      </w:pPr>
      <w:rPr>
        <w:rFonts w:hint="default"/>
        <w:lang w:val="zh-CN" w:eastAsia="zh-CN" w:bidi="zh-CN"/>
      </w:rPr>
    </w:lvl>
    <w:lvl w:ilvl="3" w:tentative="0">
      <w:start w:val="0"/>
      <w:numFmt w:val="bullet"/>
      <w:lvlText w:val="•"/>
      <w:lvlJc w:val="left"/>
      <w:pPr>
        <w:ind w:left="3599" w:hanging="488"/>
      </w:pPr>
      <w:rPr>
        <w:rFonts w:hint="default"/>
        <w:lang w:val="zh-CN" w:eastAsia="zh-CN" w:bidi="zh-CN"/>
      </w:rPr>
    </w:lvl>
    <w:lvl w:ilvl="4" w:tentative="0">
      <w:start w:val="0"/>
      <w:numFmt w:val="bullet"/>
      <w:lvlText w:val="•"/>
      <w:lvlJc w:val="left"/>
      <w:pPr>
        <w:ind w:left="4586" w:hanging="488"/>
      </w:pPr>
      <w:rPr>
        <w:rFonts w:hint="default"/>
        <w:lang w:val="zh-CN" w:eastAsia="zh-CN" w:bidi="zh-CN"/>
      </w:rPr>
    </w:lvl>
    <w:lvl w:ilvl="5" w:tentative="0">
      <w:start w:val="0"/>
      <w:numFmt w:val="bullet"/>
      <w:lvlText w:val="•"/>
      <w:lvlJc w:val="left"/>
      <w:pPr>
        <w:ind w:left="5573" w:hanging="488"/>
      </w:pPr>
      <w:rPr>
        <w:rFonts w:hint="default"/>
        <w:lang w:val="zh-CN" w:eastAsia="zh-CN" w:bidi="zh-CN"/>
      </w:rPr>
    </w:lvl>
    <w:lvl w:ilvl="6" w:tentative="0">
      <w:start w:val="0"/>
      <w:numFmt w:val="bullet"/>
      <w:lvlText w:val="•"/>
      <w:lvlJc w:val="left"/>
      <w:pPr>
        <w:ind w:left="6559" w:hanging="488"/>
      </w:pPr>
      <w:rPr>
        <w:rFonts w:hint="default"/>
        <w:lang w:val="zh-CN" w:eastAsia="zh-CN" w:bidi="zh-CN"/>
      </w:rPr>
    </w:lvl>
    <w:lvl w:ilvl="7" w:tentative="0">
      <w:start w:val="0"/>
      <w:numFmt w:val="bullet"/>
      <w:lvlText w:val="•"/>
      <w:lvlJc w:val="left"/>
      <w:pPr>
        <w:ind w:left="7546" w:hanging="488"/>
      </w:pPr>
      <w:rPr>
        <w:rFonts w:hint="default"/>
        <w:lang w:val="zh-CN" w:eastAsia="zh-CN" w:bidi="zh-CN"/>
      </w:rPr>
    </w:lvl>
    <w:lvl w:ilvl="8" w:tentative="0">
      <w:start w:val="0"/>
      <w:numFmt w:val="bullet"/>
      <w:lvlText w:val="•"/>
      <w:lvlJc w:val="left"/>
      <w:pPr>
        <w:ind w:left="8532" w:hanging="488"/>
      </w:pPr>
      <w:rPr>
        <w:rFonts w:hint="default"/>
        <w:lang w:val="zh-CN" w:eastAsia="zh-CN" w:bidi="zh-CN"/>
      </w:rPr>
    </w:lvl>
  </w:abstractNum>
  <w:abstractNum w:abstractNumId="8">
    <w:nsid w:val="00000008"/>
    <w:multiLevelType w:val="multilevel"/>
    <w:tmpl w:val="00000008"/>
    <w:lvl w:ilvl="0" w:tentative="0">
      <w:start w:val="1"/>
      <w:numFmt w:val="decimal"/>
      <w:lvlText w:val="%1."/>
      <w:lvlJc w:val="left"/>
      <w:pPr>
        <w:ind w:left="637" w:hanging="363"/>
        <w:jc w:val="left"/>
      </w:pPr>
      <w:rPr>
        <w:rFonts w:hint="default" w:ascii="宋体" w:hAnsi="宋体" w:eastAsia="宋体" w:cs="宋体"/>
        <w:w w:val="100"/>
        <w:sz w:val="24"/>
        <w:szCs w:val="24"/>
        <w:lang w:val="zh-CN" w:eastAsia="zh-CN" w:bidi="zh-CN"/>
      </w:rPr>
    </w:lvl>
    <w:lvl w:ilvl="1" w:tentative="0">
      <w:start w:val="1"/>
      <w:numFmt w:val="decimal"/>
      <w:lvlText w:val="（%2）"/>
      <w:lvlJc w:val="left"/>
      <w:pPr>
        <w:ind w:left="1958" w:hanging="601"/>
        <w:jc w:val="left"/>
      </w:pPr>
      <w:rPr>
        <w:rFonts w:hint="default" w:ascii="宋体" w:hAnsi="宋体" w:eastAsia="宋体" w:cs="宋体"/>
        <w:w w:val="100"/>
        <w:sz w:val="22"/>
        <w:szCs w:val="22"/>
        <w:lang w:val="zh-CN" w:eastAsia="zh-CN" w:bidi="zh-CN"/>
      </w:rPr>
    </w:lvl>
    <w:lvl w:ilvl="2" w:tentative="0">
      <w:start w:val="0"/>
      <w:numFmt w:val="bullet"/>
      <w:lvlText w:val="•"/>
      <w:lvlJc w:val="left"/>
      <w:pPr>
        <w:ind w:left="2909" w:hanging="601"/>
      </w:pPr>
      <w:rPr>
        <w:rFonts w:hint="default"/>
        <w:lang w:val="zh-CN" w:eastAsia="zh-CN" w:bidi="zh-CN"/>
      </w:rPr>
    </w:lvl>
    <w:lvl w:ilvl="3" w:tentative="0">
      <w:start w:val="0"/>
      <w:numFmt w:val="bullet"/>
      <w:lvlText w:val="•"/>
      <w:lvlJc w:val="left"/>
      <w:pPr>
        <w:ind w:left="3859" w:hanging="601"/>
      </w:pPr>
      <w:rPr>
        <w:rFonts w:hint="default"/>
        <w:lang w:val="zh-CN" w:eastAsia="zh-CN" w:bidi="zh-CN"/>
      </w:rPr>
    </w:lvl>
    <w:lvl w:ilvl="4" w:tentative="0">
      <w:start w:val="0"/>
      <w:numFmt w:val="bullet"/>
      <w:lvlText w:val="•"/>
      <w:lvlJc w:val="left"/>
      <w:pPr>
        <w:ind w:left="4808" w:hanging="601"/>
      </w:pPr>
      <w:rPr>
        <w:rFonts w:hint="default"/>
        <w:lang w:val="zh-CN" w:eastAsia="zh-CN" w:bidi="zh-CN"/>
      </w:rPr>
    </w:lvl>
    <w:lvl w:ilvl="5" w:tentative="0">
      <w:start w:val="0"/>
      <w:numFmt w:val="bullet"/>
      <w:lvlText w:val="•"/>
      <w:lvlJc w:val="left"/>
      <w:pPr>
        <w:ind w:left="5758" w:hanging="601"/>
      </w:pPr>
      <w:rPr>
        <w:rFonts w:hint="default"/>
        <w:lang w:val="zh-CN" w:eastAsia="zh-CN" w:bidi="zh-CN"/>
      </w:rPr>
    </w:lvl>
    <w:lvl w:ilvl="6" w:tentative="0">
      <w:start w:val="0"/>
      <w:numFmt w:val="bullet"/>
      <w:lvlText w:val="•"/>
      <w:lvlJc w:val="left"/>
      <w:pPr>
        <w:ind w:left="6707" w:hanging="601"/>
      </w:pPr>
      <w:rPr>
        <w:rFonts w:hint="default"/>
        <w:lang w:val="zh-CN" w:eastAsia="zh-CN" w:bidi="zh-CN"/>
      </w:rPr>
    </w:lvl>
    <w:lvl w:ilvl="7" w:tentative="0">
      <w:start w:val="0"/>
      <w:numFmt w:val="bullet"/>
      <w:lvlText w:val="•"/>
      <w:lvlJc w:val="left"/>
      <w:pPr>
        <w:ind w:left="7657" w:hanging="601"/>
      </w:pPr>
      <w:rPr>
        <w:rFonts w:hint="default"/>
        <w:lang w:val="zh-CN" w:eastAsia="zh-CN" w:bidi="zh-CN"/>
      </w:rPr>
    </w:lvl>
    <w:lvl w:ilvl="8" w:tentative="0">
      <w:start w:val="0"/>
      <w:numFmt w:val="bullet"/>
      <w:lvlText w:val="•"/>
      <w:lvlJc w:val="left"/>
      <w:pPr>
        <w:ind w:left="8606" w:hanging="601"/>
      </w:pPr>
      <w:rPr>
        <w:rFonts w:hint="default"/>
        <w:lang w:val="zh-CN" w:eastAsia="zh-CN" w:bidi="zh-CN"/>
      </w:rPr>
    </w:lvl>
  </w:abstractNum>
  <w:abstractNum w:abstractNumId="9">
    <w:nsid w:val="00000009"/>
    <w:multiLevelType w:val="multilevel"/>
    <w:tmpl w:val="00000009"/>
    <w:lvl w:ilvl="0" w:tentative="0">
      <w:start w:val="4"/>
      <w:numFmt w:val="decimal"/>
      <w:lvlText w:val="%1"/>
      <w:lvlJc w:val="left"/>
      <w:pPr>
        <w:ind w:left="637" w:hanging="420"/>
        <w:jc w:val="left"/>
      </w:pPr>
      <w:rPr>
        <w:rFonts w:hint="default"/>
        <w:lang w:val="zh-CN" w:eastAsia="zh-CN" w:bidi="zh-CN"/>
      </w:rPr>
    </w:lvl>
    <w:lvl w:ilvl="1" w:tentative="0">
      <w:start w:val="1"/>
      <w:numFmt w:val="decimal"/>
      <w:lvlText w:val="%1.%2"/>
      <w:lvlJc w:val="left"/>
      <w:pPr>
        <w:ind w:left="637" w:hanging="42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613" w:hanging="420"/>
      </w:pPr>
      <w:rPr>
        <w:rFonts w:hint="default"/>
        <w:lang w:val="zh-CN" w:eastAsia="zh-CN" w:bidi="zh-CN"/>
      </w:rPr>
    </w:lvl>
    <w:lvl w:ilvl="3" w:tentative="0">
      <w:start w:val="0"/>
      <w:numFmt w:val="bullet"/>
      <w:lvlText w:val="•"/>
      <w:lvlJc w:val="left"/>
      <w:pPr>
        <w:ind w:left="3599" w:hanging="420"/>
      </w:pPr>
      <w:rPr>
        <w:rFonts w:hint="default"/>
        <w:lang w:val="zh-CN" w:eastAsia="zh-CN" w:bidi="zh-CN"/>
      </w:rPr>
    </w:lvl>
    <w:lvl w:ilvl="4" w:tentative="0">
      <w:start w:val="0"/>
      <w:numFmt w:val="bullet"/>
      <w:lvlText w:val="•"/>
      <w:lvlJc w:val="left"/>
      <w:pPr>
        <w:ind w:left="4586" w:hanging="420"/>
      </w:pPr>
      <w:rPr>
        <w:rFonts w:hint="default"/>
        <w:lang w:val="zh-CN" w:eastAsia="zh-CN" w:bidi="zh-CN"/>
      </w:rPr>
    </w:lvl>
    <w:lvl w:ilvl="5" w:tentative="0">
      <w:start w:val="0"/>
      <w:numFmt w:val="bullet"/>
      <w:lvlText w:val="•"/>
      <w:lvlJc w:val="left"/>
      <w:pPr>
        <w:ind w:left="5573" w:hanging="420"/>
      </w:pPr>
      <w:rPr>
        <w:rFonts w:hint="default"/>
        <w:lang w:val="zh-CN" w:eastAsia="zh-CN" w:bidi="zh-CN"/>
      </w:rPr>
    </w:lvl>
    <w:lvl w:ilvl="6" w:tentative="0">
      <w:start w:val="0"/>
      <w:numFmt w:val="bullet"/>
      <w:lvlText w:val="•"/>
      <w:lvlJc w:val="left"/>
      <w:pPr>
        <w:ind w:left="6559" w:hanging="420"/>
      </w:pPr>
      <w:rPr>
        <w:rFonts w:hint="default"/>
        <w:lang w:val="zh-CN" w:eastAsia="zh-CN" w:bidi="zh-CN"/>
      </w:rPr>
    </w:lvl>
    <w:lvl w:ilvl="7" w:tentative="0">
      <w:start w:val="0"/>
      <w:numFmt w:val="bullet"/>
      <w:lvlText w:val="•"/>
      <w:lvlJc w:val="left"/>
      <w:pPr>
        <w:ind w:left="7546" w:hanging="420"/>
      </w:pPr>
      <w:rPr>
        <w:rFonts w:hint="default"/>
        <w:lang w:val="zh-CN" w:eastAsia="zh-CN" w:bidi="zh-CN"/>
      </w:rPr>
    </w:lvl>
    <w:lvl w:ilvl="8" w:tentative="0">
      <w:start w:val="0"/>
      <w:numFmt w:val="bullet"/>
      <w:lvlText w:val="•"/>
      <w:lvlJc w:val="left"/>
      <w:pPr>
        <w:ind w:left="8532" w:hanging="420"/>
      </w:pPr>
      <w:rPr>
        <w:rFonts w:hint="default"/>
        <w:lang w:val="zh-CN" w:eastAsia="zh-CN" w:bidi="zh-CN"/>
      </w:rPr>
    </w:lvl>
  </w:abstractNum>
  <w:abstractNum w:abstractNumId="10">
    <w:nsid w:val="0000000A"/>
    <w:multiLevelType w:val="singleLevel"/>
    <w:tmpl w:val="0000000A"/>
    <w:lvl w:ilvl="0" w:tentative="0">
      <w:start w:val="1"/>
      <w:numFmt w:val="chineseCounting"/>
      <w:suff w:val="space"/>
      <w:lvlText w:val="第%1部分"/>
      <w:lvlJc w:val="left"/>
      <w:pPr>
        <w:ind w:left="4180" w:leftChars="0" w:firstLine="0" w:firstLineChars="0"/>
      </w:pPr>
      <w:rPr>
        <w:rFonts w:hint="eastAsia"/>
      </w:rPr>
    </w:lvl>
  </w:abstractNum>
  <w:abstractNum w:abstractNumId="11">
    <w:nsid w:val="0000000B"/>
    <w:multiLevelType w:val="multilevel"/>
    <w:tmpl w:val="0000000B"/>
    <w:lvl w:ilvl="0" w:tentative="0">
      <w:start w:val="5"/>
      <w:numFmt w:val="decimal"/>
      <w:lvlText w:val="%1."/>
      <w:lvlJc w:val="left"/>
      <w:pPr>
        <w:ind w:left="1478"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80"/>
        <w:jc w:val="left"/>
      </w:pPr>
      <w:rPr>
        <w:rFonts w:hint="default" w:ascii="宋体" w:hAnsi="宋体" w:eastAsia="宋体" w:cs="宋体"/>
        <w:spacing w:val="-22"/>
        <w:w w:val="100"/>
        <w:sz w:val="24"/>
        <w:szCs w:val="24"/>
        <w:lang w:val="zh-CN" w:eastAsia="zh-CN" w:bidi="zh-CN"/>
      </w:rPr>
    </w:lvl>
    <w:lvl w:ilvl="2" w:tentative="0">
      <w:start w:val="0"/>
      <w:numFmt w:val="bullet"/>
      <w:lvlText w:val="•"/>
      <w:lvlJc w:val="left"/>
      <w:pPr>
        <w:ind w:left="2482" w:hanging="480"/>
      </w:pPr>
      <w:rPr>
        <w:rFonts w:hint="default"/>
        <w:lang w:val="zh-CN" w:eastAsia="zh-CN" w:bidi="zh-CN"/>
      </w:rPr>
    </w:lvl>
    <w:lvl w:ilvl="3" w:tentative="0">
      <w:start w:val="0"/>
      <w:numFmt w:val="bullet"/>
      <w:lvlText w:val="•"/>
      <w:lvlJc w:val="left"/>
      <w:pPr>
        <w:ind w:left="3485" w:hanging="480"/>
      </w:pPr>
      <w:rPr>
        <w:rFonts w:hint="default"/>
        <w:lang w:val="zh-CN" w:eastAsia="zh-CN" w:bidi="zh-CN"/>
      </w:rPr>
    </w:lvl>
    <w:lvl w:ilvl="4" w:tentative="0">
      <w:start w:val="0"/>
      <w:numFmt w:val="bullet"/>
      <w:lvlText w:val="•"/>
      <w:lvlJc w:val="left"/>
      <w:pPr>
        <w:ind w:left="4488" w:hanging="480"/>
      </w:pPr>
      <w:rPr>
        <w:rFonts w:hint="default"/>
        <w:lang w:val="zh-CN" w:eastAsia="zh-CN" w:bidi="zh-CN"/>
      </w:rPr>
    </w:lvl>
    <w:lvl w:ilvl="5" w:tentative="0">
      <w:start w:val="0"/>
      <w:numFmt w:val="bullet"/>
      <w:lvlText w:val="•"/>
      <w:lvlJc w:val="left"/>
      <w:pPr>
        <w:ind w:left="5491" w:hanging="480"/>
      </w:pPr>
      <w:rPr>
        <w:rFonts w:hint="default"/>
        <w:lang w:val="zh-CN" w:eastAsia="zh-CN" w:bidi="zh-CN"/>
      </w:rPr>
    </w:lvl>
    <w:lvl w:ilvl="6" w:tentative="0">
      <w:start w:val="0"/>
      <w:numFmt w:val="bullet"/>
      <w:lvlText w:val="•"/>
      <w:lvlJc w:val="left"/>
      <w:pPr>
        <w:ind w:left="6494" w:hanging="480"/>
      </w:pPr>
      <w:rPr>
        <w:rFonts w:hint="default"/>
        <w:lang w:val="zh-CN" w:eastAsia="zh-CN" w:bidi="zh-CN"/>
      </w:rPr>
    </w:lvl>
    <w:lvl w:ilvl="7" w:tentative="0">
      <w:start w:val="0"/>
      <w:numFmt w:val="bullet"/>
      <w:lvlText w:val="•"/>
      <w:lvlJc w:val="left"/>
      <w:pPr>
        <w:ind w:left="7497" w:hanging="480"/>
      </w:pPr>
      <w:rPr>
        <w:rFonts w:hint="default"/>
        <w:lang w:val="zh-CN" w:eastAsia="zh-CN" w:bidi="zh-CN"/>
      </w:rPr>
    </w:lvl>
    <w:lvl w:ilvl="8" w:tentative="0">
      <w:start w:val="0"/>
      <w:numFmt w:val="bullet"/>
      <w:lvlText w:val="•"/>
      <w:lvlJc w:val="left"/>
      <w:pPr>
        <w:ind w:left="8500" w:hanging="480"/>
      </w:pPr>
      <w:rPr>
        <w:rFonts w:hint="default"/>
        <w:lang w:val="zh-CN" w:eastAsia="zh-CN" w:bidi="zh-CN"/>
      </w:rPr>
    </w:lvl>
  </w:abstractNum>
  <w:abstractNum w:abstractNumId="12">
    <w:nsid w:val="0000000C"/>
    <w:multiLevelType w:val="multilevel"/>
    <w:tmpl w:val="0000000C"/>
    <w:lvl w:ilvl="0" w:tentative="0">
      <w:start w:val="1"/>
      <w:numFmt w:val="decimal"/>
      <w:lvlText w:val="%1."/>
      <w:lvlJc w:val="left"/>
      <w:pPr>
        <w:ind w:left="1420" w:hanging="363"/>
        <w:jc w:val="left"/>
      </w:pPr>
      <w:rPr>
        <w:rFonts w:hint="default"/>
        <w:b/>
        <w:bCs/>
        <w:spacing w:val="0"/>
        <w:w w:val="99"/>
        <w:lang w:val="zh-CN" w:eastAsia="zh-CN" w:bidi="zh-CN"/>
      </w:rPr>
    </w:lvl>
    <w:lvl w:ilvl="1" w:tentative="0">
      <w:start w:val="1"/>
      <w:numFmt w:val="decimal"/>
      <w:lvlText w:val="%1.%2"/>
      <w:lvlJc w:val="left"/>
      <w:pPr>
        <w:ind w:left="637" w:hanging="603"/>
        <w:jc w:val="left"/>
      </w:pPr>
      <w:rPr>
        <w:rFonts w:hint="default"/>
        <w:w w:val="100"/>
        <w:lang w:val="zh-CN" w:eastAsia="zh-CN" w:bidi="zh-CN"/>
      </w:rPr>
    </w:lvl>
    <w:lvl w:ilvl="2" w:tentative="0">
      <w:start w:val="0"/>
      <w:numFmt w:val="bullet"/>
      <w:lvlText w:val="•"/>
      <w:lvlJc w:val="left"/>
      <w:pPr>
        <w:ind w:left="1600" w:hanging="603"/>
      </w:pPr>
      <w:rPr>
        <w:rFonts w:hint="default"/>
        <w:lang w:val="zh-CN" w:eastAsia="zh-CN" w:bidi="zh-CN"/>
      </w:rPr>
    </w:lvl>
    <w:lvl w:ilvl="3" w:tentative="0">
      <w:start w:val="0"/>
      <w:numFmt w:val="bullet"/>
      <w:lvlText w:val="•"/>
      <w:lvlJc w:val="left"/>
      <w:pPr>
        <w:ind w:left="2713" w:hanging="603"/>
      </w:pPr>
      <w:rPr>
        <w:rFonts w:hint="default"/>
        <w:lang w:val="zh-CN" w:eastAsia="zh-CN" w:bidi="zh-CN"/>
      </w:rPr>
    </w:lvl>
    <w:lvl w:ilvl="4" w:tentative="0">
      <w:start w:val="0"/>
      <w:numFmt w:val="bullet"/>
      <w:lvlText w:val="•"/>
      <w:lvlJc w:val="left"/>
      <w:pPr>
        <w:ind w:left="3826" w:hanging="603"/>
      </w:pPr>
      <w:rPr>
        <w:rFonts w:hint="default"/>
        <w:lang w:val="zh-CN" w:eastAsia="zh-CN" w:bidi="zh-CN"/>
      </w:rPr>
    </w:lvl>
    <w:lvl w:ilvl="5" w:tentative="0">
      <w:start w:val="0"/>
      <w:numFmt w:val="bullet"/>
      <w:lvlText w:val="•"/>
      <w:lvlJc w:val="left"/>
      <w:pPr>
        <w:ind w:left="4939" w:hanging="603"/>
      </w:pPr>
      <w:rPr>
        <w:rFonts w:hint="default"/>
        <w:lang w:val="zh-CN" w:eastAsia="zh-CN" w:bidi="zh-CN"/>
      </w:rPr>
    </w:lvl>
    <w:lvl w:ilvl="6" w:tentative="0">
      <w:start w:val="0"/>
      <w:numFmt w:val="bullet"/>
      <w:lvlText w:val="•"/>
      <w:lvlJc w:val="left"/>
      <w:pPr>
        <w:ind w:left="6053" w:hanging="603"/>
      </w:pPr>
      <w:rPr>
        <w:rFonts w:hint="default"/>
        <w:lang w:val="zh-CN" w:eastAsia="zh-CN" w:bidi="zh-CN"/>
      </w:rPr>
    </w:lvl>
    <w:lvl w:ilvl="7" w:tentative="0">
      <w:start w:val="0"/>
      <w:numFmt w:val="bullet"/>
      <w:lvlText w:val="•"/>
      <w:lvlJc w:val="left"/>
      <w:pPr>
        <w:ind w:left="7166" w:hanging="603"/>
      </w:pPr>
      <w:rPr>
        <w:rFonts w:hint="default"/>
        <w:lang w:val="zh-CN" w:eastAsia="zh-CN" w:bidi="zh-CN"/>
      </w:rPr>
    </w:lvl>
    <w:lvl w:ilvl="8" w:tentative="0">
      <w:start w:val="0"/>
      <w:numFmt w:val="bullet"/>
      <w:lvlText w:val="•"/>
      <w:lvlJc w:val="left"/>
      <w:pPr>
        <w:ind w:left="8279" w:hanging="603"/>
      </w:pPr>
      <w:rPr>
        <w:rFonts w:hint="default"/>
        <w:lang w:val="zh-CN" w:eastAsia="zh-CN" w:bidi="zh-CN"/>
      </w:rPr>
    </w:lvl>
  </w:abstractNum>
  <w:abstractNum w:abstractNumId="13">
    <w:nsid w:val="0000000D"/>
    <w:multiLevelType w:val="multilevel"/>
    <w:tmpl w:val="0000000D"/>
    <w:lvl w:ilvl="0" w:tentative="0">
      <w:start w:val="1"/>
      <w:numFmt w:val="decimal"/>
      <w:lvlText w:val="（%1）"/>
      <w:lvlJc w:val="left"/>
      <w:pPr>
        <w:ind w:left="1721"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598" w:hanging="601"/>
      </w:pPr>
      <w:rPr>
        <w:rFonts w:hint="default"/>
        <w:lang w:val="zh-CN" w:eastAsia="zh-CN" w:bidi="zh-CN"/>
      </w:rPr>
    </w:lvl>
    <w:lvl w:ilvl="2" w:tentative="0">
      <w:start w:val="0"/>
      <w:numFmt w:val="bullet"/>
      <w:lvlText w:val="•"/>
      <w:lvlJc w:val="left"/>
      <w:pPr>
        <w:ind w:left="3477" w:hanging="601"/>
      </w:pPr>
      <w:rPr>
        <w:rFonts w:hint="default"/>
        <w:lang w:val="zh-CN" w:eastAsia="zh-CN" w:bidi="zh-CN"/>
      </w:rPr>
    </w:lvl>
    <w:lvl w:ilvl="3" w:tentative="0">
      <w:start w:val="0"/>
      <w:numFmt w:val="bullet"/>
      <w:lvlText w:val="•"/>
      <w:lvlJc w:val="left"/>
      <w:pPr>
        <w:ind w:left="435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113" w:hanging="601"/>
      </w:pPr>
      <w:rPr>
        <w:rFonts w:hint="default"/>
        <w:lang w:val="zh-CN" w:eastAsia="zh-CN" w:bidi="zh-CN"/>
      </w:rPr>
    </w:lvl>
    <w:lvl w:ilvl="6" w:tentative="0">
      <w:start w:val="0"/>
      <w:numFmt w:val="bullet"/>
      <w:lvlText w:val="•"/>
      <w:lvlJc w:val="left"/>
      <w:pPr>
        <w:ind w:left="6991" w:hanging="601"/>
      </w:pPr>
      <w:rPr>
        <w:rFonts w:hint="default"/>
        <w:lang w:val="zh-CN" w:eastAsia="zh-CN" w:bidi="zh-CN"/>
      </w:rPr>
    </w:lvl>
    <w:lvl w:ilvl="7" w:tentative="0">
      <w:start w:val="0"/>
      <w:numFmt w:val="bullet"/>
      <w:lvlText w:val="•"/>
      <w:lvlJc w:val="left"/>
      <w:pPr>
        <w:ind w:left="7870" w:hanging="601"/>
      </w:pPr>
      <w:rPr>
        <w:rFonts w:hint="default"/>
        <w:lang w:val="zh-CN" w:eastAsia="zh-CN" w:bidi="zh-CN"/>
      </w:rPr>
    </w:lvl>
    <w:lvl w:ilvl="8" w:tentative="0">
      <w:start w:val="0"/>
      <w:numFmt w:val="bullet"/>
      <w:lvlText w:val="•"/>
      <w:lvlJc w:val="left"/>
      <w:pPr>
        <w:ind w:left="8748" w:hanging="601"/>
      </w:pPr>
      <w:rPr>
        <w:rFonts w:hint="default"/>
        <w:lang w:val="zh-CN" w:eastAsia="zh-CN" w:bidi="zh-CN"/>
      </w:rPr>
    </w:lvl>
  </w:abstractNum>
  <w:abstractNum w:abstractNumId="14">
    <w:nsid w:val="0000000E"/>
    <w:multiLevelType w:val="multilevel"/>
    <w:tmpl w:val="0000000E"/>
    <w:lvl w:ilvl="0" w:tentative="0">
      <w:start w:val="27"/>
      <w:numFmt w:val="decimal"/>
      <w:lvlText w:val="%1."/>
      <w:lvlJc w:val="left"/>
      <w:pPr>
        <w:ind w:left="1598" w:hanging="481"/>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637"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589" w:hanging="540"/>
      </w:pPr>
      <w:rPr>
        <w:rFonts w:hint="default"/>
        <w:lang w:val="zh-CN" w:eastAsia="zh-CN" w:bidi="zh-CN"/>
      </w:rPr>
    </w:lvl>
    <w:lvl w:ilvl="3" w:tentative="0">
      <w:start w:val="0"/>
      <w:numFmt w:val="bullet"/>
      <w:lvlText w:val="•"/>
      <w:lvlJc w:val="left"/>
      <w:pPr>
        <w:ind w:left="3579" w:hanging="540"/>
      </w:pPr>
      <w:rPr>
        <w:rFonts w:hint="default"/>
        <w:lang w:val="zh-CN" w:eastAsia="zh-CN" w:bidi="zh-CN"/>
      </w:rPr>
    </w:lvl>
    <w:lvl w:ilvl="4" w:tentative="0">
      <w:start w:val="0"/>
      <w:numFmt w:val="bullet"/>
      <w:lvlText w:val="•"/>
      <w:lvlJc w:val="left"/>
      <w:pPr>
        <w:ind w:left="4568" w:hanging="540"/>
      </w:pPr>
      <w:rPr>
        <w:rFonts w:hint="default"/>
        <w:lang w:val="zh-CN" w:eastAsia="zh-CN" w:bidi="zh-CN"/>
      </w:rPr>
    </w:lvl>
    <w:lvl w:ilvl="5" w:tentative="0">
      <w:start w:val="0"/>
      <w:numFmt w:val="bullet"/>
      <w:lvlText w:val="•"/>
      <w:lvlJc w:val="left"/>
      <w:pPr>
        <w:ind w:left="5558" w:hanging="540"/>
      </w:pPr>
      <w:rPr>
        <w:rFonts w:hint="default"/>
        <w:lang w:val="zh-CN" w:eastAsia="zh-CN" w:bidi="zh-CN"/>
      </w:rPr>
    </w:lvl>
    <w:lvl w:ilvl="6" w:tentative="0">
      <w:start w:val="0"/>
      <w:numFmt w:val="bullet"/>
      <w:lvlText w:val="•"/>
      <w:lvlJc w:val="left"/>
      <w:pPr>
        <w:ind w:left="6547" w:hanging="540"/>
      </w:pPr>
      <w:rPr>
        <w:rFonts w:hint="default"/>
        <w:lang w:val="zh-CN" w:eastAsia="zh-CN" w:bidi="zh-CN"/>
      </w:rPr>
    </w:lvl>
    <w:lvl w:ilvl="7" w:tentative="0">
      <w:start w:val="0"/>
      <w:numFmt w:val="bullet"/>
      <w:lvlText w:val="•"/>
      <w:lvlJc w:val="left"/>
      <w:pPr>
        <w:ind w:left="7537" w:hanging="540"/>
      </w:pPr>
      <w:rPr>
        <w:rFonts w:hint="default"/>
        <w:lang w:val="zh-CN" w:eastAsia="zh-CN" w:bidi="zh-CN"/>
      </w:rPr>
    </w:lvl>
    <w:lvl w:ilvl="8" w:tentative="0">
      <w:start w:val="0"/>
      <w:numFmt w:val="bullet"/>
      <w:lvlText w:val="•"/>
      <w:lvlJc w:val="left"/>
      <w:pPr>
        <w:ind w:left="8526" w:hanging="540"/>
      </w:pPr>
      <w:rPr>
        <w:rFonts w:hint="default"/>
        <w:lang w:val="zh-CN" w:eastAsia="zh-CN" w:bidi="zh-CN"/>
      </w:rPr>
    </w:lvl>
  </w:abstractNum>
  <w:abstractNum w:abstractNumId="15">
    <w:nsid w:val="0000000F"/>
    <w:multiLevelType w:val="multilevel"/>
    <w:tmpl w:val="0000000F"/>
    <w:lvl w:ilvl="0" w:tentative="0">
      <w:start w:val="1"/>
      <w:numFmt w:val="decimal"/>
      <w:lvlText w:val="（%1）"/>
      <w:lvlJc w:val="left"/>
      <w:pPr>
        <w:ind w:left="171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598" w:hanging="601"/>
      </w:pPr>
      <w:rPr>
        <w:rFonts w:hint="default"/>
        <w:lang w:val="zh-CN" w:eastAsia="zh-CN" w:bidi="zh-CN"/>
      </w:rPr>
    </w:lvl>
    <w:lvl w:ilvl="2" w:tentative="0">
      <w:start w:val="0"/>
      <w:numFmt w:val="bullet"/>
      <w:lvlText w:val="•"/>
      <w:lvlJc w:val="left"/>
      <w:pPr>
        <w:ind w:left="3477" w:hanging="601"/>
      </w:pPr>
      <w:rPr>
        <w:rFonts w:hint="default"/>
        <w:lang w:val="zh-CN" w:eastAsia="zh-CN" w:bidi="zh-CN"/>
      </w:rPr>
    </w:lvl>
    <w:lvl w:ilvl="3" w:tentative="0">
      <w:start w:val="0"/>
      <w:numFmt w:val="bullet"/>
      <w:lvlText w:val="•"/>
      <w:lvlJc w:val="left"/>
      <w:pPr>
        <w:ind w:left="435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113" w:hanging="601"/>
      </w:pPr>
      <w:rPr>
        <w:rFonts w:hint="default"/>
        <w:lang w:val="zh-CN" w:eastAsia="zh-CN" w:bidi="zh-CN"/>
      </w:rPr>
    </w:lvl>
    <w:lvl w:ilvl="6" w:tentative="0">
      <w:start w:val="0"/>
      <w:numFmt w:val="bullet"/>
      <w:lvlText w:val="•"/>
      <w:lvlJc w:val="left"/>
      <w:pPr>
        <w:ind w:left="6991" w:hanging="601"/>
      </w:pPr>
      <w:rPr>
        <w:rFonts w:hint="default"/>
        <w:lang w:val="zh-CN" w:eastAsia="zh-CN" w:bidi="zh-CN"/>
      </w:rPr>
    </w:lvl>
    <w:lvl w:ilvl="7" w:tentative="0">
      <w:start w:val="0"/>
      <w:numFmt w:val="bullet"/>
      <w:lvlText w:val="•"/>
      <w:lvlJc w:val="left"/>
      <w:pPr>
        <w:ind w:left="7870" w:hanging="601"/>
      </w:pPr>
      <w:rPr>
        <w:rFonts w:hint="default"/>
        <w:lang w:val="zh-CN" w:eastAsia="zh-CN" w:bidi="zh-CN"/>
      </w:rPr>
    </w:lvl>
    <w:lvl w:ilvl="8" w:tentative="0">
      <w:start w:val="0"/>
      <w:numFmt w:val="bullet"/>
      <w:lvlText w:val="•"/>
      <w:lvlJc w:val="left"/>
      <w:pPr>
        <w:ind w:left="8748" w:hanging="601"/>
      </w:pPr>
      <w:rPr>
        <w:rFonts w:hint="default"/>
        <w:lang w:val="zh-CN" w:eastAsia="zh-CN" w:bidi="zh-CN"/>
      </w:rPr>
    </w:lvl>
  </w:abstractNum>
  <w:abstractNum w:abstractNumId="16">
    <w:nsid w:val="00000010"/>
    <w:multiLevelType w:val="multilevel"/>
    <w:tmpl w:val="00000010"/>
    <w:lvl w:ilvl="0" w:tentative="0">
      <w:start w:val="1"/>
      <w:numFmt w:val="decimal"/>
      <w:lvlText w:val="（%1）"/>
      <w:lvlJc w:val="left"/>
      <w:pPr>
        <w:ind w:left="637" w:hanging="601"/>
        <w:jc w:val="left"/>
      </w:pPr>
      <w:rPr>
        <w:rFonts w:hint="default" w:ascii="宋体" w:hAnsi="宋体" w:eastAsia="宋体" w:cs="宋体"/>
        <w:spacing w:val="-8"/>
        <w:w w:val="100"/>
        <w:sz w:val="22"/>
        <w:szCs w:val="22"/>
        <w:lang w:val="zh-CN" w:eastAsia="zh-CN" w:bidi="zh-CN"/>
      </w:rPr>
    </w:lvl>
    <w:lvl w:ilvl="1" w:tentative="0">
      <w:start w:val="1"/>
      <w:numFmt w:val="decimal"/>
      <w:lvlText w:val="（%2）"/>
      <w:lvlJc w:val="left"/>
      <w:pPr>
        <w:ind w:left="1718" w:hanging="601"/>
        <w:jc w:val="left"/>
      </w:pPr>
      <w:rPr>
        <w:rFonts w:hint="default"/>
        <w:w w:val="100"/>
        <w:lang w:val="zh-CN" w:eastAsia="zh-CN" w:bidi="zh-CN"/>
      </w:rPr>
    </w:lvl>
    <w:lvl w:ilvl="2" w:tentative="0">
      <w:start w:val="0"/>
      <w:numFmt w:val="bullet"/>
      <w:lvlText w:val="•"/>
      <w:lvlJc w:val="left"/>
      <w:pPr>
        <w:ind w:left="2696" w:hanging="601"/>
      </w:pPr>
      <w:rPr>
        <w:rFonts w:hint="default"/>
        <w:lang w:val="zh-CN" w:eastAsia="zh-CN" w:bidi="zh-CN"/>
      </w:rPr>
    </w:lvl>
    <w:lvl w:ilvl="3" w:tentative="0">
      <w:start w:val="0"/>
      <w:numFmt w:val="bullet"/>
      <w:lvlText w:val="•"/>
      <w:lvlJc w:val="left"/>
      <w:pPr>
        <w:ind w:left="3672" w:hanging="601"/>
      </w:pPr>
      <w:rPr>
        <w:rFonts w:hint="default"/>
        <w:lang w:val="zh-CN" w:eastAsia="zh-CN" w:bidi="zh-CN"/>
      </w:rPr>
    </w:lvl>
    <w:lvl w:ilvl="4" w:tentative="0">
      <w:start w:val="0"/>
      <w:numFmt w:val="bullet"/>
      <w:lvlText w:val="•"/>
      <w:lvlJc w:val="left"/>
      <w:pPr>
        <w:ind w:left="4648" w:hanging="601"/>
      </w:pPr>
      <w:rPr>
        <w:rFonts w:hint="default"/>
        <w:lang w:val="zh-CN" w:eastAsia="zh-CN" w:bidi="zh-CN"/>
      </w:rPr>
    </w:lvl>
    <w:lvl w:ilvl="5" w:tentative="0">
      <w:start w:val="0"/>
      <w:numFmt w:val="bullet"/>
      <w:lvlText w:val="•"/>
      <w:lvlJc w:val="left"/>
      <w:pPr>
        <w:ind w:left="5624" w:hanging="601"/>
      </w:pPr>
      <w:rPr>
        <w:rFonts w:hint="default"/>
        <w:lang w:val="zh-CN" w:eastAsia="zh-CN" w:bidi="zh-CN"/>
      </w:rPr>
    </w:lvl>
    <w:lvl w:ilvl="6" w:tentative="0">
      <w:start w:val="0"/>
      <w:numFmt w:val="bullet"/>
      <w:lvlText w:val="•"/>
      <w:lvlJc w:val="left"/>
      <w:pPr>
        <w:ind w:left="6601" w:hanging="601"/>
      </w:pPr>
      <w:rPr>
        <w:rFonts w:hint="default"/>
        <w:lang w:val="zh-CN" w:eastAsia="zh-CN" w:bidi="zh-CN"/>
      </w:rPr>
    </w:lvl>
    <w:lvl w:ilvl="7" w:tentative="0">
      <w:start w:val="0"/>
      <w:numFmt w:val="bullet"/>
      <w:lvlText w:val="•"/>
      <w:lvlJc w:val="left"/>
      <w:pPr>
        <w:ind w:left="7577" w:hanging="601"/>
      </w:pPr>
      <w:rPr>
        <w:rFonts w:hint="default"/>
        <w:lang w:val="zh-CN" w:eastAsia="zh-CN" w:bidi="zh-CN"/>
      </w:rPr>
    </w:lvl>
    <w:lvl w:ilvl="8" w:tentative="0">
      <w:start w:val="0"/>
      <w:numFmt w:val="bullet"/>
      <w:lvlText w:val="•"/>
      <w:lvlJc w:val="left"/>
      <w:pPr>
        <w:ind w:left="8553" w:hanging="601"/>
      </w:pPr>
      <w:rPr>
        <w:rFonts w:hint="default"/>
        <w:lang w:val="zh-CN" w:eastAsia="zh-CN" w:bidi="zh-CN"/>
      </w:rPr>
    </w:lvl>
  </w:abstractNum>
  <w:abstractNum w:abstractNumId="17">
    <w:nsid w:val="00000011"/>
    <w:multiLevelType w:val="singleLevel"/>
    <w:tmpl w:val="00000011"/>
    <w:lvl w:ilvl="0" w:tentative="0">
      <w:start w:val="1"/>
      <w:numFmt w:val="decimal"/>
      <w:suff w:val="nothing"/>
      <w:lvlText w:val="%1、"/>
      <w:lvlJc w:val="left"/>
    </w:lvl>
  </w:abstractNum>
  <w:abstractNum w:abstractNumId="18">
    <w:nsid w:val="00000012"/>
    <w:multiLevelType w:val="multilevel"/>
    <w:tmpl w:val="00000012"/>
    <w:lvl w:ilvl="0" w:tentative="0">
      <w:start w:val="15"/>
      <w:numFmt w:val="decimal"/>
      <w:lvlText w:val="%1"/>
      <w:lvlJc w:val="left"/>
      <w:pPr>
        <w:ind w:left="1897" w:hanging="780"/>
        <w:jc w:val="left"/>
      </w:pPr>
      <w:rPr>
        <w:rFonts w:hint="default"/>
        <w:lang w:val="zh-CN" w:eastAsia="zh-CN" w:bidi="zh-CN"/>
      </w:rPr>
    </w:lvl>
    <w:lvl w:ilvl="1" w:tentative="0">
      <w:start w:val="1"/>
      <w:numFmt w:val="decimal"/>
      <w:lvlText w:val="%1.%2"/>
      <w:lvlJc w:val="left"/>
      <w:pPr>
        <w:ind w:left="1897" w:hanging="780"/>
        <w:jc w:val="left"/>
      </w:pPr>
      <w:rPr>
        <w:rFonts w:hint="default"/>
        <w:lang w:val="zh-CN" w:eastAsia="zh-CN" w:bidi="zh-CN"/>
      </w:rPr>
    </w:lvl>
    <w:lvl w:ilvl="2" w:tentative="0">
      <w:start w:val="3"/>
      <w:numFmt w:val="decimal"/>
      <w:lvlText w:val="%1.%2.%3"/>
      <w:lvlJc w:val="left"/>
      <w:pPr>
        <w:ind w:left="1897" w:hanging="78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4481" w:hanging="780"/>
      </w:pPr>
      <w:rPr>
        <w:rFonts w:hint="default"/>
        <w:lang w:val="zh-CN" w:eastAsia="zh-CN" w:bidi="zh-CN"/>
      </w:rPr>
    </w:lvl>
    <w:lvl w:ilvl="4" w:tentative="0">
      <w:start w:val="0"/>
      <w:numFmt w:val="bullet"/>
      <w:lvlText w:val="•"/>
      <w:lvlJc w:val="left"/>
      <w:pPr>
        <w:ind w:left="5342" w:hanging="780"/>
      </w:pPr>
      <w:rPr>
        <w:rFonts w:hint="default"/>
        <w:lang w:val="zh-CN" w:eastAsia="zh-CN" w:bidi="zh-CN"/>
      </w:rPr>
    </w:lvl>
    <w:lvl w:ilvl="5" w:tentative="0">
      <w:start w:val="0"/>
      <w:numFmt w:val="bullet"/>
      <w:lvlText w:val="•"/>
      <w:lvlJc w:val="left"/>
      <w:pPr>
        <w:ind w:left="6203" w:hanging="780"/>
      </w:pPr>
      <w:rPr>
        <w:rFonts w:hint="default"/>
        <w:lang w:val="zh-CN" w:eastAsia="zh-CN" w:bidi="zh-CN"/>
      </w:rPr>
    </w:lvl>
    <w:lvl w:ilvl="6" w:tentative="0">
      <w:start w:val="0"/>
      <w:numFmt w:val="bullet"/>
      <w:lvlText w:val="•"/>
      <w:lvlJc w:val="left"/>
      <w:pPr>
        <w:ind w:left="7063" w:hanging="780"/>
      </w:pPr>
      <w:rPr>
        <w:rFonts w:hint="default"/>
        <w:lang w:val="zh-CN" w:eastAsia="zh-CN" w:bidi="zh-CN"/>
      </w:rPr>
    </w:lvl>
    <w:lvl w:ilvl="7" w:tentative="0">
      <w:start w:val="0"/>
      <w:numFmt w:val="bullet"/>
      <w:lvlText w:val="•"/>
      <w:lvlJc w:val="left"/>
      <w:pPr>
        <w:ind w:left="7924" w:hanging="780"/>
      </w:pPr>
      <w:rPr>
        <w:rFonts w:hint="default"/>
        <w:lang w:val="zh-CN" w:eastAsia="zh-CN" w:bidi="zh-CN"/>
      </w:rPr>
    </w:lvl>
    <w:lvl w:ilvl="8" w:tentative="0">
      <w:start w:val="0"/>
      <w:numFmt w:val="bullet"/>
      <w:lvlText w:val="•"/>
      <w:lvlJc w:val="left"/>
      <w:pPr>
        <w:ind w:left="8784" w:hanging="780"/>
      </w:pPr>
      <w:rPr>
        <w:rFonts w:hint="default"/>
        <w:lang w:val="zh-CN" w:eastAsia="zh-CN" w:bidi="zh-CN"/>
      </w:rPr>
    </w:lvl>
  </w:abstractNum>
  <w:abstractNum w:abstractNumId="19">
    <w:nsid w:val="00000013"/>
    <w:multiLevelType w:val="multilevel"/>
    <w:tmpl w:val="00000013"/>
    <w:lvl w:ilvl="0" w:tentative="0">
      <w:start w:val="1"/>
      <w:numFmt w:val="decimal"/>
      <w:lvlText w:val="(%1)"/>
      <w:lvlJc w:val="left"/>
      <w:pPr>
        <w:ind w:left="637" w:hanging="363"/>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626" w:hanging="363"/>
      </w:pPr>
      <w:rPr>
        <w:rFonts w:hint="default"/>
        <w:lang w:val="zh-CN" w:eastAsia="zh-CN" w:bidi="zh-CN"/>
      </w:rPr>
    </w:lvl>
    <w:lvl w:ilvl="2" w:tentative="0">
      <w:start w:val="0"/>
      <w:numFmt w:val="bullet"/>
      <w:lvlText w:val="•"/>
      <w:lvlJc w:val="left"/>
      <w:pPr>
        <w:ind w:left="2613" w:hanging="363"/>
      </w:pPr>
      <w:rPr>
        <w:rFonts w:hint="default"/>
        <w:lang w:val="zh-CN" w:eastAsia="zh-CN" w:bidi="zh-CN"/>
      </w:rPr>
    </w:lvl>
    <w:lvl w:ilvl="3" w:tentative="0">
      <w:start w:val="0"/>
      <w:numFmt w:val="bullet"/>
      <w:lvlText w:val="•"/>
      <w:lvlJc w:val="left"/>
      <w:pPr>
        <w:ind w:left="3599" w:hanging="363"/>
      </w:pPr>
      <w:rPr>
        <w:rFonts w:hint="default"/>
        <w:lang w:val="zh-CN" w:eastAsia="zh-CN" w:bidi="zh-CN"/>
      </w:rPr>
    </w:lvl>
    <w:lvl w:ilvl="4" w:tentative="0">
      <w:start w:val="0"/>
      <w:numFmt w:val="bullet"/>
      <w:lvlText w:val="•"/>
      <w:lvlJc w:val="left"/>
      <w:pPr>
        <w:ind w:left="4586" w:hanging="363"/>
      </w:pPr>
      <w:rPr>
        <w:rFonts w:hint="default"/>
        <w:lang w:val="zh-CN" w:eastAsia="zh-CN" w:bidi="zh-CN"/>
      </w:rPr>
    </w:lvl>
    <w:lvl w:ilvl="5" w:tentative="0">
      <w:start w:val="0"/>
      <w:numFmt w:val="bullet"/>
      <w:lvlText w:val="•"/>
      <w:lvlJc w:val="left"/>
      <w:pPr>
        <w:ind w:left="5573" w:hanging="363"/>
      </w:pPr>
      <w:rPr>
        <w:rFonts w:hint="default"/>
        <w:lang w:val="zh-CN" w:eastAsia="zh-CN" w:bidi="zh-CN"/>
      </w:rPr>
    </w:lvl>
    <w:lvl w:ilvl="6" w:tentative="0">
      <w:start w:val="0"/>
      <w:numFmt w:val="bullet"/>
      <w:lvlText w:val="•"/>
      <w:lvlJc w:val="left"/>
      <w:pPr>
        <w:ind w:left="6559" w:hanging="363"/>
      </w:pPr>
      <w:rPr>
        <w:rFonts w:hint="default"/>
        <w:lang w:val="zh-CN" w:eastAsia="zh-CN" w:bidi="zh-CN"/>
      </w:rPr>
    </w:lvl>
    <w:lvl w:ilvl="7" w:tentative="0">
      <w:start w:val="0"/>
      <w:numFmt w:val="bullet"/>
      <w:lvlText w:val="•"/>
      <w:lvlJc w:val="left"/>
      <w:pPr>
        <w:ind w:left="7546" w:hanging="363"/>
      </w:pPr>
      <w:rPr>
        <w:rFonts w:hint="default"/>
        <w:lang w:val="zh-CN" w:eastAsia="zh-CN" w:bidi="zh-CN"/>
      </w:rPr>
    </w:lvl>
    <w:lvl w:ilvl="8" w:tentative="0">
      <w:start w:val="0"/>
      <w:numFmt w:val="bullet"/>
      <w:lvlText w:val="•"/>
      <w:lvlJc w:val="left"/>
      <w:pPr>
        <w:ind w:left="8532" w:hanging="363"/>
      </w:pPr>
      <w:rPr>
        <w:rFonts w:hint="default"/>
        <w:lang w:val="zh-CN" w:eastAsia="zh-CN" w:bidi="zh-CN"/>
      </w:rPr>
    </w:lvl>
  </w:abstractNum>
  <w:abstractNum w:abstractNumId="20">
    <w:nsid w:val="00000014"/>
    <w:multiLevelType w:val="multilevel"/>
    <w:tmpl w:val="00000014"/>
    <w:lvl w:ilvl="0" w:tentative="0">
      <w:start w:val="11"/>
      <w:numFmt w:val="decimal"/>
      <w:lvlText w:val="%1"/>
      <w:lvlJc w:val="left"/>
      <w:pPr>
        <w:ind w:left="637" w:hanging="603"/>
        <w:jc w:val="left"/>
      </w:pPr>
      <w:rPr>
        <w:rFonts w:hint="default"/>
        <w:lang w:val="zh-CN" w:eastAsia="zh-CN" w:bidi="zh-CN"/>
      </w:rPr>
    </w:lvl>
    <w:lvl w:ilvl="1" w:tentative="0">
      <w:start w:val="1"/>
      <w:numFmt w:val="decimal"/>
      <w:lvlText w:val="%1.%2"/>
      <w:lvlJc w:val="left"/>
      <w:pPr>
        <w:ind w:left="637" w:hanging="603"/>
        <w:jc w:val="left"/>
      </w:pPr>
      <w:rPr>
        <w:rFonts w:hint="default" w:ascii="宋体" w:hAnsi="宋体" w:eastAsia="宋体" w:cs="宋体"/>
        <w:w w:val="100"/>
        <w:sz w:val="24"/>
        <w:szCs w:val="24"/>
        <w:lang w:val="zh-CN" w:eastAsia="zh-CN" w:bidi="zh-CN"/>
      </w:rPr>
    </w:lvl>
    <w:lvl w:ilvl="2" w:tentative="0">
      <w:start w:val="1"/>
      <w:numFmt w:val="decimal"/>
      <w:lvlText w:val="%1.%2.%3"/>
      <w:lvlJc w:val="left"/>
      <w:pPr>
        <w:ind w:left="1957" w:hanging="84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3859" w:hanging="840"/>
      </w:pPr>
      <w:rPr>
        <w:rFonts w:hint="default"/>
        <w:lang w:val="zh-CN" w:eastAsia="zh-CN" w:bidi="zh-CN"/>
      </w:rPr>
    </w:lvl>
    <w:lvl w:ilvl="4" w:tentative="0">
      <w:start w:val="0"/>
      <w:numFmt w:val="bullet"/>
      <w:lvlText w:val="•"/>
      <w:lvlJc w:val="left"/>
      <w:pPr>
        <w:ind w:left="4808" w:hanging="840"/>
      </w:pPr>
      <w:rPr>
        <w:rFonts w:hint="default"/>
        <w:lang w:val="zh-CN" w:eastAsia="zh-CN" w:bidi="zh-CN"/>
      </w:rPr>
    </w:lvl>
    <w:lvl w:ilvl="5" w:tentative="0">
      <w:start w:val="0"/>
      <w:numFmt w:val="bullet"/>
      <w:lvlText w:val="•"/>
      <w:lvlJc w:val="left"/>
      <w:pPr>
        <w:ind w:left="5758" w:hanging="840"/>
      </w:pPr>
      <w:rPr>
        <w:rFonts w:hint="default"/>
        <w:lang w:val="zh-CN" w:eastAsia="zh-CN" w:bidi="zh-CN"/>
      </w:rPr>
    </w:lvl>
    <w:lvl w:ilvl="6" w:tentative="0">
      <w:start w:val="0"/>
      <w:numFmt w:val="bullet"/>
      <w:lvlText w:val="•"/>
      <w:lvlJc w:val="left"/>
      <w:pPr>
        <w:ind w:left="6707" w:hanging="840"/>
      </w:pPr>
      <w:rPr>
        <w:rFonts w:hint="default"/>
        <w:lang w:val="zh-CN" w:eastAsia="zh-CN" w:bidi="zh-CN"/>
      </w:rPr>
    </w:lvl>
    <w:lvl w:ilvl="7" w:tentative="0">
      <w:start w:val="0"/>
      <w:numFmt w:val="bullet"/>
      <w:lvlText w:val="•"/>
      <w:lvlJc w:val="left"/>
      <w:pPr>
        <w:ind w:left="7657" w:hanging="840"/>
      </w:pPr>
      <w:rPr>
        <w:rFonts w:hint="default"/>
        <w:lang w:val="zh-CN" w:eastAsia="zh-CN" w:bidi="zh-CN"/>
      </w:rPr>
    </w:lvl>
    <w:lvl w:ilvl="8" w:tentative="0">
      <w:start w:val="0"/>
      <w:numFmt w:val="bullet"/>
      <w:lvlText w:val="•"/>
      <w:lvlJc w:val="left"/>
      <w:pPr>
        <w:ind w:left="8606" w:hanging="840"/>
      </w:pPr>
      <w:rPr>
        <w:rFonts w:hint="default"/>
        <w:lang w:val="zh-CN" w:eastAsia="zh-CN" w:bidi="zh-CN"/>
      </w:rPr>
    </w:lvl>
  </w:abstractNum>
  <w:abstractNum w:abstractNumId="21">
    <w:nsid w:val="00000015"/>
    <w:multiLevelType w:val="multilevel"/>
    <w:tmpl w:val="00000015"/>
    <w:lvl w:ilvl="0" w:tentative="0">
      <w:start w:val="6"/>
      <w:numFmt w:val="decimal"/>
      <w:lvlText w:val="%1"/>
      <w:lvlJc w:val="left"/>
      <w:pPr>
        <w:ind w:left="1720" w:hanging="600"/>
        <w:jc w:val="left"/>
      </w:pPr>
      <w:rPr>
        <w:rFonts w:hint="default"/>
        <w:lang w:val="zh-CN" w:eastAsia="zh-CN" w:bidi="zh-CN"/>
      </w:rPr>
    </w:lvl>
    <w:lvl w:ilvl="1" w:tentative="0">
      <w:start w:val="2"/>
      <w:numFmt w:val="decimal"/>
      <w:lvlText w:val="%1.%2."/>
      <w:lvlJc w:val="left"/>
      <w:pPr>
        <w:ind w:left="1720" w:hanging="600"/>
        <w:jc w:val="left"/>
      </w:pPr>
      <w:rPr>
        <w:rFonts w:hint="default" w:ascii="宋体" w:hAnsi="宋体" w:eastAsia="宋体" w:cs="宋体"/>
        <w:w w:val="100"/>
        <w:sz w:val="24"/>
        <w:szCs w:val="24"/>
        <w:lang w:val="zh-CN" w:eastAsia="zh-CN" w:bidi="zh-CN"/>
      </w:rPr>
    </w:lvl>
    <w:lvl w:ilvl="2" w:tentative="0">
      <w:start w:val="1"/>
      <w:numFmt w:val="decimal"/>
      <w:lvlText w:val="%1.%2.%3"/>
      <w:lvlJc w:val="left"/>
      <w:pPr>
        <w:ind w:left="1840" w:hanging="72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3765" w:hanging="720"/>
      </w:pPr>
      <w:rPr>
        <w:rFonts w:hint="default"/>
        <w:lang w:val="zh-CN" w:eastAsia="zh-CN" w:bidi="zh-CN"/>
      </w:rPr>
    </w:lvl>
    <w:lvl w:ilvl="4" w:tentative="0">
      <w:start w:val="0"/>
      <w:numFmt w:val="bullet"/>
      <w:lvlText w:val="•"/>
      <w:lvlJc w:val="left"/>
      <w:pPr>
        <w:ind w:left="4728" w:hanging="720"/>
      </w:pPr>
      <w:rPr>
        <w:rFonts w:hint="default"/>
        <w:lang w:val="zh-CN" w:eastAsia="zh-CN" w:bidi="zh-CN"/>
      </w:rPr>
    </w:lvl>
    <w:lvl w:ilvl="5" w:tentative="0">
      <w:start w:val="0"/>
      <w:numFmt w:val="bullet"/>
      <w:lvlText w:val="•"/>
      <w:lvlJc w:val="left"/>
      <w:pPr>
        <w:ind w:left="5691" w:hanging="720"/>
      </w:pPr>
      <w:rPr>
        <w:rFonts w:hint="default"/>
        <w:lang w:val="zh-CN" w:eastAsia="zh-CN" w:bidi="zh-CN"/>
      </w:rPr>
    </w:lvl>
    <w:lvl w:ilvl="6" w:tentative="0">
      <w:start w:val="0"/>
      <w:numFmt w:val="bullet"/>
      <w:lvlText w:val="•"/>
      <w:lvlJc w:val="left"/>
      <w:pPr>
        <w:ind w:left="6654" w:hanging="720"/>
      </w:pPr>
      <w:rPr>
        <w:rFonts w:hint="default"/>
        <w:lang w:val="zh-CN" w:eastAsia="zh-CN" w:bidi="zh-CN"/>
      </w:rPr>
    </w:lvl>
    <w:lvl w:ilvl="7" w:tentative="0">
      <w:start w:val="0"/>
      <w:numFmt w:val="bullet"/>
      <w:lvlText w:val="•"/>
      <w:lvlJc w:val="left"/>
      <w:pPr>
        <w:ind w:left="7617" w:hanging="720"/>
      </w:pPr>
      <w:rPr>
        <w:rFonts w:hint="default"/>
        <w:lang w:val="zh-CN" w:eastAsia="zh-CN" w:bidi="zh-CN"/>
      </w:rPr>
    </w:lvl>
    <w:lvl w:ilvl="8" w:tentative="0">
      <w:start w:val="0"/>
      <w:numFmt w:val="bullet"/>
      <w:lvlText w:val="•"/>
      <w:lvlJc w:val="left"/>
      <w:pPr>
        <w:ind w:left="8580" w:hanging="720"/>
      </w:pPr>
      <w:rPr>
        <w:rFonts w:hint="default"/>
        <w:lang w:val="zh-CN" w:eastAsia="zh-CN" w:bidi="zh-CN"/>
      </w:rPr>
    </w:lvl>
  </w:abstractNum>
  <w:abstractNum w:abstractNumId="22">
    <w:nsid w:val="00000016"/>
    <w:multiLevelType w:val="multilevel"/>
    <w:tmpl w:val="00000016"/>
    <w:lvl w:ilvl="0" w:tentative="0">
      <w:start w:val="1"/>
      <w:numFmt w:val="decimal"/>
      <w:lvlText w:val="（%1）"/>
      <w:lvlJc w:val="left"/>
      <w:pPr>
        <w:ind w:left="171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598" w:hanging="601"/>
      </w:pPr>
      <w:rPr>
        <w:rFonts w:hint="default"/>
        <w:lang w:val="zh-CN" w:eastAsia="zh-CN" w:bidi="zh-CN"/>
      </w:rPr>
    </w:lvl>
    <w:lvl w:ilvl="2" w:tentative="0">
      <w:start w:val="0"/>
      <w:numFmt w:val="bullet"/>
      <w:lvlText w:val="•"/>
      <w:lvlJc w:val="left"/>
      <w:pPr>
        <w:ind w:left="3477" w:hanging="601"/>
      </w:pPr>
      <w:rPr>
        <w:rFonts w:hint="default"/>
        <w:lang w:val="zh-CN" w:eastAsia="zh-CN" w:bidi="zh-CN"/>
      </w:rPr>
    </w:lvl>
    <w:lvl w:ilvl="3" w:tentative="0">
      <w:start w:val="0"/>
      <w:numFmt w:val="bullet"/>
      <w:lvlText w:val="•"/>
      <w:lvlJc w:val="left"/>
      <w:pPr>
        <w:ind w:left="435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113" w:hanging="601"/>
      </w:pPr>
      <w:rPr>
        <w:rFonts w:hint="default"/>
        <w:lang w:val="zh-CN" w:eastAsia="zh-CN" w:bidi="zh-CN"/>
      </w:rPr>
    </w:lvl>
    <w:lvl w:ilvl="6" w:tentative="0">
      <w:start w:val="0"/>
      <w:numFmt w:val="bullet"/>
      <w:lvlText w:val="•"/>
      <w:lvlJc w:val="left"/>
      <w:pPr>
        <w:ind w:left="6991" w:hanging="601"/>
      </w:pPr>
      <w:rPr>
        <w:rFonts w:hint="default"/>
        <w:lang w:val="zh-CN" w:eastAsia="zh-CN" w:bidi="zh-CN"/>
      </w:rPr>
    </w:lvl>
    <w:lvl w:ilvl="7" w:tentative="0">
      <w:start w:val="0"/>
      <w:numFmt w:val="bullet"/>
      <w:lvlText w:val="•"/>
      <w:lvlJc w:val="left"/>
      <w:pPr>
        <w:ind w:left="7870" w:hanging="601"/>
      </w:pPr>
      <w:rPr>
        <w:rFonts w:hint="default"/>
        <w:lang w:val="zh-CN" w:eastAsia="zh-CN" w:bidi="zh-CN"/>
      </w:rPr>
    </w:lvl>
    <w:lvl w:ilvl="8" w:tentative="0">
      <w:start w:val="0"/>
      <w:numFmt w:val="bullet"/>
      <w:lvlText w:val="•"/>
      <w:lvlJc w:val="left"/>
      <w:pPr>
        <w:ind w:left="8748" w:hanging="601"/>
      </w:pPr>
      <w:rPr>
        <w:rFonts w:hint="default"/>
        <w:lang w:val="zh-CN" w:eastAsia="zh-CN" w:bidi="zh-CN"/>
      </w:rPr>
    </w:lvl>
  </w:abstractNum>
  <w:abstractNum w:abstractNumId="23">
    <w:nsid w:val="00000017"/>
    <w:multiLevelType w:val="multilevel"/>
    <w:tmpl w:val="00000017"/>
    <w:lvl w:ilvl="0" w:tentative="0">
      <w:start w:val="9"/>
      <w:numFmt w:val="decimal"/>
      <w:lvlText w:val="%1."/>
      <w:lvlJc w:val="left"/>
      <w:pPr>
        <w:ind w:left="1478"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83"/>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480" w:hanging="483"/>
      </w:pPr>
      <w:rPr>
        <w:rFonts w:hint="default"/>
        <w:lang w:val="zh-CN" w:eastAsia="zh-CN" w:bidi="zh-CN"/>
      </w:rPr>
    </w:lvl>
    <w:lvl w:ilvl="3" w:tentative="0">
      <w:start w:val="0"/>
      <w:numFmt w:val="bullet"/>
      <w:lvlText w:val="•"/>
      <w:lvlJc w:val="left"/>
      <w:pPr>
        <w:ind w:left="2608" w:hanging="483"/>
      </w:pPr>
      <w:rPr>
        <w:rFonts w:hint="default"/>
        <w:lang w:val="zh-CN" w:eastAsia="zh-CN" w:bidi="zh-CN"/>
      </w:rPr>
    </w:lvl>
    <w:lvl w:ilvl="4" w:tentative="0">
      <w:start w:val="0"/>
      <w:numFmt w:val="bullet"/>
      <w:lvlText w:val="•"/>
      <w:lvlJc w:val="left"/>
      <w:pPr>
        <w:ind w:left="3736" w:hanging="483"/>
      </w:pPr>
      <w:rPr>
        <w:rFonts w:hint="default"/>
        <w:lang w:val="zh-CN" w:eastAsia="zh-CN" w:bidi="zh-CN"/>
      </w:rPr>
    </w:lvl>
    <w:lvl w:ilvl="5" w:tentative="0">
      <w:start w:val="0"/>
      <w:numFmt w:val="bullet"/>
      <w:lvlText w:val="•"/>
      <w:lvlJc w:val="left"/>
      <w:pPr>
        <w:ind w:left="4864" w:hanging="483"/>
      </w:pPr>
      <w:rPr>
        <w:rFonts w:hint="default"/>
        <w:lang w:val="zh-CN" w:eastAsia="zh-CN" w:bidi="zh-CN"/>
      </w:rPr>
    </w:lvl>
    <w:lvl w:ilvl="6" w:tentative="0">
      <w:start w:val="0"/>
      <w:numFmt w:val="bullet"/>
      <w:lvlText w:val="•"/>
      <w:lvlJc w:val="left"/>
      <w:pPr>
        <w:ind w:left="5993" w:hanging="483"/>
      </w:pPr>
      <w:rPr>
        <w:rFonts w:hint="default"/>
        <w:lang w:val="zh-CN" w:eastAsia="zh-CN" w:bidi="zh-CN"/>
      </w:rPr>
    </w:lvl>
    <w:lvl w:ilvl="7" w:tentative="0">
      <w:start w:val="0"/>
      <w:numFmt w:val="bullet"/>
      <w:lvlText w:val="•"/>
      <w:lvlJc w:val="left"/>
      <w:pPr>
        <w:ind w:left="7121" w:hanging="483"/>
      </w:pPr>
      <w:rPr>
        <w:rFonts w:hint="default"/>
        <w:lang w:val="zh-CN" w:eastAsia="zh-CN" w:bidi="zh-CN"/>
      </w:rPr>
    </w:lvl>
    <w:lvl w:ilvl="8" w:tentative="0">
      <w:start w:val="0"/>
      <w:numFmt w:val="bullet"/>
      <w:lvlText w:val="•"/>
      <w:lvlJc w:val="left"/>
      <w:pPr>
        <w:ind w:left="8249" w:hanging="483"/>
      </w:pPr>
      <w:rPr>
        <w:rFonts w:hint="default"/>
        <w:lang w:val="zh-CN" w:eastAsia="zh-CN" w:bidi="zh-CN"/>
      </w:rPr>
    </w:lvl>
  </w:abstractNum>
  <w:abstractNum w:abstractNumId="24">
    <w:nsid w:val="00000018"/>
    <w:multiLevelType w:val="multilevel"/>
    <w:tmpl w:val="00000018"/>
    <w:lvl w:ilvl="0" w:tentative="0">
      <w:start w:val="21"/>
      <w:numFmt w:val="decimal"/>
      <w:lvlText w:val="%1"/>
      <w:lvlJc w:val="left"/>
      <w:pPr>
        <w:ind w:left="637" w:hanging="600"/>
        <w:jc w:val="left"/>
      </w:pPr>
      <w:rPr>
        <w:rFonts w:hint="default"/>
        <w:lang w:val="zh-CN" w:eastAsia="zh-CN" w:bidi="zh-CN"/>
      </w:rPr>
    </w:lvl>
    <w:lvl w:ilvl="1" w:tentative="0">
      <w:start w:val="2"/>
      <w:numFmt w:val="decimal"/>
      <w:lvlText w:val="%1.%2"/>
      <w:lvlJc w:val="left"/>
      <w:pPr>
        <w:ind w:left="637" w:hanging="600"/>
        <w:jc w:val="left"/>
      </w:pPr>
      <w:rPr>
        <w:rFonts w:hint="default" w:ascii="宋体" w:hAnsi="宋体" w:eastAsia="宋体" w:cs="宋体"/>
        <w:spacing w:val="-16"/>
        <w:w w:val="100"/>
        <w:sz w:val="24"/>
        <w:szCs w:val="24"/>
        <w:lang w:val="zh-CN" w:eastAsia="zh-CN" w:bidi="zh-CN"/>
      </w:rPr>
    </w:lvl>
    <w:lvl w:ilvl="2" w:tentative="0">
      <w:start w:val="0"/>
      <w:numFmt w:val="bullet"/>
      <w:lvlText w:val="•"/>
      <w:lvlJc w:val="left"/>
      <w:pPr>
        <w:ind w:left="2613" w:hanging="600"/>
      </w:pPr>
      <w:rPr>
        <w:rFonts w:hint="default"/>
        <w:lang w:val="zh-CN" w:eastAsia="zh-CN" w:bidi="zh-CN"/>
      </w:rPr>
    </w:lvl>
    <w:lvl w:ilvl="3" w:tentative="0">
      <w:start w:val="0"/>
      <w:numFmt w:val="bullet"/>
      <w:lvlText w:val="•"/>
      <w:lvlJc w:val="left"/>
      <w:pPr>
        <w:ind w:left="3599" w:hanging="600"/>
      </w:pPr>
      <w:rPr>
        <w:rFonts w:hint="default"/>
        <w:lang w:val="zh-CN" w:eastAsia="zh-CN" w:bidi="zh-CN"/>
      </w:rPr>
    </w:lvl>
    <w:lvl w:ilvl="4" w:tentative="0">
      <w:start w:val="0"/>
      <w:numFmt w:val="bullet"/>
      <w:lvlText w:val="•"/>
      <w:lvlJc w:val="left"/>
      <w:pPr>
        <w:ind w:left="4586" w:hanging="600"/>
      </w:pPr>
      <w:rPr>
        <w:rFonts w:hint="default"/>
        <w:lang w:val="zh-CN" w:eastAsia="zh-CN" w:bidi="zh-CN"/>
      </w:rPr>
    </w:lvl>
    <w:lvl w:ilvl="5" w:tentative="0">
      <w:start w:val="0"/>
      <w:numFmt w:val="bullet"/>
      <w:lvlText w:val="•"/>
      <w:lvlJc w:val="left"/>
      <w:pPr>
        <w:ind w:left="5573" w:hanging="600"/>
      </w:pPr>
      <w:rPr>
        <w:rFonts w:hint="default"/>
        <w:lang w:val="zh-CN" w:eastAsia="zh-CN" w:bidi="zh-CN"/>
      </w:rPr>
    </w:lvl>
    <w:lvl w:ilvl="6" w:tentative="0">
      <w:start w:val="0"/>
      <w:numFmt w:val="bullet"/>
      <w:lvlText w:val="•"/>
      <w:lvlJc w:val="left"/>
      <w:pPr>
        <w:ind w:left="6559" w:hanging="600"/>
      </w:pPr>
      <w:rPr>
        <w:rFonts w:hint="default"/>
        <w:lang w:val="zh-CN" w:eastAsia="zh-CN" w:bidi="zh-CN"/>
      </w:rPr>
    </w:lvl>
    <w:lvl w:ilvl="7" w:tentative="0">
      <w:start w:val="0"/>
      <w:numFmt w:val="bullet"/>
      <w:lvlText w:val="•"/>
      <w:lvlJc w:val="left"/>
      <w:pPr>
        <w:ind w:left="7546" w:hanging="600"/>
      </w:pPr>
      <w:rPr>
        <w:rFonts w:hint="default"/>
        <w:lang w:val="zh-CN" w:eastAsia="zh-CN" w:bidi="zh-CN"/>
      </w:rPr>
    </w:lvl>
    <w:lvl w:ilvl="8" w:tentative="0">
      <w:start w:val="0"/>
      <w:numFmt w:val="bullet"/>
      <w:lvlText w:val="•"/>
      <w:lvlJc w:val="left"/>
      <w:pPr>
        <w:ind w:left="8532" w:hanging="600"/>
      </w:pPr>
      <w:rPr>
        <w:rFonts w:hint="default"/>
        <w:lang w:val="zh-CN" w:eastAsia="zh-CN" w:bidi="zh-CN"/>
      </w:rPr>
    </w:lvl>
  </w:abstractNum>
  <w:abstractNum w:abstractNumId="25">
    <w:nsid w:val="00000019"/>
    <w:multiLevelType w:val="multilevel"/>
    <w:tmpl w:val="00000019"/>
    <w:lvl w:ilvl="0" w:tentative="0">
      <w:start w:val="15"/>
      <w:numFmt w:val="decimal"/>
      <w:lvlText w:val="%1"/>
      <w:lvlJc w:val="left"/>
      <w:pPr>
        <w:ind w:left="637" w:hanging="603"/>
        <w:jc w:val="left"/>
      </w:pPr>
      <w:rPr>
        <w:rFonts w:hint="default"/>
        <w:lang w:val="zh-CN" w:eastAsia="zh-CN" w:bidi="zh-CN"/>
      </w:rPr>
    </w:lvl>
    <w:lvl w:ilvl="1" w:tentative="0">
      <w:start w:val="1"/>
      <w:numFmt w:val="decimal"/>
      <w:lvlText w:val="%1.%2"/>
      <w:lvlJc w:val="left"/>
      <w:pPr>
        <w:ind w:left="637" w:hanging="603"/>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613" w:hanging="603"/>
      </w:pPr>
      <w:rPr>
        <w:rFonts w:hint="default"/>
        <w:lang w:val="zh-CN" w:eastAsia="zh-CN" w:bidi="zh-CN"/>
      </w:rPr>
    </w:lvl>
    <w:lvl w:ilvl="3" w:tentative="0">
      <w:start w:val="0"/>
      <w:numFmt w:val="bullet"/>
      <w:lvlText w:val="•"/>
      <w:lvlJc w:val="left"/>
      <w:pPr>
        <w:ind w:left="3599" w:hanging="603"/>
      </w:pPr>
      <w:rPr>
        <w:rFonts w:hint="default"/>
        <w:lang w:val="zh-CN" w:eastAsia="zh-CN" w:bidi="zh-CN"/>
      </w:rPr>
    </w:lvl>
    <w:lvl w:ilvl="4" w:tentative="0">
      <w:start w:val="0"/>
      <w:numFmt w:val="bullet"/>
      <w:lvlText w:val="•"/>
      <w:lvlJc w:val="left"/>
      <w:pPr>
        <w:ind w:left="4586" w:hanging="603"/>
      </w:pPr>
      <w:rPr>
        <w:rFonts w:hint="default"/>
        <w:lang w:val="zh-CN" w:eastAsia="zh-CN" w:bidi="zh-CN"/>
      </w:rPr>
    </w:lvl>
    <w:lvl w:ilvl="5" w:tentative="0">
      <w:start w:val="0"/>
      <w:numFmt w:val="bullet"/>
      <w:lvlText w:val="•"/>
      <w:lvlJc w:val="left"/>
      <w:pPr>
        <w:ind w:left="5573" w:hanging="603"/>
      </w:pPr>
      <w:rPr>
        <w:rFonts w:hint="default"/>
        <w:lang w:val="zh-CN" w:eastAsia="zh-CN" w:bidi="zh-CN"/>
      </w:rPr>
    </w:lvl>
    <w:lvl w:ilvl="6" w:tentative="0">
      <w:start w:val="0"/>
      <w:numFmt w:val="bullet"/>
      <w:lvlText w:val="•"/>
      <w:lvlJc w:val="left"/>
      <w:pPr>
        <w:ind w:left="6559" w:hanging="603"/>
      </w:pPr>
      <w:rPr>
        <w:rFonts w:hint="default"/>
        <w:lang w:val="zh-CN" w:eastAsia="zh-CN" w:bidi="zh-CN"/>
      </w:rPr>
    </w:lvl>
    <w:lvl w:ilvl="7" w:tentative="0">
      <w:start w:val="0"/>
      <w:numFmt w:val="bullet"/>
      <w:lvlText w:val="•"/>
      <w:lvlJc w:val="left"/>
      <w:pPr>
        <w:ind w:left="7546" w:hanging="603"/>
      </w:pPr>
      <w:rPr>
        <w:rFonts w:hint="default"/>
        <w:lang w:val="zh-CN" w:eastAsia="zh-CN" w:bidi="zh-CN"/>
      </w:rPr>
    </w:lvl>
    <w:lvl w:ilvl="8" w:tentative="0">
      <w:start w:val="0"/>
      <w:numFmt w:val="bullet"/>
      <w:lvlText w:val="•"/>
      <w:lvlJc w:val="left"/>
      <w:pPr>
        <w:ind w:left="8532" w:hanging="603"/>
      </w:pPr>
      <w:rPr>
        <w:rFonts w:hint="default"/>
        <w:lang w:val="zh-CN" w:eastAsia="zh-CN" w:bidi="zh-CN"/>
      </w:rPr>
    </w:lvl>
  </w:abstractNum>
  <w:abstractNum w:abstractNumId="26">
    <w:nsid w:val="0000001A"/>
    <w:multiLevelType w:val="multilevel"/>
    <w:tmpl w:val="0000001A"/>
    <w:lvl w:ilvl="0" w:tentative="0">
      <w:start w:val="9"/>
      <w:numFmt w:val="decimal"/>
      <w:lvlText w:val="%1."/>
      <w:lvlJc w:val="left"/>
      <w:pPr>
        <w:ind w:left="1481"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1600" w:hanging="48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2589" w:hanging="480"/>
      </w:pPr>
      <w:rPr>
        <w:rFonts w:hint="default"/>
        <w:lang w:val="zh-CN" w:eastAsia="zh-CN" w:bidi="zh-CN"/>
      </w:rPr>
    </w:lvl>
    <w:lvl w:ilvl="3" w:tentative="0">
      <w:start w:val="0"/>
      <w:numFmt w:val="bullet"/>
      <w:lvlText w:val="•"/>
      <w:lvlJc w:val="left"/>
      <w:pPr>
        <w:ind w:left="3579" w:hanging="480"/>
      </w:pPr>
      <w:rPr>
        <w:rFonts w:hint="default"/>
        <w:lang w:val="zh-CN" w:eastAsia="zh-CN" w:bidi="zh-CN"/>
      </w:rPr>
    </w:lvl>
    <w:lvl w:ilvl="4" w:tentative="0">
      <w:start w:val="0"/>
      <w:numFmt w:val="bullet"/>
      <w:lvlText w:val="•"/>
      <w:lvlJc w:val="left"/>
      <w:pPr>
        <w:ind w:left="4568" w:hanging="480"/>
      </w:pPr>
      <w:rPr>
        <w:rFonts w:hint="default"/>
        <w:lang w:val="zh-CN" w:eastAsia="zh-CN" w:bidi="zh-CN"/>
      </w:rPr>
    </w:lvl>
    <w:lvl w:ilvl="5" w:tentative="0">
      <w:start w:val="0"/>
      <w:numFmt w:val="bullet"/>
      <w:lvlText w:val="•"/>
      <w:lvlJc w:val="left"/>
      <w:pPr>
        <w:ind w:left="5558" w:hanging="480"/>
      </w:pPr>
      <w:rPr>
        <w:rFonts w:hint="default"/>
        <w:lang w:val="zh-CN" w:eastAsia="zh-CN" w:bidi="zh-CN"/>
      </w:rPr>
    </w:lvl>
    <w:lvl w:ilvl="6" w:tentative="0">
      <w:start w:val="0"/>
      <w:numFmt w:val="bullet"/>
      <w:lvlText w:val="•"/>
      <w:lvlJc w:val="left"/>
      <w:pPr>
        <w:ind w:left="6547" w:hanging="480"/>
      </w:pPr>
      <w:rPr>
        <w:rFonts w:hint="default"/>
        <w:lang w:val="zh-CN" w:eastAsia="zh-CN" w:bidi="zh-CN"/>
      </w:rPr>
    </w:lvl>
    <w:lvl w:ilvl="7" w:tentative="0">
      <w:start w:val="0"/>
      <w:numFmt w:val="bullet"/>
      <w:lvlText w:val="•"/>
      <w:lvlJc w:val="left"/>
      <w:pPr>
        <w:ind w:left="7537" w:hanging="480"/>
      </w:pPr>
      <w:rPr>
        <w:rFonts w:hint="default"/>
        <w:lang w:val="zh-CN" w:eastAsia="zh-CN" w:bidi="zh-CN"/>
      </w:rPr>
    </w:lvl>
    <w:lvl w:ilvl="8" w:tentative="0">
      <w:start w:val="0"/>
      <w:numFmt w:val="bullet"/>
      <w:lvlText w:val="•"/>
      <w:lvlJc w:val="left"/>
      <w:pPr>
        <w:ind w:left="8526" w:hanging="480"/>
      </w:pPr>
      <w:rPr>
        <w:rFonts w:hint="default"/>
        <w:lang w:val="zh-CN" w:eastAsia="zh-CN" w:bidi="zh-CN"/>
      </w:rPr>
    </w:lvl>
  </w:abstractNum>
  <w:abstractNum w:abstractNumId="27">
    <w:nsid w:val="0000001B"/>
    <w:multiLevelType w:val="multilevel"/>
    <w:tmpl w:val="0000001B"/>
    <w:lvl w:ilvl="0" w:tentative="0">
      <w:start w:val="22"/>
      <w:numFmt w:val="decimal"/>
      <w:lvlText w:val="%1."/>
      <w:lvlJc w:val="left"/>
      <w:pPr>
        <w:ind w:left="1598" w:hanging="481"/>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637" w:hanging="540"/>
        <w:jc w:val="left"/>
      </w:pPr>
      <w:rPr>
        <w:rFonts w:hint="default" w:ascii="宋体" w:hAnsi="宋体" w:eastAsia="宋体" w:cs="宋体"/>
        <w:w w:val="100"/>
        <w:sz w:val="24"/>
        <w:szCs w:val="24"/>
        <w:lang w:val="zh-CN" w:eastAsia="zh-CN" w:bidi="zh-CN"/>
      </w:rPr>
    </w:lvl>
    <w:lvl w:ilvl="2" w:tentative="0">
      <w:start w:val="1"/>
      <w:numFmt w:val="decimal"/>
      <w:lvlText w:val="(%3)"/>
      <w:lvlJc w:val="left"/>
      <w:pPr>
        <w:ind w:left="1320" w:hanging="361"/>
        <w:jc w:val="left"/>
      </w:pPr>
      <w:rPr>
        <w:rFonts w:hint="default" w:ascii="宋体" w:hAnsi="宋体" w:eastAsia="宋体" w:cs="宋体"/>
        <w:spacing w:val="-17"/>
        <w:w w:val="100"/>
        <w:sz w:val="22"/>
        <w:szCs w:val="22"/>
        <w:lang w:val="zh-CN" w:eastAsia="zh-CN" w:bidi="zh-CN"/>
      </w:rPr>
    </w:lvl>
    <w:lvl w:ilvl="3" w:tentative="0">
      <w:start w:val="0"/>
      <w:numFmt w:val="bullet"/>
      <w:lvlText w:val="•"/>
      <w:lvlJc w:val="left"/>
      <w:pPr>
        <w:ind w:left="1600" w:hanging="361"/>
      </w:pPr>
      <w:rPr>
        <w:rFonts w:hint="default"/>
        <w:lang w:val="zh-CN" w:eastAsia="zh-CN" w:bidi="zh-CN"/>
      </w:rPr>
    </w:lvl>
    <w:lvl w:ilvl="4" w:tentative="0">
      <w:start w:val="0"/>
      <w:numFmt w:val="bullet"/>
      <w:lvlText w:val="•"/>
      <w:lvlJc w:val="left"/>
      <w:pPr>
        <w:ind w:left="2872" w:hanging="361"/>
      </w:pPr>
      <w:rPr>
        <w:rFonts w:hint="default"/>
        <w:lang w:val="zh-CN" w:eastAsia="zh-CN" w:bidi="zh-CN"/>
      </w:rPr>
    </w:lvl>
    <w:lvl w:ilvl="5" w:tentative="0">
      <w:start w:val="0"/>
      <w:numFmt w:val="bullet"/>
      <w:lvlText w:val="•"/>
      <w:lvlJc w:val="left"/>
      <w:pPr>
        <w:ind w:left="4144" w:hanging="361"/>
      </w:pPr>
      <w:rPr>
        <w:rFonts w:hint="default"/>
        <w:lang w:val="zh-CN" w:eastAsia="zh-CN" w:bidi="zh-CN"/>
      </w:rPr>
    </w:lvl>
    <w:lvl w:ilvl="6" w:tentative="0">
      <w:start w:val="0"/>
      <w:numFmt w:val="bullet"/>
      <w:lvlText w:val="•"/>
      <w:lvlJc w:val="left"/>
      <w:pPr>
        <w:ind w:left="5416" w:hanging="361"/>
      </w:pPr>
      <w:rPr>
        <w:rFonts w:hint="default"/>
        <w:lang w:val="zh-CN" w:eastAsia="zh-CN" w:bidi="zh-CN"/>
      </w:rPr>
    </w:lvl>
    <w:lvl w:ilvl="7" w:tentative="0">
      <w:start w:val="0"/>
      <w:numFmt w:val="bullet"/>
      <w:lvlText w:val="•"/>
      <w:lvlJc w:val="left"/>
      <w:pPr>
        <w:ind w:left="6689" w:hanging="361"/>
      </w:pPr>
      <w:rPr>
        <w:rFonts w:hint="default"/>
        <w:lang w:val="zh-CN" w:eastAsia="zh-CN" w:bidi="zh-CN"/>
      </w:rPr>
    </w:lvl>
    <w:lvl w:ilvl="8" w:tentative="0">
      <w:start w:val="0"/>
      <w:numFmt w:val="bullet"/>
      <w:lvlText w:val="•"/>
      <w:lvlJc w:val="left"/>
      <w:pPr>
        <w:ind w:left="7961" w:hanging="361"/>
      </w:pPr>
      <w:rPr>
        <w:rFonts w:hint="default"/>
        <w:lang w:val="zh-CN" w:eastAsia="zh-CN" w:bidi="zh-CN"/>
      </w:rPr>
    </w:lvl>
  </w:abstractNum>
  <w:abstractNum w:abstractNumId="28">
    <w:nsid w:val="0000001C"/>
    <w:multiLevelType w:val="multilevel"/>
    <w:tmpl w:val="0000001C"/>
    <w:lvl w:ilvl="0" w:tentative="0">
      <w:start w:val="14"/>
      <w:numFmt w:val="decimal"/>
      <w:lvlText w:val="%1."/>
      <w:lvlJc w:val="left"/>
      <w:pPr>
        <w:ind w:left="1598" w:hanging="481"/>
        <w:jc w:val="left"/>
      </w:pPr>
      <w:rPr>
        <w:rFonts w:hint="default" w:ascii="宋体" w:hAnsi="宋体" w:eastAsia="宋体" w:cs="宋体"/>
        <w:b/>
        <w:bCs/>
        <w:spacing w:val="-3"/>
        <w:w w:val="99"/>
        <w:sz w:val="22"/>
        <w:szCs w:val="22"/>
        <w:lang w:val="zh-CN" w:eastAsia="zh-CN" w:bidi="zh-CN"/>
      </w:rPr>
    </w:lvl>
    <w:lvl w:ilvl="1" w:tentative="0">
      <w:start w:val="1"/>
      <w:numFmt w:val="decimal"/>
      <w:lvlText w:val="%1.%2"/>
      <w:lvlJc w:val="left"/>
      <w:pPr>
        <w:ind w:left="637" w:hanging="54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60" w:hanging="540"/>
      </w:pPr>
      <w:rPr>
        <w:rFonts w:hint="default"/>
        <w:lang w:val="zh-CN" w:eastAsia="zh-CN" w:bidi="zh-CN"/>
      </w:rPr>
    </w:lvl>
    <w:lvl w:ilvl="3" w:tentative="0">
      <w:start w:val="0"/>
      <w:numFmt w:val="bullet"/>
      <w:lvlText w:val="•"/>
      <w:lvlJc w:val="left"/>
      <w:pPr>
        <w:ind w:left="2765" w:hanging="540"/>
      </w:pPr>
      <w:rPr>
        <w:rFonts w:hint="default"/>
        <w:lang w:val="zh-CN" w:eastAsia="zh-CN" w:bidi="zh-CN"/>
      </w:rPr>
    </w:lvl>
    <w:lvl w:ilvl="4" w:tentative="0">
      <w:start w:val="0"/>
      <w:numFmt w:val="bullet"/>
      <w:lvlText w:val="•"/>
      <w:lvlJc w:val="left"/>
      <w:pPr>
        <w:ind w:left="3871" w:hanging="540"/>
      </w:pPr>
      <w:rPr>
        <w:rFonts w:hint="default"/>
        <w:lang w:val="zh-CN" w:eastAsia="zh-CN" w:bidi="zh-CN"/>
      </w:rPr>
    </w:lvl>
    <w:lvl w:ilvl="5" w:tentative="0">
      <w:start w:val="0"/>
      <w:numFmt w:val="bullet"/>
      <w:lvlText w:val="•"/>
      <w:lvlJc w:val="left"/>
      <w:pPr>
        <w:ind w:left="4977" w:hanging="540"/>
      </w:pPr>
      <w:rPr>
        <w:rFonts w:hint="default"/>
        <w:lang w:val="zh-CN" w:eastAsia="zh-CN" w:bidi="zh-CN"/>
      </w:rPr>
    </w:lvl>
    <w:lvl w:ilvl="6" w:tentative="0">
      <w:start w:val="0"/>
      <w:numFmt w:val="bullet"/>
      <w:lvlText w:val="•"/>
      <w:lvlJc w:val="left"/>
      <w:pPr>
        <w:ind w:left="6083" w:hanging="540"/>
      </w:pPr>
      <w:rPr>
        <w:rFonts w:hint="default"/>
        <w:lang w:val="zh-CN" w:eastAsia="zh-CN" w:bidi="zh-CN"/>
      </w:rPr>
    </w:lvl>
    <w:lvl w:ilvl="7" w:tentative="0">
      <w:start w:val="0"/>
      <w:numFmt w:val="bullet"/>
      <w:lvlText w:val="•"/>
      <w:lvlJc w:val="left"/>
      <w:pPr>
        <w:ind w:left="7188" w:hanging="540"/>
      </w:pPr>
      <w:rPr>
        <w:rFonts w:hint="default"/>
        <w:lang w:val="zh-CN" w:eastAsia="zh-CN" w:bidi="zh-CN"/>
      </w:rPr>
    </w:lvl>
    <w:lvl w:ilvl="8" w:tentative="0">
      <w:start w:val="0"/>
      <w:numFmt w:val="bullet"/>
      <w:lvlText w:val="•"/>
      <w:lvlJc w:val="left"/>
      <w:pPr>
        <w:ind w:left="8294" w:hanging="540"/>
      </w:pPr>
      <w:rPr>
        <w:rFonts w:hint="default"/>
        <w:lang w:val="zh-CN" w:eastAsia="zh-CN" w:bidi="zh-CN"/>
      </w:rPr>
    </w:lvl>
  </w:abstractNum>
  <w:abstractNum w:abstractNumId="29">
    <w:nsid w:val="0000001D"/>
    <w:multiLevelType w:val="multilevel"/>
    <w:tmpl w:val="0000001D"/>
    <w:lvl w:ilvl="0" w:tentative="0">
      <w:start w:val="1"/>
      <w:numFmt w:val="decimal"/>
      <w:lvlText w:val="（%1）"/>
      <w:lvlJc w:val="left"/>
      <w:pPr>
        <w:ind w:left="1718" w:hanging="601"/>
        <w:jc w:val="left"/>
      </w:pPr>
      <w:rPr>
        <w:rFonts w:hint="default" w:ascii="宋体" w:hAnsi="宋体" w:eastAsia="宋体" w:cs="宋体"/>
        <w:spacing w:val="-10"/>
        <w:w w:val="100"/>
        <w:sz w:val="22"/>
        <w:szCs w:val="22"/>
        <w:lang w:val="zh-CN" w:eastAsia="zh-CN" w:bidi="zh-CN"/>
      </w:rPr>
    </w:lvl>
    <w:lvl w:ilvl="1" w:tentative="0">
      <w:start w:val="0"/>
      <w:numFmt w:val="bullet"/>
      <w:lvlText w:val="•"/>
      <w:lvlJc w:val="left"/>
      <w:pPr>
        <w:ind w:left="2598" w:hanging="601"/>
      </w:pPr>
      <w:rPr>
        <w:rFonts w:hint="default"/>
        <w:lang w:val="zh-CN" w:eastAsia="zh-CN" w:bidi="zh-CN"/>
      </w:rPr>
    </w:lvl>
    <w:lvl w:ilvl="2" w:tentative="0">
      <w:start w:val="0"/>
      <w:numFmt w:val="bullet"/>
      <w:lvlText w:val="•"/>
      <w:lvlJc w:val="left"/>
      <w:pPr>
        <w:ind w:left="3477" w:hanging="601"/>
      </w:pPr>
      <w:rPr>
        <w:rFonts w:hint="default"/>
        <w:lang w:val="zh-CN" w:eastAsia="zh-CN" w:bidi="zh-CN"/>
      </w:rPr>
    </w:lvl>
    <w:lvl w:ilvl="3" w:tentative="0">
      <w:start w:val="0"/>
      <w:numFmt w:val="bullet"/>
      <w:lvlText w:val="•"/>
      <w:lvlJc w:val="left"/>
      <w:pPr>
        <w:ind w:left="435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113" w:hanging="601"/>
      </w:pPr>
      <w:rPr>
        <w:rFonts w:hint="default"/>
        <w:lang w:val="zh-CN" w:eastAsia="zh-CN" w:bidi="zh-CN"/>
      </w:rPr>
    </w:lvl>
    <w:lvl w:ilvl="6" w:tentative="0">
      <w:start w:val="0"/>
      <w:numFmt w:val="bullet"/>
      <w:lvlText w:val="•"/>
      <w:lvlJc w:val="left"/>
      <w:pPr>
        <w:ind w:left="6991" w:hanging="601"/>
      </w:pPr>
      <w:rPr>
        <w:rFonts w:hint="default"/>
        <w:lang w:val="zh-CN" w:eastAsia="zh-CN" w:bidi="zh-CN"/>
      </w:rPr>
    </w:lvl>
    <w:lvl w:ilvl="7" w:tentative="0">
      <w:start w:val="0"/>
      <w:numFmt w:val="bullet"/>
      <w:lvlText w:val="•"/>
      <w:lvlJc w:val="left"/>
      <w:pPr>
        <w:ind w:left="7870" w:hanging="601"/>
      </w:pPr>
      <w:rPr>
        <w:rFonts w:hint="default"/>
        <w:lang w:val="zh-CN" w:eastAsia="zh-CN" w:bidi="zh-CN"/>
      </w:rPr>
    </w:lvl>
    <w:lvl w:ilvl="8" w:tentative="0">
      <w:start w:val="0"/>
      <w:numFmt w:val="bullet"/>
      <w:lvlText w:val="•"/>
      <w:lvlJc w:val="left"/>
      <w:pPr>
        <w:ind w:left="8748" w:hanging="601"/>
      </w:pPr>
      <w:rPr>
        <w:rFonts w:hint="default"/>
        <w:lang w:val="zh-CN" w:eastAsia="zh-CN" w:bidi="zh-CN"/>
      </w:rPr>
    </w:lvl>
  </w:abstractNum>
  <w:abstractNum w:abstractNumId="30">
    <w:nsid w:val="0000001E"/>
    <w:multiLevelType w:val="multilevel"/>
    <w:tmpl w:val="0000001E"/>
    <w:lvl w:ilvl="0" w:tentative="0">
      <w:start w:val="8"/>
      <w:numFmt w:val="decimal"/>
      <w:lvlText w:val="%1"/>
      <w:lvlJc w:val="left"/>
      <w:pPr>
        <w:ind w:left="637" w:hanging="480"/>
        <w:jc w:val="left"/>
      </w:pPr>
      <w:rPr>
        <w:rFonts w:hint="default"/>
        <w:lang w:val="zh-CN" w:eastAsia="zh-CN" w:bidi="zh-CN"/>
      </w:rPr>
    </w:lvl>
    <w:lvl w:ilvl="1" w:tentative="0">
      <w:start w:val="1"/>
      <w:numFmt w:val="decimal"/>
      <w:lvlText w:val="%1.%2"/>
      <w:lvlJc w:val="left"/>
      <w:pPr>
        <w:ind w:left="637" w:hanging="480"/>
        <w:jc w:val="left"/>
      </w:pPr>
      <w:rPr>
        <w:rFonts w:hint="default" w:ascii="宋体" w:hAnsi="宋体" w:eastAsia="宋体" w:cs="宋体"/>
        <w:spacing w:val="-24"/>
        <w:w w:val="100"/>
        <w:sz w:val="24"/>
        <w:szCs w:val="24"/>
        <w:lang w:val="zh-CN" w:eastAsia="zh-CN" w:bidi="zh-CN"/>
      </w:rPr>
    </w:lvl>
    <w:lvl w:ilvl="2" w:tentative="0">
      <w:start w:val="0"/>
      <w:numFmt w:val="bullet"/>
      <w:lvlText w:val="•"/>
      <w:lvlJc w:val="left"/>
      <w:pPr>
        <w:ind w:left="2613" w:hanging="480"/>
      </w:pPr>
      <w:rPr>
        <w:rFonts w:hint="default"/>
        <w:lang w:val="zh-CN" w:eastAsia="zh-CN" w:bidi="zh-CN"/>
      </w:rPr>
    </w:lvl>
    <w:lvl w:ilvl="3" w:tentative="0">
      <w:start w:val="0"/>
      <w:numFmt w:val="bullet"/>
      <w:lvlText w:val="•"/>
      <w:lvlJc w:val="left"/>
      <w:pPr>
        <w:ind w:left="3599" w:hanging="480"/>
      </w:pPr>
      <w:rPr>
        <w:rFonts w:hint="default"/>
        <w:lang w:val="zh-CN" w:eastAsia="zh-CN" w:bidi="zh-CN"/>
      </w:rPr>
    </w:lvl>
    <w:lvl w:ilvl="4" w:tentative="0">
      <w:start w:val="0"/>
      <w:numFmt w:val="bullet"/>
      <w:lvlText w:val="•"/>
      <w:lvlJc w:val="left"/>
      <w:pPr>
        <w:ind w:left="4586" w:hanging="480"/>
      </w:pPr>
      <w:rPr>
        <w:rFonts w:hint="default"/>
        <w:lang w:val="zh-CN" w:eastAsia="zh-CN" w:bidi="zh-CN"/>
      </w:rPr>
    </w:lvl>
    <w:lvl w:ilvl="5" w:tentative="0">
      <w:start w:val="0"/>
      <w:numFmt w:val="bullet"/>
      <w:lvlText w:val="•"/>
      <w:lvlJc w:val="left"/>
      <w:pPr>
        <w:ind w:left="5573" w:hanging="480"/>
      </w:pPr>
      <w:rPr>
        <w:rFonts w:hint="default"/>
        <w:lang w:val="zh-CN" w:eastAsia="zh-CN" w:bidi="zh-CN"/>
      </w:rPr>
    </w:lvl>
    <w:lvl w:ilvl="6" w:tentative="0">
      <w:start w:val="0"/>
      <w:numFmt w:val="bullet"/>
      <w:lvlText w:val="•"/>
      <w:lvlJc w:val="left"/>
      <w:pPr>
        <w:ind w:left="6559" w:hanging="480"/>
      </w:pPr>
      <w:rPr>
        <w:rFonts w:hint="default"/>
        <w:lang w:val="zh-CN" w:eastAsia="zh-CN" w:bidi="zh-CN"/>
      </w:rPr>
    </w:lvl>
    <w:lvl w:ilvl="7" w:tentative="0">
      <w:start w:val="0"/>
      <w:numFmt w:val="bullet"/>
      <w:lvlText w:val="•"/>
      <w:lvlJc w:val="left"/>
      <w:pPr>
        <w:ind w:left="7546" w:hanging="480"/>
      </w:pPr>
      <w:rPr>
        <w:rFonts w:hint="default"/>
        <w:lang w:val="zh-CN" w:eastAsia="zh-CN" w:bidi="zh-CN"/>
      </w:rPr>
    </w:lvl>
    <w:lvl w:ilvl="8" w:tentative="0">
      <w:start w:val="0"/>
      <w:numFmt w:val="bullet"/>
      <w:lvlText w:val="•"/>
      <w:lvlJc w:val="left"/>
      <w:pPr>
        <w:ind w:left="8532" w:hanging="480"/>
      </w:pPr>
      <w:rPr>
        <w:rFonts w:hint="default"/>
        <w:lang w:val="zh-CN" w:eastAsia="zh-CN" w:bidi="zh-CN"/>
      </w:rPr>
    </w:lvl>
  </w:abstractNum>
  <w:abstractNum w:abstractNumId="31">
    <w:nsid w:val="0000001F"/>
    <w:multiLevelType w:val="multilevel"/>
    <w:tmpl w:val="0000001F"/>
    <w:lvl w:ilvl="0" w:tentative="0">
      <w:start w:val="1"/>
      <w:numFmt w:val="decimal"/>
      <w:lvlText w:val="（%1）"/>
      <w:lvlJc w:val="left"/>
      <w:pPr>
        <w:ind w:left="1880" w:hanging="689"/>
        <w:jc w:val="left"/>
      </w:pPr>
      <w:rPr>
        <w:rFonts w:hint="default" w:ascii="宋体" w:hAnsi="宋体" w:eastAsia="宋体" w:cs="宋体"/>
        <w:w w:val="100"/>
        <w:sz w:val="24"/>
        <w:szCs w:val="24"/>
        <w:lang w:val="zh-CN" w:eastAsia="zh-CN" w:bidi="zh-CN"/>
      </w:rPr>
    </w:lvl>
    <w:lvl w:ilvl="1" w:tentative="0">
      <w:start w:val="0"/>
      <w:numFmt w:val="bullet"/>
      <w:lvlText w:val="•"/>
      <w:lvlJc w:val="left"/>
      <w:pPr>
        <w:ind w:left="2742" w:hanging="689"/>
      </w:pPr>
      <w:rPr>
        <w:rFonts w:hint="default"/>
        <w:lang w:val="zh-CN" w:eastAsia="zh-CN" w:bidi="zh-CN"/>
      </w:rPr>
    </w:lvl>
    <w:lvl w:ilvl="2" w:tentative="0">
      <w:start w:val="0"/>
      <w:numFmt w:val="bullet"/>
      <w:lvlText w:val="•"/>
      <w:lvlJc w:val="left"/>
      <w:pPr>
        <w:ind w:left="3605" w:hanging="689"/>
      </w:pPr>
      <w:rPr>
        <w:rFonts w:hint="default"/>
        <w:lang w:val="zh-CN" w:eastAsia="zh-CN" w:bidi="zh-CN"/>
      </w:rPr>
    </w:lvl>
    <w:lvl w:ilvl="3" w:tentative="0">
      <w:start w:val="0"/>
      <w:numFmt w:val="bullet"/>
      <w:lvlText w:val="•"/>
      <w:lvlJc w:val="left"/>
      <w:pPr>
        <w:ind w:left="4467" w:hanging="689"/>
      </w:pPr>
      <w:rPr>
        <w:rFonts w:hint="default"/>
        <w:lang w:val="zh-CN" w:eastAsia="zh-CN" w:bidi="zh-CN"/>
      </w:rPr>
    </w:lvl>
    <w:lvl w:ilvl="4" w:tentative="0">
      <w:start w:val="0"/>
      <w:numFmt w:val="bullet"/>
      <w:lvlText w:val="•"/>
      <w:lvlJc w:val="left"/>
      <w:pPr>
        <w:ind w:left="5330" w:hanging="689"/>
      </w:pPr>
      <w:rPr>
        <w:rFonts w:hint="default"/>
        <w:lang w:val="zh-CN" w:eastAsia="zh-CN" w:bidi="zh-CN"/>
      </w:rPr>
    </w:lvl>
    <w:lvl w:ilvl="5" w:tentative="0">
      <w:start w:val="0"/>
      <w:numFmt w:val="bullet"/>
      <w:lvlText w:val="•"/>
      <w:lvlJc w:val="left"/>
      <w:pPr>
        <w:ind w:left="6193" w:hanging="689"/>
      </w:pPr>
      <w:rPr>
        <w:rFonts w:hint="default"/>
        <w:lang w:val="zh-CN" w:eastAsia="zh-CN" w:bidi="zh-CN"/>
      </w:rPr>
    </w:lvl>
    <w:lvl w:ilvl="6" w:tentative="0">
      <w:start w:val="0"/>
      <w:numFmt w:val="bullet"/>
      <w:lvlText w:val="•"/>
      <w:lvlJc w:val="left"/>
      <w:pPr>
        <w:ind w:left="7055" w:hanging="689"/>
      </w:pPr>
      <w:rPr>
        <w:rFonts w:hint="default"/>
        <w:lang w:val="zh-CN" w:eastAsia="zh-CN" w:bidi="zh-CN"/>
      </w:rPr>
    </w:lvl>
    <w:lvl w:ilvl="7" w:tentative="0">
      <w:start w:val="0"/>
      <w:numFmt w:val="bullet"/>
      <w:lvlText w:val="•"/>
      <w:lvlJc w:val="left"/>
      <w:pPr>
        <w:ind w:left="7918" w:hanging="689"/>
      </w:pPr>
      <w:rPr>
        <w:rFonts w:hint="default"/>
        <w:lang w:val="zh-CN" w:eastAsia="zh-CN" w:bidi="zh-CN"/>
      </w:rPr>
    </w:lvl>
    <w:lvl w:ilvl="8" w:tentative="0">
      <w:start w:val="0"/>
      <w:numFmt w:val="bullet"/>
      <w:lvlText w:val="•"/>
      <w:lvlJc w:val="left"/>
      <w:pPr>
        <w:ind w:left="8780" w:hanging="689"/>
      </w:pPr>
      <w:rPr>
        <w:rFonts w:hint="default"/>
        <w:lang w:val="zh-CN" w:eastAsia="zh-CN" w:bidi="zh-CN"/>
      </w:rPr>
    </w:lvl>
  </w:abstractNum>
  <w:abstractNum w:abstractNumId="32">
    <w:nsid w:val="00000020"/>
    <w:multiLevelType w:val="multilevel"/>
    <w:tmpl w:val="00000020"/>
    <w:lvl w:ilvl="0" w:tentative="0">
      <w:start w:val="16"/>
      <w:numFmt w:val="decimal"/>
      <w:lvlText w:val="%1."/>
      <w:lvlJc w:val="left"/>
      <w:pPr>
        <w:ind w:left="1600" w:hanging="483"/>
        <w:jc w:val="left"/>
      </w:pPr>
      <w:rPr>
        <w:rFonts w:hint="default"/>
        <w:b/>
        <w:bCs/>
        <w:spacing w:val="0"/>
        <w:w w:val="99"/>
        <w:lang w:val="zh-CN" w:eastAsia="zh-CN" w:bidi="zh-CN"/>
      </w:rPr>
    </w:lvl>
    <w:lvl w:ilvl="1" w:tentative="0">
      <w:start w:val="1"/>
      <w:numFmt w:val="decimal"/>
      <w:lvlText w:val="%1.%2"/>
      <w:lvlJc w:val="left"/>
      <w:pPr>
        <w:ind w:left="637" w:hanging="605"/>
        <w:jc w:val="left"/>
      </w:pPr>
      <w:rPr>
        <w:rFonts w:hint="default"/>
        <w:w w:val="100"/>
        <w:lang w:val="zh-CN" w:eastAsia="zh-CN" w:bidi="zh-CN"/>
      </w:rPr>
    </w:lvl>
    <w:lvl w:ilvl="2" w:tentative="0">
      <w:start w:val="1"/>
      <w:numFmt w:val="decimal"/>
      <w:lvlText w:val="%1.%2.%3"/>
      <w:lvlJc w:val="left"/>
      <w:pPr>
        <w:ind w:left="637" w:hanging="840"/>
        <w:jc w:val="left"/>
      </w:pPr>
      <w:rPr>
        <w:rFonts w:hint="default"/>
        <w:spacing w:val="-18"/>
        <w:w w:val="100"/>
        <w:lang w:val="zh-CN" w:eastAsia="zh-CN" w:bidi="zh-CN"/>
      </w:rPr>
    </w:lvl>
    <w:lvl w:ilvl="3" w:tentative="0">
      <w:start w:val="1"/>
      <w:numFmt w:val="decimal"/>
      <w:lvlText w:val="%1.%2.%3.%4"/>
      <w:lvlJc w:val="left"/>
      <w:pPr>
        <w:ind w:left="637" w:hanging="840"/>
        <w:jc w:val="left"/>
      </w:pPr>
      <w:rPr>
        <w:rFonts w:hint="default" w:ascii="宋体" w:hAnsi="宋体" w:eastAsia="宋体" w:cs="宋体"/>
        <w:w w:val="100"/>
        <w:sz w:val="24"/>
        <w:szCs w:val="24"/>
        <w:lang w:val="zh-CN" w:eastAsia="zh-CN" w:bidi="zh-CN"/>
      </w:rPr>
    </w:lvl>
    <w:lvl w:ilvl="4" w:tentative="0">
      <w:start w:val="0"/>
      <w:numFmt w:val="bullet"/>
      <w:lvlText w:val="•"/>
      <w:lvlJc w:val="left"/>
      <w:pPr>
        <w:ind w:left="3180" w:hanging="840"/>
      </w:pPr>
      <w:rPr>
        <w:rFonts w:hint="default"/>
        <w:lang w:val="zh-CN" w:eastAsia="zh-CN" w:bidi="zh-CN"/>
      </w:rPr>
    </w:lvl>
    <w:lvl w:ilvl="5" w:tentative="0">
      <w:start w:val="0"/>
      <w:numFmt w:val="bullet"/>
      <w:lvlText w:val="•"/>
      <w:lvlJc w:val="left"/>
      <w:pPr>
        <w:ind w:left="4401" w:hanging="840"/>
      </w:pPr>
      <w:rPr>
        <w:rFonts w:hint="default"/>
        <w:lang w:val="zh-CN" w:eastAsia="zh-CN" w:bidi="zh-CN"/>
      </w:rPr>
    </w:lvl>
    <w:lvl w:ilvl="6" w:tentative="0">
      <w:start w:val="0"/>
      <w:numFmt w:val="bullet"/>
      <w:lvlText w:val="•"/>
      <w:lvlJc w:val="left"/>
      <w:pPr>
        <w:ind w:left="5622" w:hanging="840"/>
      </w:pPr>
      <w:rPr>
        <w:rFonts w:hint="default"/>
        <w:lang w:val="zh-CN" w:eastAsia="zh-CN" w:bidi="zh-CN"/>
      </w:rPr>
    </w:lvl>
    <w:lvl w:ilvl="7" w:tentative="0">
      <w:start w:val="0"/>
      <w:numFmt w:val="bullet"/>
      <w:lvlText w:val="•"/>
      <w:lvlJc w:val="left"/>
      <w:pPr>
        <w:ind w:left="6843" w:hanging="840"/>
      </w:pPr>
      <w:rPr>
        <w:rFonts w:hint="default"/>
        <w:lang w:val="zh-CN" w:eastAsia="zh-CN" w:bidi="zh-CN"/>
      </w:rPr>
    </w:lvl>
    <w:lvl w:ilvl="8" w:tentative="0">
      <w:start w:val="0"/>
      <w:numFmt w:val="bullet"/>
      <w:lvlText w:val="•"/>
      <w:lvlJc w:val="left"/>
      <w:pPr>
        <w:ind w:left="8064" w:hanging="840"/>
      </w:pPr>
      <w:rPr>
        <w:rFonts w:hint="default"/>
        <w:lang w:val="zh-CN" w:eastAsia="zh-CN" w:bidi="zh-CN"/>
      </w:rPr>
    </w:lvl>
  </w:abstractNum>
  <w:abstractNum w:abstractNumId="33">
    <w:nsid w:val="00000021"/>
    <w:multiLevelType w:val="multilevel"/>
    <w:tmpl w:val="00000021"/>
    <w:lvl w:ilvl="0" w:tentative="0">
      <w:start w:val="1"/>
      <w:numFmt w:val="decimal"/>
      <w:lvlText w:val="(%1)"/>
      <w:lvlJc w:val="left"/>
      <w:pPr>
        <w:ind w:left="1478" w:hanging="36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382" w:hanging="361"/>
      </w:pPr>
      <w:rPr>
        <w:rFonts w:hint="default"/>
        <w:lang w:val="zh-CN" w:eastAsia="zh-CN" w:bidi="zh-CN"/>
      </w:rPr>
    </w:lvl>
    <w:lvl w:ilvl="2" w:tentative="0">
      <w:start w:val="0"/>
      <w:numFmt w:val="bullet"/>
      <w:lvlText w:val="•"/>
      <w:lvlJc w:val="left"/>
      <w:pPr>
        <w:ind w:left="3285" w:hanging="361"/>
      </w:pPr>
      <w:rPr>
        <w:rFonts w:hint="default"/>
        <w:lang w:val="zh-CN" w:eastAsia="zh-CN" w:bidi="zh-CN"/>
      </w:rPr>
    </w:lvl>
    <w:lvl w:ilvl="3" w:tentative="0">
      <w:start w:val="0"/>
      <w:numFmt w:val="bullet"/>
      <w:lvlText w:val="•"/>
      <w:lvlJc w:val="left"/>
      <w:pPr>
        <w:ind w:left="4187" w:hanging="361"/>
      </w:pPr>
      <w:rPr>
        <w:rFonts w:hint="default"/>
        <w:lang w:val="zh-CN" w:eastAsia="zh-CN" w:bidi="zh-CN"/>
      </w:rPr>
    </w:lvl>
    <w:lvl w:ilvl="4" w:tentative="0">
      <w:start w:val="0"/>
      <w:numFmt w:val="bullet"/>
      <w:lvlText w:val="•"/>
      <w:lvlJc w:val="left"/>
      <w:pPr>
        <w:ind w:left="5090" w:hanging="361"/>
      </w:pPr>
      <w:rPr>
        <w:rFonts w:hint="default"/>
        <w:lang w:val="zh-CN" w:eastAsia="zh-CN" w:bidi="zh-CN"/>
      </w:rPr>
    </w:lvl>
    <w:lvl w:ilvl="5" w:tentative="0">
      <w:start w:val="0"/>
      <w:numFmt w:val="bullet"/>
      <w:lvlText w:val="•"/>
      <w:lvlJc w:val="left"/>
      <w:pPr>
        <w:ind w:left="5993" w:hanging="361"/>
      </w:pPr>
      <w:rPr>
        <w:rFonts w:hint="default"/>
        <w:lang w:val="zh-CN" w:eastAsia="zh-CN" w:bidi="zh-CN"/>
      </w:rPr>
    </w:lvl>
    <w:lvl w:ilvl="6" w:tentative="0">
      <w:start w:val="0"/>
      <w:numFmt w:val="bullet"/>
      <w:lvlText w:val="•"/>
      <w:lvlJc w:val="left"/>
      <w:pPr>
        <w:ind w:left="6895" w:hanging="361"/>
      </w:pPr>
      <w:rPr>
        <w:rFonts w:hint="default"/>
        <w:lang w:val="zh-CN" w:eastAsia="zh-CN" w:bidi="zh-CN"/>
      </w:rPr>
    </w:lvl>
    <w:lvl w:ilvl="7" w:tentative="0">
      <w:start w:val="0"/>
      <w:numFmt w:val="bullet"/>
      <w:lvlText w:val="•"/>
      <w:lvlJc w:val="left"/>
      <w:pPr>
        <w:ind w:left="7798" w:hanging="361"/>
      </w:pPr>
      <w:rPr>
        <w:rFonts w:hint="default"/>
        <w:lang w:val="zh-CN" w:eastAsia="zh-CN" w:bidi="zh-CN"/>
      </w:rPr>
    </w:lvl>
    <w:lvl w:ilvl="8" w:tentative="0">
      <w:start w:val="0"/>
      <w:numFmt w:val="bullet"/>
      <w:lvlText w:val="•"/>
      <w:lvlJc w:val="left"/>
      <w:pPr>
        <w:ind w:left="8700" w:hanging="361"/>
      </w:pPr>
      <w:rPr>
        <w:rFonts w:hint="default"/>
        <w:lang w:val="zh-CN" w:eastAsia="zh-CN" w:bidi="zh-CN"/>
      </w:rPr>
    </w:lvl>
  </w:abstractNum>
  <w:abstractNum w:abstractNumId="34">
    <w:nsid w:val="00000022"/>
    <w:multiLevelType w:val="singleLevel"/>
    <w:tmpl w:val="00000022"/>
    <w:lvl w:ilvl="0" w:tentative="0">
      <w:start w:val="3"/>
      <w:numFmt w:val="chineseCounting"/>
      <w:suff w:val="space"/>
      <w:lvlText w:val="第%1章"/>
      <w:lvlJc w:val="left"/>
      <w:rPr>
        <w:rFonts w:hint="eastAsia"/>
      </w:rPr>
    </w:lvl>
  </w:abstractNum>
  <w:abstractNum w:abstractNumId="35">
    <w:nsid w:val="00000023"/>
    <w:multiLevelType w:val="multilevel"/>
    <w:tmpl w:val="00000023"/>
    <w:lvl w:ilvl="0" w:tentative="0">
      <w:start w:val="2"/>
      <w:numFmt w:val="decimal"/>
      <w:lvlText w:val="%1."/>
      <w:lvlJc w:val="left"/>
      <w:pPr>
        <w:ind w:left="1481"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80"/>
        <w:jc w:val="left"/>
      </w:pPr>
      <w:rPr>
        <w:rFonts w:hint="default" w:ascii="宋体" w:hAnsi="宋体" w:eastAsia="宋体" w:cs="宋体"/>
        <w:spacing w:val="-22"/>
        <w:w w:val="100"/>
        <w:sz w:val="24"/>
        <w:szCs w:val="24"/>
        <w:lang w:val="zh-CN" w:eastAsia="zh-CN" w:bidi="zh-CN"/>
      </w:rPr>
    </w:lvl>
    <w:lvl w:ilvl="2" w:tentative="0">
      <w:start w:val="0"/>
      <w:numFmt w:val="bullet"/>
      <w:lvlText w:val="•"/>
      <w:lvlJc w:val="left"/>
      <w:pPr>
        <w:ind w:left="1600" w:hanging="480"/>
      </w:pPr>
      <w:rPr>
        <w:rFonts w:hint="default"/>
        <w:lang w:val="zh-CN" w:eastAsia="zh-CN" w:bidi="zh-CN"/>
      </w:rPr>
    </w:lvl>
    <w:lvl w:ilvl="3" w:tentative="0">
      <w:start w:val="0"/>
      <w:numFmt w:val="bullet"/>
      <w:lvlText w:val="•"/>
      <w:lvlJc w:val="left"/>
      <w:pPr>
        <w:ind w:left="2713" w:hanging="480"/>
      </w:pPr>
      <w:rPr>
        <w:rFonts w:hint="default"/>
        <w:lang w:val="zh-CN" w:eastAsia="zh-CN" w:bidi="zh-CN"/>
      </w:rPr>
    </w:lvl>
    <w:lvl w:ilvl="4" w:tentative="0">
      <w:start w:val="0"/>
      <w:numFmt w:val="bullet"/>
      <w:lvlText w:val="•"/>
      <w:lvlJc w:val="left"/>
      <w:pPr>
        <w:ind w:left="3826" w:hanging="480"/>
      </w:pPr>
      <w:rPr>
        <w:rFonts w:hint="default"/>
        <w:lang w:val="zh-CN" w:eastAsia="zh-CN" w:bidi="zh-CN"/>
      </w:rPr>
    </w:lvl>
    <w:lvl w:ilvl="5" w:tentative="0">
      <w:start w:val="0"/>
      <w:numFmt w:val="bullet"/>
      <w:lvlText w:val="•"/>
      <w:lvlJc w:val="left"/>
      <w:pPr>
        <w:ind w:left="4939" w:hanging="480"/>
      </w:pPr>
      <w:rPr>
        <w:rFonts w:hint="default"/>
        <w:lang w:val="zh-CN" w:eastAsia="zh-CN" w:bidi="zh-CN"/>
      </w:rPr>
    </w:lvl>
    <w:lvl w:ilvl="6" w:tentative="0">
      <w:start w:val="0"/>
      <w:numFmt w:val="bullet"/>
      <w:lvlText w:val="•"/>
      <w:lvlJc w:val="left"/>
      <w:pPr>
        <w:ind w:left="6053" w:hanging="480"/>
      </w:pPr>
      <w:rPr>
        <w:rFonts w:hint="default"/>
        <w:lang w:val="zh-CN" w:eastAsia="zh-CN" w:bidi="zh-CN"/>
      </w:rPr>
    </w:lvl>
    <w:lvl w:ilvl="7" w:tentative="0">
      <w:start w:val="0"/>
      <w:numFmt w:val="bullet"/>
      <w:lvlText w:val="•"/>
      <w:lvlJc w:val="left"/>
      <w:pPr>
        <w:ind w:left="7166" w:hanging="480"/>
      </w:pPr>
      <w:rPr>
        <w:rFonts w:hint="default"/>
        <w:lang w:val="zh-CN" w:eastAsia="zh-CN" w:bidi="zh-CN"/>
      </w:rPr>
    </w:lvl>
    <w:lvl w:ilvl="8" w:tentative="0">
      <w:start w:val="0"/>
      <w:numFmt w:val="bullet"/>
      <w:lvlText w:val="•"/>
      <w:lvlJc w:val="left"/>
      <w:pPr>
        <w:ind w:left="8279" w:hanging="480"/>
      </w:pPr>
      <w:rPr>
        <w:rFonts w:hint="default"/>
        <w:lang w:val="zh-CN" w:eastAsia="zh-CN" w:bidi="zh-CN"/>
      </w:rPr>
    </w:lvl>
  </w:abstractNum>
  <w:abstractNum w:abstractNumId="36">
    <w:nsid w:val="00000024"/>
    <w:multiLevelType w:val="multilevel"/>
    <w:tmpl w:val="00000024"/>
    <w:lvl w:ilvl="0" w:tentative="0">
      <w:start w:val="1"/>
      <w:numFmt w:val="decimal"/>
      <w:lvlText w:val="%1."/>
      <w:lvlJc w:val="left"/>
      <w:pPr>
        <w:ind w:left="1478"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73"/>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480" w:hanging="473"/>
      </w:pPr>
      <w:rPr>
        <w:rFonts w:hint="default"/>
        <w:lang w:val="zh-CN" w:eastAsia="zh-CN" w:bidi="zh-CN"/>
      </w:rPr>
    </w:lvl>
    <w:lvl w:ilvl="3" w:tentative="0">
      <w:start w:val="0"/>
      <w:numFmt w:val="bullet"/>
      <w:lvlText w:val="•"/>
      <w:lvlJc w:val="left"/>
      <w:pPr>
        <w:ind w:left="2608" w:hanging="473"/>
      </w:pPr>
      <w:rPr>
        <w:rFonts w:hint="default"/>
        <w:lang w:val="zh-CN" w:eastAsia="zh-CN" w:bidi="zh-CN"/>
      </w:rPr>
    </w:lvl>
    <w:lvl w:ilvl="4" w:tentative="0">
      <w:start w:val="0"/>
      <w:numFmt w:val="bullet"/>
      <w:lvlText w:val="•"/>
      <w:lvlJc w:val="left"/>
      <w:pPr>
        <w:ind w:left="3736" w:hanging="473"/>
      </w:pPr>
      <w:rPr>
        <w:rFonts w:hint="default"/>
        <w:lang w:val="zh-CN" w:eastAsia="zh-CN" w:bidi="zh-CN"/>
      </w:rPr>
    </w:lvl>
    <w:lvl w:ilvl="5" w:tentative="0">
      <w:start w:val="0"/>
      <w:numFmt w:val="bullet"/>
      <w:lvlText w:val="•"/>
      <w:lvlJc w:val="left"/>
      <w:pPr>
        <w:ind w:left="4864" w:hanging="473"/>
      </w:pPr>
      <w:rPr>
        <w:rFonts w:hint="default"/>
        <w:lang w:val="zh-CN" w:eastAsia="zh-CN" w:bidi="zh-CN"/>
      </w:rPr>
    </w:lvl>
    <w:lvl w:ilvl="6" w:tentative="0">
      <w:start w:val="0"/>
      <w:numFmt w:val="bullet"/>
      <w:lvlText w:val="•"/>
      <w:lvlJc w:val="left"/>
      <w:pPr>
        <w:ind w:left="5993" w:hanging="473"/>
      </w:pPr>
      <w:rPr>
        <w:rFonts w:hint="default"/>
        <w:lang w:val="zh-CN" w:eastAsia="zh-CN" w:bidi="zh-CN"/>
      </w:rPr>
    </w:lvl>
    <w:lvl w:ilvl="7" w:tentative="0">
      <w:start w:val="0"/>
      <w:numFmt w:val="bullet"/>
      <w:lvlText w:val="•"/>
      <w:lvlJc w:val="left"/>
      <w:pPr>
        <w:ind w:left="7121" w:hanging="473"/>
      </w:pPr>
      <w:rPr>
        <w:rFonts w:hint="default"/>
        <w:lang w:val="zh-CN" w:eastAsia="zh-CN" w:bidi="zh-CN"/>
      </w:rPr>
    </w:lvl>
    <w:lvl w:ilvl="8" w:tentative="0">
      <w:start w:val="0"/>
      <w:numFmt w:val="bullet"/>
      <w:lvlText w:val="•"/>
      <w:lvlJc w:val="left"/>
      <w:pPr>
        <w:ind w:left="8249" w:hanging="473"/>
      </w:pPr>
      <w:rPr>
        <w:rFonts w:hint="default"/>
        <w:lang w:val="zh-CN" w:eastAsia="zh-CN" w:bidi="zh-CN"/>
      </w:rPr>
    </w:lvl>
  </w:abstractNum>
  <w:abstractNum w:abstractNumId="37">
    <w:nsid w:val="00000025"/>
    <w:multiLevelType w:val="multilevel"/>
    <w:tmpl w:val="00000025"/>
    <w:lvl w:ilvl="0" w:tentative="0">
      <w:start w:val="1"/>
      <w:numFmt w:val="decimal"/>
      <w:lvlText w:val="%1."/>
      <w:lvlJc w:val="left"/>
      <w:pPr>
        <w:ind w:left="1478" w:hanging="361"/>
        <w:jc w:val="left"/>
      </w:pPr>
      <w:rPr>
        <w:rFonts w:hint="default" w:ascii="宋体" w:hAnsi="宋体" w:eastAsia="宋体" w:cs="宋体"/>
        <w:b/>
        <w:bCs/>
        <w:w w:val="99"/>
        <w:sz w:val="22"/>
        <w:szCs w:val="22"/>
        <w:lang w:val="zh-CN" w:eastAsia="zh-CN" w:bidi="zh-CN"/>
      </w:rPr>
    </w:lvl>
    <w:lvl w:ilvl="1" w:tentative="0">
      <w:start w:val="1"/>
      <w:numFmt w:val="decimal"/>
      <w:lvlText w:val="%1.%2"/>
      <w:lvlJc w:val="left"/>
      <w:pPr>
        <w:ind w:left="637" w:hanging="480"/>
        <w:jc w:val="left"/>
      </w:pPr>
      <w:rPr>
        <w:rFonts w:hint="default" w:ascii="宋体" w:hAnsi="宋体" w:eastAsia="宋体" w:cs="宋体"/>
        <w:spacing w:val="-22"/>
        <w:w w:val="100"/>
        <w:sz w:val="24"/>
        <w:szCs w:val="24"/>
        <w:lang w:val="zh-CN" w:eastAsia="zh-CN" w:bidi="zh-CN"/>
      </w:rPr>
    </w:lvl>
    <w:lvl w:ilvl="2" w:tentative="0">
      <w:start w:val="0"/>
      <w:numFmt w:val="bullet"/>
      <w:lvlText w:val="•"/>
      <w:lvlJc w:val="left"/>
      <w:pPr>
        <w:ind w:left="2482" w:hanging="480"/>
      </w:pPr>
      <w:rPr>
        <w:rFonts w:hint="default"/>
        <w:lang w:val="zh-CN" w:eastAsia="zh-CN" w:bidi="zh-CN"/>
      </w:rPr>
    </w:lvl>
    <w:lvl w:ilvl="3" w:tentative="0">
      <w:start w:val="0"/>
      <w:numFmt w:val="bullet"/>
      <w:lvlText w:val="•"/>
      <w:lvlJc w:val="left"/>
      <w:pPr>
        <w:ind w:left="3485" w:hanging="480"/>
      </w:pPr>
      <w:rPr>
        <w:rFonts w:hint="default"/>
        <w:lang w:val="zh-CN" w:eastAsia="zh-CN" w:bidi="zh-CN"/>
      </w:rPr>
    </w:lvl>
    <w:lvl w:ilvl="4" w:tentative="0">
      <w:start w:val="0"/>
      <w:numFmt w:val="bullet"/>
      <w:lvlText w:val="•"/>
      <w:lvlJc w:val="left"/>
      <w:pPr>
        <w:ind w:left="4488" w:hanging="480"/>
      </w:pPr>
      <w:rPr>
        <w:rFonts w:hint="default"/>
        <w:lang w:val="zh-CN" w:eastAsia="zh-CN" w:bidi="zh-CN"/>
      </w:rPr>
    </w:lvl>
    <w:lvl w:ilvl="5" w:tentative="0">
      <w:start w:val="0"/>
      <w:numFmt w:val="bullet"/>
      <w:lvlText w:val="•"/>
      <w:lvlJc w:val="left"/>
      <w:pPr>
        <w:ind w:left="5491" w:hanging="480"/>
      </w:pPr>
      <w:rPr>
        <w:rFonts w:hint="default"/>
        <w:lang w:val="zh-CN" w:eastAsia="zh-CN" w:bidi="zh-CN"/>
      </w:rPr>
    </w:lvl>
    <w:lvl w:ilvl="6" w:tentative="0">
      <w:start w:val="0"/>
      <w:numFmt w:val="bullet"/>
      <w:lvlText w:val="•"/>
      <w:lvlJc w:val="left"/>
      <w:pPr>
        <w:ind w:left="6494" w:hanging="480"/>
      </w:pPr>
      <w:rPr>
        <w:rFonts w:hint="default"/>
        <w:lang w:val="zh-CN" w:eastAsia="zh-CN" w:bidi="zh-CN"/>
      </w:rPr>
    </w:lvl>
    <w:lvl w:ilvl="7" w:tentative="0">
      <w:start w:val="0"/>
      <w:numFmt w:val="bullet"/>
      <w:lvlText w:val="•"/>
      <w:lvlJc w:val="left"/>
      <w:pPr>
        <w:ind w:left="7497" w:hanging="480"/>
      </w:pPr>
      <w:rPr>
        <w:rFonts w:hint="default"/>
        <w:lang w:val="zh-CN" w:eastAsia="zh-CN" w:bidi="zh-CN"/>
      </w:rPr>
    </w:lvl>
    <w:lvl w:ilvl="8" w:tentative="0">
      <w:start w:val="0"/>
      <w:numFmt w:val="bullet"/>
      <w:lvlText w:val="•"/>
      <w:lvlJc w:val="left"/>
      <w:pPr>
        <w:ind w:left="8500" w:hanging="480"/>
      </w:pPr>
      <w:rPr>
        <w:rFonts w:hint="default"/>
        <w:lang w:val="zh-CN" w:eastAsia="zh-CN" w:bidi="zh-CN"/>
      </w:rPr>
    </w:lvl>
  </w:abstractNum>
  <w:abstractNum w:abstractNumId="38">
    <w:nsid w:val="00000026"/>
    <w:multiLevelType w:val="multilevel"/>
    <w:tmpl w:val="00000026"/>
    <w:lvl w:ilvl="0" w:tentative="0">
      <w:start w:val="24"/>
      <w:numFmt w:val="decimal"/>
      <w:lvlText w:val="%1"/>
      <w:lvlJc w:val="left"/>
      <w:pPr>
        <w:ind w:left="1962" w:hanging="845"/>
        <w:jc w:val="left"/>
      </w:pPr>
      <w:rPr>
        <w:rFonts w:hint="default"/>
        <w:lang w:val="zh-CN" w:eastAsia="zh-CN" w:bidi="zh-CN"/>
      </w:rPr>
    </w:lvl>
    <w:lvl w:ilvl="1" w:tentative="0">
      <w:start w:val="5"/>
      <w:numFmt w:val="decimal"/>
      <w:lvlText w:val="%1.%2"/>
      <w:lvlJc w:val="left"/>
      <w:pPr>
        <w:ind w:left="1962" w:hanging="845"/>
        <w:jc w:val="left"/>
      </w:pPr>
      <w:rPr>
        <w:rFonts w:hint="default"/>
        <w:lang w:val="zh-CN" w:eastAsia="zh-CN" w:bidi="zh-CN"/>
      </w:rPr>
    </w:lvl>
    <w:lvl w:ilvl="2" w:tentative="0">
      <w:start w:val="8"/>
      <w:numFmt w:val="decimal"/>
      <w:lvlText w:val="%1.%2.%3"/>
      <w:lvlJc w:val="left"/>
      <w:pPr>
        <w:ind w:left="1962" w:hanging="845"/>
        <w:jc w:val="left"/>
      </w:pPr>
      <w:rPr>
        <w:rFonts w:hint="default" w:ascii="宋体" w:hAnsi="宋体" w:eastAsia="宋体" w:cs="宋体"/>
        <w:b/>
        <w:bCs/>
        <w:spacing w:val="0"/>
        <w:w w:val="99"/>
        <w:sz w:val="24"/>
        <w:szCs w:val="24"/>
        <w:lang w:val="zh-CN" w:eastAsia="zh-CN" w:bidi="zh-CN"/>
      </w:rPr>
    </w:lvl>
    <w:lvl w:ilvl="3" w:tentative="0">
      <w:start w:val="1"/>
      <w:numFmt w:val="decimal"/>
      <w:lvlText w:val="%1.%2.%3.%4"/>
      <w:lvlJc w:val="left"/>
      <w:pPr>
        <w:ind w:left="637" w:hanging="1025"/>
        <w:jc w:val="left"/>
      </w:pPr>
      <w:rPr>
        <w:rFonts w:hint="default"/>
        <w:w w:val="100"/>
        <w:lang w:val="zh-CN" w:eastAsia="zh-CN" w:bidi="zh-CN"/>
      </w:rPr>
    </w:lvl>
    <w:lvl w:ilvl="4" w:tentative="0">
      <w:start w:val="0"/>
      <w:numFmt w:val="bullet"/>
      <w:lvlText w:val="•"/>
      <w:lvlJc w:val="left"/>
      <w:pPr>
        <w:ind w:left="4808" w:hanging="1025"/>
      </w:pPr>
      <w:rPr>
        <w:rFonts w:hint="default"/>
        <w:lang w:val="zh-CN" w:eastAsia="zh-CN" w:bidi="zh-CN"/>
      </w:rPr>
    </w:lvl>
    <w:lvl w:ilvl="5" w:tentative="0">
      <w:start w:val="0"/>
      <w:numFmt w:val="bullet"/>
      <w:lvlText w:val="•"/>
      <w:lvlJc w:val="left"/>
      <w:pPr>
        <w:ind w:left="5758" w:hanging="1025"/>
      </w:pPr>
      <w:rPr>
        <w:rFonts w:hint="default"/>
        <w:lang w:val="zh-CN" w:eastAsia="zh-CN" w:bidi="zh-CN"/>
      </w:rPr>
    </w:lvl>
    <w:lvl w:ilvl="6" w:tentative="0">
      <w:start w:val="0"/>
      <w:numFmt w:val="bullet"/>
      <w:lvlText w:val="•"/>
      <w:lvlJc w:val="left"/>
      <w:pPr>
        <w:ind w:left="6707" w:hanging="1025"/>
      </w:pPr>
      <w:rPr>
        <w:rFonts w:hint="default"/>
        <w:lang w:val="zh-CN" w:eastAsia="zh-CN" w:bidi="zh-CN"/>
      </w:rPr>
    </w:lvl>
    <w:lvl w:ilvl="7" w:tentative="0">
      <w:start w:val="0"/>
      <w:numFmt w:val="bullet"/>
      <w:lvlText w:val="•"/>
      <w:lvlJc w:val="left"/>
      <w:pPr>
        <w:ind w:left="7657" w:hanging="1025"/>
      </w:pPr>
      <w:rPr>
        <w:rFonts w:hint="default"/>
        <w:lang w:val="zh-CN" w:eastAsia="zh-CN" w:bidi="zh-CN"/>
      </w:rPr>
    </w:lvl>
    <w:lvl w:ilvl="8" w:tentative="0">
      <w:start w:val="0"/>
      <w:numFmt w:val="bullet"/>
      <w:lvlText w:val="•"/>
      <w:lvlJc w:val="left"/>
      <w:pPr>
        <w:ind w:left="8606" w:hanging="1025"/>
      </w:pPr>
      <w:rPr>
        <w:rFonts w:hint="default"/>
        <w:lang w:val="zh-CN" w:eastAsia="zh-CN" w:bidi="zh-CN"/>
      </w:rPr>
    </w:lvl>
  </w:abstractNum>
  <w:abstractNum w:abstractNumId="39">
    <w:nsid w:val="00000027"/>
    <w:multiLevelType w:val="multilevel"/>
    <w:tmpl w:val="00000027"/>
    <w:lvl w:ilvl="0" w:tentative="0">
      <w:start w:val="1"/>
      <w:numFmt w:val="decimal"/>
      <w:lvlText w:val="(%1)"/>
      <w:lvlJc w:val="left"/>
      <w:pPr>
        <w:ind w:left="637" w:hanging="488"/>
        <w:jc w:val="left"/>
      </w:pPr>
      <w:rPr>
        <w:rFonts w:hint="default" w:ascii="宋体" w:hAnsi="宋体" w:eastAsia="宋体" w:cs="宋体"/>
        <w:w w:val="100"/>
        <w:sz w:val="24"/>
        <w:szCs w:val="24"/>
        <w:lang w:val="zh-CN" w:eastAsia="zh-CN" w:bidi="zh-CN"/>
      </w:rPr>
    </w:lvl>
    <w:lvl w:ilvl="1" w:tentative="0">
      <w:start w:val="0"/>
      <w:numFmt w:val="bullet"/>
      <w:lvlText w:val="•"/>
      <w:lvlJc w:val="left"/>
      <w:pPr>
        <w:ind w:left="1626" w:hanging="488"/>
      </w:pPr>
      <w:rPr>
        <w:rFonts w:hint="default"/>
        <w:lang w:val="zh-CN" w:eastAsia="zh-CN" w:bidi="zh-CN"/>
      </w:rPr>
    </w:lvl>
    <w:lvl w:ilvl="2" w:tentative="0">
      <w:start w:val="0"/>
      <w:numFmt w:val="bullet"/>
      <w:lvlText w:val="•"/>
      <w:lvlJc w:val="left"/>
      <w:pPr>
        <w:ind w:left="2613" w:hanging="488"/>
      </w:pPr>
      <w:rPr>
        <w:rFonts w:hint="default"/>
        <w:lang w:val="zh-CN" w:eastAsia="zh-CN" w:bidi="zh-CN"/>
      </w:rPr>
    </w:lvl>
    <w:lvl w:ilvl="3" w:tentative="0">
      <w:start w:val="0"/>
      <w:numFmt w:val="bullet"/>
      <w:lvlText w:val="•"/>
      <w:lvlJc w:val="left"/>
      <w:pPr>
        <w:ind w:left="3599" w:hanging="488"/>
      </w:pPr>
      <w:rPr>
        <w:rFonts w:hint="default"/>
        <w:lang w:val="zh-CN" w:eastAsia="zh-CN" w:bidi="zh-CN"/>
      </w:rPr>
    </w:lvl>
    <w:lvl w:ilvl="4" w:tentative="0">
      <w:start w:val="0"/>
      <w:numFmt w:val="bullet"/>
      <w:lvlText w:val="•"/>
      <w:lvlJc w:val="left"/>
      <w:pPr>
        <w:ind w:left="4586" w:hanging="488"/>
      </w:pPr>
      <w:rPr>
        <w:rFonts w:hint="default"/>
        <w:lang w:val="zh-CN" w:eastAsia="zh-CN" w:bidi="zh-CN"/>
      </w:rPr>
    </w:lvl>
    <w:lvl w:ilvl="5" w:tentative="0">
      <w:start w:val="0"/>
      <w:numFmt w:val="bullet"/>
      <w:lvlText w:val="•"/>
      <w:lvlJc w:val="left"/>
      <w:pPr>
        <w:ind w:left="5573" w:hanging="488"/>
      </w:pPr>
      <w:rPr>
        <w:rFonts w:hint="default"/>
        <w:lang w:val="zh-CN" w:eastAsia="zh-CN" w:bidi="zh-CN"/>
      </w:rPr>
    </w:lvl>
    <w:lvl w:ilvl="6" w:tentative="0">
      <w:start w:val="0"/>
      <w:numFmt w:val="bullet"/>
      <w:lvlText w:val="•"/>
      <w:lvlJc w:val="left"/>
      <w:pPr>
        <w:ind w:left="6559" w:hanging="488"/>
      </w:pPr>
      <w:rPr>
        <w:rFonts w:hint="default"/>
        <w:lang w:val="zh-CN" w:eastAsia="zh-CN" w:bidi="zh-CN"/>
      </w:rPr>
    </w:lvl>
    <w:lvl w:ilvl="7" w:tentative="0">
      <w:start w:val="0"/>
      <w:numFmt w:val="bullet"/>
      <w:lvlText w:val="•"/>
      <w:lvlJc w:val="left"/>
      <w:pPr>
        <w:ind w:left="7546" w:hanging="488"/>
      </w:pPr>
      <w:rPr>
        <w:rFonts w:hint="default"/>
        <w:lang w:val="zh-CN" w:eastAsia="zh-CN" w:bidi="zh-CN"/>
      </w:rPr>
    </w:lvl>
    <w:lvl w:ilvl="8" w:tentative="0">
      <w:start w:val="0"/>
      <w:numFmt w:val="bullet"/>
      <w:lvlText w:val="•"/>
      <w:lvlJc w:val="left"/>
      <w:pPr>
        <w:ind w:left="8532" w:hanging="488"/>
      </w:pPr>
      <w:rPr>
        <w:rFonts w:hint="default"/>
        <w:lang w:val="zh-CN" w:eastAsia="zh-CN" w:bidi="zh-CN"/>
      </w:rPr>
    </w:lvl>
  </w:abstractNum>
  <w:num w:numId="1">
    <w:abstractNumId w:val="10"/>
  </w:num>
  <w:num w:numId="2">
    <w:abstractNumId w:val="17"/>
  </w:num>
  <w:num w:numId="3">
    <w:abstractNumId w:val="29"/>
  </w:num>
  <w:num w:numId="4">
    <w:abstractNumId w:val="12"/>
  </w:num>
  <w:num w:numId="5">
    <w:abstractNumId w:val="7"/>
  </w:num>
  <w:num w:numId="6">
    <w:abstractNumId w:val="16"/>
  </w:num>
  <w:num w:numId="7">
    <w:abstractNumId w:val="35"/>
  </w:num>
  <w:num w:numId="8">
    <w:abstractNumId w:val="15"/>
  </w:num>
  <w:num w:numId="9">
    <w:abstractNumId w:val="4"/>
  </w:num>
  <w:num w:numId="10">
    <w:abstractNumId w:val="21"/>
  </w:num>
  <w:num w:numId="11">
    <w:abstractNumId w:val="30"/>
  </w:num>
  <w:num w:numId="12">
    <w:abstractNumId w:val="13"/>
  </w:num>
  <w:num w:numId="13">
    <w:abstractNumId w:val="26"/>
  </w:num>
  <w:num w:numId="14">
    <w:abstractNumId w:val="20"/>
  </w:num>
  <w:num w:numId="15">
    <w:abstractNumId w:val="34"/>
  </w:num>
  <w:num w:numId="16">
    <w:abstractNumId w:val="25"/>
  </w:num>
  <w:num w:numId="17">
    <w:abstractNumId w:val="32"/>
  </w:num>
  <w:num w:numId="18">
    <w:abstractNumId w:val="18"/>
  </w:num>
  <w:num w:numId="19">
    <w:abstractNumId w:val="24"/>
  </w:num>
  <w:num w:numId="20">
    <w:abstractNumId w:val="6"/>
  </w:num>
  <w:num w:numId="21">
    <w:abstractNumId w:val="38"/>
  </w:num>
  <w:num w:numId="22">
    <w:abstractNumId w:val="36"/>
  </w:num>
  <w:num w:numId="23">
    <w:abstractNumId w:val="11"/>
  </w:num>
  <w:num w:numId="24">
    <w:abstractNumId w:val="33"/>
  </w:num>
  <w:num w:numId="25">
    <w:abstractNumId w:val="5"/>
  </w:num>
  <w:num w:numId="26">
    <w:abstractNumId w:val="23"/>
  </w:num>
  <w:num w:numId="27">
    <w:abstractNumId w:val="2"/>
  </w:num>
  <w:num w:numId="28">
    <w:abstractNumId w:val="28"/>
  </w:num>
  <w:num w:numId="29">
    <w:abstractNumId w:val="39"/>
  </w:num>
  <w:num w:numId="30">
    <w:abstractNumId w:val="0"/>
  </w:num>
  <w:num w:numId="31">
    <w:abstractNumId w:val="19"/>
  </w:num>
  <w:num w:numId="32">
    <w:abstractNumId w:val="27"/>
  </w:num>
  <w:num w:numId="33">
    <w:abstractNumId w:val="14"/>
  </w:num>
  <w:num w:numId="34">
    <w:abstractNumId w:val="22"/>
  </w:num>
  <w:num w:numId="35">
    <w:abstractNumId w:val="37"/>
  </w:num>
  <w:num w:numId="36">
    <w:abstractNumId w:val="9"/>
  </w:num>
  <w:num w:numId="37">
    <w:abstractNumId w:val="3"/>
  </w:num>
  <w:num w:numId="38">
    <w:abstractNumId w:val="8"/>
  </w:num>
  <w:num w:numId="39">
    <w:abstractNumId w:val="31"/>
  </w:num>
  <w:num w:numId="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hMDc3M2ZlOTFlZDhlN2Y4ZjFkZWZkYmRjMjNhMDUifQ=="/>
  </w:docVars>
  <w:rsids>
    <w:rsidRoot w:val="00000000"/>
    <w:rsid w:val="00EE02F2"/>
    <w:rsid w:val="0201252C"/>
    <w:rsid w:val="02580FFA"/>
    <w:rsid w:val="02B20F94"/>
    <w:rsid w:val="04112E64"/>
    <w:rsid w:val="0726664B"/>
    <w:rsid w:val="078D1495"/>
    <w:rsid w:val="08D31906"/>
    <w:rsid w:val="093E6BA4"/>
    <w:rsid w:val="0BA329A9"/>
    <w:rsid w:val="0C895E65"/>
    <w:rsid w:val="0C98445F"/>
    <w:rsid w:val="0CDC32F4"/>
    <w:rsid w:val="0D83465C"/>
    <w:rsid w:val="0E4F333A"/>
    <w:rsid w:val="0ED82D11"/>
    <w:rsid w:val="0FE35145"/>
    <w:rsid w:val="1046700A"/>
    <w:rsid w:val="10C54C2A"/>
    <w:rsid w:val="11875983"/>
    <w:rsid w:val="13F07328"/>
    <w:rsid w:val="160550C9"/>
    <w:rsid w:val="165F6ECF"/>
    <w:rsid w:val="170D7D60"/>
    <w:rsid w:val="172B6710"/>
    <w:rsid w:val="17521752"/>
    <w:rsid w:val="19BA3865"/>
    <w:rsid w:val="19FC3DC7"/>
    <w:rsid w:val="1B2125BF"/>
    <w:rsid w:val="1BCC2910"/>
    <w:rsid w:val="1DE33F41"/>
    <w:rsid w:val="1E5732BE"/>
    <w:rsid w:val="214D36F4"/>
    <w:rsid w:val="246C5351"/>
    <w:rsid w:val="249B0B09"/>
    <w:rsid w:val="24AF1021"/>
    <w:rsid w:val="24C57A20"/>
    <w:rsid w:val="2572006F"/>
    <w:rsid w:val="25C64874"/>
    <w:rsid w:val="27C70CFD"/>
    <w:rsid w:val="2A4B5348"/>
    <w:rsid w:val="2D6329A9"/>
    <w:rsid w:val="2D855015"/>
    <w:rsid w:val="2D8868B3"/>
    <w:rsid w:val="31FF38E8"/>
    <w:rsid w:val="338F7493"/>
    <w:rsid w:val="3781684D"/>
    <w:rsid w:val="39D20249"/>
    <w:rsid w:val="3A736373"/>
    <w:rsid w:val="3BA12AAC"/>
    <w:rsid w:val="3D193084"/>
    <w:rsid w:val="3FC922DF"/>
    <w:rsid w:val="41050761"/>
    <w:rsid w:val="42401E18"/>
    <w:rsid w:val="430F24DA"/>
    <w:rsid w:val="43A40AF2"/>
    <w:rsid w:val="43A778BD"/>
    <w:rsid w:val="45805F1B"/>
    <w:rsid w:val="46B11CD5"/>
    <w:rsid w:val="46C0600C"/>
    <w:rsid w:val="47264B58"/>
    <w:rsid w:val="49100A1B"/>
    <w:rsid w:val="4EC23FF4"/>
    <w:rsid w:val="50085449"/>
    <w:rsid w:val="513E39D8"/>
    <w:rsid w:val="516A3A56"/>
    <w:rsid w:val="53486019"/>
    <w:rsid w:val="546000A4"/>
    <w:rsid w:val="55801A9A"/>
    <w:rsid w:val="577E200A"/>
    <w:rsid w:val="57AC6B77"/>
    <w:rsid w:val="58D53764"/>
    <w:rsid w:val="5E551D41"/>
    <w:rsid w:val="5EA93C63"/>
    <w:rsid w:val="606C6C81"/>
    <w:rsid w:val="617C185A"/>
    <w:rsid w:val="628A13AD"/>
    <w:rsid w:val="63E63410"/>
    <w:rsid w:val="641B5372"/>
    <w:rsid w:val="64921BDB"/>
    <w:rsid w:val="64E32012"/>
    <w:rsid w:val="6529191C"/>
    <w:rsid w:val="67B53825"/>
    <w:rsid w:val="6A170D89"/>
    <w:rsid w:val="6B80239C"/>
    <w:rsid w:val="6BB34520"/>
    <w:rsid w:val="6CC22E88"/>
    <w:rsid w:val="70505FF5"/>
    <w:rsid w:val="70ED33ED"/>
    <w:rsid w:val="72042F0F"/>
    <w:rsid w:val="73234C0D"/>
    <w:rsid w:val="740823BE"/>
    <w:rsid w:val="7447614D"/>
    <w:rsid w:val="7544268D"/>
    <w:rsid w:val="77660698"/>
    <w:rsid w:val="787705AD"/>
    <w:rsid w:val="7A0A0309"/>
    <w:rsid w:val="7DA80A96"/>
    <w:rsid w:val="7E0B3D48"/>
    <w:rsid w:val="7EE515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1"/>
    <w:next w:val="1"/>
    <w:qFormat/>
    <w:uiPriority w:val="1"/>
    <w:pPr>
      <w:spacing w:before="90"/>
      <w:ind w:right="608"/>
      <w:jc w:val="center"/>
      <w:outlineLvl w:val="1"/>
    </w:pPr>
    <w:rPr>
      <w:rFonts w:ascii="宋体" w:hAnsi="宋体" w:eastAsia="宋体" w:cs="宋体"/>
      <w:b/>
      <w:bCs/>
      <w:sz w:val="36"/>
      <w:szCs w:val="36"/>
      <w:lang w:val="zh-CN" w:eastAsia="zh-CN" w:bidi="zh-CN"/>
    </w:rPr>
  </w:style>
  <w:style w:type="paragraph" w:styleId="4">
    <w:name w:val="heading 2"/>
    <w:basedOn w:val="1"/>
    <w:next w:val="1"/>
    <w:qFormat/>
    <w:uiPriority w:val="1"/>
    <w:pPr>
      <w:ind w:right="610"/>
      <w:jc w:val="center"/>
      <w:outlineLvl w:val="2"/>
    </w:pPr>
    <w:rPr>
      <w:rFonts w:ascii="宋体" w:hAnsi="宋体" w:eastAsia="宋体" w:cs="宋体"/>
      <w:b/>
      <w:bCs/>
      <w:sz w:val="32"/>
      <w:szCs w:val="32"/>
      <w:lang w:val="zh-CN" w:eastAsia="zh-CN" w:bidi="zh-CN"/>
    </w:rPr>
  </w:style>
  <w:style w:type="paragraph" w:styleId="5">
    <w:name w:val="heading 3"/>
    <w:basedOn w:val="1"/>
    <w:next w:val="1"/>
    <w:qFormat/>
    <w:uiPriority w:val="1"/>
    <w:pPr>
      <w:spacing w:before="1"/>
      <w:ind w:left="637"/>
      <w:outlineLvl w:val="3"/>
    </w:pPr>
    <w:rPr>
      <w:rFonts w:ascii="宋体" w:hAnsi="宋体" w:eastAsia="宋体" w:cs="宋体"/>
      <w:b/>
      <w:bCs/>
      <w:sz w:val="24"/>
      <w:szCs w:val="24"/>
      <w:lang w:val="zh-CN" w:eastAsia="zh-CN" w:bidi="zh-CN"/>
    </w:rPr>
  </w:style>
  <w:style w:type="character" w:default="1" w:styleId="19">
    <w:name w:val="Default Paragraph Font"/>
    <w:qFormat/>
    <w:uiPriority w:val="1"/>
  </w:style>
  <w:style w:type="table" w:default="1" w:styleId="18">
    <w:name w:val="Normal Table"/>
    <w:qFormat/>
    <w:uiPriority w:val="0"/>
    <w:tblPr>
      <w:tblCellMar>
        <w:top w:w="0" w:type="dxa"/>
        <w:left w:w="108" w:type="dxa"/>
        <w:bottom w:w="0" w:type="dxa"/>
        <w:right w:w="108" w:type="dxa"/>
      </w:tblCellMar>
    </w:tblPr>
  </w:style>
  <w:style w:type="paragraph" w:styleId="2">
    <w:name w:val="List Paragraph"/>
    <w:basedOn w:val="1"/>
    <w:qFormat/>
    <w:uiPriority w:val="1"/>
    <w:pPr>
      <w:spacing w:before="1"/>
      <w:ind w:left="637" w:firstLine="480"/>
    </w:pPr>
    <w:rPr>
      <w:rFonts w:ascii="宋体" w:hAnsi="宋体" w:eastAsia="宋体" w:cs="宋体"/>
      <w:lang w:val="zh-CN" w:eastAsia="zh-CN" w:bidi="zh-CN"/>
    </w:rPr>
  </w:style>
  <w:style w:type="paragraph" w:styleId="6">
    <w:name w:val="table of authorities"/>
    <w:basedOn w:val="1"/>
    <w:next w:val="1"/>
    <w:qFormat/>
    <w:uiPriority w:val="99"/>
    <w:pPr>
      <w:ind w:left="200" w:leftChars="200"/>
    </w:pPr>
  </w:style>
  <w:style w:type="paragraph" w:styleId="7">
    <w:name w:val="Normal Indent"/>
    <w:basedOn w:val="1"/>
    <w:next w:val="1"/>
    <w:qFormat/>
    <w:uiPriority w:val="0"/>
    <w:pPr>
      <w:ind w:firstLine="420"/>
    </w:pPr>
  </w:style>
  <w:style w:type="paragraph" w:styleId="8">
    <w:name w:val="toa heading"/>
    <w:basedOn w:val="1"/>
    <w:next w:val="1"/>
    <w:qFormat/>
    <w:uiPriority w:val="0"/>
    <w:pPr>
      <w:spacing w:before="120"/>
    </w:pPr>
    <w:rPr>
      <w:rFonts w:ascii="Arial" w:hAnsi="Arial"/>
      <w:sz w:val="24"/>
      <w:szCs w:val="21"/>
    </w:rPr>
  </w:style>
  <w:style w:type="paragraph" w:styleId="9">
    <w:name w:val="annotation text"/>
    <w:basedOn w:val="1"/>
    <w:qFormat/>
    <w:uiPriority w:val="0"/>
    <w:pPr>
      <w:jc w:val="left"/>
    </w:pPr>
  </w:style>
  <w:style w:type="paragraph" w:styleId="10">
    <w:name w:val="Body Text"/>
    <w:basedOn w:val="1"/>
    <w:next w:val="11"/>
    <w:qFormat/>
    <w:uiPriority w:val="1"/>
    <w:pPr>
      <w:spacing w:before="1"/>
      <w:ind w:left="637"/>
    </w:pPr>
    <w:rPr>
      <w:rFonts w:ascii="宋体" w:hAnsi="宋体" w:eastAsia="宋体" w:cs="宋体"/>
      <w:sz w:val="24"/>
      <w:szCs w:val="24"/>
      <w:lang w:val="zh-CN" w:eastAsia="zh-CN" w:bidi="zh-CN"/>
    </w:rPr>
  </w:style>
  <w:style w:type="paragraph" w:styleId="11">
    <w:name w:val="Body Text 2"/>
    <w:basedOn w:val="1"/>
    <w:qFormat/>
    <w:uiPriority w:val="0"/>
    <w:pPr>
      <w:spacing w:after="120" w:line="480" w:lineRule="auto"/>
    </w:pPr>
    <w:rPr>
      <w:rFonts w:ascii="Calibri" w:hAnsi="Calibri"/>
      <w:szCs w:val="22"/>
    </w:rPr>
  </w:style>
  <w:style w:type="paragraph" w:styleId="12">
    <w:name w:val="Body Text Indent"/>
    <w:basedOn w:val="1"/>
    <w:qFormat/>
    <w:uiPriority w:val="0"/>
    <w:pPr>
      <w:spacing w:after="120"/>
      <w:ind w:left="420" w:leftChars="200"/>
    </w:pPr>
  </w:style>
  <w:style w:type="paragraph" w:styleId="13">
    <w:name w:val="List"/>
    <w:basedOn w:val="1"/>
    <w:next w:val="14"/>
    <w:qFormat/>
    <w:uiPriority w:val="0"/>
    <w:pPr>
      <w:widowControl w:val="0"/>
      <w:autoSpaceDE/>
      <w:autoSpaceDN/>
      <w:spacing w:before="0" w:after="0" w:line="240" w:lineRule="auto"/>
      <w:ind w:left="200" w:hanging="200"/>
      <w:jc w:val="both"/>
    </w:pPr>
    <w:rPr>
      <w:rFonts w:ascii="Times New Roman" w:eastAsia="宋体"/>
      <w:sz w:val="21"/>
    </w:rPr>
  </w:style>
  <w:style w:type="paragraph" w:customStyle="1" w:styleId="14">
    <w:name w:val="正文缩进4"/>
    <w:basedOn w:val="1"/>
    <w:next w:val="1"/>
    <w:qFormat/>
    <w:uiPriority w:val="0"/>
    <w:pPr>
      <w:widowControl w:val="0"/>
      <w:autoSpaceDE/>
      <w:autoSpaceDN/>
      <w:spacing w:before="0" w:after="0" w:line="240" w:lineRule="auto"/>
      <w:ind w:left="0" w:firstLine="420"/>
      <w:jc w:val="both"/>
    </w:pPr>
    <w:rPr>
      <w:rFonts w:ascii="Times New Roman" w:eastAsia="宋体"/>
      <w:sz w:val="21"/>
    </w:r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Body Text First Indent"/>
    <w:basedOn w:val="10"/>
    <w:next w:val="17"/>
    <w:qFormat/>
    <w:uiPriority w:val="99"/>
    <w:pPr>
      <w:tabs>
        <w:tab w:val="left" w:pos="567"/>
      </w:tabs>
      <w:spacing w:before="0" w:after="120" w:line="240" w:lineRule="auto"/>
      <w:ind w:firstLine="420" w:firstLineChars="100"/>
    </w:pPr>
  </w:style>
  <w:style w:type="paragraph" w:styleId="17">
    <w:name w:val="Body Text First Indent 2"/>
    <w:basedOn w:val="12"/>
    <w:qFormat/>
    <w:uiPriority w:val="0"/>
    <w:pPr>
      <w:widowControl w:val="0"/>
      <w:spacing w:before="0" w:beforeAutospacing="0" w:after="120" w:afterAutospacing="0"/>
      <w:ind w:left="200" w:leftChars="200" w:firstLine="200" w:firstLineChars="200"/>
      <w:jc w:val="both"/>
    </w:pPr>
    <w:rPr>
      <w:rFonts w:ascii="Times New Roman" w:hAnsi="Times New Roman" w:cs="Times New Roman"/>
      <w:kern w:val="2"/>
      <w:sz w:val="21"/>
      <w:lang w:bidi="ar-SA"/>
    </w:rPr>
  </w:style>
  <w:style w:type="character" w:styleId="20">
    <w:name w:val="Strong"/>
    <w:basedOn w:val="19"/>
    <w:qFormat/>
    <w:uiPriority w:val="0"/>
    <w:rPr>
      <w:b/>
      <w:bCs/>
    </w:rPr>
  </w:style>
  <w:style w:type="paragraph" w:customStyle="1" w:styleId="21">
    <w:name w:val="引用1"/>
    <w:next w:val="1"/>
    <w:qFormat/>
    <w:uiPriority w:val="0"/>
    <w:pPr>
      <w:wordWrap w:val="0"/>
      <w:spacing w:before="200" w:after="160"/>
      <w:ind w:left="864" w:right="864"/>
      <w:jc w:val="center"/>
    </w:pPr>
    <w:rPr>
      <w:rFonts w:ascii="Times New Roman" w:hAnsi="Times New Roman" w:eastAsia="宋体" w:cs="Times New Roman"/>
      <w:i/>
      <w:sz w:val="21"/>
      <w:szCs w:val="22"/>
      <w:lang w:val="en-US" w:eastAsia="zh-CN" w:bidi="ar-SA"/>
    </w:rPr>
  </w:style>
  <w:style w:type="paragraph" w:customStyle="1" w:styleId="2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table" w:customStyle="1" w:styleId="23">
    <w:name w:val="Table Normal"/>
    <w:qFormat/>
    <w:uiPriority w:val="2"/>
    <w:tblPr>
      <w:tblCellMar>
        <w:top w:w="0" w:type="dxa"/>
        <w:left w:w="0" w:type="dxa"/>
        <w:bottom w:w="0" w:type="dxa"/>
        <w:right w:w="0" w:type="dxa"/>
      </w:tblCellMar>
    </w:tblPr>
  </w:style>
  <w:style w:type="paragraph" w:customStyle="1" w:styleId="24">
    <w:name w:val="Table Paragraph"/>
    <w:basedOn w:val="1"/>
    <w:qFormat/>
    <w:uiPriority w:val="1"/>
    <w:rPr>
      <w:rFonts w:ascii="宋体" w:hAnsi="宋体" w:eastAsia="宋体" w:cs="宋体"/>
      <w:lang w:val="zh-CN" w:eastAsia="zh-CN" w:bidi="zh-CN"/>
    </w:rPr>
  </w:style>
  <w:style w:type="paragraph" w:customStyle="1" w:styleId="2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27">
    <w:name w:val="font21"/>
    <w:basedOn w:val="19"/>
    <w:qFormat/>
    <w:uiPriority w:val="0"/>
    <w:rPr>
      <w:rFonts w:hint="eastAsia" w:ascii="黑体" w:hAnsi="宋体" w:eastAsia="黑体" w:cs="黑体"/>
      <w:color w:val="000000"/>
      <w:sz w:val="16"/>
      <w:szCs w:val="16"/>
      <w:u w:val="none"/>
    </w:rPr>
  </w:style>
  <w:style w:type="character" w:customStyle="1" w:styleId="28">
    <w:name w:val="font41"/>
    <w:basedOn w:val="19"/>
    <w:qFormat/>
    <w:uiPriority w:val="0"/>
    <w:rPr>
      <w:rFonts w:ascii="宋体" w:hAnsi="宋体" w:eastAsia="宋体" w:cs="宋体"/>
      <w:color w:val="000000"/>
      <w:sz w:val="16"/>
      <w:szCs w:val="16"/>
      <w:u w:val="none"/>
    </w:rPr>
  </w:style>
  <w:style w:type="character" w:customStyle="1" w:styleId="29">
    <w:name w:val="font61"/>
    <w:basedOn w:val="19"/>
    <w:qFormat/>
    <w:uiPriority w:val="0"/>
    <w:rPr>
      <w:rFonts w:hint="eastAsia" w:ascii="黑体" w:hAnsi="宋体" w:eastAsia="黑体" w:cs="黑体"/>
      <w:color w:val="000000"/>
      <w:sz w:val="18"/>
      <w:szCs w:val="18"/>
      <w:u w:val="none"/>
    </w:rPr>
  </w:style>
  <w:style w:type="character" w:customStyle="1" w:styleId="30">
    <w:name w:val="font81"/>
    <w:basedOn w:val="19"/>
    <w:qFormat/>
    <w:uiPriority w:val="0"/>
    <w:rPr>
      <w:rFonts w:hint="eastAsia" w:ascii="黑体" w:hAnsi="宋体" w:eastAsia="黑体" w:cs="黑体"/>
      <w:color w:val="000000"/>
      <w:sz w:val="18"/>
      <w:szCs w:val="18"/>
      <w:u w:val="none"/>
    </w:rPr>
  </w:style>
  <w:style w:type="character" w:customStyle="1" w:styleId="31">
    <w:name w:val="font91"/>
    <w:basedOn w:val="19"/>
    <w:qFormat/>
    <w:uiPriority w:val="0"/>
    <w:rPr>
      <w:rFonts w:hint="eastAsia" w:ascii="黑体" w:hAnsi="宋体" w:eastAsia="黑体" w:cs="黑体"/>
      <w:color w:val="FF0000"/>
      <w:sz w:val="18"/>
      <w:szCs w:val="18"/>
      <w:u w:val="none"/>
    </w:rPr>
  </w:style>
  <w:style w:type="character" w:customStyle="1" w:styleId="32">
    <w:name w:val="font71"/>
    <w:basedOn w:val="19"/>
    <w:qFormat/>
    <w:uiPriority w:val="0"/>
    <w:rPr>
      <w:rFonts w:hint="eastAsia" w:ascii="宋体" w:hAnsi="宋体" w:eastAsia="宋体" w:cs="宋体"/>
      <w:color w:val="000000"/>
      <w:sz w:val="16"/>
      <w:szCs w:val="16"/>
      <w:u w:val="none"/>
    </w:rPr>
  </w:style>
  <w:style w:type="character" w:customStyle="1" w:styleId="33">
    <w:name w:val="font11"/>
    <w:basedOn w:val="19"/>
    <w:qFormat/>
    <w:uiPriority w:val="0"/>
    <w:rPr>
      <w:rFonts w:ascii="宋体" w:hAnsi="宋体" w:eastAsia="宋体" w:cs="宋体"/>
      <w:color w:val="000000"/>
      <w:sz w:val="16"/>
      <w:szCs w:val="16"/>
      <w:u w:val="none"/>
    </w:rPr>
  </w:style>
  <w:style w:type="character" w:customStyle="1" w:styleId="34">
    <w:name w:val="font112"/>
    <w:basedOn w:val="19"/>
    <w:qFormat/>
    <w:uiPriority w:val="0"/>
    <w:rPr>
      <w:rFonts w:ascii="宋体" w:hAnsi="宋体" w:eastAsia="宋体" w:cs="宋体"/>
      <w:color w:val="000000"/>
      <w:sz w:val="16"/>
      <w:szCs w:val="16"/>
      <w:u w:val="none"/>
    </w:rPr>
  </w:style>
  <w:style w:type="character" w:customStyle="1" w:styleId="35">
    <w:name w:val="font121"/>
    <w:basedOn w:val="19"/>
    <w:qFormat/>
    <w:uiPriority w:val="0"/>
    <w:rPr>
      <w:rFonts w:hint="eastAsia" w:ascii="宋体" w:hAnsi="宋体" w:eastAsia="宋体" w:cs="宋体"/>
      <w:color w:val="000000"/>
      <w:sz w:val="16"/>
      <w:szCs w:val="16"/>
      <w:u w:val="none"/>
    </w:rPr>
  </w:style>
  <w:style w:type="character" w:customStyle="1" w:styleId="36">
    <w:name w:val="font131"/>
    <w:basedOn w:val="19"/>
    <w:qFormat/>
    <w:uiPriority w:val="0"/>
    <w:rPr>
      <w:rFonts w:ascii="宋体" w:hAnsi="宋体" w:eastAsia="宋体" w:cs="宋体"/>
      <w:color w:val="FF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57153</Words>
  <Characters>61497</Characters>
  <Paragraphs>1734</Paragraphs>
  <TotalTime>26</TotalTime>
  <ScaleCrop>false</ScaleCrop>
  <LinksUpToDate>false</LinksUpToDate>
  <CharactersWithSpaces>63709</CharactersWithSpaces>
  <Application>WPS Office_11.1.0.11566_F1E327BC-269C-435d-A152-05C5408002CA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2020-03-30T08:27:00Z</dcterms:created>
  <dc:creator>微软用户</dc:creator>
  <cp:lastModifiedBy>1</cp:lastModifiedBy>
  <cp:lastPrinted>2020-11-30T01:22:00Z</cp:lastPrinted>
  <dcterms:modified xsi:type="dcterms:W3CDTF">2022-06-24T13:51:52Z</dcterms:modified>
  <dc:title>新疆巴音郭楞蒙古自治州</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2019-05-11T00:00:00Z</vt:filetime>
  </property>
  <property fmtid="{D5CDD505-2E9C-101B-9397-08002B2CF9AE}" pid="3" name="Creator">
    <vt:lpwstr>WPS 文字</vt:lpwstr>
  </property>
  <property fmtid="{D5CDD505-2E9C-101B-9397-08002B2CF9AE}" pid="4" name="LastSaved">
    <vt:filetime>2020-03-30T00:00:00Z</vt:filetime>
  </property>
  <property fmtid="{D5CDD505-2E9C-101B-9397-08002B2CF9AE}" pid="5" name="KSOProductBuildVer">
    <vt:lpwstr>2052-11.1.0.11566</vt:lpwstr>
  </property>
  <property fmtid="{D5CDD505-2E9C-101B-9397-08002B2CF9AE}" pid="6" name="ICV">
    <vt:lpwstr>C042B4AA5D1B41D485F1229B9A91CDFF</vt:lpwstr>
  </property>
</Properties>
</file>