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w:t>
      </w:r>
    </w:p>
    <w:p>
      <w:pPr>
        <w:pStyle w:val="29"/>
        <w:spacing w:line="360" w:lineRule="auto"/>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bCs/>
          <w:color w:val="auto"/>
          <w:sz w:val="48"/>
          <w:szCs w:val="48"/>
          <w:highlight w:val="none"/>
        </w:rPr>
      </w:pPr>
      <w:r>
        <w:rPr>
          <w:rFonts w:hint="eastAsia" w:ascii="宋体" w:hAnsi="宋体" w:eastAsia="仿宋"/>
          <w:b/>
          <w:color w:val="auto"/>
          <w:sz w:val="52"/>
          <w:szCs w:val="36"/>
          <w:highlight w:val="none"/>
        </w:rPr>
        <w:t>二十九团团域产业规划项目</w:t>
      </w:r>
      <w:r>
        <w:rPr>
          <w:rFonts w:hint="eastAsia" w:ascii="宋体" w:hAnsi="宋体" w:eastAsia="仿宋"/>
          <w:b/>
          <w:color w:val="auto"/>
          <w:sz w:val="52"/>
          <w:szCs w:val="36"/>
          <w:highlight w:val="none"/>
        </w:rPr>
        <w:tab/>
      </w:r>
    </w:p>
    <w:p>
      <w:pPr>
        <w:pStyle w:val="29"/>
        <w:spacing w:line="360" w:lineRule="auto"/>
        <w:jc w:val="center"/>
        <w:rPr>
          <w:rFonts w:ascii="仿宋" w:hAnsi="仿宋" w:eastAsia="仿宋" w:cs="仿宋"/>
          <w:b/>
          <w:bCs/>
          <w:color w:val="auto"/>
          <w:sz w:val="72"/>
          <w:szCs w:val="72"/>
          <w:highlight w:val="none"/>
        </w:rPr>
      </w:pPr>
    </w:p>
    <w:p>
      <w:pPr>
        <w:pStyle w:val="29"/>
        <w:spacing w:line="360" w:lineRule="auto"/>
        <w:jc w:val="center"/>
        <w:rPr>
          <w:rFonts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竞争性磋商文件</w:t>
      </w:r>
    </w:p>
    <w:p>
      <w:pPr>
        <w:pStyle w:val="29"/>
        <w:spacing w:line="360" w:lineRule="auto"/>
        <w:jc w:val="center"/>
        <w:rPr>
          <w:rFonts w:ascii="仿宋" w:hAnsi="仿宋" w:eastAsia="仿宋" w:cs="仿宋"/>
          <w:b/>
          <w:bCs/>
          <w:color w:val="auto"/>
          <w:sz w:val="44"/>
          <w:szCs w:val="44"/>
          <w:highlight w:val="none"/>
        </w:rPr>
      </w:pPr>
    </w:p>
    <w:p>
      <w:pPr>
        <w:pStyle w:val="29"/>
        <w:spacing w:line="360" w:lineRule="auto"/>
        <w:jc w:val="center"/>
        <w:rPr>
          <w:rFonts w:ascii="仿宋" w:hAnsi="仿宋" w:eastAsia="仿宋" w:cs="仿宋"/>
          <w:b/>
          <w:bCs/>
          <w:color w:val="auto"/>
          <w:sz w:val="28"/>
          <w:szCs w:val="28"/>
          <w:highlight w:val="none"/>
        </w:rPr>
      </w:pPr>
    </w:p>
    <w:p>
      <w:pPr>
        <w:pStyle w:val="29"/>
        <w:spacing w:line="360" w:lineRule="auto"/>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项目编号： </w:t>
      </w:r>
      <w:r>
        <w:rPr>
          <w:rFonts w:hint="eastAsia" w:ascii="仿宋" w:hAnsi="仿宋" w:eastAsia="仿宋" w:cs="仿宋"/>
          <w:b/>
          <w:bCs/>
          <w:color w:val="auto"/>
          <w:sz w:val="28"/>
          <w:szCs w:val="28"/>
          <w:highlight w:val="none"/>
        </w:rPr>
        <w:fldChar w:fldCharType="begin"/>
      </w:r>
      <w:r>
        <w:rPr>
          <w:rFonts w:hint="eastAsia" w:ascii="仿宋" w:hAnsi="仿宋" w:eastAsia="仿宋" w:cs="仿宋"/>
          <w:b/>
          <w:bCs/>
          <w:color w:val="auto"/>
          <w:sz w:val="28"/>
          <w:szCs w:val="28"/>
          <w:highlight w:val="none"/>
        </w:rPr>
        <w:instrText xml:space="preserve"> HYPERLINK "https://pay.zcygov.cn/purchaseplan_front/" \l "/plan/list/detail?id=1000000000009301619&amp;encrypt=0ad2c2ec8f94c4609f8a1ed40a2af150" \t "https://www.zcygov.cn/bid-inviting/purchaseFileMake/basisInfo/_blank" </w:instrText>
      </w:r>
      <w:r>
        <w:rPr>
          <w:rFonts w:hint="eastAsia" w:ascii="仿宋" w:hAnsi="仿宋" w:eastAsia="仿宋" w:cs="仿宋"/>
          <w:b/>
          <w:bCs/>
          <w:color w:val="auto"/>
          <w:sz w:val="28"/>
          <w:szCs w:val="28"/>
          <w:highlight w:val="none"/>
        </w:rPr>
        <w:fldChar w:fldCharType="separate"/>
      </w:r>
      <w:r>
        <w:rPr>
          <w:rFonts w:hint="eastAsia" w:ascii="仿宋" w:hAnsi="仿宋" w:eastAsia="仿宋" w:cs="仿宋"/>
          <w:b/>
          <w:bCs/>
          <w:color w:val="auto"/>
          <w:sz w:val="28"/>
          <w:szCs w:val="28"/>
          <w:highlight w:val="none"/>
        </w:rPr>
        <w:t>B2S29T[2022]87号</w:t>
      </w:r>
      <w:r>
        <w:rPr>
          <w:rFonts w:hint="eastAsia" w:ascii="仿宋" w:hAnsi="仿宋" w:eastAsia="仿宋" w:cs="仿宋"/>
          <w:b/>
          <w:bCs/>
          <w:color w:val="auto"/>
          <w:sz w:val="28"/>
          <w:szCs w:val="28"/>
          <w:highlight w:val="none"/>
        </w:rPr>
        <w:fldChar w:fldCharType="end"/>
      </w:r>
      <w:r>
        <w:rPr>
          <w:rFonts w:hint="eastAsia" w:ascii="仿宋" w:hAnsi="仿宋" w:eastAsia="仿宋" w:cs="仿宋"/>
          <w:b/>
          <w:bCs/>
          <w:color w:val="auto"/>
          <w:sz w:val="28"/>
          <w:szCs w:val="28"/>
          <w:highlight w:val="none"/>
        </w:rPr>
        <w:t xml:space="preserve"> </w:t>
      </w:r>
      <w:r>
        <w:rPr>
          <w:rFonts w:ascii="仿宋" w:hAnsi="仿宋" w:eastAsia="仿宋" w:cs="仿宋"/>
          <w:b/>
          <w:bCs/>
          <w:color w:val="auto"/>
          <w:sz w:val="28"/>
          <w:szCs w:val="28"/>
          <w:highlight w:val="none"/>
        </w:rPr>
        <w:t xml:space="preserve"> </w:t>
      </w:r>
    </w:p>
    <w:p>
      <w:pPr>
        <w:pStyle w:val="29"/>
        <w:spacing w:line="360" w:lineRule="auto"/>
        <w:jc w:val="center"/>
        <w:rPr>
          <w:rFonts w:ascii="仿宋" w:hAnsi="仿宋" w:eastAsia="仿宋" w:cs="仿宋"/>
          <w:b/>
          <w:bCs/>
          <w:color w:val="auto"/>
          <w:sz w:val="28"/>
          <w:szCs w:val="28"/>
          <w:highlight w:val="none"/>
        </w:rPr>
      </w:pPr>
    </w:p>
    <w:p>
      <w:pPr>
        <w:spacing w:line="360" w:lineRule="auto"/>
        <w:rPr>
          <w:rFonts w:ascii="仿宋" w:hAnsi="仿宋" w:eastAsia="仿宋" w:cs="仿宋"/>
          <w:b/>
          <w:sz w:val="28"/>
          <w:szCs w:val="28"/>
          <w:highlight w:val="none"/>
          <w:u w:val="single"/>
        </w:rPr>
      </w:pPr>
    </w:p>
    <w:p>
      <w:pPr>
        <w:pStyle w:val="8"/>
        <w:spacing w:line="360" w:lineRule="auto"/>
        <w:rPr>
          <w:rFonts w:ascii="仿宋" w:hAnsi="仿宋" w:eastAsia="仿宋" w:cs="仿宋"/>
          <w:b/>
          <w:sz w:val="28"/>
          <w:szCs w:val="28"/>
          <w:highlight w:val="none"/>
          <w:u w:val="single"/>
        </w:rPr>
      </w:pPr>
    </w:p>
    <w:p>
      <w:pPr>
        <w:pStyle w:val="8"/>
        <w:spacing w:line="360" w:lineRule="auto"/>
        <w:rPr>
          <w:rFonts w:ascii="仿宋" w:hAnsi="仿宋" w:eastAsia="仿宋" w:cs="仿宋"/>
          <w:b/>
          <w:sz w:val="28"/>
          <w:szCs w:val="28"/>
          <w:highlight w:val="none"/>
          <w:u w:val="single"/>
        </w:rPr>
      </w:pPr>
    </w:p>
    <w:p>
      <w:pPr>
        <w:pStyle w:val="8"/>
        <w:spacing w:line="360" w:lineRule="auto"/>
        <w:ind w:left="1405" w:hanging="1405" w:hangingChars="500"/>
        <w:rPr>
          <w:rFonts w:ascii="仿宋" w:hAnsi="仿宋" w:eastAsia="仿宋" w:cs="仿宋"/>
          <w:b/>
          <w:sz w:val="28"/>
          <w:szCs w:val="28"/>
          <w:highlight w:val="none"/>
        </w:rPr>
      </w:pPr>
      <w:r>
        <w:rPr>
          <w:rFonts w:hint="eastAsia" w:ascii="仿宋" w:hAnsi="仿宋" w:eastAsia="仿宋" w:cs="仿宋"/>
          <w:b/>
          <w:sz w:val="28"/>
          <w:szCs w:val="28"/>
          <w:highlight w:val="none"/>
        </w:rPr>
        <w:t xml:space="preserve">采购单位：  新疆生产建设兵团第二师二十九团党政办公室   </w:t>
      </w:r>
    </w:p>
    <w:p>
      <w:pPr>
        <w:pStyle w:val="8"/>
        <w:spacing w:line="360" w:lineRule="auto"/>
        <w:rPr>
          <w:rFonts w:ascii="仿宋" w:hAnsi="仿宋" w:eastAsia="仿宋" w:cs="仿宋"/>
          <w:b/>
          <w:sz w:val="28"/>
          <w:szCs w:val="28"/>
          <w:highlight w:val="none"/>
        </w:rPr>
      </w:pPr>
    </w:p>
    <w:p>
      <w:pPr>
        <w:pStyle w:val="8"/>
        <w:spacing w:line="360" w:lineRule="auto"/>
        <w:rPr>
          <w:rFonts w:ascii="仿宋" w:hAnsi="仿宋" w:eastAsia="仿宋" w:cs="仿宋"/>
          <w:b/>
          <w:sz w:val="28"/>
          <w:szCs w:val="28"/>
          <w:highlight w:val="none"/>
        </w:rPr>
      </w:pPr>
      <w:r>
        <w:rPr>
          <w:rFonts w:hint="eastAsia" w:ascii="仿宋" w:hAnsi="仿宋" w:eastAsia="仿宋" w:cs="仿宋"/>
          <w:b/>
          <w:sz w:val="28"/>
          <w:szCs w:val="28"/>
          <w:highlight w:val="none"/>
        </w:rPr>
        <w:t xml:space="preserve">采购代理机构： </w:t>
      </w:r>
      <w:r>
        <w:rPr>
          <w:highlight w:val="none"/>
        </w:rPr>
        <w:fldChar w:fldCharType="begin"/>
      </w:r>
      <w:r>
        <w:rPr>
          <w:highlight w:val="none"/>
        </w:rP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rPr>
          <w:highlight w:val="none"/>
        </w:rPr>
        <w:fldChar w:fldCharType="separate"/>
      </w:r>
      <w:r>
        <w:rPr>
          <w:rFonts w:hint="eastAsia" w:ascii="仿宋" w:hAnsi="仿宋" w:eastAsia="仿宋" w:cs="仿宋"/>
          <w:b/>
          <w:sz w:val="28"/>
          <w:szCs w:val="28"/>
          <w:highlight w:val="none"/>
        </w:rPr>
        <w:t>新疆鑫创新项目管理有限公司</w:t>
      </w:r>
      <w:r>
        <w:rPr>
          <w:rFonts w:hint="eastAsia" w:ascii="仿宋" w:hAnsi="仿宋" w:eastAsia="仿宋" w:cs="仿宋"/>
          <w:b/>
          <w:sz w:val="28"/>
          <w:szCs w:val="28"/>
          <w:highlight w:val="none"/>
        </w:rPr>
        <w:fldChar w:fldCharType="end"/>
      </w:r>
    </w:p>
    <w:p>
      <w:pPr>
        <w:pStyle w:val="8"/>
        <w:spacing w:line="360" w:lineRule="auto"/>
        <w:rPr>
          <w:rFonts w:ascii="仿宋" w:hAnsi="仿宋" w:eastAsia="仿宋" w:cs="仿宋"/>
          <w:b/>
          <w:sz w:val="28"/>
          <w:szCs w:val="28"/>
          <w:highlight w:val="none"/>
        </w:rPr>
      </w:pPr>
    </w:p>
    <w:p>
      <w:pPr>
        <w:pStyle w:val="8"/>
        <w:spacing w:line="360" w:lineRule="auto"/>
        <w:rPr>
          <w:rFonts w:ascii="仿宋" w:hAnsi="仿宋" w:eastAsia="仿宋" w:cs="仿宋"/>
          <w:b/>
          <w:sz w:val="28"/>
          <w:szCs w:val="28"/>
          <w:highlight w:val="none"/>
        </w:rPr>
      </w:pPr>
    </w:p>
    <w:p>
      <w:pPr>
        <w:pStyle w:val="29"/>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日期： 二○二二年</w:t>
      </w:r>
      <w:r>
        <w:rPr>
          <w:rFonts w:hint="eastAsia" w:ascii="仿宋" w:hAnsi="仿宋" w:eastAsia="仿宋" w:cs="仿宋"/>
          <w:b/>
          <w:color w:val="auto"/>
          <w:sz w:val="28"/>
          <w:szCs w:val="28"/>
          <w:highlight w:val="none"/>
          <w:lang w:eastAsia="zh-CN"/>
        </w:rPr>
        <w:t>十一</w:t>
      </w:r>
      <w:r>
        <w:rPr>
          <w:rFonts w:hint="eastAsia" w:ascii="仿宋" w:hAnsi="仿宋" w:eastAsia="仿宋" w:cs="仿宋"/>
          <w:b/>
          <w:color w:val="auto"/>
          <w:sz w:val="28"/>
          <w:szCs w:val="28"/>
          <w:highlight w:val="none"/>
        </w:rPr>
        <w:t>月</w:t>
      </w: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sectPr>
          <w:headerReference r:id="rId5" w:type="first"/>
          <w:headerReference r:id="rId3" w:type="default"/>
          <w:footerReference r:id="rId6" w:type="default"/>
          <w:headerReference r:id="rId4" w:type="even"/>
          <w:footerReference r:id="rId7" w:type="even"/>
          <w:pgSz w:w="11906" w:h="16838"/>
          <w:pgMar w:top="1418" w:right="1134" w:bottom="1418" w:left="1418" w:header="851" w:footer="851" w:gutter="0"/>
          <w:pgNumType w:fmt="numberInDash"/>
          <w:cols w:space="720" w:num="1"/>
          <w:titlePg/>
          <w:docGrid w:type="lines" w:linePitch="312" w:charSpace="0"/>
        </w:sectPr>
      </w:pPr>
    </w:p>
    <w:p>
      <w:pPr>
        <w:pStyle w:val="11"/>
        <w:adjustRightInd w:val="0"/>
        <w:snapToGrid w:val="0"/>
        <w:spacing w:line="360" w:lineRule="auto"/>
        <w:jc w:val="center"/>
        <w:rPr>
          <w:rFonts w:cs="宋体"/>
          <w:b/>
          <w:spacing w:val="160"/>
          <w:sz w:val="32"/>
          <w:szCs w:val="32"/>
          <w:highlight w:val="none"/>
        </w:rPr>
      </w:pPr>
      <w:r>
        <w:rPr>
          <w:rFonts w:hint="eastAsia" w:cs="宋体"/>
          <w:b/>
          <w:spacing w:val="160"/>
          <w:sz w:val="32"/>
          <w:szCs w:val="32"/>
          <w:highlight w:val="none"/>
        </w:rPr>
        <w:t>目录</w:t>
      </w:r>
    </w:p>
    <w:p>
      <w:pPr>
        <w:autoSpaceDE w:val="0"/>
        <w:autoSpaceDN w:val="0"/>
        <w:adjustRightInd w:val="0"/>
        <w:snapToGrid w:val="0"/>
        <w:spacing w:line="360" w:lineRule="auto"/>
        <w:rPr>
          <w:rFonts w:ascii="宋体" w:hAnsi="宋体" w:cs="宋体"/>
          <w:szCs w:val="21"/>
          <w:highlight w:val="none"/>
        </w:rPr>
      </w:pP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"_Toc256000000" </w:instrText>
      </w:r>
      <w:r>
        <w:rPr>
          <w:highlight w:val="none"/>
        </w:rPr>
        <w:fldChar w:fldCharType="separate"/>
      </w:r>
      <w:r>
        <w:rPr>
          <w:rStyle w:val="26"/>
          <w:rFonts w:hint="eastAsia"/>
          <w:color w:val="auto"/>
          <w:highlight w:val="none"/>
          <w:u w:val="none"/>
        </w:rPr>
        <w:t>第一章 竞争性磋商公告</w:t>
      </w:r>
      <w:r>
        <w:rPr>
          <w:rStyle w:val="26"/>
          <w:color w:val="auto"/>
          <w:highlight w:val="none"/>
          <w:u w:val="none"/>
        </w:rPr>
        <w:tab/>
      </w:r>
      <w:r>
        <w:rPr>
          <w:rStyle w:val="26"/>
          <w:color w:val="auto"/>
          <w:highlight w:val="none"/>
          <w:u w:val="none"/>
        </w:rPr>
        <w:fldChar w:fldCharType="end"/>
      </w: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"_Toc256000001" </w:instrText>
      </w:r>
      <w:r>
        <w:rPr>
          <w:highlight w:val="none"/>
        </w:rPr>
        <w:fldChar w:fldCharType="separate"/>
      </w:r>
      <w:r>
        <w:rPr>
          <w:rStyle w:val="26"/>
          <w:rFonts w:hint="eastAsia"/>
          <w:color w:val="auto"/>
          <w:highlight w:val="none"/>
          <w:u w:val="none"/>
        </w:rPr>
        <w:t>第二章 供应商须知</w:t>
      </w:r>
      <w:r>
        <w:rPr>
          <w:rStyle w:val="26"/>
          <w:color w:val="auto"/>
          <w:highlight w:val="none"/>
          <w:u w:val="none"/>
        </w:rPr>
        <w:tab/>
      </w:r>
      <w:r>
        <w:rPr>
          <w:rStyle w:val="26"/>
          <w:color w:val="auto"/>
          <w:highlight w:val="none"/>
          <w:u w:val="none"/>
        </w:rPr>
        <w:fldChar w:fldCharType="end"/>
      </w: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"_Toc256000013" </w:instrText>
      </w:r>
      <w:r>
        <w:rPr>
          <w:highlight w:val="none"/>
        </w:rPr>
        <w:fldChar w:fldCharType="separate"/>
      </w:r>
      <w:r>
        <w:rPr>
          <w:rStyle w:val="26"/>
          <w:rFonts w:hint="eastAsia"/>
          <w:color w:val="auto"/>
          <w:highlight w:val="none"/>
          <w:u w:val="none"/>
        </w:rPr>
        <w:t>第三章 采购需求</w:t>
      </w:r>
      <w:r>
        <w:rPr>
          <w:rStyle w:val="26"/>
          <w:color w:val="auto"/>
          <w:highlight w:val="none"/>
          <w:u w:val="none"/>
        </w:rPr>
        <w:tab/>
      </w:r>
      <w:r>
        <w:rPr>
          <w:highlight w:val="none"/>
        </w:rPr>
        <w:fldChar w:fldCharType="begin"/>
      </w:r>
      <w:r>
        <w:rPr>
          <w:rStyle w:val="26"/>
          <w:color w:val="auto"/>
          <w:highlight w:val="none"/>
          <w:u w:val="none"/>
        </w:rPr>
        <w:instrText xml:space="preserve"> PAGEREF _Toc256000013 \h </w:instrText>
      </w:r>
      <w:r>
        <w:rPr>
          <w:highlight w:val="none"/>
        </w:rPr>
        <w:fldChar w:fldCharType="end"/>
      </w:r>
      <w:r>
        <w:rPr>
          <w:highlight w:val="none"/>
        </w:rPr>
        <w:fldChar w:fldCharType="end"/>
      </w: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"_Toc256000019" </w:instrText>
      </w:r>
      <w:r>
        <w:rPr>
          <w:highlight w:val="none"/>
        </w:rPr>
        <w:fldChar w:fldCharType="separate"/>
      </w:r>
      <w:r>
        <w:rPr>
          <w:rStyle w:val="26"/>
          <w:rFonts w:hint="eastAsia"/>
          <w:color w:val="auto"/>
          <w:highlight w:val="none"/>
          <w:u w:val="none"/>
        </w:rPr>
        <w:t>第四章 评审方法</w:t>
      </w:r>
      <w:r>
        <w:rPr>
          <w:rStyle w:val="26"/>
          <w:color w:val="auto"/>
          <w:highlight w:val="none"/>
          <w:u w:val="none"/>
        </w:rPr>
        <w:tab/>
      </w:r>
      <w:r>
        <w:rPr>
          <w:highlight w:val="none"/>
        </w:rPr>
        <w:fldChar w:fldCharType="begin"/>
      </w:r>
      <w:r>
        <w:rPr>
          <w:rStyle w:val="26"/>
          <w:color w:val="auto"/>
          <w:highlight w:val="none"/>
          <w:u w:val="none"/>
        </w:rPr>
        <w:instrText xml:space="preserve"> PAGEREF _Toc256000019 \h </w:instrText>
      </w:r>
      <w:r>
        <w:rPr>
          <w:highlight w:val="none"/>
        </w:rPr>
        <w:fldChar w:fldCharType="end"/>
      </w:r>
      <w:r>
        <w:rPr>
          <w:highlight w:val="none"/>
        </w:rPr>
        <w:fldChar w:fldCharType="end"/>
      </w: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"_Toc256000020" </w:instrText>
      </w:r>
      <w:r>
        <w:rPr>
          <w:highlight w:val="none"/>
        </w:rPr>
        <w:fldChar w:fldCharType="separate"/>
      </w:r>
      <w:r>
        <w:rPr>
          <w:rStyle w:val="26"/>
          <w:rFonts w:hint="eastAsia"/>
          <w:color w:val="auto"/>
          <w:highlight w:val="none"/>
          <w:u w:val="none"/>
        </w:rPr>
        <w:t>第五章 合同格式及合同条款</w:t>
      </w:r>
      <w:r>
        <w:rPr>
          <w:rStyle w:val="26"/>
          <w:color w:val="auto"/>
          <w:highlight w:val="none"/>
          <w:u w:val="none"/>
        </w:rPr>
        <w:tab/>
      </w:r>
      <w:r>
        <w:rPr>
          <w:highlight w:val="none"/>
        </w:rPr>
        <w:fldChar w:fldCharType="begin"/>
      </w:r>
      <w:r>
        <w:rPr>
          <w:rStyle w:val="26"/>
          <w:color w:val="auto"/>
          <w:highlight w:val="none"/>
          <w:u w:val="none"/>
        </w:rPr>
        <w:instrText xml:space="preserve"> PAGEREF _Toc256000020 \h </w:instrText>
      </w:r>
      <w:r>
        <w:rPr>
          <w:highlight w:val="none"/>
        </w:rPr>
        <w:fldChar w:fldCharType="separate"/>
      </w:r>
      <w:r>
        <w:rPr>
          <w:rStyle w:val="26"/>
          <w:rFonts w:hint="eastAsia"/>
          <w:color w:val="auto"/>
          <w:highlight w:val="none"/>
          <w:u w:val="none"/>
        </w:rPr>
        <w:t xml:space="preserve">  </w:t>
      </w:r>
      <w:r>
        <w:rPr>
          <w:highlight w:val="none"/>
        </w:rPr>
        <w:fldChar w:fldCharType="end"/>
      </w:r>
      <w:r>
        <w:rPr>
          <w:highlight w:val="none"/>
        </w:rPr>
        <w:fldChar w:fldCharType="end"/>
      </w:r>
    </w:p>
    <w:p>
      <w:pPr>
        <w:pStyle w:val="15"/>
        <w:tabs>
          <w:tab w:val="right" w:leader="dot" w:pos="8222"/>
        </w:tabs>
        <w:spacing w:before="156"/>
        <w:jc w:val="left"/>
        <w:rPr>
          <w:sz w:val="22"/>
          <w:highlight w:val="none"/>
        </w:rPr>
      </w:pPr>
      <w:r>
        <w:rPr>
          <w:highlight w:val="none"/>
        </w:rPr>
        <w:fldChar w:fldCharType="begin"/>
      </w:r>
      <w:r>
        <w:rPr>
          <w:highlight w:val="none"/>
        </w:rPr>
        <w:instrText xml:space="preserve"> HYPERLINK \l "_Toc256000021" </w:instrText>
      </w:r>
      <w:r>
        <w:rPr>
          <w:highlight w:val="none"/>
        </w:rPr>
        <w:fldChar w:fldCharType="separate"/>
      </w:r>
      <w:r>
        <w:rPr>
          <w:rStyle w:val="26"/>
          <w:rFonts w:hint="eastAsia"/>
          <w:color w:val="auto"/>
          <w:highlight w:val="none"/>
          <w:u w:val="none"/>
        </w:rPr>
        <w:t>第六章 竞争性磋商响应文件格式</w:t>
      </w:r>
      <w:r>
        <w:rPr>
          <w:rStyle w:val="26"/>
          <w:color w:val="auto"/>
          <w:highlight w:val="none"/>
          <w:u w:val="none"/>
        </w:rPr>
        <w:tab/>
      </w:r>
      <w:r>
        <w:rPr>
          <w:rFonts w:hint="eastAsia"/>
          <w:highlight w:val="none"/>
        </w:rPr>
        <w:t xml:space="preserve"> </w:t>
      </w:r>
      <w:r>
        <w:rPr>
          <w:rFonts w:hint="eastAsia"/>
          <w:highlight w:val="none"/>
        </w:rPr>
        <w:fldChar w:fldCharType="end"/>
      </w: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tabs>
          <w:tab w:val="left" w:pos="2859"/>
        </w:tabs>
        <w:spacing w:line="360" w:lineRule="auto"/>
        <w:jc w:val="both"/>
        <w:rPr>
          <w:rFonts w:ascii="仿宋" w:hAnsi="仿宋" w:eastAsia="仿宋" w:cs="仿宋"/>
          <w:b/>
          <w:color w:val="auto"/>
          <w:sz w:val="28"/>
          <w:szCs w:val="28"/>
          <w:highlight w:val="none"/>
        </w:rPr>
      </w:pPr>
      <w:r>
        <w:rPr>
          <w:rFonts w:ascii="仿宋" w:hAnsi="仿宋" w:eastAsia="仿宋" w:cs="仿宋"/>
          <w:b/>
          <w:color w:val="auto"/>
          <w:sz w:val="28"/>
          <w:szCs w:val="28"/>
          <w:highlight w:val="none"/>
        </w:rPr>
        <w:tab/>
      </w:r>
    </w:p>
    <w:p>
      <w:pPr>
        <w:pStyle w:val="29"/>
        <w:spacing w:line="360" w:lineRule="auto"/>
        <w:jc w:val="center"/>
        <w:rPr>
          <w:rFonts w:ascii="仿宋" w:hAnsi="仿宋" w:eastAsia="仿宋" w:cs="仿宋"/>
          <w:b/>
          <w:color w:val="auto"/>
          <w:sz w:val="28"/>
          <w:szCs w:val="28"/>
          <w:highlight w:val="none"/>
        </w:rPr>
      </w:pPr>
    </w:p>
    <w:p>
      <w:pPr>
        <w:pStyle w:val="29"/>
        <w:spacing w:line="360" w:lineRule="auto"/>
        <w:jc w:val="both"/>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both"/>
        <w:rPr>
          <w:rFonts w:ascii="仿宋" w:hAnsi="仿宋" w:eastAsia="仿宋" w:cs="仿宋"/>
          <w:b/>
          <w:color w:val="auto"/>
          <w:sz w:val="28"/>
          <w:szCs w:val="28"/>
          <w:highlight w:val="none"/>
        </w:rPr>
        <w:sectPr>
          <w:footerReference r:id="rId9" w:type="first"/>
          <w:footerReference r:id="rId8" w:type="default"/>
          <w:pgSz w:w="11906" w:h="16838"/>
          <w:pgMar w:top="1418" w:right="1134" w:bottom="1418" w:left="1418" w:header="851" w:footer="851" w:gutter="0"/>
          <w:pgNumType w:fmt="numberInDash"/>
          <w:cols w:space="720" w:num="1"/>
          <w:titlePg/>
          <w:docGrid w:type="lines" w:linePitch="312" w:charSpace="0"/>
        </w:sectPr>
      </w:pPr>
    </w:p>
    <w:p>
      <w:pPr>
        <w:spacing w:line="360" w:lineRule="auto"/>
        <w:jc w:val="center"/>
        <w:rPr>
          <w:rFonts w:ascii="仿宋" w:hAnsi="仿宋" w:eastAsia="仿宋" w:cs="仿宋"/>
          <w:b/>
          <w:bCs/>
          <w:sz w:val="36"/>
          <w:szCs w:val="36"/>
          <w:highlight w:val="none"/>
        </w:rPr>
      </w:pPr>
      <w:r>
        <w:rPr>
          <w:rFonts w:hint="eastAsia" w:ascii="仿宋" w:hAnsi="仿宋" w:eastAsia="仿宋" w:cs="仿宋"/>
          <w:b/>
          <w:bCs/>
          <w:sz w:val="36"/>
          <w:szCs w:val="36"/>
          <w:highlight w:val="none"/>
        </w:rPr>
        <w:t>第一章 竞争性磋商公告</w:t>
      </w:r>
    </w:p>
    <w:p>
      <w:pPr>
        <w:pStyle w:val="30"/>
        <w:widowControl/>
        <w:spacing w:before="150" w:after="100" w:afterAutospacing="1" w:line="420" w:lineRule="atLeast"/>
        <w:ind w:firstLine="560" w:firstLineChars="200"/>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受</w:t>
      </w:r>
      <w:r>
        <w:rPr>
          <w:rFonts w:hint="eastAsia" w:ascii="仿宋" w:hAnsi="仿宋" w:eastAsia="仿宋" w:cs="仿宋"/>
          <w:kern w:val="0"/>
          <w:sz w:val="28"/>
          <w:szCs w:val="28"/>
          <w:highlight w:val="none"/>
          <w:u w:val="single"/>
        </w:rPr>
        <w:t xml:space="preserve">  新疆生产建设兵团第二师二十九团党政办公室 </w:t>
      </w:r>
      <w:r>
        <w:rPr>
          <w:rFonts w:hint="eastAsia" w:ascii="仿宋" w:hAnsi="仿宋" w:eastAsia="仿宋" w:cs="仿宋"/>
          <w:kern w:val="0"/>
          <w:sz w:val="28"/>
          <w:szCs w:val="28"/>
          <w:highlight w:val="none"/>
        </w:rPr>
        <w:t>委托</w:t>
      </w:r>
      <w:r>
        <w:rPr>
          <w:rFonts w:hint="eastAsia" w:ascii="仿宋" w:hAnsi="仿宋" w:eastAsia="仿宋" w:cs="仿宋"/>
          <w:kern w:val="0"/>
          <w:sz w:val="28"/>
          <w:szCs w:val="28"/>
          <w:highlight w:val="none"/>
          <w:u w:val="single"/>
        </w:rPr>
        <w:t xml:space="preserve"> </w:t>
      </w:r>
      <w:r>
        <w:rPr>
          <w:highlight w:val="none"/>
        </w:rPr>
        <w:fldChar w:fldCharType="begin"/>
      </w:r>
      <w:r>
        <w:rPr>
          <w:highlight w:val="none"/>
        </w:rP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rPr>
          <w:highlight w:val="none"/>
        </w:rPr>
        <w:fldChar w:fldCharType="separate"/>
      </w:r>
      <w:r>
        <w:rPr>
          <w:rFonts w:hint="eastAsia" w:ascii="仿宋" w:hAnsi="仿宋" w:eastAsia="仿宋" w:cs="仿宋"/>
          <w:kern w:val="0"/>
          <w:sz w:val="28"/>
          <w:szCs w:val="28"/>
          <w:highlight w:val="none"/>
          <w:u w:val="single"/>
        </w:rPr>
        <w:t>新疆鑫创新项目管理有限公司</w:t>
      </w:r>
      <w:r>
        <w:rPr>
          <w:rFonts w:hint="eastAsia" w:ascii="仿宋" w:hAnsi="仿宋" w:eastAsia="仿宋" w:cs="仿宋"/>
          <w:kern w:val="0"/>
          <w:sz w:val="28"/>
          <w:szCs w:val="28"/>
          <w:highlight w:val="none"/>
          <w:u w:val="single"/>
        </w:rPr>
        <w:fldChar w:fldCharType="end"/>
      </w:r>
      <w:r>
        <w:rPr>
          <w:rFonts w:hint="eastAsia" w:ascii="仿宋" w:hAnsi="仿宋" w:eastAsia="仿宋" w:cs="仿宋"/>
          <w:kern w:val="0"/>
          <w:sz w:val="28"/>
          <w:szCs w:val="28"/>
          <w:highlight w:val="none"/>
          <w:u w:val="single"/>
        </w:rPr>
        <w:t xml:space="preserve"> </w:t>
      </w:r>
      <w:r>
        <w:rPr>
          <w:rFonts w:hint="eastAsia" w:ascii="仿宋" w:hAnsi="仿宋" w:eastAsia="仿宋" w:cs="仿宋"/>
          <w:kern w:val="0"/>
          <w:sz w:val="28"/>
          <w:szCs w:val="28"/>
          <w:highlight w:val="none"/>
        </w:rPr>
        <w:t>对</w:t>
      </w:r>
      <w:r>
        <w:rPr>
          <w:rFonts w:hint="eastAsia" w:ascii="仿宋" w:hAnsi="仿宋" w:eastAsia="仿宋" w:cs="仿宋"/>
          <w:kern w:val="0"/>
          <w:sz w:val="28"/>
          <w:szCs w:val="28"/>
          <w:highlight w:val="none"/>
          <w:u w:val="single"/>
        </w:rPr>
        <w:t xml:space="preserve"> 二十九团团域产业规划项目</w:t>
      </w:r>
      <w:r>
        <w:rPr>
          <w:rFonts w:hint="eastAsia" w:ascii="仿宋" w:hAnsi="仿宋" w:eastAsia="仿宋" w:cs="仿宋"/>
          <w:kern w:val="0"/>
          <w:sz w:val="28"/>
          <w:szCs w:val="28"/>
          <w:highlight w:val="none"/>
        </w:rPr>
        <w:t>组织进行竞争性磋商，现欢迎合格的供应商前来投标。</w:t>
      </w:r>
    </w:p>
    <w:p>
      <w:pPr>
        <w:pStyle w:val="30"/>
        <w:widowControl/>
        <w:spacing w:line="360" w:lineRule="auto"/>
        <w:jc w:val="left"/>
        <w:rPr>
          <w:rFonts w:ascii="仿宋" w:hAnsi="仿宋" w:eastAsia="仿宋" w:cs="仿宋"/>
          <w:kern w:val="0"/>
          <w:sz w:val="28"/>
          <w:szCs w:val="28"/>
          <w:highlight w:val="none"/>
          <w:u w:val="single"/>
        </w:rPr>
      </w:pPr>
      <w:r>
        <w:rPr>
          <w:rFonts w:hint="eastAsia" w:ascii="仿宋" w:hAnsi="仿宋" w:eastAsia="仿宋" w:cs="仿宋"/>
          <w:kern w:val="0"/>
          <w:sz w:val="28"/>
          <w:szCs w:val="28"/>
          <w:highlight w:val="none"/>
        </w:rPr>
        <w:t>1、项目名称：</w:t>
      </w:r>
      <w:r>
        <w:rPr>
          <w:rFonts w:hint="eastAsia" w:ascii="仿宋" w:hAnsi="仿宋" w:eastAsia="仿宋" w:cs="仿宋"/>
          <w:kern w:val="0"/>
          <w:sz w:val="28"/>
          <w:szCs w:val="28"/>
          <w:highlight w:val="none"/>
          <w:u w:val="single"/>
        </w:rPr>
        <w:t xml:space="preserve">二十九团团域产业规划项目    </w:t>
      </w:r>
    </w:p>
    <w:p>
      <w:pPr>
        <w:pStyle w:val="31"/>
        <w:widowControl/>
        <w:spacing w:line="360" w:lineRule="auto"/>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2、采购内容及要求：</w:t>
      </w:r>
    </w:p>
    <w:tbl>
      <w:tblPr>
        <w:tblStyle w:val="22"/>
        <w:tblW w:w="9158" w:type="dxa"/>
        <w:tblInd w:w="93" w:type="dxa"/>
        <w:tblLayout w:type="autofit"/>
        <w:tblCellMar>
          <w:top w:w="0" w:type="dxa"/>
          <w:left w:w="108" w:type="dxa"/>
          <w:bottom w:w="0" w:type="dxa"/>
          <w:right w:w="108" w:type="dxa"/>
        </w:tblCellMar>
      </w:tblPr>
      <w:tblGrid>
        <w:gridCol w:w="1819"/>
        <w:gridCol w:w="771"/>
        <w:gridCol w:w="757"/>
        <w:gridCol w:w="3898"/>
        <w:gridCol w:w="1913"/>
      </w:tblGrid>
      <w:tr>
        <w:tblPrEx>
          <w:tblCellMar>
            <w:top w:w="0" w:type="dxa"/>
            <w:left w:w="108" w:type="dxa"/>
            <w:bottom w:w="0" w:type="dxa"/>
            <w:right w:w="108" w:type="dxa"/>
          </w:tblCellMar>
        </w:tblPrEx>
        <w:trPr>
          <w:trHeight w:val="1959" w:hRule="atLeast"/>
        </w:trPr>
        <w:tc>
          <w:tcPr>
            <w:tcW w:w="1819" w:type="dxa"/>
            <w:tcBorders>
              <w:top w:val="single" w:color="auto" w:sz="4" w:space="0"/>
              <w:left w:val="single" w:color="auto" w:sz="4" w:space="0"/>
              <w:bottom w:val="single" w:color="auto" w:sz="4" w:space="0"/>
              <w:right w:val="single" w:color="auto" w:sz="4" w:space="0"/>
            </w:tcBorders>
            <w:vAlign w:val="center"/>
          </w:tcPr>
          <w:p>
            <w:pPr>
              <w:pStyle w:val="31"/>
              <w:widowControl/>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 分包</w:t>
            </w:r>
          </w:p>
        </w:tc>
        <w:tc>
          <w:tcPr>
            <w:tcW w:w="771" w:type="dxa"/>
            <w:tcBorders>
              <w:top w:val="single" w:color="auto" w:sz="4" w:space="0"/>
              <w:left w:val="nil"/>
              <w:bottom w:val="single" w:color="auto" w:sz="4" w:space="0"/>
              <w:right w:val="single" w:color="auto" w:sz="4" w:space="0"/>
            </w:tcBorders>
            <w:vAlign w:val="center"/>
          </w:tcPr>
          <w:p>
            <w:pPr>
              <w:pStyle w:val="31"/>
              <w:widowControl/>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品目名称</w:t>
            </w:r>
          </w:p>
        </w:tc>
        <w:tc>
          <w:tcPr>
            <w:tcW w:w="757" w:type="dxa"/>
            <w:tcBorders>
              <w:top w:val="single" w:color="auto" w:sz="4" w:space="0"/>
              <w:left w:val="nil"/>
              <w:bottom w:val="single" w:color="auto" w:sz="4" w:space="0"/>
              <w:right w:val="single" w:color="auto" w:sz="4" w:space="0"/>
            </w:tcBorders>
            <w:vAlign w:val="center"/>
          </w:tcPr>
          <w:p>
            <w:pPr>
              <w:pStyle w:val="31"/>
              <w:widowControl/>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数量</w:t>
            </w:r>
          </w:p>
        </w:tc>
        <w:tc>
          <w:tcPr>
            <w:tcW w:w="3898" w:type="dxa"/>
            <w:tcBorders>
              <w:top w:val="single" w:color="auto" w:sz="4" w:space="0"/>
              <w:left w:val="nil"/>
              <w:bottom w:val="single" w:color="auto" w:sz="4" w:space="0"/>
              <w:right w:val="single" w:color="auto" w:sz="4" w:space="0"/>
            </w:tcBorders>
            <w:vAlign w:val="center"/>
          </w:tcPr>
          <w:p>
            <w:pPr>
              <w:pStyle w:val="31"/>
              <w:widowControl/>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简要规格描述或项目基本概况</w:t>
            </w:r>
          </w:p>
        </w:tc>
        <w:tc>
          <w:tcPr>
            <w:tcW w:w="1913" w:type="dxa"/>
            <w:tcBorders>
              <w:top w:val="single" w:color="auto" w:sz="4" w:space="0"/>
              <w:left w:val="nil"/>
              <w:bottom w:val="single" w:color="auto" w:sz="4" w:space="0"/>
              <w:right w:val="single" w:color="auto" w:sz="4" w:space="0"/>
            </w:tcBorders>
            <w:vAlign w:val="center"/>
          </w:tcPr>
          <w:p>
            <w:pPr>
              <w:pStyle w:val="31"/>
              <w:widowControl/>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控制价（元）</w:t>
            </w:r>
          </w:p>
        </w:tc>
      </w:tr>
      <w:tr>
        <w:tblPrEx>
          <w:tblCellMar>
            <w:top w:w="0" w:type="dxa"/>
            <w:left w:w="108" w:type="dxa"/>
            <w:bottom w:w="0" w:type="dxa"/>
            <w:right w:w="108" w:type="dxa"/>
          </w:tblCellMar>
        </w:tblPrEx>
        <w:trPr>
          <w:trHeight w:val="1355" w:hRule="atLeast"/>
        </w:trPr>
        <w:tc>
          <w:tcPr>
            <w:tcW w:w="1819" w:type="dxa"/>
            <w:tcBorders>
              <w:top w:val="nil"/>
              <w:left w:val="single" w:color="auto" w:sz="4" w:space="0"/>
              <w:bottom w:val="single" w:color="auto" w:sz="4" w:space="0"/>
              <w:right w:val="single" w:color="auto" w:sz="4" w:space="0"/>
            </w:tcBorders>
            <w:vAlign w:val="center"/>
          </w:tcPr>
          <w:p>
            <w:pPr>
              <w:pStyle w:val="30"/>
              <w:spacing w:line="400" w:lineRule="exact"/>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二十九团团域产业规划项目</w:t>
            </w:r>
          </w:p>
        </w:tc>
        <w:tc>
          <w:tcPr>
            <w:tcW w:w="771" w:type="dxa"/>
            <w:tcBorders>
              <w:top w:val="nil"/>
              <w:left w:val="nil"/>
              <w:bottom w:val="single" w:color="auto" w:sz="4" w:space="0"/>
              <w:right w:val="single" w:color="auto" w:sz="4" w:space="0"/>
            </w:tcBorders>
            <w:vAlign w:val="center"/>
          </w:tcPr>
          <w:p>
            <w:pPr>
              <w:pStyle w:val="3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服务类</w:t>
            </w:r>
          </w:p>
        </w:tc>
        <w:tc>
          <w:tcPr>
            <w:tcW w:w="757" w:type="dxa"/>
            <w:tcBorders>
              <w:top w:val="nil"/>
              <w:left w:val="nil"/>
              <w:bottom w:val="single" w:color="auto" w:sz="4" w:space="0"/>
              <w:right w:val="single" w:color="auto" w:sz="4" w:space="0"/>
            </w:tcBorders>
            <w:vAlign w:val="center"/>
          </w:tcPr>
          <w:p>
            <w:pPr>
              <w:pStyle w:val="3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1</w:t>
            </w:r>
          </w:p>
        </w:tc>
        <w:tc>
          <w:tcPr>
            <w:tcW w:w="3898" w:type="dxa"/>
            <w:tcBorders>
              <w:top w:val="nil"/>
              <w:left w:val="nil"/>
              <w:bottom w:val="single" w:color="auto" w:sz="4" w:space="0"/>
              <w:right w:val="single" w:color="auto" w:sz="4" w:space="0"/>
            </w:tcBorders>
            <w:vAlign w:val="center"/>
          </w:tcPr>
          <w:p>
            <w:pPr>
              <w:pStyle w:val="30"/>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对团镇一二三产业未来五年发展定位，产业体系、产业结构、产业布局进行整体规划。 </w:t>
            </w:r>
          </w:p>
        </w:tc>
        <w:tc>
          <w:tcPr>
            <w:tcW w:w="1913" w:type="dxa"/>
            <w:tcBorders>
              <w:top w:val="nil"/>
              <w:left w:val="nil"/>
              <w:bottom w:val="single" w:color="auto" w:sz="4" w:space="0"/>
              <w:right w:val="single" w:color="auto" w:sz="4" w:space="0"/>
            </w:tcBorders>
            <w:vAlign w:val="center"/>
          </w:tcPr>
          <w:p>
            <w:pPr>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1200000</w:t>
            </w:r>
          </w:p>
        </w:tc>
      </w:tr>
      <w:tr>
        <w:tblPrEx>
          <w:tblCellMar>
            <w:top w:w="0" w:type="dxa"/>
            <w:left w:w="108" w:type="dxa"/>
            <w:bottom w:w="0" w:type="dxa"/>
            <w:right w:w="108" w:type="dxa"/>
          </w:tblCellMar>
        </w:tblPrEx>
        <w:trPr>
          <w:trHeight w:val="619" w:hRule="atLeast"/>
        </w:trPr>
        <w:tc>
          <w:tcPr>
            <w:tcW w:w="1819" w:type="dxa"/>
            <w:tcBorders>
              <w:top w:val="single" w:color="auto" w:sz="4" w:space="0"/>
              <w:left w:val="single" w:color="auto" w:sz="4" w:space="0"/>
              <w:bottom w:val="single" w:color="auto" w:sz="4" w:space="0"/>
              <w:right w:val="single" w:color="auto" w:sz="4" w:space="0"/>
            </w:tcBorders>
            <w:vAlign w:val="center"/>
          </w:tcPr>
          <w:p>
            <w:pPr>
              <w:pStyle w:val="31"/>
              <w:widowControl/>
              <w:jc w:val="center"/>
              <w:rPr>
                <w:rFonts w:ascii="仿宋" w:hAnsi="仿宋" w:eastAsia="仿宋" w:cs="仿宋"/>
                <w:kern w:val="0"/>
                <w:sz w:val="28"/>
                <w:szCs w:val="28"/>
                <w:highlight w:val="none"/>
              </w:rPr>
            </w:pPr>
            <w:r>
              <w:rPr>
                <w:rFonts w:hint="eastAsia" w:ascii="仿宋" w:hAnsi="仿宋" w:eastAsia="仿宋" w:cs="仿宋"/>
                <w:kern w:val="0"/>
                <w:sz w:val="28"/>
                <w:szCs w:val="28"/>
                <w:highlight w:val="none"/>
              </w:rPr>
              <w:t>注</w:t>
            </w:r>
            <w:r>
              <w:rPr>
                <w:rFonts w:ascii="仿宋" w:hAnsi="仿宋" w:eastAsia="仿宋" w:cs="仿宋"/>
                <w:kern w:val="0"/>
                <w:sz w:val="28"/>
                <w:szCs w:val="28"/>
                <w:highlight w:val="none"/>
              </w:rPr>
              <w:t>：</w:t>
            </w:r>
          </w:p>
        </w:tc>
        <w:tc>
          <w:tcPr>
            <w:tcW w:w="7339" w:type="dxa"/>
            <w:gridSpan w:val="4"/>
            <w:tcBorders>
              <w:top w:val="nil"/>
              <w:left w:val="nil"/>
              <w:bottom w:val="single" w:color="auto" w:sz="4" w:space="0"/>
              <w:right w:val="single" w:color="auto" w:sz="4" w:space="0"/>
            </w:tcBorders>
            <w:vAlign w:val="center"/>
          </w:tcPr>
          <w:p>
            <w:pPr>
              <w:pStyle w:val="31"/>
              <w:widowControl/>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w:t>
            </w:r>
          </w:p>
        </w:tc>
      </w:tr>
    </w:tbl>
    <w:p>
      <w:pPr>
        <w:pStyle w:val="31"/>
        <w:widowControl/>
        <w:spacing w:line="420" w:lineRule="atLeast"/>
        <w:jc w:val="left"/>
        <w:rPr>
          <w:rFonts w:ascii="仿宋" w:hAnsi="仿宋" w:eastAsia="仿宋" w:cs="仿宋"/>
          <w:kern w:val="0"/>
          <w:sz w:val="28"/>
          <w:szCs w:val="28"/>
          <w:highlight w:val="none"/>
        </w:rPr>
      </w:pPr>
    </w:p>
    <w:p>
      <w:pPr>
        <w:pStyle w:val="31"/>
        <w:widowControl/>
        <w:numPr>
          <w:ilvl w:val="0"/>
          <w:numId w:val="3"/>
        </w:numPr>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采购项目需要落实的政府采购政策：</w:t>
      </w:r>
    </w:p>
    <w:p>
      <w:pPr>
        <w:pStyle w:val="31"/>
        <w:widowControl/>
        <w:numPr>
          <w:ilvl w:val="0"/>
          <w:numId w:val="0"/>
        </w:numPr>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（1）《关于调整优化节能产品、环境标志产品政府强制执行机制的通知》（财库〔2019〕9号）；</w:t>
      </w:r>
    </w:p>
    <w:p>
      <w:pPr>
        <w:pStyle w:val="31"/>
        <w:widowControl/>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（2）《政府采购促进中小企业发展管理办法》（财库〔2020〕46号）；</w:t>
      </w:r>
    </w:p>
    <w:p>
      <w:pPr>
        <w:pStyle w:val="31"/>
        <w:widowControl/>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（3）《关于进一步加大政府采购支持中小企业力度的通知》（财库〔2022〕19号）；</w:t>
      </w:r>
    </w:p>
    <w:p>
      <w:pPr>
        <w:pStyle w:val="31"/>
        <w:widowControl/>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（4）《财政部、司法部关于政府采购支持监狱企业发展有关问题的通知》（财库〔2014〕68号）；</w:t>
      </w:r>
    </w:p>
    <w:p>
      <w:pPr>
        <w:pStyle w:val="31"/>
        <w:widowControl/>
        <w:spacing w:line="420" w:lineRule="atLeast"/>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（5）《财政部 民政部 中国残疾人联合会关于促进残疾人就业政府采购政策的通知》财库〔2017〕141号； </w:t>
      </w:r>
    </w:p>
    <w:p>
      <w:pPr>
        <w:pStyle w:val="31"/>
        <w:widowControl/>
        <w:spacing w:line="420" w:lineRule="atLeast"/>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（6）关于印发《商品包装政府采购需求标准（试行）》、《快递包装政府 采购需求标准（试行）》的通知（财办库〔2020〕123 号）。（中小企业优惠、监狱企业、节能产品、环境标志产品等）</w:t>
      </w:r>
    </w:p>
    <w:p>
      <w:pPr>
        <w:pStyle w:val="30"/>
        <w:widowControl/>
        <w:spacing w:line="420" w:lineRule="atLeast"/>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4、供应商的资格要求：</w:t>
      </w:r>
    </w:p>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（1）符合《中华人民共和国政府采购法》第二十二条规定条件。</w:t>
      </w:r>
    </w:p>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（2）投标人应具备有效营业执照,</w:t>
      </w:r>
      <w:r>
        <w:rPr>
          <w:rFonts w:ascii="仿宋" w:hAnsi="仿宋" w:eastAsia="仿宋" w:cs="仿宋"/>
          <w:color w:val="000000"/>
          <w:sz w:val="27"/>
          <w:szCs w:val="27"/>
          <w:highlight w:val="none"/>
        </w:rPr>
        <w:t>具有有效的城乡规划编制乙级及以上资质证书，项目负责人具有行政主管部门颁发注册城乡规划师资格证书。</w:t>
      </w:r>
      <w:r>
        <w:rPr>
          <w:rFonts w:hint="eastAsia" w:ascii="仿宋" w:hAnsi="仿宋" w:eastAsia="仿宋" w:cs="仿宋"/>
          <w:sz w:val="28"/>
          <w:szCs w:val="28"/>
          <w:highlight w:val="none"/>
        </w:rPr>
        <w:t>其他人员、设备、资金、技术等方面具备能够完成本项目能力。</w:t>
      </w:r>
    </w:p>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（3）本次招标不接受联合体投标。</w:t>
      </w:r>
    </w:p>
    <w:p>
      <w:pPr>
        <w:pStyle w:val="31"/>
        <w:widowControl/>
        <w:spacing w:line="420" w:lineRule="atLeast"/>
        <w:jc w:val="left"/>
        <w:rPr>
          <w:rFonts w:ascii="仿宋" w:hAnsi="仿宋" w:eastAsia="仿宋" w:cs="仿宋"/>
          <w:kern w:val="0"/>
          <w:sz w:val="28"/>
          <w:szCs w:val="28"/>
          <w:highlight w:val="none"/>
        </w:rPr>
      </w:pPr>
      <w:r>
        <w:rPr>
          <w:rFonts w:hint="eastAsia" w:ascii="仿宋" w:hAnsi="仿宋" w:eastAsia="仿宋" w:cs="仿宋"/>
          <w:sz w:val="28"/>
          <w:szCs w:val="28"/>
          <w:highlight w:val="none"/>
        </w:rPr>
        <w:t>（4）其他要求：单位负责人为同一人或者存在直接控股、管理关系的不同供应商，不得参加同一合同下的政府采购活动。供应商须提供在“信用中国”（www.creditchina.gov.cn）和中国政府采购网（www.ccgp.gov.cn）网站上未被列入失信被执行人、重大税收违法案件当事人名单以及政府采购严重违法失信行为记录名单的网页截图或打印件（截图或网页打印件须自招标文件发布之日起至递交响应文件截止时间从上述网站中打印并加盖公章）</w:t>
      </w:r>
      <w:r>
        <w:rPr>
          <w:rFonts w:hint="eastAsia" w:ascii="仿宋" w:hAnsi="仿宋" w:eastAsia="仿宋" w:cs="仿宋"/>
          <w:kern w:val="0"/>
          <w:sz w:val="28"/>
          <w:szCs w:val="28"/>
          <w:highlight w:val="none"/>
        </w:rPr>
        <w:t>（特殊要求）</w:t>
      </w:r>
    </w:p>
    <w:p>
      <w:pPr>
        <w:pStyle w:val="29"/>
        <w:spacing w:line="360" w:lineRule="auto"/>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5、获取竞争性磋商文件时间：2022年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日00点00分至2022年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r>
        <w:rPr>
          <w:rFonts w:hint="eastAsia" w:ascii="仿宋" w:hAnsi="仿宋" w:eastAsia="仿宋" w:cs="仿宋"/>
          <w:color w:val="auto"/>
          <w:sz w:val="28"/>
          <w:szCs w:val="28"/>
          <w:highlight w:val="none"/>
        </w:rPr>
        <w:t xml:space="preserve">日00:00。  </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地点：供应商登录政采云平台自行获取。</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方式：登陆政采云平台https://www.zcygov.cn/在线申请获取采购文件（进入“项目采购”应用，在获取采购文件菜单中选择项目，申请获取采购文件） 获取（下载）竞争性磋商文件 </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售价：免费获取。</w:t>
      </w:r>
    </w:p>
    <w:p>
      <w:pPr>
        <w:pStyle w:val="29"/>
        <w:spacing w:line="360" w:lineRule="auto"/>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6、提交投标文件截止时间、开标时间和地点：</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提交投标文件截止时间：2022年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rPr>
        <w:t>日16点00分 （北京时间）</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投标地点（网址）：供应商登录兵团政采云平台https://www.zcygov.cn自行上传 。</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开标时间：2022年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rPr>
        <w:t>日16点00分</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开标地点（网址）：https://www.zcygov.cn  </w:t>
      </w:r>
    </w:p>
    <w:p>
      <w:pPr>
        <w:pStyle w:val="29"/>
        <w:spacing w:line="360" w:lineRule="auto"/>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、投标保证金：无</w:t>
      </w:r>
    </w:p>
    <w:p>
      <w:pPr>
        <w:pStyle w:val="19"/>
        <w:wordWrap w:val="0"/>
        <w:spacing w:before="75" w:after="75"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sz w:val="28"/>
          <w:szCs w:val="28"/>
          <w:highlight w:val="none"/>
        </w:rPr>
        <w:t>其他：</w:t>
      </w:r>
      <w:r>
        <w:rPr>
          <w:rFonts w:hint="eastAsia" w:ascii="宋体" w:hAnsi="宋体" w:eastAsia="宋体" w:cs="宋体"/>
          <w:color w:val="393939"/>
          <w:sz w:val="28"/>
          <w:szCs w:val="28"/>
          <w:highlight w:val="none"/>
        </w:rPr>
        <w:t> </w:t>
      </w:r>
      <w:r>
        <w:rPr>
          <w:rFonts w:hint="eastAsia" w:ascii="仿宋" w:hAnsi="仿宋" w:eastAsia="仿宋" w:cs="仿宋"/>
          <w:sz w:val="28"/>
          <w:szCs w:val="28"/>
          <w:highlight w:val="none"/>
        </w:rPr>
        <w:t>1、本项目实行网上投标，采用电子投标文件；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3、供应商将政采云电子交易客户端下载、安装完成后，可通过账号密码或CA登录客户端进行投标文件的制作。在使用政采云投标客户端时，建议使用WIN764位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  </w:t>
      </w:r>
    </w:p>
    <w:p>
      <w:pPr>
        <w:adjustRightInd w:val="0"/>
        <w:snapToGrid w:val="0"/>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、采购人信息：</w:t>
      </w:r>
    </w:p>
    <w:p>
      <w:pPr>
        <w:pStyle w:val="29"/>
        <w:spacing w:line="360" w:lineRule="auto"/>
        <w:ind w:left="559" w:leftChars="266"/>
        <w:jc w:val="both"/>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 xml:space="preserve">名  称：新疆生产建设兵团第二师二十九团党政办公室     </w:t>
      </w:r>
    </w:p>
    <w:p>
      <w:pPr>
        <w:pStyle w:val="29"/>
        <w:spacing w:line="360" w:lineRule="auto"/>
        <w:ind w:left="559" w:leftChars="266"/>
        <w:jc w:val="both"/>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 xml:space="preserve">地  址：  第二师铁门关市 </w:t>
      </w:r>
      <w:r>
        <w:rPr>
          <w:rFonts w:hint="eastAsia" w:ascii="宋体" w:hAnsi="宋体"/>
          <w:color w:val="auto"/>
          <w:highlight w:val="none"/>
        </w:rPr>
        <w:t xml:space="preserve">  </w:t>
      </w:r>
    </w:p>
    <w:p>
      <w:pPr>
        <w:pStyle w:val="29"/>
        <w:spacing w:line="360" w:lineRule="auto"/>
        <w:ind w:firstLine="560" w:firstLineChars="200"/>
        <w:jc w:val="both"/>
        <w:rPr>
          <w:rFonts w:ascii="宋体" w:hAnsi="宋体" w:eastAsia="仿宋" w:cs="宋体"/>
          <w:color w:val="auto"/>
          <w:sz w:val="28"/>
          <w:szCs w:val="28"/>
          <w:highlight w:val="none"/>
        </w:rPr>
      </w:pPr>
      <w:r>
        <w:rPr>
          <w:rFonts w:hint="eastAsia" w:ascii="仿宋" w:hAnsi="仿宋" w:eastAsia="仿宋" w:cs="仿宋"/>
          <w:color w:val="auto"/>
          <w:sz w:val="28"/>
          <w:szCs w:val="28"/>
          <w:highlight w:val="none"/>
        </w:rPr>
        <w:t xml:space="preserve">联系人： 赵锐   </w:t>
      </w:r>
    </w:p>
    <w:p>
      <w:pPr>
        <w:pStyle w:val="29"/>
        <w:spacing w:line="360" w:lineRule="auto"/>
        <w:ind w:firstLine="560" w:firstLineChars="200"/>
        <w:jc w:val="both"/>
        <w:rPr>
          <w:rFonts w:ascii="宋体" w:hAnsi="宋体" w:eastAsia="仿宋" w:cs="宋体"/>
          <w:color w:val="auto"/>
          <w:sz w:val="28"/>
          <w:szCs w:val="28"/>
          <w:highlight w:val="none"/>
        </w:rPr>
      </w:pPr>
      <w:r>
        <w:rPr>
          <w:rFonts w:hint="eastAsia" w:ascii="仿宋" w:hAnsi="仿宋" w:eastAsia="仿宋" w:cs="仿宋"/>
          <w:color w:val="auto"/>
          <w:sz w:val="28"/>
          <w:szCs w:val="28"/>
          <w:highlight w:val="none"/>
        </w:rPr>
        <w:t>联系电话：</w:t>
      </w:r>
      <w:r>
        <w:rPr>
          <w:rFonts w:hint="eastAsia" w:ascii="仿宋" w:hAnsi="仿宋" w:eastAsia="仿宋" w:cs="仿宋"/>
          <w:color w:val="auto"/>
          <w:sz w:val="28"/>
          <w:szCs w:val="28"/>
          <w:highlight w:val="none"/>
          <w:lang w:eastAsia="zh-CN"/>
        </w:rPr>
        <w:t>0996-8695815</w:t>
      </w:r>
      <w:r>
        <w:rPr>
          <w:rFonts w:hint="eastAsia" w:ascii="仿宋" w:hAnsi="仿宋" w:eastAsia="仿宋" w:cs="仿宋"/>
          <w:color w:val="auto"/>
          <w:sz w:val="28"/>
          <w:szCs w:val="28"/>
          <w:highlight w:val="none"/>
        </w:rPr>
        <w:t xml:space="preserve">  </w:t>
      </w:r>
    </w:p>
    <w:p>
      <w:pPr>
        <w:pStyle w:val="29"/>
        <w:spacing w:line="36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采购代理机构信息：</w:t>
      </w:r>
    </w:p>
    <w:p>
      <w:pPr>
        <w:pStyle w:val="29"/>
        <w:spacing w:line="360" w:lineRule="auto"/>
        <w:ind w:firstLine="560" w:firstLineChars="200"/>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名  称：</w:t>
      </w:r>
      <w:r>
        <w:rPr>
          <w:highlight w:val="none"/>
        </w:rPr>
        <w:fldChar w:fldCharType="begin"/>
      </w:r>
      <w:r>
        <w:rPr>
          <w:highlight w:val="none"/>
        </w:rP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rPr>
          <w:highlight w:val="none"/>
        </w:rPr>
        <w:fldChar w:fldCharType="separate"/>
      </w:r>
      <w:r>
        <w:rPr>
          <w:rFonts w:hint="eastAsia" w:ascii="仿宋" w:hAnsi="仿宋" w:eastAsia="仿宋" w:cs="仿宋"/>
          <w:bCs/>
          <w:color w:val="auto"/>
          <w:sz w:val="28"/>
          <w:szCs w:val="28"/>
          <w:highlight w:val="none"/>
        </w:rPr>
        <w:t>新疆鑫创新项目管理有限公司</w:t>
      </w:r>
      <w:r>
        <w:rPr>
          <w:rFonts w:hint="eastAsia" w:ascii="仿宋" w:hAnsi="仿宋" w:eastAsia="仿宋" w:cs="仿宋"/>
          <w:bCs/>
          <w:color w:val="auto"/>
          <w:sz w:val="28"/>
          <w:szCs w:val="28"/>
          <w:highlight w:val="none"/>
        </w:rPr>
        <w:fldChar w:fldCharType="end"/>
      </w:r>
    </w:p>
    <w:p>
      <w:pPr>
        <w:snapToGrid w:val="0"/>
        <w:spacing w:line="440" w:lineRule="exact"/>
        <w:ind w:left="1119" w:leftChars="266" w:hanging="560" w:hangingChars="200"/>
        <w:rPr>
          <w:rFonts w:ascii="仿宋" w:hAnsi="仿宋" w:eastAsia="仿宋" w:cs="仿宋"/>
          <w:bCs/>
          <w:kern w:val="0"/>
          <w:sz w:val="28"/>
          <w:szCs w:val="28"/>
          <w:highlight w:val="none"/>
        </w:rPr>
      </w:pPr>
      <w:r>
        <w:rPr>
          <w:rFonts w:hint="eastAsia" w:ascii="仿宋" w:hAnsi="仿宋" w:eastAsia="仿宋" w:cs="仿宋"/>
          <w:bCs/>
          <w:sz w:val="28"/>
          <w:szCs w:val="28"/>
          <w:highlight w:val="none"/>
        </w:rPr>
        <w:t>地  址：</w:t>
      </w:r>
      <w:r>
        <w:rPr>
          <w:rFonts w:hint="eastAsia" w:ascii="仿宋" w:hAnsi="仿宋" w:eastAsia="仿宋" w:cs="仿宋"/>
          <w:bCs/>
          <w:kern w:val="0"/>
          <w:sz w:val="28"/>
          <w:szCs w:val="28"/>
          <w:highlight w:val="none"/>
        </w:rPr>
        <w:t xml:space="preserve">第二师铁门关市 </w:t>
      </w:r>
    </w:p>
    <w:p>
      <w:pPr>
        <w:snapToGrid w:val="0"/>
        <w:spacing w:line="44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联系人：张道新   蒋贝贝</w:t>
      </w:r>
    </w:p>
    <w:p>
      <w:pPr>
        <w:pStyle w:val="29"/>
        <w:spacing w:line="360" w:lineRule="auto"/>
        <w:ind w:firstLine="560" w:firstLineChars="200"/>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电  话：13579017845  15276188996</w:t>
      </w:r>
    </w:p>
    <w:p>
      <w:pPr>
        <w:pStyle w:val="29"/>
        <w:spacing w:line="360" w:lineRule="auto"/>
        <w:ind w:firstLine="560" w:firstLineChars="200"/>
        <w:jc w:val="both"/>
        <w:rPr>
          <w:rFonts w:ascii="仿宋" w:hAnsi="仿宋" w:eastAsia="仿宋" w:cs="仿宋"/>
          <w:bCs/>
          <w:color w:val="auto"/>
          <w:sz w:val="28"/>
          <w:szCs w:val="28"/>
          <w:highlight w:val="none"/>
        </w:rPr>
      </w:pPr>
    </w:p>
    <w:p>
      <w:pPr>
        <w:pStyle w:val="29"/>
        <w:spacing w:line="360" w:lineRule="auto"/>
        <w:ind w:firstLine="560" w:firstLineChars="200"/>
        <w:jc w:val="both"/>
        <w:rPr>
          <w:rFonts w:ascii="仿宋" w:hAnsi="仿宋" w:eastAsia="仿宋" w:cs="仿宋"/>
          <w:bCs/>
          <w:color w:val="auto"/>
          <w:sz w:val="28"/>
          <w:szCs w:val="28"/>
          <w:highlight w:val="none"/>
        </w:rPr>
        <w:sectPr>
          <w:footerReference r:id="rId10" w:type="default"/>
          <w:pgSz w:w="11910" w:h="16840"/>
          <w:pgMar w:top="1560" w:right="1380" w:bottom="1160" w:left="1520" w:header="720" w:footer="972" w:gutter="0"/>
          <w:pgNumType w:start="1"/>
          <w:cols w:space="720" w:num="1"/>
        </w:sectPr>
      </w:pPr>
    </w:p>
    <w:p>
      <w:pPr>
        <w:spacing w:line="360" w:lineRule="auto"/>
        <w:jc w:val="center"/>
        <w:rPr>
          <w:rFonts w:ascii="仿宋" w:hAnsi="仿宋" w:eastAsia="仿宋" w:cs="仿宋"/>
          <w:b/>
          <w:sz w:val="44"/>
          <w:szCs w:val="44"/>
          <w:highlight w:val="none"/>
        </w:rPr>
      </w:pPr>
      <w:r>
        <w:rPr>
          <w:rFonts w:hint="eastAsia" w:ascii="仿宋" w:hAnsi="仿宋" w:eastAsia="仿宋" w:cs="仿宋"/>
          <w:b/>
          <w:sz w:val="44"/>
          <w:szCs w:val="44"/>
          <w:highlight w:val="none"/>
        </w:rPr>
        <w:t>第二章  供应商须知</w:t>
      </w:r>
    </w:p>
    <w:p>
      <w:pPr>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供应商须知前附表</w:t>
      </w:r>
    </w:p>
    <w:tbl>
      <w:tblPr>
        <w:tblStyle w:val="22"/>
        <w:tblW w:w="10133" w:type="dxa"/>
        <w:jc w:val="center"/>
        <w:tblLayout w:type="fixed"/>
        <w:tblCellMar>
          <w:top w:w="0" w:type="dxa"/>
          <w:left w:w="108" w:type="dxa"/>
          <w:bottom w:w="0" w:type="dxa"/>
          <w:right w:w="108" w:type="dxa"/>
        </w:tblCellMar>
      </w:tblPr>
      <w:tblGrid>
        <w:gridCol w:w="1116"/>
        <w:gridCol w:w="2389"/>
        <w:gridCol w:w="6628"/>
      </w:tblGrid>
      <w:tr>
        <w:tblPrEx>
          <w:tblCellMar>
            <w:top w:w="0" w:type="dxa"/>
            <w:left w:w="108" w:type="dxa"/>
            <w:bottom w:w="0" w:type="dxa"/>
            <w:right w:w="108" w:type="dxa"/>
          </w:tblCellMar>
        </w:tblPrEx>
        <w:trPr>
          <w:trHeight w:val="505"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条款号</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条  款  名  称</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编  列  内  容</w:t>
            </w:r>
          </w:p>
        </w:tc>
      </w:tr>
      <w:tr>
        <w:tblPrEx>
          <w:tblCellMar>
            <w:top w:w="0" w:type="dxa"/>
            <w:left w:w="108" w:type="dxa"/>
            <w:bottom w:w="0" w:type="dxa"/>
            <w:right w:w="108" w:type="dxa"/>
          </w:tblCellMar>
        </w:tblPrEx>
        <w:trPr>
          <w:trHeight w:val="505"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项目名称</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left"/>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二十九团团域产业规划项目 </w:t>
            </w:r>
          </w:p>
        </w:tc>
      </w:tr>
      <w:tr>
        <w:tblPrEx>
          <w:tblCellMar>
            <w:top w:w="0" w:type="dxa"/>
            <w:left w:w="108" w:type="dxa"/>
            <w:bottom w:w="0" w:type="dxa"/>
            <w:right w:w="108" w:type="dxa"/>
          </w:tblCellMar>
        </w:tblPrEx>
        <w:trPr>
          <w:trHeight w:val="1284"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采购人</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名  称： </w:t>
            </w:r>
            <w:r>
              <w:rPr>
                <w:rFonts w:hint="eastAsia" w:ascii="仿宋" w:hAnsi="仿宋" w:eastAsia="仿宋" w:cs="仿宋"/>
                <w:sz w:val="28"/>
                <w:szCs w:val="28"/>
                <w:highlight w:val="none"/>
              </w:rPr>
              <w:t>新疆生产建设兵团第二师二十九团党政办公室</w:t>
            </w:r>
            <w:r>
              <w:rPr>
                <w:rFonts w:hint="eastAsia" w:ascii="仿宋" w:hAnsi="仿宋" w:eastAsia="仿宋" w:cs="仿宋"/>
                <w:bCs/>
                <w:sz w:val="28"/>
                <w:szCs w:val="28"/>
                <w:highlight w:val="none"/>
              </w:rPr>
              <w:t xml:space="preserve">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地  址： 第二师铁门关市                 </w:t>
            </w:r>
          </w:p>
          <w:p>
            <w:pPr>
              <w:pStyle w:val="29"/>
              <w:spacing w:line="360" w:lineRule="auto"/>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联系人：赵锐 </w:t>
            </w:r>
            <w:r>
              <w:rPr>
                <w:rFonts w:hint="eastAsia" w:ascii="仿宋" w:hAnsi="仿宋" w:eastAsia="仿宋" w:cs="仿宋"/>
                <w:bCs/>
                <w:color w:val="auto"/>
                <w:sz w:val="28"/>
                <w:szCs w:val="28"/>
                <w:highlight w:val="none"/>
              </w:rPr>
              <w:t xml:space="preserve">  </w:t>
            </w:r>
          </w:p>
          <w:p>
            <w:pPr>
              <w:pStyle w:val="29"/>
              <w:spacing w:line="360" w:lineRule="auto"/>
              <w:jc w:val="both"/>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联系电话：</w:t>
            </w:r>
            <w:r>
              <w:rPr>
                <w:rFonts w:hint="eastAsia" w:ascii="仿宋" w:hAnsi="仿宋" w:eastAsia="仿宋" w:cs="仿宋"/>
                <w:color w:val="auto"/>
                <w:sz w:val="28"/>
                <w:szCs w:val="28"/>
                <w:highlight w:val="none"/>
                <w:lang w:eastAsia="zh-CN"/>
              </w:rPr>
              <w:t>0996-8695815</w:t>
            </w:r>
            <w:r>
              <w:rPr>
                <w:rFonts w:hint="eastAsia" w:ascii="仿宋" w:hAnsi="仿宋" w:eastAsia="仿宋" w:cs="仿宋"/>
                <w:color w:val="auto"/>
                <w:sz w:val="28"/>
                <w:szCs w:val="28"/>
                <w:highlight w:val="none"/>
              </w:rPr>
              <w:t xml:space="preserve"> </w:t>
            </w:r>
          </w:p>
        </w:tc>
      </w:tr>
      <w:tr>
        <w:tblPrEx>
          <w:tblCellMar>
            <w:top w:w="0" w:type="dxa"/>
            <w:left w:w="108" w:type="dxa"/>
            <w:bottom w:w="0" w:type="dxa"/>
            <w:right w:w="108" w:type="dxa"/>
          </w:tblCellMar>
        </w:tblPrEx>
        <w:trPr>
          <w:trHeight w:val="1539"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3</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采购代理机构</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名称：  </w:t>
            </w:r>
            <w:r>
              <w:rPr>
                <w:highlight w:val="none"/>
              </w:rPr>
              <w:fldChar w:fldCharType="begin"/>
            </w:r>
            <w:r>
              <w:rPr>
                <w:highlight w:val="none"/>
              </w:rP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rPr>
                <w:highlight w:val="none"/>
              </w:rPr>
              <w:fldChar w:fldCharType="separate"/>
            </w:r>
            <w:r>
              <w:rPr>
                <w:rFonts w:hint="eastAsia" w:ascii="仿宋" w:hAnsi="仿宋" w:eastAsia="仿宋" w:cs="仿宋"/>
                <w:bCs/>
                <w:sz w:val="28"/>
                <w:szCs w:val="28"/>
                <w:highlight w:val="none"/>
              </w:rPr>
              <w:t>新疆鑫创新项目管理有限公司</w:t>
            </w:r>
            <w:r>
              <w:rPr>
                <w:rFonts w:hint="eastAsia" w:ascii="仿宋" w:hAnsi="仿宋" w:eastAsia="仿宋" w:cs="仿宋"/>
                <w:bCs/>
                <w:sz w:val="28"/>
                <w:szCs w:val="28"/>
                <w:highlight w:val="none"/>
              </w:rPr>
              <w:fldChar w:fldCharType="end"/>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地址：  第二师铁门关市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联系人：张道新  蒋贝贝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电话：  13579017845  15276188996</w:t>
            </w:r>
          </w:p>
        </w:tc>
      </w:tr>
      <w:tr>
        <w:tblPrEx>
          <w:tblCellMar>
            <w:top w:w="0" w:type="dxa"/>
            <w:left w:w="108" w:type="dxa"/>
            <w:bottom w:w="0" w:type="dxa"/>
            <w:right w:w="108" w:type="dxa"/>
          </w:tblCellMar>
        </w:tblPrEx>
        <w:trPr>
          <w:trHeight w:val="549"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4</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监管部门</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名  称：第二师铁门关市财政局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地  址：第二师铁门关市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电  话：0996-2922959                  </w:t>
            </w:r>
          </w:p>
          <w:p>
            <w:pPr>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联系人：/                           </w:t>
            </w:r>
          </w:p>
        </w:tc>
      </w:tr>
      <w:tr>
        <w:tblPrEx>
          <w:tblCellMar>
            <w:top w:w="0" w:type="dxa"/>
            <w:left w:w="108" w:type="dxa"/>
            <w:bottom w:w="0" w:type="dxa"/>
            <w:right w:w="108" w:type="dxa"/>
          </w:tblCellMar>
        </w:tblPrEx>
        <w:trPr>
          <w:trHeight w:val="658"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5</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项目控制价</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1200000元</w:t>
            </w:r>
          </w:p>
        </w:tc>
      </w:tr>
      <w:tr>
        <w:tblPrEx>
          <w:tblCellMar>
            <w:top w:w="0" w:type="dxa"/>
            <w:left w:w="108" w:type="dxa"/>
            <w:bottom w:w="0" w:type="dxa"/>
            <w:right w:w="108" w:type="dxa"/>
          </w:tblCellMar>
        </w:tblPrEx>
        <w:trPr>
          <w:trHeight w:val="623"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7</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供应商资格条件</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（1）符合《中华人民共和国政府采购法》第二十二条规定条件。</w:t>
            </w:r>
          </w:p>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（2）投标人应具备有效营业执照,</w:t>
            </w:r>
            <w:r>
              <w:rPr>
                <w:rFonts w:ascii="仿宋" w:hAnsi="仿宋" w:eastAsia="仿宋" w:cs="仿宋"/>
                <w:color w:val="000000"/>
                <w:sz w:val="27"/>
                <w:szCs w:val="27"/>
                <w:highlight w:val="none"/>
              </w:rPr>
              <w:t>具有有效的城乡规划编制乙级及以上资质证书，项目负责人具有行政主管部门颁发注册城乡规划师资格证书。</w:t>
            </w:r>
            <w:r>
              <w:rPr>
                <w:rFonts w:hint="eastAsia" w:ascii="仿宋" w:hAnsi="仿宋" w:eastAsia="仿宋" w:cs="仿宋"/>
                <w:sz w:val="28"/>
                <w:szCs w:val="28"/>
                <w:highlight w:val="none"/>
              </w:rPr>
              <w:t>其他人员、设备、资金、技术等方面具备能够完成本项目能力。</w:t>
            </w:r>
          </w:p>
          <w:p>
            <w:pPr>
              <w:pStyle w:val="31"/>
              <w:widowControl/>
              <w:spacing w:line="420" w:lineRule="atLeast"/>
              <w:jc w:val="left"/>
              <w:rPr>
                <w:rFonts w:ascii="仿宋" w:hAnsi="仿宋" w:eastAsia="仿宋" w:cs="仿宋"/>
                <w:sz w:val="28"/>
                <w:szCs w:val="28"/>
                <w:highlight w:val="none"/>
              </w:rPr>
            </w:pPr>
            <w:r>
              <w:rPr>
                <w:rFonts w:hint="eastAsia" w:ascii="仿宋" w:hAnsi="仿宋" w:eastAsia="仿宋" w:cs="仿宋"/>
                <w:sz w:val="28"/>
                <w:szCs w:val="28"/>
                <w:highlight w:val="none"/>
              </w:rPr>
              <w:t>（3）本次招标不接受联合体投标。</w:t>
            </w:r>
          </w:p>
          <w:p>
            <w:pPr>
              <w:pStyle w:val="31"/>
              <w:widowControl/>
              <w:spacing w:line="420" w:lineRule="atLeast"/>
              <w:jc w:val="left"/>
              <w:rPr>
                <w:rFonts w:ascii="仿宋" w:hAnsi="仿宋" w:eastAsia="仿宋" w:cs="仿宋"/>
                <w:bCs/>
                <w:sz w:val="28"/>
                <w:szCs w:val="28"/>
                <w:highlight w:val="none"/>
              </w:rPr>
            </w:pPr>
            <w:r>
              <w:rPr>
                <w:rFonts w:hint="eastAsia" w:ascii="仿宋" w:hAnsi="仿宋" w:eastAsia="仿宋" w:cs="仿宋"/>
                <w:sz w:val="28"/>
                <w:szCs w:val="28"/>
                <w:highlight w:val="none"/>
              </w:rPr>
              <w:t>（4）其他要求：单位负责人为同一人或者存在直接控股、管理关系的不同供应商，不得参加同一合同下的政府采购活动。供应商须提供在“信用中国”（www.creditchina.gov.cn）和中国政府采购网（www.ccgp.gov.cn）网站上未被列入失信被执行人、重大税收违法案件当事人名单以及政府采购严重违法失信行为记录名单的网页截图或打印件（截图或网页打印件须自招标文件发布之日起至递交响应文件截止时间从上述网站中打印并加盖公章）</w:t>
            </w:r>
            <w:r>
              <w:rPr>
                <w:rFonts w:hint="eastAsia" w:ascii="仿宋" w:hAnsi="仿宋" w:eastAsia="仿宋" w:cs="仿宋"/>
                <w:kern w:val="0"/>
                <w:sz w:val="28"/>
                <w:szCs w:val="28"/>
                <w:highlight w:val="none"/>
              </w:rPr>
              <w:t>（特殊要求）</w:t>
            </w:r>
          </w:p>
        </w:tc>
      </w:tr>
      <w:tr>
        <w:tblPrEx>
          <w:tblCellMar>
            <w:top w:w="0" w:type="dxa"/>
            <w:left w:w="108" w:type="dxa"/>
            <w:bottom w:w="0" w:type="dxa"/>
            <w:right w:w="108" w:type="dxa"/>
          </w:tblCellMar>
        </w:tblPrEx>
        <w:trPr>
          <w:trHeight w:val="194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8</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联合体投标    </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line="360" w:lineRule="auto"/>
              <w:rPr>
                <w:rFonts w:ascii="仿宋" w:hAnsi="仿宋" w:eastAsia="仿宋" w:cs="仿宋"/>
                <w:sz w:val="28"/>
                <w:szCs w:val="28"/>
                <w:highlight w:val="none"/>
              </w:rPr>
            </w:pPr>
            <w:r>
              <w:rPr>
                <w:rFonts w:hint="eastAsia" w:ascii="MS Mincho" w:hAnsi="MS Mincho" w:cs="MS Mincho"/>
                <w:sz w:val="28"/>
                <w:szCs w:val="28"/>
                <w:highlight w:val="none"/>
                <w:lang w:eastAsia="zh-CN"/>
              </w:rPr>
              <w:t>☑</w:t>
            </w:r>
            <w:r>
              <w:rPr>
                <w:rFonts w:hint="eastAsia" w:ascii="仿宋" w:hAnsi="仿宋" w:eastAsia="仿宋" w:cs="仿宋"/>
                <w:sz w:val="28"/>
                <w:szCs w:val="28"/>
                <w:highlight w:val="none"/>
              </w:rPr>
              <w:t>不接受 。</w:t>
            </w:r>
          </w:p>
          <w:p>
            <w:pPr>
              <w:pStyle w:val="32"/>
              <w:adjustRightInd w:val="0"/>
              <w:snapToGrid w:val="0"/>
              <w:spacing w:before="120" w:beforeLines="50" w:line="360" w:lineRule="auto"/>
              <w:rPr>
                <w:rFonts w:ascii="仿宋" w:hAnsi="仿宋" w:eastAsia="仿宋" w:cs="仿宋"/>
                <w:bCs/>
                <w:sz w:val="28"/>
                <w:szCs w:val="28"/>
                <w:highlight w:val="none"/>
              </w:rPr>
            </w:pPr>
            <w:r>
              <w:rPr>
                <w:rFonts w:hint="eastAsia" w:ascii="MS Mincho" w:hAnsi="MS Mincho" w:cs="MS Mincho"/>
                <w:sz w:val="28"/>
                <w:szCs w:val="28"/>
                <w:highlight w:val="none"/>
              </w:rPr>
              <w:t>□</w:t>
            </w:r>
            <w:r>
              <w:rPr>
                <w:rFonts w:hint="eastAsia" w:ascii="仿宋" w:hAnsi="仿宋" w:eastAsia="仿宋" w:cs="仿宋"/>
                <w:sz w:val="28"/>
                <w:szCs w:val="28"/>
                <w:highlight w:val="none"/>
              </w:rPr>
              <w:t>接受。</w:t>
            </w:r>
          </w:p>
        </w:tc>
      </w:tr>
      <w:tr>
        <w:tblPrEx>
          <w:tblCellMar>
            <w:top w:w="0" w:type="dxa"/>
            <w:left w:w="108" w:type="dxa"/>
            <w:bottom w:w="0" w:type="dxa"/>
            <w:right w:w="108" w:type="dxa"/>
          </w:tblCellMar>
        </w:tblPrEx>
        <w:trPr>
          <w:trHeight w:val="1046"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9</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备选方案</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rPr>
                <w:rFonts w:ascii="仿宋" w:hAnsi="仿宋" w:eastAsia="仿宋" w:cs="仿宋"/>
                <w:sz w:val="28"/>
                <w:szCs w:val="28"/>
                <w:highlight w:val="none"/>
              </w:rPr>
            </w:pPr>
            <w:r>
              <w:rPr>
                <w:rFonts w:hint="eastAsia" w:ascii="MS Mincho" w:hAnsi="MS Mincho" w:cs="MS Mincho"/>
                <w:sz w:val="28"/>
                <w:szCs w:val="28"/>
                <w:highlight w:val="none"/>
                <w:lang w:eastAsia="zh-CN"/>
              </w:rPr>
              <w:t>☑</w:t>
            </w:r>
            <w:r>
              <w:rPr>
                <w:rFonts w:hint="eastAsia" w:ascii="仿宋" w:hAnsi="仿宋" w:eastAsia="仿宋" w:cs="仿宋"/>
                <w:sz w:val="28"/>
                <w:szCs w:val="28"/>
                <w:highlight w:val="none"/>
              </w:rPr>
              <w:t xml:space="preserve">不接受            </w:t>
            </w:r>
          </w:p>
          <w:p>
            <w:pPr>
              <w:pStyle w:val="32"/>
              <w:adjustRightInd w:val="0"/>
              <w:snapToGrid w:val="0"/>
              <w:spacing w:before="120" w:beforeLines="50"/>
              <w:rPr>
                <w:rFonts w:ascii="仿宋" w:hAnsi="仿宋" w:eastAsia="仿宋" w:cs="仿宋"/>
                <w:sz w:val="28"/>
                <w:szCs w:val="28"/>
                <w:highlight w:val="none"/>
              </w:rPr>
            </w:pPr>
            <w:r>
              <w:rPr>
                <w:rFonts w:hint="eastAsia" w:ascii="仿宋" w:hAnsi="仿宋" w:eastAsia="仿宋" w:cs="仿宋"/>
                <w:sz w:val="28"/>
                <w:szCs w:val="28"/>
                <w:highlight w:val="none"/>
              </w:rPr>
              <w:t>□ 接受</w:t>
            </w:r>
          </w:p>
          <w:p>
            <w:pPr>
              <w:pStyle w:val="32"/>
              <w:adjustRightInd w:val="0"/>
              <w:snapToGrid w:val="0"/>
              <w:spacing w:before="120" w:beforeLines="50"/>
              <w:rPr>
                <w:rFonts w:ascii="仿宋" w:hAnsi="仿宋" w:eastAsia="仿宋" w:cs="仿宋"/>
                <w:sz w:val="28"/>
                <w:szCs w:val="28"/>
                <w:highlight w:val="none"/>
                <w:u w:val="single"/>
              </w:rPr>
            </w:pPr>
            <w:r>
              <w:rPr>
                <w:rFonts w:hint="eastAsia" w:ascii="仿宋" w:hAnsi="仿宋" w:eastAsia="仿宋" w:cs="仿宋"/>
                <w:sz w:val="28"/>
                <w:szCs w:val="28"/>
                <w:highlight w:val="none"/>
                <w:u w:val="single"/>
              </w:rPr>
              <w:t xml:space="preserve">                                   </w:t>
            </w:r>
          </w:p>
          <w:p>
            <w:pPr>
              <w:pStyle w:val="32"/>
              <w:adjustRightInd w:val="0"/>
              <w:snapToGrid w:val="0"/>
              <w:spacing w:before="120" w:beforeLines="50"/>
              <w:rPr>
                <w:rFonts w:ascii="仿宋" w:hAnsi="仿宋" w:eastAsia="仿宋" w:cs="仿宋"/>
                <w:bCs/>
                <w:sz w:val="28"/>
                <w:szCs w:val="28"/>
                <w:highlight w:val="none"/>
              </w:rPr>
            </w:pPr>
            <w:r>
              <w:rPr>
                <w:rFonts w:hint="eastAsia" w:ascii="仿宋" w:hAnsi="仿宋" w:eastAsia="仿宋" w:cs="仿宋"/>
                <w:sz w:val="28"/>
                <w:szCs w:val="28"/>
                <w:highlight w:val="none"/>
                <w:u w:val="single"/>
              </w:rPr>
              <w:t xml:space="preserve">                                   </w:t>
            </w:r>
          </w:p>
        </w:tc>
      </w:tr>
      <w:tr>
        <w:tblPrEx>
          <w:tblCellMar>
            <w:top w:w="0" w:type="dxa"/>
            <w:left w:w="108" w:type="dxa"/>
            <w:bottom w:w="0" w:type="dxa"/>
            <w:right w:w="108" w:type="dxa"/>
          </w:tblCellMar>
        </w:tblPrEx>
        <w:trPr>
          <w:trHeight w:val="606"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10</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响应文件递交截止时间</w:t>
            </w:r>
          </w:p>
          <w:p>
            <w:pPr>
              <w:adjustRightInd w:val="0"/>
              <w:snapToGrid w:val="0"/>
              <w:spacing w:line="440" w:lineRule="exact"/>
              <w:jc w:val="center"/>
              <w:rPr>
                <w:rFonts w:ascii="仿宋" w:hAnsi="仿宋" w:eastAsia="仿宋" w:cs="仿宋"/>
                <w:bCs/>
                <w:sz w:val="28"/>
                <w:szCs w:val="28"/>
                <w:highlight w:val="none"/>
              </w:rPr>
            </w:pP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line="360" w:lineRule="auto"/>
              <w:rPr>
                <w:rFonts w:ascii="仿宋" w:hAnsi="仿宋" w:eastAsia="仿宋" w:cs="仿宋"/>
                <w:sz w:val="28"/>
                <w:szCs w:val="28"/>
                <w:highlight w:val="none"/>
              </w:rPr>
            </w:pPr>
            <w:r>
              <w:rPr>
                <w:rFonts w:hint="eastAsia" w:ascii="仿宋" w:hAnsi="仿宋" w:eastAsia="仿宋" w:cs="仿宋"/>
                <w:sz w:val="28"/>
                <w:szCs w:val="28"/>
                <w:highlight w:val="none"/>
              </w:rPr>
              <w:t>2022年</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bookmarkStart w:id="63" w:name="_GoBack"/>
            <w:bookmarkEnd w:id="63"/>
            <w:r>
              <w:rPr>
                <w:rFonts w:hint="eastAsia" w:ascii="仿宋" w:hAnsi="仿宋" w:eastAsia="仿宋" w:cs="仿宋"/>
                <w:sz w:val="28"/>
                <w:szCs w:val="28"/>
                <w:highlight w:val="none"/>
              </w:rPr>
              <w:t>日16点00分（北京时间）</w:t>
            </w:r>
          </w:p>
          <w:p>
            <w:pPr>
              <w:pStyle w:val="32"/>
              <w:adjustRightInd w:val="0"/>
              <w:snapToGrid w:val="0"/>
              <w:spacing w:before="120" w:beforeLines="50" w:line="360" w:lineRule="auto"/>
              <w:rPr>
                <w:rFonts w:ascii="仿宋" w:hAnsi="仿宋" w:eastAsia="仿宋" w:cs="仿宋"/>
                <w:bCs/>
                <w:sz w:val="28"/>
                <w:szCs w:val="28"/>
                <w:highlight w:val="none"/>
              </w:rPr>
            </w:pPr>
            <w:r>
              <w:rPr>
                <w:rFonts w:hint="eastAsia" w:ascii="仿宋" w:hAnsi="仿宋" w:eastAsia="仿宋" w:cs="仿宋"/>
                <w:sz w:val="28"/>
                <w:szCs w:val="28"/>
                <w:highlight w:val="none"/>
              </w:rPr>
              <w:t>备注：磋商文件领取截止时间不得少于5个工作日，公告时间不得少于10日。</w:t>
            </w:r>
          </w:p>
        </w:tc>
      </w:tr>
      <w:tr>
        <w:tblPrEx>
          <w:tblCellMar>
            <w:top w:w="0" w:type="dxa"/>
            <w:left w:w="108" w:type="dxa"/>
            <w:bottom w:w="0" w:type="dxa"/>
            <w:right w:w="108" w:type="dxa"/>
          </w:tblCellMar>
        </w:tblPrEx>
        <w:trPr>
          <w:trHeight w:val="1083"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11</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质量要求</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质量标准：达到国家标准,一次性验收合格</w:t>
            </w:r>
          </w:p>
          <w:p>
            <w:pPr>
              <w:adjustRightInd w:val="0"/>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关于质量要求的的详细说明见第三章“采购需求”</w:t>
            </w:r>
          </w:p>
        </w:tc>
      </w:tr>
      <w:tr>
        <w:tblPrEx>
          <w:tblCellMar>
            <w:top w:w="0" w:type="dxa"/>
            <w:left w:w="108" w:type="dxa"/>
            <w:bottom w:w="0" w:type="dxa"/>
            <w:right w:w="108" w:type="dxa"/>
          </w:tblCellMar>
        </w:tblPrEx>
        <w:trPr>
          <w:trHeight w:val="748"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12</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付款方式</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left"/>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 签订合同后，支付合同总价的 </w:t>
            </w:r>
            <w:r>
              <w:rPr>
                <w:rFonts w:hint="eastAsia" w:ascii="仿宋" w:hAnsi="仿宋" w:eastAsia="仿宋" w:cs="仿宋"/>
                <w:bCs/>
                <w:sz w:val="28"/>
                <w:szCs w:val="28"/>
                <w:highlight w:val="none"/>
                <w:u w:val="single"/>
              </w:rPr>
              <w:t xml:space="preserve"> </w:t>
            </w:r>
            <w:r>
              <w:rPr>
                <w:rFonts w:ascii="仿宋" w:hAnsi="仿宋" w:eastAsia="仿宋" w:cs="仿宋"/>
                <w:bCs/>
                <w:sz w:val="28"/>
                <w:szCs w:val="28"/>
                <w:highlight w:val="none"/>
                <w:u w:val="single"/>
              </w:rPr>
              <w:t>30</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%；向甲方提交初步成果资料后，支付合同总价的</w:t>
            </w:r>
            <w:r>
              <w:rPr>
                <w:rFonts w:hint="eastAsia" w:ascii="仿宋" w:hAnsi="仿宋" w:eastAsia="仿宋" w:cs="仿宋"/>
                <w:bCs/>
                <w:sz w:val="28"/>
                <w:szCs w:val="28"/>
                <w:highlight w:val="none"/>
                <w:u w:val="single"/>
              </w:rPr>
              <w:t xml:space="preserve"> </w:t>
            </w:r>
            <w:r>
              <w:rPr>
                <w:rFonts w:ascii="仿宋" w:hAnsi="仿宋" w:eastAsia="仿宋" w:cs="仿宋"/>
                <w:bCs/>
                <w:sz w:val="28"/>
                <w:szCs w:val="28"/>
                <w:highlight w:val="none"/>
                <w:u w:val="single"/>
              </w:rPr>
              <w:t xml:space="preserve">20 </w:t>
            </w:r>
            <w:r>
              <w:rPr>
                <w:rFonts w:hint="eastAsia" w:ascii="仿宋" w:hAnsi="仿宋" w:eastAsia="仿宋" w:cs="仿宋"/>
                <w:bCs/>
                <w:sz w:val="28"/>
                <w:szCs w:val="28"/>
                <w:highlight w:val="none"/>
              </w:rPr>
              <w:t>%；专家评审会结束后，支付合同总价的</w:t>
            </w:r>
            <w:r>
              <w:rPr>
                <w:rFonts w:hint="eastAsia" w:ascii="仿宋" w:hAnsi="仿宋" w:eastAsia="仿宋" w:cs="仿宋"/>
                <w:bCs/>
                <w:sz w:val="28"/>
                <w:szCs w:val="28"/>
                <w:highlight w:val="none"/>
                <w:u w:val="single"/>
              </w:rPr>
              <w:t xml:space="preserve"> </w:t>
            </w:r>
            <w:r>
              <w:rPr>
                <w:rFonts w:ascii="仿宋" w:hAnsi="仿宋" w:eastAsia="仿宋" w:cs="仿宋"/>
                <w:bCs/>
                <w:sz w:val="28"/>
                <w:szCs w:val="28"/>
                <w:highlight w:val="none"/>
                <w:u w:val="single"/>
              </w:rPr>
              <w:t xml:space="preserve">20 </w:t>
            </w:r>
            <w:r>
              <w:rPr>
                <w:rFonts w:ascii="仿宋" w:hAnsi="仿宋" w:eastAsia="仿宋" w:cs="仿宋"/>
                <w:bCs/>
                <w:sz w:val="28"/>
                <w:szCs w:val="28"/>
                <w:highlight w:val="none"/>
              </w:rPr>
              <w:t>%</w:t>
            </w:r>
            <w:r>
              <w:rPr>
                <w:rFonts w:hint="eastAsia" w:ascii="仿宋" w:hAnsi="仿宋" w:eastAsia="仿宋" w:cs="仿宋"/>
                <w:bCs/>
                <w:sz w:val="28"/>
                <w:szCs w:val="28"/>
                <w:highlight w:val="none"/>
              </w:rPr>
              <w:t>；交付最终成果后，甲方支付合同总价剩余的</w:t>
            </w:r>
            <w:r>
              <w:rPr>
                <w:rFonts w:hint="eastAsia" w:ascii="仿宋" w:hAnsi="仿宋" w:eastAsia="仿宋" w:cs="仿宋"/>
                <w:bCs/>
                <w:sz w:val="28"/>
                <w:szCs w:val="28"/>
                <w:highlight w:val="none"/>
                <w:u w:val="single"/>
              </w:rPr>
              <w:t xml:space="preserve"> </w:t>
            </w:r>
            <w:r>
              <w:rPr>
                <w:rFonts w:ascii="仿宋" w:hAnsi="仿宋" w:eastAsia="仿宋" w:cs="仿宋"/>
                <w:bCs/>
                <w:sz w:val="28"/>
                <w:szCs w:val="28"/>
                <w:highlight w:val="none"/>
                <w:u w:val="single"/>
              </w:rPr>
              <w:t>30</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w:t>
            </w:r>
          </w:p>
        </w:tc>
      </w:tr>
      <w:tr>
        <w:tblPrEx>
          <w:tblCellMar>
            <w:top w:w="0" w:type="dxa"/>
            <w:left w:w="108" w:type="dxa"/>
            <w:bottom w:w="0" w:type="dxa"/>
            <w:right w:w="108" w:type="dxa"/>
          </w:tblCellMar>
        </w:tblPrEx>
        <w:trPr>
          <w:trHeight w:val="654"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13</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服务期</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ascii="仿宋" w:hAnsi="仿宋" w:eastAsia="仿宋" w:cs="仿宋"/>
                <w:bCs/>
                <w:sz w:val="28"/>
                <w:szCs w:val="28"/>
                <w:highlight w:val="none"/>
              </w:rPr>
              <w:t xml:space="preserve"> </w:t>
            </w:r>
            <w:r>
              <w:rPr>
                <w:rFonts w:hint="eastAsia" w:ascii="仿宋" w:hAnsi="仿宋" w:eastAsia="仿宋" w:cs="仿宋"/>
                <w:bCs/>
                <w:sz w:val="28"/>
                <w:szCs w:val="28"/>
                <w:highlight w:val="none"/>
              </w:rPr>
              <w:t xml:space="preserve"> </w:t>
            </w:r>
            <w:r>
              <w:rPr>
                <w:rFonts w:ascii="仿宋" w:hAnsi="仿宋" w:eastAsia="仿宋" w:cs="仿宋"/>
                <w:bCs/>
                <w:sz w:val="28"/>
                <w:szCs w:val="28"/>
                <w:highlight w:val="none"/>
              </w:rPr>
              <w:t>6</w:t>
            </w:r>
            <w:r>
              <w:rPr>
                <w:rFonts w:hint="eastAsia" w:ascii="仿宋" w:hAnsi="仿宋" w:eastAsia="仿宋" w:cs="仿宋"/>
                <w:bCs/>
                <w:sz w:val="28"/>
                <w:szCs w:val="28"/>
                <w:highlight w:val="none"/>
              </w:rPr>
              <w:t>个月</w:t>
            </w:r>
          </w:p>
        </w:tc>
      </w:tr>
      <w:tr>
        <w:tblPrEx>
          <w:tblCellMar>
            <w:top w:w="0" w:type="dxa"/>
            <w:left w:w="108" w:type="dxa"/>
            <w:bottom w:w="0" w:type="dxa"/>
            <w:right w:w="108" w:type="dxa"/>
          </w:tblCellMar>
        </w:tblPrEx>
        <w:trPr>
          <w:trHeight w:val="371"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14</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投标报价</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投标包括采购范围内所有项目包含的全部费用。</w:t>
            </w:r>
          </w:p>
        </w:tc>
      </w:tr>
      <w:tr>
        <w:tblPrEx>
          <w:tblCellMar>
            <w:top w:w="0" w:type="dxa"/>
            <w:left w:w="108" w:type="dxa"/>
            <w:bottom w:w="0" w:type="dxa"/>
            <w:right w:w="108" w:type="dxa"/>
          </w:tblCellMar>
        </w:tblPrEx>
        <w:trPr>
          <w:trHeight w:val="657"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15"/>
              </w:tabs>
              <w:adjustRightInd w:val="0"/>
              <w:snapToGrid w:val="0"/>
              <w:spacing w:line="440" w:lineRule="exact"/>
              <w:ind w:firstLine="280" w:firstLineChars="100"/>
              <w:jc w:val="left"/>
              <w:rPr>
                <w:rFonts w:ascii="仿宋" w:hAnsi="仿宋" w:eastAsia="仿宋" w:cs="仿宋"/>
                <w:bCs/>
                <w:sz w:val="28"/>
                <w:szCs w:val="28"/>
                <w:highlight w:val="none"/>
              </w:rPr>
            </w:pPr>
            <w:r>
              <w:rPr>
                <w:rFonts w:hint="eastAsia" w:ascii="仿宋" w:hAnsi="仿宋" w:eastAsia="仿宋" w:cs="仿宋"/>
                <w:bCs/>
                <w:sz w:val="28"/>
                <w:szCs w:val="28"/>
                <w:highlight w:val="none"/>
              </w:rPr>
              <w:t>15</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履约保证金</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无</w:t>
            </w:r>
          </w:p>
        </w:tc>
      </w:tr>
      <w:tr>
        <w:tblPrEx>
          <w:tblCellMar>
            <w:top w:w="0" w:type="dxa"/>
            <w:left w:w="108" w:type="dxa"/>
            <w:bottom w:w="0" w:type="dxa"/>
            <w:right w:w="108" w:type="dxa"/>
          </w:tblCellMar>
        </w:tblPrEx>
        <w:trPr>
          <w:trHeight w:val="657"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16</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投标文件有效期</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u w:val="single"/>
              </w:rPr>
            </w:pPr>
            <w:r>
              <w:rPr>
                <w:rFonts w:hint="eastAsia" w:ascii="仿宋" w:hAnsi="仿宋" w:eastAsia="仿宋" w:cs="仿宋"/>
                <w:bCs/>
                <w:sz w:val="28"/>
                <w:szCs w:val="28"/>
                <w:highlight w:val="none"/>
              </w:rPr>
              <w:t>提交投标文件的截止之日起90天</w:t>
            </w:r>
          </w:p>
        </w:tc>
      </w:tr>
      <w:tr>
        <w:tblPrEx>
          <w:tblCellMar>
            <w:top w:w="0" w:type="dxa"/>
            <w:left w:w="108" w:type="dxa"/>
            <w:bottom w:w="0" w:type="dxa"/>
            <w:right w:w="108" w:type="dxa"/>
          </w:tblCellMar>
        </w:tblPrEx>
        <w:trPr>
          <w:trHeight w:val="657"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p>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17</w:t>
            </w:r>
          </w:p>
          <w:p>
            <w:pPr>
              <w:adjustRightInd w:val="0"/>
              <w:snapToGrid w:val="0"/>
              <w:spacing w:line="440" w:lineRule="exact"/>
              <w:rPr>
                <w:rFonts w:ascii="仿宋" w:hAnsi="仿宋" w:eastAsia="仿宋" w:cs="仿宋"/>
                <w:bCs/>
                <w:sz w:val="28"/>
                <w:szCs w:val="28"/>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p>
          <w:p>
            <w:pPr>
              <w:adjustRightInd w:val="0"/>
              <w:snapToGrid w:val="0"/>
              <w:spacing w:line="440" w:lineRule="exact"/>
              <w:jc w:val="center"/>
              <w:rPr>
                <w:rFonts w:ascii="仿宋" w:hAnsi="仿宋" w:eastAsia="仿宋" w:cs="仿宋"/>
                <w:bCs/>
                <w:sz w:val="28"/>
                <w:szCs w:val="28"/>
                <w:highlight w:val="none"/>
              </w:rPr>
            </w:pPr>
          </w:p>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磋商小组的组建及评审专家的确定方式</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line="360" w:lineRule="auto"/>
              <w:rPr>
                <w:rFonts w:ascii="仿宋" w:hAnsi="仿宋" w:eastAsia="仿宋" w:cs="仿宋"/>
                <w:sz w:val="28"/>
                <w:szCs w:val="28"/>
                <w:highlight w:val="none"/>
              </w:rPr>
            </w:pPr>
            <w:r>
              <w:rPr>
                <w:rFonts w:hint="eastAsia" w:ascii="仿宋" w:hAnsi="仿宋" w:eastAsia="仿宋" w:cs="仿宋"/>
                <w:sz w:val="28"/>
                <w:szCs w:val="28"/>
                <w:highlight w:val="none"/>
              </w:rPr>
              <w:t>采购单位依法组建磋商小组共</w:t>
            </w:r>
            <w:r>
              <w:rPr>
                <w:rFonts w:hint="eastAsia" w:ascii="仿宋" w:hAnsi="仿宋" w:eastAsia="仿宋" w:cs="仿宋"/>
                <w:sz w:val="28"/>
                <w:szCs w:val="28"/>
                <w:highlight w:val="none"/>
                <w:u w:val="single"/>
              </w:rPr>
              <w:t>3</w:t>
            </w:r>
            <w:r>
              <w:rPr>
                <w:rFonts w:hint="eastAsia" w:ascii="仿宋" w:hAnsi="仿宋" w:eastAsia="仿宋" w:cs="仿宋"/>
                <w:sz w:val="28"/>
                <w:szCs w:val="28"/>
                <w:highlight w:val="none"/>
              </w:rPr>
              <w:t>人组成。</w:t>
            </w:r>
          </w:p>
          <w:p>
            <w:pPr>
              <w:pStyle w:val="32"/>
              <w:adjustRightInd w:val="0"/>
              <w:snapToGrid w:val="0"/>
              <w:spacing w:before="120" w:beforeLines="50" w:line="360" w:lineRule="auto"/>
              <w:rPr>
                <w:rFonts w:ascii="仿宋" w:hAnsi="仿宋" w:eastAsia="仿宋" w:cs="仿宋"/>
                <w:sz w:val="28"/>
                <w:szCs w:val="28"/>
                <w:highlight w:val="none"/>
              </w:rPr>
            </w:pPr>
            <w:r>
              <w:rPr>
                <w:rFonts w:hint="eastAsia" w:ascii="仿宋" w:hAnsi="仿宋" w:eastAsia="仿宋" w:cs="仿宋"/>
                <w:sz w:val="28"/>
                <w:szCs w:val="28"/>
                <w:highlight w:val="none"/>
              </w:rPr>
              <w:t>小组确定方式：平台自动抽取</w:t>
            </w:r>
          </w:p>
          <w:p>
            <w:pPr>
              <w:pStyle w:val="32"/>
              <w:adjustRightInd w:val="0"/>
              <w:snapToGrid w:val="0"/>
              <w:spacing w:before="120" w:beforeLines="50" w:line="360" w:lineRule="auto"/>
              <w:rPr>
                <w:rFonts w:ascii="仿宋" w:hAnsi="仿宋" w:eastAsia="仿宋" w:cs="仿宋"/>
                <w:sz w:val="28"/>
                <w:szCs w:val="28"/>
                <w:highlight w:val="none"/>
              </w:rPr>
            </w:pPr>
            <w:r>
              <w:rPr>
                <w:rFonts w:hint="eastAsia" w:ascii="仿宋" w:hAnsi="仿宋" w:eastAsia="仿宋" w:cs="仿宋"/>
                <w:sz w:val="28"/>
                <w:szCs w:val="28"/>
                <w:highlight w:val="none"/>
              </w:rPr>
              <w:t xml:space="preserve">☑计算机随机抽取语音通知方式 </w:t>
            </w:r>
          </w:p>
          <w:p>
            <w:pPr>
              <w:pStyle w:val="32"/>
              <w:adjustRightInd w:val="0"/>
              <w:snapToGrid w:val="0"/>
              <w:spacing w:before="120" w:beforeLines="50" w:line="360" w:lineRule="auto"/>
              <w:rPr>
                <w:rFonts w:ascii="仿宋" w:hAnsi="仿宋" w:eastAsia="仿宋" w:cs="仿宋"/>
                <w:sz w:val="28"/>
                <w:szCs w:val="28"/>
                <w:highlight w:val="none"/>
              </w:rPr>
            </w:pPr>
            <w:r>
              <w:rPr>
                <w:rFonts w:hint="eastAsia" w:ascii="仿宋" w:hAnsi="仿宋" w:eastAsia="仿宋" w:cs="仿宋"/>
                <w:sz w:val="28"/>
                <w:szCs w:val="28"/>
                <w:highlight w:val="none"/>
              </w:rPr>
              <w:t>□其他方式：</w:t>
            </w:r>
          </w:p>
          <w:p>
            <w:pPr>
              <w:pStyle w:val="32"/>
              <w:adjustRightInd w:val="0"/>
              <w:snapToGrid w:val="0"/>
              <w:spacing w:before="120" w:beforeLines="50" w:line="360" w:lineRule="auto"/>
              <w:rPr>
                <w:rFonts w:ascii="仿宋" w:hAnsi="仿宋" w:eastAsia="仿宋" w:cs="仿宋"/>
                <w:bCs/>
                <w:sz w:val="28"/>
                <w:szCs w:val="28"/>
                <w:highlight w:val="none"/>
              </w:rPr>
            </w:pPr>
            <w:r>
              <w:rPr>
                <w:rFonts w:hint="eastAsia" w:ascii="仿宋" w:hAnsi="仿宋" w:eastAsia="仿宋" w:cs="仿宋"/>
                <w:sz w:val="28"/>
                <w:szCs w:val="28"/>
                <w:highlight w:val="none"/>
                <w:u w:val="single"/>
              </w:rPr>
              <w:t xml:space="preserve">                                    </w:t>
            </w:r>
          </w:p>
        </w:tc>
      </w:tr>
      <w:tr>
        <w:tblPrEx>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18</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竞争性磋商文件领取</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75" w:after="75" w:line="360" w:lineRule="auto"/>
              <w:rPr>
                <w:rFonts w:ascii="仿宋" w:hAnsi="仿宋" w:eastAsia="仿宋" w:cs="仿宋"/>
                <w:sz w:val="28"/>
                <w:szCs w:val="28"/>
                <w:highlight w:val="none"/>
              </w:rPr>
            </w:pPr>
            <w:r>
              <w:rPr>
                <w:rFonts w:hint="eastAsia" w:ascii="仿宋" w:hAnsi="仿宋" w:eastAsia="仿宋" w:cs="仿宋"/>
                <w:sz w:val="28"/>
                <w:szCs w:val="28"/>
                <w:highlight w:val="none"/>
              </w:rPr>
              <w:t>供应商登陆新疆兵团政采云平台http://www.zcygov.cn/，在线申请获取采购文件（登录政府采购云平台 → 项目采购 → 获取采购文件 → 申请获取，如有操作性问题，可与政采云在线客服进行咨询，咨询电话：400-881-7190）。 </w:t>
            </w:r>
          </w:p>
          <w:p>
            <w:pPr>
              <w:pStyle w:val="29"/>
              <w:spacing w:line="360" w:lineRule="auto"/>
              <w:jc w:val="both"/>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获取方式：（1）线上免费获取（登录兵团政府采购云平台 → 项目采购 → 获取采购文件 → 申请获取）。中标后需提供纸质版竞争性磋商文件一正二副。 </w:t>
            </w:r>
          </w:p>
        </w:tc>
      </w:tr>
      <w:tr>
        <w:tblPrEx>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19</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是否允许递交备选投标方案</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hint="eastAsia" w:ascii="MS Mincho" w:hAnsi="MS Mincho" w:eastAsia="MS Mincho" w:cs="MS Mincho"/>
                <w:sz w:val="28"/>
                <w:szCs w:val="28"/>
                <w:highlight w:val="none"/>
              </w:rPr>
              <w:t>☑</w:t>
            </w:r>
            <w:r>
              <w:rPr>
                <w:rFonts w:hint="eastAsia" w:ascii="仿宋" w:hAnsi="仿宋" w:eastAsia="仿宋" w:cs="仿宋"/>
                <w:bCs/>
                <w:sz w:val="28"/>
                <w:szCs w:val="28"/>
                <w:highlight w:val="none"/>
              </w:rPr>
              <w:t>不允许</w:t>
            </w:r>
          </w:p>
          <w:p>
            <w:pPr>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□允许</w:t>
            </w:r>
          </w:p>
        </w:tc>
      </w:tr>
      <w:tr>
        <w:tblPrEx>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20</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签字和（或）盖章要求</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企业公章、法人章</w:t>
            </w:r>
          </w:p>
          <w:p>
            <w:pPr>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企业法定代表人或其委托代理人签字</w:t>
            </w:r>
          </w:p>
        </w:tc>
      </w:tr>
      <w:tr>
        <w:tblPrEx>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21</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递交投标</w:t>
            </w:r>
          </w:p>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文件的份数</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left"/>
              <w:rPr>
                <w:rFonts w:ascii="仿宋" w:hAnsi="仿宋" w:eastAsia="仿宋" w:cs="仿宋"/>
                <w:sz w:val="28"/>
                <w:szCs w:val="28"/>
                <w:highlight w:val="none"/>
              </w:rPr>
            </w:pPr>
            <w:r>
              <w:rPr>
                <w:rFonts w:hint="eastAsia" w:ascii="仿宋" w:hAnsi="仿宋" w:eastAsia="仿宋" w:cs="仿宋"/>
                <w:bCs/>
                <w:sz w:val="28"/>
                <w:szCs w:val="28"/>
                <w:highlight w:val="none"/>
              </w:rPr>
              <w:t>中标单位提供纸质版文件一式三份（胶装）+电子文件（光盘三份）。(公示期满寄至</w:t>
            </w:r>
            <w:r>
              <w:rPr>
                <w:rFonts w:hint="eastAsia"/>
                <w:highlight w:val="none"/>
              </w:rPr>
              <w:fldChar w:fldCharType="begin"/>
            </w:r>
            <w:r>
              <w:rPr>
                <w:highlight w:val="none"/>
              </w:rP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rPr>
                <w:rFonts w:hint="eastAsia"/>
                <w:highlight w:val="none"/>
              </w:rPr>
              <w:fldChar w:fldCharType="separate"/>
            </w:r>
            <w:r>
              <w:rPr>
                <w:rFonts w:hint="eastAsia" w:ascii="仿宋" w:hAnsi="仿宋" w:eastAsia="仿宋" w:cs="仿宋"/>
                <w:bCs/>
                <w:sz w:val="28"/>
                <w:szCs w:val="28"/>
                <w:highlight w:val="none"/>
              </w:rPr>
              <w:t>新疆鑫创新项目管理有限公司</w:t>
            </w:r>
            <w:r>
              <w:rPr>
                <w:rFonts w:hint="eastAsia" w:ascii="仿宋" w:hAnsi="仿宋" w:eastAsia="仿宋" w:cs="仿宋"/>
                <w:bCs/>
                <w:sz w:val="28"/>
                <w:szCs w:val="28"/>
                <w:highlight w:val="none"/>
              </w:rPr>
              <w:fldChar w:fldCharType="end"/>
            </w:r>
            <w:r>
              <w:rPr>
                <w:rFonts w:hint="eastAsia" w:ascii="仿宋" w:hAnsi="仿宋" w:eastAsia="仿宋" w:cs="仿宋"/>
                <w:bCs/>
                <w:sz w:val="28"/>
                <w:szCs w:val="28"/>
                <w:highlight w:val="none"/>
              </w:rPr>
              <w:t>)</w:t>
            </w:r>
          </w:p>
        </w:tc>
      </w:tr>
      <w:tr>
        <w:tblPrEx>
          <w:tblCellMar>
            <w:top w:w="0" w:type="dxa"/>
            <w:left w:w="108" w:type="dxa"/>
            <w:bottom w:w="0" w:type="dxa"/>
            <w:right w:w="108" w:type="dxa"/>
          </w:tblCellMar>
        </w:tblPrEx>
        <w:trPr>
          <w:trHeight w:val="395"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22</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仿宋" w:hAnsi="仿宋" w:eastAsia="仿宋" w:cs="仿宋"/>
                <w:bCs/>
                <w:sz w:val="28"/>
                <w:szCs w:val="28"/>
                <w:highlight w:val="none"/>
              </w:rPr>
            </w:pPr>
            <w:r>
              <w:rPr>
                <w:rFonts w:hint="eastAsia" w:ascii="仿宋" w:hAnsi="仿宋" w:eastAsia="仿宋" w:cs="仿宋"/>
                <w:bCs/>
                <w:sz w:val="28"/>
                <w:szCs w:val="28"/>
                <w:highlight w:val="none"/>
              </w:rPr>
              <w:t>投标文件（电子加密文件）递交</w:t>
            </w:r>
          </w:p>
          <w:p>
            <w:pPr>
              <w:adjustRightInd w:val="0"/>
              <w:snapToGrid w:val="0"/>
              <w:spacing w:line="360" w:lineRule="auto"/>
              <w:jc w:val="center"/>
              <w:rPr>
                <w:rFonts w:ascii="仿宋" w:hAnsi="仿宋" w:eastAsia="仿宋" w:cs="仿宋"/>
                <w:bCs/>
                <w:sz w:val="28"/>
                <w:szCs w:val="28"/>
                <w:highlight w:val="none"/>
              </w:rPr>
            </w:pPr>
            <w:r>
              <w:rPr>
                <w:rFonts w:hint="eastAsia" w:ascii="仿宋" w:hAnsi="仿宋" w:eastAsia="仿宋" w:cs="仿宋"/>
                <w:bCs/>
                <w:sz w:val="28"/>
                <w:szCs w:val="28"/>
                <w:highlight w:val="none"/>
              </w:rPr>
              <w:t>时间及地点</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before="255" w:after="255" w:line="360" w:lineRule="auto"/>
              <w:jc w:val="both"/>
              <w:rPr>
                <w:rFonts w:ascii="仿宋" w:hAnsi="仿宋" w:eastAsia="仿宋" w:cs="仿宋"/>
                <w:sz w:val="28"/>
                <w:szCs w:val="28"/>
                <w:highlight w:val="none"/>
              </w:rPr>
            </w:pPr>
            <w:r>
              <w:rPr>
                <w:rFonts w:hint="eastAsia" w:ascii="仿宋" w:hAnsi="仿宋" w:eastAsia="仿宋" w:cs="仿宋"/>
                <w:sz w:val="28"/>
                <w:szCs w:val="28"/>
                <w:highlight w:val="none"/>
              </w:rPr>
              <w:t>提交投标文件截止时间：202</w:t>
            </w:r>
            <w:r>
              <w:rPr>
                <w:rFonts w:ascii="仿宋" w:hAnsi="仿宋" w:eastAsia="仿宋" w:cs="仿宋"/>
                <w:sz w:val="28"/>
                <w:szCs w:val="28"/>
                <w:highlight w:val="none"/>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日16点00分（北京时间）投标地点（网址）：</w:t>
            </w:r>
            <w:r>
              <w:rPr>
                <w:rFonts w:hint="eastAsia"/>
                <w:highlight w:val="none"/>
              </w:rPr>
              <w:fldChar w:fldCharType="begin"/>
            </w:r>
            <w:r>
              <w:rPr>
                <w:highlight w:val="none"/>
              </w:rPr>
              <w:instrText xml:space="preserve"> HYPERLINK "https://www.zcygov.cn" </w:instrText>
            </w:r>
            <w:r>
              <w:rPr>
                <w:rFonts w:hint="eastAsia"/>
                <w:highlight w:val="none"/>
              </w:rPr>
              <w:fldChar w:fldCharType="separate"/>
            </w:r>
            <w:r>
              <w:rPr>
                <w:rFonts w:hint="eastAsia" w:ascii="仿宋" w:hAnsi="仿宋" w:eastAsia="仿宋" w:cs="仿宋"/>
                <w:sz w:val="28"/>
                <w:szCs w:val="28"/>
                <w:highlight w:val="none"/>
              </w:rPr>
              <w:t>https://www.zcygov.cn</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在线投标 。</w:t>
            </w:r>
          </w:p>
          <w:p>
            <w:pPr>
              <w:pStyle w:val="19"/>
              <w:spacing w:before="255" w:after="255" w:line="360" w:lineRule="auto"/>
              <w:jc w:val="both"/>
              <w:rPr>
                <w:rFonts w:ascii="仿宋" w:hAnsi="仿宋" w:eastAsia="仿宋" w:cs="仿宋"/>
                <w:sz w:val="28"/>
                <w:szCs w:val="28"/>
                <w:highlight w:val="none"/>
              </w:rPr>
            </w:pPr>
            <w:r>
              <w:rPr>
                <w:rFonts w:hint="eastAsia" w:ascii="仿宋" w:hAnsi="仿宋" w:eastAsia="仿宋" w:cs="仿宋"/>
                <w:sz w:val="28"/>
                <w:szCs w:val="28"/>
                <w:highlight w:val="none"/>
              </w:rPr>
              <w:t>开标时间：202</w:t>
            </w:r>
            <w:r>
              <w:rPr>
                <w:rFonts w:ascii="仿宋" w:hAnsi="仿宋" w:eastAsia="仿宋" w:cs="仿宋"/>
                <w:sz w:val="28"/>
                <w:szCs w:val="28"/>
                <w:highlight w:val="none"/>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日16点00分（北京时间）</w:t>
            </w:r>
          </w:p>
          <w:p>
            <w:pPr>
              <w:pStyle w:val="19"/>
              <w:spacing w:before="75" w:after="75" w:line="360" w:lineRule="auto"/>
              <w:rPr>
                <w:rFonts w:ascii="仿宋" w:hAnsi="仿宋" w:eastAsia="仿宋" w:cs="仿宋"/>
                <w:sz w:val="28"/>
                <w:szCs w:val="28"/>
                <w:highlight w:val="none"/>
              </w:rPr>
            </w:pPr>
            <w:r>
              <w:rPr>
                <w:rFonts w:hint="eastAsia" w:ascii="仿宋" w:hAnsi="仿宋" w:eastAsia="仿宋" w:cs="仿宋"/>
                <w:sz w:val="28"/>
                <w:szCs w:val="28"/>
                <w:highlight w:val="none"/>
              </w:rPr>
              <w:t>开标地点：https://www.zcygov.cn  </w:t>
            </w:r>
          </w:p>
        </w:tc>
      </w:tr>
      <w:tr>
        <w:tblPrEx>
          <w:tblCellMar>
            <w:top w:w="0" w:type="dxa"/>
            <w:left w:w="108" w:type="dxa"/>
            <w:bottom w:w="0" w:type="dxa"/>
            <w:right w:w="108" w:type="dxa"/>
          </w:tblCellMar>
        </w:tblPrEx>
        <w:trPr>
          <w:trHeight w:val="694"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23</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是否退还投标文件</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rPr>
                <w:rFonts w:ascii="仿宋" w:hAnsi="仿宋" w:eastAsia="仿宋" w:cs="仿宋"/>
                <w:bCs/>
                <w:sz w:val="28"/>
                <w:szCs w:val="28"/>
                <w:highlight w:val="none"/>
              </w:rPr>
            </w:pPr>
            <w:r>
              <w:rPr>
                <w:rFonts w:hint="eastAsia" w:ascii="MS Mincho" w:hAnsi="MS Mincho" w:eastAsia="MS Mincho" w:cs="MS Mincho"/>
                <w:sz w:val="28"/>
                <w:szCs w:val="28"/>
                <w:highlight w:val="none"/>
              </w:rPr>
              <w:t>☑</w:t>
            </w:r>
            <w:r>
              <w:rPr>
                <w:rFonts w:hint="eastAsia" w:ascii="仿宋" w:hAnsi="仿宋" w:eastAsia="仿宋" w:cs="仿宋"/>
                <w:bCs/>
                <w:sz w:val="28"/>
                <w:szCs w:val="28"/>
                <w:highlight w:val="none"/>
              </w:rPr>
              <w:t>否</w:t>
            </w:r>
          </w:p>
          <w:p>
            <w:pPr>
              <w:snapToGrid w:val="0"/>
              <w:spacing w:line="440" w:lineRule="exact"/>
              <w:rPr>
                <w:rFonts w:ascii="仿宋" w:hAnsi="仿宋" w:eastAsia="仿宋" w:cs="仿宋"/>
                <w:bCs/>
                <w:sz w:val="28"/>
                <w:szCs w:val="28"/>
                <w:highlight w:val="none"/>
              </w:rPr>
            </w:pPr>
            <w:r>
              <w:rPr>
                <w:rFonts w:hint="eastAsia" w:ascii="仿宋" w:hAnsi="仿宋" w:eastAsia="仿宋" w:cs="仿宋"/>
                <w:bCs/>
                <w:sz w:val="28"/>
                <w:szCs w:val="28"/>
                <w:highlight w:val="none"/>
              </w:rPr>
              <w:t>□是</w:t>
            </w:r>
          </w:p>
        </w:tc>
      </w:tr>
      <w:tr>
        <w:tblPrEx>
          <w:tblCellMar>
            <w:top w:w="0" w:type="dxa"/>
            <w:left w:w="108" w:type="dxa"/>
            <w:bottom w:w="0" w:type="dxa"/>
            <w:right w:w="108" w:type="dxa"/>
          </w:tblCellMar>
        </w:tblPrEx>
        <w:trPr>
          <w:trHeight w:val="90"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24</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知识产权</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1投标人须保证，采购人在中华人民共和国境内使用投标设施设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snapToGrid w:val="0"/>
              <w:spacing w:line="440" w:lineRule="exact"/>
              <w:rPr>
                <w:rFonts w:ascii="仿宋" w:hAnsi="仿宋" w:eastAsia="仿宋" w:cs="仿宋"/>
                <w:bCs/>
                <w:sz w:val="28"/>
                <w:szCs w:val="28"/>
                <w:highlight w:val="none"/>
              </w:rPr>
            </w:pPr>
            <w:r>
              <w:rPr>
                <w:rFonts w:hint="eastAsia" w:ascii="仿宋" w:hAnsi="仿宋" w:eastAsia="仿宋" w:cs="仿宋"/>
                <w:sz w:val="28"/>
                <w:szCs w:val="28"/>
                <w:highlight w:val="none"/>
              </w:rPr>
              <w:t>2投标人如欲在项目实施过程中采用自有知识成果，须在投标文件中声明，并提供相关知识产权证明文件。使用该知识成果后，投标人须提供开发接口和开发手册等技术文档。</w:t>
            </w:r>
          </w:p>
        </w:tc>
      </w:tr>
      <w:tr>
        <w:tblPrEx>
          <w:tblCellMar>
            <w:top w:w="0" w:type="dxa"/>
            <w:left w:w="108" w:type="dxa"/>
            <w:bottom w:w="0" w:type="dxa"/>
            <w:right w:w="108" w:type="dxa"/>
          </w:tblCellMar>
        </w:tblPrEx>
        <w:trPr>
          <w:trHeight w:val="4107"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line="360" w:lineRule="auto"/>
              <w:jc w:val="center"/>
              <w:rPr>
                <w:rFonts w:ascii="仿宋" w:hAnsi="仿宋" w:eastAsia="仿宋" w:cs="仿宋"/>
                <w:bCs/>
                <w:sz w:val="28"/>
                <w:szCs w:val="28"/>
                <w:highlight w:val="none"/>
              </w:rPr>
            </w:pPr>
            <w:r>
              <w:rPr>
                <w:rFonts w:hint="eastAsia" w:ascii="仿宋" w:hAnsi="仿宋" w:eastAsia="仿宋" w:cs="仿宋"/>
                <w:sz w:val="28"/>
                <w:szCs w:val="28"/>
                <w:highlight w:val="none"/>
              </w:rPr>
              <w:t>26</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代理服务费</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□不交纳。</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☑交纳。</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收款单位账户名称：新疆鑫创新项目管理有限公司</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账    号： 736080100100057935</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开 户 行：库尔勒银行股份有限公司亲水湾支行</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电  话：13579017845  </w:t>
            </w:r>
          </w:p>
        </w:tc>
      </w:tr>
      <w:tr>
        <w:tblPrEx>
          <w:tblCellMar>
            <w:top w:w="0" w:type="dxa"/>
            <w:left w:w="108" w:type="dxa"/>
            <w:bottom w:w="0" w:type="dxa"/>
            <w:right w:w="108" w:type="dxa"/>
          </w:tblCellMar>
        </w:tblPrEx>
        <w:trPr>
          <w:trHeight w:val="675"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before="120" w:beforeLines="50" w:line="360" w:lineRule="auto"/>
              <w:jc w:val="center"/>
              <w:rPr>
                <w:rFonts w:ascii="仿宋" w:hAnsi="仿宋" w:eastAsia="仿宋" w:cs="仿宋"/>
                <w:sz w:val="28"/>
                <w:szCs w:val="28"/>
                <w:highlight w:val="none"/>
              </w:rPr>
            </w:pPr>
            <w:r>
              <w:rPr>
                <w:rFonts w:hint="eastAsia" w:ascii="仿宋" w:hAnsi="仿宋" w:eastAsia="仿宋" w:cs="仿宋"/>
                <w:sz w:val="28"/>
                <w:szCs w:val="28"/>
                <w:highlight w:val="none"/>
              </w:rPr>
              <w:t>27</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中小微型等企业</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有关政策</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 （1）《关于调整优化节能产品、环境标志产品政府强制执行机制的通知》（财库〔2019〕9号）；</w:t>
            </w:r>
          </w:p>
          <w:p>
            <w:pPr>
              <w:adjustRightInd w:val="0"/>
              <w:snapToGrid w:val="0"/>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（2）《政府采购促进中小企业发展管理办法》（财库〔2020〕46号）；</w:t>
            </w:r>
          </w:p>
          <w:p>
            <w:pPr>
              <w:adjustRightInd w:val="0"/>
              <w:snapToGrid w:val="0"/>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（3）《关于进一步加大政府采购支持中小企业力度的通知》（财库〔2022〕19号）；</w:t>
            </w:r>
          </w:p>
          <w:p>
            <w:pPr>
              <w:adjustRightInd w:val="0"/>
              <w:snapToGrid w:val="0"/>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（4）《财政部、司法部关于政府采购支持监狱企业发展有关问题的通知》（财库〔2014〕68号）；</w:t>
            </w:r>
          </w:p>
          <w:p>
            <w:pPr>
              <w:adjustRightInd w:val="0"/>
              <w:snapToGrid w:val="0"/>
              <w:spacing w:line="360" w:lineRule="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（5）《财政部 民政部 中国残疾人联合会关于促进残疾人就业政府采购政策的通知》财库〔2017〕141号； </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（6）关于印发《商品包装政府采购需求标准（试行）》、《快递包装政府 采购需求标准（试行）》的通知（财办库〔2020〕123 号）。</w:t>
            </w:r>
          </w:p>
        </w:tc>
      </w:tr>
      <w:tr>
        <w:tblPrEx>
          <w:tblCellMar>
            <w:top w:w="0" w:type="dxa"/>
            <w:left w:w="108" w:type="dxa"/>
            <w:bottom w:w="0" w:type="dxa"/>
            <w:right w:w="108" w:type="dxa"/>
          </w:tblCellMar>
        </w:tblPrEx>
        <w:trPr>
          <w:trHeight w:val="1123"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r>
              <w:rPr>
                <w:rFonts w:hint="eastAsia" w:ascii="仿宋" w:hAnsi="仿宋" w:eastAsia="仿宋" w:cs="仿宋"/>
                <w:bCs/>
                <w:sz w:val="28"/>
                <w:szCs w:val="28"/>
                <w:highlight w:val="none"/>
              </w:rPr>
              <w:t>28</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仿宋" w:hAnsi="仿宋" w:eastAsia="仿宋" w:cs="仿宋"/>
                <w:bCs/>
                <w:sz w:val="28"/>
                <w:szCs w:val="28"/>
                <w:highlight w:val="none"/>
              </w:rPr>
            </w:pPr>
            <w:r>
              <w:rPr>
                <w:rFonts w:hint="eastAsia" w:ascii="仿宋" w:hAnsi="仿宋" w:eastAsia="仿宋" w:cs="仿宋"/>
                <w:bCs/>
                <w:sz w:val="28"/>
                <w:szCs w:val="28"/>
                <w:highlight w:val="none"/>
              </w:rPr>
              <w:t>其他说明</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1.请投标单位提前自学线上开标流程；投标截止时间当天，线上开标环节，投标文件解密时长30分钟，请各投标单位请自带笔记本电脑及CA锁网上进行文件解密以及操作投标事项，请投标人提前参考公告内第9条“其他”内容调试好在线参标电脑各项配置。</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2.竞争性磋商文件中采购清单、技术需求等如有偏差，如有疑义请在202</w:t>
            </w:r>
            <w:r>
              <w:rPr>
                <w:rFonts w:ascii="仿宋" w:hAnsi="仿宋" w:eastAsia="仿宋" w:cs="仿宋"/>
                <w:bCs/>
                <w:sz w:val="28"/>
                <w:szCs w:val="28"/>
                <w:highlight w:val="none"/>
              </w:rPr>
              <w:t>2</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lang w:val="en-US" w:eastAsia="zh-CN"/>
              </w:rPr>
              <w:t>11</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lang w:val="en-US" w:eastAsia="zh-CN"/>
              </w:rPr>
              <w:t>28</w:t>
            </w:r>
            <w:r>
              <w:rPr>
                <w:rFonts w:hint="eastAsia" w:ascii="仿宋" w:hAnsi="仿宋" w:eastAsia="仿宋" w:cs="仿宋"/>
                <w:bCs/>
                <w:sz w:val="28"/>
                <w:szCs w:val="28"/>
                <w:highlight w:val="none"/>
              </w:rPr>
              <w:t>日20：00前及时提出；否则视为充分理解竞争性磋商文件各项要求。</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3.本次采用新疆兵团政府采购云平台线上采购、投标，请各潜在投标人及时办理CA锁和学习兵团政府采购云平台线上投标相关知识。请在新疆兵团政府采购云平台登录后，进行下载竞争性磋商文件。请各投标人获取竞争性磋商文件后及时关注云平台答疑文件获取栏目。具体相关事宜见政府采购云平台。本项目采用资格后审，请投标人仔细阅读竞争性磋商文件和各项要求，制作文件及相关资料过程中，若因投标人资格条件不符、提供资料不全等原因导致投标文件予以退还，责任自负。</w:t>
            </w:r>
          </w:p>
          <w:p>
            <w:pPr>
              <w:adjustRightInd w:val="0"/>
              <w:snapToGrid w:val="0"/>
              <w:spacing w:line="360" w:lineRule="auto"/>
              <w:rPr>
                <w:rFonts w:ascii="仿宋" w:hAnsi="仿宋" w:eastAsia="仿宋" w:cs="仿宋"/>
                <w:b/>
                <w:sz w:val="28"/>
                <w:szCs w:val="28"/>
                <w:highlight w:val="none"/>
              </w:rPr>
            </w:pPr>
            <w:r>
              <w:rPr>
                <w:rFonts w:hint="eastAsia" w:ascii="仿宋" w:hAnsi="仿宋" w:eastAsia="仿宋" w:cs="仿宋"/>
                <w:bCs/>
                <w:sz w:val="28"/>
                <w:szCs w:val="28"/>
                <w:highlight w:val="none"/>
              </w:rPr>
              <w:t>竞争性磋商文件中如有内容冲突的地方，以投标须知要求为准。</w:t>
            </w:r>
          </w:p>
        </w:tc>
      </w:tr>
      <w:tr>
        <w:tblPrEx>
          <w:tblCellMar>
            <w:top w:w="0" w:type="dxa"/>
            <w:left w:w="108" w:type="dxa"/>
            <w:bottom w:w="0" w:type="dxa"/>
            <w:right w:w="108" w:type="dxa"/>
          </w:tblCellMar>
        </w:tblPrEx>
        <w:trPr>
          <w:trHeight w:val="1123" w:hRule="atLeast"/>
          <w:jc w:val="center"/>
        </w:trPr>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440" w:lineRule="exact"/>
              <w:jc w:val="center"/>
              <w:rPr>
                <w:rFonts w:ascii="仿宋" w:hAnsi="仿宋" w:eastAsia="仿宋" w:cs="仿宋"/>
                <w:bCs/>
                <w:sz w:val="28"/>
                <w:szCs w:val="28"/>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ascii="仿宋" w:hAnsi="仿宋" w:eastAsia="仿宋" w:cs="仿宋"/>
                <w:bCs/>
                <w:sz w:val="28"/>
                <w:szCs w:val="28"/>
                <w:highlight w:val="none"/>
              </w:rPr>
            </w:pPr>
            <w:r>
              <w:rPr>
                <w:rFonts w:hint="eastAsia" w:ascii="仿宋" w:hAnsi="仿宋" w:eastAsia="仿宋" w:cs="仿宋"/>
                <w:bCs/>
                <w:sz w:val="28"/>
                <w:szCs w:val="28"/>
                <w:highlight w:val="none"/>
              </w:rPr>
              <w:t>备注</w:t>
            </w:r>
          </w:p>
        </w:tc>
        <w:tc>
          <w:tcPr>
            <w:tcW w:w="662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中小微型企业有关政策：(1)根据工信部等部委发布的《关于印发中小企业划型标准规定的通知》（工信部联企业[2011]300号）规定执行；财政部近日印发《关于进一步加大政府采购支持中小企业力度的通知》（财库〔2022〕19号）。</w:t>
            </w:r>
          </w:p>
          <w:p>
            <w:pPr>
              <w:adjustRightInd w:val="0"/>
              <w:snapToGrid w:val="0"/>
              <w:spacing w:line="360" w:lineRule="auto"/>
              <w:rPr>
                <w:rFonts w:ascii="仿宋" w:hAnsi="仿宋" w:eastAsia="仿宋" w:cs="仿宋"/>
                <w:bCs/>
                <w:sz w:val="28"/>
                <w:szCs w:val="28"/>
                <w:highlight w:val="none"/>
              </w:rPr>
            </w:pPr>
            <w:r>
              <w:rPr>
                <w:rFonts w:hint="eastAsia" w:ascii="仿宋" w:hAnsi="仿宋" w:eastAsia="仿宋" w:cs="仿宋"/>
                <w:bCs/>
                <w:sz w:val="28"/>
                <w:szCs w:val="28"/>
                <w:highlight w:val="none"/>
              </w:rPr>
              <w:t>(2)价格扣除幅度：价格给予10 %的扣除。</w:t>
            </w:r>
          </w:p>
        </w:tc>
      </w:tr>
    </w:tbl>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29"/>
        <w:spacing w:line="360" w:lineRule="auto"/>
        <w:jc w:val="center"/>
        <w:rPr>
          <w:rFonts w:ascii="仿宋" w:hAnsi="仿宋" w:eastAsia="仿宋" w:cs="仿宋"/>
          <w:b/>
          <w:color w:val="auto"/>
          <w:sz w:val="28"/>
          <w:szCs w:val="28"/>
          <w:highlight w:val="none"/>
        </w:rPr>
      </w:pPr>
    </w:p>
    <w:p>
      <w:pPr>
        <w:pStyle w:val="35"/>
        <w:jc w:val="center"/>
        <w:rPr>
          <w:rFonts w:ascii="宋体" w:hAnsi="宋体" w:cs="宋体"/>
          <w:sz w:val="28"/>
          <w:szCs w:val="28"/>
          <w:highlight w:val="none"/>
        </w:rPr>
        <w:sectPr>
          <w:pgSz w:w="11910" w:h="16840"/>
          <w:pgMar w:top="1560" w:right="1380" w:bottom="1160" w:left="1520" w:header="720" w:footer="972" w:gutter="0"/>
          <w:pgNumType w:start="1"/>
          <w:cols w:space="720" w:num="1"/>
        </w:sectPr>
      </w:pPr>
      <w:bookmarkStart w:id="0" w:name="_Toc256000005"/>
      <w:bookmarkStart w:id="1" w:name="_Toc256000014"/>
      <w:bookmarkStart w:id="2" w:name="_Toc5724"/>
      <w:bookmarkStart w:id="3" w:name="OLE_LINK1"/>
    </w:p>
    <w:p>
      <w:pPr>
        <w:pStyle w:val="35"/>
        <w:jc w:val="center"/>
        <w:rPr>
          <w:rFonts w:ascii="宋体" w:hAnsi="宋体" w:cs="宋体"/>
          <w:sz w:val="28"/>
          <w:szCs w:val="28"/>
          <w:highlight w:val="none"/>
        </w:rPr>
      </w:pPr>
      <w:r>
        <w:rPr>
          <w:rFonts w:hint="eastAsia" w:ascii="宋体" w:hAnsi="宋体" w:cs="宋体"/>
          <w:sz w:val="28"/>
          <w:szCs w:val="28"/>
          <w:highlight w:val="none"/>
        </w:rPr>
        <w:t>一、说明</w:t>
      </w:r>
      <w:bookmarkEnd w:id="0"/>
      <w:bookmarkEnd w:id="1"/>
      <w:bookmarkEnd w:id="2"/>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1.1  适用范围</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1.1本磋商文件仅适用于本磋商邀请中所叙述的采购项目。</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1.2  项目概况</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见</w:t>
      </w:r>
      <w:r>
        <w:rPr>
          <w:rFonts w:hint="eastAsia" w:ascii="宋体" w:hAnsi="宋体" w:cs="宋体"/>
          <w:b/>
          <w:sz w:val="28"/>
          <w:szCs w:val="28"/>
          <w:highlight w:val="none"/>
        </w:rPr>
        <w:t>投标人须知前附表1</w:t>
      </w:r>
      <w:r>
        <w:rPr>
          <w:rFonts w:hint="eastAsia" w:ascii="宋体" w:hAnsi="宋体" w:cs="宋体"/>
          <w:sz w:val="28"/>
          <w:szCs w:val="28"/>
          <w:highlight w:val="none"/>
        </w:rPr>
        <w:t>。</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1.3  合格的供应商</w:t>
      </w:r>
    </w:p>
    <w:p>
      <w:pPr>
        <w:pStyle w:val="37"/>
        <w:adjustRightInd w:val="0"/>
        <w:snapToGrid w:val="0"/>
        <w:spacing w:after="200" w:line="360" w:lineRule="auto"/>
        <w:ind w:firstLine="560" w:firstLineChars="200"/>
        <w:rPr>
          <w:rFonts w:ascii="宋体" w:hAnsi="宋体" w:cs="宋体"/>
          <w:b/>
          <w:bCs/>
          <w:sz w:val="28"/>
          <w:szCs w:val="28"/>
          <w:highlight w:val="none"/>
        </w:rPr>
      </w:pPr>
      <w:r>
        <w:rPr>
          <w:rFonts w:hint="eastAsia" w:ascii="宋体" w:hAnsi="宋体" w:cs="宋体"/>
          <w:bCs/>
          <w:sz w:val="28"/>
          <w:szCs w:val="28"/>
          <w:highlight w:val="none"/>
        </w:rPr>
        <w:t>1.3.1 供应商的资格要求见</w:t>
      </w:r>
      <w:r>
        <w:rPr>
          <w:rFonts w:hint="eastAsia" w:ascii="宋体" w:hAnsi="宋体" w:cs="宋体"/>
          <w:b/>
          <w:sz w:val="28"/>
          <w:szCs w:val="28"/>
          <w:highlight w:val="none"/>
        </w:rPr>
        <w:t>投标人须知前附表1</w:t>
      </w:r>
      <w:r>
        <w:rPr>
          <w:rFonts w:hint="eastAsia" w:ascii="宋体" w:hAnsi="宋体" w:cs="宋体"/>
          <w:sz w:val="28"/>
          <w:szCs w:val="28"/>
          <w:highlight w:val="none"/>
        </w:rPr>
        <w:t>；</w:t>
      </w:r>
    </w:p>
    <w:p>
      <w:pPr>
        <w:pStyle w:val="37"/>
        <w:spacing w:after="200" w:line="360" w:lineRule="auto"/>
        <w:ind w:firstLine="420"/>
        <w:rPr>
          <w:rFonts w:ascii="宋体" w:hAnsi="宋体" w:cs="宋体"/>
          <w:sz w:val="28"/>
          <w:szCs w:val="28"/>
          <w:highlight w:val="none"/>
        </w:rPr>
      </w:pPr>
      <w:r>
        <w:rPr>
          <w:rFonts w:hint="eastAsia" w:ascii="宋体" w:hAnsi="宋体" w:cs="宋体"/>
          <w:sz w:val="28"/>
          <w:szCs w:val="28"/>
          <w:highlight w:val="none"/>
        </w:rPr>
        <w:t>1.3.2凡为本采购项目提供整体设计、规范编制或者项目管理、监理、检测等服务的供应商，不得参加报价。</w:t>
      </w:r>
    </w:p>
    <w:p>
      <w:pPr>
        <w:pStyle w:val="37"/>
        <w:spacing w:after="200" w:line="360" w:lineRule="auto"/>
        <w:ind w:firstLine="420"/>
        <w:rPr>
          <w:rFonts w:ascii="宋体" w:hAnsi="宋体" w:cs="宋体"/>
          <w:sz w:val="28"/>
          <w:szCs w:val="28"/>
          <w:highlight w:val="none"/>
        </w:rPr>
      </w:pPr>
      <w:r>
        <w:rPr>
          <w:rFonts w:hint="eastAsia" w:ascii="宋体" w:hAnsi="宋体" w:cs="宋体"/>
          <w:sz w:val="28"/>
          <w:szCs w:val="28"/>
          <w:highlight w:val="none"/>
        </w:rPr>
        <w:t>1.3.3一个供应商只能提交一个响应文件。但如果不同供应商之间的单位负责人为同一人或者存在直接控股、管理关系的，均作无效报价处理。</w:t>
      </w:r>
    </w:p>
    <w:p>
      <w:pPr>
        <w:pStyle w:val="37"/>
        <w:spacing w:after="200" w:line="360" w:lineRule="auto"/>
        <w:ind w:firstLine="420"/>
        <w:rPr>
          <w:rFonts w:ascii="宋体" w:hAnsi="宋体" w:cs="宋体"/>
          <w:sz w:val="28"/>
          <w:szCs w:val="28"/>
          <w:highlight w:val="none"/>
        </w:rPr>
      </w:pPr>
      <w:r>
        <w:rPr>
          <w:rFonts w:hint="eastAsia" w:ascii="宋体" w:hAnsi="宋体" w:cs="宋体"/>
          <w:sz w:val="28"/>
          <w:szCs w:val="28"/>
          <w:highlight w:val="none"/>
        </w:rPr>
        <w:t>1.3.4供应商存在下列情形之一的，将被认定为串通报价行为并作无效报价处理：</w:t>
      </w:r>
    </w:p>
    <w:p>
      <w:pPr>
        <w:pStyle w:val="37"/>
        <w:spacing w:after="200" w:line="360" w:lineRule="auto"/>
        <w:ind w:firstLine="420"/>
        <w:rPr>
          <w:rFonts w:ascii="宋体" w:hAnsi="宋体" w:cs="宋体"/>
          <w:sz w:val="28"/>
          <w:szCs w:val="28"/>
          <w:highlight w:val="none"/>
        </w:rPr>
      </w:pPr>
      <w:r>
        <w:rPr>
          <w:rFonts w:hint="eastAsia" w:ascii="宋体" w:hAnsi="宋体" w:cs="宋体"/>
          <w:sz w:val="28"/>
          <w:szCs w:val="28"/>
          <w:highlight w:val="none"/>
        </w:rPr>
        <w:t>（1）不同供应商的响应文件错、漏之处一致或雷同，且不能合理解释的；</w:t>
      </w:r>
    </w:p>
    <w:p>
      <w:pPr>
        <w:pStyle w:val="37"/>
        <w:spacing w:after="200" w:line="360" w:lineRule="auto"/>
        <w:ind w:firstLine="420"/>
        <w:rPr>
          <w:rFonts w:ascii="宋体" w:hAnsi="宋体" w:cs="宋体"/>
          <w:sz w:val="28"/>
          <w:szCs w:val="28"/>
          <w:highlight w:val="none"/>
        </w:rPr>
      </w:pPr>
      <w:r>
        <w:rPr>
          <w:rFonts w:hint="eastAsia" w:ascii="宋体" w:hAnsi="宋体" w:cs="宋体"/>
          <w:sz w:val="28"/>
          <w:szCs w:val="28"/>
          <w:highlight w:val="none"/>
        </w:rPr>
        <w:t>（2）由同一人或分别由几个有利害关系的人携带两个以上（含两个）供应商的企业资料参与资格审查、领取磋商资料，或代表两个以上（含两个）供应商参加磋商答疑会、开标的；</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（3）有关法律、法规或规章规定的其他串通报价行为。</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 xml:space="preserve">1.4 参与磋商的费用 </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无论磋商的结果如何，供应商应自行承担所有与</w:t>
      </w:r>
      <w:r>
        <w:rPr>
          <w:rFonts w:hint="eastAsia" w:ascii="宋体" w:hAnsi="宋体" w:cs="宋体"/>
          <w:kern w:val="0"/>
          <w:sz w:val="28"/>
          <w:szCs w:val="28"/>
          <w:highlight w:val="none"/>
        </w:rPr>
        <w:t>磋商</w:t>
      </w:r>
      <w:r>
        <w:rPr>
          <w:rFonts w:hint="eastAsia" w:ascii="宋体" w:hAnsi="宋体" w:cs="宋体"/>
          <w:kern w:val="0"/>
          <w:sz w:val="28"/>
          <w:szCs w:val="28"/>
          <w:highlight w:val="none"/>
          <w:lang w:val="zh-CN"/>
        </w:rPr>
        <w:t>采购活动</w:t>
      </w:r>
      <w:r>
        <w:rPr>
          <w:rFonts w:hint="eastAsia" w:ascii="宋体" w:hAnsi="宋体" w:cs="宋体"/>
          <w:sz w:val="28"/>
          <w:szCs w:val="28"/>
          <w:highlight w:val="none"/>
        </w:rPr>
        <w:t>有关的全部费用。</w:t>
      </w:r>
    </w:p>
    <w:p>
      <w:pPr>
        <w:pStyle w:val="37"/>
        <w:autoSpaceDE w:val="0"/>
        <w:autoSpaceDN w:val="0"/>
        <w:adjustRightInd w:val="0"/>
        <w:snapToGrid w:val="0"/>
        <w:spacing w:after="200" w:line="360" w:lineRule="auto"/>
        <w:ind w:firstLine="562" w:firstLineChars="200"/>
        <w:jc w:val="center"/>
        <w:rPr>
          <w:rStyle w:val="26"/>
          <w:rFonts w:ascii="Times New Roman" w:hAnsi="Times New Roman"/>
          <w:b/>
          <w:bCs/>
          <w:color w:val="auto"/>
          <w:sz w:val="28"/>
          <w:szCs w:val="28"/>
          <w:highlight w:val="none"/>
          <w:u w:val="none"/>
        </w:rPr>
      </w:pPr>
      <w:bookmarkStart w:id="4" w:name="_Toc23764"/>
      <w:bookmarkStart w:id="5" w:name="_Toc256000015"/>
      <w:bookmarkStart w:id="6" w:name="_Toc256000006"/>
      <w:r>
        <w:rPr>
          <w:rStyle w:val="26"/>
          <w:rFonts w:hint="eastAsia" w:ascii="Times New Roman" w:hAnsi="Times New Roman"/>
          <w:b/>
          <w:bCs/>
          <w:color w:val="auto"/>
          <w:sz w:val="28"/>
          <w:szCs w:val="28"/>
          <w:highlight w:val="none"/>
          <w:u w:val="none"/>
        </w:rPr>
        <w:t>二、磋商文件</w:t>
      </w:r>
      <w:bookmarkEnd w:id="4"/>
      <w:bookmarkEnd w:id="5"/>
      <w:bookmarkEnd w:id="6"/>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2.1  磋商文件的组成</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（1）磋商公告</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（2）磋商须知</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（3）采购需求</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（4）评审方法</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（5）合同格式及合同条款</w:t>
      </w:r>
    </w:p>
    <w:p>
      <w:pPr>
        <w:pStyle w:val="37"/>
        <w:autoSpaceDE w:val="0"/>
        <w:autoSpaceDN w:val="0"/>
        <w:adjustRightInd w:val="0"/>
        <w:snapToGrid w:val="0"/>
        <w:spacing w:after="200" w:line="360" w:lineRule="auto"/>
        <w:ind w:firstLine="560" w:firstLineChars="200"/>
        <w:rPr>
          <w:rStyle w:val="26"/>
          <w:rFonts w:ascii="Times New Roman" w:hAnsi="Times New Roman"/>
          <w:color w:val="auto"/>
          <w:sz w:val="28"/>
          <w:szCs w:val="28"/>
          <w:highlight w:val="none"/>
          <w:u w:val="none"/>
        </w:rPr>
      </w:pPr>
      <w:r>
        <w:rPr>
          <w:rStyle w:val="26"/>
          <w:rFonts w:hint="eastAsia" w:ascii="Times New Roman" w:hAnsi="Times New Roman"/>
          <w:color w:val="auto"/>
          <w:sz w:val="28"/>
          <w:szCs w:val="28"/>
          <w:highlight w:val="none"/>
          <w:u w:val="none"/>
        </w:rPr>
        <w:t>（6）竞争性磋商响应文件格式</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2.2 磋商文件的澄清</w:t>
      </w:r>
      <w:r>
        <w:rPr>
          <w:rFonts w:hint="eastAsia" w:ascii="宋体" w:hAnsi="宋体" w:cs="宋体"/>
          <w:b/>
          <w:kern w:val="0"/>
          <w:sz w:val="28"/>
          <w:szCs w:val="28"/>
          <w:highlight w:val="none"/>
          <w:lang w:val="zh-CN"/>
        </w:rPr>
        <w:t>或者</w:t>
      </w:r>
      <w:r>
        <w:rPr>
          <w:rFonts w:hint="eastAsia" w:ascii="宋体" w:hAnsi="宋体" w:cs="宋体"/>
          <w:b/>
          <w:bCs/>
          <w:sz w:val="28"/>
          <w:szCs w:val="28"/>
          <w:highlight w:val="none"/>
        </w:rPr>
        <w:t>修改</w:t>
      </w:r>
    </w:p>
    <w:p>
      <w:pPr>
        <w:pStyle w:val="37"/>
        <w:adjustRightInd w:val="0"/>
        <w:snapToGrid w:val="0"/>
        <w:spacing w:after="200" w:line="360" w:lineRule="auto"/>
        <w:ind w:right="-105" w:rightChars="-50" w:firstLine="560" w:firstLineChars="200"/>
        <w:rPr>
          <w:rFonts w:ascii="宋体" w:hAnsi="宋体" w:cs="宋体"/>
          <w:sz w:val="28"/>
          <w:szCs w:val="28"/>
          <w:highlight w:val="none"/>
        </w:rPr>
      </w:pPr>
      <w:r>
        <w:rPr>
          <w:rFonts w:hint="eastAsia" w:ascii="宋体" w:hAnsi="宋体" w:cs="宋体"/>
          <w:sz w:val="28"/>
          <w:szCs w:val="28"/>
          <w:highlight w:val="none"/>
        </w:rPr>
        <w:t>2.2.1</w:t>
      </w:r>
      <w:r>
        <w:rPr>
          <w:rFonts w:hint="eastAsia" w:ascii="宋体" w:hAnsi="宋体" w:cs="宋体"/>
          <w:sz w:val="28"/>
          <w:szCs w:val="28"/>
          <w:highlight w:val="none"/>
          <w:lang w:val="zh-CN"/>
        </w:rPr>
        <w:t>供应商在收到</w:t>
      </w:r>
      <w:r>
        <w:rPr>
          <w:rFonts w:hint="eastAsia" w:ascii="宋体" w:hAnsi="宋体" w:cs="宋体"/>
          <w:sz w:val="28"/>
          <w:szCs w:val="28"/>
          <w:highlight w:val="none"/>
        </w:rPr>
        <w:t>磋商</w:t>
      </w:r>
      <w:r>
        <w:rPr>
          <w:rFonts w:hint="eastAsia" w:ascii="宋体" w:hAnsi="宋体" w:cs="宋体"/>
          <w:sz w:val="28"/>
          <w:szCs w:val="28"/>
          <w:highlight w:val="none"/>
          <w:lang w:val="zh-CN"/>
        </w:rPr>
        <w:t>文件后，若有疑问需要澄清，应于收到</w:t>
      </w:r>
      <w:r>
        <w:rPr>
          <w:rFonts w:hint="eastAsia" w:ascii="宋体" w:hAnsi="宋体" w:cs="宋体"/>
          <w:sz w:val="28"/>
          <w:szCs w:val="28"/>
          <w:highlight w:val="none"/>
        </w:rPr>
        <w:t>磋商</w:t>
      </w:r>
      <w:r>
        <w:rPr>
          <w:rFonts w:hint="eastAsia" w:ascii="宋体" w:hAnsi="宋体" w:cs="宋体"/>
          <w:sz w:val="28"/>
          <w:szCs w:val="28"/>
          <w:highlight w:val="none"/>
          <w:lang w:val="zh-CN"/>
        </w:rPr>
        <w:t>文件后二日内以书面形式（包括书面文字、传真、电子邮件等）向采购人或采购代理机构（以下统称采购机构）提出，采购机构将以书面形式予以解答，解答内容将送达所有参与</w:t>
      </w:r>
      <w:r>
        <w:rPr>
          <w:rFonts w:hint="eastAsia" w:ascii="宋体" w:hAnsi="宋体" w:cs="宋体"/>
          <w:sz w:val="28"/>
          <w:szCs w:val="28"/>
          <w:highlight w:val="none"/>
        </w:rPr>
        <w:t>磋商采购活动</w:t>
      </w:r>
      <w:r>
        <w:rPr>
          <w:rFonts w:hint="eastAsia" w:ascii="宋体" w:hAnsi="宋体" w:cs="宋体"/>
          <w:sz w:val="28"/>
          <w:szCs w:val="28"/>
          <w:highlight w:val="none"/>
          <w:lang w:val="zh-CN"/>
        </w:rPr>
        <w:t>的供应商。</w:t>
      </w:r>
    </w:p>
    <w:p>
      <w:pPr>
        <w:pStyle w:val="37"/>
        <w:adjustRightInd w:val="0"/>
        <w:snapToGrid w:val="0"/>
        <w:spacing w:after="200" w:line="360" w:lineRule="auto"/>
        <w:ind w:right="-105" w:rightChars="-50" w:firstLine="560" w:firstLineChars="200"/>
        <w:rPr>
          <w:rFonts w:ascii="宋体" w:hAnsi="宋体" w:cs="宋体"/>
          <w:sz w:val="28"/>
          <w:szCs w:val="28"/>
          <w:highlight w:val="none"/>
        </w:rPr>
      </w:pPr>
      <w:r>
        <w:rPr>
          <w:rFonts w:hint="eastAsia" w:ascii="宋体" w:hAnsi="宋体" w:cs="宋体"/>
          <w:sz w:val="28"/>
          <w:szCs w:val="28"/>
          <w:highlight w:val="none"/>
        </w:rPr>
        <w:t>2.2.2提交首次响应文件截止之日前，采购机构或者磋商小组可以对已发出的磋商文件进行必要的澄清或者修改，澄清或者修改的内容作为磋商文件的组成部分。澄清或者修改的内容可能影响响应文件编制的，采购机构或者磋商小组应当在提交首次响应文件截止之日5日前，以书面形式通知所有接收磋商文件的供应商，不足5日的，应当顺延提交首次响应文件的截止日期。</w:t>
      </w:r>
    </w:p>
    <w:p>
      <w:pPr>
        <w:pStyle w:val="35"/>
        <w:jc w:val="center"/>
        <w:rPr>
          <w:rFonts w:ascii="宋体" w:hAnsi="宋体" w:cs="宋体"/>
          <w:sz w:val="28"/>
          <w:szCs w:val="28"/>
          <w:highlight w:val="none"/>
        </w:rPr>
      </w:pPr>
      <w:bookmarkStart w:id="7" w:name="_Toc256000007"/>
      <w:bookmarkStart w:id="8" w:name="_Toc29250"/>
      <w:bookmarkStart w:id="9" w:name="_Toc256000016"/>
      <w:r>
        <w:rPr>
          <w:rFonts w:hint="eastAsia" w:ascii="宋体" w:hAnsi="宋体" w:cs="宋体"/>
          <w:sz w:val="28"/>
          <w:szCs w:val="28"/>
          <w:highlight w:val="none"/>
        </w:rPr>
        <w:t>三、响应文件</w:t>
      </w:r>
      <w:bookmarkEnd w:id="7"/>
      <w:bookmarkEnd w:id="8"/>
      <w:bookmarkEnd w:id="9"/>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3.1 一般要求</w:t>
      </w:r>
    </w:p>
    <w:p>
      <w:pPr>
        <w:pStyle w:val="37"/>
        <w:adjustRightInd w:val="0"/>
        <w:snapToGrid w:val="0"/>
        <w:spacing w:after="200" w:line="360" w:lineRule="auto"/>
        <w:ind w:right="-105" w:rightChars="-50" w:firstLine="560" w:firstLineChars="200"/>
        <w:rPr>
          <w:rFonts w:ascii="宋体" w:hAnsi="宋体" w:cs="宋体"/>
          <w:sz w:val="28"/>
          <w:szCs w:val="28"/>
          <w:highlight w:val="none"/>
        </w:rPr>
      </w:pPr>
      <w:r>
        <w:rPr>
          <w:rFonts w:hint="eastAsia" w:ascii="宋体" w:hAnsi="宋体" w:cs="宋体"/>
          <w:sz w:val="28"/>
          <w:szCs w:val="28"/>
          <w:highlight w:val="none"/>
        </w:rPr>
        <w:t>3.1.1 供应商应按本文件第六章“响应文件格式”的要求编制响应文件。</w:t>
      </w:r>
    </w:p>
    <w:p>
      <w:pPr>
        <w:pStyle w:val="37"/>
        <w:adjustRightInd w:val="0"/>
        <w:snapToGrid w:val="0"/>
        <w:spacing w:after="200" w:line="360" w:lineRule="auto"/>
        <w:ind w:right="-105" w:rightChars="-50" w:firstLine="560" w:firstLineChars="200"/>
        <w:rPr>
          <w:rFonts w:ascii="宋体" w:hAnsi="宋体" w:cs="宋体"/>
          <w:sz w:val="28"/>
          <w:szCs w:val="28"/>
          <w:highlight w:val="none"/>
        </w:rPr>
      </w:pPr>
      <w:r>
        <w:rPr>
          <w:rFonts w:hint="eastAsia" w:ascii="宋体" w:hAnsi="宋体" w:cs="宋体"/>
          <w:sz w:val="28"/>
          <w:szCs w:val="28"/>
          <w:highlight w:val="none"/>
        </w:rPr>
        <w:t>3.1.2计量单位应使用我国法定计量单位。</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 xml:space="preserve">3.2 </w:t>
      </w:r>
      <w:r>
        <w:rPr>
          <w:rFonts w:hint="eastAsia" w:ascii="宋体" w:hAnsi="宋体" w:cs="宋体"/>
          <w:b/>
          <w:sz w:val="28"/>
          <w:szCs w:val="28"/>
          <w:highlight w:val="none"/>
        </w:rPr>
        <w:t>响应文件</w:t>
      </w:r>
      <w:r>
        <w:rPr>
          <w:rFonts w:hint="eastAsia" w:ascii="宋体" w:hAnsi="宋体" w:cs="宋体"/>
          <w:b/>
          <w:bCs/>
          <w:sz w:val="28"/>
          <w:szCs w:val="28"/>
          <w:highlight w:val="none"/>
        </w:rPr>
        <w:t>的组成</w:t>
      </w:r>
    </w:p>
    <w:p>
      <w:pPr>
        <w:pStyle w:val="37"/>
        <w:autoSpaceDE w:val="0"/>
        <w:autoSpaceDN w:val="0"/>
        <w:adjustRightIn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lang w:val="zh-CN"/>
        </w:rPr>
        <w:t>（1）</w:t>
      </w:r>
      <w:r>
        <w:rPr>
          <w:rFonts w:hint="eastAsia" w:ascii="宋体" w:hAnsi="宋体" w:cs="宋体"/>
          <w:sz w:val="28"/>
          <w:szCs w:val="28"/>
          <w:highlight w:val="none"/>
        </w:rPr>
        <w:t>资格证明文件</w:t>
      </w:r>
    </w:p>
    <w:p>
      <w:pPr>
        <w:pStyle w:val="37"/>
        <w:autoSpaceDE w:val="0"/>
        <w:autoSpaceDN w:val="0"/>
        <w:adjustRightInd w:val="0"/>
        <w:spacing w:after="200" w:line="360" w:lineRule="auto"/>
        <w:ind w:firstLine="560" w:firstLineChars="200"/>
        <w:jc w:val="left"/>
        <w:rPr>
          <w:rFonts w:ascii="宋体" w:hAnsi="宋体" w:cs="宋体"/>
          <w:sz w:val="28"/>
          <w:szCs w:val="28"/>
          <w:highlight w:val="none"/>
          <w:lang w:val="zh-CN"/>
        </w:rPr>
      </w:pPr>
      <w:r>
        <w:rPr>
          <w:rFonts w:hint="eastAsia" w:ascii="宋体" w:hAnsi="宋体" w:cs="宋体"/>
          <w:sz w:val="28"/>
          <w:szCs w:val="28"/>
          <w:highlight w:val="none"/>
        </w:rPr>
        <w:t>（</w:t>
      </w:r>
      <w:r>
        <w:rPr>
          <w:rFonts w:ascii="宋体" w:hAnsi="宋体" w:cs="宋体"/>
          <w:sz w:val="28"/>
          <w:szCs w:val="28"/>
          <w:highlight w:val="none"/>
          <w:lang w:val="zh-CN"/>
        </w:rPr>
        <w:t>2</w:t>
      </w:r>
      <w:r>
        <w:rPr>
          <w:rFonts w:hint="eastAsia" w:ascii="宋体" w:hAnsi="宋体" w:cs="宋体"/>
          <w:sz w:val="28"/>
          <w:szCs w:val="28"/>
          <w:highlight w:val="none"/>
          <w:lang w:val="zh-CN"/>
        </w:rPr>
        <w:t>）商务文件</w:t>
      </w:r>
    </w:p>
    <w:p>
      <w:pPr>
        <w:pStyle w:val="37"/>
        <w:autoSpaceDE w:val="0"/>
        <w:autoSpaceDN w:val="0"/>
        <w:adjustRightIn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lang w:val="zh-CN"/>
        </w:rPr>
        <w:t>（</w:t>
      </w:r>
      <w:r>
        <w:rPr>
          <w:rFonts w:ascii="宋体" w:hAnsi="宋体" w:cs="宋体"/>
          <w:sz w:val="28"/>
          <w:szCs w:val="28"/>
          <w:highlight w:val="none"/>
          <w:lang w:val="zh-CN"/>
        </w:rPr>
        <w:t>3</w:t>
      </w:r>
      <w:r>
        <w:rPr>
          <w:rFonts w:hint="eastAsia" w:ascii="宋体" w:hAnsi="宋体" w:cs="宋体"/>
          <w:sz w:val="28"/>
          <w:szCs w:val="28"/>
          <w:highlight w:val="none"/>
          <w:lang w:val="zh-CN"/>
        </w:rPr>
        <w:t>）</w:t>
      </w:r>
      <w:r>
        <w:rPr>
          <w:rFonts w:hint="eastAsia" w:ascii="宋体" w:hAnsi="宋体" w:cs="宋体"/>
          <w:sz w:val="28"/>
          <w:szCs w:val="28"/>
          <w:highlight w:val="none"/>
        </w:rPr>
        <w:t>技术文件</w:t>
      </w:r>
    </w:p>
    <w:p>
      <w:pPr>
        <w:pStyle w:val="37"/>
        <w:autoSpaceDE w:val="0"/>
        <w:autoSpaceDN w:val="0"/>
        <w:adjustRightInd w:val="0"/>
        <w:spacing w:after="200" w:line="360" w:lineRule="auto"/>
        <w:ind w:firstLine="560" w:firstLineChars="200"/>
        <w:jc w:val="left"/>
        <w:rPr>
          <w:rFonts w:hint="eastAsia" w:ascii="宋体" w:hAnsi="宋体" w:cs="宋体"/>
          <w:sz w:val="28"/>
          <w:szCs w:val="28"/>
          <w:highlight w:val="none"/>
          <w:lang w:val="zh-CN"/>
        </w:rPr>
      </w:pPr>
      <w:r>
        <w:rPr>
          <w:rFonts w:hint="eastAsia" w:ascii="宋体" w:hAnsi="宋体" w:cs="宋体"/>
          <w:sz w:val="28"/>
          <w:szCs w:val="28"/>
          <w:highlight w:val="none"/>
        </w:rPr>
        <w:t>（4）其他资料</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3.3 报价要求</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3.3.1</w:t>
      </w:r>
      <w:r>
        <w:rPr>
          <w:rFonts w:hint="eastAsia" w:ascii="宋体" w:hAnsi="宋体" w:cs="宋体"/>
          <w:sz w:val="28"/>
          <w:szCs w:val="28"/>
          <w:highlight w:val="none"/>
          <w:lang w:val="zh-CN"/>
        </w:rPr>
        <w:t>供应商应根据所提供的工程项目清单的要求编制单价、合价和总价</w:t>
      </w:r>
      <w:r>
        <w:rPr>
          <w:rFonts w:hint="eastAsia" w:ascii="宋体" w:hAnsi="宋体" w:cs="宋体"/>
          <w:sz w:val="28"/>
          <w:szCs w:val="28"/>
          <w:highlight w:val="none"/>
        </w:rPr>
        <w:t>，且只允许有一个报价</w:t>
      </w:r>
      <w:r>
        <w:rPr>
          <w:rFonts w:hint="eastAsia" w:ascii="宋体" w:hAnsi="宋体" w:cs="宋体"/>
          <w:sz w:val="28"/>
          <w:szCs w:val="28"/>
          <w:highlight w:val="none"/>
          <w:lang w:val="zh-CN"/>
        </w:rPr>
        <w:t>。</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3.3.2</w:t>
      </w:r>
      <w:r>
        <w:rPr>
          <w:rFonts w:hint="eastAsia" w:ascii="宋体" w:hAnsi="宋体" w:cs="宋体"/>
          <w:sz w:val="28"/>
          <w:szCs w:val="28"/>
          <w:highlight w:val="none"/>
          <w:lang w:val="zh-CN"/>
        </w:rPr>
        <w:t>报价应是本磋商文件所确定的全部工作内容的价格体现。其应包括施工设备、劳务、管理、材料、安装、维护、检验、利润、税金及政策性文件规定的各项应有费用，以及施工中的水、电费、合同履行中人工及材料涨价因素和其它风险产生的各项费用。</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3.3.3响应文件中标明的价格在合同执行过程中是固定不变的，不得以任何理由予以变更。以可变动价格提交的报价将被认为是非实质响应采购要求而被拒绝。</w:t>
      </w:r>
    </w:p>
    <w:p>
      <w:pPr>
        <w:pStyle w:val="38"/>
        <w:adjustRightInd w:val="0"/>
        <w:snapToGrid w:val="0"/>
        <w:spacing w:after="200" w:line="360" w:lineRule="auto"/>
        <w:ind w:firstLine="560" w:firstLineChars="200"/>
        <w:rPr>
          <w:rFonts w:hAnsi="宋体" w:cs="宋体"/>
          <w:sz w:val="28"/>
          <w:szCs w:val="28"/>
          <w:highlight w:val="none"/>
        </w:rPr>
      </w:pPr>
      <w:r>
        <w:rPr>
          <w:rFonts w:hint="eastAsia" w:hAnsi="宋体" w:cs="宋体"/>
          <w:sz w:val="28"/>
          <w:szCs w:val="28"/>
          <w:highlight w:val="none"/>
        </w:rPr>
        <w:t>3.3.4采购项目预算见</w:t>
      </w:r>
      <w:r>
        <w:rPr>
          <w:rFonts w:hint="eastAsia" w:hAnsi="宋体" w:cs="宋体"/>
          <w:b/>
          <w:sz w:val="28"/>
          <w:szCs w:val="28"/>
          <w:highlight w:val="none"/>
        </w:rPr>
        <w:t>投标人须知前附表1</w:t>
      </w:r>
      <w:r>
        <w:rPr>
          <w:rFonts w:hint="eastAsia" w:hAnsi="宋体" w:cs="宋体"/>
          <w:sz w:val="28"/>
          <w:szCs w:val="28"/>
          <w:highlight w:val="none"/>
        </w:rPr>
        <w:t>，</w:t>
      </w:r>
      <w:r>
        <w:rPr>
          <w:rFonts w:hint="eastAsia" w:hAnsi="宋体" w:cs="宋体"/>
          <w:kern w:val="0"/>
          <w:sz w:val="28"/>
          <w:szCs w:val="28"/>
          <w:highlight w:val="none"/>
          <w:lang w:val="zh-CN"/>
        </w:rPr>
        <w:t>供应商</w:t>
      </w:r>
      <w:r>
        <w:rPr>
          <w:rFonts w:hint="eastAsia" w:hAnsi="宋体" w:cs="宋体"/>
          <w:sz w:val="28"/>
          <w:szCs w:val="28"/>
          <w:highlight w:val="none"/>
        </w:rPr>
        <w:t>的报价不得超过采购预算。否则，按无效报价处理。</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3.4 证明供应商资格的文件</w:t>
      </w:r>
    </w:p>
    <w:p>
      <w:pPr>
        <w:pStyle w:val="38"/>
        <w:adjustRightInd w:val="0"/>
        <w:snapToGrid w:val="0"/>
        <w:spacing w:after="200" w:line="360" w:lineRule="auto"/>
        <w:ind w:firstLine="560" w:firstLineChars="200"/>
        <w:rPr>
          <w:rFonts w:hAnsi="宋体" w:cs="宋体"/>
          <w:kern w:val="0"/>
          <w:sz w:val="28"/>
          <w:szCs w:val="28"/>
          <w:highlight w:val="none"/>
          <w:lang w:val="zh-CN"/>
        </w:rPr>
      </w:pPr>
      <w:r>
        <w:rPr>
          <w:rFonts w:hint="eastAsia" w:hAnsi="宋体" w:cs="宋体"/>
          <w:kern w:val="0"/>
          <w:sz w:val="28"/>
          <w:szCs w:val="28"/>
          <w:highlight w:val="none"/>
          <w:lang w:val="zh-CN"/>
        </w:rPr>
        <w:t>供应商</w:t>
      </w:r>
      <w:r>
        <w:rPr>
          <w:rFonts w:hint="eastAsia" w:hAnsi="宋体" w:cs="宋体"/>
          <w:sz w:val="28"/>
          <w:szCs w:val="28"/>
          <w:highlight w:val="none"/>
        </w:rPr>
        <w:t>应提交满足本章第1.3</w:t>
      </w:r>
      <w:r>
        <w:rPr>
          <w:rFonts w:hint="eastAsia" w:hAnsi="宋体" w:cs="宋体"/>
          <w:kern w:val="0"/>
          <w:sz w:val="28"/>
          <w:szCs w:val="28"/>
          <w:highlight w:val="none"/>
          <w:lang w:val="zh-CN"/>
        </w:rPr>
        <w:t>款</w:t>
      </w:r>
      <w:r>
        <w:rPr>
          <w:rFonts w:hint="eastAsia" w:hAnsi="宋体" w:cs="宋体"/>
          <w:sz w:val="28"/>
          <w:szCs w:val="28"/>
          <w:highlight w:val="none"/>
        </w:rPr>
        <w:t>规定的资格条件要求的证明文件,该证明文件作为响应文件的一部分。</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 xml:space="preserve">3.5 </w:t>
      </w:r>
      <w:r>
        <w:rPr>
          <w:rFonts w:hint="eastAsia" w:ascii="宋体" w:hAnsi="宋体" w:cs="宋体"/>
          <w:sz w:val="28"/>
          <w:szCs w:val="28"/>
          <w:highlight w:val="none"/>
        </w:rPr>
        <w:t xml:space="preserve"> </w:t>
      </w:r>
      <w:r>
        <w:rPr>
          <w:rFonts w:hint="eastAsia" w:ascii="宋体" w:hAnsi="宋体" w:cs="宋体"/>
          <w:b/>
          <w:sz w:val="28"/>
          <w:szCs w:val="28"/>
          <w:highlight w:val="none"/>
        </w:rPr>
        <w:t>响应文件有效期</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3.5.1响应文件有效期见</w:t>
      </w:r>
      <w:r>
        <w:rPr>
          <w:rFonts w:hint="eastAsia" w:ascii="宋体" w:hAnsi="宋体" w:cs="宋体"/>
          <w:b/>
          <w:sz w:val="28"/>
          <w:szCs w:val="28"/>
          <w:highlight w:val="none"/>
        </w:rPr>
        <w:t>投标人须知前附表1</w:t>
      </w:r>
      <w:r>
        <w:rPr>
          <w:rFonts w:hint="eastAsia" w:ascii="宋体" w:hAnsi="宋体" w:cs="宋体"/>
          <w:sz w:val="28"/>
          <w:szCs w:val="28"/>
          <w:highlight w:val="none"/>
        </w:rPr>
        <w:t>，响应文件有效期不足的将被视为无效响应，并予以拒绝。</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3.5.2特殊情况下，采购代理机构可于响应文件有效期满之前要求供应商同意延长有效期，要求与答复均应为书面形式。供应商可以拒绝上述要求而其磋商保证金不被没收。对于同意该要求的供应商，既不要求也不允许其修改响应文件，但将要求其相应延长磋商保证金的有效期。有关退还和没收磋商保证金的规定在响应文件有效期的延长期内继续有效。</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3.6 响应文件的签署及规定</w:t>
      </w:r>
    </w:p>
    <w:p>
      <w:pPr>
        <w:pStyle w:val="38"/>
        <w:adjustRightInd w:val="0"/>
        <w:snapToGrid w:val="0"/>
        <w:spacing w:after="200" w:line="360" w:lineRule="auto"/>
        <w:ind w:firstLine="560" w:firstLineChars="200"/>
        <w:rPr>
          <w:rFonts w:hAnsi="宋体" w:cs="宋体"/>
          <w:sz w:val="28"/>
          <w:szCs w:val="28"/>
          <w:highlight w:val="none"/>
        </w:rPr>
      </w:pPr>
      <w:r>
        <w:rPr>
          <w:rFonts w:hint="eastAsia" w:hAnsi="宋体" w:cs="宋体"/>
          <w:sz w:val="28"/>
          <w:szCs w:val="28"/>
          <w:highlight w:val="none"/>
        </w:rPr>
        <w:t>3.6.1供应商应提供响应文件份数见</w:t>
      </w:r>
      <w:r>
        <w:rPr>
          <w:rFonts w:hint="eastAsia" w:hAnsi="宋体" w:cs="宋体"/>
          <w:b/>
          <w:sz w:val="28"/>
          <w:szCs w:val="28"/>
          <w:highlight w:val="none"/>
        </w:rPr>
        <w:t>投标人须知前附表1</w:t>
      </w:r>
      <w:r>
        <w:rPr>
          <w:rFonts w:hint="eastAsia" w:hAnsi="宋体" w:cs="宋体"/>
          <w:sz w:val="28"/>
          <w:szCs w:val="28"/>
          <w:highlight w:val="none"/>
        </w:rPr>
        <w:t>。</w:t>
      </w:r>
    </w:p>
    <w:p>
      <w:pPr>
        <w:pStyle w:val="37"/>
        <w:spacing w:after="200" w:line="360" w:lineRule="auto"/>
        <w:ind w:firstLine="560" w:firstLineChars="200"/>
        <w:rPr>
          <w:rFonts w:ascii="宋体" w:hAnsi="宋体"/>
          <w:b/>
          <w:sz w:val="28"/>
          <w:szCs w:val="28"/>
          <w:highlight w:val="none"/>
        </w:rPr>
      </w:pPr>
      <w:r>
        <w:rPr>
          <w:rFonts w:hint="eastAsia" w:ascii="宋体" w:hAnsi="宋体" w:cs="宋体"/>
          <w:sz w:val="28"/>
          <w:szCs w:val="28"/>
          <w:highlight w:val="none"/>
          <w:lang w:val="zh-CN"/>
        </w:rPr>
        <w:t>3.</w:t>
      </w:r>
      <w:r>
        <w:rPr>
          <w:rFonts w:hint="eastAsia" w:ascii="宋体" w:hAnsi="宋体" w:cs="宋体"/>
          <w:sz w:val="28"/>
          <w:szCs w:val="28"/>
          <w:highlight w:val="none"/>
        </w:rPr>
        <w:t>6</w:t>
      </w:r>
      <w:r>
        <w:rPr>
          <w:rFonts w:hint="eastAsia" w:ascii="宋体" w:hAnsi="宋体" w:cs="宋体"/>
          <w:sz w:val="28"/>
          <w:szCs w:val="28"/>
          <w:highlight w:val="none"/>
          <w:lang w:val="zh-CN"/>
        </w:rPr>
        <w:t xml:space="preserve">.2 </w:t>
      </w:r>
      <w:r>
        <w:rPr>
          <w:rFonts w:hint="eastAsia" w:ascii="宋体" w:hAnsi="宋体"/>
          <w:sz w:val="28"/>
          <w:szCs w:val="28"/>
          <w:highlight w:val="none"/>
        </w:rPr>
        <w:t>投标人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35"/>
        <w:jc w:val="center"/>
        <w:rPr>
          <w:rFonts w:ascii="宋体" w:hAnsi="宋体" w:cs="宋体"/>
          <w:sz w:val="28"/>
          <w:szCs w:val="28"/>
          <w:highlight w:val="none"/>
        </w:rPr>
      </w:pPr>
      <w:bookmarkStart w:id="10" w:name="_Toc256000008"/>
      <w:bookmarkStart w:id="11" w:name="_Toc31717"/>
      <w:bookmarkStart w:id="12" w:name="_Toc256000017"/>
      <w:r>
        <w:rPr>
          <w:rFonts w:hint="eastAsia" w:ascii="宋体" w:hAnsi="宋体" w:cs="宋体"/>
          <w:sz w:val="28"/>
          <w:szCs w:val="28"/>
          <w:highlight w:val="none"/>
        </w:rPr>
        <w:t>四、响应文件的递交</w:t>
      </w:r>
      <w:bookmarkEnd w:id="10"/>
      <w:bookmarkEnd w:id="11"/>
      <w:bookmarkEnd w:id="12"/>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 xml:space="preserve">4.1 </w:t>
      </w:r>
      <w:r>
        <w:rPr>
          <w:rFonts w:hint="eastAsia" w:ascii="宋体" w:hAnsi="宋体" w:cs="宋体"/>
          <w:b/>
          <w:sz w:val="28"/>
          <w:szCs w:val="28"/>
          <w:highlight w:val="none"/>
        </w:rPr>
        <w:t>响应文件</w:t>
      </w:r>
      <w:r>
        <w:rPr>
          <w:rFonts w:hint="eastAsia" w:ascii="宋体" w:hAnsi="宋体" w:cs="宋体"/>
          <w:b/>
          <w:bCs/>
          <w:sz w:val="28"/>
          <w:szCs w:val="28"/>
          <w:highlight w:val="none"/>
        </w:rPr>
        <w:t>的密封和标记</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4.1.1投标人应通过电子投标文件制作工具严格按采购文件要求制作投标文件，在投标截止时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投标截止时间以政采云平台显示的时间为准，逾期系统将自动关闭，未完成上传的投标文件视为逾期送达，将被拒绝。</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4.1.2未加密的电子投标文件光盘应封装在信封中。封口处加盖投标人公章，封皮上注明项目编号、包号、项目名称、投标人名称，并注明“未加密的电子投标文件”字样。</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投标人认为有必要提交的其他资料请于投标截止时间前一并提交。</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4.1.3如果投标人未按上述要求密封及加写标记，采购代理机构对投标文件的误投和提前启封概不负责。对由此造成提前开封的投标文件，采购代理机构有权予以拒绝，并退回投标人。</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4.2响应文件的递交</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4.2.1投标人应当在采购文件要求提交投标文件的截止时间前网上投标，并将未加密的电子投标文件光盘密封送达指定开标地点。</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lang w:val="zh-CN"/>
        </w:rPr>
        <w:t>4.2.2</w:t>
      </w:r>
      <w:r>
        <w:rPr>
          <w:rFonts w:hint="eastAsia" w:ascii="宋体" w:hAnsi="宋体" w:cs="宋体"/>
          <w:sz w:val="28"/>
          <w:szCs w:val="28"/>
          <w:highlight w:val="none"/>
        </w:rPr>
        <w:t>在采购文件要求提交投标文件的截止时间之后送达的投标文件，为无效投标文件，采购代理机构将拒绝接收。</w:t>
      </w:r>
    </w:p>
    <w:p>
      <w:pPr>
        <w:pStyle w:val="37"/>
        <w:spacing w:after="200" w:line="360" w:lineRule="auto"/>
        <w:ind w:firstLine="560" w:firstLineChars="200"/>
        <w:rPr>
          <w:rFonts w:ascii="宋体" w:hAnsi="宋体" w:cs="宋体"/>
          <w:sz w:val="28"/>
          <w:szCs w:val="28"/>
          <w:highlight w:val="none"/>
          <w:lang w:val="zh-CN"/>
        </w:rPr>
      </w:pPr>
      <w:r>
        <w:rPr>
          <w:rFonts w:hint="eastAsia" w:ascii="宋体" w:hAnsi="宋体" w:cs="宋体"/>
          <w:sz w:val="28"/>
          <w:szCs w:val="28"/>
          <w:highlight w:val="none"/>
          <w:lang w:val="zh-CN"/>
        </w:rPr>
        <w:t>4.2.3是否采用不见面开标详见供应商须知前附表，若项目采用不见面开标。只需将加密电子投标文件在投标截止时间前通过</w:t>
      </w:r>
      <w:r>
        <w:rPr>
          <w:rFonts w:hint="eastAsia" w:ascii="宋体" w:hAnsi="宋体" w:cs="宋体"/>
          <w:sz w:val="28"/>
          <w:szCs w:val="28"/>
          <w:highlight w:val="none"/>
        </w:rPr>
        <w:t>政采云平台</w:t>
      </w:r>
      <w:r>
        <w:rPr>
          <w:rFonts w:hint="eastAsia" w:ascii="宋体" w:hAnsi="宋体" w:cs="宋体"/>
          <w:sz w:val="28"/>
          <w:szCs w:val="28"/>
          <w:highlight w:val="none"/>
          <w:lang w:val="zh-CN"/>
        </w:rPr>
        <w:t>上传完成。上传时必须得到电脑“上传成功”的确认回复后方为上传成功。逾期上传的或者未上传到平台的投标文件，采购人不予受理。</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4.3响应文件的</w:t>
      </w:r>
      <w:r>
        <w:rPr>
          <w:rFonts w:hint="eastAsia" w:ascii="宋体" w:hAnsi="宋体" w:cs="宋体"/>
          <w:b/>
          <w:kern w:val="0"/>
          <w:sz w:val="28"/>
          <w:szCs w:val="28"/>
          <w:highlight w:val="none"/>
          <w:lang w:val="zh-CN"/>
        </w:rPr>
        <w:t>补充、修改或者撤回</w:t>
      </w:r>
    </w:p>
    <w:p>
      <w:pPr>
        <w:pStyle w:val="38"/>
        <w:adjustRightInd w:val="0"/>
        <w:snapToGrid w:val="0"/>
        <w:spacing w:after="200" w:line="360" w:lineRule="auto"/>
        <w:ind w:firstLine="560" w:firstLineChars="200"/>
        <w:rPr>
          <w:rFonts w:hAnsi="宋体" w:cs="宋体"/>
          <w:kern w:val="0"/>
          <w:sz w:val="28"/>
          <w:szCs w:val="28"/>
          <w:highlight w:val="none"/>
          <w:lang w:val="zh-CN"/>
        </w:rPr>
      </w:pPr>
      <w:r>
        <w:rPr>
          <w:rFonts w:hint="eastAsia" w:hAnsi="宋体" w:cs="宋体"/>
          <w:sz w:val="28"/>
          <w:szCs w:val="28"/>
          <w:highlight w:val="none"/>
        </w:rPr>
        <w:t>4.3.1 投标人在递交投标文件后，可以修改或撤回其投标，但这种修改和撤回，必须在规定的投标截止时间前。在投标截止时间后，投标人不得要求修改或撤回其投标文件。</w:t>
      </w:r>
    </w:p>
    <w:p>
      <w:pPr>
        <w:pStyle w:val="38"/>
        <w:adjustRightInd w:val="0"/>
        <w:snapToGrid w:val="0"/>
        <w:spacing w:after="200" w:line="360" w:lineRule="auto"/>
        <w:ind w:firstLine="560" w:firstLineChars="200"/>
        <w:rPr>
          <w:rFonts w:hAnsi="宋体" w:cs="宋体"/>
          <w:sz w:val="28"/>
          <w:szCs w:val="28"/>
          <w:highlight w:val="none"/>
        </w:rPr>
      </w:pPr>
      <w:r>
        <w:rPr>
          <w:rFonts w:hint="eastAsia" w:hAnsi="宋体" w:cs="宋体"/>
          <w:sz w:val="28"/>
          <w:szCs w:val="28"/>
          <w:highlight w:val="none"/>
        </w:rPr>
        <w:t>4.3.2 在递交响应文件截止时间后，供应商不得对响应文件</w:t>
      </w:r>
      <w:r>
        <w:rPr>
          <w:rFonts w:hint="eastAsia" w:hAnsi="宋体" w:cs="宋体"/>
          <w:kern w:val="0"/>
          <w:sz w:val="28"/>
          <w:szCs w:val="28"/>
          <w:highlight w:val="none"/>
          <w:lang w:val="zh-CN"/>
        </w:rPr>
        <w:t>补充、修改或者撤回，但属于本须知5.4.2款规定的情形除外</w:t>
      </w:r>
      <w:r>
        <w:rPr>
          <w:rFonts w:hint="eastAsia" w:hAnsi="宋体" w:cs="宋体"/>
          <w:sz w:val="28"/>
          <w:szCs w:val="28"/>
          <w:highlight w:val="none"/>
        </w:rPr>
        <w:t>。</w:t>
      </w:r>
    </w:p>
    <w:p>
      <w:pPr>
        <w:pStyle w:val="35"/>
        <w:jc w:val="center"/>
        <w:rPr>
          <w:rFonts w:ascii="宋体" w:hAnsi="宋体" w:cs="宋体"/>
          <w:sz w:val="28"/>
          <w:szCs w:val="28"/>
          <w:highlight w:val="none"/>
        </w:rPr>
      </w:pPr>
      <w:bookmarkStart w:id="13" w:name="_Toc256000009"/>
      <w:bookmarkStart w:id="14" w:name="_Toc256000019"/>
      <w:bookmarkStart w:id="15" w:name="_Toc13285"/>
      <w:r>
        <w:rPr>
          <w:rFonts w:hint="eastAsia" w:ascii="宋体" w:hAnsi="宋体" w:cs="宋体"/>
          <w:sz w:val="28"/>
          <w:szCs w:val="28"/>
          <w:highlight w:val="none"/>
        </w:rPr>
        <w:t>五、磋商和评审</w:t>
      </w:r>
      <w:bookmarkEnd w:id="13"/>
      <w:bookmarkEnd w:id="14"/>
      <w:bookmarkEnd w:id="15"/>
    </w:p>
    <w:p>
      <w:pPr>
        <w:pStyle w:val="35"/>
        <w:rPr>
          <w:sz w:val="28"/>
          <w:szCs w:val="28"/>
          <w:highlight w:val="none"/>
        </w:rPr>
      </w:pPr>
      <w:bookmarkStart w:id="16" w:name="_Toc446599314"/>
      <w:bookmarkStart w:id="17" w:name="_Toc293738995"/>
      <w:bookmarkStart w:id="18" w:name="_Toc293736057"/>
      <w:bookmarkStart w:id="19" w:name="_Toc293736014"/>
      <w:bookmarkStart w:id="20" w:name="_Toc5596"/>
      <w:r>
        <w:rPr>
          <w:rFonts w:hint="eastAsia"/>
          <w:sz w:val="28"/>
          <w:szCs w:val="28"/>
          <w:highlight w:val="none"/>
        </w:rPr>
        <w:t>五、</w:t>
      </w:r>
      <w:bookmarkEnd w:id="16"/>
      <w:bookmarkEnd w:id="17"/>
      <w:bookmarkEnd w:id="18"/>
      <w:bookmarkEnd w:id="19"/>
      <w:r>
        <w:rPr>
          <w:rFonts w:hint="eastAsia"/>
          <w:sz w:val="28"/>
          <w:szCs w:val="28"/>
          <w:highlight w:val="none"/>
        </w:rPr>
        <w:t>竞争性磋商程序</w:t>
      </w:r>
      <w:bookmarkEnd w:id="20"/>
    </w:p>
    <w:p>
      <w:pPr>
        <w:pStyle w:val="32"/>
        <w:widowControl/>
        <w:spacing w:line="520" w:lineRule="atLeast"/>
        <w:ind w:firstLine="420"/>
        <w:textAlignment w:val="baseline"/>
        <w:rPr>
          <w:rFonts w:ascii="宋体" w:hAnsi="宋体"/>
          <w:b/>
          <w:sz w:val="28"/>
          <w:szCs w:val="28"/>
          <w:highlight w:val="none"/>
        </w:rPr>
      </w:pPr>
      <w:r>
        <w:rPr>
          <w:rFonts w:hint="eastAsia" w:ascii="宋体" w:hAnsi="宋体"/>
          <w:b/>
          <w:sz w:val="28"/>
          <w:szCs w:val="28"/>
          <w:highlight w:val="none"/>
        </w:rPr>
        <w:t>5</w:t>
      </w:r>
      <w:r>
        <w:rPr>
          <w:rFonts w:hint="eastAsia" w:ascii="宋体" w:hAnsi="宋体" w:cs="宋体"/>
          <w:b/>
          <w:kern w:val="0"/>
          <w:sz w:val="28"/>
          <w:szCs w:val="28"/>
          <w:highlight w:val="none"/>
        </w:rPr>
        <w:t>.</w:t>
      </w:r>
      <w:r>
        <w:rPr>
          <w:rFonts w:hint="eastAsia" w:ascii="宋体" w:hAnsi="宋体"/>
          <w:b/>
          <w:sz w:val="28"/>
          <w:szCs w:val="28"/>
          <w:highlight w:val="none"/>
        </w:rPr>
        <w:t>1磋商小组的组成</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5.1.1评审由采购单位依法组建的磋商小组负责。磋商小组由采购人代表和有关技术、经济等方面的专家组成。全面负责对响应文件的审查、评审、磋商、打分等全部评审工作。磋商小组人数以及技术、经济方面的专家组成见</w:t>
      </w:r>
      <w:r>
        <w:rPr>
          <w:rFonts w:hint="eastAsia"/>
          <w:highlight w:val="none"/>
        </w:rPr>
        <w:fldChar w:fldCharType="begin"/>
      </w:r>
      <w:r>
        <w:rPr>
          <w:highlight w:val="none"/>
        </w:rPr>
        <w:instrText xml:space="preserve"> HYPERLINK "file:///C:\\WordForm\\e944b4b1-01b6-4e42-b170-f783fcf7903a.doc" \l "_评标委员会" </w:instrText>
      </w:r>
      <w:r>
        <w:rPr>
          <w:rFonts w:hint="eastAsia"/>
          <w:highlight w:val="none"/>
        </w:rPr>
        <w:fldChar w:fldCharType="separate"/>
      </w:r>
      <w:r>
        <w:rPr>
          <w:rFonts w:hint="eastAsia" w:ascii="宋体" w:hAnsi="宋体"/>
          <w:kern w:val="0"/>
          <w:sz w:val="28"/>
          <w:szCs w:val="28"/>
          <w:highlight w:val="none"/>
        </w:rPr>
        <w:t>供应商须知前附表</w:t>
      </w:r>
      <w:r>
        <w:rPr>
          <w:rFonts w:hint="eastAsia" w:ascii="宋体" w:hAnsi="宋体"/>
          <w:kern w:val="0"/>
          <w:sz w:val="28"/>
          <w:szCs w:val="28"/>
          <w:highlight w:val="none"/>
        </w:rPr>
        <w:fldChar w:fldCharType="end"/>
      </w:r>
      <w:r>
        <w:rPr>
          <w:rFonts w:hint="eastAsia" w:ascii="宋体" w:hAnsi="宋体"/>
          <w:kern w:val="0"/>
          <w:sz w:val="28"/>
          <w:szCs w:val="28"/>
          <w:highlight w:val="none"/>
        </w:rPr>
        <w:t>。</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5.2磋商方法</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5.2.1磋商小组将按照磋商文件确定的评审方法进行评审。磋商小组对响应文件的评审分为响应文件初审、澄清有关问题、比较与评价响应文件、推荐中标候选人名单。</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5.2.1项目评审方法详见磋商文件“ 评审方法、步骤及标准”。</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5.3响应文件的初审</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初审分为资格性检查和符合性检查。</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5.3.1资格性检查</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（1）磋商小组根据评审办法前附表规定的评审因素和评审标准，对供应商的响应文件进行资格评审。资格性检查不合格的供应商的响应文件作无效文件处理。</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（2）磋商小组在进行资格检查时，不得改变磋商文件中已载明的资格条件、标准和办法。资格性检查不合格的供应商的响应文件作无效文件处理。</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（3）供应商在递交响应文件的同时，应逐项对照上述资格性检查要求提交相应的原件和资格证明文件供磋商小组核查，否则评委将不予采信。</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（4）磋商小组在评审中必要时可按供应商提供的联系方式就有关问题进行查询核实，或要求供应商做出书面澄清，查询及澄清结果将作为审查的依据。</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（5）通过全部资格性检查条件合格的供应商才能通过资格检查，其响应文件方可进入下一个检查阶段。</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5.3.2符合性检查</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磋商小组根据评审办法前附表规定的评审因素和评审标准，对供应商的响应文件进行符合性检查。符合性检查不合格的供应商的响应文件作无效文件处理。</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 xml:space="preserve">5.4违法违规行为 </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5.4.1在评审过程中，磋商小组发现供应商有下列情形之一的，作无效文件处理：</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（1）属于同一集团、协会、商会等组织成员的供应商按照该组织要求协同投标；</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（2）不同供应商的响应文件由同一单位或者个人编制；</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（3）不同供应商委托同一单位或者个人办理投标事宜；</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（4）不同供应商的响应文件载明的项目管理成员为同一人；</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（5）不同供应商的响应文件异常一致或者投标报价呈规律性差异；</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（6）不同供应商的响应文件相互混装；</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（7）使用伪造、变造的行政许可证件；</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（8）提供虚假的财务状况或者业绩；</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（9）提供虚假的项目负责人或者主要技术人员简历、劳动关系证明；</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（10）提供虚假的信用状况；</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（11）其他弄虚作假的行为。</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5.5 磋商小组审查响应文件是否完整、有无计算上的错误等。</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5.5.1 响应文件的修正及澄清</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（1）磋商小组对确定为实质上响应磋商文件要求的响应文件进行校核，看其是否有计算或表达上的错误，算术错误将按以下方法更正：</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2）响应文件的大写金额和小写金额不一致的，以大写金额为准；总价金额与单价汇总金额不一致的，以单价汇总金额计算结果为准；单价金额小数点有明显错位的，应以总价为准，并修改单价。提交最终报价时，如果供应商不接受对其错误的更正，其响应文件将被视为无效文件。</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5.5.2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39"/>
        <w:spacing w:line="500" w:lineRule="exact"/>
        <w:ind w:firstLine="565" w:firstLineChars="202"/>
        <w:rPr>
          <w:rFonts w:ascii="宋体" w:hAnsi="宋体"/>
          <w:kern w:val="0"/>
          <w:sz w:val="28"/>
          <w:szCs w:val="28"/>
          <w:highlight w:val="none"/>
        </w:rPr>
      </w:pPr>
      <w:r>
        <w:rPr>
          <w:rFonts w:hint="eastAsia" w:ascii="宋体" w:hAnsi="宋体"/>
          <w:kern w:val="0"/>
          <w:sz w:val="28"/>
          <w:szCs w:val="28"/>
          <w:highlight w:val="none"/>
        </w:rPr>
        <w:t>5.5.3实质上没有响应磋商文件要求的响应文件将被视为无效文件。供应商不得通过修正或撤销不合要求的偏离从而使其成为实质上响应的文件。</w:t>
      </w:r>
    </w:p>
    <w:p>
      <w:pPr>
        <w:pStyle w:val="38"/>
        <w:spacing w:line="600" w:lineRule="exact"/>
        <w:ind w:firstLine="562" w:firstLineChars="201"/>
        <w:contextualSpacing/>
        <w:rPr>
          <w:rFonts w:hAnsi="宋体"/>
          <w:kern w:val="0"/>
          <w:sz w:val="28"/>
          <w:szCs w:val="28"/>
          <w:highlight w:val="none"/>
        </w:rPr>
      </w:pPr>
      <w:r>
        <w:rPr>
          <w:rFonts w:hint="eastAsia" w:hAnsi="宋体"/>
          <w:kern w:val="0"/>
          <w:sz w:val="28"/>
          <w:szCs w:val="28"/>
          <w:highlight w:val="none"/>
        </w:rPr>
        <w:t>5.5.4评审期间，磋商小组有权要求供应商对其响应文件中含义不明确、同类问题表述不一致或者有明显文字和计算错误的内容等作必要的澄清、说明或者补正。供应商必须按照磋商小组要求的澄清内容和时间做出澄清。除按本磋商文件规定改正算术错误外，供应商对响应文件的澄清不得超出响应文件的范围或者改变响应文件的实质性内容。在评审期间,磋商小组可要求供应商对其响应文件进行澄清，但不得寻求、提供或允许供应商对投标报价等实质性内容做任何更改。有关澄清的答复均应由供应商的法定代表人或授权代表以书面形式作出并签字。</w:t>
      </w:r>
    </w:p>
    <w:p>
      <w:pPr>
        <w:pStyle w:val="39"/>
        <w:spacing w:line="500" w:lineRule="exact"/>
        <w:ind w:firstLine="565" w:firstLineChars="202"/>
        <w:rPr>
          <w:rFonts w:ascii="宋体" w:hAnsi="宋体"/>
          <w:sz w:val="28"/>
          <w:szCs w:val="28"/>
          <w:highlight w:val="none"/>
        </w:rPr>
      </w:pPr>
      <w:r>
        <w:rPr>
          <w:rFonts w:hint="eastAsia" w:ascii="宋体" w:hAnsi="宋体"/>
          <w:kern w:val="0"/>
          <w:sz w:val="28"/>
          <w:szCs w:val="28"/>
          <w:highlight w:val="none"/>
        </w:rPr>
        <w:t>5.5.5供应商的澄清文件是其响应文件</w:t>
      </w:r>
      <w:r>
        <w:rPr>
          <w:rFonts w:hint="eastAsia" w:ascii="宋体" w:hAnsi="宋体"/>
          <w:sz w:val="28"/>
          <w:szCs w:val="28"/>
          <w:highlight w:val="none"/>
        </w:rPr>
        <w:t>的组成部分。</w:t>
      </w:r>
    </w:p>
    <w:p>
      <w:pPr>
        <w:pStyle w:val="37"/>
        <w:spacing w:after="200" w:line="500" w:lineRule="exact"/>
        <w:rPr>
          <w:rFonts w:ascii="宋体" w:hAnsi="宋体"/>
          <w:b/>
          <w:sz w:val="28"/>
          <w:szCs w:val="28"/>
          <w:highlight w:val="none"/>
        </w:rPr>
      </w:pPr>
      <w:r>
        <w:rPr>
          <w:rFonts w:hint="eastAsia" w:ascii="宋体" w:hAnsi="宋体"/>
          <w:b/>
          <w:sz w:val="28"/>
          <w:szCs w:val="28"/>
          <w:highlight w:val="none"/>
        </w:rPr>
        <w:t>A．采用不见面开标方式</w:t>
      </w:r>
    </w:p>
    <w:p>
      <w:pPr>
        <w:pStyle w:val="37"/>
        <w:spacing w:after="200" w:line="360" w:lineRule="auto"/>
        <w:rPr>
          <w:rFonts w:ascii="宋体" w:hAnsi="宋体" w:cs="宋体"/>
          <w:sz w:val="28"/>
          <w:szCs w:val="28"/>
          <w:highlight w:val="none"/>
        </w:rPr>
      </w:pPr>
      <w:r>
        <w:rPr>
          <w:rFonts w:hint="eastAsia" w:ascii="宋体" w:hAnsi="宋体" w:cs="宋体"/>
          <w:b/>
          <w:bCs/>
          <w:sz w:val="28"/>
          <w:szCs w:val="28"/>
          <w:highlight w:val="none"/>
        </w:rPr>
        <w:t xml:space="preserve">5.3  </w:t>
      </w:r>
      <w:r>
        <w:rPr>
          <w:rFonts w:hint="eastAsia" w:ascii="宋体" w:hAnsi="宋体" w:cs="宋体"/>
          <w:b/>
          <w:sz w:val="28"/>
          <w:szCs w:val="28"/>
          <w:highlight w:val="none"/>
        </w:rPr>
        <w:t>响应文件的初步评审与澄清</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 5.3.1  响应文件的初步评审分为资格性检查、符合性检查。</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（1）资格性检查指依据法律、法规和磋商文件的规定，对响应文件资格证明、磋商保证金等进行审查，以确定供应商是否具备报价资格。详细评审标准见</w:t>
      </w:r>
      <w:r>
        <w:rPr>
          <w:rFonts w:hint="eastAsia" w:ascii="宋体" w:hAnsi="宋体" w:cs="宋体"/>
          <w:b/>
          <w:sz w:val="28"/>
          <w:szCs w:val="28"/>
          <w:highlight w:val="none"/>
        </w:rPr>
        <w:t>投标人须知前附表2</w:t>
      </w:r>
      <w:r>
        <w:rPr>
          <w:rFonts w:hint="eastAsia" w:ascii="宋体" w:hAnsi="宋体" w:cs="宋体"/>
          <w:sz w:val="28"/>
          <w:szCs w:val="28"/>
          <w:highlight w:val="none"/>
        </w:rPr>
        <w:t>。</w:t>
      </w:r>
    </w:p>
    <w:p>
      <w:pPr>
        <w:pStyle w:val="37"/>
        <w:spacing w:after="200" w:line="360" w:lineRule="auto"/>
        <w:ind w:firstLine="552" w:firstLineChars="200"/>
        <w:rPr>
          <w:rFonts w:ascii="宋体" w:hAnsi="宋体" w:cs="宋体"/>
          <w:spacing w:val="-2"/>
          <w:sz w:val="28"/>
          <w:szCs w:val="28"/>
          <w:highlight w:val="none"/>
        </w:rPr>
      </w:pPr>
      <w:r>
        <w:rPr>
          <w:rFonts w:hint="eastAsia" w:ascii="宋体" w:hAnsi="宋体" w:cs="宋体"/>
          <w:spacing w:val="-2"/>
          <w:sz w:val="28"/>
          <w:szCs w:val="28"/>
          <w:highlight w:val="none"/>
        </w:rPr>
        <w:t>（2）符合性检查依据磋商文件的规定，从响应文件的有效性、完整性和对磋商文件的响应程度进行审查，以确定是否对磋商文件的实质性要求作出响应。 详细评审标准见</w:t>
      </w:r>
      <w:r>
        <w:rPr>
          <w:rFonts w:hint="eastAsia" w:ascii="宋体" w:hAnsi="宋体" w:cs="宋体"/>
          <w:b/>
          <w:spacing w:val="-2"/>
          <w:sz w:val="28"/>
          <w:szCs w:val="28"/>
          <w:highlight w:val="none"/>
        </w:rPr>
        <w:t>投标人须知前附表2</w:t>
      </w:r>
      <w:r>
        <w:rPr>
          <w:rFonts w:hint="eastAsia" w:ascii="宋体" w:hAnsi="宋体" w:cs="宋体"/>
          <w:spacing w:val="-2"/>
          <w:sz w:val="28"/>
          <w:szCs w:val="28"/>
          <w:highlight w:val="none"/>
        </w:rPr>
        <w:t>。</w:t>
      </w:r>
    </w:p>
    <w:p>
      <w:pPr>
        <w:pStyle w:val="37"/>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5.3.2 响应文件的澄清</w:t>
      </w:r>
    </w:p>
    <w:p>
      <w:pPr>
        <w:pStyle w:val="37"/>
        <w:autoSpaceDE w:val="0"/>
        <w:autoSpaceDN w:val="0"/>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bCs/>
          <w:sz w:val="28"/>
          <w:szCs w:val="28"/>
          <w:highlight w:val="none"/>
        </w:rPr>
        <w:t xml:space="preserve">（1） </w:t>
      </w:r>
      <w:r>
        <w:rPr>
          <w:rFonts w:hint="eastAsia" w:ascii="宋体" w:hAnsi="宋体" w:cs="宋体"/>
          <w:kern w:val="0"/>
          <w:sz w:val="28"/>
          <w:szCs w:val="28"/>
          <w:highlight w:val="none"/>
          <w:lang w:val="zh-CN"/>
        </w:rPr>
        <w:t>磋商小组在对响应文件的有效性、完整性和对磋商文件的响应程度进行审查时，可以要求供应商对响应文件中含义不明</w:t>
      </w:r>
      <w:r>
        <w:rPr>
          <w:rFonts w:hint="eastAsia" w:ascii="宋体" w:hAnsi="宋体" w:cs="宋体"/>
          <w:bCs/>
          <w:sz w:val="28"/>
          <w:szCs w:val="28"/>
          <w:highlight w:val="none"/>
        </w:rPr>
        <w:t>确</w:t>
      </w:r>
      <w:r>
        <w:rPr>
          <w:rFonts w:hint="eastAsia" w:ascii="宋体" w:hAnsi="宋体" w:cs="宋体"/>
          <w:kern w:val="0"/>
          <w:sz w:val="28"/>
          <w:szCs w:val="28"/>
          <w:highlight w:val="none"/>
          <w:lang w:val="zh-CN"/>
        </w:rPr>
        <w:t>、同类问题表述不一致或者有明显文字和计算错误的内容等作出必要的澄清、说明或者纠正。该要求</w:t>
      </w:r>
      <w:r>
        <w:rPr>
          <w:rFonts w:hint="eastAsia" w:ascii="宋体" w:hAnsi="宋体" w:cs="宋体"/>
          <w:sz w:val="28"/>
          <w:szCs w:val="28"/>
          <w:highlight w:val="none"/>
        </w:rPr>
        <w:t>应当以</w:t>
      </w:r>
      <w:r>
        <w:rPr>
          <w:rFonts w:hint="eastAsia" w:ascii="宋体" w:hAnsi="宋体" w:cs="宋体"/>
          <w:kern w:val="0"/>
          <w:sz w:val="28"/>
          <w:szCs w:val="28"/>
          <w:highlight w:val="none"/>
          <w:lang w:val="zh-CN"/>
        </w:rPr>
        <w:t>书面形式作出。供应商的澄清、说明或者补正应当采用书面形式，由其</w:t>
      </w:r>
      <w:r>
        <w:rPr>
          <w:rFonts w:hint="eastAsia" w:ascii="宋体" w:hAnsi="宋体" w:cs="宋体"/>
          <w:sz w:val="28"/>
          <w:szCs w:val="28"/>
          <w:highlight w:val="none"/>
        </w:rPr>
        <w:t>法定代表人或其授权代表</w:t>
      </w:r>
      <w:r>
        <w:rPr>
          <w:rFonts w:hint="eastAsia" w:ascii="宋体" w:hAnsi="宋体" w:cs="宋体"/>
          <w:bCs/>
          <w:sz w:val="28"/>
          <w:szCs w:val="28"/>
          <w:highlight w:val="none"/>
        </w:rPr>
        <w:t>签字</w:t>
      </w:r>
      <w:r>
        <w:rPr>
          <w:rFonts w:hint="eastAsia" w:ascii="宋体" w:hAnsi="宋体" w:cs="宋体"/>
          <w:kern w:val="0"/>
          <w:sz w:val="28"/>
          <w:szCs w:val="28"/>
          <w:highlight w:val="none"/>
          <w:lang w:val="zh-CN"/>
        </w:rPr>
        <w:t>。供应商的澄清、说明或者更正不得超出磋商文件的范围或者改变响应文件的实质性内容。</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bCs/>
          <w:sz w:val="28"/>
          <w:szCs w:val="28"/>
          <w:highlight w:val="none"/>
        </w:rPr>
        <w:t>（2）</w:t>
      </w:r>
      <w:r>
        <w:rPr>
          <w:rFonts w:hint="eastAsia" w:ascii="宋体" w:hAnsi="宋体" w:cs="宋体"/>
          <w:kern w:val="0"/>
          <w:sz w:val="28"/>
          <w:szCs w:val="28"/>
          <w:highlight w:val="none"/>
          <w:lang w:val="zh-CN"/>
        </w:rPr>
        <w:t>计算</w:t>
      </w:r>
      <w:r>
        <w:rPr>
          <w:rFonts w:hint="eastAsia" w:ascii="宋体" w:hAnsi="宋体" w:cs="宋体"/>
          <w:sz w:val="28"/>
          <w:szCs w:val="28"/>
          <w:highlight w:val="none"/>
        </w:rPr>
        <w:t>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37"/>
        <w:tabs>
          <w:tab w:val="left" w:pos="0"/>
        </w:tabs>
        <w:adjustRightInd w:val="0"/>
        <w:snapToGrid w:val="0"/>
        <w:spacing w:after="200" w:line="360" w:lineRule="auto"/>
        <w:rPr>
          <w:rFonts w:ascii="宋体" w:hAnsi="宋体" w:cs="宋体"/>
          <w:bCs/>
          <w:sz w:val="28"/>
          <w:szCs w:val="28"/>
          <w:highlight w:val="none"/>
        </w:rPr>
      </w:pPr>
      <w:r>
        <w:rPr>
          <w:rFonts w:hint="eastAsia" w:ascii="宋体" w:hAnsi="宋体" w:cs="宋体"/>
          <w:b/>
          <w:bCs/>
          <w:sz w:val="28"/>
          <w:szCs w:val="28"/>
          <w:highlight w:val="none"/>
        </w:rPr>
        <w:t>5.4 磋商、最后报价</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sz w:val="28"/>
          <w:szCs w:val="28"/>
          <w:highlight w:val="none"/>
        </w:rPr>
        <w:t>5.4.1</w:t>
      </w:r>
      <w:r>
        <w:rPr>
          <w:rFonts w:hint="eastAsia" w:ascii="宋体" w:hAnsi="宋体" w:cs="宋体"/>
          <w:kern w:val="0"/>
          <w:sz w:val="28"/>
          <w:szCs w:val="28"/>
          <w:highlight w:val="none"/>
          <w:lang w:val="zh-CN"/>
        </w:rPr>
        <w:t>磋商小组所有成员按以下两种情况和程序集中与单一供应商分别进行磋商。并给予所有参加</w:t>
      </w:r>
      <w:r>
        <w:rPr>
          <w:rFonts w:hint="eastAsia" w:ascii="宋体" w:hAnsi="宋体" w:cs="宋体"/>
          <w:bCs/>
          <w:sz w:val="28"/>
          <w:szCs w:val="28"/>
          <w:highlight w:val="none"/>
        </w:rPr>
        <w:t>磋商</w:t>
      </w:r>
      <w:r>
        <w:rPr>
          <w:rFonts w:hint="eastAsia" w:ascii="宋体" w:hAnsi="宋体" w:cs="宋体"/>
          <w:kern w:val="0"/>
          <w:sz w:val="28"/>
          <w:szCs w:val="28"/>
          <w:highlight w:val="none"/>
          <w:lang w:val="zh-CN"/>
        </w:rPr>
        <w:t>的供应商相同的磋商机会。</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kern w:val="0"/>
          <w:sz w:val="28"/>
          <w:szCs w:val="28"/>
          <w:highlight w:val="none"/>
          <w:lang w:val="zh-CN"/>
        </w:rPr>
        <w:t>（1）第一种情况</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sz w:val="28"/>
          <w:szCs w:val="28"/>
          <w:highlight w:val="none"/>
        </w:rPr>
        <w:t>磋商文件能够详细列明采购标的的技术、服务要求的，磋商结束后，磋商小组将要求所有实质性响应的供应商在规定时间内提交最后报价。最后报价是供应商响应文件的有效组成部分。</w:t>
      </w:r>
      <w:r>
        <w:rPr>
          <w:rFonts w:hint="eastAsia" w:ascii="宋体" w:hAnsi="宋体" w:cs="宋体"/>
          <w:snapToGrid w:val="0"/>
          <w:kern w:val="0"/>
          <w:sz w:val="28"/>
          <w:szCs w:val="28"/>
          <w:highlight w:val="none"/>
        </w:rPr>
        <w:t>提交最后报价的供应商不得少于3家。</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kern w:val="0"/>
          <w:sz w:val="28"/>
          <w:szCs w:val="28"/>
          <w:highlight w:val="none"/>
          <w:lang w:val="zh-CN"/>
        </w:rPr>
        <w:t>（2）第二种情况</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snapToGrid w:val="0"/>
          <w:kern w:val="0"/>
          <w:sz w:val="28"/>
          <w:szCs w:val="28"/>
          <w:highlight w:val="none"/>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hint="eastAsia" w:ascii="宋体" w:hAnsi="宋体" w:cs="宋体"/>
          <w:sz w:val="28"/>
          <w:szCs w:val="28"/>
          <w:highlight w:val="none"/>
        </w:rPr>
        <w:t>最后报价是供应商响应文件的有效组成部分。</w:t>
      </w:r>
    </w:p>
    <w:p>
      <w:pPr>
        <w:pStyle w:val="37"/>
        <w:tabs>
          <w:tab w:val="left" w:pos="0"/>
        </w:tabs>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kern w:val="0"/>
          <w:sz w:val="28"/>
          <w:szCs w:val="28"/>
          <w:highlight w:val="none"/>
          <w:lang w:val="zh-CN"/>
        </w:rPr>
        <w:t>5.4.2</w:t>
      </w:r>
      <w:r>
        <w:rPr>
          <w:rFonts w:hint="eastAsia" w:ascii="宋体" w:hAnsi="宋体" w:cs="宋体"/>
          <w:sz w:val="28"/>
          <w:szCs w:val="28"/>
          <w:highlight w:val="none"/>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pStyle w:val="37"/>
        <w:tabs>
          <w:tab w:val="left" w:pos="0"/>
        </w:tabs>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5.4.3已提交响应文件的供应商，在提交最后报价之前，可以根据磋商情况退出磋商。</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kern w:val="0"/>
          <w:sz w:val="28"/>
          <w:szCs w:val="28"/>
          <w:highlight w:val="none"/>
          <w:lang w:val="zh-CN"/>
        </w:rPr>
        <w:t>5.4.4磋商轮数和最后</w:t>
      </w:r>
      <w:r>
        <w:rPr>
          <w:rFonts w:hint="eastAsia" w:ascii="宋体" w:hAnsi="宋体" w:cs="宋体"/>
          <w:sz w:val="28"/>
          <w:szCs w:val="28"/>
          <w:highlight w:val="none"/>
        </w:rPr>
        <w:t>报价的要求</w:t>
      </w:r>
      <w:r>
        <w:rPr>
          <w:rFonts w:hint="eastAsia" w:ascii="宋体" w:hAnsi="宋体" w:cs="宋体"/>
          <w:sz w:val="28"/>
          <w:szCs w:val="28"/>
          <w:highlight w:val="none"/>
          <w:lang w:val="zh-CN"/>
        </w:rPr>
        <w:t>见</w:t>
      </w:r>
      <w:r>
        <w:rPr>
          <w:rFonts w:hint="eastAsia" w:ascii="宋体" w:hAnsi="宋体" w:cs="宋体"/>
          <w:b/>
          <w:sz w:val="28"/>
          <w:szCs w:val="28"/>
          <w:highlight w:val="none"/>
          <w:lang w:val="zh-CN"/>
        </w:rPr>
        <w:t>投标人须知前附表1。</w:t>
      </w:r>
    </w:p>
    <w:p>
      <w:pPr>
        <w:pStyle w:val="37"/>
        <w:tabs>
          <w:tab w:val="left" w:pos="0"/>
        </w:tabs>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5.5综合评审</w:t>
      </w:r>
    </w:p>
    <w:p>
      <w:pPr>
        <w:pStyle w:val="37"/>
        <w:tabs>
          <w:tab w:val="left" w:pos="0"/>
        </w:tabs>
        <w:adjustRightInd w:val="0"/>
        <w:snapToGrid w:val="0"/>
        <w:spacing w:after="200" w:line="360" w:lineRule="auto"/>
        <w:ind w:firstLine="560" w:firstLineChars="200"/>
        <w:rPr>
          <w:rFonts w:ascii="宋体" w:hAnsi="宋体" w:cs="宋体"/>
          <w:bCs/>
          <w:sz w:val="28"/>
          <w:szCs w:val="28"/>
          <w:highlight w:val="none"/>
        </w:rPr>
      </w:pPr>
      <w:r>
        <w:rPr>
          <w:rFonts w:hint="eastAsia" w:ascii="宋体" w:hAnsi="宋体" w:cs="宋体"/>
          <w:sz w:val="28"/>
          <w:szCs w:val="28"/>
          <w:highlight w:val="none"/>
        </w:rPr>
        <w:t>5.5.1</w:t>
      </w:r>
      <w:r>
        <w:rPr>
          <w:rFonts w:hint="eastAsia" w:ascii="宋体" w:hAnsi="宋体" w:cs="宋体"/>
          <w:bCs/>
          <w:sz w:val="28"/>
          <w:szCs w:val="28"/>
          <w:highlight w:val="none"/>
        </w:rPr>
        <w:t>评审方法</w:t>
      </w:r>
      <w:r>
        <w:rPr>
          <w:rFonts w:hint="eastAsia" w:ascii="宋体" w:hAnsi="宋体" w:cs="宋体"/>
          <w:sz w:val="28"/>
          <w:szCs w:val="28"/>
          <w:highlight w:val="none"/>
        </w:rPr>
        <w:t>：综合评分法，是指响应文件满足磋商文件全部实质性要求且按评审因素的量化指标评审得分最高的供应商为成交候选供应商的评审方法。</w:t>
      </w:r>
    </w:p>
    <w:p>
      <w:pPr>
        <w:pStyle w:val="37"/>
        <w:tabs>
          <w:tab w:val="left" w:pos="0"/>
        </w:tabs>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bCs/>
          <w:sz w:val="28"/>
          <w:szCs w:val="28"/>
          <w:highlight w:val="none"/>
        </w:rPr>
        <w:t>5.5.2磋商小组依据磋商文件及供应商的响应文件</w:t>
      </w:r>
      <w:r>
        <w:rPr>
          <w:rFonts w:hint="eastAsia" w:ascii="宋体" w:hAnsi="宋体" w:cs="宋体"/>
          <w:sz w:val="28"/>
          <w:szCs w:val="28"/>
          <w:highlight w:val="none"/>
        </w:rPr>
        <w:t>和</w:t>
      </w:r>
      <w:r>
        <w:rPr>
          <w:rFonts w:hint="eastAsia" w:ascii="宋体" w:hAnsi="宋体" w:cs="宋体"/>
          <w:kern w:val="0"/>
          <w:sz w:val="28"/>
          <w:szCs w:val="28"/>
          <w:highlight w:val="none"/>
          <w:lang w:val="zh-CN"/>
        </w:rPr>
        <w:t>最后报价</w:t>
      </w:r>
      <w:r>
        <w:rPr>
          <w:rFonts w:hint="eastAsia" w:ascii="宋体" w:hAnsi="宋体" w:cs="宋体"/>
          <w:bCs/>
          <w:sz w:val="28"/>
          <w:szCs w:val="28"/>
          <w:highlight w:val="none"/>
        </w:rPr>
        <w:t>，对响应文件的商务和技术部分进行进一步的比较和评价，详细</w:t>
      </w:r>
      <w:r>
        <w:rPr>
          <w:rFonts w:hint="eastAsia" w:ascii="宋体" w:hAnsi="宋体" w:cs="宋体"/>
          <w:sz w:val="28"/>
          <w:szCs w:val="28"/>
          <w:highlight w:val="none"/>
        </w:rPr>
        <w:t>评审标准见</w:t>
      </w:r>
      <w:r>
        <w:rPr>
          <w:rFonts w:hint="eastAsia" w:ascii="宋体" w:hAnsi="宋体" w:cs="宋体"/>
          <w:b/>
          <w:bCs/>
          <w:sz w:val="28"/>
          <w:szCs w:val="28"/>
          <w:highlight w:val="none"/>
        </w:rPr>
        <w:t>第三章 评审方法</w:t>
      </w:r>
      <w:r>
        <w:rPr>
          <w:rFonts w:hint="eastAsia" w:ascii="宋体" w:hAnsi="宋体" w:cs="宋体"/>
          <w:bCs/>
          <w:sz w:val="28"/>
          <w:szCs w:val="28"/>
          <w:highlight w:val="none"/>
        </w:rPr>
        <w:t>。</w:t>
      </w:r>
    </w:p>
    <w:p>
      <w:pPr>
        <w:pStyle w:val="37"/>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5.5.3若供应商的报价明显低于其他报价，使得其报价可能低于其个别成本的，有可能影响商品质量或不能诚信履约的，供应商应按磋商小组的要求作出书面说明并提供相关证明材料，不能合理说明或不能提供相关证明材料的，可作无效报价处理。</w:t>
      </w:r>
    </w:p>
    <w:p>
      <w:pPr>
        <w:pStyle w:val="37"/>
        <w:tabs>
          <w:tab w:val="left" w:pos="0"/>
        </w:tabs>
        <w:adjustRightInd w:val="0"/>
        <w:snapToGrid w:val="0"/>
        <w:spacing w:after="200" w:line="360" w:lineRule="auto"/>
        <w:ind w:firstLine="560" w:firstLineChars="200"/>
        <w:rPr>
          <w:rFonts w:ascii="宋体" w:hAnsi="宋体" w:cs="宋体"/>
          <w:kern w:val="0"/>
          <w:sz w:val="28"/>
          <w:szCs w:val="28"/>
          <w:highlight w:val="none"/>
          <w:lang w:val="zh-CN"/>
        </w:rPr>
      </w:pPr>
      <w:r>
        <w:rPr>
          <w:rFonts w:hint="eastAsia" w:ascii="宋体" w:hAnsi="宋体" w:cs="宋体"/>
          <w:sz w:val="28"/>
          <w:szCs w:val="28"/>
          <w:highlight w:val="none"/>
        </w:rPr>
        <w:t>5.5.4  对漏（缺）报项的处理：磋商文件中要求列入报价的费用（含配置、功能）漏报的，以及“已标价的工程量清单”中供应商没有填入单价（价格）或漏（缺）报的项目视同已含在总报价中，不予调整。对多报项及赠送项的价格评审时不予核减，全部进入评标价评议。</w:t>
      </w:r>
    </w:p>
    <w:p>
      <w:pPr>
        <w:pStyle w:val="37"/>
        <w:tabs>
          <w:tab w:val="left" w:pos="0"/>
        </w:tabs>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5.6成交原则</w:t>
      </w:r>
    </w:p>
    <w:p>
      <w:pPr>
        <w:pStyle w:val="37"/>
        <w:tabs>
          <w:tab w:val="left" w:pos="0"/>
        </w:tabs>
        <w:adjustRightInd w:val="0"/>
        <w:snapToGrid w:val="0"/>
        <w:spacing w:after="200"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对经比较和评价符合磋商文件要求的供应商，按照综合评审得分由高到低顺序推荐</w:t>
      </w:r>
      <w:r>
        <w:rPr>
          <w:rFonts w:hint="eastAsia" w:ascii="宋体" w:hAnsi="宋体" w:cs="宋体"/>
          <w:b/>
          <w:bCs/>
          <w:sz w:val="28"/>
          <w:szCs w:val="28"/>
          <w:highlight w:val="none"/>
        </w:rPr>
        <w:t>投标人须知前附表1</w:t>
      </w:r>
      <w:r>
        <w:rPr>
          <w:rFonts w:hint="eastAsia" w:ascii="宋体" w:hAnsi="宋体" w:cs="宋体"/>
          <w:bCs/>
          <w:sz w:val="28"/>
          <w:szCs w:val="28"/>
          <w:highlight w:val="none"/>
        </w:rPr>
        <w:t>规定数量的成交候选</w:t>
      </w:r>
      <w:r>
        <w:rPr>
          <w:rFonts w:hint="eastAsia" w:ascii="宋体" w:hAnsi="宋体" w:cs="宋体"/>
          <w:kern w:val="0"/>
          <w:sz w:val="28"/>
          <w:szCs w:val="28"/>
          <w:highlight w:val="none"/>
        </w:rPr>
        <w:t>供应商</w:t>
      </w:r>
      <w:r>
        <w:rPr>
          <w:rFonts w:hint="eastAsia" w:ascii="宋体" w:hAnsi="宋体" w:cs="宋体"/>
          <w:kern w:val="0"/>
          <w:sz w:val="28"/>
          <w:szCs w:val="28"/>
          <w:highlight w:val="none"/>
          <w:lang w:val="zh-CN"/>
        </w:rPr>
        <w:t>，</w:t>
      </w:r>
      <w:r>
        <w:rPr>
          <w:rFonts w:hint="eastAsia" w:ascii="宋体" w:hAnsi="宋体" w:cs="宋体"/>
          <w:kern w:val="0"/>
          <w:sz w:val="28"/>
          <w:szCs w:val="28"/>
          <w:highlight w:val="none"/>
        </w:rPr>
        <w:t>并确定排名第一的</w:t>
      </w:r>
      <w:r>
        <w:rPr>
          <w:rFonts w:hint="eastAsia" w:ascii="宋体" w:hAnsi="宋体" w:cs="宋体"/>
          <w:kern w:val="0"/>
          <w:sz w:val="28"/>
          <w:szCs w:val="28"/>
          <w:highlight w:val="none"/>
          <w:lang w:val="zh-CN"/>
        </w:rPr>
        <w:t>成交候选</w:t>
      </w:r>
      <w:r>
        <w:rPr>
          <w:rFonts w:hint="eastAsia" w:ascii="宋体" w:hAnsi="宋体" w:cs="宋体"/>
          <w:bCs/>
          <w:sz w:val="28"/>
          <w:szCs w:val="28"/>
          <w:highlight w:val="none"/>
        </w:rPr>
        <w:t>供应商为成交供应商</w:t>
      </w:r>
      <w:r>
        <w:rPr>
          <w:rFonts w:hint="eastAsia" w:ascii="宋体" w:hAnsi="宋体" w:cs="宋体"/>
          <w:kern w:val="0"/>
          <w:sz w:val="28"/>
          <w:szCs w:val="28"/>
          <w:highlight w:val="none"/>
          <w:lang w:val="zh-CN"/>
        </w:rPr>
        <w:t>。</w:t>
      </w:r>
      <w:r>
        <w:rPr>
          <w:rFonts w:hint="eastAsia" w:ascii="宋体" w:hAnsi="宋体" w:cs="宋体"/>
          <w:sz w:val="28"/>
          <w:szCs w:val="28"/>
          <w:highlight w:val="none"/>
          <w:lang w:val="zh-CN"/>
        </w:rPr>
        <w:t>如报价</w:t>
      </w:r>
      <w:r>
        <w:rPr>
          <w:rFonts w:hint="eastAsia" w:ascii="宋体" w:hAnsi="宋体" w:cs="宋体"/>
          <w:sz w:val="28"/>
          <w:szCs w:val="28"/>
          <w:highlight w:val="none"/>
        </w:rPr>
        <w:t>相同，由磋商小组按技术指标、实力等综合因素优劣排列。</w:t>
      </w:r>
    </w:p>
    <w:p>
      <w:pPr>
        <w:pStyle w:val="38"/>
        <w:adjustRightInd w:val="0"/>
        <w:snapToGrid w:val="0"/>
        <w:spacing w:after="200" w:line="360" w:lineRule="auto"/>
        <w:ind w:left="843" w:hanging="843" w:hangingChars="300"/>
        <w:rPr>
          <w:rFonts w:hAnsi="宋体" w:cs="宋体"/>
          <w:b/>
          <w:sz w:val="28"/>
          <w:szCs w:val="28"/>
          <w:highlight w:val="none"/>
        </w:rPr>
      </w:pPr>
      <w:r>
        <w:rPr>
          <w:rFonts w:hint="eastAsia" w:hAnsi="宋体" w:cs="宋体"/>
          <w:b/>
          <w:sz w:val="28"/>
          <w:szCs w:val="28"/>
          <w:highlight w:val="none"/>
        </w:rPr>
        <w:t>5.7 磋商的特殊情形</w:t>
      </w:r>
    </w:p>
    <w:p>
      <w:pPr>
        <w:pStyle w:val="38"/>
        <w:adjustRightInd w:val="0"/>
        <w:snapToGrid w:val="0"/>
        <w:spacing w:after="200" w:line="360" w:lineRule="auto"/>
        <w:ind w:firstLine="411" w:firstLineChars="147"/>
        <w:rPr>
          <w:rFonts w:hAnsi="宋体" w:cs="宋体"/>
          <w:sz w:val="28"/>
          <w:szCs w:val="28"/>
          <w:highlight w:val="none"/>
        </w:rPr>
      </w:pPr>
      <w:r>
        <w:rPr>
          <w:rFonts w:hint="eastAsia" w:hAnsi="宋体" w:cs="宋体"/>
          <w:sz w:val="28"/>
          <w:szCs w:val="28"/>
          <w:highlight w:val="none"/>
        </w:rPr>
        <w:t>5.7.1递交响应文件的供应商不足三家的，不开标唱标，除采购任务取消外，如磋商文件没有不合理条款，发布项目延期公告，延长三个工作日，延长期满后，仍不足三家的，继续进入磋商程序。</w:t>
      </w:r>
    </w:p>
    <w:p>
      <w:pPr>
        <w:pStyle w:val="37"/>
        <w:adjustRightInd w:val="0"/>
        <w:snapToGrid w:val="0"/>
        <w:spacing w:after="200" w:line="360" w:lineRule="auto"/>
        <w:ind w:firstLine="560" w:firstLineChars="200"/>
        <w:rPr>
          <w:rFonts w:ascii="宋体" w:hAnsi="宋体" w:cs="宋体"/>
          <w:snapToGrid w:val="0"/>
          <w:kern w:val="0"/>
          <w:sz w:val="28"/>
          <w:szCs w:val="28"/>
          <w:highlight w:val="none"/>
        </w:rPr>
      </w:pPr>
      <w:r>
        <w:rPr>
          <w:rFonts w:hint="eastAsia" w:ascii="宋体" w:hAnsi="宋体" w:cs="宋体"/>
          <w:kern w:val="0"/>
          <w:sz w:val="28"/>
          <w:szCs w:val="28"/>
          <w:highlight w:val="none"/>
          <w:lang w:val="zh-CN"/>
        </w:rPr>
        <w:t>5.7.2对磋商文件</w:t>
      </w:r>
      <w:r>
        <w:rPr>
          <w:rFonts w:hint="eastAsia" w:ascii="宋体" w:hAnsi="宋体" w:cs="宋体"/>
          <w:sz w:val="28"/>
          <w:szCs w:val="28"/>
          <w:highlight w:val="none"/>
        </w:rPr>
        <w:t>作出实质性响应的供应商不足三家，但</w:t>
      </w:r>
      <w:r>
        <w:rPr>
          <w:rFonts w:hint="eastAsia" w:ascii="宋体" w:hAnsi="宋体" w:cs="宋体"/>
          <w:snapToGrid w:val="0"/>
          <w:kern w:val="0"/>
          <w:sz w:val="28"/>
          <w:szCs w:val="28"/>
          <w:highlight w:val="none"/>
        </w:rPr>
        <w:t>符合《</w:t>
      </w:r>
      <w:r>
        <w:rPr>
          <w:rFonts w:hint="eastAsia" w:ascii="宋体" w:hAnsi="宋体" w:cs="宋体"/>
          <w:sz w:val="28"/>
          <w:szCs w:val="28"/>
          <w:highlight w:val="none"/>
        </w:rPr>
        <w:t>政府采购竞争性磋商采购方式管理暂行办法</w:t>
      </w:r>
      <w:r>
        <w:rPr>
          <w:rFonts w:hint="eastAsia" w:ascii="宋体" w:hAnsi="宋体" w:cs="宋体"/>
          <w:snapToGrid w:val="0"/>
          <w:kern w:val="0"/>
          <w:sz w:val="28"/>
          <w:szCs w:val="28"/>
          <w:highlight w:val="none"/>
        </w:rPr>
        <w:t>》第二十一条规定的属于本办法第三条第四项“市场竞争不充分的科研项目，以及需要扶持的科技成果转化项目”情形的，提交最后报价的供应商可以为2家。</w:t>
      </w:r>
    </w:p>
    <w:p>
      <w:pPr>
        <w:pStyle w:val="35"/>
        <w:jc w:val="center"/>
        <w:rPr>
          <w:rFonts w:ascii="宋体" w:hAnsi="宋体" w:cs="宋体"/>
          <w:sz w:val="28"/>
          <w:szCs w:val="28"/>
          <w:highlight w:val="none"/>
        </w:rPr>
      </w:pPr>
      <w:bookmarkStart w:id="21" w:name="_Toc256000020"/>
      <w:bookmarkStart w:id="22" w:name="_Toc13595"/>
      <w:bookmarkStart w:id="23" w:name="_Toc256000010"/>
      <w:r>
        <w:rPr>
          <w:rFonts w:hint="eastAsia" w:ascii="宋体" w:hAnsi="宋体" w:cs="宋体"/>
          <w:sz w:val="28"/>
          <w:szCs w:val="28"/>
          <w:highlight w:val="none"/>
        </w:rPr>
        <w:t>六、成交结果及合同授予</w:t>
      </w:r>
      <w:bookmarkEnd w:id="21"/>
      <w:bookmarkEnd w:id="22"/>
      <w:bookmarkEnd w:id="23"/>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6.1成交结果</w:t>
      </w:r>
    </w:p>
    <w:p>
      <w:pPr>
        <w:pStyle w:val="38"/>
        <w:adjustRightInd w:val="0"/>
        <w:snapToGrid w:val="0"/>
        <w:spacing w:after="200" w:line="360" w:lineRule="auto"/>
        <w:ind w:firstLine="560" w:firstLineChars="200"/>
        <w:rPr>
          <w:rFonts w:hAnsi="宋体" w:cs="宋体"/>
          <w:sz w:val="28"/>
          <w:szCs w:val="28"/>
          <w:highlight w:val="none"/>
        </w:rPr>
      </w:pPr>
      <w:r>
        <w:rPr>
          <w:rFonts w:hint="eastAsia" w:hAnsi="宋体" w:cs="宋体"/>
          <w:sz w:val="28"/>
          <w:szCs w:val="28"/>
          <w:highlight w:val="none"/>
        </w:rPr>
        <w:t>磋商结束后，成交结果信息将在</w:t>
      </w:r>
      <w:r>
        <w:rPr>
          <w:rFonts w:hint="eastAsia" w:hAnsi="宋体" w:cs="宋体"/>
          <w:b/>
          <w:sz w:val="28"/>
          <w:szCs w:val="28"/>
          <w:highlight w:val="none"/>
        </w:rPr>
        <w:t>投标人须知前附表1</w:t>
      </w:r>
      <w:r>
        <w:rPr>
          <w:rFonts w:hint="eastAsia" w:hAnsi="宋体" w:cs="宋体"/>
          <w:sz w:val="28"/>
          <w:szCs w:val="28"/>
          <w:highlight w:val="none"/>
        </w:rPr>
        <w:t>规定的媒体上公布。</w:t>
      </w:r>
      <w:r>
        <w:rPr>
          <w:rFonts w:hint="eastAsia" w:hAnsi="宋体" w:cs="宋体"/>
          <w:sz w:val="28"/>
          <w:szCs w:val="28"/>
          <w:highlight w:val="none"/>
          <w:lang w:val="zh-CN"/>
        </w:rPr>
        <w:t>同时向成交供应商发出成交通知书，该通知书将是合同的组成部分。</w:t>
      </w:r>
    </w:p>
    <w:p>
      <w:pPr>
        <w:pStyle w:val="37"/>
        <w:adjustRightInd w:val="0"/>
        <w:snapToGrid w:val="0"/>
        <w:spacing w:after="200" w:line="360" w:lineRule="auto"/>
        <w:rPr>
          <w:rFonts w:ascii="宋体" w:hAnsi="宋体" w:cs="宋体"/>
          <w:b/>
          <w:bCs/>
          <w:sz w:val="28"/>
          <w:szCs w:val="28"/>
          <w:highlight w:val="none"/>
        </w:rPr>
      </w:pPr>
      <w:r>
        <w:rPr>
          <w:rFonts w:hint="eastAsia" w:ascii="宋体" w:hAnsi="宋体" w:cs="宋体"/>
          <w:b/>
          <w:bCs/>
          <w:sz w:val="28"/>
          <w:szCs w:val="28"/>
          <w:highlight w:val="none"/>
        </w:rPr>
        <w:t>6.2签订合同</w:t>
      </w:r>
    </w:p>
    <w:p>
      <w:pPr>
        <w:pStyle w:val="37"/>
        <w:autoSpaceDE w:val="0"/>
        <w:autoSpaceDN w:val="0"/>
        <w:adjustRightInd w:val="0"/>
        <w:spacing w:after="200" w:line="360" w:lineRule="auto"/>
        <w:ind w:firstLine="560" w:firstLineChars="200"/>
        <w:rPr>
          <w:rFonts w:ascii="宋体" w:hAnsi="宋体" w:cs="宋体"/>
          <w:sz w:val="28"/>
          <w:szCs w:val="28"/>
          <w:highlight w:val="none"/>
          <w:lang w:val="zh-CN"/>
        </w:rPr>
      </w:pPr>
      <w:r>
        <w:rPr>
          <w:rFonts w:hint="eastAsia" w:ascii="宋体" w:hAnsi="宋体" w:cs="宋体"/>
          <w:sz w:val="28"/>
          <w:szCs w:val="28"/>
          <w:highlight w:val="none"/>
          <w:lang w:val="zh-CN"/>
        </w:rPr>
        <w:t>6.2.1 成交供应商应按成交通知书规定的时间、地点与采购人签订书面合同。</w:t>
      </w:r>
    </w:p>
    <w:p>
      <w:pPr>
        <w:pStyle w:val="37"/>
        <w:autoSpaceDE w:val="0"/>
        <w:autoSpaceDN w:val="0"/>
        <w:adjustRightInd w:val="0"/>
        <w:spacing w:after="200" w:line="360" w:lineRule="auto"/>
        <w:ind w:firstLine="560" w:firstLineChars="200"/>
        <w:rPr>
          <w:rFonts w:ascii="宋体" w:hAnsi="宋体" w:cs="宋体"/>
          <w:sz w:val="28"/>
          <w:szCs w:val="28"/>
          <w:highlight w:val="none"/>
          <w:lang w:val="zh-CN"/>
        </w:rPr>
      </w:pPr>
      <w:r>
        <w:rPr>
          <w:rFonts w:hint="eastAsia" w:ascii="宋体" w:hAnsi="宋体" w:cs="宋体"/>
          <w:sz w:val="28"/>
          <w:szCs w:val="28"/>
          <w:highlight w:val="none"/>
          <w:lang w:val="zh-CN"/>
        </w:rPr>
        <w:t xml:space="preserve">6.2.2 </w:t>
      </w:r>
      <w:r>
        <w:rPr>
          <w:rFonts w:hint="eastAsia" w:ascii="宋体" w:hAnsi="宋体" w:cs="宋体"/>
          <w:sz w:val="28"/>
          <w:szCs w:val="28"/>
          <w:highlight w:val="none"/>
        </w:rPr>
        <w:t>成交供应商因不可抗力或者自身原因拒绝与采购人签订合同，或不能履行合同的。采购人可以按照评审报告推荐的成交候选供应商名单排序，确定下一候选供应商为成交供应商，也可以重新开展政府采购活动。</w:t>
      </w:r>
    </w:p>
    <w:p>
      <w:pPr>
        <w:pStyle w:val="37"/>
        <w:spacing w:after="200"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6.2.3政府采购合同履行中，采购人需追加与合同标的相同的工程的，在不改变合同其他条款的前提下，可以与成交供应商协商签订补充合同，但所有补充合同的采购金额不得超过原合同采购金额的百分之十。</w:t>
      </w:r>
    </w:p>
    <w:p>
      <w:pPr>
        <w:pStyle w:val="35"/>
        <w:jc w:val="center"/>
        <w:rPr>
          <w:rFonts w:ascii="宋体" w:hAnsi="宋体" w:cs="宋体"/>
          <w:sz w:val="28"/>
          <w:szCs w:val="28"/>
          <w:highlight w:val="none"/>
        </w:rPr>
      </w:pPr>
      <w:bookmarkStart w:id="24" w:name="_Toc256000021"/>
      <w:bookmarkStart w:id="25" w:name="_Toc256000011"/>
      <w:bookmarkStart w:id="26" w:name="_Toc32267"/>
      <w:r>
        <w:rPr>
          <w:rFonts w:hint="eastAsia" w:ascii="宋体" w:hAnsi="宋体" w:cs="宋体"/>
          <w:sz w:val="28"/>
          <w:szCs w:val="28"/>
          <w:highlight w:val="none"/>
        </w:rPr>
        <w:t>七、质疑与投诉</w:t>
      </w:r>
      <w:bookmarkEnd w:id="24"/>
      <w:bookmarkEnd w:id="25"/>
      <w:bookmarkEnd w:id="26"/>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7.1 供应商认为采购文件、采购过程、中标或者成交结果使自己的权益受到损害的，可以在知道或者应知其权益受到损害之日起7个工作日内，以书面形式向采购人、采购代理机构提出质疑。</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7.2供应商若认为磋商文件、磋商过程和成交结果使自己的权益受到损害，应在以下规定时间内以书面形式向采购机构提出：</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（1）对可以质疑的磋商文件提出质疑的，应当自收到磋商文件之日或者磋商文件公告期限届满之日起七个工作日内；</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（2）对磋商过程提出质疑的，应当在各磋商程序环节结束之日起七个工作日内；</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（3）对成交结果提出质疑的，应当在成交结果公告期限届满之日起七个工作日内提出；</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（4）磋商文件或法律法规规定的其他时间内。</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7.3 供应商提出质疑的，应当有明确的请求和必要的证明材料，并提供质疑书原件。采购单位向质疑供应商签收回执。</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7.4 质疑书应当由质疑供应商法定代表人或授权代表人签字并加盖公章，质疑书由授权代表人签字的应附法定代表人授权书。</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7.5 采购机构将在签收回执之日起七个工作日内作出书面答复，并以书面形式通知与质疑处理结果有关的供应商。</w:t>
      </w:r>
    </w:p>
    <w:p>
      <w:pPr>
        <w:pStyle w:val="37"/>
        <w:adjustRightInd w:val="0"/>
        <w:snapToGrid w:val="0"/>
        <w:spacing w:after="200" w:line="360" w:lineRule="auto"/>
        <w:ind w:firstLine="560" w:firstLineChars="200"/>
        <w:jc w:val="left"/>
        <w:rPr>
          <w:rFonts w:ascii="宋体" w:hAnsi="宋体" w:cs="宋体"/>
          <w:sz w:val="28"/>
          <w:szCs w:val="28"/>
          <w:highlight w:val="none"/>
        </w:rPr>
      </w:pPr>
      <w:r>
        <w:rPr>
          <w:rFonts w:hint="eastAsia" w:ascii="宋体" w:hAnsi="宋体" w:cs="宋体"/>
          <w:sz w:val="28"/>
          <w:szCs w:val="28"/>
          <w:highlight w:val="none"/>
        </w:rPr>
        <w:t>7.6 供应商对采购机构的答复不满意，或采购机构未在规定的期限作出答复的，可在答复期满后十五个工作日内，按政府采购相关法律法规规章的规定及程序，向相关行政监督部门提出投诉，投诉的事项不得超出已质疑事项的范围。</w:t>
      </w:r>
    </w:p>
    <w:p>
      <w:pPr>
        <w:pStyle w:val="35"/>
        <w:jc w:val="center"/>
        <w:rPr>
          <w:rFonts w:ascii="宋体" w:hAnsi="宋体" w:cs="宋体"/>
          <w:sz w:val="28"/>
          <w:szCs w:val="28"/>
          <w:highlight w:val="none"/>
        </w:rPr>
      </w:pPr>
      <w:bookmarkStart w:id="27" w:name="_Toc256000012"/>
      <w:bookmarkStart w:id="28" w:name="_Toc9458"/>
      <w:bookmarkStart w:id="29" w:name="_Toc256000022"/>
      <w:r>
        <w:rPr>
          <w:rFonts w:hint="eastAsia" w:ascii="宋体" w:hAnsi="宋体" w:cs="宋体"/>
          <w:sz w:val="28"/>
          <w:szCs w:val="28"/>
          <w:highlight w:val="none"/>
        </w:rPr>
        <w:t>八、其他规定</w:t>
      </w:r>
      <w:bookmarkEnd w:id="27"/>
      <w:bookmarkEnd w:id="28"/>
      <w:bookmarkEnd w:id="29"/>
    </w:p>
    <w:p>
      <w:pPr>
        <w:pStyle w:val="37"/>
        <w:tabs>
          <w:tab w:val="left" w:pos="420"/>
          <w:tab w:val="left" w:pos="7560"/>
          <w:tab w:val="left" w:pos="7740"/>
          <w:tab w:val="left" w:pos="7920"/>
        </w:tabs>
        <w:adjustRightInd w:val="0"/>
        <w:snapToGrid w:val="0"/>
        <w:spacing w:after="200" w:line="360" w:lineRule="auto"/>
        <w:ind w:firstLine="560" w:firstLineChars="200"/>
        <w:rPr>
          <w:rFonts w:ascii="宋体" w:hAnsi="宋体"/>
          <w:bCs/>
          <w:sz w:val="28"/>
          <w:szCs w:val="28"/>
          <w:highlight w:val="none"/>
          <w:shd w:val="clear" w:color="auto" w:fill="00B050"/>
        </w:rPr>
      </w:pPr>
      <w:r>
        <w:rPr>
          <w:rFonts w:hint="eastAsia" w:ascii="宋体" w:hAnsi="宋体" w:cs="宋体"/>
          <w:sz w:val="28"/>
          <w:szCs w:val="28"/>
          <w:highlight w:val="none"/>
        </w:rPr>
        <w:t>磋商文件的其他规定见</w:t>
      </w:r>
      <w:r>
        <w:rPr>
          <w:rFonts w:hint="eastAsia" w:ascii="宋体" w:hAnsi="宋体" w:cs="宋体"/>
          <w:b/>
          <w:sz w:val="28"/>
          <w:szCs w:val="28"/>
          <w:highlight w:val="none"/>
        </w:rPr>
        <w:t>磋商须知前附1</w:t>
      </w:r>
      <w:bookmarkEnd w:id="3"/>
      <w:bookmarkStart w:id="30" w:name="EB0241872a782746df84ab771927209b83"/>
    </w:p>
    <w:p>
      <w:pPr>
        <w:pStyle w:val="34"/>
        <w:jc w:val="left"/>
        <w:rPr>
          <w:rFonts w:ascii="宋体" w:hAnsi="宋体"/>
          <w:bCs/>
          <w:sz w:val="28"/>
          <w:szCs w:val="28"/>
          <w:highlight w:val="none"/>
          <w:shd w:val="clear" w:color="auto" w:fill="92D050"/>
        </w:rPr>
      </w:pPr>
    </w:p>
    <w:p>
      <w:pPr>
        <w:pStyle w:val="34"/>
        <w:widowControl/>
        <w:jc w:val="left"/>
        <w:rPr>
          <w:rFonts w:ascii="宋体" w:hAnsi="宋体"/>
          <w:bCs/>
          <w:sz w:val="28"/>
          <w:szCs w:val="28"/>
          <w:highlight w:val="none"/>
          <w:shd w:val="clear" w:color="auto" w:fill="00B050"/>
        </w:rPr>
      </w:pPr>
    </w:p>
    <w:p>
      <w:pPr>
        <w:pStyle w:val="34"/>
        <w:widowControl/>
        <w:jc w:val="left"/>
        <w:rPr>
          <w:rFonts w:ascii="宋体" w:hAnsi="宋体"/>
          <w:bCs/>
          <w:sz w:val="28"/>
          <w:szCs w:val="28"/>
          <w:highlight w:val="none"/>
          <w:shd w:val="clear" w:color="auto" w:fill="00B050"/>
        </w:rPr>
      </w:pPr>
    </w:p>
    <w:p>
      <w:pPr>
        <w:pStyle w:val="34"/>
        <w:widowControl/>
        <w:jc w:val="left"/>
        <w:rPr>
          <w:rFonts w:hint="eastAsia" w:ascii="宋体" w:hAnsi="宋体"/>
          <w:bCs/>
          <w:sz w:val="28"/>
          <w:szCs w:val="28"/>
          <w:highlight w:val="none"/>
          <w:shd w:val="clear" w:color="auto" w:fill="00B050"/>
        </w:rPr>
      </w:pPr>
    </w:p>
    <w:bookmarkEnd w:id="30"/>
    <w:p>
      <w:pPr>
        <w:rPr>
          <w:sz w:val="20"/>
          <w:highlight w:val="none"/>
        </w:rPr>
      </w:pPr>
    </w:p>
    <w:p>
      <w:pPr>
        <w:pStyle w:val="4"/>
        <w:numPr>
          <w:ilvl w:val="0"/>
          <w:numId w:val="4"/>
        </w:numPr>
        <w:tabs>
          <w:tab w:val="clear" w:pos="420"/>
        </w:tabs>
        <w:rPr>
          <w:b/>
          <w:sz w:val="44"/>
          <w:szCs w:val="40"/>
          <w:highlight w:val="none"/>
        </w:rPr>
      </w:pPr>
      <w:bookmarkStart w:id="31" w:name="_Toc293739000"/>
      <w:bookmarkStart w:id="32" w:name="_Toc293736062"/>
      <w:bookmarkStart w:id="33" w:name="_Toc293736019"/>
      <w:bookmarkStart w:id="34" w:name="_Toc534380785"/>
      <w:bookmarkStart w:id="35" w:name="_Toc256000013"/>
      <w:bookmarkStart w:id="36" w:name="_Toc446599321"/>
      <w:r>
        <w:rPr>
          <w:rFonts w:hint="eastAsia"/>
          <w:b/>
          <w:sz w:val="44"/>
          <w:szCs w:val="40"/>
          <w:highlight w:val="none"/>
        </w:rPr>
        <w:t>采购</w:t>
      </w:r>
      <w:bookmarkEnd w:id="31"/>
      <w:bookmarkEnd w:id="32"/>
      <w:bookmarkEnd w:id="33"/>
      <w:r>
        <w:rPr>
          <w:rFonts w:hint="eastAsia"/>
          <w:b/>
          <w:sz w:val="44"/>
          <w:szCs w:val="40"/>
          <w:highlight w:val="none"/>
        </w:rPr>
        <w:t>需求</w:t>
      </w:r>
      <w:bookmarkEnd w:id="34"/>
      <w:bookmarkEnd w:id="35"/>
      <w:bookmarkEnd w:id="36"/>
    </w:p>
    <w:p>
      <w:pPr>
        <w:rPr>
          <w:highlight w:val="none"/>
        </w:rPr>
      </w:pPr>
    </w:p>
    <w:p>
      <w:pPr>
        <w:spacing w:line="600" w:lineRule="exact"/>
        <w:ind w:firstLine="422" w:firstLineChars="200"/>
        <w:rPr>
          <w:rFonts w:ascii="宋体" w:hAnsi="宋体" w:cs="宋体"/>
          <w:sz w:val="28"/>
          <w:szCs w:val="28"/>
          <w:highlight w:val="none"/>
        </w:rPr>
      </w:pPr>
      <w:r>
        <w:rPr>
          <w:rFonts w:hint="eastAsia"/>
          <w:b/>
          <w:highlight w:val="none"/>
        </w:rPr>
        <w:t xml:space="preserve"> </w:t>
      </w:r>
      <w:r>
        <w:rPr>
          <w:rFonts w:hint="eastAsia" w:ascii="方正仿宋简体" w:hAnsi="方正仿宋简体" w:eastAsia="方正仿宋简体" w:cs="方正仿宋简体"/>
          <w:b/>
          <w:sz w:val="32"/>
          <w:szCs w:val="32"/>
          <w:highlight w:val="none"/>
        </w:rPr>
        <w:t xml:space="preserve"> </w:t>
      </w:r>
      <w:r>
        <w:rPr>
          <w:rFonts w:hint="eastAsia" w:ascii="宋体" w:hAnsi="宋体" w:cs="宋体"/>
          <w:sz w:val="28"/>
          <w:szCs w:val="28"/>
          <w:highlight w:val="none"/>
        </w:rPr>
        <w:t>二十九团团域产业规划项目-产业规划</w:t>
      </w:r>
    </w:p>
    <w:p>
      <w:pPr>
        <w:spacing w:line="560" w:lineRule="exact"/>
        <w:contextualSpacing/>
        <w:rPr>
          <w:rFonts w:ascii="Calibri" w:hAnsi="Calibri"/>
          <w:szCs w:val="22"/>
          <w:highlight w:val="none"/>
        </w:rPr>
      </w:pPr>
    </w:p>
    <w:p>
      <w:pPr>
        <w:spacing w:line="388" w:lineRule="auto"/>
        <w:rPr>
          <w:rFonts w:ascii="宋体" w:hAnsi="宋体" w:eastAsia="仿宋" w:cs="宋体"/>
          <w:spacing w:val="34"/>
          <w:sz w:val="24"/>
          <w:szCs w:val="22"/>
          <w:highlight w:val="none"/>
        </w:rPr>
        <w:sectPr>
          <w:pgSz w:w="11910" w:h="16840"/>
          <w:pgMar w:top="1560" w:right="1380" w:bottom="1160" w:left="1520" w:header="720" w:footer="972" w:gutter="0"/>
          <w:pgNumType w:start="1"/>
          <w:cols w:space="720" w:num="1"/>
        </w:sectPr>
      </w:pPr>
    </w:p>
    <w:p>
      <w:pPr>
        <w:pStyle w:val="2"/>
        <w:ind w:firstLine="883"/>
        <w:jc w:val="center"/>
        <w:rPr>
          <w:rFonts w:ascii="宋体" w:hAnsi="宋体" w:cs="宋体"/>
          <w:b/>
          <w:bCs/>
          <w:sz w:val="44"/>
          <w:szCs w:val="44"/>
          <w:highlight w:val="none"/>
        </w:rPr>
      </w:pPr>
      <w:r>
        <w:rPr>
          <w:rFonts w:hint="eastAsia" w:ascii="宋体" w:hAnsi="宋体" w:cs="宋体"/>
          <w:b/>
          <w:sz w:val="44"/>
          <w:szCs w:val="44"/>
          <w:highlight w:val="none"/>
        </w:rPr>
        <w:t>第四章评审方法</w:t>
      </w:r>
    </w:p>
    <w:tbl>
      <w:tblPr>
        <w:tblStyle w:val="22"/>
        <w:tblW w:w="5619" w:type="pct"/>
        <w:tblInd w:w="-7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424"/>
        <w:gridCol w:w="535"/>
        <w:gridCol w:w="1643"/>
        <w:gridCol w:w="7174"/>
        <w:gridCol w:w="432"/>
        <w:gridCol w:w="28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57" w:type="pct"/>
            <w:gridSpan w:val="2"/>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bookmarkStart w:id="37" w:name="_Toc529952602"/>
            <w:bookmarkStart w:id="38" w:name="_Toc256000031"/>
            <w:r>
              <w:rPr>
                <w:b/>
                <w:highlight w:val="none"/>
              </w:rPr>
              <w:t>评分因素</w:t>
            </w:r>
          </w:p>
        </w:tc>
        <w:tc>
          <w:tcPr>
            <w:tcW w:w="783"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评分点</w:t>
            </w:r>
          </w:p>
        </w:tc>
        <w:tc>
          <w:tcPr>
            <w:tcW w:w="3419"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评分标准</w:t>
            </w:r>
          </w:p>
        </w:tc>
        <w:tc>
          <w:tcPr>
            <w:tcW w:w="340" w:type="pct"/>
            <w:gridSpan w:val="2"/>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57"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p>
        </w:tc>
        <w:tc>
          <w:tcPr>
            <w:tcW w:w="783" w:type="pct"/>
            <w:vMerge w:val="continue"/>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p>
        </w:tc>
        <w:tc>
          <w:tcPr>
            <w:tcW w:w="3419" w:type="pct"/>
            <w:vMerge w:val="continue"/>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p>
        </w:tc>
        <w:tc>
          <w:tcPr>
            <w:tcW w:w="205" w:type="pc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是</w:t>
            </w:r>
          </w:p>
        </w:tc>
        <w:tc>
          <w:tcPr>
            <w:tcW w:w="134" w:type="pc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highlight w:val="none"/>
              </w:rPr>
              <w:t>初步评审</w:t>
            </w:r>
          </w:p>
        </w:tc>
        <w:tc>
          <w:tcPr>
            <w:tcW w:w="254"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highlight w:val="none"/>
              </w:rPr>
              <w:t>资格检查</w:t>
            </w: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营业执照</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是否具备有效的营业执照</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left w:val="outset" w:color="auto" w:sz="6" w:space="0"/>
              <w:right w:val="outset" w:color="auto" w:sz="6" w:space="0"/>
            </w:tcBorders>
            <w:vAlign w:val="center"/>
          </w:tcPr>
          <w:p>
            <w:pPr>
              <w:pStyle w:val="45"/>
              <w:jc w:val="center"/>
              <w:rPr>
                <w:highlight w:val="none"/>
              </w:rPr>
            </w:pPr>
          </w:p>
        </w:tc>
        <w:tc>
          <w:tcPr>
            <w:tcW w:w="254" w:type="pct"/>
            <w:vMerge w:val="continue"/>
            <w:tcBorders>
              <w:left w:val="outset" w:color="auto" w:sz="6" w:space="0"/>
              <w:right w:val="outset" w:color="auto" w:sz="6" w:space="0"/>
            </w:tcBorders>
            <w:vAlign w:val="center"/>
          </w:tcPr>
          <w:p>
            <w:pPr>
              <w:pStyle w:val="45"/>
              <w:jc w:val="center"/>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hint="eastAsia" w:eastAsia="宋体"/>
                <w:highlight w:val="none"/>
              </w:rPr>
              <w:t>资质文件</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hint="eastAsia" w:eastAsia="宋体"/>
                <w:highlight w:val="none"/>
              </w:rPr>
              <w:t>符合竞争性磋商文件要求</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网页失信打印件</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递交响应文件截止时间从上述网站中打印并加盖公章）</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highlight w:val="none"/>
              </w:rPr>
              <w:t>符合性检查</w:t>
            </w: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投标人名称</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是否与营业执照、税务登记证、资质证书一致</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jc w:val="center"/>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rFonts w:hint="eastAsia" w:eastAsia="宋体"/>
                <w:highlight w:val="none"/>
              </w:rPr>
              <w:t>资质文件</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rFonts w:hint="eastAsia" w:eastAsia="宋体"/>
                <w:highlight w:val="none"/>
              </w:rPr>
              <w:t>符合竞争性磋商文件要求</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具有良好的商业信誉和健全财务会计制度</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投标供应商商业信誉情况，上年度财务报表复印件。自然人只需提供本人信誉。</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有依法缴纳税收和社会保障金的良好记录</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近年缴税及社会保障金证明材料复印件。</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参加政府采购活动近3年内，在经营活动中没有重大违法记录</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参加本项目准备活动前3年内无重大违法记录声明</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投标文件的格式</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投标文件按招标文件规定格式完整提供</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投标文件签署</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投标文件上法定代表人或其授权代理人的签字、供应商的单位章齐全符合招标文件规定</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投标文件上法定代表人或其授权代理人的签字、供应商的单位章齐全符合招标文件规定</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每个分包只能有一个方案投标</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报价</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其报价未超过采购预算金额。</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服务内容</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对招标文件规定的服务内容全部作出响应。</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质量技术</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满足招标文件提出的技术和功能要求。</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rFonts w:hint="eastAsia" w:eastAsia="宋体"/>
                <w:highlight w:val="none"/>
              </w:rPr>
              <w:t>服务</w:t>
            </w:r>
            <w:r>
              <w:rPr>
                <w:rFonts w:hint="eastAsia" w:ascii="宋体" w:hAnsi="宋体" w:eastAsia="宋体" w:cs="宋体"/>
                <w:highlight w:val="none"/>
              </w:rPr>
              <w:t>期</w:t>
            </w:r>
            <w:r>
              <w:rPr>
                <w:highlight w:val="none"/>
              </w:rPr>
              <w:t xml:space="preserve"> </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rFonts w:hint="eastAsia" w:ascii="宋体" w:hAnsi="宋体" w:eastAsia="宋体" w:cs="宋体"/>
                <w:highlight w:val="none"/>
              </w:rPr>
              <w:t>满</w:t>
            </w:r>
            <w:r>
              <w:rPr>
                <w:highlight w:val="none"/>
              </w:rPr>
              <w:t>足文件要求。</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质保期及售后服务</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满足文件要求。</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投标有效期</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满足文件</w:t>
            </w:r>
            <w:r>
              <w:rPr>
                <w:rFonts w:hint="eastAsia" w:eastAsia="宋体"/>
                <w:highlight w:val="none"/>
              </w:rPr>
              <w:t>要求</w:t>
            </w:r>
            <w:r>
              <w:rPr>
                <w:highlight w:val="none"/>
              </w:rPr>
              <w:t>。</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其他</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投标文件未附有采购人不能接受的附加条件及法律、法规和招标文件规定的其他无效情形。</w:t>
            </w:r>
          </w:p>
        </w:tc>
        <w:tc>
          <w:tcPr>
            <w:tcW w:w="205"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134"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57" w:type="pct"/>
            <w:gridSpan w:val="2"/>
            <w:tcBorders>
              <w:top w:val="outset" w:color="auto" w:sz="6" w:space="0"/>
              <w:left w:val="outset" w:color="auto" w:sz="6" w:space="0"/>
              <w:bottom w:val="outset" w:color="auto" w:sz="6" w:space="0"/>
              <w:right w:val="outset" w:color="auto" w:sz="6" w:space="0"/>
            </w:tcBorders>
            <w:vAlign w:val="center"/>
          </w:tcPr>
          <w:p>
            <w:pPr>
              <w:pStyle w:val="45"/>
              <w:jc w:val="center"/>
              <w:rPr>
                <w:b/>
                <w:highlight w:val="none"/>
              </w:rPr>
            </w:pPr>
            <w:r>
              <w:rPr>
                <w:b/>
                <w:highlight w:val="none"/>
              </w:rPr>
              <w:t>评分</w:t>
            </w:r>
          </w:p>
          <w:p>
            <w:pPr>
              <w:pStyle w:val="45"/>
              <w:jc w:val="center"/>
              <w:rPr>
                <w:highlight w:val="none"/>
              </w:rPr>
            </w:pPr>
            <w:r>
              <w:rPr>
                <w:b/>
                <w:highlight w:val="none"/>
              </w:rPr>
              <w:t>因素</w:t>
            </w:r>
          </w:p>
        </w:tc>
        <w:tc>
          <w:tcPr>
            <w:tcW w:w="783" w:type="pc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评分点</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b/>
                <w:highlight w:val="none"/>
              </w:rPr>
              <w:t>评分标准</w:t>
            </w:r>
          </w:p>
        </w:tc>
        <w:tc>
          <w:tcPr>
            <w:tcW w:w="340" w:type="pct"/>
            <w:gridSpan w:val="2"/>
            <w:tcBorders>
              <w:top w:val="outset" w:color="auto" w:sz="6" w:space="0"/>
              <w:left w:val="outset" w:color="auto" w:sz="6" w:space="0"/>
              <w:bottom w:val="outset" w:color="auto" w:sz="6" w:space="0"/>
              <w:right w:val="outset" w:color="auto" w:sz="6" w:space="0"/>
            </w:tcBorders>
            <w:vAlign w:val="center"/>
          </w:tcPr>
          <w:p>
            <w:pPr>
              <w:pStyle w:val="45"/>
              <w:jc w:val="center"/>
              <w:rPr>
                <w:rFonts w:eastAsia="宋体"/>
                <w:highlight w:val="none"/>
              </w:rPr>
            </w:pPr>
            <w:r>
              <w:rPr>
                <w:rFonts w:hint="eastAsia" w:eastAsia="宋体"/>
                <w:b/>
                <w:highlight w:val="none"/>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329" w:hRule="atLeast"/>
        </w:trPr>
        <w:tc>
          <w:tcPr>
            <w:tcW w:w="202" w:type="pct"/>
            <w:vMerge w:val="restar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highlight w:val="none"/>
              </w:rPr>
              <w:t>详细评审</w:t>
            </w:r>
          </w:p>
        </w:tc>
        <w:tc>
          <w:tcPr>
            <w:tcW w:w="254" w:type="pct"/>
            <w:tcBorders>
              <w:top w:val="outset" w:color="auto" w:sz="6" w:space="0"/>
              <w:left w:val="outset" w:color="auto" w:sz="6" w:space="0"/>
              <w:bottom w:val="outset" w:color="auto" w:sz="6" w:space="0"/>
              <w:right w:val="outset" w:color="auto" w:sz="6" w:space="0"/>
            </w:tcBorders>
            <w:vAlign w:val="center"/>
          </w:tcPr>
          <w:p>
            <w:pPr>
              <w:pStyle w:val="45"/>
              <w:jc w:val="center"/>
              <w:rPr>
                <w:rFonts w:eastAsia="宋体"/>
                <w:highlight w:val="none"/>
              </w:rPr>
            </w:pPr>
            <w:r>
              <w:rPr>
                <w:highlight w:val="none"/>
              </w:rPr>
              <w:t>价格评审</w:t>
            </w:r>
            <w:r>
              <w:rPr>
                <w:rFonts w:hint="eastAsia" w:eastAsia="宋体"/>
                <w:highlight w:val="none"/>
              </w:rPr>
              <w:t xml:space="preserve"> </w:t>
            </w:r>
          </w:p>
        </w:tc>
        <w:tc>
          <w:tcPr>
            <w:tcW w:w="783" w:type="pct"/>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r>
              <w:rPr>
                <w:highlight w:val="none"/>
              </w:rPr>
              <w:t>投标报价</w:t>
            </w:r>
          </w:p>
          <w:p>
            <w:pPr>
              <w:pStyle w:val="45"/>
              <w:jc w:val="center"/>
              <w:rPr>
                <w:rFonts w:eastAsia="宋体"/>
                <w:highlight w:val="none"/>
              </w:rPr>
            </w:pPr>
            <w:r>
              <w:rPr>
                <w:rFonts w:hint="eastAsia" w:eastAsia="宋体"/>
                <w:highlight w:val="none"/>
              </w:rPr>
              <w:t>（10分）</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eastAsia="宋体"/>
                <w:highlight w:val="none"/>
              </w:rPr>
              <w:t>评标基准价=有效投标报价的最低值，投标报价得分=（评标基准价/投标报价）×</w:t>
            </w:r>
            <w:r>
              <w:rPr>
                <w:rFonts w:hint="eastAsia" w:eastAsia="宋体"/>
                <w:highlight w:val="none"/>
              </w:rPr>
              <w:t>分值权重</w:t>
            </w:r>
            <w:r>
              <w:rPr>
                <w:rFonts w:eastAsia="宋体"/>
                <w:highlight w:val="none"/>
              </w:rPr>
              <w:t>。有效投标报价为通过初步审查的供应商报价</w:t>
            </w:r>
            <w:r>
              <w:rPr>
                <w:rFonts w:hint="eastAsia" w:eastAsia="宋体"/>
                <w:highlight w:val="none"/>
              </w:rPr>
              <w:t>。</w:t>
            </w:r>
          </w:p>
        </w:tc>
        <w:tc>
          <w:tcPr>
            <w:tcW w:w="340" w:type="pct"/>
            <w:gridSpan w:val="2"/>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hint="eastAsia" w:eastAsia="宋体"/>
                <w:highlight w:val="non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restart"/>
            <w:tcBorders>
              <w:top w:val="outset" w:color="auto" w:sz="6" w:space="0"/>
              <w:left w:val="outset" w:color="auto" w:sz="6" w:space="0"/>
              <w:right w:val="outset" w:color="auto" w:sz="6" w:space="0"/>
            </w:tcBorders>
            <w:vAlign w:val="center"/>
          </w:tcPr>
          <w:p>
            <w:pPr>
              <w:pStyle w:val="45"/>
              <w:jc w:val="center"/>
              <w:rPr>
                <w:rFonts w:eastAsia="宋体"/>
                <w:highlight w:val="none"/>
              </w:rPr>
            </w:pPr>
            <w:r>
              <w:rPr>
                <w:highlight w:val="none"/>
              </w:rPr>
              <w:t>商务标评审</w:t>
            </w:r>
            <w:r>
              <w:rPr>
                <w:rFonts w:hint="eastAsia" w:eastAsia="宋体"/>
                <w:highlight w:val="none"/>
              </w:rPr>
              <w:t xml:space="preserve"> </w:t>
            </w:r>
          </w:p>
        </w:tc>
        <w:tc>
          <w:tcPr>
            <w:tcW w:w="783" w:type="pct"/>
            <w:tcBorders>
              <w:top w:val="outset" w:color="auto" w:sz="6" w:space="0"/>
              <w:left w:val="outset" w:color="auto" w:sz="6" w:space="0"/>
              <w:bottom w:val="outset" w:color="auto" w:sz="6" w:space="0"/>
              <w:right w:val="outset" w:color="auto" w:sz="6" w:space="0"/>
            </w:tcBorders>
            <w:vAlign w:val="center"/>
          </w:tcPr>
          <w:p>
            <w:pPr>
              <w:pStyle w:val="45"/>
              <w:jc w:val="center"/>
              <w:rPr>
                <w:rFonts w:ascii="宋体" w:hAnsi="宋体" w:eastAsia="宋体" w:cs="宋体"/>
                <w:highlight w:val="none"/>
              </w:rPr>
            </w:pPr>
            <w:r>
              <w:rPr>
                <w:rFonts w:hint="eastAsia" w:ascii="宋体" w:hAnsi="宋体" w:eastAsia="宋体" w:cs="宋体"/>
                <w:highlight w:val="none"/>
              </w:rPr>
              <w:t>类似业绩</w:t>
            </w:r>
          </w:p>
          <w:p>
            <w:pPr>
              <w:pStyle w:val="45"/>
              <w:jc w:val="center"/>
              <w:rPr>
                <w:highlight w:val="none"/>
              </w:rPr>
            </w:pPr>
            <w:r>
              <w:rPr>
                <w:rFonts w:hint="eastAsia" w:ascii="宋体" w:hAnsi="宋体" w:eastAsia="宋体" w:cs="宋体"/>
                <w:highlight w:val="none"/>
              </w:rPr>
              <w:t>（4分）</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rFonts w:hint="eastAsia"/>
                <w:highlight w:val="none"/>
              </w:rPr>
              <w:t>供应商提供自2019年01月01日（含）至投标截止日内（以合同签订时间为准）完成的类似项目业绩</w:t>
            </w:r>
            <w:r>
              <w:rPr>
                <w:rFonts w:hint="eastAsia" w:eastAsia="宋体"/>
                <w:highlight w:val="none"/>
              </w:rPr>
              <w:t>（类似业绩项目是指：城市规划、产业规划、乡镇规划、特色小镇规划等相关业绩）</w:t>
            </w:r>
            <w:r>
              <w:rPr>
                <w:rFonts w:hint="eastAsia"/>
                <w:highlight w:val="none"/>
              </w:rPr>
              <w:t>，每提供一项得</w:t>
            </w:r>
            <w:r>
              <w:rPr>
                <w:rFonts w:hint="eastAsia" w:eastAsia="宋体"/>
                <w:highlight w:val="none"/>
              </w:rPr>
              <w:t>1</w:t>
            </w:r>
            <w:r>
              <w:rPr>
                <w:rFonts w:hint="eastAsia"/>
                <w:highlight w:val="none"/>
              </w:rPr>
              <w:t>分，最高得</w:t>
            </w:r>
            <w:r>
              <w:rPr>
                <w:rFonts w:hint="eastAsia" w:eastAsia="宋体"/>
                <w:highlight w:val="none"/>
              </w:rPr>
              <w:t>4</w:t>
            </w:r>
            <w:r>
              <w:rPr>
                <w:rFonts w:hint="eastAsia"/>
                <w:highlight w:val="none"/>
              </w:rPr>
              <w:t>分</w:t>
            </w:r>
            <w:r>
              <w:rPr>
                <w:rFonts w:hint="eastAsia" w:eastAsia="宋体"/>
                <w:highlight w:val="none"/>
              </w:rPr>
              <w:t>，</w:t>
            </w:r>
            <w:r>
              <w:rPr>
                <w:rFonts w:hint="eastAsia" w:ascii="宋体" w:hAnsi="宋体" w:eastAsia="宋体"/>
                <w:highlight w:val="none"/>
              </w:rPr>
              <w:t>评分依据为提供项目的</w:t>
            </w:r>
            <w:r>
              <w:rPr>
                <w:rFonts w:hint="eastAsia"/>
                <w:spacing w:val="17"/>
                <w:kern w:val="0"/>
                <w:highlight w:val="none"/>
                <w:fitText w:val="2160" w:id="1908502737"/>
              </w:rPr>
              <w:t>中标通知书或合</w:t>
            </w:r>
            <w:r>
              <w:rPr>
                <w:rFonts w:hint="eastAsia"/>
                <w:spacing w:val="1"/>
                <w:kern w:val="0"/>
                <w:highlight w:val="none"/>
                <w:fitText w:val="2160" w:id="1908502737"/>
              </w:rPr>
              <w:t>同</w:t>
            </w:r>
            <w:r>
              <w:rPr>
                <w:rFonts w:hint="eastAsia" w:ascii="宋体" w:hAnsi="宋体" w:eastAsia="宋体"/>
                <w:highlight w:val="none"/>
              </w:rPr>
              <w:t>。</w:t>
            </w:r>
          </w:p>
        </w:tc>
        <w:tc>
          <w:tcPr>
            <w:tcW w:w="340" w:type="pct"/>
            <w:gridSpan w:val="2"/>
            <w:vMerge w:val="restart"/>
            <w:tcBorders>
              <w:top w:val="outset" w:color="auto" w:sz="6" w:space="0"/>
              <w:left w:val="outset" w:color="auto" w:sz="6" w:space="0"/>
              <w:right w:val="outset" w:color="auto" w:sz="6" w:space="0"/>
            </w:tcBorders>
            <w:vAlign w:val="center"/>
          </w:tcPr>
          <w:p>
            <w:pPr>
              <w:pStyle w:val="45"/>
              <w:rPr>
                <w:rFonts w:eastAsia="宋体"/>
                <w:highlight w:val="none"/>
              </w:rPr>
            </w:pPr>
            <w:r>
              <w:rPr>
                <w:rFonts w:hint="eastAsia" w:eastAsia="宋体"/>
                <w:highlight w:val="none"/>
              </w:rPr>
              <w:t>16分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pStyle w:val="45"/>
              <w:jc w:val="center"/>
              <w:rPr>
                <w:rFonts w:ascii="宋体" w:hAnsi="宋体" w:eastAsia="宋体"/>
                <w:highlight w:val="none"/>
              </w:rPr>
            </w:pPr>
            <w:r>
              <w:rPr>
                <w:rFonts w:hint="eastAsia" w:ascii="宋体" w:hAnsi="宋体" w:eastAsia="宋体"/>
                <w:highlight w:val="none"/>
              </w:rPr>
              <w:t>项目负责人业绩(4分)</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rFonts w:ascii="宋体" w:hAnsi="宋体" w:eastAsia="宋体"/>
                <w:highlight w:val="none"/>
              </w:rPr>
            </w:pPr>
            <w:r>
              <w:rPr>
                <w:rFonts w:hint="eastAsia" w:ascii="宋体" w:hAnsi="宋体" w:eastAsia="宋体"/>
                <w:highlight w:val="none"/>
              </w:rPr>
              <w:t>项目负责人具备</w:t>
            </w:r>
            <w:r>
              <w:rPr>
                <w:rFonts w:hint="eastAsia"/>
                <w:highlight w:val="none"/>
              </w:rPr>
              <w:t>自2019年01月01日（含）至投标截止日内（以合同签订时间为准）完成的类似项目业绩</w:t>
            </w:r>
            <w:r>
              <w:rPr>
                <w:rFonts w:hint="eastAsia" w:eastAsia="宋体"/>
                <w:highlight w:val="none"/>
              </w:rPr>
              <w:t>（类似业绩项目是指：城市规划、产业规划、乡镇规划、特色小镇规划等相关业绩），</w:t>
            </w:r>
            <w:r>
              <w:rPr>
                <w:rFonts w:hint="eastAsia" w:ascii="宋体" w:hAnsi="宋体" w:eastAsia="宋体"/>
                <w:highlight w:val="none"/>
              </w:rPr>
              <w:t>每提供一项得1分，最多得4分，（提供业绩的需附业绩证明材料，不提供的不得分）</w:t>
            </w:r>
          </w:p>
        </w:tc>
        <w:tc>
          <w:tcPr>
            <w:tcW w:w="340" w:type="pct"/>
            <w:gridSpan w:val="2"/>
            <w:vMerge w:val="continue"/>
            <w:tcBorders>
              <w:left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highlight w:val="none"/>
              </w:rPr>
            </w:pPr>
            <w:r>
              <w:rPr>
                <w:rFonts w:hint="eastAsia" w:ascii="宋体" w:hAnsi="宋体" w:cs="宋体"/>
                <w:kern w:val="0"/>
                <w:sz w:val="24"/>
                <w:szCs w:val="24"/>
                <w:highlight w:val="none"/>
              </w:rPr>
              <w:t>人员配备（8分）</w:t>
            </w:r>
          </w:p>
        </w:tc>
        <w:tc>
          <w:tcPr>
            <w:tcW w:w="3419" w:type="pct"/>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hint="eastAsia" w:eastAsia="宋体"/>
                <w:highlight w:val="none"/>
              </w:rPr>
              <w:t>1、项目负责人同时具有（规划类）高级及以上职称和注册城市（乡）规划师资格的；得3分。</w:t>
            </w:r>
          </w:p>
          <w:p>
            <w:pPr>
              <w:pStyle w:val="45"/>
              <w:rPr>
                <w:rFonts w:eastAsia="宋体"/>
                <w:highlight w:val="none"/>
              </w:rPr>
            </w:pPr>
            <w:r>
              <w:rPr>
                <w:rFonts w:hint="eastAsia" w:eastAsia="宋体"/>
                <w:highlight w:val="none"/>
              </w:rPr>
              <w:t>2、投标人拟投入本项目的其他人员（不含项目负责人）同时具有注册城市（乡）规划师证书及中级职称（规划类）的,每提供一个得1，仅有中级职称的可得0.5，最多得5分；</w:t>
            </w:r>
          </w:p>
          <w:p>
            <w:pPr>
              <w:pStyle w:val="45"/>
              <w:rPr>
                <w:rFonts w:eastAsia="宋体"/>
                <w:highlight w:val="none"/>
              </w:rPr>
            </w:pPr>
            <w:r>
              <w:rPr>
                <w:rFonts w:hint="eastAsia" w:eastAsia="宋体"/>
                <w:highlight w:val="none"/>
              </w:rPr>
              <w:t>注：须提供相关证书及2022年1月1日至今最近连续6个月缴纳社保证明，将扫描件放至投标文件指定位置，未提供或提供不全的不得分。</w:t>
            </w:r>
          </w:p>
        </w:tc>
        <w:tc>
          <w:tcPr>
            <w:tcW w:w="340" w:type="pct"/>
            <w:gridSpan w:val="2"/>
            <w:vMerge w:val="continue"/>
            <w:tcBorders>
              <w:left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restart"/>
            <w:tcBorders>
              <w:top w:val="outset" w:color="auto" w:sz="6" w:space="0"/>
              <w:left w:val="outset" w:color="auto" w:sz="6" w:space="0"/>
              <w:right w:val="outset" w:color="auto" w:sz="6" w:space="0"/>
            </w:tcBorders>
            <w:vAlign w:val="center"/>
          </w:tcPr>
          <w:p>
            <w:pPr>
              <w:pStyle w:val="45"/>
              <w:jc w:val="center"/>
              <w:rPr>
                <w:highlight w:val="none"/>
              </w:rPr>
            </w:pPr>
            <w:r>
              <w:rPr>
                <w:highlight w:val="none"/>
              </w:rPr>
              <w:t>技术标评审</w:t>
            </w: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产业背景分析（10分）</w:t>
            </w:r>
          </w:p>
        </w:tc>
        <w:tc>
          <w:tcPr>
            <w:tcW w:w="3419"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根据供应商对本项目背景研究分析：包括世界纬度、国家纬度、新疆维度、兵团纬度、区域纬度等分析全面到位、透彻，认知清晰，对项目实施重点、关键点分析精准得10分；对规划需求较为了解，对项目实施重点、关键点分析准确得5分；对普查需求了解，对项目实施重点、关键点分析基本合理得2分。没有此项内容不得分。</w:t>
            </w:r>
          </w:p>
        </w:tc>
        <w:tc>
          <w:tcPr>
            <w:tcW w:w="340" w:type="pct"/>
            <w:gridSpan w:val="2"/>
            <w:vMerge w:val="restart"/>
            <w:tcBorders>
              <w:top w:val="outset" w:color="auto" w:sz="6" w:space="0"/>
              <w:left w:val="outset" w:color="auto" w:sz="6" w:space="0"/>
              <w:bottom w:val="outset" w:color="auto" w:sz="6" w:space="0"/>
              <w:right w:val="outset" w:color="auto" w:sz="6" w:space="0"/>
            </w:tcBorders>
            <w:vAlign w:val="center"/>
          </w:tcPr>
          <w:p>
            <w:pPr>
              <w:pStyle w:val="45"/>
              <w:rPr>
                <w:rFonts w:eastAsia="宋体"/>
                <w:highlight w:val="none"/>
              </w:rPr>
            </w:pPr>
            <w:r>
              <w:rPr>
                <w:rFonts w:hint="eastAsia" w:eastAsia="宋体"/>
                <w:highlight w:val="none"/>
              </w:rPr>
              <w:t>74分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产业基础分析（10分）</w:t>
            </w:r>
          </w:p>
        </w:tc>
        <w:tc>
          <w:tcPr>
            <w:tcW w:w="3419"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kern w:val="0"/>
                <w:sz w:val="24"/>
                <w:szCs w:val="24"/>
                <w:highlight w:val="none"/>
              </w:rPr>
              <w:t>供应商从当地实际状况出发，对当地的产业发展和产业支撑等做出合理分析，对相关政策进行解读，研判产业现状。产业基础分析总体思路清晰，布局合理，得10分；产业基础分析总体思路较为清晰，布局较为合理，得5分；产业基础分析总体思路一般清晰，布局一般合理，得2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kern w:val="0"/>
                <w:sz w:val="24"/>
                <w:szCs w:val="24"/>
                <w:highlight w:val="none"/>
              </w:rPr>
            </w:pPr>
            <w:r>
              <w:rPr>
                <w:rFonts w:hint="eastAsia" w:ascii="宋体" w:hAnsi="宋体" w:cs="宋体"/>
                <w:color w:val="000000"/>
                <w:kern w:val="0"/>
                <w:sz w:val="24"/>
                <w:highlight w:val="none"/>
              </w:rPr>
              <w:t>产业发展战略（10分）</w:t>
            </w:r>
          </w:p>
        </w:tc>
        <w:tc>
          <w:tcPr>
            <w:tcW w:w="3419" w:type="pct"/>
            <w:tcBorders>
              <w:top w:val="outset" w:color="auto" w:sz="6" w:space="0"/>
              <w:left w:val="outset" w:color="auto" w:sz="6" w:space="0"/>
              <w:bottom w:val="outset" w:color="auto" w:sz="6" w:space="0"/>
              <w:right w:val="outset" w:color="auto" w:sz="6" w:space="0"/>
            </w:tcBorders>
            <w:vAlign w:val="center"/>
          </w:tcPr>
          <w:p>
            <w:pPr>
              <w:snapToGrid w:val="0"/>
              <w:spacing w:line="420" w:lineRule="exact"/>
              <w:rPr>
                <w:rFonts w:ascii="宋体" w:hAnsi="宋体" w:cs="宋体"/>
                <w:kern w:val="0"/>
                <w:sz w:val="24"/>
                <w:szCs w:val="24"/>
                <w:highlight w:val="none"/>
              </w:rPr>
            </w:pPr>
            <w:r>
              <w:rPr>
                <w:rFonts w:hint="eastAsia" w:ascii="宋体" w:hAnsi="宋体" w:cs="宋体"/>
                <w:sz w:val="24"/>
                <w:highlight w:val="none"/>
              </w:rPr>
              <w:t>供应商通过对项目的问题研判、规划理念、规划手段、规划目标、愿景定位等领域对规划内容进行全面的梳理、明确了设计工作内容、设计路线和方法等，规划理念、总体思路清晰，规划理念先进，综合考虑全域全要素布局，前瞻性地考虑未来发展蓝图与愿景，破解面临的问题与瓶颈，针对性的提出发展战略。规划理念、总体思路清晰，具有一定的前瞻性和针对性，得10分；总体思路清晰，设计内容架构、层次清晰，得5分；总体思路基本清晰，设计内容架构、层次基本清晰的，得2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spacing w:line="420" w:lineRule="exact"/>
              <w:jc w:val="center"/>
              <w:textAlignment w:val="center"/>
              <w:rPr>
                <w:rFonts w:ascii="宋体" w:hAnsi="宋体" w:cs="宋体"/>
                <w:kern w:val="0"/>
                <w:sz w:val="24"/>
                <w:szCs w:val="24"/>
                <w:highlight w:val="none"/>
              </w:rPr>
            </w:pPr>
            <w:r>
              <w:rPr>
                <w:rFonts w:hint="eastAsia" w:ascii="宋体" w:hAnsi="宋体" w:cs="宋体"/>
                <w:sz w:val="24"/>
                <w:highlight w:val="none"/>
              </w:rPr>
              <w:t>产业发展规划（10分）</w:t>
            </w:r>
          </w:p>
        </w:tc>
        <w:tc>
          <w:tcPr>
            <w:tcW w:w="3419" w:type="pct"/>
            <w:tcBorders>
              <w:top w:val="outset" w:color="auto" w:sz="6" w:space="0"/>
              <w:left w:val="outset" w:color="auto" w:sz="6" w:space="0"/>
              <w:bottom w:val="outset" w:color="auto" w:sz="6" w:space="0"/>
              <w:right w:val="outset" w:color="auto" w:sz="6" w:space="0"/>
            </w:tcBorders>
            <w:vAlign w:val="center"/>
          </w:tcPr>
          <w:p>
            <w:pPr>
              <w:snapToGrid w:val="0"/>
              <w:spacing w:line="420" w:lineRule="exact"/>
              <w:rPr>
                <w:rFonts w:ascii="宋体" w:hAnsi="宋体" w:cs="宋体"/>
                <w:kern w:val="0"/>
                <w:sz w:val="24"/>
                <w:szCs w:val="24"/>
                <w:highlight w:val="none"/>
              </w:rPr>
            </w:pPr>
            <w:r>
              <w:rPr>
                <w:rFonts w:hint="eastAsia" w:ascii="宋体" w:hAnsi="宋体" w:cs="宋体"/>
                <w:sz w:val="24"/>
                <w:highlight w:val="none"/>
              </w:rPr>
              <w:t>根据供应商对产业遴选、体系构建、产业发展策略、产业目标、产业规划、空间布局、产业配套等方面的规划。规划框架与逻辑清晰、内容详实、具备研究深度和数据支撑，针对性强，可行性强，得10分；内容和逻辑较清晰，符合实际，可行，得5分；内容和逻辑基本清晰，研究深度较浅，基本可行，得2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kern w:val="0"/>
                <w:sz w:val="24"/>
                <w:szCs w:val="24"/>
                <w:highlight w:val="none"/>
              </w:rPr>
            </w:pPr>
            <w:r>
              <w:rPr>
                <w:rFonts w:hint="eastAsia" w:ascii="宋体" w:hAnsi="宋体" w:cs="宋体"/>
                <w:color w:val="000000"/>
                <w:kern w:val="0"/>
                <w:sz w:val="24"/>
                <w:highlight w:val="none"/>
              </w:rPr>
              <w:t>产业实施保障（10分）</w:t>
            </w:r>
          </w:p>
        </w:tc>
        <w:tc>
          <w:tcPr>
            <w:tcW w:w="3419" w:type="pct"/>
            <w:tcBorders>
              <w:top w:val="outset" w:color="auto" w:sz="6" w:space="0"/>
              <w:left w:val="outset" w:color="auto" w:sz="6" w:space="0"/>
              <w:bottom w:val="outset" w:color="auto" w:sz="6" w:space="0"/>
              <w:right w:val="outset" w:color="auto" w:sz="6" w:space="0"/>
            </w:tcBorders>
            <w:vAlign w:val="center"/>
          </w:tcPr>
          <w:p>
            <w:pPr>
              <w:snapToGrid w:val="0"/>
              <w:spacing w:line="420" w:lineRule="exact"/>
              <w:rPr>
                <w:rFonts w:ascii="宋体" w:hAnsi="宋体" w:cs="宋体"/>
                <w:sz w:val="24"/>
                <w:highlight w:val="none"/>
              </w:rPr>
            </w:pPr>
            <w:r>
              <w:rPr>
                <w:rFonts w:hint="eastAsia" w:ascii="宋体" w:hAnsi="宋体" w:cs="宋体"/>
                <w:sz w:val="24"/>
                <w:highlight w:val="none"/>
              </w:rPr>
              <w:t>根据供应商从政策、人才、资金保障等方面提出的产业实施保障措施。对本项目规划任务目标明确，总体思路清晰，技术路线设计全面详细，方法科学先进、工作流程及各环节具体步骤清楚详细，针对性强，得10分；对本项目实施任务目标明确，总体思路较清晰，技术路线设计基本完整，工作流程等相对科学，符合实际，方法可行，得5 分；</w:t>
            </w:r>
          </w:p>
          <w:p>
            <w:pPr>
              <w:snapToGrid w:val="0"/>
              <w:spacing w:line="420" w:lineRule="exact"/>
              <w:rPr>
                <w:rFonts w:ascii="宋体" w:hAnsi="宋体" w:cs="宋体"/>
                <w:kern w:val="0"/>
                <w:sz w:val="24"/>
                <w:szCs w:val="24"/>
                <w:highlight w:val="none"/>
              </w:rPr>
            </w:pPr>
            <w:r>
              <w:rPr>
                <w:rFonts w:hint="eastAsia" w:ascii="宋体" w:hAnsi="宋体" w:cs="宋体"/>
                <w:sz w:val="24"/>
                <w:highlight w:val="none"/>
              </w:rPr>
              <w:t>对本项目实施任务目标有一定认识，总体思路及技术路线设计无偏差，基本符合实际，得 2 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24"/>
                <w:szCs w:val="24"/>
                <w:highlight w:val="none"/>
              </w:rPr>
            </w:pPr>
            <w:r>
              <w:rPr>
                <w:rFonts w:hint="eastAsia" w:ascii="宋体" w:hAnsi="宋体" w:cs="宋体"/>
                <w:color w:val="000000"/>
                <w:kern w:val="0"/>
                <w:sz w:val="24"/>
                <w:highlight w:val="none"/>
              </w:rPr>
              <w:t>产业行动计划（10分）</w:t>
            </w:r>
          </w:p>
        </w:tc>
        <w:tc>
          <w:tcPr>
            <w:tcW w:w="3419" w:type="pct"/>
            <w:tcBorders>
              <w:top w:val="outset" w:color="auto" w:sz="6" w:space="0"/>
              <w:left w:val="outset" w:color="auto" w:sz="6" w:space="0"/>
              <w:bottom w:val="outset" w:color="auto" w:sz="6" w:space="0"/>
              <w:right w:val="outset" w:color="auto" w:sz="6" w:space="0"/>
            </w:tcBorders>
            <w:vAlign w:val="center"/>
          </w:tcPr>
          <w:p>
            <w:pPr>
              <w:snapToGrid w:val="0"/>
              <w:spacing w:line="420" w:lineRule="exact"/>
              <w:rPr>
                <w:rFonts w:ascii="宋体" w:hAnsi="宋体" w:cs="宋体"/>
                <w:sz w:val="24"/>
                <w:highlight w:val="none"/>
              </w:rPr>
            </w:pPr>
            <w:r>
              <w:rPr>
                <w:rFonts w:hint="eastAsia" w:ascii="宋体" w:hAnsi="宋体" w:cs="宋体"/>
                <w:sz w:val="24"/>
                <w:highlight w:val="none"/>
              </w:rPr>
              <w:t>根据供应商对规划编制的重点有针对性的提出发展时序规划、总体开发建议、分期行动计划等。</w:t>
            </w:r>
          </w:p>
          <w:p>
            <w:pPr>
              <w:snapToGrid w:val="0"/>
              <w:spacing w:line="420" w:lineRule="exact"/>
              <w:rPr>
                <w:rFonts w:ascii="宋体" w:hAnsi="宋体" w:cs="宋体"/>
                <w:kern w:val="0"/>
                <w:sz w:val="24"/>
                <w:szCs w:val="24"/>
                <w:highlight w:val="none"/>
              </w:rPr>
            </w:pPr>
            <w:r>
              <w:rPr>
                <w:rFonts w:hint="eastAsia" w:ascii="宋体" w:hAnsi="宋体" w:cs="宋体"/>
                <w:sz w:val="24"/>
                <w:highlight w:val="none"/>
              </w:rPr>
              <w:t>分析准确，并提出相应的解决思路，得10分；分析基本合理，并提出可行解决思路，得5分；重难点分析较为准确，并能基本解决问题，得2分。没有此项内容不得分。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bCs/>
                <w:kern w:val="0"/>
                <w:sz w:val="24"/>
                <w:szCs w:val="24"/>
                <w:highlight w:val="none"/>
              </w:rPr>
            </w:pPr>
            <w:r>
              <w:rPr>
                <w:rFonts w:hint="eastAsia" w:ascii="宋体" w:hAnsi="宋体" w:cs="宋体"/>
                <w:bCs/>
                <w:sz w:val="24"/>
                <w:highlight w:val="none"/>
              </w:rPr>
              <w:t>服务质量保证措施（3分）</w:t>
            </w:r>
          </w:p>
        </w:tc>
        <w:tc>
          <w:tcPr>
            <w:tcW w:w="3419"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sz w:val="24"/>
                <w:highlight w:val="none"/>
              </w:rPr>
              <w:t>供应商具有完整的质量管理体系，针对本项目的实际情况，提供先进、可行、具体的保证措施，进行综合评价。质量保证措施科学完善、安全、合理，成果资料检查程序切实可行得3分；措施完整、可行得2分；措施基本完整、基本可行得1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bCs/>
                <w:kern w:val="0"/>
                <w:sz w:val="24"/>
                <w:szCs w:val="24"/>
                <w:highlight w:val="none"/>
              </w:rPr>
            </w:pPr>
            <w:r>
              <w:rPr>
                <w:rFonts w:hint="eastAsia" w:ascii="宋体" w:hAnsi="宋体" w:cs="宋体"/>
                <w:bCs/>
                <w:sz w:val="24"/>
                <w:highlight w:val="none"/>
              </w:rPr>
              <w:t>服务进度计划（4分）</w:t>
            </w:r>
          </w:p>
        </w:tc>
        <w:tc>
          <w:tcPr>
            <w:tcW w:w="3419"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sz w:val="24"/>
                <w:highlight w:val="none"/>
              </w:rPr>
              <w:t>供应商根据项目实际情况制定合理的进度计划，项目进度、保障措施计划合理、时间及人员安排合理、切实可行、进度计划满足项目要求等，进行综合评分：工作进度安排满足招标文件要求，各阶段时间分配合理、衔接有序，对完成任务具有保证性和可操作性，能提供相应的工期保证预案，科学完整、切实可行，得4分。主要内容完整、合理适用的，得2分。主要内容基本完整，基本适用的，得1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bCs/>
                <w:kern w:val="0"/>
                <w:sz w:val="24"/>
                <w:szCs w:val="24"/>
                <w:highlight w:val="none"/>
              </w:rPr>
            </w:pPr>
            <w:r>
              <w:rPr>
                <w:rFonts w:hint="eastAsia" w:ascii="宋体" w:hAnsi="宋体" w:cs="宋体"/>
                <w:bCs/>
                <w:sz w:val="24"/>
                <w:highlight w:val="none"/>
              </w:rPr>
              <w:t>服务响应时间（4分）</w:t>
            </w:r>
          </w:p>
        </w:tc>
        <w:tc>
          <w:tcPr>
            <w:tcW w:w="3419" w:type="pct"/>
            <w:tcBorders>
              <w:top w:val="outset" w:color="auto" w:sz="6" w:space="0"/>
              <w:left w:val="outset" w:color="auto" w:sz="6" w:space="0"/>
              <w:bottom w:val="outset" w:color="auto" w:sz="6" w:space="0"/>
              <w:right w:val="outset" w:color="auto" w:sz="6" w:space="0"/>
            </w:tcBorders>
            <w:vAlign w:val="center"/>
          </w:tcPr>
          <w:p>
            <w:pPr>
              <w:snapToGrid w:val="0"/>
              <w:spacing w:line="420" w:lineRule="exact"/>
              <w:rPr>
                <w:rFonts w:ascii="宋体" w:hAnsi="宋体" w:cs="宋体"/>
                <w:sz w:val="24"/>
                <w:highlight w:val="none"/>
              </w:rPr>
            </w:pPr>
            <w:r>
              <w:rPr>
                <w:rFonts w:hint="eastAsia" w:ascii="宋体" w:hAnsi="宋体" w:cs="宋体"/>
                <w:sz w:val="24"/>
                <w:highlight w:val="none"/>
              </w:rPr>
              <w:t>提供24小时服务热线并可以提供驻场服务；在接到采购人通知后服务随时响应，得4分，没有不得分。</w:t>
            </w:r>
          </w:p>
          <w:p>
            <w:pPr>
              <w:widowControl/>
              <w:jc w:val="left"/>
              <w:rPr>
                <w:rFonts w:ascii="宋体" w:hAnsi="宋体" w:cs="宋体"/>
                <w:kern w:val="0"/>
                <w:sz w:val="24"/>
                <w:szCs w:val="24"/>
                <w:highlight w:val="none"/>
              </w:rPr>
            </w:pPr>
            <w:r>
              <w:rPr>
                <w:rFonts w:hint="eastAsia" w:ascii="宋体" w:hAnsi="宋体" w:cs="宋体"/>
                <w:sz w:val="24"/>
                <w:highlight w:val="none"/>
              </w:rPr>
              <w:t>若运用通讯工具不能解决问题，承诺到达场予以解决的时间在12小时以内，得2分；承诺到达场予以解决的时间在12-24小时，得1分；超过24小时的不得分。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c>
          <w:tcPr>
            <w:tcW w:w="254" w:type="pct"/>
            <w:vMerge w:val="continue"/>
            <w:tcBorders>
              <w:left w:val="outset" w:color="auto" w:sz="6" w:space="0"/>
              <w:right w:val="outset" w:color="auto" w:sz="6" w:space="0"/>
            </w:tcBorders>
            <w:vAlign w:val="center"/>
          </w:tcPr>
          <w:p>
            <w:pPr>
              <w:pStyle w:val="45"/>
              <w:rPr>
                <w:highlight w:val="none"/>
              </w:rPr>
            </w:pPr>
          </w:p>
        </w:tc>
        <w:tc>
          <w:tcPr>
            <w:tcW w:w="783"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bCs/>
                <w:kern w:val="0"/>
                <w:sz w:val="24"/>
                <w:szCs w:val="24"/>
                <w:highlight w:val="none"/>
              </w:rPr>
            </w:pPr>
            <w:r>
              <w:rPr>
                <w:rFonts w:hint="eastAsia" w:ascii="宋体" w:hAnsi="宋体" w:cs="宋体"/>
                <w:bCs/>
                <w:sz w:val="24"/>
                <w:highlight w:val="none"/>
              </w:rPr>
              <w:t>售后服务（3分）</w:t>
            </w:r>
          </w:p>
        </w:tc>
        <w:tc>
          <w:tcPr>
            <w:tcW w:w="3419" w:type="pc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szCs w:val="24"/>
                <w:highlight w:val="none"/>
              </w:rPr>
            </w:pPr>
            <w:r>
              <w:rPr>
                <w:rFonts w:hint="eastAsia" w:ascii="宋体" w:hAnsi="宋体" w:cs="宋体"/>
                <w:sz w:val="24"/>
                <w:highlight w:val="none"/>
              </w:rPr>
              <w:t>根据供应商提供的服务体系及服务方案进行打分：服务体系及服务方案内容详实合理，有固定的售后服务团队，日常技术支撑能力强、响应迅速，完全满足项目需求的，得3分；服务体系及服务方案内容完整，基本满足项目需求，得 2分；日常技术支撑能力一般，服务承诺一般的得1分。没有此项内容不得分。</w:t>
            </w:r>
          </w:p>
        </w:tc>
        <w:tc>
          <w:tcPr>
            <w:tcW w:w="340" w:type="pct"/>
            <w:gridSpan w:val="2"/>
            <w:vMerge w:val="continue"/>
            <w:tcBorders>
              <w:top w:val="outset" w:color="auto" w:sz="6" w:space="0"/>
              <w:left w:val="outset" w:color="auto" w:sz="6" w:space="0"/>
              <w:bottom w:val="outset" w:color="auto" w:sz="6" w:space="0"/>
              <w:right w:val="outset" w:color="auto" w:sz="6" w:space="0"/>
            </w:tcBorders>
            <w:vAlign w:val="center"/>
          </w:tcPr>
          <w:p>
            <w:pPr>
              <w:pStyle w:val="45"/>
              <w:rPr>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02" w:type="pct"/>
            <w:vMerge w:val="continue"/>
            <w:tcBorders>
              <w:top w:val="outset" w:color="auto" w:sz="6" w:space="0"/>
              <w:left w:val="outset" w:color="auto" w:sz="6" w:space="0"/>
              <w:bottom w:val="outset" w:color="auto" w:sz="6" w:space="0"/>
              <w:right w:val="outset" w:color="auto" w:sz="6" w:space="0"/>
            </w:tcBorders>
            <w:vAlign w:val="center"/>
          </w:tcPr>
          <w:p>
            <w:pPr>
              <w:pStyle w:val="45"/>
              <w:jc w:val="center"/>
              <w:rPr>
                <w:highlight w:val="none"/>
              </w:rPr>
            </w:pPr>
          </w:p>
        </w:tc>
        <w:tc>
          <w:tcPr>
            <w:tcW w:w="4797" w:type="pct"/>
            <w:gridSpan w:val="5"/>
            <w:tcBorders>
              <w:top w:val="outset" w:color="auto" w:sz="6" w:space="0"/>
              <w:left w:val="outset" w:color="auto" w:sz="6" w:space="0"/>
              <w:bottom w:val="outset" w:color="auto" w:sz="6" w:space="0"/>
              <w:right w:val="outset" w:color="auto" w:sz="6" w:space="0"/>
            </w:tcBorders>
            <w:vAlign w:val="center"/>
          </w:tcPr>
          <w:p>
            <w:pPr>
              <w:pStyle w:val="45"/>
              <w:rPr>
                <w:highlight w:val="none"/>
              </w:rPr>
            </w:pPr>
            <w:r>
              <w:rPr>
                <w:highlight w:val="none"/>
              </w:rPr>
              <w:t>注： 1、计算过程中，算术平均值保留2位小数（百分比亦取2位小数），第三位小数四舍五入。</w:t>
            </w:r>
            <w:r>
              <w:rPr>
                <w:highlight w:val="none"/>
              </w:rPr>
              <w:br w:type="textWrapping"/>
            </w:r>
            <w:r>
              <w:rPr>
                <w:highlight w:val="none"/>
              </w:rPr>
              <w:t>2、投标人的最终得分为：所有评委对其评分的算术平均值。</w:t>
            </w:r>
          </w:p>
        </w:tc>
      </w:tr>
    </w:tbl>
    <w:p>
      <w:pPr>
        <w:pStyle w:val="4"/>
        <w:rPr>
          <w:b/>
          <w:sz w:val="44"/>
          <w:szCs w:val="40"/>
          <w:highlight w:val="none"/>
        </w:rPr>
      </w:pPr>
      <w:r>
        <w:rPr>
          <w:rFonts w:hint="eastAsia" w:ascii="宋体" w:hAnsi="宋体" w:cs="宋体"/>
          <w:szCs w:val="28"/>
          <w:highlight w:val="none"/>
        </w:rPr>
        <w:br w:type="page"/>
      </w:r>
      <w:bookmarkStart w:id="39" w:name="_Toc529952599"/>
      <w:bookmarkStart w:id="40" w:name="_Toc256000024"/>
      <w:r>
        <w:rPr>
          <w:rFonts w:hint="eastAsia" w:ascii="宋体" w:hAnsi="宋体" w:cs="宋体"/>
          <w:b/>
          <w:sz w:val="44"/>
          <w:szCs w:val="44"/>
          <w:highlight w:val="none"/>
        </w:rPr>
        <w:t xml:space="preserve">第五章  </w:t>
      </w:r>
      <w:bookmarkEnd w:id="39"/>
      <w:bookmarkEnd w:id="40"/>
      <w:bookmarkStart w:id="41" w:name="_Toc534380787"/>
      <w:bookmarkStart w:id="42" w:name="_Toc256000025"/>
      <w:bookmarkStart w:id="43" w:name="_Toc256000018"/>
      <w:r>
        <w:rPr>
          <w:rFonts w:hint="eastAsia"/>
          <w:b/>
          <w:sz w:val="44"/>
          <w:szCs w:val="40"/>
          <w:highlight w:val="none"/>
        </w:rPr>
        <w:t xml:space="preserve"> 合同格式及合同条款</w:t>
      </w:r>
      <w:bookmarkEnd w:id="41"/>
      <w:bookmarkEnd w:id="42"/>
      <w:bookmarkEnd w:id="43"/>
    </w:p>
    <w:p>
      <w:pPr>
        <w:pStyle w:val="33"/>
        <w:widowControl/>
        <w:jc w:val="left"/>
        <w:rPr>
          <w:rFonts w:ascii="宋体" w:hAnsi="宋体"/>
          <w:bCs/>
          <w:sz w:val="28"/>
          <w:szCs w:val="28"/>
          <w:highlight w:val="none"/>
        </w:rPr>
      </w:pPr>
    </w:p>
    <w:p>
      <w:pPr>
        <w:pStyle w:val="42"/>
        <w:rPr>
          <w:highlight w:val="none"/>
        </w:rPr>
      </w:pPr>
      <w:r>
        <w:rPr>
          <w:rFonts w:hint="eastAsia" w:ascii="宋体" w:hAnsi="宋体"/>
          <w:b/>
          <w:color w:val="FF0000"/>
          <w:sz w:val="28"/>
          <w:szCs w:val="28"/>
          <w:highlight w:val="none"/>
        </w:rPr>
        <w:t xml:space="preserve"> </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（根据《政府采购法》和《合同法》。采购人和供应商之间的权利和义务，应当按照平等的原则以合同方式约定。此合同书仅作为签订正式合同时的参考，正式合同书应包括本参考格式之内容。）</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1. 合同文件</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本合同所附下列文件是构成本合同不可分割的部分：</w:t>
      </w:r>
    </w:p>
    <w:p>
      <w:pPr>
        <w:pStyle w:val="41"/>
        <w:spacing w:line="440" w:lineRule="exact"/>
        <w:ind w:left="560" w:firstLine="0" w:firstLineChars="0"/>
        <w:jc w:val="left"/>
        <w:rPr>
          <w:rFonts w:ascii="宋体" w:hAnsi="宋体"/>
          <w:bCs/>
          <w:sz w:val="28"/>
          <w:szCs w:val="28"/>
          <w:highlight w:val="none"/>
        </w:rPr>
      </w:pPr>
      <w:r>
        <w:rPr>
          <w:rFonts w:hint="eastAsia" w:ascii="宋体" w:hAnsi="宋体"/>
          <w:bCs/>
          <w:sz w:val="28"/>
          <w:szCs w:val="28"/>
          <w:highlight w:val="none"/>
        </w:rPr>
        <w:t>(1)采购文件</w:t>
      </w:r>
    </w:p>
    <w:p>
      <w:pPr>
        <w:pStyle w:val="41"/>
        <w:spacing w:line="440" w:lineRule="exact"/>
        <w:ind w:left="560" w:firstLine="0" w:firstLineChars="0"/>
        <w:jc w:val="left"/>
        <w:rPr>
          <w:rFonts w:ascii="宋体" w:hAnsi="宋体"/>
          <w:bCs/>
          <w:sz w:val="28"/>
          <w:szCs w:val="28"/>
          <w:highlight w:val="none"/>
        </w:rPr>
      </w:pPr>
      <w:r>
        <w:rPr>
          <w:rFonts w:hint="eastAsia" w:ascii="宋体" w:hAnsi="宋体"/>
          <w:bCs/>
          <w:sz w:val="28"/>
          <w:szCs w:val="28"/>
          <w:highlight w:val="none"/>
        </w:rPr>
        <w:t>(2)合同条款</w:t>
      </w:r>
    </w:p>
    <w:p>
      <w:pPr>
        <w:pStyle w:val="41"/>
        <w:spacing w:line="440" w:lineRule="exact"/>
        <w:ind w:left="560" w:firstLine="0" w:firstLineChars="0"/>
        <w:jc w:val="left"/>
        <w:rPr>
          <w:rFonts w:ascii="宋体" w:hAnsi="宋体"/>
          <w:bCs/>
          <w:sz w:val="28"/>
          <w:szCs w:val="28"/>
          <w:highlight w:val="none"/>
        </w:rPr>
      </w:pPr>
      <w:r>
        <w:rPr>
          <w:rFonts w:hint="eastAsia" w:ascii="宋体" w:hAnsi="宋体"/>
          <w:bCs/>
          <w:sz w:val="28"/>
          <w:szCs w:val="28"/>
          <w:highlight w:val="none"/>
        </w:rPr>
        <w:t>(3)中标人提交的响应文件</w:t>
      </w:r>
    </w:p>
    <w:p>
      <w:pPr>
        <w:pStyle w:val="41"/>
        <w:spacing w:line="440" w:lineRule="exact"/>
        <w:ind w:left="560" w:firstLine="0" w:firstLineChars="0"/>
        <w:jc w:val="left"/>
        <w:rPr>
          <w:rFonts w:ascii="宋体" w:hAnsi="宋体"/>
          <w:bCs/>
          <w:sz w:val="28"/>
          <w:szCs w:val="28"/>
          <w:highlight w:val="none"/>
        </w:rPr>
      </w:pPr>
      <w:r>
        <w:rPr>
          <w:rFonts w:hint="eastAsia" w:ascii="宋体" w:hAnsi="宋体"/>
          <w:bCs/>
          <w:sz w:val="28"/>
          <w:szCs w:val="28"/>
          <w:highlight w:val="none"/>
        </w:rPr>
        <w:t>(4)技术规格（包括图纸，如果有的话）</w:t>
      </w:r>
    </w:p>
    <w:p>
      <w:pPr>
        <w:pStyle w:val="41"/>
        <w:spacing w:line="440" w:lineRule="exact"/>
        <w:ind w:left="560" w:firstLine="0" w:firstLineChars="0"/>
        <w:jc w:val="left"/>
        <w:rPr>
          <w:rFonts w:ascii="宋体" w:hAnsi="宋体"/>
          <w:bCs/>
          <w:sz w:val="28"/>
          <w:szCs w:val="28"/>
          <w:highlight w:val="none"/>
        </w:rPr>
      </w:pPr>
      <w:r>
        <w:rPr>
          <w:rFonts w:hint="eastAsia" w:ascii="宋体" w:hAnsi="宋体"/>
          <w:bCs/>
          <w:sz w:val="28"/>
          <w:szCs w:val="28"/>
          <w:highlight w:val="none"/>
        </w:rPr>
        <w:t>(5)中标/成交通知书</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2．合同范围和条件</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本合同的范围和条件与上述文件的规定相一致。</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3．货物及数量</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本合同所提供的货物数量/服务详见磋商文件“第三章</w:t>
      </w:r>
      <w:r>
        <w:rPr>
          <w:rFonts w:hint="eastAsia" w:ascii="宋体" w:hAnsi="宋体"/>
          <w:sz w:val="28"/>
          <w:szCs w:val="28"/>
          <w:highlight w:val="none"/>
        </w:rPr>
        <w:t>采购项目技术规格、参数及要求</w:t>
      </w:r>
      <w:r>
        <w:rPr>
          <w:rFonts w:hint="eastAsia" w:ascii="宋体" w:hAnsi="宋体"/>
          <w:bCs/>
          <w:sz w:val="28"/>
          <w:szCs w:val="28"/>
          <w:highlight w:val="none"/>
        </w:rPr>
        <w:t>”。</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4．合同金额</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合同总金额为元人民币，分项价格见响应文件按报价明细表。</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5．合同生效及支付条件和方式</w:t>
      </w:r>
    </w:p>
    <w:p>
      <w:pPr>
        <w:pStyle w:val="41"/>
        <w:spacing w:line="440" w:lineRule="exact"/>
        <w:ind w:firstLine="562"/>
        <w:jc w:val="left"/>
        <w:rPr>
          <w:rFonts w:ascii="宋体" w:hAnsi="宋体"/>
          <w:b/>
          <w:sz w:val="28"/>
          <w:szCs w:val="28"/>
          <w:highlight w:val="none"/>
        </w:rPr>
      </w:pPr>
      <w:r>
        <w:rPr>
          <w:rFonts w:hint="eastAsia" w:ascii="宋体" w:hAnsi="宋体"/>
          <w:b/>
          <w:sz w:val="28"/>
          <w:szCs w:val="28"/>
          <w:highlight w:val="none"/>
        </w:rPr>
        <w:t>6．交货时间和交货地点</w:t>
      </w:r>
    </w:p>
    <w:p>
      <w:pPr>
        <w:pStyle w:val="41"/>
        <w:spacing w:line="440" w:lineRule="exact"/>
        <w:ind w:firstLine="560"/>
        <w:jc w:val="left"/>
        <w:rPr>
          <w:rFonts w:ascii="宋体" w:hAnsi="宋体"/>
          <w:bCs/>
          <w:sz w:val="28"/>
          <w:szCs w:val="28"/>
          <w:highlight w:val="none"/>
        </w:rPr>
      </w:pPr>
      <w:r>
        <w:rPr>
          <w:rFonts w:hint="eastAsia" w:ascii="宋体" w:hAnsi="宋体"/>
          <w:bCs/>
          <w:sz w:val="28"/>
          <w:szCs w:val="28"/>
          <w:highlight w:val="none"/>
        </w:rPr>
        <w:t xml:space="preserve">本合同货物的交货时间和交货地点按磋商文件“第三章 </w:t>
      </w:r>
      <w:r>
        <w:rPr>
          <w:rFonts w:hint="eastAsia" w:ascii="宋体" w:hAnsi="宋体"/>
          <w:sz w:val="28"/>
          <w:szCs w:val="28"/>
          <w:highlight w:val="none"/>
        </w:rPr>
        <w:t>采购需求</w:t>
      </w:r>
      <w:r>
        <w:rPr>
          <w:rFonts w:hint="eastAsia" w:ascii="宋体" w:hAnsi="宋体"/>
          <w:bCs/>
          <w:sz w:val="28"/>
          <w:szCs w:val="28"/>
          <w:highlight w:val="none"/>
        </w:rPr>
        <w:t>”执行。</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采购人（盖章）：</w:t>
      </w:r>
      <w:r>
        <w:rPr>
          <w:rFonts w:hint="eastAsia" w:ascii="宋体" w:hAnsi="宋体"/>
          <w:kern w:val="0"/>
          <w:sz w:val="28"/>
          <w:szCs w:val="20"/>
          <w:highlight w:val="none"/>
        </w:rPr>
        <w:tab/>
      </w:r>
      <w:r>
        <w:rPr>
          <w:rFonts w:hint="eastAsia" w:ascii="宋体" w:hAnsi="宋体"/>
          <w:kern w:val="0"/>
          <w:sz w:val="28"/>
          <w:szCs w:val="20"/>
          <w:highlight w:val="none"/>
        </w:rPr>
        <w:t>供　　方（盖章）：</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单位地址：</w:t>
      </w:r>
      <w:r>
        <w:rPr>
          <w:rFonts w:hint="eastAsia" w:ascii="宋体" w:hAnsi="宋体"/>
          <w:kern w:val="0"/>
          <w:sz w:val="28"/>
          <w:szCs w:val="20"/>
          <w:highlight w:val="none"/>
        </w:rPr>
        <w:tab/>
      </w:r>
      <w:r>
        <w:rPr>
          <w:rFonts w:hint="eastAsia" w:ascii="宋体" w:hAnsi="宋体"/>
          <w:kern w:val="0"/>
          <w:sz w:val="28"/>
          <w:szCs w:val="20"/>
          <w:highlight w:val="none"/>
        </w:rPr>
        <w:t xml:space="preserve">                         单位地址：</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法人代表授权人(签字)：</w:t>
      </w:r>
      <w:r>
        <w:rPr>
          <w:rFonts w:hint="eastAsia" w:ascii="宋体" w:hAnsi="宋体"/>
          <w:kern w:val="0"/>
          <w:sz w:val="28"/>
          <w:szCs w:val="20"/>
          <w:highlight w:val="none"/>
        </w:rPr>
        <w:tab/>
      </w:r>
      <w:r>
        <w:rPr>
          <w:rFonts w:hint="eastAsia" w:ascii="宋体" w:hAnsi="宋体"/>
          <w:kern w:val="0"/>
          <w:sz w:val="28"/>
          <w:szCs w:val="20"/>
          <w:highlight w:val="none"/>
        </w:rPr>
        <w:t xml:space="preserve">              法人代表授权人(签字)：</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联 系 人：</w:t>
      </w:r>
      <w:r>
        <w:rPr>
          <w:rFonts w:hint="eastAsia" w:ascii="宋体" w:hAnsi="宋体"/>
          <w:kern w:val="0"/>
          <w:sz w:val="28"/>
          <w:szCs w:val="20"/>
          <w:highlight w:val="none"/>
        </w:rPr>
        <w:tab/>
      </w:r>
      <w:r>
        <w:rPr>
          <w:rFonts w:hint="eastAsia" w:ascii="宋体" w:hAnsi="宋体"/>
          <w:kern w:val="0"/>
          <w:sz w:val="28"/>
          <w:szCs w:val="20"/>
          <w:highlight w:val="none"/>
        </w:rPr>
        <w:t xml:space="preserve">                         联 系 人：</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电　　话：</w:t>
      </w:r>
      <w:r>
        <w:rPr>
          <w:rFonts w:hint="eastAsia" w:ascii="宋体" w:hAnsi="宋体"/>
          <w:kern w:val="0"/>
          <w:sz w:val="28"/>
          <w:szCs w:val="20"/>
          <w:highlight w:val="none"/>
        </w:rPr>
        <w:tab/>
      </w:r>
      <w:r>
        <w:rPr>
          <w:rFonts w:hint="eastAsia" w:ascii="宋体" w:hAnsi="宋体"/>
          <w:kern w:val="0"/>
          <w:sz w:val="28"/>
          <w:szCs w:val="20"/>
          <w:highlight w:val="none"/>
        </w:rPr>
        <w:t xml:space="preserve">                        电　　话：</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传　　真：</w:t>
      </w:r>
      <w:r>
        <w:rPr>
          <w:rFonts w:hint="eastAsia" w:ascii="宋体" w:hAnsi="宋体"/>
          <w:kern w:val="0"/>
          <w:sz w:val="28"/>
          <w:szCs w:val="20"/>
          <w:highlight w:val="none"/>
        </w:rPr>
        <w:tab/>
      </w:r>
      <w:r>
        <w:rPr>
          <w:rFonts w:hint="eastAsia" w:ascii="宋体" w:hAnsi="宋体"/>
          <w:kern w:val="0"/>
          <w:sz w:val="28"/>
          <w:szCs w:val="20"/>
          <w:highlight w:val="none"/>
        </w:rPr>
        <w:t xml:space="preserve">                        传　　真：</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邮政编码：</w:t>
      </w:r>
      <w:r>
        <w:rPr>
          <w:rFonts w:hint="eastAsia" w:ascii="宋体" w:hAnsi="宋体"/>
          <w:kern w:val="0"/>
          <w:sz w:val="28"/>
          <w:szCs w:val="20"/>
          <w:highlight w:val="none"/>
        </w:rPr>
        <w:tab/>
      </w:r>
      <w:r>
        <w:rPr>
          <w:rFonts w:hint="eastAsia" w:ascii="宋体" w:hAnsi="宋体"/>
          <w:kern w:val="0"/>
          <w:sz w:val="28"/>
          <w:szCs w:val="20"/>
          <w:highlight w:val="none"/>
        </w:rPr>
        <w:t xml:space="preserve">                  邮政编码：</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开户银行：</w:t>
      </w:r>
      <w:r>
        <w:rPr>
          <w:rFonts w:hint="eastAsia" w:ascii="宋体" w:hAnsi="宋体"/>
          <w:kern w:val="0"/>
          <w:sz w:val="28"/>
          <w:szCs w:val="20"/>
          <w:highlight w:val="none"/>
        </w:rPr>
        <w:tab/>
      </w:r>
      <w:r>
        <w:rPr>
          <w:rFonts w:hint="eastAsia" w:ascii="宋体" w:hAnsi="宋体"/>
          <w:kern w:val="0"/>
          <w:sz w:val="28"/>
          <w:szCs w:val="20"/>
          <w:highlight w:val="none"/>
        </w:rPr>
        <w:t xml:space="preserve">                    开户银行：</w:t>
      </w:r>
    </w:p>
    <w:p>
      <w:pPr>
        <w:pStyle w:val="42"/>
        <w:autoSpaceDE w:val="0"/>
        <w:autoSpaceDN w:val="0"/>
        <w:adjustRightInd w:val="0"/>
        <w:spacing w:line="500" w:lineRule="exact"/>
        <w:ind w:firstLine="560" w:firstLineChars="200"/>
        <w:jc w:val="left"/>
        <w:rPr>
          <w:rFonts w:ascii="宋体" w:hAnsi="宋体"/>
          <w:kern w:val="0"/>
          <w:sz w:val="28"/>
          <w:szCs w:val="20"/>
          <w:highlight w:val="none"/>
        </w:rPr>
      </w:pPr>
      <w:r>
        <w:rPr>
          <w:rFonts w:hint="eastAsia" w:ascii="宋体" w:hAnsi="宋体"/>
          <w:kern w:val="0"/>
          <w:sz w:val="28"/>
          <w:szCs w:val="20"/>
          <w:highlight w:val="none"/>
        </w:rPr>
        <w:t>帐　　号：</w:t>
      </w:r>
      <w:r>
        <w:rPr>
          <w:rFonts w:hint="eastAsia" w:ascii="宋体" w:hAnsi="宋体"/>
          <w:kern w:val="0"/>
          <w:sz w:val="28"/>
          <w:szCs w:val="20"/>
          <w:highlight w:val="none"/>
        </w:rPr>
        <w:tab/>
      </w:r>
      <w:r>
        <w:rPr>
          <w:rFonts w:hint="eastAsia" w:ascii="宋体" w:hAnsi="宋体"/>
          <w:kern w:val="0"/>
          <w:sz w:val="28"/>
          <w:szCs w:val="20"/>
          <w:highlight w:val="none"/>
        </w:rPr>
        <w:t>帐　　号：</w:t>
      </w:r>
    </w:p>
    <w:p>
      <w:pPr>
        <w:pStyle w:val="42"/>
        <w:rPr>
          <w:rFonts w:ascii="宋体" w:hAnsi="宋体"/>
          <w:sz w:val="24"/>
          <w:highlight w:val="none"/>
        </w:rPr>
      </w:pPr>
    </w:p>
    <w:p>
      <w:pPr>
        <w:pStyle w:val="42"/>
        <w:rPr>
          <w:rFonts w:ascii="宋体" w:hAnsi="宋体"/>
          <w:sz w:val="24"/>
          <w:highlight w:val="none"/>
        </w:rPr>
      </w:pPr>
    </w:p>
    <w:p>
      <w:pPr>
        <w:pStyle w:val="42"/>
        <w:spacing w:line="500" w:lineRule="exact"/>
        <w:jc w:val="center"/>
        <w:rPr>
          <w:rFonts w:ascii="宋体" w:hAnsi="宋体"/>
          <w:b/>
          <w:kern w:val="0"/>
          <w:sz w:val="36"/>
          <w:szCs w:val="36"/>
          <w:highlight w:val="none"/>
        </w:rPr>
      </w:pPr>
      <w:bookmarkStart w:id="44" w:name="_Hlk450145418"/>
      <w:r>
        <w:rPr>
          <w:rFonts w:hint="eastAsia" w:ascii="宋体" w:hAnsi="宋体"/>
          <w:b/>
          <w:spacing w:val="120"/>
          <w:kern w:val="0"/>
          <w:sz w:val="36"/>
          <w:szCs w:val="36"/>
          <w:highlight w:val="none"/>
        </w:rPr>
        <w:t>合同条</w:t>
      </w:r>
      <w:r>
        <w:rPr>
          <w:rFonts w:hint="eastAsia" w:ascii="宋体" w:hAnsi="宋体"/>
          <w:b/>
          <w:kern w:val="0"/>
          <w:sz w:val="36"/>
          <w:szCs w:val="36"/>
          <w:highlight w:val="none"/>
        </w:rPr>
        <w:t>款</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1．有关概念</w:t>
      </w:r>
    </w:p>
    <w:p>
      <w:pPr>
        <w:pStyle w:val="42"/>
        <w:spacing w:line="500" w:lineRule="exact"/>
        <w:jc w:val="left"/>
        <w:rPr>
          <w:rFonts w:ascii="宋体" w:hAnsi="宋体"/>
          <w:bCs/>
          <w:sz w:val="28"/>
          <w:szCs w:val="28"/>
          <w:highlight w:val="none"/>
        </w:rPr>
      </w:pPr>
      <w:r>
        <w:rPr>
          <w:rFonts w:hint="eastAsia" w:ascii="宋体" w:hAnsi="宋体"/>
          <w:bCs/>
          <w:sz w:val="28"/>
          <w:szCs w:val="28"/>
          <w:highlight w:val="none"/>
        </w:rPr>
        <w:t>本合同下列术语应解释为：</w:t>
      </w:r>
    </w:p>
    <w:p>
      <w:pPr>
        <w:pStyle w:val="42"/>
        <w:spacing w:line="500" w:lineRule="exact"/>
        <w:ind w:left="566" w:hanging="565" w:hangingChars="202"/>
        <w:jc w:val="left"/>
        <w:rPr>
          <w:rFonts w:ascii="宋体" w:hAnsi="宋体"/>
          <w:bCs/>
          <w:sz w:val="28"/>
          <w:szCs w:val="28"/>
          <w:highlight w:val="none"/>
        </w:rPr>
      </w:pPr>
      <w:r>
        <w:rPr>
          <w:rFonts w:hint="eastAsia" w:ascii="宋体" w:hAnsi="宋体"/>
          <w:sz w:val="28"/>
          <w:szCs w:val="28"/>
          <w:highlight w:val="none"/>
        </w:rPr>
        <w:t>1.1</w:t>
      </w:r>
      <w:r>
        <w:rPr>
          <w:rFonts w:hint="eastAsia" w:ascii="宋体" w:hAnsi="宋体"/>
          <w:bCs/>
          <w:sz w:val="28"/>
          <w:szCs w:val="28"/>
          <w:highlight w:val="none"/>
        </w:rPr>
        <w:t>“合同”，系指买供双方签署的、合同格式中载明的买供双方所达成的协议，包括所有的附件、附录和上述文件所提到的构成合同的所有文件。</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1.2“合同价”，系指根据合同规定供方在正确地履行合同义务后采购人应支付给供方的价格。</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1.3“货物”，系指供方根据合同规定须向采购人提供的各种形态和种类的物品，包括产品、设备、配件等。</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1.4“服务”，系指伴随本项目产生的，根据合同规定由供方承担的与供货有关的辅助服务，例如安装、调试、技术援助、培训、售后服务等以及合同中规定供方应承担的所有其它类似义务。</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1.5“采购人”，系指磋商文件中所述购买货物和服务的单位。</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1.6“供方”，系指磋商文件中所述提供货物和服务的公司或实体，亦即中标人。</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1.7“天”，系日历天数。</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2．技术规格</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2.1交付货物的技术规格应与响应文件规定的技术规格以及所附的技术规格响应表相一致。</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2.2除技术规格另有规定外，计量单位均使用中华人民共和国法定计量单位。</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3．专利权</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3.1供方应保证采购人在使用该货物或其任何一部分时免受第三方提出侵犯其专利权、商标权或工业设计权的起诉。若由此出现侵权诉讼，由供方承担全部责任。</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3.2供方按合同要求为采购人提交的设计方案，其所有权、使用权等所有权力均转为采购人所拥有，供方放弃拥有关于设计方案的所有权力。</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4.包装要求</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4.1除合同另有规定外，供方提供的所有单独包装的货物都应具有原始的、完好的标准包装。如遇交付前已拆封货物，采购人有权拒绝接受或要求更换。</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4.2每个包装箱内的装箱清单、使用说明书、质量证书、保修卡及软件使用说明等所有资料均须齐全。</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5. 装运条件</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5.1供方负责安排运输，运输费由供方承担。</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5.2提单日期应视为实际交货日期。</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5.3供方装运的货物不得超过合同规定的数量或重量。否则，供方应对超运数量或重量而产生的一切后果负责。</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6. 付款</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6.1本合同以人民币支付。</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6.2供方按照合同规定交货。交货后供方把下列单据提交给采购人,采购人按合同规定审核后办理付款手续：</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（1）发票</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（2）质量证书</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（3）详细配置、数量清单</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（4）检验报告</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6.3采购人按合同规定的合同生效及支付条件和方式安排付款。</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7．伴随服务</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7.1供方随同货物提交所供货物的技术资料。包括相应每套货物的中文技术文件，如：产品目录、操作手册、使用说明、维护手册或服务指南等。</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7.2供方应提供下列服务：</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（1）货物的现场安装和启动监督；</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（2）提供货物组装和维修所必须的工具；</w:t>
      </w:r>
    </w:p>
    <w:p>
      <w:pPr>
        <w:pStyle w:val="42"/>
        <w:spacing w:line="500" w:lineRule="exact"/>
        <w:ind w:left="565" w:leftChars="269" w:firstLine="1"/>
        <w:jc w:val="left"/>
        <w:rPr>
          <w:rFonts w:ascii="宋体" w:hAnsi="宋体"/>
          <w:sz w:val="28"/>
          <w:szCs w:val="28"/>
          <w:highlight w:val="none"/>
        </w:rPr>
      </w:pPr>
      <w:r>
        <w:rPr>
          <w:rFonts w:hint="eastAsia" w:ascii="宋体" w:hAnsi="宋体"/>
          <w:sz w:val="28"/>
          <w:szCs w:val="28"/>
          <w:highlight w:val="none"/>
        </w:rPr>
        <w:t>（3）在项目现场就货物的安装、启动、运行和维护，按采购人的要求提供技术培训。</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7.3伴随服务的费用含在合同价中，不另行支付。</w:t>
      </w:r>
    </w:p>
    <w:p>
      <w:pPr>
        <w:pStyle w:val="42"/>
        <w:spacing w:line="500" w:lineRule="exact"/>
        <w:jc w:val="left"/>
        <w:rPr>
          <w:rFonts w:ascii="宋体" w:hAnsi="宋体"/>
          <w:b/>
          <w:sz w:val="28"/>
          <w:szCs w:val="28"/>
          <w:highlight w:val="none"/>
        </w:rPr>
      </w:pPr>
      <w:r>
        <w:rPr>
          <w:rFonts w:hint="eastAsia" w:ascii="宋体" w:hAnsi="宋体"/>
          <w:bCs/>
          <w:sz w:val="28"/>
          <w:szCs w:val="28"/>
          <w:highlight w:val="none"/>
        </w:rPr>
        <w:t>8.</w:t>
      </w:r>
      <w:r>
        <w:rPr>
          <w:rFonts w:hint="eastAsia" w:ascii="宋体" w:hAnsi="宋体"/>
          <w:b/>
          <w:sz w:val="28"/>
          <w:szCs w:val="28"/>
          <w:highlight w:val="none"/>
        </w:rPr>
        <w:t>备品备件</w:t>
      </w:r>
    </w:p>
    <w:p>
      <w:pPr>
        <w:pStyle w:val="42"/>
        <w:spacing w:line="500" w:lineRule="exact"/>
        <w:ind w:left="566" w:hanging="565" w:hangingChars="202"/>
        <w:jc w:val="left"/>
        <w:rPr>
          <w:rFonts w:ascii="宋体" w:hAnsi="宋体"/>
          <w:sz w:val="28"/>
          <w:szCs w:val="28"/>
          <w:highlight w:val="none"/>
        </w:rPr>
      </w:pPr>
      <w:r>
        <w:rPr>
          <w:rFonts w:hint="eastAsia" w:ascii="宋体" w:hAnsi="宋体"/>
          <w:bCs/>
          <w:sz w:val="28"/>
          <w:szCs w:val="28"/>
          <w:highlight w:val="none"/>
        </w:rPr>
        <w:t>8.1</w:t>
      </w:r>
      <w:r>
        <w:rPr>
          <w:rFonts w:hint="eastAsia" w:ascii="宋体" w:hAnsi="宋体"/>
          <w:sz w:val="28"/>
          <w:szCs w:val="28"/>
          <w:highlight w:val="none"/>
        </w:rPr>
        <w:t>供</w:t>
      </w:r>
      <w:r>
        <w:rPr>
          <w:rFonts w:hint="eastAsia" w:ascii="宋体" w:hAnsi="宋体"/>
          <w:bCs/>
          <w:sz w:val="28"/>
          <w:szCs w:val="28"/>
          <w:highlight w:val="none"/>
        </w:rPr>
        <w:t>方可能被要</w:t>
      </w:r>
      <w:r>
        <w:rPr>
          <w:rFonts w:hint="eastAsia" w:ascii="宋体" w:hAnsi="宋体"/>
          <w:sz w:val="28"/>
          <w:szCs w:val="28"/>
          <w:highlight w:val="none"/>
        </w:rPr>
        <w:t>求提供下列与备件有关的材料、通知和资料：</w:t>
      </w:r>
    </w:p>
    <w:p>
      <w:pPr>
        <w:pStyle w:val="42"/>
        <w:spacing w:line="500" w:lineRule="exact"/>
        <w:ind w:left="567" w:leftChars="270"/>
        <w:jc w:val="left"/>
        <w:rPr>
          <w:rFonts w:ascii="宋体" w:hAnsi="宋体"/>
          <w:sz w:val="28"/>
          <w:szCs w:val="28"/>
          <w:highlight w:val="none"/>
        </w:rPr>
      </w:pPr>
      <w:r>
        <w:rPr>
          <w:rFonts w:hint="eastAsia" w:ascii="宋体" w:hAnsi="宋体"/>
          <w:sz w:val="28"/>
          <w:szCs w:val="28"/>
          <w:highlight w:val="none"/>
        </w:rPr>
        <w:t>（1）采购方从供方选购备件，但前提条件是该选购并不能免除供方在合同保证期内所承担的义务；</w:t>
      </w:r>
    </w:p>
    <w:p>
      <w:pPr>
        <w:pStyle w:val="42"/>
        <w:spacing w:line="500" w:lineRule="exact"/>
        <w:ind w:left="567" w:leftChars="270"/>
        <w:jc w:val="left"/>
        <w:rPr>
          <w:rFonts w:ascii="宋体" w:hAnsi="宋体"/>
          <w:sz w:val="28"/>
          <w:szCs w:val="28"/>
          <w:highlight w:val="none"/>
        </w:rPr>
      </w:pPr>
      <w:r>
        <w:rPr>
          <w:rFonts w:hint="eastAsia" w:ascii="宋体" w:hAnsi="宋体"/>
          <w:sz w:val="28"/>
          <w:szCs w:val="28"/>
          <w:highlight w:val="none"/>
        </w:rPr>
        <w:t>（2）在备件停止生产的情况下，供方应事先将要停止生产的计划通知买方有足够的时间采购所需的备件；</w:t>
      </w:r>
    </w:p>
    <w:p>
      <w:pPr>
        <w:pStyle w:val="42"/>
        <w:spacing w:line="500" w:lineRule="exact"/>
        <w:ind w:left="567" w:leftChars="270"/>
        <w:jc w:val="left"/>
        <w:rPr>
          <w:rFonts w:ascii="宋体" w:hAnsi="宋体"/>
          <w:sz w:val="28"/>
          <w:szCs w:val="28"/>
          <w:highlight w:val="none"/>
        </w:rPr>
      </w:pPr>
      <w:r>
        <w:rPr>
          <w:rFonts w:hint="eastAsia" w:ascii="宋体" w:hAnsi="宋体"/>
          <w:sz w:val="28"/>
          <w:szCs w:val="28"/>
          <w:highlight w:val="none"/>
        </w:rPr>
        <w:t>（3）在备件停止生产后，如果采购方要求，供方应免费向采购方提供备件的蓝图、图纸和规格。</w:t>
      </w:r>
    </w:p>
    <w:p>
      <w:pPr>
        <w:pStyle w:val="42"/>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highlight w:val="none"/>
        </w:rPr>
      </w:pPr>
      <w:r>
        <w:rPr>
          <w:rFonts w:hint="eastAsia" w:ascii="宋体" w:hAnsi="宋体"/>
          <w:b/>
          <w:sz w:val="28"/>
          <w:szCs w:val="28"/>
          <w:highlight w:val="none"/>
        </w:rPr>
        <w:t>9、质量保证及售后服务</w:t>
      </w:r>
    </w:p>
    <w:p>
      <w:pPr>
        <w:pStyle w:val="42"/>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highlight w:val="none"/>
        </w:rPr>
      </w:pPr>
      <w:r>
        <w:rPr>
          <w:rFonts w:hint="eastAsia" w:ascii="宋体" w:hAnsi="宋体"/>
          <w:b/>
          <w:sz w:val="28"/>
          <w:szCs w:val="28"/>
          <w:highlight w:val="none"/>
        </w:rPr>
        <w:t>（一）质量保证</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9.1供方保证所提供的货物是全新的、未使用过的，是完全符合合同规定的质量、规格和性能要求的。保证货物在正常使用和保养条件下，在其使用寿命内具有满意的性能。在质保期内供方免费提供货物正常使用情况下发生故障的维修服务和更换配件服务。在供方或制造商承诺的货物质量保证期内，供方对由于设计工艺或材料的缺陷而产生的故障负责；货物无质保期的，供方在两年内对由于设计工艺或材料的缺陷而产生的故障负责。</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9.2在质保期内或货物无质保期的则在两年内，如果货物的数量、质量或规格与合同不符，或证实货物有缺陷的，采购人可尽快以书面形式向供方提出本保证下的索赔。</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9.3供方在收到索赔通知后十日内须免费更换有缺陷的货物或部件。</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9.4供方在收到索赔通知后十日内没有弥补缺陷，采购人可采取必要的补救措施，其风险和费用将由供方承担，采购人根据合同规定向供方行使的其它权利不受影响。</w:t>
      </w:r>
    </w:p>
    <w:p>
      <w:pPr>
        <w:pStyle w:val="42"/>
        <w:tabs>
          <w:tab w:val="left" w:pos="-540"/>
          <w:tab w:val="left" w:pos="0"/>
          <w:tab w:val="left" w:pos="420"/>
          <w:tab w:val="left" w:pos="840"/>
          <w:tab w:val="left" w:pos="1260"/>
          <w:tab w:val="left" w:pos="1680"/>
          <w:tab w:val="left" w:pos="2250"/>
        </w:tabs>
        <w:spacing w:line="500" w:lineRule="exact"/>
        <w:jc w:val="left"/>
        <w:rPr>
          <w:rFonts w:ascii="宋体" w:hAnsi="宋体"/>
          <w:b/>
          <w:sz w:val="28"/>
          <w:szCs w:val="28"/>
          <w:highlight w:val="none"/>
        </w:rPr>
      </w:pPr>
      <w:r>
        <w:rPr>
          <w:rFonts w:hint="eastAsia" w:ascii="宋体" w:hAnsi="宋体"/>
          <w:b/>
          <w:sz w:val="28"/>
          <w:szCs w:val="28"/>
          <w:highlight w:val="none"/>
        </w:rPr>
        <w:t>(二)质量保证期后服务</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9.5 质保期满后，若有零部件出现故障，经权威部门鉴定属于寿命异常问题（明显短于该零部件正常寿命时），则由供方负责免费更换及维修。</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9.6 质保期满后，应采购方要求，供方应按投标时的价格与采购方签订定期维修保养合同及提供采购方所需零配件，若投标时的价格高于市场价，则按市场价与与采购方签订定期维修保养合同及提供采购方所需零配件。</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9.7 乙方交货后，若设备发生故障，乙方应在甲方报修后24小时内到达。</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10．检验</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10.1在交货前，供方应对货物的质量、规格、性能、数量等进行详细全面的检验，并出具一份证明货物符合合同规定要求的检验报告。检验报告是付款必要的文件组成部分，但不作为对有关质量、规格、数量的最终检验。</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10.2货物交付后，采购人申请有关部门对货物的质量、数量等进行检验并出具检验证书。</w:t>
      </w:r>
    </w:p>
    <w:p>
      <w:pPr>
        <w:pStyle w:val="42"/>
        <w:spacing w:line="500" w:lineRule="exact"/>
        <w:jc w:val="left"/>
        <w:rPr>
          <w:rFonts w:ascii="宋体" w:hAnsi="宋体"/>
          <w:b/>
          <w:sz w:val="28"/>
          <w:szCs w:val="28"/>
          <w:highlight w:val="none"/>
        </w:rPr>
      </w:pPr>
      <w:r>
        <w:rPr>
          <w:rFonts w:hint="eastAsia" w:ascii="宋体" w:hAnsi="宋体"/>
          <w:b/>
          <w:sz w:val="28"/>
          <w:szCs w:val="28"/>
          <w:highlight w:val="none"/>
        </w:rPr>
        <w:t>11．索赔</w:t>
      </w:r>
    </w:p>
    <w:p>
      <w:pPr>
        <w:pStyle w:val="42"/>
        <w:spacing w:line="500" w:lineRule="exact"/>
        <w:ind w:left="566" w:hanging="565" w:hangingChars="202"/>
        <w:jc w:val="left"/>
        <w:rPr>
          <w:rFonts w:ascii="宋体" w:hAnsi="宋体"/>
          <w:sz w:val="28"/>
          <w:szCs w:val="28"/>
          <w:highlight w:val="none"/>
        </w:rPr>
      </w:pPr>
      <w:r>
        <w:rPr>
          <w:rFonts w:hint="eastAsia" w:ascii="宋体" w:hAnsi="宋体"/>
          <w:bCs/>
          <w:sz w:val="28"/>
          <w:szCs w:val="28"/>
          <w:highlight w:val="none"/>
        </w:rPr>
        <w:t>1</w:t>
      </w:r>
      <w:r>
        <w:rPr>
          <w:rFonts w:hint="eastAsia" w:ascii="宋体" w:hAnsi="宋体"/>
          <w:sz w:val="28"/>
          <w:szCs w:val="28"/>
          <w:highlight w:val="none"/>
        </w:rPr>
        <w:t>1.1采购人有权根据有关部门出具的检验证书向供方提出索赔。</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11.2在合同条款第8条规定的质保期内，如果供方对差异负有责任而采购人提出索赔，供方应按照采购人的损失程度进行赔偿。</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12．</w:t>
      </w:r>
      <w:r>
        <w:rPr>
          <w:rFonts w:hint="eastAsia" w:ascii="宋体" w:hAnsi="宋体"/>
          <w:b/>
          <w:bCs/>
          <w:sz w:val="28"/>
          <w:szCs w:val="28"/>
          <w:highlight w:val="none"/>
        </w:rPr>
        <w:t>供</w:t>
      </w:r>
      <w:r>
        <w:rPr>
          <w:rFonts w:hint="eastAsia" w:ascii="宋体" w:hAnsi="宋体"/>
          <w:b/>
          <w:sz w:val="28"/>
          <w:szCs w:val="28"/>
          <w:highlight w:val="none"/>
        </w:rPr>
        <w:t>方履约延误</w:t>
      </w:r>
    </w:p>
    <w:p>
      <w:pPr>
        <w:pStyle w:val="42"/>
        <w:spacing w:line="500" w:lineRule="exact"/>
        <w:ind w:left="566" w:hanging="565" w:hangingChars="202"/>
        <w:jc w:val="left"/>
        <w:rPr>
          <w:rFonts w:ascii="宋体" w:hAnsi="宋体"/>
          <w:bCs/>
          <w:sz w:val="28"/>
          <w:szCs w:val="28"/>
          <w:highlight w:val="none"/>
        </w:rPr>
      </w:pPr>
      <w:r>
        <w:rPr>
          <w:rFonts w:hint="eastAsia" w:ascii="宋体" w:hAnsi="宋体"/>
          <w:bCs/>
          <w:sz w:val="28"/>
          <w:szCs w:val="28"/>
          <w:highlight w:val="none"/>
        </w:rPr>
        <w:t>12.1</w:t>
      </w:r>
      <w:r>
        <w:rPr>
          <w:rFonts w:hint="eastAsia" w:ascii="宋体" w:hAnsi="宋体"/>
          <w:sz w:val="28"/>
          <w:szCs w:val="28"/>
          <w:highlight w:val="none"/>
        </w:rPr>
        <w:t>供</w:t>
      </w:r>
      <w:r>
        <w:rPr>
          <w:rFonts w:hint="eastAsia" w:ascii="宋体" w:hAnsi="宋体"/>
          <w:bCs/>
          <w:sz w:val="28"/>
          <w:szCs w:val="28"/>
          <w:highlight w:val="none"/>
        </w:rPr>
        <w:t>方应</w:t>
      </w:r>
      <w:r>
        <w:rPr>
          <w:rFonts w:hint="eastAsia" w:ascii="宋体" w:hAnsi="宋体"/>
          <w:sz w:val="28"/>
          <w:szCs w:val="28"/>
          <w:highlight w:val="none"/>
        </w:rPr>
        <w:t>按规定</w:t>
      </w:r>
      <w:r>
        <w:rPr>
          <w:rFonts w:hint="eastAsia" w:ascii="宋体" w:hAnsi="宋体"/>
          <w:bCs/>
          <w:sz w:val="28"/>
          <w:szCs w:val="28"/>
          <w:highlight w:val="none"/>
        </w:rPr>
        <w:t>的时间交货和提供服务。</w:t>
      </w:r>
    </w:p>
    <w:p>
      <w:pPr>
        <w:pStyle w:val="41"/>
        <w:spacing w:line="500" w:lineRule="exact"/>
        <w:ind w:left="720" w:hanging="719" w:hangingChars="257"/>
        <w:jc w:val="left"/>
        <w:rPr>
          <w:rFonts w:ascii="宋体" w:hAnsi="宋体"/>
          <w:sz w:val="28"/>
          <w:szCs w:val="28"/>
          <w:highlight w:val="none"/>
        </w:rPr>
      </w:pPr>
      <w:r>
        <w:rPr>
          <w:rFonts w:hint="eastAsia" w:ascii="宋体" w:hAnsi="宋体"/>
          <w:bCs/>
          <w:sz w:val="28"/>
          <w:szCs w:val="28"/>
          <w:highlight w:val="none"/>
        </w:rPr>
        <w:t>12.2如</w:t>
      </w:r>
      <w:r>
        <w:rPr>
          <w:rFonts w:hint="eastAsia" w:ascii="宋体" w:hAnsi="宋体"/>
          <w:sz w:val="28"/>
          <w:szCs w:val="28"/>
          <w:highlight w:val="none"/>
        </w:rPr>
        <w:t>供方无正当理由而拖延交货，采购人将从货款中扣除误期赔偿费而不影响合同项下的其他补救方法，赔偿费按每周迟交货物交货价或未提供服务费用的百分之一（1%）计收，直至交货或提供服务为止。误期赔偿费的最高限额不超过误期货物或服务合同价的百分之五（5%）。一周按七（7）天计算，不足七（7）天按一周计算。一旦达到误期赔偿费的最高限额，采购人有权终止合同。</w:t>
      </w:r>
    </w:p>
    <w:p>
      <w:pPr>
        <w:pStyle w:val="42"/>
        <w:spacing w:line="500" w:lineRule="exact"/>
        <w:ind w:left="566" w:hanging="565" w:hangingChars="202"/>
        <w:jc w:val="left"/>
        <w:rPr>
          <w:rFonts w:ascii="宋体" w:hAnsi="宋体"/>
          <w:sz w:val="28"/>
          <w:szCs w:val="28"/>
          <w:highlight w:val="none"/>
        </w:rPr>
      </w:pPr>
      <w:r>
        <w:rPr>
          <w:rFonts w:hint="eastAsia" w:ascii="宋体" w:hAnsi="宋体"/>
          <w:bCs/>
          <w:sz w:val="28"/>
          <w:szCs w:val="28"/>
          <w:highlight w:val="none"/>
        </w:rPr>
        <w:t>12.3在履行</w:t>
      </w:r>
      <w:r>
        <w:rPr>
          <w:rFonts w:hint="eastAsia" w:ascii="宋体" w:hAnsi="宋体"/>
          <w:sz w:val="28"/>
          <w:szCs w:val="28"/>
          <w:highlight w:val="none"/>
        </w:rPr>
        <w:t>合同过程中，如果供方遇到可能妨碍按时交货和提供服务的情况时，应及时以书面形式将拖延的事实、可能拖延的期限和理由通知采购人。采购人在收到通知后，要尽快对情况进行评价，并确定是否通过修改合同酌情延长交货时间以及是否收取误期赔偿费。延期应通过修改合同的方式由双方认可。</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12.4供方交付的货物不符合磋商文件、响应文件和本合同规定的，采购方有权拒收，并且供方需向采购方支付本合同总价10%的违约金。</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13．不可抗力</w:t>
      </w:r>
    </w:p>
    <w:p>
      <w:pPr>
        <w:pStyle w:val="42"/>
        <w:spacing w:line="500" w:lineRule="exact"/>
        <w:ind w:left="566" w:hanging="565" w:hangingChars="202"/>
        <w:jc w:val="left"/>
        <w:rPr>
          <w:rFonts w:ascii="宋体" w:hAnsi="宋体"/>
          <w:sz w:val="28"/>
          <w:szCs w:val="28"/>
          <w:highlight w:val="none"/>
        </w:rPr>
      </w:pPr>
      <w:r>
        <w:rPr>
          <w:rFonts w:hint="eastAsia" w:ascii="宋体" w:hAnsi="宋体"/>
          <w:bCs/>
          <w:sz w:val="28"/>
          <w:szCs w:val="28"/>
          <w:highlight w:val="none"/>
        </w:rPr>
        <w:t>13.1如果双</w:t>
      </w:r>
      <w:r>
        <w:rPr>
          <w:rFonts w:hint="eastAsia" w:ascii="宋体" w:hAnsi="宋体"/>
          <w:sz w:val="28"/>
          <w:szCs w:val="28"/>
          <w:highlight w:val="none"/>
        </w:rPr>
        <w:t>方任何一方由于经双方认可属于不可抗力的事故，致使影响合同履行时，履行合同的期限予以延长，延长的期限应相当于事故所影响的时间。不可抗力事件是指买供双方在缔结合同时所不能预见、并且它的发生及其后果是无法避免及无法克服的事件，比如战争、严重火灾、洪水、台风、地震等。</w:t>
      </w:r>
    </w:p>
    <w:p>
      <w:pPr>
        <w:pStyle w:val="42"/>
        <w:spacing w:line="500" w:lineRule="exact"/>
        <w:ind w:left="566" w:hanging="565" w:hangingChars="202"/>
        <w:jc w:val="left"/>
        <w:rPr>
          <w:rFonts w:ascii="宋体" w:hAnsi="宋体"/>
          <w:sz w:val="28"/>
          <w:szCs w:val="28"/>
          <w:highlight w:val="none"/>
        </w:rPr>
      </w:pPr>
      <w:r>
        <w:rPr>
          <w:rFonts w:hint="eastAsia" w:ascii="宋体" w:hAnsi="宋体"/>
          <w:sz w:val="28"/>
          <w:szCs w:val="28"/>
          <w:highlight w:val="none"/>
        </w:rPr>
        <w:t>13.2受事故影响的一方应在不可抗力发生后尽快以传真、电报通知另一方，并在事故发生后14天内，将有关部门出具的证明文件用特快专递或挂号信寄给另一方。如果不可抗力影响时间延续90天以上时，双方可通过友好协商在合理的时间内达成进一步履行或解除合同的协议。</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14．税费</w:t>
      </w:r>
    </w:p>
    <w:p>
      <w:pPr>
        <w:pStyle w:val="42"/>
        <w:spacing w:line="500" w:lineRule="exact"/>
        <w:ind w:left="566" w:hanging="565" w:hangingChars="202"/>
        <w:jc w:val="left"/>
        <w:rPr>
          <w:rFonts w:ascii="宋体" w:hAnsi="宋体"/>
          <w:bCs/>
          <w:sz w:val="28"/>
          <w:szCs w:val="28"/>
          <w:highlight w:val="none"/>
        </w:rPr>
      </w:pPr>
      <w:r>
        <w:rPr>
          <w:rFonts w:hint="eastAsia" w:ascii="宋体" w:hAnsi="宋体"/>
          <w:bCs/>
          <w:sz w:val="28"/>
          <w:szCs w:val="28"/>
          <w:highlight w:val="none"/>
        </w:rPr>
        <w:t>14.1政府根据现行税法对</w:t>
      </w:r>
      <w:r>
        <w:rPr>
          <w:rFonts w:hint="eastAsia" w:ascii="宋体" w:hAnsi="宋体"/>
          <w:sz w:val="28"/>
          <w:szCs w:val="28"/>
          <w:highlight w:val="none"/>
        </w:rPr>
        <w:t>供</w:t>
      </w:r>
      <w:r>
        <w:rPr>
          <w:rFonts w:hint="eastAsia" w:ascii="宋体" w:hAnsi="宋体"/>
          <w:bCs/>
          <w:sz w:val="28"/>
          <w:szCs w:val="28"/>
          <w:highlight w:val="none"/>
        </w:rPr>
        <w:t>方征收的与本合同有关的一切税费均由</w:t>
      </w:r>
      <w:r>
        <w:rPr>
          <w:rFonts w:hint="eastAsia" w:ascii="宋体" w:hAnsi="宋体"/>
          <w:sz w:val="28"/>
          <w:szCs w:val="28"/>
          <w:highlight w:val="none"/>
        </w:rPr>
        <w:t>供</w:t>
      </w:r>
      <w:r>
        <w:rPr>
          <w:rFonts w:hint="eastAsia" w:ascii="宋体" w:hAnsi="宋体"/>
          <w:bCs/>
          <w:sz w:val="28"/>
          <w:szCs w:val="28"/>
          <w:highlight w:val="none"/>
        </w:rPr>
        <w:t>方负担。</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15．违约终止合同</w:t>
      </w:r>
    </w:p>
    <w:p>
      <w:pPr>
        <w:pStyle w:val="41"/>
        <w:spacing w:line="500" w:lineRule="exact"/>
        <w:ind w:left="720" w:hanging="719" w:hangingChars="257"/>
        <w:jc w:val="left"/>
        <w:rPr>
          <w:rFonts w:ascii="宋体" w:hAnsi="宋体"/>
          <w:bCs/>
          <w:sz w:val="28"/>
          <w:szCs w:val="28"/>
          <w:highlight w:val="none"/>
        </w:rPr>
      </w:pPr>
      <w:r>
        <w:rPr>
          <w:rFonts w:hint="eastAsia" w:ascii="宋体" w:hAnsi="宋体"/>
          <w:bCs/>
          <w:sz w:val="28"/>
          <w:szCs w:val="28"/>
          <w:highlight w:val="none"/>
        </w:rPr>
        <w:t>15.1出现下</w:t>
      </w:r>
      <w:r>
        <w:rPr>
          <w:rFonts w:hint="eastAsia" w:ascii="宋体" w:hAnsi="宋体"/>
          <w:sz w:val="28"/>
          <w:szCs w:val="28"/>
          <w:highlight w:val="none"/>
        </w:rPr>
        <w:t>列情况之一，采购人在对供方违约而采取的任何补救措施不受影响的情况下，可向供方发出终止部分或全部合同的书面通知书。</w:t>
      </w:r>
    </w:p>
    <w:p>
      <w:pPr>
        <w:pStyle w:val="41"/>
        <w:tabs>
          <w:tab w:val="left" w:pos="3210"/>
        </w:tabs>
        <w:spacing w:line="500" w:lineRule="exact"/>
        <w:ind w:left="708" w:leftChars="337" w:firstLine="1" w:firstLineChars="0"/>
        <w:jc w:val="left"/>
        <w:rPr>
          <w:rFonts w:ascii="宋体" w:hAnsi="宋体"/>
          <w:sz w:val="28"/>
          <w:szCs w:val="28"/>
          <w:highlight w:val="none"/>
        </w:rPr>
      </w:pPr>
      <w:r>
        <w:rPr>
          <w:rFonts w:hint="eastAsia" w:ascii="宋体" w:hAnsi="宋体"/>
          <w:sz w:val="28"/>
          <w:szCs w:val="28"/>
          <w:highlight w:val="none"/>
        </w:rPr>
        <w:t>（1）</w:t>
      </w:r>
      <w:r>
        <w:rPr>
          <w:rFonts w:hint="eastAsia" w:ascii="宋体" w:hAnsi="宋体"/>
          <w:bCs/>
          <w:sz w:val="28"/>
          <w:szCs w:val="28"/>
          <w:highlight w:val="none"/>
        </w:rPr>
        <w:t>如果</w:t>
      </w:r>
      <w:r>
        <w:rPr>
          <w:rFonts w:hint="eastAsia" w:ascii="宋体" w:hAnsi="宋体"/>
          <w:sz w:val="28"/>
          <w:szCs w:val="28"/>
          <w:highlight w:val="none"/>
        </w:rPr>
        <w:t>供方未能按合同规定的期限或采购人同意延长的限期内提供部分或全部货物（服务）、完成工程施工；</w:t>
      </w:r>
    </w:p>
    <w:p>
      <w:pPr>
        <w:pStyle w:val="41"/>
        <w:tabs>
          <w:tab w:val="left" w:pos="3210"/>
        </w:tabs>
        <w:spacing w:line="500" w:lineRule="exact"/>
        <w:ind w:left="708" w:leftChars="337" w:firstLine="1" w:firstLineChars="0"/>
        <w:jc w:val="left"/>
        <w:rPr>
          <w:rFonts w:ascii="宋体" w:hAnsi="宋体"/>
          <w:sz w:val="28"/>
          <w:szCs w:val="28"/>
          <w:highlight w:val="none"/>
        </w:rPr>
      </w:pPr>
      <w:r>
        <w:rPr>
          <w:rFonts w:hint="eastAsia" w:ascii="宋体" w:hAnsi="宋体"/>
          <w:sz w:val="28"/>
          <w:szCs w:val="28"/>
          <w:highlight w:val="none"/>
        </w:rPr>
        <w:t>（2）供方在收到采购人发出的违约通知后20天内，或经采购人书面认可延长的时间内未能纠正其过失；</w:t>
      </w:r>
    </w:p>
    <w:p>
      <w:pPr>
        <w:pStyle w:val="41"/>
        <w:tabs>
          <w:tab w:val="left" w:pos="3210"/>
        </w:tabs>
        <w:spacing w:line="500" w:lineRule="exact"/>
        <w:ind w:left="708" w:leftChars="337" w:firstLine="1" w:firstLineChars="0"/>
        <w:jc w:val="left"/>
        <w:rPr>
          <w:rFonts w:ascii="宋体" w:hAnsi="宋体"/>
          <w:bCs/>
          <w:sz w:val="28"/>
          <w:szCs w:val="28"/>
          <w:highlight w:val="none"/>
        </w:rPr>
      </w:pPr>
      <w:r>
        <w:rPr>
          <w:rFonts w:hint="eastAsia" w:ascii="宋体" w:hAnsi="宋体"/>
          <w:sz w:val="28"/>
          <w:szCs w:val="28"/>
          <w:highlight w:val="none"/>
        </w:rPr>
        <w:t>（3）如果供方未能履行合同规定</w:t>
      </w:r>
      <w:r>
        <w:rPr>
          <w:rFonts w:hint="eastAsia" w:ascii="宋体" w:hAnsi="宋体"/>
          <w:bCs/>
          <w:sz w:val="28"/>
          <w:szCs w:val="28"/>
          <w:highlight w:val="none"/>
        </w:rPr>
        <w:t>的其它任何义务。</w:t>
      </w:r>
    </w:p>
    <w:p>
      <w:pPr>
        <w:pStyle w:val="41"/>
        <w:spacing w:line="500" w:lineRule="exact"/>
        <w:ind w:left="720" w:hanging="719" w:hangingChars="257"/>
        <w:jc w:val="left"/>
        <w:rPr>
          <w:rFonts w:ascii="宋体" w:hAnsi="宋体"/>
          <w:sz w:val="28"/>
          <w:szCs w:val="28"/>
          <w:highlight w:val="none"/>
        </w:rPr>
      </w:pPr>
      <w:r>
        <w:rPr>
          <w:rFonts w:hint="eastAsia" w:ascii="宋体" w:hAnsi="宋体"/>
          <w:bCs/>
          <w:sz w:val="28"/>
          <w:szCs w:val="28"/>
          <w:highlight w:val="none"/>
        </w:rPr>
        <w:t>15.2在采购人</w:t>
      </w:r>
      <w:r>
        <w:rPr>
          <w:rFonts w:hint="eastAsia" w:ascii="宋体" w:hAnsi="宋体"/>
          <w:sz w:val="28"/>
          <w:szCs w:val="28"/>
          <w:highlight w:val="none"/>
        </w:rPr>
        <w:t>根据上述第15.1条规定，终止了全部或部分合同后，采购人可以依其认为适当的条件和方法购买类似未交的货物、服务或进行工程施工，供方应对采购人购买类似货物、服务或进行工程施工所超出的费用部分负责，并继续执行合同中未终止部分。</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16．破产终止合同</w:t>
      </w:r>
    </w:p>
    <w:p>
      <w:pPr>
        <w:pStyle w:val="41"/>
        <w:spacing w:line="500" w:lineRule="exact"/>
        <w:ind w:left="720" w:hanging="719" w:hangingChars="257"/>
        <w:jc w:val="left"/>
        <w:rPr>
          <w:rFonts w:ascii="宋体" w:hAnsi="宋体"/>
          <w:bCs/>
          <w:sz w:val="28"/>
          <w:szCs w:val="28"/>
          <w:highlight w:val="none"/>
        </w:rPr>
      </w:pPr>
      <w:r>
        <w:rPr>
          <w:rFonts w:hint="eastAsia" w:ascii="宋体" w:hAnsi="宋体"/>
          <w:bCs/>
          <w:sz w:val="28"/>
          <w:szCs w:val="28"/>
          <w:highlight w:val="none"/>
        </w:rPr>
        <w:t>16.1如果供</w:t>
      </w:r>
      <w:r>
        <w:rPr>
          <w:rFonts w:hint="eastAsia" w:ascii="宋体" w:hAnsi="宋体"/>
          <w:sz w:val="28"/>
          <w:szCs w:val="28"/>
          <w:highlight w:val="none"/>
        </w:rPr>
        <w:t>方破产或无清偿能力时，采购人可在任何时候以书面形式通知供方终止合同而无须给供方补偿。终止该合同将不损害或影响采购人</w:t>
      </w:r>
      <w:r>
        <w:rPr>
          <w:rFonts w:hint="eastAsia" w:ascii="宋体" w:hAnsi="宋体"/>
          <w:bCs/>
          <w:sz w:val="28"/>
          <w:szCs w:val="28"/>
          <w:highlight w:val="none"/>
        </w:rPr>
        <w:t>已经采取或将要采取的补救措施的权利。</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17．转让</w:t>
      </w:r>
    </w:p>
    <w:p>
      <w:pPr>
        <w:pStyle w:val="41"/>
        <w:spacing w:line="500" w:lineRule="exact"/>
        <w:ind w:left="720" w:hanging="719" w:hangingChars="257"/>
        <w:jc w:val="left"/>
        <w:rPr>
          <w:rFonts w:ascii="宋体" w:hAnsi="宋体"/>
          <w:bCs/>
          <w:sz w:val="28"/>
          <w:szCs w:val="28"/>
          <w:highlight w:val="none"/>
        </w:rPr>
      </w:pPr>
      <w:r>
        <w:rPr>
          <w:rFonts w:hint="eastAsia" w:ascii="宋体" w:hAnsi="宋体"/>
          <w:bCs/>
          <w:sz w:val="28"/>
          <w:szCs w:val="28"/>
          <w:highlight w:val="none"/>
        </w:rPr>
        <w:t>17.1除采</w:t>
      </w:r>
      <w:r>
        <w:rPr>
          <w:rFonts w:hint="eastAsia" w:ascii="宋体" w:hAnsi="宋体"/>
          <w:sz w:val="28"/>
          <w:szCs w:val="28"/>
          <w:highlight w:val="none"/>
        </w:rPr>
        <w:t>购人事先书面同意外，供方不得部分转让或全部转让其应履行的合</w:t>
      </w:r>
      <w:r>
        <w:rPr>
          <w:rFonts w:hint="eastAsia" w:ascii="宋体" w:hAnsi="宋体"/>
          <w:bCs/>
          <w:sz w:val="28"/>
          <w:szCs w:val="28"/>
          <w:highlight w:val="none"/>
        </w:rPr>
        <w:t>同义务。</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18．适用法律</w:t>
      </w:r>
    </w:p>
    <w:p>
      <w:pPr>
        <w:pStyle w:val="41"/>
        <w:spacing w:line="500" w:lineRule="exact"/>
        <w:ind w:firstLine="0" w:firstLineChars="0"/>
        <w:jc w:val="left"/>
        <w:rPr>
          <w:rFonts w:ascii="宋体" w:hAnsi="宋体"/>
          <w:bCs/>
          <w:sz w:val="28"/>
          <w:szCs w:val="28"/>
          <w:highlight w:val="none"/>
        </w:rPr>
      </w:pPr>
      <w:r>
        <w:rPr>
          <w:rFonts w:hint="eastAsia" w:ascii="宋体" w:hAnsi="宋体"/>
          <w:bCs/>
          <w:sz w:val="28"/>
          <w:szCs w:val="28"/>
          <w:highlight w:val="none"/>
        </w:rPr>
        <w:t>18.1本合同应按中华人民共和国的法律进行解释。</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19．合同生效</w:t>
      </w:r>
    </w:p>
    <w:p>
      <w:pPr>
        <w:pStyle w:val="41"/>
        <w:spacing w:line="500" w:lineRule="exact"/>
        <w:ind w:firstLine="0" w:firstLineChars="0"/>
        <w:jc w:val="left"/>
        <w:rPr>
          <w:rFonts w:ascii="宋体" w:hAnsi="宋体"/>
          <w:bCs/>
          <w:sz w:val="28"/>
          <w:szCs w:val="28"/>
          <w:highlight w:val="none"/>
        </w:rPr>
      </w:pPr>
      <w:r>
        <w:rPr>
          <w:rFonts w:hint="eastAsia" w:ascii="宋体" w:hAnsi="宋体"/>
          <w:bCs/>
          <w:sz w:val="28"/>
          <w:szCs w:val="28"/>
          <w:highlight w:val="none"/>
        </w:rPr>
        <w:t>19.1合同在双方授权代表签字并盖章后生效。</w:t>
      </w:r>
    </w:p>
    <w:p>
      <w:pPr>
        <w:pStyle w:val="41"/>
        <w:spacing w:line="500" w:lineRule="exact"/>
        <w:ind w:left="720" w:hanging="719" w:hangingChars="257"/>
        <w:jc w:val="left"/>
        <w:rPr>
          <w:rFonts w:ascii="宋体" w:hAnsi="宋体"/>
          <w:sz w:val="28"/>
          <w:szCs w:val="28"/>
          <w:highlight w:val="none"/>
        </w:rPr>
      </w:pPr>
      <w:r>
        <w:rPr>
          <w:rFonts w:hint="eastAsia" w:ascii="宋体" w:hAnsi="宋体"/>
          <w:bCs/>
          <w:sz w:val="28"/>
          <w:szCs w:val="28"/>
          <w:highlight w:val="none"/>
        </w:rPr>
        <w:t>19.2本</w:t>
      </w:r>
      <w:r>
        <w:rPr>
          <w:rFonts w:hint="eastAsia" w:ascii="宋体" w:hAnsi="宋体"/>
          <w:sz w:val="28"/>
          <w:szCs w:val="28"/>
          <w:highlight w:val="none"/>
        </w:rPr>
        <w:t>合同一式四份，以中文书写，采购人、供方、采购中心、政府采购监管部门各执一份。</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20.  争议解决方式</w:t>
      </w:r>
    </w:p>
    <w:p>
      <w:pPr>
        <w:pStyle w:val="41"/>
        <w:spacing w:line="500" w:lineRule="exact"/>
        <w:ind w:firstLine="0" w:firstLineChars="0"/>
        <w:jc w:val="left"/>
        <w:rPr>
          <w:rFonts w:ascii="宋体" w:hAnsi="宋体"/>
          <w:bCs/>
          <w:sz w:val="28"/>
          <w:szCs w:val="28"/>
          <w:highlight w:val="none"/>
        </w:rPr>
      </w:pPr>
      <w:r>
        <w:rPr>
          <w:rFonts w:hint="eastAsia" w:ascii="宋体" w:hAnsi="宋体"/>
          <w:bCs/>
          <w:sz w:val="28"/>
          <w:szCs w:val="28"/>
          <w:highlight w:val="none"/>
        </w:rPr>
        <w:t>20.1 合同</w:t>
      </w:r>
      <w:r>
        <w:rPr>
          <w:rFonts w:hint="eastAsia" w:ascii="宋体" w:hAnsi="宋体"/>
          <w:sz w:val="28"/>
          <w:szCs w:val="28"/>
          <w:highlight w:val="none"/>
        </w:rPr>
        <w:t>实施或与合同有关的一切争议应通过双方协商解决。若协商不成，则向采购人所在地法院提起诉讼</w:t>
      </w:r>
      <w:r>
        <w:rPr>
          <w:rFonts w:hint="eastAsia" w:ascii="宋体" w:hAnsi="宋体"/>
          <w:bCs/>
          <w:sz w:val="28"/>
          <w:szCs w:val="28"/>
          <w:highlight w:val="none"/>
        </w:rPr>
        <w:t>。</w:t>
      </w:r>
    </w:p>
    <w:p>
      <w:pPr>
        <w:pStyle w:val="41"/>
        <w:spacing w:line="500" w:lineRule="exact"/>
        <w:ind w:firstLine="0" w:firstLineChars="0"/>
        <w:jc w:val="left"/>
        <w:rPr>
          <w:rFonts w:ascii="宋体" w:hAnsi="宋体"/>
          <w:b/>
          <w:sz w:val="28"/>
          <w:szCs w:val="28"/>
          <w:highlight w:val="none"/>
        </w:rPr>
      </w:pPr>
      <w:r>
        <w:rPr>
          <w:rFonts w:hint="eastAsia" w:ascii="宋体" w:hAnsi="宋体"/>
          <w:b/>
          <w:sz w:val="28"/>
          <w:szCs w:val="28"/>
          <w:highlight w:val="none"/>
        </w:rPr>
        <w:t>21．合同修改</w:t>
      </w:r>
    </w:p>
    <w:p>
      <w:pPr>
        <w:pStyle w:val="42"/>
        <w:jc w:val="left"/>
        <w:rPr>
          <w:rFonts w:ascii="宋体" w:hAnsi="宋体"/>
          <w:bCs/>
          <w:sz w:val="28"/>
          <w:szCs w:val="28"/>
          <w:highlight w:val="none"/>
        </w:rPr>
      </w:pPr>
      <w:r>
        <w:rPr>
          <w:rFonts w:hint="eastAsia" w:ascii="宋体" w:hAnsi="宋体"/>
          <w:bCs/>
          <w:sz w:val="28"/>
          <w:szCs w:val="28"/>
          <w:highlight w:val="none"/>
        </w:rPr>
        <w:t>21.1除双方</w:t>
      </w:r>
      <w:r>
        <w:rPr>
          <w:rFonts w:hint="eastAsia" w:ascii="宋体" w:hAnsi="宋体"/>
          <w:sz w:val="28"/>
          <w:szCs w:val="28"/>
          <w:highlight w:val="none"/>
        </w:rPr>
        <w:t>签署书面修改协议，并成为本合同不可分割的一部分的情况之外，本合同不得有任何变化或修</w:t>
      </w:r>
      <w:r>
        <w:rPr>
          <w:rFonts w:hint="eastAsia" w:ascii="宋体" w:hAnsi="宋体"/>
          <w:bCs/>
          <w:sz w:val="28"/>
          <w:szCs w:val="28"/>
          <w:highlight w:val="none"/>
        </w:rPr>
        <w:t>改。</w:t>
      </w:r>
      <w:bookmarkEnd w:id="44"/>
    </w:p>
    <w:p>
      <w:pPr>
        <w:keepNext/>
        <w:keepLines/>
        <w:spacing w:before="260" w:after="260" w:line="412" w:lineRule="auto"/>
        <w:ind w:firstLine="723" w:firstLineChars="200"/>
        <w:jc w:val="center"/>
        <w:outlineLvl w:val="1"/>
        <w:rPr>
          <w:rFonts w:eastAsia="黑体"/>
          <w:b/>
          <w:sz w:val="36"/>
          <w:szCs w:val="21"/>
          <w:highlight w:val="none"/>
        </w:rPr>
      </w:pPr>
    </w:p>
    <w:bookmarkEnd w:id="37"/>
    <w:bookmarkEnd w:id="38"/>
    <w:p>
      <w:pPr>
        <w:pStyle w:val="43"/>
        <w:spacing w:after="100" w:afterAutospacing="1"/>
        <w:jc w:val="center"/>
        <w:rPr>
          <w:rFonts w:ascii="黑体" w:hAnsi="黑体" w:eastAsia="黑体" w:cs="黑体"/>
          <w:sz w:val="40"/>
          <w:highlight w:val="none"/>
        </w:rPr>
      </w:pPr>
      <w:bookmarkStart w:id="45" w:name="EB77e84d16e8514e3d843450083f22a83d"/>
    </w:p>
    <w:p>
      <w:pPr>
        <w:pStyle w:val="43"/>
        <w:spacing w:after="100" w:afterAutospacing="1"/>
        <w:jc w:val="center"/>
        <w:rPr>
          <w:rFonts w:ascii="黑体" w:hAnsi="黑体" w:eastAsia="黑体" w:cs="黑体"/>
          <w:sz w:val="40"/>
          <w:highlight w:val="none"/>
        </w:rPr>
      </w:pPr>
      <w:r>
        <w:rPr>
          <w:rFonts w:hint="eastAsia" w:ascii="黑体" w:hAnsi="黑体" w:eastAsia="黑体" w:cs="黑体"/>
          <w:sz w:val="40"/>
          <w:highlight w:val="none"/>
        </w:rPr>
        <w:t>第六章 竞争性磋商响应文件格式</w:t>
      </w:r>
    </w:p>
    <w:p>
      <w:pPr>
        <w:pStyle w:val="43"/>
        <w:spacing w:after="100" w:afterAutospacing="1"/>
        <w:jc w:val="center"/>
        <w:rPr>
          <w:highlight w:val="none"/>
        </w:rPr>
      </w:pPr>
      <w:r>
        <w:rPr>
          <w:rFonts w:ascii="黑体" w:hAnsi="黑体" w:eastAsia="黑体" w:cs="黑体"/>
          <w:sz w:val="40"/>
          <w:highlight w:val="none"/>
        </w:rPr>
        <w:t>目  录</w:t>
      </w:r>
    </w:p>
    <w:bookmarkEnd w:id="45"/>
    <w:p>
      <w:pPr>
        <w:pStyle w:val="44"/>
        <w:spacing w:after="100" w:afterAutospacing="1"/>
        <w:rPr>
          <w:b/>
          <w:bCs/>
          <w:highlight w:val="none"/>
        </w:rPr>
      </w:pPr>
      <w:bookmarkStart w:id="46" w:name="EB0b02c6c867bf45769a26e1ab0d4ac387"/>
      <w:bookmarkStart w:id="47" w:name="_Toc257633148"/>
      <w:r>
        <w:rPr>
          <w:rFonts w:ascii="宋体" w:hAnsi="宋体" w:eastAsia="宋体" w:cs="宋体"/>
          <w:b/>
          <w:bCs/>
          <w:highlight w:val="none"/>
        </w:rPr>
        <w:t>一</w:t>
      </w:r>
      <w:r>
        <w:rPr>
          <w:rFonts w:hint="eastAsia" w:ascii="宋体" w:hAnsi="宋体" w:eastAsia="宋体" w:cs="宋体"/>
          <w:b/>
          <w:bCs/>
          <w:highlight w:val="none"/>
        </w:rPr>
        <w:t>、</w:t>
      </w:r>
      <w:r>
        <w:rPr>
          <w:rFonts w:ascii="宋体" w:hAnsi="宋体" w:eastAsia="宋体" w:cs="宋体"/>
          <w:b/>
          <w:bCs/>
          <w:highlight w:val="none"/>
        </w:rPr>
        <w:t>投标文件封面</w:t>
      </w:r>
    </w:p>
    <w:p>
      <w:pPr>
        <w:pStyle w:val="44"/>
        <w:spacing w:after="100" w:afterAutospacing="1"/>
        <w:rPr>
          <w:rFonts w:ascii="宋体" w:hAnsi="宋体" w:eastAsia="宋体" w:cs="宋体"/>
          <w:b/>
          <w:bCs/>
          <w:highlight w:val="none"/>
        </w:rPr>
      </w:pPr>
      <w:r>
        <w:rPr>
          <w:rFonts w:hint="eastAsia" w:ascii="宋体" w:hAnsi="宋体" w:eastAsia="宋体" w:cs="宋体"/>
          <w:b/>
          <w:bCs/>
          <w:highlight w:val="none"/>
        </w:rPr>
        <w:t>二、资格审查资料</w:t>
      </w:r>
      <w:r>
        <w:rPr>
          <w:rFonts w:hint="eastAsia" w:ascii="宋体" w:hAnsi="宋体" w:eastAsia="宋体" w:cs="宋体"/>
          <w:b/>
          <w:bCs/>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（一）营业执照、组织机构代码证、税务登记证</w:t>
      </w:r>
    </w:p>
    <w:p>
      <w:pPr>
        <w:pStyle w:val="44"/>
        <w:spacing w:after="100" w:afterAutospacing="1"/>
        <w:rPr>
          <w:rFonts w:ascii="宋体" w:hAnsi="宋体" w:eastAsia="宋体" w:cs="宋体"/>
          <w:highlight w:val="none"/>
        </w:rPr>
      </w:pPr>
      <w:r>
        <w:rPr>
          <w:rFonts w:hint="eastAsia" w:ascii="宋体" w:hAnsi="宋体" w:eastAsia="宋体" w:cs="宋体"/>
          <w:highlight w:val="none"/>
        </w:rPr>
        <w:t>（二）其他声明及文件材料</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（三）不参与围标串标承诺书</w:t>
      </w:r>
      <w:r>
        <w:rPr>
          <w:rFonts w:hint="eastAsia" w:ascii="宋体" w:hAnsi="宋体" w:eastAsia="宋体" w:cs="宋体"/>
          <w:highlight w:val="none"/>
        </w:rPr>
        <w:tab/>
      </w:r>
    </w:p>
    <w:p>
      <w:pPr>
        <w:pStyle w:val="44"/>
        <w:spacing w:after="100" w:afterAutospacing="1"/>
        <w:rPr>
          <w:rFonts w:ascii="宋体" w:hAnsi="宋体" w:eastAsia="宋体" w:cs="宋体"/>
          <w:b/>
          <w:bCs/>
          <w:highlight w:val="none"/>
        </w:rPr>
      </w:pPr>
      <w:r>
        <w:rPr>
          <w:rFonts w:hint="eastAsia" w:ascii="宋体" w:hAnsi="宋体" w:eastAsia="宋体" w:cs="宋体"/>
          <w:b/>
          <w:bCs/>
          <w:highlight w:val="none"/>
        </w:rPr>
        <w:t>三、商务文件</w:t>
      </w:r>
      <w:r>
        <w:rPr>
          <w:rFonts w:hint="eastAsia" w:ascii="宋体" w:hAnsi="宋体" w:eastAsia="宋体" w:cs="宋体"/>
          <w:b/>
          <w:bCs/>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（一）竞争性磋商函</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（二）开标一览表</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（三）竞争性磋商报价明细表</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（四）投标货物、服务清单</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（五）供应商类似项目业绩</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（六）项目负责人类似项目业绩</w:t>
      </w:r>
    </w:p>
    <w:p>
      <w:pPr>
        <w:pStyle w:val="44"/>
        <w:spacing w:after="100" w:afterAutospacing="1"/>
        <w:rPr>
          <w:rFonts w:ascii="宋体" w:hAnsi="宋体" w:eastAsia="宋体" w:cs="宋体"/>
          <w:highlight w:val="none"/>
        </w:rPr>
      </w:pPr>
      <w:r>
        <w:rPr>
          <w:rFonts w:hint="eastAsia" w:ascii="宋体" w:hAnsi="宋体" w:eastAsia="宋体" w:cs="宋体"/>
          <w:highlight w:val="none"/>
        </w:rPr>
        <w:t>（七）人员配备</w:t>
      </w:r>
      <w:r>
        <w:rPr>
          <w:rFonts w:hint="eastAsia" w:ascii="宋体" w:hAnsi="宋体" w:eastAsia="宋体" w:cs="宋体"/>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（八）法定授权人委托书</w:t>
      </w:r>
    </w:p>
    <w:p>
      <w:pPr>
        <w:pStyle w:val="44"/>
        <w:spacing w:after="100" w:afterAutospacing="1"/>
        <w:rPr>
          <w:rFonts w:ascii="宋体" w:hAnsi="宋体" w:eastAsia="宋体" w:cs="宋体"/>
          <w:highlight w:val="none"/>
        </w:rPr>
      </w:pPr>
      <w:r>
        <w:rPr>
          <w:rFonts w:hint="eastAsia" w:ascii="宋体" w:hAnsi="宋体" w:eastAsia="宋体" w:cs="宋体"/>
          <w:highlight w:val="none"/>
        </w:rPr>
        <w:t>（九）商务评议对照表</w:t>
      </w:r>
      <w:r>
        <w:rPr>
          <w:rFonts w:hint="eastAsia" w:ascii="宋体" w:hAnsi="宋体" w:eastAsia="宋体" w:cs="宋体"/>
          <w:highlight w:val="none"/>
        </w:rPr>
        <w:tab/>
      </w:r>
    </w:p>
    <w:p>
      <w:pPr>
        <w:pStyle w:val="44"/>
        <w:spacing w:after="100" w:afterAutospacing="1"/>
        <w:rPr>
          <w:rFonts w:ascii="宋体" w:hAnsi="宋体" w:eastAsia="宋体" w:cs="宋体"/>
          <w:b/>
          <w:bCs/>
          <w:highlight w:val="none"/>
        </w:rPr>
      </w:pPr>
      <w:r>
        <w:rPr>
          <w:rFonts w:hint="eastAsia" w:ascii="宋体" w:hAnsi="宋体" w:eastAsia="宋体" w:cs="宋体"/>
          <w:b/>
          <w:bCs/>
          <w:highlight w:val="none"/>
        </w:rPr>
        <w:t>四、技术文件组成</w:t>
      </w:r>
      <w:r>
        <w:rPr>
          <w:rFonts w:hint="eastAsia" w:ascii="宋体" w:hAnsi="宋体" w:eastAsia="宋体" w:cs="宋体"/>
          <w:b/>
          <w:bCs/>
          <w:highlight w:val="none"/>
        </w:rPr>
        <w:tab/>
      </w:r>
    </w:p>
    <w:p>
      <w:pPr>
        <w:pStyle w:val="44"/>
        <w:spacing w:after="100" w:afterAutospacing="1"/>
        <w:rPr>
          <w:rFonts w:ascii="宋体" w:hAnsi="宋体" w:eastAsia="宋体" w:cs="宋体"/>
          <w:highlight w:val="none"/>
        </w:rPr>
      </w:pPr>
      <w:r>
        <w:rPr>
          <w:rFonts w:hint="eastAsia" w:ascii="宋体" w:hAnsi="宋体" w:eastAsia="宋体" w:cs="宋体"/>
          <w:highlight w:val="none"/>
        </w:rPr>
        <w:t>（一）技术标</w:t>
      </w:r>
    </w:p>
    <w:p>
      <w:pPr>
        <w:pStyle w:val="44"/>
        <w:spacing w:after="100" w:afterAutospacing="1"/>
        <w:rPr>
          <w:rFonts w:ascii="宋体" w:hAnsi="宋体" w:eastAsia="宋体" w:cs="宋体"/>
          <w:highlight w:val="none"/>
        </w:rPr>
      </w:pPr>
      <w:r>
        <w:rPr>
          <w:rFonts w:hint="eastAsia" w:ascii="宋体" w:hAnsi="宋体" w:eastAsia="宋体" w:cs="宋体"/>
          <w:highlight w:val="none"/>
        </w:rPr>
        <w:t>（二）技术评议对照表</w:t>
      </w:r>
      <w:r>
        <w:rPr>
          <w:rFonts w:hint="eastAsia" w:ascii="宋体" w:hAnsi="宋体" w:eastAsia="宋体" w:cs="宋体"/>
          <w:highlight w:val="none"/>
        </w:rPr>
        <w:tab/>
      </w:r>
    </w:p>
    <w:p>
      <w:pPr>
        <w:pStyle w:val="44"/>
        <w:spacing w:after="100" w:afterAutospacing="1"/>
        <w:rPr>
          <w:b/>
          <w:bCs/>
          <w:highlight w:val="none"/>
        </w:rPr>
      </w:pPr>
      <w:r>
        <w:rPr>
          <w:rFonts w:hint="eastAsia" w:ascii="宋体" w:hAnsi="宋体" w:eastAsia="宋体" w:cs="宋体"/>
          <w:b/>
          <w:bCs/>
          <w:highlight w:val="none"/>
        </w:rPr>
        <w:t>五、其他材料</w:t>
      </w:r>
      <w:r>
        <w:rPr>
          <w:rFonts w:hint="eastAsia" w:ascii="宋体" w:hAnsi="宋体" w:eastAsia="宋体" w:cs="宋体"/>
          <w:b/>
          <w:bCs/>
          <w:highlight w:val="none"/>
        </w:rPr>
        <w:tab/>
      </w:r>
    </w:p>
    <w:p>
      <w:pPr>
        <w:pStyle w:val="45"/>
        <w:outlineLvl w:val="1"/>
        <w:rPr>
          <w:highlight w:val="none"/>
        </w:rPr>
      </w:pPr>
      <w:r>
        <w:rPr>
          <w:highlight w:val="none"/>
        </w:rPr>
        <w:br w:type="page"/>
      </w:r>
      <w:r>
        <w:rPr>
          <w:highlight w:val="none"/>
        </w:rPr>
        <w:t>一、投标文件格式</w:t>
      </w:r>
    </w:p>
    <w:p>
      <w:pPr>
        <w:pStyle w:val="46"/>
        <w:outlineLvl w:val="2"/>
        <w:rPr>
          <w:highlight w:val="none"/>
        </w:rPr>
      </w:pPr>
      <w:r>
        <w:rPr>
          <w:highlight w:val="none"/>
        </w:rPr>
        <w:t>一、投标文件封面</w:t>
      </w:r>
    </w:p>
    <w:p>
      <w:pPr>
        <w:pStyle w:val="42"/>
        <w:spacing w:line="360" w:lineRule="auto"/>
        <w:jc w:val="center"/>
        <w:rPr>
          <w:rFonts w:ascii="宋体" w:hAnsi="宋体"/>
          <w:sz w:val="24"/>
          <w:highlight w:val="none"/>
        </w:rPr>
      </w:pPr>
    </w:p>
    <w:p>
      <w:pPr>
        <w:pStyle w:val="42"/>
        <w:spacing w:line="360" w:lineRule="auto"/>
        <w:rPr>
          <w:rFonts w:ascii="宋体" w:hAnsi="宋体"/>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（项目名称）</w:t>
      </w:r>
    </w:p>
    <w:p>
      <w:pPr>
        <w:pStyle w:val="42"/>
        <w:spacing w:line="360" w:lineRule="auto"/>
        <w:jc w:val="center"/>
        <w:rPr>
          <w:rFonts w:ascii="宋体" w:hAnsi="宋体"/>
          <w:sz w:val="28"/>
          <w:szCs w:val="28"/>
          <w:highlight w:val="none"/>
        </w:rPr>
      </w:pPr>
    </w:p>
    <w:p>
      <w:pPr>
        <w:pStyle w:val="42"/>
        <w:spacing w:line="360" w:lineRule="auto"/>
        <w:rPr>
          <w:rFonts w:ascii="宋体" w:hAnsi="宋体"/>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（项目编号）</w:t>
      </w:r>
    </w:p>
    <w:p>
      <w:pPr>
        <w:pStyle w:val="42"/>
        <w:spacing w:line="360" w:lineRule="auto"/>
        <w:jc w:val="center"/>
        <w:rPr>
          <w:rFonts w:ascii="宋体" w:hAnsi="宋体"/>
          <w:sz w:val="28"/>
          <w:szCs w:val="28"/>
          <w:highlight w:val="none"/>
        </w:rPr>
      </w:pPr>
    </w:p>
    <w:p>
      <w:pPr>
        <w:pStyle w:val="42"/>
        <w:spacing w:line="360" w:lineRule="auto"/>
        <w:rPr>
          <w:rFonts w:ascii="宋体" w:hAnsi="宋体"/>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（包号）</w:t>
      </w:r>
    </w:p>
    <w:p>
      <w:pPr>
        <w:pStyle w:val="42"/>
        <w:spacing w:line="360" w:lineRule="auto"/>
        <w:jc w:val="center"/>
        <w:rPr>
          <w:rFonts w:ascii="宋体" w:hAnsi="宋体"/>
          <w:sz w:val="24"/>
          <w:highlight w:val="none"/>
        </w:rPr>
      </w:pPr>
    </w:p>
    <w:p>
      <w:pPr>
        <w:pStyle w:val="42"/>
        <w:spacing w:line="360" w:lineRule="auto"/>
        <w:jc w:val="center"/>
        <w:rPr>
          <w:rFonts w:ascii="宋体" w:hAnsi="宋体"/>
          <w:sz w:val="24"/>
          <w:highlight w:val="none"/>
        </w:rPr>
      </w:pPr>
    </w:p>
    <w:p>
      <w:pPr>
        <w:pStyle w:val="42"/>
        <w:spacing w:line="360" w:lineRule="auto"/>
        <w:jc w:val="center"/>
        <w:rPr>
          <w:rFonts w:eastAsia="黑体"/>
          <w:b/>
          <w:sz w:val="72"/>
          <w:szCs w:val="72"/>
          <w:highlight w:val="none"/>
        </w:rPr>
      </w:pPr>
      <w:r>
        <w:rPr>
          <w:rFonts w:hint="eastAsia" w:eastAsia="黑体"/>
          <w:b/>
          <w:sz w:val="72"/>
          <w:szCs w:val="72"/>
          <w:highlight w:val="none"/>
        </w:rPr>
        <w:t>响应文件</w:t>
      </w:r>
    </w:p>
    <w:p>
      <w:pPr>
        <w:pStyle w:val="42"/>
        <w:spacing w:line="360" w:lineRule="auto"/>
        <w:jc w:val="center"/>
        <w:rPr>
          <w:rFonts w:ascii="宋体" w:hAnsi="宋体"/>
          <w:sz w:val="24"/>
          <w:highlight w:val="none"/>
        </w:rPr>
      </w:pPr>
    </w:p>
    <w:p>
      <w:pPr>
        <w:pStyle w:val="42"/>
        <w:spacing w:line="360" w:lineRule="auto"/>
        <w:rPr>
          <w:rFonts w:ascii="宋体" w:hAnsi="宋体"/>
          <w:b/>
          <w:sz w:val="24"/>
          <w:highlight w:val="none"/>
        </w:rPr>
      </w:pPr>
    </w:p>
    <w:p>
      <w:pPr>
        <w:pStyle w:val="42"/>
        <w:spacing w:line="360" w:lineRule="auto"/>
        <w:jc w:val="center"/>
        <w:rPr>
          <w:rFonts w:ascii="宋体" w:hAnsi="宋体"/>
          <w:b/>
          <w:sz w:val="24"/>
          <w:highlight w:val="none"/>
        </w:rPr>
      </w:pPr>
    </w:p>
    <w:p>
      <w:pPr>
        <w:pStyle w:val="42"/>
        <w:spacing w:line="360" w:lineRule="auto"/>
        <w:jc w:val="center"/>
        <w:rPr>
          <w:rFonts w:ascii="宋体" w:hAnsi="宋体"/>
          <w:b/>
          <w:sz w:val="24"/>
          <w:highlight w:val="none"/>
        </w:rPr>
      </w:pPr>
    </w:p>
    <w:p>
      <w:pPr>
        <w:pStyle w:val="42"/>
        <w:spacing w:line="360" w:lineRule="auto"/>
        <w:jc w:val="center"/>
        <w:rPr>
          <w:rFonts w:ascii="宋体" w:hAnsi="宋体"/>
          <w:sz w:val="28"/>
          <w:szCs w:val="28"/>
          <w:highlight w:val="none"/>
          <w:u w:val="single"/>
        </w:rPr>
      </w:pPr>
      <w:r>
        <w:rPr>
          <w:rFonts w:hint="eastAsia" w:ascii="宋体" w:hAnsi="宋体"/>
          <w:sz w:val="28"/>
          <w:szCs w:val="28"/>
          <w:highlight w:val="none"/>
        </w:rPr>
        <w:t>投标人</w:t>
      </w:r>
      <w:r>
        <w:rPr>
          <w:rFonts w:hint="eastAsia" w:ascii="宋体" w:hAnsi="宋体"/>
          <w:sz w:val="28"/>
          <w:szCs w:val="28"/>
          <w:highlight w:val="none"/>
          <w:u w:val="single"/>
        </w:rPr>
        <w:t xml:space="preserve">                       </w:t>
      </w:r>
      <w:r>
        <w:rPr>
          <w:rFonts w:hint="eastAsia" w:ascii="宋体" w:hAnsi="宋体"/>
          <w:sz w:val="28"/>
          <w:szCs w:val="28"/>
          <w:highlight w:val="none"/>
        </w:rPr>
        <w:t>（电子签章）</w:t>
      </w:r>
    </w:p>
    <w:p>
      <w:pPr>
        <w:pStyle w:val="42"/>
        <w:spacing w:line="360" w:lineRule="auto"/>
        <w:jc w:val="center"/>
        <w:rPr>
          <w:rFonts w:ascii="宋体" w:hAnsi="宋体"/>
          <w:sz w:val="28"/>
          <w:szCs w:val="28"/>
          <w:highlight w:val="none"/>
        </w:rPr>
      </w:pPr>
      <w:r>
        <w:rPr>
          <w:rFonts w:hint="eastAsia" w:ascii="宋体" w:hAnsi="宋体"/>
          <w:sz w:val="28"/>
          <w:szCs w:val="28"/>
          <w:highlight w:val="none"/>
        </w:rPr>
        <w:t>法定代表人</w:t>
      </w:r>
      <w:r>
        <w:rPr>
          <w:rFonts w:hint="eastAsia" w:ascii="宋体" w:hAnsi="宋体"/>
          <w:sz w:val="28"/>
          <w:szCs w:val="28"/>
          <w:highlight w:val="none"/>
          <w:u w:val="single"/>
        </w:rPr>
        <w:t xml:space="preserve">                    </w:t>
      </w:r>
      <w:r>
        <w:rPr>
          <w:rFonts w:hint="eastAsia" w:ascii="宋体" w:hAnsi="宋体"/>
          <w:sz w:val="28"/>
          <w:szCs w:val="28"/>
          <w:highlight w:val="none"/>
        </w:rPr>
        <w:t>（电子签名）</w:t>
      </w:r>
    </w:p>
    <w:p>
      <w:pPr>
        <w:pStyle w:val="42"/>
        <w:spacing w:line="360" w:lineRule="auto"/>
        <w:jc w:val="center"/>
        <w:rPr>
          <w:rFonts w:ascii="宋体" w:hAnsi="宋体"/>
          <w:sz w:val="28"/>
          <w:szCs w:val="28"/>
          <w:highlight w:val="none"/>
        </w:rPr>
      </w:pPr>
      <w:r>
        <w:rPr>
          <w:rFonts w:hint="eastAsia" w:ascii="宋体" w:hAnsi="宋体"/>
          <w:sz w:val="28"/>
          <w:szCs w:val="28"/>
          <w:highlight w:val="none"/>
        </w:rPr>
        <w:t>日期</w:t>
      </w:r>
      <w:r>
        <w:rPr>
          <w:rFonts w:hint="eastAsia" w:ascii="宋体" w:hAnsi="宋体"/>
          <w:sz w:val="28"/>
          <w:szCs w:val="28"/>
          <w:highlight w:val="none"/>
          <w:u w:val="single"/>
        </w:rPr>
        <w:t xml:space="preserve">                   </w:t>
      </w:r>
      <w:r>
        <w:rPr>
          <w:rFonts w:hint="eastAsia" w:ascii="宋体" w:hAnsi="宋体"/>
          <w:sz w:val="28"/>
          <w:szCs w:val="28"/>
          <w:highlight w:val="none"/>
        </w:rPr>
        <w:t>（年/月/日）</w:t>
      </w:r>
    </w:p>
    <w:p>
      <w:pPr>
        <w:pStyle w:val="47"/>
        <w:outlineLvl w:val="1"/>
        <w:rPr>
          <w:highlight w:val="none"/>
        </w:rPr>
      </w:pPr>
      <w:r>
        <w:rPr>
          <w:highlight w:val="none"/>
        </w:rPr>
        <w:br w:type="page"/>
      </w:r>
      <w:r>
        <w:rPr>
          <w:highlight w:val="none"/>
        </w:rPr>
        <w:t>二、资格审查资料</w:t>
      </w:r>
    </w:p>
    <w:p>
      <w:pPr>
        <w:pStyle w:val="48"/>
        <w:outlineLvl w:val="2"/>
        <w:rPr>
          <w:highlight w:val="none"/>
        </w:rPr>
      </w:pPr>
      <w:r>
        <w:rPr>
          <w:rFonts w:hint="eastAsia"/>
          <w:highlight w:val="none"/>
        </w:rPr>
        <w:t>（一）</w:t>
      </w:r>
      <w:r>
        <w:rPr>
          <w:highlight w:val="none"/>
        </w:rPr>
        <w:t>营业执照、组织机构代码证、税务登记证</w:t>
      </w:r>
    </w:p>
    <w:p>
      <w:pPr>
        <w:pStyle w:val="49"/>
        <w:ind w:firstLine="560" w:firstLineChars="200"/>
        <w:rPr>
          <w:rFonts w:ascii="宋体" w:hAnsi="宋体"/>
          <w:highlight w:val="none"/>
        </w:rPr>
      </w:pPr>
      <w:r>
        <w:rPr>
          <w:rFonts w:hint="eastAsia" w:ascii="宋体" w:hAnsi="宋体"/>
          <w:highlight w:val="none"/>
        </w:rPr>
        <w:t>说明：此处上传营业执照、组织机构代码证、税务登记证，如三证合一，只需要导入营业执照即可。</w:t>
      </w:r>
    </w:p>
    <w:p>
      <w:pPr>
        <w:pStyle w:val="50"/>
        <w:tabs>
          <w:tab w:val="left" w:pos="8786"/>
        </w:tabs>
        <w:spacing w:after="0" w:line="360" w:lineRule="auto"/>
        <w:rPr>
          <w:rFonts w:ascii="宋体" w:hAnsi="宋体"/>
          <w:sz w:val="24"/>
          <w:highlight w:val="none"/>
        </w:rPr>
      </w:pPr>
    </w:p>
    <w:p>
      <w:pPr>
        <w:pStyle w:val="52"/>
        <w:outlineLvl w:val="2"/>
        <w:rPr>
          <w:highlight w:val="none"/>
        </w:rPr>
      </w:pPr>
      <w:r>
        <w:rPr>
          <w:highlight w:val="none"/>
        </w:rPr>
        <w:br w:type="page"/>
      </w:r>
      <w:bookmarkStart w:id="48" w:name="_Toc256000027"/>
      <w:r>
        <w:rPr>
          <w:rFonts w:hint="eastAsia"/>
          <w:highlight w:val="none"/>
        </w:rPr>
        <w:t>（二）</w:t>
      </w:r>
      <w:r>
        <w:rPr>
          <w:highlight w:val="none"/>
        </w:rPr>
        <w:t>其他声明及文件材料</w:t>
      </w:r>
      <w:bookmarkEnd w:id="48"/>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2"/>
        <w:outlineLvl w:val="2"/>
        <w:rPr>
          <w:highlight w:val="none"/>
        </w:rPr>
      </w:pPr>
    </w:p>
    <w:p>
      <w:pPr>
        <w:pStyle w:val="55"/>
        <w:outlineLvl w:val="2"/>
        <w:rPr>
          <w:highlight w:val="none"/>
        </w:rPr>
      </w:pPr>
      <w:bookmarkStart w:id="49" w:name="_Toc256000028"/>
      <w:r>
        <w:rPr>
          <w:rFonts w:hint="eastAsia"/>
          <w:highlight w:val="none"/>
        </w:rPr>
        <w:t>（三）</w:t>
      </w:r>
      <w:r>
        <w:rPr>
          <w:highlight w:val="none"/>
        </w:rPr>
        <w:t>不参与围标串标承诺书</w:t>
      </w:r>
      <w:bookmarkEnd w:id="49"/>
    </w:p>
    <w:p>
      <w:pPr>
        <w:pStyle w:val="56"/>
        <w:spacing w:line="6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本人作为</w:t>
      </w:r>
      <w:r>
        <w:rPr>
          <w:rFonts w:hint="eastAsia" w:ascii="仿宋" w:hAnsi="仿宋" w:eastAsia="仿宋" w:cs="仿宋"/>
          <w:sz w:val="24"/>
          <w:highlight w:val="none"/>
          <w:u w:val="single"/>
        </w:rPr>
        <w:t xml:space="preserve">（单位名称）                    </w:t>
      </w:r>
      <w:r>
        <w:rPr>
          <w:rFonts w:hint="eastAsia" w:ascii="仿宋" w:hAnsi="仿宋" w:eastAsia="仿宋" w:cs="仿宋"/>
          <w:sz w:val="24"/>
          <w:highlight w:val="none"/>
        </w:rPr>
        <w:t>的法人，清楚知晓我公司本项目投标活动，对以下事项作出承诺：</w:t>
      </w:r>
    </w:p>
    <w:p>
      <w:pPr>
        <w:pStyle w:val="56"/>
        <w:spacing w:line="6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一、我单位遵循公开、公平、公正、诚实守信的原则，依法依规参与本项目竞标。</w:t>
      </w:r>
    </w:p>
    <w:p>
      <w:pPr>
        <w:pStyle w:val="56"/>
        <w:spacing w:line="64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二、我单位在本项目采购投标活动中，未参与围标串标。</w:t>
      </w:r>
    </w:p>
    <w:p>
      <w:pPr>
        <w:pStyle w:val="56"/>
        <w:spacing w:line="640" w:lineRule="exact"/>
        <w:ind w:firstLine="480" w:firstLineChars="200"/>
        <w:rPr>
          <w:rFonts w:ascii="仿宋_GB2312" w:hAnsi="华文中宋" w:eastAsia="仿宋_GB2312"/>
          <w:b/>
          <w:sz w:val="24"/>
          <w:highlight w:val="none"/>
        </w:rPr>
      </w:pPr>
      <w:r>
        <w:rPr>
          <w:rFonts w:hint="eastAsia" w:ascii="仿宋" w:hAnsi="仿宋" w:eastAsia="仿宋" w:cs="仿宋"/>
          <w:sz w:val="24"/>
          <w:highlight w:val="none"/>
        </w:rPr>
        <w:t>三、我单位如被查实在本项目采购投标活动中存在围标串标的，递交投标文件行为作为实施串通投标违法行为的关键环节，本人承担直接责任人员法律责任，接受相应行政处罚和失信惩戒。</w:t>
      </w:r>
    </w:p>
    <w:p>
      <w:pPr>
        <w:pStyle w:val="56"/>
        <w:spacing w:line="640" w:lineRule="exact"/>
        <w:jc w:val="left"/>
        <w:rPr>
          <w:rFonts w:ascii="仿宋" w:hAnsi="仿宋" w:eastAsia="仿宋"/>
          <w:sz w:val="24"/>
          <w:highlight w:val="none"/>
        </w:rPr>
      </w:pPr>
      <w:r>
        <w:rPr>
          <w:rFonts w:hint="eastAsia" w:ascii="仿宋" w:hAnsi="仿宋" w:eastAsia="仿宋"/>
          <w:sz w:val="24"/>
          <w:highlight w:val="none"/>
        </w:rPr>
        <w:t>项目编号</w:t>
      </w:r>
      <w:r>
        <w:rPr>
          <w:rFonts w:ascii="仿宋" w:hAnsi="仿宋" w:eastAsia="仿宋"/>
          <w:sz w:val="24"/>
          <w:highlight w:val="none"/>
        </w:rPr>
        <w:t xml:space="preserve">：    </w:t>
      </w:r>
    </w:p>
    <w:p>
      <w:pPr>
        <w:pStyle w:val="56"/>
        <w:spacing w:line="640" w:lineRule="exact"/>
        <w:jc w:val="left"/>
        <w:rPr>
          <w:rFonts w:ascii="仿宋" w:hAnsi="仿宋" w:eastAsia="仿宋"/>
          <w:sz w:val="24"/>
          <w:highlight w:val="none"/>
        </w:rPr>
      </w:pPr>
      <w:r>
        <w:rPr>
          <w:rFonts w:ascii="仿宋" w:hAnsi="仿宋" w:eastAsia="仿宋"/>
          <w:sz w:val="24"/>
          <w:highlight w:val="none"/>
        </w:rPr>
        <w:t>标段号：</w:t>
      </w:r>
      <w:r>
        <w:rPr>
          <w:rFonts w:hint="eastAsia" w:ascii="仿宋" w:hAnsi="仿宋" w:eastAsia="仿宋"/>
          <w:sz w:val="24"/>
          <w:highlight w:val="none"/>
        </w:rPr>
        <w:t xml:space="preserve">    </w:t>
      </w:r>
    </w:p>
    <w:p>
      <w:pPr>
        <w:pStyle w:val="56"/>
        <w:spacing w:line="640" w:lineRule="exact"/>
        <w:jc w:val="left"/>
        <w:rPr>
          <w:rFonts w:ascii="仿宋_GB2312" w:hAnsi="华文中宋" w:eastAsia="仿宋_GB2312"/>
          <w:sz w:val="24"/>
          <w:highlight w:val="none"/>
        </w:rPr>
      </w:pPr>
      <w:r>
        <w:rPr>
          <w:rFonts w:hint="eastAsia" w:ascii="仿宋_GB2312" w:hAnsi="华文中宋" w:eastAsia="仿宋_GB2312"/>
          <w:sz w:val="24"/>
          <w:highlight w:val="none"/>
        </w:rPr>
        <w:t>供应商单位名称：</w:t>
      </w:r>
    </w:p>
    <w:p>
      <w:pPr>
        <w:pStyle w:val="56"/>
        <w:spacing w:line="640" w:lineRule="exact"/>
        <w:jc w:val="left"/>
        <w:rPr>
          <w:rFonts w:ascii="仿宋_GB2312" w:hAnsi="华文中宋" w:eastAsia="仿宋_GB2312"/>
          <w:sz w:val="24"/>
          <w:highlight w:val="none"/>
        </w:rPr>
      </w:pPr>
      <w:r>
        <w:rPr>
          <w:rFonts w:hint="eastAsia" w:ascii="仿宋_GB2312" w:hAnsi="华文中宋" w:eastAsia="仿宋_GB2312"/>
          <w:sz w:val="24"/>
          <w:highlight w:val="none"/>
        </w:rPr>
        <w:t>供应商法人签名：</w:t>
      </w:r>
    </w:p>
    <w:p>
      <w:pPr>
        <w:pStyle w:val="56"/>
        <w:spacing w:line="640" w:lineRule="exact"/>
        <w:jc w:val="left"/>
        <w:rPr>
          <w:rFonts w:ascii="仿宋_GB2312" w:hAnsi="华文中宋" w:eastAsia="仿宋_GB2312"/>
          <w:sz w:val="24"/>
          <w:highlight w:val="none"/>
        </w:rPr>
      </w:pPr>
      <w:r>
        <w:rPr>
          <w:rFonts w:hint="eastAsia" w:ascii="仿宋_GB2312" w:hAnsi="华文中宋" w:eastAsia="仿宋_GB2312"/>
          <w:sz w:val="24"/>
          <w:highlight w:val="none"/>
        </w:rPr>
        <w:t xml:space="preserve">                                  </w:t>
      </w:r>
    </w:p>
    <w:p>
      <w:pPr>
        <w:pStyle w:val="56"/>
        <w:spacing w:line="640" w:lineRule="exact"/>
        <w:jc w:val="left"/>
        <w:rPr>
          <w:rFonts w:ascii="仿宋_GB2312" w:hAnsi="华文中宋" w:eastAsia="仿宋_GB2312"/>
          <w:sz w:val="24"/>
          <w:highlight w:val="none"/>
        </w:rPr>
      </w:pPr>
    </w:p>
    <w:p>
      <w:pPr>
        <w:pStyle w:val="56"/>
        <w:spacing w:line="640" w:lineRule="exact"/>
        <w:ind w:firstLine="4080" w:firstLineChars="1700"/>
        <w:jc w:val="left"/>
        <w:rPr>
          <w:rFonts w:ascii="仿宋_GB2312" w:hAnsi="华文中宋" w:eastAsia="仿宋_GB2312"/>
          <w:sz w:val="24"/>
          <w:highlight w:val="none"/>
        </w:rPr>
      </w:pPr>
      <w:r>
        <w:rPr>
          <w:rFonts w:hint="eastAsia" w:ascii="仿宋_GB2312" w:hAnsi="华文中宋" w:eastAsia="仿宋_GB2312"/>
          <w:sz w:val="24"/>
          <w:highlight w:val="none"/>
        </w:rPr>
        <w:t xml:space="preserve">      盖  章</w:t>
      </w:r>
    </w:p>
    <w:p>
      <w:pPr>
        <w:pStyle w:val="56"/>
        <w:spacing w:line="640" w:lineRule="exact"/>
        <w:ind w:firstLine="4320" w:firstLineChars="1800"/>
        <w:jc w:val="left"/>
        <w:rPr>
          <w:rFonts w:ascii="仿宋_GB2312" w:hAnsi="华文中宋" w:eastAsia="仿宋_GB2312"/>
          <w:sz w:val="24"/>
          <w:highlight w:val="none"/>
        </w:rPr>
      </w:pPr>
      <w:r>
        <w:rPr>
          <w:rFonts w:hint="eastAsia" w:ascii="仿宋_GB2312" w:hAnsi="华文中宋" w:eastAsia="仿宋_GB2312"/>
          <w:sz w:val="24"/>
          <w:highlight w:val="none"/>
        </w:rPr>
        <w:t xml:space="preserve"> 年   月   日</w:t>
      </w:r>
    </w:p>
    <w:p>
      <w:pPr>
        <w:pStyle w:val="57"/>
        <w:outlineLvl w:val="1"/>
        <w:rPr>
          <w:highlight w:val="none"/>
        </w:rPr>
      </w:pPr>
      <w:r>
        <w:rPr>
          <w:highlight w:val="none"/>
        </w:rPr>
        <w:br w:type="page"/>
      </w:r>
      <w:bookmarkStart w:id="50" w:name="_Toc256000029"/>
      <w:r>
        <w:rPr>
          <w:rFonts w:hint="eastAsia"/>
          <w:highlight w:val="none"/>
        </w:rPr>
        <w:t>三</w:t>
      </w:r>
      <w:r>
        <w:rPr>
          <w:highlight w:val="none"/>
        </w:rPr>
        <w:t>、商务文件组成</w:t>
      </w:r>
      <w:bookmarkEnd w:id="50"/>
    </w:p>
    <w:p>
      <w:pPr>
        <w:pStyle w:val="55"/>
        <w:outlineLvl w:val="2"/>
        <w:rPr>
          <w:highlight w:val="none"/>
        </w:rPr>
      </w:pPr>
      <w:bookmarkStart w:id="51" w:name="_Toc256000030"/>
      <w:r>
        <w:rPr>
          <w:rFonts w:hint="eastAsia"/>
          <w:highlight w:val="none"/>
        </w:rPr>
        <w:t>（一）</w:t>
      </w:r>
      <w:r>
        <w:rPr>
          <w:highlight w:val="none"/>
        </w:rPr>
        <w:t>竞争性磋商函</w:t>
      </w:r>
      <w:bookmarkEnd w:id="51"/>
    </w:p>
    <w:p>
      <w:pPr>
        <w:pStyle w:val="59"/>
        <w:adjustRightInd w:val="0"/>
        <w:snapToGrid w:val="0"/>
        <w:spacing w:line="400" w:lineRule="exact"/>
        <w:jc w:val="left"/>
        <w:rPr>
          <w:rFonts w:ascii="宋体" w:hAnsi="宋体"/>
          <w:sz w:val="28"/>
          <w:szCs w:val="28"/>
          <w:highlight w:val="none"/>
        </w:rPr>
      </w:pPr>
      <w:r>
        <w:rPr>
          <w:rFonts w:hint="eastAsia" w:ascii="宋体" w:hAnsi="宋体"/>
          <w:sz w:val="28"/>
          <w:szCs w:val="28"/>
          <w:highlight w:val="none"/>
          <w:u w:val="single"/>
        </w:rPr>
        <w:t>（代理机构名称）</w:t>
      </w:r>
      <w:r>
        <w:rPr>
          <w:rFonts w:hint="eastAsia" w:ascii="宋体" w:hAnsi="宋体"/>
          <w:sz w:val="28"/>
          <w:szCs w:val="28"/>
          <w:highlight w:val="none"/>
        </w:rPr>
        <w:t>：</w:t>
      </w:r>
    </w:p>
    <w:p>
      <w:pPr>
        <w:pStyle w:val="59"/>
        <w:autoSpaceDE w:val="0"/>
        <w:autoSpaceDN w:val="0"/>
        <w:adjustRightInd w:val="0"/>
        <w:spacing w:line="400" w:lineRule="exact"/>
        <w:ind w:right="26" w:firstLine="560" w:firstLineChars="200"/>
        <w:jc w:val="left"/>
        <w:rPr>
          <w:rFonts w:ascii="宋体" w:hAnsi="宋体"/>
          <w:kern w:val="0"/>
          <w:sz w:val="28"/>
          <w:szCs w:val="28"/>
          <w:highlight w:val="none"/>
        </w:rPr>
      </w:pPr>
      <w:r>
        <w:rPr>
          <w:rFonts w:hint="eastAsia" w:ascii="宋体" w:hAnsi="宋体"/>
          <w:kern w:val="0"/>
          <w:sz w:val="28"/>
          <w:szCs w:val="28"/>
          <w:highlight w:val="none"/>
        </w:rPr>
        <w:t>依据贵方</w:t>
      </w:r>
      <w:r>
        <w:rPr>
          <w:rFonts w:hint="eastAsia" w:ascii="宋体" w:hAnsi="宋体"/>
          <w:sz w:val="28"/>
          <w:szCs w:val="28"/>
          <w:highlight w:val="none"/>
          <w:u w:val="single"/>
        </w:rPr>
        <w:t xml:space="preserve"> (采购项目名称/采购项目编号) </w:t>
      </w:r>
      <w:r>
        <w:rPr>
          <w:rFonts w:hint="eastAsia" w:ascii="宋体" w:hAnsi="宋体"/>
          <w:kern w:val="0"/>
          <w:sz w:val="28"/>
          <w:szCs w:val="28"/>
          <w:highlight w:val="none"/>
        </w:rPr>
        <w:t>项目采购货物、服务的磋商邀请，我方代表</w:t>
      </w:r>
      <w:r>
        <w:rPr>
          <w:rFonts w:hint="eastAsia" w:ascii="宋体" w:hAnsi="宋体"/>
          <w:sz w:val="28"/>
          <w:szCs w:val="28"/>
          <w:highlight w:val="none"/>
          <w:u w:val="single"/>
        </w:rPr>
        <w:t>（姓名、职务）</w:t>
      </w:r>
      <w:r>
        <w:rPr>
          <w:rFonts w:hint="eastAsia" w:ascii="宋体" w:hAnsi="宋体"/>
          <w:kern w:val="0"/>
          <w:sz w:val="28"/>
          <w:szCs w:val="28"/>
          <w:highlight w:val="none"/>
        </w:rPr>
        <w:t>经正式授权并代表供应商</w:t>
      </w:r>
      <w:r>
        <w:rPr>
          <w:rFonts w:hint="eastAsia" w:ascii="宋体" w:hAnsi="宋体"/>
          <w:sz w:val="28"/>
          <w:szCs w:val="28"/>
          <w:highlight w:val="none"/>
          <w:u w:val="single"/>
        </w:rPr>
        <w:t>（供应商名称、地址）</w:t>
      </w:r>
      <w:r>
        <w:rPr>
          <w:rFonts w:hint="eastAsia" w:ascii="宋体" w:hAnsi="宋体"/>
          <w:kern w:val="0"/>
          <w:sz w:val="28"/>
          <w:szCs w:val="28"/>
          <w:highlight w:val="none"/>
        </w:rPr>
        <w:t>提交下述响应文件二份。其中：在项目所属电子交易平台上传电子响应文件一份，提交电子响应文件光盘一份。</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ascii="宋体" w:hAnsi="宋体"/>
          <w:kern w:val="0"/>
          <w:sz w:val="28"/>
          <w:szCs w:val="28"/>
          <w:highlight w:val="none"/>
        </w:rPr>
        <w:t>1</w:t>
      </w:r>
      <w:r>
        <w:rPr>
          <w:rFonts w:hint="eastAsia" w:ascii="宋体" w:hAnsi="宋体"/>
          <w:kern w:val="0"/>
          <w:sz w:val="28"/>
          <w:szCs w:val="28"/>
          <w:highlight w:val="none"/>
        </w:rPr>
        <w:t>．磋商报价表；</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2．磋商报价明细表；</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3．所投货物、服务清单；</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4．按磋商文件供应商须知和技术规格要求提供的有关文件；</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5．资格证明文件；</w:t>
      </w:r>
    </w:p>
    <w:p>
      <w:pPr>
        <w:pStyle w:val="59"/>
        <w:autoSpaceDE w:val="0"/>
        <w:autoSpaceDN w:val="0"/>
        <w:adjustRightInd w:val="0"/>
        <w:spacing w:line="288" w:lineRule="auto"/>
        <w:ind w:right="246"/>
        <w:jc w:val="left"/>
        <w:rPr>
          <w:rFonts w:ascii="宋体" w:hAnsi="宋体"/>
          <w:kern w:val="0"/>
          <w:sz w:val="28"/>
          <w:szCs w:val="28"/>
          <w:highlight w:val="none"/>
        </w:rPr>
      </w:pPr>
      <w:r>
        <w:rPr>
          <w:rFonts w:hint="eastAsia" w:ascii="宋体" w:hAnsi="宋体"/>
          <w:kern w:val="0"/>
          <w:sz w:val="28"/>
          <w:szCs w:val="28"/>
          <w:highlight w:val="none"/>
        </w:rPr>
        <w:t>在此，我方宣布同意如下：</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1．所附《磋商报价表》中规定的应提交和交付的</w:t>
      </w:r>
      <w:r>
        <w:rPr>
          <w:rFonts w:hint="eastAsia" w:ascii="宋体" w:hAnsi="宋体"/>
          <w:kern w:val="0"/>
          <w:sz w:val="28"/>
          <w:szCs w:val="28"/>
          <w:highlight w:val="none"/>
          <w:u w:val="single"/>
        </w:rPr>
        <w:t xml:space="preserve">  （包号） </w:t>
      </w:r>
      <w:r>
        <w:rPr>
          <w:rFonts w:hint="eastAsia" w:ascii="宋体" w:hAnsi="宋体"/>
          <w:kern w:val="0"/>
          <w:sz w:val="28"/>
          <w:szCs w:val="28"/>
          <w:highlight w:val="none"/>
        </w:rPr>
        <w:t>货物投标总价为</w:t>
      </w:r>
      <w:r>
        <w:rPr>
          <w:rFonts w:hint="eastAsia" w:ascii="宋体" w:hAnsi="宋体"/>
          <w:kern w:val="0"/>
          <w:sz w:val="28"/>
          <w:szCs w:val="28"/>
          <w:highlight w:val="none"/>
          <w:u w:val="single"/>
        </w:rPr>
        <w:t>（注明币种，并用文字和数字表示的投标总价）</w:t>
      </w:r>
      <w:r>
        <w:rPr>
          <w:rFonts w:hint="eastAsia" w:ascii="宋体" w:hAnsi="宋体"/>
          <w:kern w:val="0"/>
          <w:sz w:val="28"/>
          <w:szCs w:val="28"/>
          <w:highlight w:val="none"/>
        </w:rPr>
        <w:t>。</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2．将按磋商文件的约定履行合同责任和义务。</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3．已详细审查全部磋商文件，包括</w:t>
      </w:r>
      <w:r>
        <w:rPr>
          <w:rFonts w:hint="eastAsia" w:ascii="宋体" w:hAnsi="宋体"/>
          <w:kern w:val="0"/>
          <w:sz w:val="28"/>
          <w:szCs w:val="28"/>
          <w:highlight w:val="none"/>
          <w:u w:val="single"/>
        </w:rPr>
        <w:t>（修正或补充文件）</w:t>
      </w:r>
      <w:r>
        <w:rPr>
          <w:rFonts w:hint="eastAsia" w:ascii="宋体" w:hAnsi="宋体"/>
          <w:kern w:val="0"/>
          <w:sz w:val="28"/>
          <w:szCs w:val="28"/>
          <w:highlight w:val="none"/>
        </w:rPr>
        <w:t>（如有），对此无异议。</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4．本投标有效期为自开标日起，共个日历日。</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5．同意提供按照贵方可能要求的与其投标有关的一切数据或资料。</w:t>
      </w:r>
    </w:p>
    <w:p>
      <w:pPr>
        <w:pStyle w:val="59"/>
        <w:autoSpaceDE w:val="0"/>
        <w:autoSpaceDN w:val="0"/>
        <w:adjustRightInd w:val="0"/>
        <w:spacing w:line="288" w:lineRule="auto"/>
        <w:ind w:right="246" w:firstLine="560" w:firstLineChars="200"/>
        <w:jc w:val="left"/>
        <w:rPr>
          <w:rFonts w:ascii="宋体" w:hAnsi="宋体"/>
          <w:kern w:val="0"/>
          <w:sz w:val="28"/>
          <w:szCs w:val="28"/>
          <w:highlight w:val="none"/>
        </w:rPr>
      </w:pPr>
      <w:r>
        <w:rPr>
          <w:rFonts w:hint="eastAsia" w:ascii="宋体" w:hAnsi="宋体"/>
          <w:kern w:val="0"/>
          <w:sz w:val="28"/>
          <w:szCs w:val="28"/>
          <w:highlight w:val="none"/>
        </w:rPr>
        <w:t>6.与本投标有关的一切正式往来信函请寄：。</w:t>
      </w:r>
    </w:p>
    <w:p>
      <w:pPr>
        <w:pStyle w:val="59"/>
        <w:adjustRightInd w:val="0"/>
        <w:snapToGrid w:val="0"/>
        <w:spacing w:line="400" w:lineRule="exact"/>
        <w:ind w:firstLine="560" w:firstLineChars="200"/>
        <w:jc w:val="left"/>
        <w:rPr>
          <w:rFonts w:ascii="宋体" w:hAnsi="宋体"/>
          <w:sz w:val="28"/>
          <w:szCs w:val="28"/>
          <w:highlight w:val="none"/>
        </w:rPr>
      </w:pPr>
      <w:r>
        <w:rPr>
          <w:rFonts w:hint="eastAsia" w:ascii="宋体" w:hAnsi="宋体"/>
          <w:sz w:val="28"/>
          <w:szCs w:val="28"/>
          <w:highlight w:val="none"/>
        </w:rPr>
        <w:t>7.其他：</w:t>
      </w:r>
    </w:p>
    <w:p>
      <w:pPr>
        <w:pStyle w:val="59"/>
        <w:adjustRightInd w:val="0"/>
        <w:snapToGrid w:val="0"/>
        <w:spacing w:line="400" w:lineRule="exact"/>
        <w:ind w:firstLine="420" w:firstLineChars="150"/>
        <w:jc w:val="left"/>
        <w:rPr>
          <w:rFonts w:ascii="宋体" w:hAnsi="宋体"/>
          <w:sz w:val="28"/>
          <w:szCs w:val="28"/>
          <w:highlight w:val="none"/>
          <w:u w:val="single"/>
        </w:rPr>
      </w:pPr>
      <w:r>
        <w:rPr>
          <w:rFonts w:hint="eastAsia" w:ascii="宋体" w:hAnsi="宋体"/>
          <w:sz w:val="28"/>
          <w:szCs w:val="28"/>
          <w:highlight w:val="none"/>
        </w:rPr>
        <w:t xml:space="preserve">供应商名称(电子签章)： </w:t>
      </w:r>
    </w:p>
    <w:p>
      <w:pPr>
        <w:pStyle w:val="59"/>
        <w:adjustRightInd w:val="0"/>
        <w:snapToGrid w:val="0"/>
        <w:spacing w:line="400" w:lineRule="exact"/>
        <w:ind w:firstLine="420" w:firstLineChars="150"/>
        <w:jc w:val="left"/>
        <w:rPr>
          <w:rFonts w:ascii="宋体" w:hAnsi="宋体"/>
          <w:sz w:val="28"/>
          <w:szCs w:val="28"/>
          <w:highlight w:val="none"/>
          <w:u w:val="single"/>
        </w:rPr>
      </w:pPr>
      <w:r>
        <w:rPr>
          <w:rFonts w:hint="eastAsia" w:ascii="宋体" w:hAnsi="宋体"/>
          <w:sz w:val="28"/>
          <w:szCs w:val="28"/>
          <w:highlight w:val="none"/>
        </w:rPr>
        <w:t>法定代表人(电子签名)：</w:t>
      </w:r>
    </w:p>
    <w:p>
      <w:pPr>
        <w:pStyle w:val="59"/>
        <w:autoSpaceDE w:val="0"/>
        <w:autoSpaceDN w:val="0"/>
        <w:adjustRightInd w:val="0"/>
        <w:spacing w:line="400" w:lineRule="exact"/>
        <w:ind w:right="246" w:firstLine="420" w:firstLineChars="150"/>
        <w:jc w:val="left"/>
        <w:rPr>
          <w:rFonts w:ascii="宋体" w:hAnsi="宋体"/>
          <w:kern w:val="0"/>
          <w:sz w:val="28"/>
          <w:szCs w:val="28"/>
          <w:highlight w:val="none"/>
        </w:rPr>
      </w:pPr>
      <w:r>
        <w:rPr>
          <w:rFonts w:hint="eastAsia" w:ascii="宋体" w:hAnsi="宋体"/>
          <w:kern w:val="0"/>
          <w:sz w:val="28"/>
          <w:szCs w:val="28"/>
          <w:highlight w:val="none"/>
        </w:rPr>
        <w:t>地    址：</w:t>
      </w:r>
    </w:p>
    <w:p>
      <w:pPr>
        <w:pStyle w:val="59"/>
        <w:autoSpaceDE w:val="0"/>
        <w:autoSpaceDN w:val="0"/>
        <w:adjustRightInd w:val="0"/>
        <w:spacing w:line="400" w:lineRule="exact"/>
        <w:ind w:right="33" w:firstLine="420" w:firstLineChars="150"/>
        <w:jc w:val="left"/>
        <w:rPr>
          <w:rFonts w:ascii="宋体" w:hAnsi="宋体"/>
          <w:kern w:val="0"/>
          <w:sz w:val="28"/>
          <w:szCs w:val="28"/>
          <w:highlight w:val="none"/>
        </w:rPr>
      </w:pPr>
      <w:r>
        <w:rPr>
          <w:rFonts w:hint="eastAsia" w:ascii="宋体" w:hAnsi="宋体"/>
          <w:kern w:val="0"/>
          <w:sz w:val="28"/>
          <w:szCs w:val="28"/>
          <w:highlight w:val="none"/>
        </w:rPr>
        <w:t>电    话：</w:t>
      </w:r>
    </w:p>
    <w:p>
      <w:pPr>
        <w:pStyle w:val="59"/>
        <w:autoSpaceDE w:val="0"/>
        <w:autoSpaceDN w:val="0"/>
        <w:adjustRightInd w:val="0"/>
        <w:spacing w:line="400" w:lineRule="exact"/>
        <w:ind w:right="246" w:firstLine="420" w:firstLineChars="150"/>
        <w:jc w:val="left"/>
        <w:rPr>
          <w:rFonts w:ascii="宋体" w:hAnsi="宋体"/>
          <w:kern w:val="0"/>
          <w:sz w:val="28"/>
          <w:szCs w:val="28"/>
          <w:highlight w:val="none"/>
        </w:rPr>
      </w:pPr>
      <w:r>
        <w:rPr>
          <w:rFonts w:hint="eastAsia" w:ascii="宋体" w:hAnsi="宋体"/>
          <w:kern w:val="0"/>
          <w:sz w:val="28"/>
          <w:szCs w:val="28"/>
          <w:highlight w:val="none"/>
        </w:rPr>
        <w:t>电子函件：</w:t>
      </w:r>
    </w:p>
    <w:p>
      <w:pPr>
        <w:pStyle w:val="59"/>
        <w:adjustRightInd w:val="0"/>
        <w:snapToGrid w:val="0"/>
        <w:spacing w:line="400" w:lineRule="exact"/>
        <w:ind w:firstLine="420" w:firstLineChars="150"/>
        <w:jc w:val="left"/>
        <w:rPr>
          <w:rFonts w:ascii="宋体" w:hAnsi="宋体"/>
          <w:sz w:val="28"/>
          <w:szCs w:val="28"/>
          <w:highlight w:val="none"/>
          <w:u w:val="single"/>
        </w:rPr>
      </w:pPr>
      <w:r>
        <w:rPr>
          <w:rFonts w:hint="eastAsia" w:ascii="宋体" w:hAnsi="宋体"/>
          <w:sz w:val="28"/>
          <w:szCs w:val="28"/>
          <w:highlight w:val="none"/>
        </w:rPr>
        <w:t>日期：</w:t>
      </w:r>
    </w:p>
    <w:p>
      <w:pPr>
        <w:pStyle w:val="60"/>
        <w:outlineLvl w:val="2"/>
        <w:rPr>
          <w:highlight w:val="none"/>
        </w:rPr>
      </w:pPr>
      <w:r>
        <w:rPr>
          <w:highlight w:val="none"/>
        </w:rPr>
        <w:br w:type="page"/>
      </w:r>
      <w:r>
        <w:rPr>
          <w:rFonts w:hint="eastAsia"/>
          <w:highlight w:val="none"/>
        </w:rPr>
        <w:t>（二）</w:t>
      </w:r>
      <w:r>
        <w:rPr>
          <w:highlight w:val="none"/>
        </w:rPr>
        <w:t>开标一览表</w:t>
      </w:r>
    </w:p>
    <w:p>
      <w:pPr>
        <w:pStyle w:val="61"/>
        <w:spacing w:line="360" w:lineRule="auto"/>
        <w:rPr>
          <w:rFonts w:ascii="宋体" w:hAnsi="宋体" w:cs="宋体"/>
          <w:b/>
          <w:bCs/>
          <w:kern w:val="44"/>
          <w:sz w:val="32"/>
          <w:szCs w:val="32"/>
          <w:highlight w:val="none"/>
        </w:rPr>
      </w:pPr>
    </w:p>
    <w:p>
      <w:pPr>
        <w:pStyle w:val="61"/>
        <w:spacing w:line="360" w:lineRule="auto"/>
        <w:rPr>
          <w:rFonts w:ascii="仿宋_GB2312" w:eastAsia="仿宋_GB2312"/>
          <w:sz w:val="32"/>
          <w:szCs w:val="20"/>
          <w:highlight w:val="none"/>
        </w:rPr>
      </w:pPr>
      <w:r>
        <w:rPr>
          <w:rFonts w:hint="eastAsia" w:ascii="仿宋_GB2312" w:eastAsia="仿宋_GB2312"/>
          <w:sz w:val="32"/>
          <w:szCs w:val="20"/>
          <w:highlight w:val="none"/>
        </w:rPr>
        <w:t>项目编号、包号：</w:t>
      </w:r>
      <w:r>
        <w:rPr>
          <w:rFonts w:hint="eastAsia" w:ascii="仿宋_GB2312" w:eastAsia="仿宋_GB2312"/>
          <w:sz w:val="32"/>
          <w:szCs w:val="20"/>
          <w:highlight w:val="none"/>
          <w:u w:val="single"/>
        </w:rPr>
        <w:t xml:space="preserve">                     </w:t>
      </w: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vAlign w:val="center"/>
          </w:tcPr>
          <w:p>
            <w:pPr>
              <w:pStyle w:val="61"/>
              <w:tabs>
                <w:tab w:val="left" w:pos="1337"/>
              </w:tabs>
              <w:spacing w:line="360" w:lineRule="auto"/>
              <w:jc w:val="center"/>
              <w:rPr>
                <w:rFonts w:eastAsia="黑体"/>
                <w:sz w:val="24"/>
                <w:highlight w:val="none"/>
              </w:rPr>
            </w:pPr>
            <w:r>
              <w:rPr>
                <w:rFonts w:hint="eastAsia" w:ascii="黑体"/>
                <w:bCs/>
                <w:sz w:val="24"/>
                <w:highlight w:val="none"/>
              </w:rPr>
              <w:t>项目名称</w:t>
            </w:r>
          </w:p>
        </w:tc>
        <w:tc>
          <w:tcPr>
            <w:tcW w:w="6770" w:type="dxa"/>
            <w:tcBorders>
              <w:bottom w:val="single" w:color="auto" w:sz="4" w:space="0"/>
            </w:tcBorders>
            <w:vAlign w:val="center"/>
          </w:tcPr>
          <w:p>
            <w:pPr>
              <w:pStyle w:val="61"/>
              <w:tabs>
                <w:tab w:val="left" w:pos="1337"/>
              </w:tabs>
              <w:spacing w:line="360" w:lineRule="auto"/>
              <w:jc w:val="center"/>
              <w:rPr>
                <w:rFonts w:ascii="黑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vAlign w:val="center"/>
          </w:tcPr>
          <w:p>
            <w:pPr>
              <w:pStyle w:val="61"/>
              <w:tabs>
                <w:tab w:val="left" w:pos="1337"/>
              </w:tabs>
              <w:spacing w:line="360" w:lineRule="auto"/>
              <w:jc w:val="center"/>
              <w:rPr>
                <w:sz w:val="24"/>
                <w:highlight w:val="none"/>
              </w:rPr>
            </w:pPr>
            <w:r>
              <w:rPr>
                <w:rFonts w:hint="eastAsia" w:ascii="黑体"/>
                <w:bCs/>
                <w:sz w:val="24"/>
                <w:highlight w:val="none"/>
              </w:rPr>
              <w:t>投 标 报 价</w:t>
            </w:r>
          </w:p>
        </w:tc>
        <w:tc>
          <w:tcPr>
            <w:tcW w:w="6770" w:type="dxa"/>
          </w:tcPr>
          <w:p>
            <w:pPr>
              <w:pStyle w:val="61"/>
              <w:tabs>
                <w:tab w:val="left" w:pos="1337"/>
              </w:tabs>
              <w:spacing w:line="360" w:lineRule="auto"/>
              <w:rPr>
                <w:rFonts w:ascii="黑体"/>
                <w:bCs/>
                <w:sz w:val="24"/>
                <w:highlight w:val="none"/>
              </w:rPr>
            </w:pPr>
          </w:p>
          <w:p>
            <w:pPr>
              <w:pStyle w:val="61"/>
              <w:tabs>
                <w:tab w:val="left" w:pos="1337"/>
              </w:tabs>
              <w:spacing w:line="360" w:lineRule="auto"/>
              <w:rPr>
                <w:rFonts w:ascii="黑体"/>
                <w:bCs/>
                <w:sz w:val="24"/>
                <w:highlight w:val="none"/>
              </w:rPr>
            </w:pPr>
            <w:r>
              <w:rPr>
                <w:rFonts w:hint="eastAsia" w:ascii="黑体"/>
                <w:bCs/>
                <w:sz w:val="24"/>
                <w:highlight w:val="none"/>
              </w:rPr>
              <w:t>小写：</w:t>
            </w:r>
            <w:r>
              <w:rPr>
                <w:rFonts w:hint="eastAsia" w:ascii="黑体"/>
                <w:bCs/>
                <w:sz w:val="24"/>
                <w:highlight w:val="none"/>
                <w:u w:val="single"/>
              </w:rPr>
              <w:t xml:space="preserve">                               </w:t>
            </w:r>
          </w:p>
          <w:p>
            <w:pPr>
              <w:pStyle w:val="61"/>
              <w:tabs>
                <w:tab w:val="left" w:pos="1337"/>
              </w:tabs>
              <w:spacing w:line="360" w:lineRule="auto"/>
              <w:rPr>
                <w:rFonts w:ascii="黑体"/>
                <w:bCs/>
                <w:sz w:val="24"/>
                <w:highlight w:val="none"/>
              </w:rPr>
            </w:pPr>
          </w:p>
          <w:p>
            <w:pPr>
              <w:pStyle w:val="61"/>
              <w:tabs>
                <w:tab w:val="left" w:pos="1337"/>
              </w:tabs>
              <w:spacing w:line="360" w:lineRule="auto"/>
              <w:rPr>
                <w:rFonts w:ascii="黑体"/>
                <w:bCs/>
                <w:sz w:val="24"/>
                <w:highlight w:val="none"/>
              </w:rPr>
            </w:pPr>
            <w:r>
              <w:rPr>
                <w:rFonts w:hint="eastAsia" w:ascii="黑体"/>
                <w:bCs/>
                <w:sz w:val="24"/>
                <w:highlight w:val="none"/>
              </w:rPr>
              <w:t>大写：</w:t>
            </w:r>
            <w:r>
              <w:rPr>
                <w:rFonts w:hint="eastAsia" w:ascii="黑体"/>
                <w:bCs/>
                <w:sz w:val="24"/>
                <w:highlight w:val="none"/>
                <w:u w:val="single"/>
              </w:rPr>
              <w:t xml:space="preserve">                               </w:t>
            </w:r>
          </w:p>
          <w:p>
            <w:pPr>
              <w:pStyle w:val="61"/>
              <w:tabs>
                <w:tab w:val="left" w:pos="1337"/>
              </w:tabs>
              <w:spacing w:line="360" w:lineRule="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pStyle w:val="61"/>
              <w:tabs>
                <w:tab w:val="left" w:pos="1337"/>
              </w:tabs>
              <w:spacing w:line="360" w:lineRule="auto"/>
              <w:jc w:val="center"/>
              <w:rPr>
                <w:rFonts w:ascii="黑体"/>
                <w:bCs/>
                <w:sz w:val="24"/>
                <w:highlight w:val="none"/>
              </w:rPr>
            </w:pPr>
            <w:r>
              <w:rPr>
                <w:rFonts w:hint="eastAsia" w:ascii="黑体"/>
                <w:bCs/>
                <w:sz w:val="24"/>
                <w:highlight w:val="none"/>
              </w:rPr>
              <w:t>报价单位</w:t>
            </w:r>
          </w:p>
        </w:tc>
        <w:tc>
          <w:tcPr>
            <w:tcW w:w="6770" w:type="dxa"/>
          </w:tcPr>
          <w:p>
            <w:pPr>
              <w:pStyle w:val="61"/>
              <w:tabs>
                <w:tab w:val="left" w:pos="1337"/>
              </w:tabs>
              <w:spacing w:line="360" w:lineRule="auto"/>
              <w:rPr>
                <w:sz w:val="24"/>
                <w:highlight w:val="none"/>
              </w:rPr>
            </w:pPr>
            <w:r>
              <w:rPr>
                <w:rFonts w:hint="eastAsia"/>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Pr>
          <w:p>
            <w:pPr>
              <w:pStyle w:val="61"/>
              <w:tabs>
                <w:tab w:val="left" w:pos="1337"/>
              </w:tabs>
              <w:spacing w:line="360" w:lineRule="auto"/>
              <w:jc w:val="center"/>
              <w:rPr>
                <w:sz w:val="24"/>
                <w:highlight w:val="none"/>
              </w:rPr>
            </w:pPr>
            <w:r>
              <w:rPr>
                <w:rFonts w:hint="eastAsia" w:ascii="黑体"/>
                <w:bCs/>
                <w:sz w:val="24"/>
                <w:highlight w:val="none"/>
              </w:rPr>
              <w:t>交货日期</w:t>
            </w:r>
          </w:p>
        </w:tc>
        <w:tc>
          <w:tcPr>
            <w:tcW w:w="6770" w:type="dxa"/>
          </w:tcPr>
          <w:p>
            <w:pPr>
              <w:pStyle w:val="61"/>
              <w:tabs>
                <w:tab w:val="left" w:pos="1337"/>
              </w:tabs>
              <w:spacing w:line="360" w:lineRule="auto"/>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tcPr>
          <w:p>
            <w:pPr>
              <w:pStyle w:val="61"/>
              <w:tabs>
                <w:tab w:val="left" w:pos="1337"/>
              </w:tabs>
              <w:spacing w:line="360" w:lineRule="auto"/>
              <w:rPr>
                <w:sz w:val="24"/>
                <w:highlight w:val="none"/>
              </w:rPr>
            </w:pPr>
            <w:r>
              <w:rPr>
                <w:rFonts w:hint="eastAsia" w:ascii="黑体"/>
                <w:bCs/>
                <w:sz w:val="24"/>
                <w:highlight w:val="none"/>
              </w:rPr>
              <w:t>备注：</w:t>
            </w:r>
          </w:p>
        </w:tc>
      </w:tr>
    </w:tbl>
    <w:p>
      <w:pPr>
        <w:pStyle w:val="61"/>
        <w:spacing w:line="360" w:lineRule="auto"/>
        <w:rPr>
          <w:rFonts w:ascii="宋体" w:hAnsi="宋体"/>
          <w:sz w:val="24"/>
          <w:highlight w:val="none"/>
        </w:rPr>
      </w:pPr>
      <w:r>
        <w:rPr>
          <w:rFonts w:hint="eastAsia" w:ascii="宋体" w:hAnsi="宋体"/>
          <w:sz w:val="24"/>
          <w:highlight w:val="none"/>
        </w:rPr>
        <w:t>说明：1、投标人严格按照规定的格式填写。投标报价为优惠后报价，并作为评审及定标的依据。</w:t>
      </w:r>
    </w:p>
    <w:p>
      <w:pPr>
        <w:pStyle w:val="61"/>
        <w:spacing w:line="360" w:lineRule="auto"/>
        <w:rPr>
          <w:rFonts w:ascii="宋体" w:hAnsi="宋体"/>
          <w:sz w:val="24"/>
          <w:highlight w:val="none"/>
        </w:rPr>
      </w:pPr>
      <w:r>
        <w:rPr>
          <w:rFonts w:hint="eastAsia" w:ascii="宋体" w:hAnsi="宋体"/>
          <w:sz w:val="24"/>
          <w:highlight w:val="none"/>
        </w:rPr>
        <w:t xml:space="preserve">      2、任何有选择或有条件的投标报价或表中某一包填写多个报价，均将导致投标被拒绝。</w:t>
      </w:r>
    </w:p>
    <w:p>
      <w:pPr>
        <w:pStyle w:val="61"/>
        <w:spacing w:line="360" w:lineRule="auto"/>
        <w:ind w:firstLine="480" w:firstLineChars="200"/>
        <w:rPr>
          <w:rFonts w:ascii="宋体" w:hAnsi="宋体"/>
          <w:sz w:val="24"/>
          <w:highlight w:val="none"/>
        </w:rPr>
      </w:pPr>
    </w:p>
    <w:p>
      <w:pPr>
        <w:pStyle w:val="61"/>
        <w:spacing w:line="360" w:lineRule="auto"/>
        <w:ind w:firstLine="480" w:firstLineChars="200"/>
        <w:rPr>
          <w:sz w:val="24"/>
          <w:highlight w:val="none"/>
          <w:u w:val="single"/>
        </w:rPr>
      </w:pPr>
    </w:p>
    <w:p>
      <w:pPr>
        <w:pStyle w:val="61"/>
        <w:spacing w:line="360" w:lineRule="auto"/>
        <w:ind w:firstLine="480" w:firstLineChars="200"/>
        <w:rPr>
          <w:sz w:val="24"/>
          <w:highlight w:val="none"/>
          <w:u w:val="single"/>
        </w:rPr>
      </w:pPr>
      <w:r>
        <w:rPr>
          <w:rFonts w:hint="eastAsia" w:ascii="宋体" w:hAnsi="宋体"/>
          <w:sz w:val="24"/>
          <w:highlight w:val="none"/>
        </w:rPr>
        <w:t>投标人电子签章：</w:t>
      </w:r>
    </w:p>
    <w:p>
      <w:pPr>
        <w:pStyle w:val="61"/>
        <w:spacing w:line="360" w:lineRule="auto"/>
        <w:ind w:firstLine="480" w:firstLineChars="200"/>
        <w:rPr>
          <w:rFonts w:ascii="宋体" w:hAnsi="宋体"/>
          <w:sz w:val="24"/>
          <w:highlight w:val="none"/>
        </w:rPr>
      </w:pPr>
    </w:p>
    <w:p>
      <w:pPr>
        <w:pStyle w:val="61"/>
        <w:spacing w:line="360" w:lineRule="auto"/>
        <w:ind w:firstLine="480" w:firstLineChars="200"/>
        <w:rPr>
          <w:rFonts w:ascii="宋体" w:hAnsi="宋体"/>
          <w:sz w:val="24"/>
          <w:highlight w:val="none"/>
        </w:rPr>
      </w:pPr>
      <w:r>
        <w:rPr>
          <w:rFonts w:ascii="宋体" w:hAnsi="宋体"/>
          <w:sz w:val="24"/>
          <w:highlight w:val="none"/>
        </w:rPr>
        <w:t>日</w:t>
      </w:r>
      <w:r>
        <w:rPr>
          <w:rFonts w:hint="eastAsia" w:ascii="宋体" w:hAnsi="宋体"/>
          <w:sz w:val="24"/>
          <w:highlight w:val="none"/>
        </w:rPr>
        <w:t xml:space="preserve">   </w:t>
      </w:r>
      <w:r>
        <w:rPr>
          <w:rFonts w:ascii="宋体" w:hAnsi="宋体"/>
          <w:sz w:val="24"/>
          <w:highlight w:val="none"/>
        </w:rPr>
        <w:t>期：</w:t>
      </w:r>
      <w:r>
        <w:rPr>
          <w:rFonts w:hint="eastAsia" w:ascii="宋体" w:hAnsi="宋体"/>
          <w:sz w:val="24"/>
          <w:highlight w:val="none"/>
          <w:u w:val="single"/>
        </w:rPr>
        <w:t xml:space="preserve">         </w:t>
      </w:r>
      <w:r>
        <w:rPr>
          <w:rFonts w:ascii="宋体" w:hAnsi="宋体"/>
          <w:sz w:val="24"/>
          <w:highlight w:val="none"/>
        </w:rPr>
        <w:t>年</w:t>
      </w:r>
      <w:r>
        <w:rPr>
          <w:rFonts w:hint="eastAsia" w:ascii="宋体" w:hAnsi="宋体"/>
          <w:sz w:val="24"/>
          <w:highlight w:val="none"/>
          <w:u w:val="single"/>
        </w:rPr>
        <w:t xml:space="preserve">       </w:t>
      </w:r>
      <w:r>
        <w:rPr>
          <w:rFonts w:ascii="宋体" w:hAnsi="宋体"/>
          <w:sz w:val="24"/>
          <w:highlight w:val="none"/>
        </w:rPr>
        <w:t>月</w:t>
      </w:r>
      <w:r>
        <w:rPr>
          <w:rFonts w:hint="eastAsia" w:ascii="宋体" w:hAnsi="宋体"/>
          <w:sz w:val="24"/>
          <w:highlight w:val="none"/>
          <w:u w:val="single"/>
        </w:rPr>
        <w:t xml:space="preserve">       </w:t>
      </w:r>
      <w:r>
        <w:rPr>
          <w:rFonts w:ascii="宋体" w:hAnsi="宋体"/>
          <w:sz w:val="24"/>
          <w:highlight w:val="none"/>
        </w:rPr>
        <w:t>日</w:t>
      </w:r>
    </w:p>
    <w:p>
      <w:pPr>
        <w:pStyle w:val="61"/>
        <w:rPr>
          <w:highlight w:val="none"/>
        </w:rPr>
      </w:pPr>
    </w:p>
    <w:p>
      <w:pPr>
        <w:pStyle w:val="62"/>
        <w:outlineLvl w:val="2"/>
        <w:rPr>
          <w:highlight w:val="none"/>
        </w:rPr>
      </w:pPr>
      <w:r>
        <w:rPr>
          <w:highlight w:val="none"/>
        </w:rPr>
        <w:br w:type="page"/>
      </w:r>
      <w:bookmarkStart w:id="52" w:name="_Toc256000032"/>
      <w:r>
        <w:rPr>
          <w:rFonts w:hint="eastAsia"/>
          <w:highlight w:val="none"/>
        </w:rPr>
        <w:t>（三）</w:t>
      </w:r>
      <w:r>
        <w:rPr>
          <w:highlight w:val="none"/>
        </w:rPr>
        <w:t>竞争性磋商报价明细表</w:t>
      </w:r>
      <w:bookmarkEnd w:id="52"/>
    </w:p>
    <w:p>
      <w:pPr>
        <w:pStyle w:val="63"/>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63"/>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tbl>
      <w:tblPr>
        <w:tblStyle w:val="22"/>
        <w:tblW w:w="865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2"/>
        <w:gridCol w:w="1813"/>
        <w:gridCol w:w="1168"/>
        <w:gridCol w:w="1753"/>
        <w:gridCol w:w="815"/>
        <w:gridCol w:w="829"/>
        <w:gridCol w:w="877"/>
        <w:gridCol w:w="9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4"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序号</w:t>
            </w:r>
          </w:p>
        </w:tc>
        <w:tc>
          <w:tcPr>
            <w:tcW w:w="1813"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名称</w:t>
            </w:r>
          </w:p>
        </w:tc>
        <w:tc>
          <w:tcPr>
            <w:tcW w:w="1168"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型号和规格</w:t>
            </w:r>
          </w:p>
        </w:tc>
        <w:tc>
          <w:tcPr>
            <w:tcW w:w="1753"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制造商名称国别/地区</w:t>
            </w:r>
          </w:p>
        </w:tc>
        <w:tc>
          <w:tcPr>
            <w:tcW w:w="815"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单位</w:t>
            </w:r>
          </w:p>
        </w:tc>
        <w:tc>
          <w:tcPr>
            <w:tcW w:w="829"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数量</w:t>
            </w:r>
          </w:p>
        </w:tc>
        <w:tc>
          <w:tcPr>
            <w:tcW w:w="877" w:type="dxa"/>
            <w:tcBorders>
              <w:top w:val="single" w:color="auto" w:sz="4"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单价</w:t>
            </w:r>
          </w:p>
        </w:tc>
        <w:tc>
          <w:tcPr>
            <w:tcW w:w="914" w:type="dxa"/>
            <w:tcBorders>
              <w:top w:val="single" w:color="auto" w:sz="4"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6"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1</w:t>
            </w:r>
          </w:p>
        </w:tc>
        <w:tc>
          <w:tcPr>
            <w:tcW w:w="181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ind w:left="-88" w:leftChars="-42"/>
              <w:rPr>
                <w:rFonts w:ascii="宋体" w:hAnsi="宋体"/>
                <w:sz w:val="28"/>
                <w:szCs w:val="28"/>
                <w:highlight w:val="none"/>
              </w:rPr>
            </w:pPr>
            <w:r>
              <w:rPr>
                <w:rFonts w:hint="eastAsia" w:ascii="宋体" w:hAnsi="宋体"/>
                <w:sz w:val="28"/>
                <w:szCs w:val="28"/>
                <w:highlight w:val="none"/>
              </w:rPr>
              <w:t>货物1/服务1</w:t>
            </w:r>
          </w:p>
        </w:tc>
        <w:tc>
          <w:tcPr>
            <w:tcW w:w="1168"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175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15"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29"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77"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914" w:type="dxa"/>
            <w:tcBorders>
              <w:top w:val="single" w:color="auto" w:sz="6"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6"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2</w:t>
            </w:r>
          </w:p>
        </w:tc>
        <w:tc>
          <w:tcPr>
            <w:tcW w:w="181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ind w:left="-88" w:leftChars="-42"/>
              <w:rPr>
                <w:rFonts w:ascii="宋体" w:hAnsi="宋体"/>
                <w:sz w:val="28"/>
                <w:szCs w:val="28"/>
                <w:highlight w:val="none"/>
              </w:rPr>
            </w:pPr>
            <w:r>
              <w:rPr>
                <w:rFonts w:hint="eastAsia" w:ascii="宋体" w:hAnsi="宋体"/>
                <w:sz w:val="28"/>
                <w:szCs w:val="28"/>
                <w:highlight w:val="none"/>
              </w:rPr>
              <w:t>货物1/服务1</w:t>
            </w:r>
          </w:p>
        </w:tc>
        <w:tc>
          <w:tcPr>
            <w:tcW w:w="1168"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175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15"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29"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77"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914" w:type="dxa"/>
            <w:tcBorders>
              <w:top w:val="single" w:color="auto" w:sz="6"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6"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3</w:t>
            </w:r>
          </w:p>
        </w:tc>
        <w:tc>
          <w:tcPr>
            <w:tcW w:w="181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ind w:left="-88" w:leftChars="-42"/>
              <w:rPr>
                <w:rFonts w:ascii="宋体" w:hAnsi="宋体"/>
                <w:sz w:val="28"/>
                <w:szCs w:val="28"/>
                <w:highlight w:val="none"/>
              </w:rPr>
            </w:pPr>
            <w:r>
              <w:rPr>
                <w:rFonts w:hint="eastAsia" w:ascii="宋体" w:hAnsi="宋体"/>
                <w:sz w:val="28"/>
                <w:szCs w:val="28"/>
                <w:highlight w:val="none"/>
              </w:rPr>
              <w:t>货物1/服务1</w:t>
            </w:r>
          </w:p>
        </w:tc>
        <w:tc>
          <w:tcPr>
            <w:tcW w:w="1168"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175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15"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29"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77"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914" w:type="dxa"/>
            <w:tcBorders>
              <w:top w:val="single" w:color="auto" w:sz="6"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2" w:type="dxa"/>
            <w:tcBorders>
              <w:top w:val="single" w:color="auto" w:sz="6"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w:t>
            </w:r>
          </w:p>
        </w:tc>
        <w:tc>
          <w:tcPr>
            <w:tcW w:w="181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ind w:left="-88" w:leftChars="-42" w:firstLine="700" w:firstLineChars="250"/>
              <w:rPr>
                <w:rFonts w:ascii="宋体" w:hAnsi="宋体"/>
                <w:sz w:val="28"/>
                <w:szCs w:val="28"/>
                <w:highlight w:val="none"/>
              </w:rPr>
            </w:pPr>
            <w:r>
              <w:rPr>
                <w:rFonts w:hint="eastAsia" w:ascii="宋体" w:hAnsi="宋体"/>
                <w:sz w:val="28"/>
                <w:szCs w:val="28"/>
                <w:highlight w:val="none"/>
              </w:rPr>
              <w:t>…</w:t>
            </w:r>
          </w:p>
        </w:tc>
        <w:tc>
          <w:tcPr>
            <w:tcW w:w="1168"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175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15"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29"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77"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914" w:type="dxa"/>
            <w:tcBorders>
              <w:top w:val="single" w:color="auto" w:sz="6"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2" w:type="dxa"/>
            <w:tcBorders>
              <w:top w:val="single" w:color="auto" w:sz="6" w:space="0"/>
              <w:left w:val="single" w:color="auto" w:sz="4" w:space="0"/>
              <w:bottom w:val="single" w:color="auto" w:sz="6" w:space="0"/>
              <w:right w:val="single" w:color="auto" w:sz="6" w:space="0"/>
            </w:tcBorders>
            <w:vAlign w:val="center"/>
          </w:tcPr>
          <w:p>
            <w:pPr>
              <w:pStyle w:val="63"/>
              <w:adjustRightInd w:val="0"/>
              <w:snapToGrid w:val="0"/>
              <w:spacing w:line="500" w:lineRule="exact"/>
              <w:ind w:left="-88" w:leftChars="-42"/>
              <w:jc w:val="center"/>
              <w:rPr>
                <w:rFonts w:ascii="宋体" w:hAnsi="宋体"/>
                <w:sz w:val="28"/>
                <w:szCs w:val="28"/>
                <w:highlight w:val="none"/>
              </w:rPr>
            </w:pPr>
          </w:p>
        </w:tc>
        <w:tc>
          <w:tcPr>
            <w:tcW w:w="181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其他</w:t>
            </w:r>
          </w:p>
        </w:tc>
        <w:tc>
          <w:tcPr>
            <w:tcW w:w="1168"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1753"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15"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29"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877" w:type="dxa"/>
            <w:tcBorders>
              <w:top w:val="single" w:color="auto" w:sz="6" w:space="0"/>
              <w:left w:val="single" w:color="auto" w:sz="6" w:space="0"/>
              <w:bottom w:val="single" w:color="auto" w:sz="6" w:space="0"/>
              <w:right w:val="single" w:color="auto" w:sz="6" w:space="0"/>
            </w:tcBorders>
            <w:vAlign w:val="center"/>
          </w:tcPr>
          <w:p>
            <w:pPr>
              <w:pStyle w:val="63"/>
              <w:adjustRightInd w:val="0"/>
              <w:snapToGrid w:val="0"/>
              <w:spacing w:line="500" w:lineRule="exact"/>
              <w:jc w:val="center"/>
              <w:rPr>
                <w:rFonts w:ascii="宋体" w:hAnsi="宋体"/>
                <w:sz w:val="28"/>
                <w:szCs w:val="28"/>
                <w:highlight w:val="none"/>
              </w:rPr>
            </w:pPr>
          </w:p>
        </w:tc>
        <w:tc>
          <w:tcPr>
            <w:tcW w:w="914" w:type="dxa"/>
            <w:tcBorders>
              <w:top w:val="single" w:color="auto" w:sz="6" w:space="0"/>
              <w:left w:val="single" w:color="auto" w:sz="6" w:space="0"/>
              <w:bottom w:val="single" w:color="auto" w:sz="6" w:space="0"/>
              <w:right w:val="single" w:color="auto" w:sz="4" w:space="0"/>
            </w:tcBorders>
            <w:vAlign w:val="center"/>
          </w:tcPr>
          <w:p>
            <w:pPr>
              <w:pStyle w:val="63"/>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6860" w:type="dxa"/>
            <w:gridSpan w:val="6"/>
            <w:tcBorders>
              <w:top w:val="single" w:color="auto" w:sz="6" w:space="0"/>
              <w:left w:val="single" w:color="auto" w:sz="4" w:space="0"/>
              <w:bottom w:val="single" w:color="auto" w:sz="4" w:space="0"/>
              <w:right w:val="single" w:color="auto" w:sz="6" w:space="0"/>
            </w:tcBorders>
            <w:vAlign w:val="center"/>
          </w:tcPr>
          <w:p>
            <w:pPr>
              <w:pStyle w:val="63"/>
              <w:adjustRightInd w:val="0"/>
              <w:snapToGrid w:val="0"/>
              <w:spacing w:line="500" w:lineRule="exact"/>
              <w:rPr>
                <w:rFonts w:ascii="宋体" w:hAnsi="宋体"/>
                <w:sz w:val="28"/>
                <w:szCs w:val="28"/>
                <w:highlight w:val="none"/>
              </w:rPr>
            </w:pPr>
            <w:r>
              <w:rPr>
                <w:rFonts w:hint="eastAsia" w:ascii="宋体" w:hAnsi="宋体"/>
                <w:sz w:val="28"/>
                <w:szCs w:val="28"/>
                <w:highlight w:val="none"/>
              </w:rPr>
              <w:t xml:space="preserve">总 计：                                                                                 </w:t>
            </w:r>
          </w:p>
        </w:tc>
        <w:tc>
          <w:tcPr>
            <w:tcW w:w="1791" w:type="dxa"/>
            <w:gridSpan w:val="2"/>
            <w:tcBorders>
              <w:top w:val="single" w:color="auto" w:sz="6" w:space="0"/>
              <w:left w:val="single" w:color="auto" w:sz="6" w:space="0"/>
              <w:bottom w:val="single" w:color="auto" w:sz="4" w:space="0"/>
              <w:right w:val="single" w:color="auto" w:sz="4" w:space="0"/>
            </w:tcBorders>
            <w:vAlign w:val="center"/>
          </w:tcPr>
          <w:p>
            <w:pPr>
              <w:pStyle w:val="63"/>
              <w:adjustRightInd w:val="0"/>
              <w:snapToGrid w:val="0"/>
              <w:spacing w:line="500" w:lineRule="exact"/>
              <w:rPr>
                <w:rFonts w:ascii="宋体" w:hAnsi="宋体"/>
                <w:sz w:val="28"/>
                <w:szCs w:val="28"/>
                <w:highlight w:val="none"/>
              </w:rPr>
            </w:pPr>
            <w:r>
              <w:rPr>
                <w:rFonts w:ascii="宋体" w:hAnsi="宋体"/>
                <w:sz w:val="28"/>
                <w:szCs w:val="28"/>
                <w:highlight w:val="none"/>
              </w:rPr>
              <w:t>¥</w:t>
            </w:r>
            <w:r>
              <w:rPr>
                <w:rFonts w:hint="eastAsia" w:ascii="宋体" w:hAnsi="宋体"/>
                <w:sz w:val="28"/>
                <w:szCs w:val="28"/>
                <w:highlight w:val="none"/>
              </w:rPr>
              <w:t>：</w:t>
            </w:r>
          </w:p>
        </w:tc>
      </w:tr>
    </w:tbl>
    <w:p>
      <w:pPr>
        <w:pStyle w:val="63"/>
        <w:adjustRightInd w:val="0"/>
        <w:snapToGrid w:val="0"/>
        <w:spacing w:line="500" w:lineRule="exact"/>
        <w:ind w:left="-88" w:leftChars="-42"/>
        <w:rPr>
          <w:rFonts w:ascii="宋体" w:hAnsi="宋体"/>
          <w:sz w:val="28"/>
          <w:szCs w:val="28"/>
          <w:highlight w:val="none"/>
        </w:rPr>
      </w:pPr>
      <w:r>
        <w:rPr>
          <w:rFonts w:hint="eastAsia" w:ascii="宋体" w:hAnsi="宋体"/>
          <w:sz w:val="28"/>
          <w:szCs w:val="28"/>
          <w:highlight w:val="none"/>
        </w:rPr>
        <w:t>说明：1．所有价格均用人民币表示，单位为元。</w:t>
      </w:r>
    </w:p>
    <w:p>
      <w:pPr>
        <w:pStyle w:val="63"/>
        <w:adjustRightInd w:val="0"/>
        <w:snapToGrid w:val="0"/>
        <w:spacing w:line="500" w:lineRule="exact"/>
        <w:ind w:left="-88" w:leftChars="-42" w:firstLine="840" w:firstLineChars="300"/>
        <w:rPr>
          <w:rFonts w:ascii="宋体" w:hAnsi="宋体"/>
          <w:sz w:val="28"/>
          <w:szCs w:val="28"/>
          <w:highlight w:val="none"/>
        </w:rPr>
      </w:pPr>
      <w:r>
        <w:rPr>
          <w:rFonts w:hint="eastAsia" w:ascii="宋体" w:hAnsi="宋体"/>
          <w:sz w:val="28"/>
          <w:szCs w:val="28"/>
          <w:highlight w:val="none"/>
        </w:rPr>
        <w:t>2. 分项报价总计价格必须与《磋商报价表》报价一致。</w:t>
      </w:r>
    </w:p>
    <w:p>
      <w:pPr>
        <w:pStyle w:val="63"/>
        <w:adjustRightInd w:val="0"/>
        <w:snapToGrid w:val="0"/>
        <w:spacing w:line="500" w:lineRule="exact"/>
        <w:ind w:left="1079" w:leftChars="358" w:hanging="327" w:hangingChars="117"/>
        <w:rPr>
          <w:rFonts w:ascii="宋体" w:hAnsi="宋体"/>
          <w:sz w:val="28"/>
          <w:szCs w:val="28"/>
          <w:highlight w:val="none"/>
        </w:rPr>
      </w:pPr>
      <w:r>
        <w:rPr>
          <w:rFonts w:hint="eastAsia" w:ascii="宋体" w:hAnsi="宋体"/>
          <w:sz w:val="28"/>
          <w:szCs w:val="28"/>
          <w:highlight w:val="none"/>
        </w:rPr>
        <w:t>3. 如果不提供详细的投标分项报价表将被视为没有实质性响应磋商文件。</w:t>
      </w:r>
    </w:p>
    <w:p>
      <w:pPr>
        <w:pStyle w:val="63"/>
        <w:adjustRightInd w:val="0"/>
        <w:snapToGrid w:val="0"/>
        <w:spacing w:line="500" w:lineRule="exact"/>
        <w:ind w:left="1079" w:leftChars="358" w:hanging="327" w:hangingChars="117"/>
        <w:rPr>
          <w:rFonts w:ascii="宋体" w:hAnsi="宋体"/>
          <w:sz w:val="28"/>
          <w:szCs w:val="28"/>
          <w:highlight w:val="none"/>
        </w:rPr>
      </w:pPr>
      <w:r>
        <w:rPr>
          <w:rFonts w:hint="eastAsia" w:ascii="宋体" w:hAnsi="宋体"/>
          <w:sz w:val="28"/>
          <w:szCs w:val="28"/>
          <w:highlight w:val="none"/>
        </w:rPr>
        <w:t>4．供应商必须按此表格式中的对应栏目内容填写，若需增加栏目，请在栏目“其它”中填写，并作详细说明。</w:t>
      </w:r>
    </w:p>
    <w:p>
      <w:pPr>
        <w:pStyle w:val="63"/>
        <w:adjustRightInd w:val="0"/>
        <w:snapToGrid w:val="0"/>
        <w:spacing w:line="500" w:lineRule="exact"/>
        <w:ind w:left="1079" w:leftChars="342" w:hanging="361" w:hangingChars="129"/>
        <w:rPr>
          <w:rFonts w:ascii="宋体" w:hAnsi="宋体"/>
          <w:sz w:val="28"/>
          <w:szCs w:val="28"/>
          <w:highlight w:val="none"/>
        </w:rPr>
      </w:pPr>
    </w:p>
    <w:p>
      <w:pPr>
        <w:pStyle w:val="63"/>
        <w:adjustRightInd w:val="0"/>
        <w:snapToGrid w:val="0"/>
        <w:spacing w:line="500" w:lineRule="exact"/>
        <w:rPr>
          <w:rFonts w:ascii="宋体" w:hAnsi="宋体"/>
          <w:sz w:val="28"/>
          <w:szCs w:val="28"/>
          <w:highlight w:val="none"/>
        </w:rPr>
      </w:pPr>
    </w:p>
    <w:p>
      <w:pPr>
        <w:pStyle w:val="63"/>
        <w:adjustRightInd w:val="0"/>
        <w:snapToGrid w:val="0"/>
        <w:spacing w:line="500" w:lineRule="exact"/>
        <w:rPr>
          <w:rFonts w:ascii="宋体" w:hAnsi="宋体"/>
          <w:sz w:val="28"/>
          <w:szCs w:val="28"/>
          <w:highlight w:val="none"/>
        </w:rPr>
      </w:pPr>
    </w:p>
    <w:p>
      <w:pPr>
        <w:pStyle w:val="63"/>
        <w:adjustRightInd w:val="0"/>
        <w:snapToGrid w:val="0"/>
        <w:spacing w:line="500" w:lineRule="exact"/>
        <w:rPr>
          <w:rFonts w:ascii="宋体" w:hAnsi="宋体"/>
          <w:sz w:val="28"/>
          <w:szCs w:val="28"/>
          <w:highlight w:val="none"/>
        </w:rPr>
      </w:pPr>
    </w:p>
    <w:p>
      <w:pPr>
        <w:pStyle w:val="63"/>
        <w:adjustRightInd w:val="0"/>
        <w:snapToGrid w:val="0"/>
        <w:spacing w:line="500" w:lineRule="exact"/>
        <w:rPr>
          <w:rFonts w:ascii="宋体" w:hAnsi="宋体"/>
          <w:sz w:val="28"/>
          <w:szCs w:val="28"/>
          <w:highlight w:val="none"/>
        </w:rPr>
      </w:pPr>
      <w:r>
        <w:rPr>
          <w:rFonts w:hint="eastAsia" w:ascii="宋体" w:hAnsi="宋体"/>
          <w:sz w:val="28"/>
          <w:szCs w:val="28"/>
          <w:highlight w:val="none"/>
        </w:rPr>
        <w:t>供应商法定代表人（电子签名）：</w:t>
      </w:r>
    </w:p>
    <w:p>
      <w:pPr>
        <w:pStyle w:val="63"/>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供应商名称（电子签章）：</w:t>
      </w:r>
    </w:p>
    <w:p>
      <w:pPr>
        <w:pStyle w:val="63"/>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日期：年 月 日</w:t>
      </w:r>
    </w:p>
    <w:p>
      <w:pPr>
        <w:pStyle w:val="64"/>
        <w:outlineLvl w:val="2"/>
        <w:rPr>
          <w:highlight w:val="none"/>
        </w:rPr>
      </w:pPr>
      <w:r>
        <w:rPr>
          <w:highlight w:val="none"/>
        </w:rPr>
        <w:br w:type="page"/>
      </w:r>
      <w:bookmarkStart w:id="53" w:name="_Toc256000033"/>
      <w:r>
        <w:rPr>
          <w:rFonts w:hint="eastAsia"/>
          <w:highlight w:val="none"/>
        </w:rPr>
        <w:t>（四）</w:t>
      </w:r>
      <w:r>
        <w:rPr>
          <w:highlight w:val="none"/>
        </w:rPr>
        <w:t>投标货物、服务清单</w:t>
      </w:r>
      <w:bookmarkEnd w:id="53"/>
    </w:p>
    <w:p>
      <w:pPr>
        <w:pStyle w:val="65"/>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65"/>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tbl>
      <w:tblPr>
        <w:tblStyle w:val="22"/>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4"/>
        <w:gridCol w:w="4208"/>
        <w:gridCol w:w="16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vAlign w:val="center"/>
          </w:tcPr>
          <w:p>
            <w:pPr>
              <w:pStyle w:val="65"/>
              <w:adjustRightInd w:val="0"/>
              <w:snapToGrid w:val="0"/>
              <w:spacing w:line="500" w:lineRule="exact"/>
              <w:rPr>
                <w:rFonts w:ascii="宋体" w:hAnsi="宋体"/>
                <w:sz w:val="28"/>
                <w:szCs w:val="28"/>
                <w:highlight w:val="none"/>
              </w:rPr>
            </w:pPr>
            <w:r>
              <w:rPr>
                <w:rFonts w:hint="eastAsia" w:ascii="宋体" w:hAnsi="宋体"/>
                <w:sz w:val="28"/>
                <w:szCs w:val="28"/>
                <w:highlight w:val="none"/>
              </w:rPr>
              <w:t>序号</w:t>
            </w:r>
          </w:p>
        </w:tc>
        <w:tc>
          <w:tcPr>
            <w:tcW w:w="2164" w:type="dxa"/>
            <w:tcBorders>
              <w:top w:val="single" w:color="auto" w:sz="4"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货物/服务名称</w:t>
            </w:r>
          </w:p>
        </w:tc>
        <w:tc>
          <w:tcPr>
            <w:tcW w:w="4208" w:type="dxa"/>
            <w:tcBorders>
              <w:top w:val="single" w:color="auto" w:sz="4"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主要规格、技术参数</w:t>
            </w:r>
          </w:p>
        </w:tc>
        <w:tc>
          <w:tcPr>
            <w:tcW w:w="1660" w:type="dxa"/>
            <w:tcBorders>
              <w:top w:val="single" w:color="auto" w:sz="4"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r>
              <w:rPr>
                <w:rFonts w:hint="eastAsia" w:ascii="宋体" w:hAnsi="宋体"/>
                <w:sz w:val="28"/>
                <w:szCs w:val="28"/>
                <w:highlight w:val="none"/>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1</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2</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3</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4</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5</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6</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7</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8</w:t>
            </w:r>
          </w:p>
        </w:tc>
        <w:tc>
          <w:tcPr>
            <w:tcW w:w="2164"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r>
              <w:rPr>
                <w:rFonts w:hint="eastAsia" w:ascii="宋体" w:hAnsi="宋体"/>
                <w:sz w:val="28"/>
                <w:szCs w:val="28"/>
                <w:highlight w:val="none"/>
              </w:rPr>
              <w:t>…</w:t>
            </w:r>
          </w:p>
        </w:tc>
        <w:tc>
          <w:tcPr>
            <w:tcW w:w="2164" w:type="dxa"/>
            <w:tcBorders>
              <w:top w:val="single" w:color="auto" w:sz="6" w:space="0"/>
              <w:left w:val="single" w:color="auto" w:sz="6" w:space="0"/>
              <w:bottom w:val="single" w:color="auto" w:sz="4" w:space="0"/>
              <w:right w:val="single" w:color="auto" w:sz="6" w:space="0"/>
            </w:tcBorders>
            <w:vAlign w:val="center"/>
          </w:tcPr>
          <w:p>
            <w:pPr>
              <w:pStyle w:val="65"/>
              <w:adjustRightInd w:val="0"/>
              <w:snapToGrid w:val="0"/>
              <w:spacing w:line="500" w:lineRule="exact"/>
              <w:ind w:left="-88" w:leftChars="-42"/>
              <w:jc w:val="center"/>
              <w:rPr>
                <w:rFonts w:ascii="宋体" w:hAnsi="宋体"/>
                <w:sz w:val="28"/>
                <w:szCs w:val="28"/>
                <w:highlight w:val="none"/>
              </w:rPr>
            </w:pPr>
          </w:p>
        </w:tc>
        <w:tc>
          <w:tcPr>
            <w:tcW w:w="4208" w:type="dxa"/>
            <w:tcBorders>
              <w:top w:val="single" w:color="auto" w:sz="6" w:space="0"/>
              <w:left w:val="single" w:color="auto" w:sz="6" w:space="0"/>
              <w:bottom w:val="single" w:color="auto" w:sz="4" w:space="0"/>
              <w:right w:val="single" w:color="auto" w:sz="6" w:space="0"/>
            </w:tcBorders>
            <w:vAlign w:val="center"/>
          </w:tcPr>
          <w:p>
            <w:pPr>
              <w:pStyle w:val="65"/>
              <w:adjustRightInd w:val="0"/>
              <w:snapToGrid w:val="0"/>
              <w:spacing w:line="500" w:lineRule="exact"/>
              <w:jc w:val="center"/>
              <w:rPr>
                <w:rFonts w:ascii="宋体" w:hAnsi="宋体"/>
                <w:sz w:val="28"/>
                <w:szCs w:val="28"/>
                <w:highlight w:val="none"/>
              </w:rPr>
            </w:pPr>
          </w:p>
        </w:tc>
        <w:tc>
          <w:tcPr>
            <w:tcW w:w="1660" w:type="dxa"/>
            <w:tcBorders>
              <w:top w:val="single" w:color="auto" w:sz="6" w:space="0"/>
              <w:left w:val="single" w:color="auto" w:sz="6" w:space="0"/>
              <w:bottom w:val="single" w:color="auto" w:sz="4" w:space="0"/>
              <w:right w:val="single" w:color="auto" w:sz="4" w:space="0"/>
            </w:tcBorders>
            <w:vAlign w:val="center"/>
          </w:tcPr>
          <w:p>
            <w:pPr>
              <w:pStyle w:val="65"/>
              <w:adjustRightInd w:val="0"/>
              <w:snapToGrid w:val="0"/>
              <w:spacing w:line="500" w:lineRule="exact"/>
              <w:jc w:val="center"/>
              <w:rPr>
                <w:rFonts w:ascii="宋体" w:hAnsi="宋体"/>
                <w:sz w:val="28"/>
                <w:szCs w:val="28"/>
                <w:highlight w:val="none"/>
              </w:rPr>
            </w:pPr>
          </w:p>
        </w:tc>
      </w:tr>
    </w:tbl>
    <w:p>
      <w:pPr>
        <w:pStyle w:val="65"/>
        <w:adjustRightInd w:val="0"/>
        <w:snapToGrid w:val="0"/>
        <w:spacing w:line="500" w:lineRule="exact"/>
        <w:ind w:left="1260" w:hanging="1260" w:hangingChars="450"/>
        <w:rPr>
          <w:rFonts w:ascii="宋体" w:hAnsi="宋体"/>
          <w:sz w:val="28"/>
          <w:szCs w:val="28"/>
          <w:highlight w:val="none"/>
        </w:rPr>
      </w:pPr>
      <w:r>
        <w:rPr>
          <w:rFonts w:hint="eastAsia" w:ascii="宋体" w:hAnsi="宋体"/>
          <w:sz w:val="28"/>
          <w:szCs w:val="28"/>
          <w:highlight w:val="none"/>
        </w:rPr>
        <w:t>说明：1．提供所投货物详细的供货范围，包括主要配件及生产厂家、备品备件等。</w:t>
      </w:r>
    </w:p>
    <w:p>
      <w:pPr>
        <w:pStyle w:val="65"/>
        <w:adjustRightInd w:val="0"/>
        <w:snapToGrid w:val="0"/>
        <w:spacing w:line="500" w:lineRule="exact"/>
        <w:ind w:left="769" w:leftChars="366"/>
        <w:rPr>
          <w:rFonts w:ascii="宋体" w:hAnsi="宋体"/>
          <w:sz w:val="28"/>
          <w:szCs w:val="28"/>
          <w:highlight w:val="none"/>
        </w:rPr>
      </w:pPr>
      <w:r>
        <w:rPr>
          <w:rFonts w:hint="eastAsia" w:ascii="宋体" w:hAnsi="宋体"/>
          <w:sz w:val="28"/>
          <w:szCs w:val="28"/>
          <w:highlight w:val="none"/>
        </w:rPr>
        <w:t>2．各项货物详细技术规格、参数及要求，应另页描述。</w:t>
      </w:r>
    </w:p>
    <w:p>
      <w:pPr>
        <w:pStyle w:val="65"/>
        <w:adjustRightInd w:val="0"/>
        <w:snapToGrid w:val="0"/>
        <w:spacing w:line="500" w:lineRule="exact"/>
        <w:rPr>
          <w:rFonts w:ascii="宋体" w:hAnsi="宋体"/>
          <w:sz w:val="28"/>
          <w:szCs w:val="28"/>
          <w:highlight w:val="none"/>
        </w:rPr>
      </w:pPr>
    </w:p>
    <w:p>
      <w:pPr>
        <w:pStyle w:val="66"/>
        <w:outlineLvl w:val="2"/>
        <w:rPr>
          <w:highlight w:val="none"/>
        </w:rPr>
      </w:pPr>
      <w:r>
        <w:rPr>
          <w:highlight w:val="none"/>
        </w:rPr>
        <w:br w:type="page"/>
      </w:r>
      <w:bookmarkStart w:id="54" w:name="_Toc256000034"/>
      <w:r>
        <w:rPr>
          <w:rFonts w:hint="eastAsia"/>
          <w:highlight w:val="none"/>
        </w:rPr>
        <w:t>（五）</w:t>
      </w:r>
      <w:bookmarkEnd w:id="54"/>
      <w:bookmarkStart w:id="55" w:name="_Toc256000035"/>
      <w:r>
        <w:rPr>
          <w:rFonts w:hint="eastAsia"/>
          <w:highlight w:val="none"/>
        </w:rPr>
        <w:t>供应商类似项目业绩</w:t>
      </w:r>
    </w:p>
    <w:p>
      <w:pPr>
        <w:pStyle w:val="54"/>
        <w:adjustRightInd w:val="0"/>
        <w:snapToGrid w:val="0"/>
        <w:spacing w:line="500" w:lineRule="exact"/>
        <w:rPr>
          <w:rFonts w:ascii="宋体" w:hAnsi="宋体"/>
          <w:sz w:val="24"/>
          <w:szCs w:val="24"/>
          <w:highlight w:val="none"/>
        </w:rPr>
      </w:pPr>
      <w:r>
        <w:rPr>
          <w:rFonts w:hint="eastAsia" w:ascii="宋体" w:hAnsi="宋体"/>
          <w:sz w:val="24"/>
          <w:szCs w:val="24"/>
          <w:highlight w:val="none"/>
        </w:rPr>
        <w:t>采购项目编号：</w:t>
      </w:r>
      <w:r>
        <w:rPr>
          <w:rFonts w:hint="eastAsia" w:ascii="宋体" w:hAnsi="宋体"/>
          <w:sz w:val="24"/>
          <w:szCs w:val="24"/>
          <w:highlight w:val="none"/>
          <w:u w:val="single"/>
        </w:rPr>
        <w:t xml:space="preserve">                              </w:t>
      </w:r>
      <w:r>
        <w:rPr>
          <w:rFonts w:hint="eastAsia" w:ascii="宋体" w:hAnsi="宋体"/>
          <w:sz w:val="24"/>
          <w:szCs w:val="24"/>
          <w:highlight w:val="none"/>
        </w:rPr>
        <w:t xml:space="preserve">     </w:t>
      </w:r>
    </w:p>
    <w:p>
      <w:pPr>
        <w:pStyle w:val="54"/>
        <w:adjustRightInd w:val="0"/>
        <w:snapToGrid w:val="0"/>
        <w:spacing w:line="500" w:lineRule="exact"/>
        <w:rPr>
          <w:rFonts w:ascii="宋体" w:hAnsi="宋体"/>
          <w:sz w:val="24"/>
          <w:szCs w:val="24"/>
          <w:highlight w:val="none"/>
          <w:u w:val="single"/>
        </w:rPr>
      </w:pPr>
      <w:r>
        <w:rPr>
          <w:rFonts w:hint="eastAsia" w:ascii="宋体" w:hAnsi="宋体"/>
          <w:sz w:val="24"/>
          <w:szCs w:val="24"/>
          <w:highlight w:val="none"/>
        </w:rPr>
        <w:t>采购项目名称：</w:t>
      </w:r>
      <w:r>
        <w:rPr>
          <w:rFonts w:hint="eastAsia" w:ascii="宋体" w:hAnsi="宋体"/>
          <w:sz w:val="24"/>
          <w:szCs w:val="24"/>
          <w:highlight w:val="none"/>
          <w:u w:val="single"/>
        </w:rPr>
        <w:t xml:space="preserve">                              </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项目名称</w:t>
            </w:r>
          </w:p>
        </w:tc>
        <w:tc>
          <w:tcPr>
            <w:tcW w:w="7200" w:type="dxa"/>
          </w:tcPr>
          <w:p>
            <w:pPr>
              <w:pStyle w:val="54"/>
              <w:tabs>
                <w:tab w:val="left" w:pos="2265"/>
              </w:tabs>
              <w:rPr>
                <w:rFonts w:ascii="宋体" w:hAnsi="宋体"/>
                <w:sz w:val="24"/>
                <w:szCs w:val="24"/>
                <w:highlight w:val="none"/>
              </w:rPr>
            </w:pPr>
            <w:r>
              <w:rPr>
                <w:rFonts w:ascii="宋体" w:hAnsi="宋体"/>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项目单位名称</w:t>
            </w:r>
          </w:p>
        </w:tc>
        <w:tc>
          <w:tcPr>
            <w:tcW w:w="7200" w:type="dxa"/>
          </w:tcPr>
          <w:p>
            <w:pPr>
              <w:pStyle w:val="54"/>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项目单位联系人姓名及联系方式</w:t>
            </w:r>
          </w:p>
        </w:tc>
        <w:tc>
          <w:tcPr>
            <w:tcW w:w="7200" w:type="dxa"/>
          </w:tcPr>
          <w:p>
            <w:pPr>
              <w:pStyle w:val="54"/>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合同金额</w:t>
            </w:r>
          </w:p>
        </w:tc>
        <w:tc>
          <w:tcPr>
            <w:tcW w:w="7200" w:type="dxa"/>
          </w:tcPr>
          <w:p>
            <w:pPr>
              <w:pStyle w:val="54"/>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项目负责人</w:t>
            </w:r>
          </w:p>
          <w:p>
            <w:pPr>
              <w:pStyle w:val="54"/>
              <w:jc w:val="center"/>
              <w:rPr>
                <w:rFonts w:ascii="宋体" w:hAnsi="宋体"/>
                <w:sz w:val="24"/>
                <w:szCs w:val="24"/>
                <w:highlight w:val="none"/>
              </w:rPr>
            </w:pPr>
            <w:r>
              <w:rPr>
                <w:rFonts w:hint="eastAsia" w:ascii="宋体" w:hAnsi="宋体"/>
                <w:sz w:val="24"/>
                <w:szCs w:val="24"/>
                <w:highlight w:val="none"/>
              </w:rPr>
              <w:t>姓名</w:t>
            </w:r>
          </w:p>
        </w:tc>
        <w:tc>
          <w:tcPr>
            <w:tcW w:w="7200" w:type="dxa"/>
          </w:tcPr>
          <w:p>
            <w:pPr>
              <w:pStyle w:val="54"/>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项目实施时间</w:t>
            </w:r>
          </w:p>
        </w:tc>
        <w:tc>
          <w:tcPr>
            <w:tcW w:w="7200" w:type="dxa"/>
          </w:tcPr>
          <w:p>
            <w:pPr>
              <w:pStyle w:val="54"/>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54"/>
              <w:jc w:val="center"/>
              <w:rPr>
                <w:rFonts w:ascii="宋体" w:hAnsi="宋体"/>
                <w:sz w:val="24"/>
                <w:szCs w:val="24"/>
                <w:highlight w:val="none"/>
              </w:rPr>
            </w:pPr>
            <w:r>
              <w:rPr>
                <w:rFonts w:hint="eastAsia" w:ascii="宋体" w:hAnsi="宋体"/>
                <w:sz w:val="24"/>
                <w:szCs w:val="24"/>
                <w:highlight w:val="none"/>
              </w:rPr>
              <w:t>项目内容说明</w:t>
            </w:r>
          </w:p>
        </w:tc>
        <w:tc>
          <w:tcPr>
            <w:tcW w:w="7200" w:type="dxa"/>
          </w:tcPr>
          <w:p>
            <w:pPr>
              <w:pStyle w:val="54"/>
              <w:jc w:val="center"/>
              <w:rPr>
                <w:rFonts w:ascii="宋体" w:hAnsi="宋体"/>
                <w:sz w:val="24"/>
                <w:szCs w:val="24"/>
                <w:highlight w:val="none"/>
              </w:rPr>
            </w:pPr>
          </w:p>
        </w:tc>
      </w:tr>
    </w:tbl>
    <w:p>
      <w:pPr>
        <w:pStyle w:val="54"/>
        <w:autoSpaceDE w:val="0"/>
        <w:autoSpaceDN w:val="0"/>
        <w:spacing w:line="360" w:lineRule="auto"/>
        <w:rPr>
          <w:rFonts w:ascii="宋体" w:hAnsi="宋体"/>
          <w:sz w:val="24"/>
          <w:szCs w:val="24"/>
          <w:highlight w:val="none"/>
        </w:rPr>
      </w:pPr>
      <w:r>
        <w:rPr>
          <w:rFonts w:hint="eastAsia" w:ascii="宋体" w:hAnsi="宋体"/>
          <w:sz w:val="24"/>
          <w:szCs w:val="24"/>
          <w:highlight w:val="none"/>
        </w:rPr>
        <w:t>说明：1．每个合同须单独附表，并附上相关证明材料，否则专家在评审时将不予采信；</w:t>
      </w:r>
    </w:p>
    <w:p>
      <w:pPr>
        <w:pStyle w:val="54"/>
        <w:spacing w:line="360" w:lineRule="auto"/>
        <w:ind w:firstLine="720" w:firstLineChars="300"/>
        <w:rPr>
          <w:rFonts w:ascii="宋体" w:hAnsi="宋体"/>
          <w:sz w:val="24"/>
          <w:szCs w:val="24"/>
          <w:highlight w:val="none"/>
        </w:rPr>
      </w:pPr>
      <w:r>
        <w:rPr>
          <w:rFonts w:hint="eastAsia" w:ascii="宋体" w:hAnsi="宋体"/>
          <w:sz w:val="24"/>
          <w:szCs w:val="24"/>
          <w:highlight w:val="none"/>
        </w:rPr>
        <w:t>2．项目内容请详细说明所承担的具体工作内容，如：网络建设、系统集成、软件开发、网站建设等；</w:t>
      </w:r>
    </w:p>
    <w:p>
      <w:pPr>
        <w:pStyle w:val="54"/>
        <w:adjustRightInd w:val="0"/>
        <w:snapToGrid w:val="0"/>
        <w:spacing w:line="500" w:lineRule="exact"/>
        <w:rPr>
          <w:rFonts w:ascii="宋体" w:hAnsi="宋体"/>
          <w:sz w:val="24"/>
          <w:szCs w:val="24"/>
          <w:highlight w:val="none"/>
        </w:rPr>
      </w:pPr>
      <w:r>
        <w:rPr>
          <w:rFonts w:hint="eastAsia" w:ascii="宋体" w:hAnsi="宋体"/>
          <w:sz w:val="24"/>
          <w:szCs w:val="24"/>
          <w:highlight w:val="none"/>
        </w:rPr>
        <w:t>投标人法定代表人（电子签名）：</w:t>
      </w:r>
      <w:r>
        <w:rPr>
          <w:rFonts w:hint="eastAsia" w:ascii="宋体" w:hAnsi="宋体"/>
          <w:sz w:val="24"/>
          <w:szCs w:val="24"/>
          <w:highlight w:val="none"/>
          <w:u w:val="single"/>
        </w:rPr>
        <w:t xml:space="preserve">                  </w:t>
      </w:r>
    </w:p>
    <w:p>
      <w:pPr>
        <w:pStyle w:val="54"/>
        <w:adjustRightInd w:val="0"/>
        <w:snapToGrid w:val="0"/>
        <w:spacing w:line="500" w:lineRule="exact"/>
        <w:rPr>
          <w:rFonts w:ascii="宋体" w:hAnsi="宋体"/>
          <w:sz w:val="24"/>
          <w:szCs w:val="24"/>
          <w:highlight w:val="none"/>
          <w:u w:val="single"/>
        </w:rPr>
      </w:pPr>
      <w:r>
        <w:rPr>
          <w:rFonts w:hint="eastAsia" w:ascii="宋体" w:hAnsi="宋体"/>
          <w:sz w:val="24"/>
          <w:szCs w:val="24"/>
          <w:highlight w:val="none"/>
        </w:rPr>
        <w:t>投标人名称（电子签章）：</w:t>
      </w:r>
      <w:r>
        <w:rPr>
          <w:rFonts w:hint="eastAsia" w:ascii="宋体" w:hAnsi="宋体"/>
          <w:sz w:val="24"/>
          <w:szCs w:val="24"/>
          <w:highlight w:val="none"/>
          <w:u w:val="single"/>
        </w:rPr>
        <w:t xml:space="preserve">                       </w:t>
      </w:r>
    </w:p>
    <w:p>
      <w:pPr>
        <w:pStyle w:val="54"/>
        <w:spacing w:line="500" w:lineRule="exact"/>
        <w:rPr>
          <w:rFonts w:ascii="宋体" w:hAnsi="宋体"/>
          <w:sz w:val="24"/>
          <w:szCs w:val="24"/>
          <w:highlight w:val="none"/>
        </w:rPr>
      </w:pP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 xml:space="preserve"> 月</w:t>
      </w:r>
      <w:r>
        <w:rPr>
          <w:rFonts w:hint="eastAsia" w:ascii="宋体" w:hAnsi="宋体"/>
          <w:sz w:val="24"/>
          <w:szCs w:val="24"/>
          <w:highlight w:val="none"/>
          <w:u w:val="single"/>
        </w:rPr>
        <w:t xml:space="preserve">    </w:t>
      </w:r>
      <w:r>
        <w:rPr>
          <w:rFonts w:hint="eastAsia" w:ascii="宋体" w:hAnsi="宋体"/>
          <w:sz w:val="24"/>
          <w:szCs w:val="24"/>
          <w:highlight w:val="none"/>
        </w:rPr>
        <w:t xml:space="preserve"> 日</w:t>
      </w:r>
    </w:p>
    <w:p>
      <w:pPr>
        <w:pStyle w:val="68"/>
        <w:outlineLvl w:val="2"/>
        <w:rPr>
          <w:highlight w:val="none"/>
        </w:rPr>
      </w:pPr>
      <w:r>
        <w:rPr>
          <w:highlight w:val="none"/>
        </w:rPr>
        <w:br w:type="page"/>
      </w:r>
    </w:p>
    <w:bookmarkEnd w:id="55"/>
    <w:p>
      <w:pPr>
        <w:pStyle w:val="68"/>
        <w:outlineLvl w:val="2"/>
        <w:rPr>
          <w:highlight w:val="none"/>
        </w:rPr>
      </w:pPr>
      <w:r>
        <w:rPr>
          <w:rFonts w:hint="eastAsia"/>
          <w:highlight w:val="none"/>
        </w:rPr>
        <w:t>（六）项目负责人类似项目业绩</w:t>
      </w:r>
    </w:p>
    <w:p>
      <w:pPr>
        <w:pStyle w:val="69"/>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69"/>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tbl>
      <w:tblPr>
        <w:tblStyle w:val="22"/>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Align w:val="center"/>
          </w:tcPr>
          <w:p>
            <w:pPr>
              <w:pStyle w:val="69"/>
              <w:jc w:val="center"/>
              <w:rPr>
                <w:rFonts w:ascii="宋体" w:hAnsi="宋体"/>
                <w:sz w:val="28"/>
                <w:szCs w:val="28"/>
                <w:highlight w:val="none"/>
              </w:rPr>
            </w:pPr>
            <w:r>
              <w:rPr>
                <w:rFonts w:hint="eastAsia" w:ascii="宋体" w:hAnsi="宋体"/>
                <w:sz w:val="28"/>
                <w:szCs w:val="28"/>
                <w:highlight w:val="none"/>
              </w:rPr>
              <w:t>姓    名</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性    别</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年    龄</w:t>
            </w:r>
          </w:p>
        </w:tc>
        <w:tc>
          <w:tcPr>
            <w:tcW w:w="1530" w:type="dxa"/>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vAlign w:val="center"/>
          </w:tcPr>
          <w:p>
            <w:pPr>
              <w:pStyle w:val="69"/>
              <w:jc w:val="center"/>
              <w:rPr>
                <w:rFonts w:ascii="宋体" w:hAnsi="宋体"/>
                <w:sz w:val="28"/>
                <w:szCs w:val="28"/>
                <w:highlight w:val="none"/>
              </w:rPr>
            </w:pPr>
            <w:r>
              <w:rPr>
                <w:rFonts w:hint="eastAsia" w:ascii="宋体" w:hAnsi="宋体"/>
                <w:sz w:val="28"/>
                <w:szCs w:val="28"/>
                <w:highlight w:val="none"/>
              </w:rPr>
              <w:t>职    务</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职    称</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学    历</w:t>
            </w:r>
          </w:p>
        </w:tc>
        <w:tc>
          <w:tcPr>
            <w:tcW w:w="1530" w:type="dxa"/>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0" w:type="dxa"/>
            <w:vAlign w:val="center"/>
          </w:tcPr>
          <w:p>
            <w:pPr>
              <w:pStyle w:val="69"/>
              <w:jc w:val="center"/>
              <w:rPr>
                <w:rFonts w:ascii="宋体" w:hAnsi="宋体"/>
                <w:sz w:val="28"/>
                <w:szCs w:val="28"/>
                <w:highlight w:val="none"/>
              </w:rPr>
            </w:pPr>
            <w:r>
              <w:rPr>
                <w:rFonts w:hint="eastAsia" w:ascii="宋体" w:hAnsi="宋体"/>
                <w:sz w:val="28"/>
                <w:szCs w:val="28"/>
                <w:highlight w:val="none"/>
              </w:rPr>
              <w:t>参加工作</w:t>
            </w:r>
          </w:p>
          <w:p>
            <w:pPr>
              <w:pStyle w:val="69"/>
              <w:jc w:val="center"/>
              <w:rPr>
                <w:rFonts w:ascii="宋体" w:hAnsi="宋体"/>
                <w:sz w:val="28"/>
                <w:szCs w:val="28"/>
                <w:highlight w:val="none"/>
              </w:rPr>
            </w:pPr>
            <w:r>
              <w:rPr>
                <w:rFonts w:hint="eastAsia" w:ascii="宋体" w:hAnsi="宋体"/>
                <w:sz w:val="28"/>
                <w:szCs w:val="28"/>
                <w:highlight w:val="none"/>
              </w:rPr>
              <w:t>时间</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从事本行业工作年限</w:t>
            </w:r>
          </w:p>
        </w:tc>
        <w:tc>
          <w:tcPr>
            <w:tcW w:w="1530" w:type="dxa"/>
            <w:gridSpan w:val="2"/>
            <w:vAlign w:val="center"/>
          </w:tcPr>
          <w:p>
            <w:pPr>
              <w:pStyle w:val="69"/>
              <w:jc w:val="center"/>
              <w:rPr>
                <w:rFonts w:ascii="宋体" w:hAnsi="宋体"/>
                <w:sz w:val="28"/>
                <w:szCs w:val="28"/>
                <w:highlight w:val="none"/>
              </w:rPr>
            </w:pPr>
          </w:p>
        </w:tc>
        <w:tc>
          <w:tcPr>
            <w:tcW w:w="1530"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个人专业资质及证书</w:t>
            </w:r>
          </w:p>
        </w:tc>
        <w:tc>
          <w:tcPr>
            <w:tcW w:w="1530" w:type="dxa"/>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180" w:type="dxa"/>
            <w:gridSpan w:val="10"/>
            <w:vAlign w:val="center"/>
          </w:tcPr>
          <w:p>
            <w:pPr>
              <w:pStyle w:val="69"/>
              <w:jc w:val="center"/>
              <w:rPr>
                <w:rFonts w:ascii="宋体" w:hAnsi="宋体"/>
                <w:sz w:val="28"/>
                <w:szCs w:val="28"/>
                <w:highlight w:val="none"/>
              </w:rPr>
            </w:pPr>
            <w:r>
              <w:rPr>
                <w:rFonts w:hint="eastAsia" w:ascii="宋体" w:hAnsi="宋体"/>
                <w:sz w:val="28"/>
                <w:szCs w:val="28"/>
                <w:highlight w:val="none"/>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9180" w:type="dxa"/>
            <w:gridSpan w:val="10"/>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9180" w:type="dxa"/>
            <w:gridSpan w:val="10"/>
            <w:vAlign w:val="center"/>
          </w:tcPr>
          <w:p>
            <w:pPr>
              <w:pStyle w:val="69"/>
              <w:jc w:val="center"/>
              <w:rPr>
                <w:rFonts w:ascii="宋体" w:hAnsi="宋体"/>
                <w:sz w:val="28"/>
                <w:szCs w:val="28"/>
                <w:highlight w:val="none"/>
              </w:rPr>
            </w:pPr>
            <w:r>
              <w:rPr>
                <w:rFonts w:hint="eastAsia" w:ascii="宋体" w:hAnsi="宋体"/>
                <w:sz w:val="28"/>
                <w:szCs w:val="28"/>
                <w:highlight w:val="none"/>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项目使用单位</w:t>
            </w:r>
          </w:p>
        </w:tc>
        <w:tc>
          <w:tcPr>
            <w:tcW w:w="1836"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项目名称</w:t>
            </w:r>
          </w:p>
        </w:tc>
        <w:tc>
          <w:tcPr>
            <w:tcW w:w="1836"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项目建设内容</w:t>
            </w:r>
          </w:p>
        </w:tc>
        <w:tc>
          <w:tcPr>
            <w:tcW w:w="1836"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项目总金额</w:t>
            </w:r>
          </w:p>
        </w:tc>
        <w:tc>
          <w:tcPr>
            <w:tcW w:w="1836" w:type="dxa"/>
            <w:gridSpan w:val="2"/>
            <w:vAlign w:val="center"/>
          </w:tcPr>
          <w:p>
            <w:pPr>
              <w:pStyle w:val="69"/>
              <w:jc w:val="center"/>
              <w:rPr>
                <w:rFonts w:ascii="宋体" w:hAnsi="宋体"/>
                <w:sz w:val="28"/>
                <w:szCs w:val="28"/>
                <w:highlight w:val="none"/>
              </w:rPr>
            </w:pPr>
            <w:r>
              <w:rPr>
                <w:rFonts w:hint="eastAsia" w:ascii="宋体" w:hAnsi="宋体"/>
                <w:sz w:val="28"/>
                <w:szCs w:val="28"/>
                <w:highlight w:val="none"/>
              </w:rPr>
              <w:t>项目建设周期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c>
          <w:tcPr>
            <w:tcW w:w="1836" w:type="dxa"/>
            <w:gridSpan w:val="2"/>
            <w:vAlign w:val="center"/>
          </w:tcPr>
          <w:p>
            <w:pPr>
              <w:pStyle w:val="69"/>
              <w:jc w:val="center"/>
              <w:rPr>
                <w:rFonts w:ascii="宋体" w:hAnsi="宋体"/>
                <w:sz w:val="28"/>
                <w:szCs w:val="28"/>
                <w:highlight w:val="none"/>
              </w:rPr>
            </w:pPr>
          </w:p>
        </w:tc>
      </w:tr>
    </w:tbl>
    <w:p>
      <w:pPr>
        <w:pStyle w:val="69"/>
        <w:jc w:val="center"/>
        <w:rPr>
          <w:rFonts w:ascii="宋体" w:hAnsi="宋体"/>
          <w:sz w:val="28"/>
          <w:szCs w:val="28"/>
          <w:highlight w:val="none"/>
        </w:rPr>
      </w:pPr>
      <w:r>
        <w:rPr>
          <w:rFonts w:hint="eastAsia" w:ascii="宋体" w:hAnsi="宋体"/>
          <w:sz w:val="28"/>
          <w:szCs w:val="28"/>
          <w:highlight w:val="none"/>
        </w:rPr>
        <w:t>说明：必须附相关证明材料的完整清晰扫描件，否则评委在评审时将</w:t>
      </w:r>
    </w:p>
    <w:p>
      <w:pPr>
        <w:pStyle w:val="69"/>
        <w:rPr>
          <w:rFonts w:ascii="宋体" w:hAnsi="宋体"/>
          <w:sz w:val="28"/>
          <w:szCs w:val="28"/>
          <w:highlight w:val="none"/>
        </w:rPr>
      </w:pPr>
      <w:r>
        <w:rPr>
          <w:rFonts w:hint="eastAsia" w:ascii="宋体" w:hAnsi="宋体"/>
          <w:sz w:val="28"/>
          <w:szCs w:val="28"/>
          <w:highlight w:val="none"/>
        </w:rPr>
        <w:t>不予承认。</w:t>
      </w:r>
    </w:p>
    <w:p>
      <w:pPr>
        <w:pStyle w:val="69"/>
        <w:tabs>
          <w:tab w:val="left" w:pos="750"/>
        </w:tabs>
        <w:adjustRightInd w:val="0"/>
        <w:snapToGrid w:val="0"/>
        <w:spacing w:line="500" w:lineRule="exact"/>
        <w:rPr>
          <w:rFonts w:ascii="宋体" w:hAnsi="宋体"/>
          <w:sz w:val="28"/>
          <w:szCs w:val="28"/>
          <w:highlight w:val="none"/>
        </w:rPr>
      </w:pPr>
    </w:p>
    <w:p>
      <w:pPr>
        <w:pStyle w:val="70"/>
        <w:outlineLvl w:val="2"/>
        <w:rPr>
          <w:highlight w:val="none"/>
        </w:rPr>
      </w:pPr>
      <w:r>
        <w:rPr>
          <w:rFonts w:hint="eastAsia"/>
          <w:highlight w:val="none"/>
        </w:rPr>
        <w:t>（七）人员配备</w:t>
      </w:r>
    </w:p>
    <w:p>
      <w:pPr>
        <w:pStyle w:val="71"/>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71"/>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p>
      <w:pPr>
        <w:pStyle w:val="78"/>
        <w:outlineLvl w:val="2"/>
        <w:rPr>
          <w:highlight w:val="none"/>
        </w:rPr>
      </w:pPr>
      <w:r>
        <w:rPr>
          <w:highlight w:val="none"/>
        </w:rPr>
        <w:br w:type="page"/>
      </w:r>
      <w:bookmarkStart w:id="56" w:name="_Toc256000037"/>
      <w:r>
        <w:rPr>
          <w:rFonts w:hint="eastAsia" w:ascii="宋体" w:hAnsi="宋体" w:eastAsia="宋体" w:cs="宋体"/>
          <w:bCs/>
          <w:szCs w:val="32"/>
          <w:highlight w:val="none"/>
        </w:rPr>
        <w:t>（</w:t>
      </w:r>
      <w:r>
        <w:rPr>
          <w:rFonts w:hint="eastAsia" w:ascii="宋体" w:hAnsi="宋体" w:eastAsia="宋体" w:cs="宋体"/>
          <w:b w:val="0"/>
          <w:bCs/>
          <w:szCs w:val="32"/>
          <w:highlight w:val="none"/>
        </w:rPr>
        <w:t>八</w:t>
      </w:r>
      <w:r>
        <w:rPr>
          <w:rFonts w:hint="eastAsia" w:ascii="宋体" w:hAnsi="宋体" w:eastAsia="宋体" w:cs="宋体"/>
          <w:bCs/>
          <w:szCs w:val="32"/>
          <w:highlight w:val="none"/>
        </w:rPr>
        <w:t>）</w:t>
      </w:r>
      <w:bookmarkEnd w:id="56"/>
      <w:bookmarkStart w:id="57" w:name="_Toc256000038"/>
      <w:r>
        <w:rPr>
          <w:highlight w:val="none"/>
        </w:rPr>
        <w:t>法定授权人委托书</w:t>
      </w:r>
    </w:p>
    <w:p>
      <w:pPr>
        <w:pStyle w:val="79"/>
        <w:adjustRightInd w:val="0"/>
        <w:snapToGrid w:val="0"/>
        <w:spacing w:line="360" w:lineRule="auto"/>
        <w:ind w:left="560" w:hanging="560" w:hangingChars="200"/>
        <w:rPr>
          <w:rFonts w:ascii="宋体" w:hAnsi="宋体" w:cs="Corbel"/>
          <w:sz w:val="28"/>
          <w:szCs w:val="28"/>
          <w:highlight w:val="none"/>
        </w:rPr>
      </w:pPr>
    </w:p>
    <w:p>
      <w:pPr>
        <w:pStyle w:val="80"/>
        <w:tabs>
          <w:tab w:val="left" w:pos="5580"/>
        </w:tabs>
        <w:spacing w:line="360" w:lineRule="auto"/>
        <w:ind w:firstLine="480"/>
        <w:rPr>
          <w:rFonts w:hAnsi="宋体"/>
          <w:sz w:val="24"/>
          <w:szCs w:val="28"/>
          <w:highlight w:val="none"/>
        </w:rPr>
      </w:pPr>
      <w:r>
        <w:rPr>
          <w:rFonts w:hint="eastAsia" w:hAnsi="宋体"/>
          <w:sz w:val="24"/>
          <w:szCs w:val="24"/>
          <w:highlight w:val="none"/>
        </w:rPr>
        <w:t xml:space="preserve">本授权书声明：注册于 </w:t>
      </w:r>
      <w:r>
        <w:rPr>
          <w:rFonts w:hint="eastAsia" w:hAnsi="宋体"/>
          <w:sz w:val="24"/>
          <w:szCs w:val="24"/>
          <w:highlight w:val="none"/>
          <w:u w:val="single"/>
        </w:rPr>
        <w:t xml:space="preserve">              </w:t>
      </w:r>
      <w:r>
        <w:rPr>
          <w:rFonts w:hint="eastAsia" w:hAnsi="宋体"/>
          <w:sz w:val="24"/>
          <w:szCs w:val="24"/>
          <w:highlight w:val="none"/>
        </w:rPr>
        <w:t>（投标人住址）的</w:t>
      </w:r>
      <w:r>
        <w:rPr>
          <w:rFonts w:hint="eastAsia" w:hAnsi="宋体"/>
          <w:sz w:val="24"/>
          <w:szCs w:val="24"/>
          <w:highlight w:val="none"/>
          <w:u w:val="single"/>
        </w:rPr>
        <w:t xml:space="preserve">           </w:t>
      </w:r>
      <w:r>
        <w:rPr>
          <w:rFonts w:hint="eastAsia" w:hAnsi="宋体"/>
          <w:sz w:val="24"/>
          <w:szCs w:val="24"/>
          <w:highlight w:val="none"/>
        </w:rPr>
        <w:t>（投标人名称）的在下面电子签章的</w:t>
      </w:r>
      <w:r>
        <w:rPr>
          <w:rFonts w:hint="eastAsia" w:hAnsi="宋体"/>
          <w:sz w:val="24"/>
          <w:szCs w:val="24"/>
          <w:highlight w:val="none"/>
          <w:u w:val="single"/>
        </w:rPr>
        <w:t xml:space="preserve">             </w:t>
      </w:r>
      <w:r>
        <w:rPr>
          <w:rFonts w:hint="eastAsia" w:hAnsi="宋体"/>
          <w:sz w:val="24"/>
          <w:szCs w:val="24"/>
          <w:highlight w:val="none"/>
        </w:rPr>
        <w:t>（法定代表人姓名、职务）代表本公司授权</w:t>
      </w:r>
      <w:r>
        <w:rPr>
          <w:rFonts w:hint="eastAsia" w:hAnsi="宋体"/>
          <w:sz w:val="24"/>
          <w:szCs w:val="24"/>
          <w:highlight w:val="none"/>
          <w:u w:val="single"/>
        </w:rPr>
        <w:t xml:space="preserve">             </w:t>
      </w:r>
      <w:r>
        <w:rPr>
          <w:rFonts w:hint="eastAsia" w:hAnsi="宋体"/>
          <w:sz w:val="24"/>
          <w:szCs w:val="24"/>
          <w:highlight w:val="none"/>
        </w:rPr>
        <w:t>（授权代理人的姓名、职务）为本公司的合法代理人，就贵方组织</w:t>
      </w:r>
      <w:r>
        <w:rPr>
          <w:rFonts w:hint="eastAsia" w:hAnsi="宋体"/>
          <w:sz w:val="24"/>
          <w:szCs w:val="24"/>
          <w:highlight w:val="none"/>
          <w:u w:val="single"/>
        </w:rPr>
        <w:t xml:space="preserve">             </w:t>
      </w:r>
      <w:r>
        <w:rPr>
          <w:rFonts w:hint="eastAsia" w:hAnsi="宋体"/>
          <w:sz w:val="24"/>
          <w:szCs w:val="24"/>
          <w:highlight w:val="none"/>
        </w:rPr>
        <w:t>（项目名称）项目（项目编号、包号：</w:t>
      </w:r>
      <w:r>
        <w:rPr>
          <w:rFonts w:hint="eastAsia" w:hAnsi="宋体"/>
          <w:sz w:val="24"/>
          <w:szCs w:val="24"/>
          <w:highlight w:val="none"/>
          <w:u w:val="single"/>
        </w:rPr>
        <w:t xml:space="preserve">           </w:t>
      </w:r>
      <w:r>
        <w:rPr>
          <w:rFonts w:hint="eastAsia" w:hAnsi="宋体"/>
          <w:sz w:val="24"/>
          <w:szCs w:val="24"/>
          <w:highlight w:val="none"/>
        </w:rPr>
        <w:t>），以本公司名义处理一切与之有关的事宜。</w:t>
      </w:r>
      <w:r>
        <w:rPr>
          <w:rFonts w:hint="eastAsia" w:hAnsi="宋体"/>
          <w:sz w:val="24"/>
          <w:szCs w:val="28"/>
          <w:highlight w:val="none"/>
        </w:rPr>
        <w:t>投标人授权代理人在投标过程中所签署的一切文件和处理与之有关的一切事务，本公司均予以认可并对此承担责任。</w:t>
      </w:r>
    </w:p>
    <w:p>
      <w:pPr>
        <w:pStyle w:val="80"/>
        <w:tabs>
          <w:tab w:val="left" w:pos="5580"/>
        </w:tabs>
        <w:spacing w:line="360" w:lineRule="auto"/>
        <w:ind w:firstLine="480"/>
        <w:rPr>
          <w:rFonts w:hAnsi="宋体"/>
          <w:sz w:val="24"/>
          <w:szCs w:val="24"/>
          <w:highlight w:val="none"/>
        </w:rPr>
      </w:pPr>
      <w:r>
        <w:rPr>
          <w:rFonts w:hint="eastAsia" w:hAnsi="宋体"/>
          <w:sz w:val="24"/>
          <w:szCs w:val="28"/>
          <w:highlight w:val="none"/>
        </w:rPr>
        <w:t>投标人授权代理人无转委托权。特此授权。</w:t>
      </w:r>
      <w:r>
        <w:rPr>
          <w:rFonts w:hint="eastAsia" w:hAnsi="宋体"/>
          <w:sz w:val="24"/>
          <w:szCs w:val="24"/>
          <w:highlight w:val="none"/>
        </w:rPr>
        <w:cr/>
      </w:r>
      <w:r>
        <w:rPr>
          <w:rFonts w:hint="eastAsia" w:hAnsi="宋体"/>
          <w:sz w:val="24"/>
          <w:szCs w:val="24"/>
          <w:highlight w:val="none"/>
        </w:rPr>
        <w:t>　　</w:t>
      </w:r>
    </w:p>
    <w:p>
      <w:pPr>
        <w:pStyle w:val="80"/>
        <w:tabs>
          <w:tab w:val="left" w:pos="5580"/>
        </w:tabs>
        <w:spacing w:line="360" w:lineRule="auto"/>
        <w:ind w:firstLine="480"/>
        <w:rPr>
          <w:rFonts w:hAnsi="宋体"/>
          <w:sz w:val="24"/>
          <w:szCs w:val="24"/>
          <w:highlight w:val="none"/>
        </w:rPr>
      </w:pPr>
      <w:r>
        <w:rPr>
          <w:rFonts w:hint="eastAsia" w:hAnsi="宋体"/>
          <w:sz w:val="24"/>
          <w:szCs w:val="24"/>
          <w:highlight w:val="none"/>
        </w:rPr>
        <w:t>本授权书于__________年_____月______日生效，特此声明。</w:t>
      </w:r>
      <w:r>
        <w:rPr>
          <w:rFonts w:hint="eastAsia" w:hAnsi="宋体"/>
          <w:sz w:val="24"/>
          <w:szCs w:val="24"/>
          <w:highlight w:val="none"/>
        </w:rPr>
        <w:cr/>
      </w: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b/>
          <w:sz w:val="24"/>
          <w:szCs w:val="24"/>
          <w:highlight w:val="none"/>
        </w:rPr>
      </w:pPr>
      <w:r>
        <w:rPr>
          <w:rFonts w:hint="eastAsia" w:hAnsi="宋体"/>
          <w:b/>
          <w:sz w:val="24"/>
          <w:szCs w:val="24"/>
          <w:highlight w:val="none"/>
        </w:rPr>
        <w:t xml:space="preserve">                                （附授权代理人身份证正反两面扫描件）</w:t>
      </w: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80"/>
        <w:tabs>
          <w:tab w:val="left" w:pos="5580"/>
        </w:tabs>
        <w:spacing w:line="360" w:lineRule="auto"/>
        <w:rPr>
          <w:rFonts w:hAnsi="宋体"/>
          <w:sz w:val="24"/>
          <w:szCs w:val="24"/>
          <w:highlight w:val="none"/>
        </w:rPr>
      </w:pPr>
    </w:p>
    <w:p>
      <w:pPr>
        <w:pStyle w:val="79"/>
        <w:spacing w:line="360" w:lineRule="auto"/>
        <w:ind w:firstLine="480" w:firstLineChars="200"/>
        <w:rPr>
          <w:rFonts w:ascii="宋体" w:hAnsi="宋体"/>
          <w:sz w:val="24"/>
          <w:highlight w:val="none"/>
        </w:rPr>
      </w:pPr>
      <w:r>
        <w:rPr>
          <w:rFonts w:hint="eastAsia" w:ascii="宋体" w:hAnsi="宋体"/>
          <w:sz w:val="24"/>
          <w:highlight w:val="none"/>
        </w:rPr>
        <w:t>投标人法定代表人电子签名：</w:t>
      </w:r>
    </w:p>
    <w:p>
      <w:pPr>
        <w:pStyle w:val="79"/>
        <w:spacing w:line="360" w:lineRule="auto"/>
        <w:ind w:firstLine="480" w:firstLineChars="200"/>
        <w:rPr>
          <w:rFonts w:ascii="宋体" w:hAnsi="宋体"/>
          <w:sz w:val="24"/>
          <w:highlight w:val="none"/>
        </w:rPr>
      </w:pPr>
    </w:p>
    <w:p>
      <w:pPr>
        <w:pStyle w:val="79"/>
        <w:spacing w:line="360" w:lineRule="auto"/>
        <w:ind w:firstLine="480" w:firstLineChars="200"/>
        <w:rPr>
          <w:rFonts w:ascii="宋体" w:hAnsi="宋体"/>
          <w:sz w:val="24"/>
          <w:highlight w:val="none"/>
        </w:rPr>
      </w:pPr>
      <w:r>
        <w:rPr>
          <w:rFonts w:hint="eastAsia" w:ascii="宋体" w:hAnsi="宋体"/>
          <w:sz w:val="24"/>
          <w:highlight w:val="none"/>
        </w:rPr>
        <w:t>投标人电子签章：</w:t>
      </w:r>
    </w:p>
    <w:p>
      <w:pPr>
        <w:pStyle w:val="79"/>
        <w:spacing w:line="360" w:lineRule="auto"/>
        <w:ind w:firstLine="480" w:firstLineChars="200"/>
        <w:rPr>
          <w:rFonts w:ascii="宋体" w:hAnsi="宋体"/>
          <w:sz w:val="24"/>
          <w:highlight w:val="none"/>
        </w:rPr>
      </w:pPr>
    </w:p>
    <w:p>
      <w:pPr>
        <w:pStyle w:val="79"/>
        <w:spacing w:line="360" w:lineRule="auto"/>
        <w:ind w:firstLine="480" w:firstLineChars="200"/>
        <w:rPr>
          <w:rFonts w:ascii="宋体" w:hAnsi="宋体"/>
          <w:sz w:val="24"/>
          <w:highlight w:val="none"/>
        </w:rPr>
      </w:pPr>
      <w:r>
        <w:rPr>
          <w:rFonts w:ascii="宋体" w:hAnsi="宋体"/>
          <w:sz w:val="24"/>
          <w:highlight w:val="none"/>
        </w:rPr>
        <w:t>日</w:t>
      </w:r>
      <w:r>
        <w:rPr>
          <w:rFonts w:hint="eastAsia" w:ascii="宋体" w:hAnsi="宋体"/>
          <w:sz w:val="24"/>
          <w:highlight w:val="none"/>
        </w:rPr>
        <w:t xml:space="preserve">   </w:t>
      </w:r>
      <w:r>
        <w:rPr>
          <w:rFonts w:ascii="宋体" w:hAnsi="宋体"/>
          <w:sz w:val="24"/>
          <w:highlight w:val="none"/>
        </w:rPr>
        <w:t>期：</w:t>
      </w:r>
      <w:r>
        <w:rPr>
          <w:rFonts w:hint="eastAsia" w:ascii="宋体" w:hAnsi="宋体"/>
          <w:sz w:val="24"/>
          <w:highlight w:val="none"/>
          <w:u w:val="single"/>
        </w:rPr>
        <w:t xml:space="preserve">         </w:t>
      </w:r>
      <w:r>
        <w:rPr>
          <w:rFonts w:ascii="宋体" w:hAnsi="宋体"/>
          <w:sz w:val="24"/>
          <w:highlight w:val="none"/>
        </w:rPr>
        <w:t>年</w:t>
      </w:r>
      <w:r>
        <w:rPr>
          <w:rFonts w:hint="eastAsia" w:ascii="宋体" w:hAnsi="宋体"/>
          <w:sz w:val="24"/>
          <w:highlight w:val="none"/>
          <w:u w:val="single"/>
        </w:rPr>
        <w:t xml:space="preserve">     </w:t>
      </w:r>
      <w:r>
        <w:rPr>
          <w:rFonts w:ascii="宋体" w:hAnsi="宋体"/>
          <w:sz w:val="24"/>
          <w:highlight w:val="none"/>
        </w:rPr>
        <w:t>月</w:t>
      </w:r>
      <w:r>
        <w:rPr>
          <w:rFonts w:hint="eastAsia" w:ascii="宋体" w:hAnsi="宋体"/>
          <w:sz w:val="24"/>
          <w:highlight w:val="none"/>
          <w:u w:val="single"/>
        </w:rPr>
        <w:t xml:space="preserve">     </w:t>
      </w:r>
      <w:r>
        <w:rPr>
          <w:rFonts w:ascii="宋体" w:hAnsi="宋体"/>
          <w:sz w:val="24"/>
          <w:highlight w:val="none"/>
        </w:rPr>
        <w:t>日</w:t>
      </w:r>
    </w:p>
    <w:p>
      <w:pPr>
        <w:pStyle w:val="80"/>
        <w:snapToGrid w:val="0"/>
        <w:spacing w:line="360" w:lineRule="auto"/>
        <w:jc w:val="left"/>
        <w:rPr>
          <w:rFonts w:hAnsi="宋体"/>
          <w:b/>
          <w:sz w:val="24"/>
          <w:szCs w:val="24"/>
          <w:highlight w:val="none"/>
        </w:rPr>
      </w:pPr>
    </w:p>
    <w:p>
      <w:pPr>
        <w:pStyle w:val="82"/>
        <w:widowControl/>
        <w:spacing w:line="360" w:lineRule="auto"/>
        <w:ind w:left="0" w:leftChars="0"/>
        <w:rPr>
          <w:rFonts w:hAnsi="宋体"/>
          <w:b/>
          <w:sz w:val="24"/>
          <w:highlight w:val="none"/>
        </w:rPr>
      </w:pPr>
      <w:r>
        <w:rPr>
          <w:rFonts w:hAnsi="宋体"/>
          <w:b/>
          <w:sz w:val="24"/>
          <w:highlight w:val="none"/>
        </w:rPr>
        <w:br w:type="page"/>
      </w:r>
      <w:r>
        <w:rPr>
          <w:rFonts w:hint="eastAsia" w:hAnsi="宋体"/>
          <w:b/>
          <w:sz w:val="24"/>
          <w:highlight w:val="none"/>
        </w:rPr>
        <w:t>附：法定代表人身份证明书</w:t>
      </w:r>
    </w:p>
    <w:p>
      <w:pPr>
        <w:pStyle w:val="79"/>
        <w:spacing w:line="360" w:lineRule="auto"/>
        <w:rPr>
          <w:rFonts w:ascii="宋体" w:hAnsi="宋体"/>
          <w:highlight w:val="none"/>
        </w:rPr>
      </w:pPr>
    </w:p>
    <w:p>
      <w:pPr>
        <w:pStyle w:val="79"/>
        <w:spacing w:line="360" w:lineRule="auto"/>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单位名称：</w:t>
      </w:r>
      <w:r>
        <w:rPr>
          <w:rFonts w:hint="eastAsia" w:ascii="宋体" w:hAnsi="宋体"/>
          <w:sz w:val="24"/>
          <w:highlight w:val="none"/>
          <w:u w:val="single"/>
        </w:rPr>
        <w:t xml:space="preserve">                                  </w:t>
      </w:r>
    </w:p>
    <w:p>
      <w:pPr>
        <w:pStyle w:val="79"/>
        <w:spacing w:line="360" w:lineRule="auto"/>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单位</w:t>
      </w:r>
      <w:r>
        <w:rPr>
          <w:rFonts w:hint="eastAsia" w:ascii="宋体" w:hAnsi="宋体"/>
          <w:sz w:val="24"/>
          <w:highlight w:val="none"/>
        </w:rPr>
        <w:t>类型</w:t>
      </w:r>
      <w:r>
        <w:rPr>
          <w:rFonts w:ascii="宋体" w:hAnsi="宋体"/>
          <w:sz w:val="24"/>
          <w:highlight w:val="none"/>
        </w:rPr>
        <w:t>：</w:t>
      </w:r>
      <w:r>
        <w:rPr>
          <w:rFonts w:hint="eastAsia" w:ascii="宋体" w:hAnsi="宋体"/>
          <w:sz w:val="24"/>
          <w:highlight w:val="none"/>
          <w:u w:val="single"/>
        </w:rPr>
        <w:t xml:space="preserve">                                  </w:t>
      </w:r>
    </w:p>
    <w:p>
      <w:pPr>
        <w:pStyle w:val="79"/>
        <w:spacing w:line="360" w:lineRule="auto"/>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住</w:t>
      </w:r>
      <w:r>
        <w:rPr>
          <w:rFonts w:ascii="宋体" w:hAnsi="宋体"/>
          <w:sz w:val="24"/>
          <w:highlight w:val="none"/>
        </w:rPr>
        <w:t xml:space="preserve">    </w:t>
      </w:r>
      <w:r>
        <w:rPr>
          <w:rFonts w:hint="eastAsia" w:ascii="宋体" w:hAnsi="宋体"/>
          <w:sz w:val="24"/>
          <w:highlight w:val="none"/>
        </w:rPr>
        <w:t>所</w:t>
      </w:r>
      <w:r>
        <w:rPr>
          <w:rFonts w:ascii="宋体" w:hAnsi="宋体"/>
          <w:sz w:val="24"/>
          <w:highlight w:val="none"/>
        </w:rPr>
        <w:t>：</w:t>
      </w:r>
      <w:r>
        <w:rPr>
          <w:rFonts w:hint="eastAsia" w:ascii="宋体" w:hAnsi="宋体"/>
          <w:sz w:val="24"/>
          <w:highlight w:val="none"/>
          <w:u w:val="single"/>
        </w:rPr>
        <w:t xml:space="preserve">                                  </w:t>
      </w:r>
    </w:p>
    <w:p>
      <w:pPr>
        <w:pStyle w:val="79"/>
        <w:spacing w:line="360" w:lineRule="auto"/>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成立</w:t>
      </w:r>
      <w:r>
        <w:rPr>
          <w:rFonts w:hint="eastAsia" w:ascii="宋体" w:hAnsi="宋体"/>
          <w:sz w:val="24"/>
          <w:highlight w:val="none"/>
        </w:rPr>
        <w:t>日期</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年</w:t>
      </w:r>
      <w:r>
        <w:rPr>
          <w:rFonts w:hint="eastAsia" w:ascii="宋体" w:hAnsi="宋体"/>
          <w:sz w:val="24"/>
          <w:highlight w:val="none"/>
          <w:u w:val="single"/>
        </w:rPr>
        <w:t xml:space="preserve">     </w:t>
      </w:r>
      <w:r>
        <w:rPr>
          <w:rFonts w:ascii="宋体" w:hAnsi="宋体"/>
          <w:sz w:val="24"/>
          <w:highlight w:val="none"/>
        </w:rPr>
        <w:t>月</w:t>
      </w:r>
      <w:r>
        <w:rPr>
          <w:rFonts w:hint="eastAsia" w:ascii="宋体" w:hAnsi="宋体"/>
          <w:sz w:val="24"/>
          <w:highlight w:val="none"/>
          <w:u w:val="single"/>
        </w:rPr>
        <w:t xml:space="preserve">     </w:t>
      </w:r>
      <w:r>
        <w:rPr>
          <w:rFonts w:ascii="宋体" w:hAnsi="宋体"/>
          <w:sz w:val="24"/>
          <w:highlight w:val="none"/>
        </w:rPr>
        <w:t>日</w:t>
      </w:r>
    </w:p>
    <w:p>
      <w:pPr>
        <w:pStyle w:val="79"/>
        <w:spacing w:line="360" w:lineRule="auto"/>
        <w:ind w:firstLine="465"/>
        <w:rPr>
          <w:rFonts w:ascii="宋体" w:hAnsi="宋体"/>
          <w:sz w:val="24"/>
          <w:highlight w:val="none"/>
          <w:u w:val="single"/>
        </w:rPr>
      </w:pPr>
      <w:r>
        <w:rPr>
          <w:rFonts w:hint="eastAsia" w:ascii="宋体" w:hAnsi="宋体"/>
          <w:sz w:val="24"/>
          <w:highlight w:val="none"/>
        </w:rPr>
        <w:t>营业期限</w:t>
      </w:r>
      <w:r>
        <w:rPr>
          <w:rFonts w:ascii="宋体" w:hAnsi="宋体"/>
          <w:sz w:val="24"/>
          <w:highlight w:val="none"/>
        </w:rPr>
        <w:t>：</w:t>
      </w:r>
      <w:r>
        <w:rPr>
          <w:rFonts w:hint="eastAsia" w:ascii="宋体" w:hAnsi="宋体"/>
          <w:sz w:val="24"/>
          <w:highlight w:val="none"/>
          <w:u w:val="single"/>
        </w:rPr>
        <w:t xml:space="preserve">                                  </w:t>
      </w:r>
    </w:p>
    <w:p>
      <w:pPr>
        <w:pStyle w:val="79"/>
        <w:spacing w:line="360" w:lineRule="auto"/>
        <w:ind w:firstLine="465"/>
        <w:rPr>
          <w:rFonts w:ascii="宋体" w:hAnsi="宋体"/>
          <w:sz w:val="24"/>
          <w:highlight w:val="none"/>
        </w:rPr>
      </w:pPr>
    </w:p>
    <w:p>
      <w:pPr>
        <w:pStyle w:val="79"/>
        <w:spacing w:line="360" w:lineRule="auto"/>
        <w:ind w:firstLine="480" w:firstLineChars="200"/>
        <w:rPr>
          <w:rFonts w:ascii="宋体" w:hAnsi="宋体"/>
          <w:sz w:val="24"/>
          <w:highlight w:val="none"/>
          <w:u w:val="single"/>
        </w:rPr>
      </w:pPr>
      <w:r>
        <w:rPr>
          <w:rFonts w:ascii="宋体" w:hAnsi="宋体"/>
          <w:sz w:val="24"/>
          <w:highlight w:val="none"/>
        </w:rPr>
        <w:t>姓    名：</w:t>
      </w:r>
      <w:r>
        <w:rPr>
          <w:rFonts w:hint="eastAsia" w:ascii="宋体" w:hAnsi="宋体"/>
          <w:sz w:val="24"/>
          <w:highlight w:val="none"/>
          <w:u w:val="single"/>
        </w:rPr>
        <w:t xml:space="preserve">          </w:t>
      </w:r>
      <w:r>
        <w:rPr>
          <w:rFonts w:ascii="宋体" w:hAnsi="宋体"/>
          <w:sz w:val="24"/>
          <w:highlight w:val="none"/>
        </w:rPr>
        <w:t>性别：</w:t>
      </w:r>
      <w:r>
        <w:rPr>
          <w:rFonts w:hint="eastAsia" w:ascii="宋体" w:hAnsi="宋体"/>
          <w:sz w:val="24"/>
          <w:highlight w:val="none"/>
          <w:u w:val="single"/>
        </w:rPr>
        <w:t xml:space="preserve">           </w:t>
      </w:r>
    </w:p>
    <w:p>
      <w:pPr>
        <w:pStyle w:val="79"/>
        <w:spacing w:line="360" w:lineRule="auto"/>
        <w:ind w:firstLine="480"/>
        <w:rPr>
          <w:rFonts w:ascii="宋体" w:hAnsi="宋体"/>
          <w:sz w:val="24"/>
          <w:highlight w:val="none"/>
        </w:rPr>
      </w:pPr>
      <w:r>
        <w:rPr>
          <w:rFonts w:ascii="宋体" w:hAnsi="宋体"/>
          <w:sz w:val="24"/>
          <w:highlight w:val="none"/>
        </w:rPr>
        <w:t>系</w:t>
      </w:r>
      <w:r>
        <w:rPr>
          <w:rFonts w:hint="eastAsia" w:ascii="宋体" w:hAnsi="宋体"/>
          <w:sz w:val="24"/>
          <w:highlight w:val="none"/>
          <w:u w:val="single"/>
        </w:rPr>
        <w:t xml:space="preserve">    （投标人名称）   </w:t>
      </w:r>
      <w:r>
        <w:rPr>
          <w:rFonts w:ascii="宋体" w:hAnsi="宋体"/>
          <w:sz w:val="24"/>
          <w:highlight w:val="none"/>
        </w:rPr>
        <w:t>的法定代表人。</w:t>
      </w:r>
    </w:p>
    <w:p>
      <w:pPr>
        <w:pStyle w:val="79"/>
        <w:spacing w:line="360" w:lineRule="auto"/>
        <w:ind w:firstLine="480"/>
        <w:rPr>
          <w:rFonts w:ascii="宋体" w:hAnsi="宋体"/>
          <w:sz w:val="24"/>
          <w:highlight w:val="none"/>
        </w:rPr>
      </w:pPr>
    </w:p>
    <w:p>
      <w:pPr>
        <w:pStyle w:val="79"/>
        <w:spacing w:line="360" w:lineRule="auto"/>
        <w:ind w:firstLine="480"/>
        <w:rPr>
          <w:rFonts w:ascii="宋体" w:hAnsi="宋体"/>
          <w:sz w:val="24"/>
          <w:highlight w:val="none"/>
        </w:rPr>
      </w:pPr>
      <w:r>
        <w:rPr>
          <w:rFonts w:ascii="宋体" w:hAnsi="宋体"/>
          <w:sz w:val="24"/>
          <w:highlight w:val="none"/>
        </w:rPr>
        <w:t>特此证明。</w:t>
      </w:r>
    </w:p>
    <w:p>
      <w:pPr>
        <w:pStyle w:val="79"/>
        <w:spacing w:line="360" w:lineRule="auto"/>
        <w:ind w:firstLine="480"/>
        <w:rPr>
          <w:rFonts w:ascii="宋体" w:hAnsi="宋体"/>
          <w:sz w:val="24"/>
          <w:highlight w:val="none"/>
        </w:rPr>
      </w:pPr>
    </w:p>
    <w:p>
      <w:pPr>
        <w:pStyle w:val="79"/>
        <w:spacing w:line="360" w:lineRule="auto"/>
        <w:ind w:firstLine="480"/>
        <w:rPr>
          <w:rFonts w:ascii="宋体" w:hAnsi="宋体"/>
          <w:sz w:val="24"/>
          <w:highlight w:val="none"/>
        </w:rPr>
      </w:pPr>
    </w:p>
    <w:p>
      <w:pPr>
        <w:pStyle w:val="79"/>
        <w:spacing w:line="360" w:lineRule="auto"/>
        <w:ind w:firstLine="480"/>
        <w:rPr>
          <w:rFonts w:ascii="宋体" w:hAnsi="宋体"/>
          <w:sz w:val="24"/>
          <w:highlight w:val="none"/>
        </w:rPr>
      </w:pPr>
    </w:p>
    <w:p>
      <w:pPr>
        <w:pStyle w:val="80"/>
        <w:tabs>
          <w:tab w:val="left" w:pos="5580"/>
        </w:tabs>
        <w:spacing w:line="360" w:lineRule="auto"/>
        <w:rPr>
          <w:rFonts w:hAnsi="宋体"/>
          <w:sz w:val="24"/>
          <w:szCs w:val="24"/>
          <w:highlight w:val="none"/>
        </w:rPr>
      </w:pPr>
      <w:r>
        <w:rPr>
          <w:rFonts w:hint="eastAsia" w:hAnsi="宋体"/>
          <w:sz w:val="24"/>
          <w:szCs w:val="24"/>
          <w:highlight w:val="none"/>
        </w:rPr>
        <w:t xml:space="preserve">                                （附法定代表人身份证正反两面扫描件）</w:t>
      </w:r>
    </w:p>
    <w:p>
      <w:pPr>
        <w:pStyle w:val="79"/>
        <w:spacing w:line="360" w:lineRule="auto"/>
        <w:ind w:firstLine="480"/>
        <w:rPr>
          <w:rFonts w:ascii="宋体" w:hAnsi="宋体"/>
          <w:sz w:val="24"/>
          <w:highlight w:val="none"/>
        </w:rPr>
      </w:pPr>
    </w:p>
    <w:p>
      <w:pPr>
        <w:pStyle w:val="79"/>
        <w:spacing w:line="360" w:lineRule="auto"/>
        <w:ind w:firstLine="480"/>
        <w:rPr>
          <w:rFonts w:ascii="宋体" w:hAnsi="宋体"/>
          <w:sz w:val="24"/>
          <w:highlight w:val="none"/>
        </w:rPr>
      </w:pPr>
    </w:p>
    <w:p>
      <w:pPr>
        <w:pStyle w:val="79"/>
        <w:spacing w:line="360" w:lineRule="auto"/>
        <w:ind w:firstLine="480"/>
        <w:rPr>
          <w:rFonts w:ascii="宋体" w:hAnsi="宋体"/>
          <w:sz w:val="24"/>
          <w:highlight w:val="none"/>
        </w:rPr>
      </w:pPr>
    </w:p>
    <w:p>
      <w:pPr>
        <w:pStyle w:val="79"/>
        <w:spacing w:line="360" w:lineRule="auto"/>
        <w:ind w:firstLine="480" w:firstLineChars="200"/>
        <w:rPr>
          <w:rFonts w:ascii="宋体" w:hAnsi="宋体"/>
          <w:sz w:val="24"/>
          <w:highlight w:val="none"/>
        </w:rPr>
      </w:pPr>
      <w:r>
        <w:rPr>
          <w:rFonts w:hint="eastAsia" w:ascii="宋体" w:hAnsi="宋体"/>
          <w:sz w:val="24"/>
          <w:highlight w:val="none"/>
        </w:rPr>
        <w:t>投标人电子签章：</w:t>
      </w:r>
    </w:p>
    <w:p>
      <w:pPr>
        <w:pStyle w:val="79"/>
        <w:spacing w:line="360" w:lineRule="auto"/>
        <w:ind w:firstLine="480" w:firstLineChars="200"/>
        <w:rPr>
          <w:rFonts w:ascii="宋体" w:hAnsi="宋体"/>
          <w:sz w:val="24"/>
          <w:highlight w:val="none"/>
        </w:rPr>
      </w:pPr>
    </w:p>
    <w:p>
      <w:pPr>
        <w:pStyle w:val="79"/>
        <w:spacing w:line="360" w:lineRule="auto"/>
        <w:ind w:firstLine="480" w:firstLineChars="200"/>
        <w:rPr>
          <w:rFonts w:ascii="宋体" w:hAnsi="宋体"/>
          <w:sz w:val="24"/>
          <w:highlight w:val="none"/>
        </w:rPr>
      </w:pPr>
      <w:r>
        <w:rPr>
          <w:rFonts w:ascii="宋体" w:hAnsi="宋体"/>
          <w:sz w:val="24"/>
          <w:highlight w:val="none"/>
        </w:rPr>
        <w:t>日</w:t>
      </w:r>
      <w:r>
        <w:rPr>
          <w:rFonts w:hint="eastAsia" w:ascii="宋体" w:hAnsi="宋体"/>
          <w:sz w:val="24"/>
          <w:highlight w:val="none"/>
        </w:rPr>
        <w:t xml:space="preserve">   </w:t>
      </w:r>
      <w:r>
        <w:rPr>
          <w:rFonts w:ascii="宋体" w:hAnsi="宋体"/>
          <w:sz w:val="24"/>
          <w:highlight w:val="none"/>
        </w:rPr>
        <w:t>期：</w:t>
      </w:r>
      <w:r>
        <w:rPr>
          <w:rFonts w:hint="eastAsia" w:ascii="宋体" w:hAnsi="宋体"/>
          <w:sz w:val="24"/>
          <w:highlight w:val="none"/>
          <w:u w:val="single"/>
        </w:rPr>
        <w:t xml:space="preserve">         </w:t>
      </w:r>
      <w:r>
        <w:rPr>
          <w:rFonts w:ascii="宋体" w:hAnsi="宋体"/>
          <w:sz w:val="24"/>
          <w:highlight w:val="none"/>
        </w:rPr>
        <w:t>年</w:t>
      </w:r>
      <w:r>
        <w:rPr>
          <w:rFonts w:hint="eastAsia" w:ascii="宋体" w:hAnsi="宋体"/>
          <w:sz w:val="24"/>
          <w:highlight w:val="none"/>
          <w:u w:val="single"/>
        </w:rPr>
        <w:t xml:space="preserve">       </w:t>
      </w:r>
      <w:r>
        <w:rPr>
          <w:rFonts w:ascii="宋体" w:hAnsi="宋体"/>
          <w:sz w:val="24"/>
          <w:highlight w:val="none"/>
        </w:rPr>
        <w:t>月</w:t>
      </w:r>
      <w:r>
        <w:rPr>
          <w:rFonts w:hint="eastAsia" w:ascii="宋体" w:hAnsi="宋体"/>
          <w:sz w:val="24"/>
          <w:highlight w:val="none"/>
          <w:u w:val="single"/>
        </w:rPr>
        <w:t xml:space="preserve">       </w:t>
      </w:r>
      <w:r>
        <w:rPr>
          <w:rFonts w:ascii="宋体" w:hAnsi="宋体"/>
          <w:sz w:val="24"/>
          <w:highlight w:val="none"/>
        </w:rPr>
        <w:t>日</w:t>
      </w:r>
    </w:p>
    <w:p>
      <w:pPr>
        <w:pStyle w:val="79"/>
        <w:spacing w:line="360" w:lineRule="auto"/>
        <w:rPr>
          <w:rFonts w:ascii="宋体" w:hAnsi="宋体"/>
          <w:highlight w:val="none"/>
        </w:rPr>
      </w:pPr>
    </w:p>
    <w:p>
      <w:pPr>
        <w:pStyle w:val="79"/>
        <w:spacing w:line="360" w:lineRule="auto"/>
        <w:rPr>
          <w:rFonts w:ascii="宋体" w:hAnsi="宋体"/>
          <w:highlight w:val="none"/>
        </w:rPr>
      </w:pPr>
    </w:p>
    <w:p>
      <w:pPr>
        <w:pStyle w:val="79"/>
        <w:spacing w:line="360" w:lineRule="auto"/>
        <w:rPr>
          <w:rFonts w:ascii="宋体" w:hAnsi="宋体"/>
          <w:sz w:val="24"/>
          <w:highlight w:val="none"/>
        </w:rPr>
      </w:pPr>
      <w:r>
        <w:rPr>
          <w:rFonts w:hint="eastAsia" w:ascii="宋体" w:hAnsi="宋体"/>
          <w:sz w:val="24"/>
          <w:highlight w:val="none"/>
        </w:rPr>
        <w:t>注：1、本项目只允许有唯一的投标人授权代理人，且必须为投标人在职员工。</w:t>
      </w:r>
    </w:p>
    <w:p>
      <w:pPr>
        <w:pStyle w:val="79"/>
        <w:adjustRightInd w:val="0"/>
        <w:snapToGrid w:val="0"/>
        <w:spacing w:line="360" w:lineRule="auto"/>
        <w:ind w:left="480" w:hanging="480" w:hangingChars="200"/>
        <w:rPr>
          <w:highlight w:val="none"/>
        </w:rPr>
      </w:pPr>
      <w:r>
        <w:rPr>
          <w:rFonts w:hint="eastAsia" w:ascii="宋体" w:hAnsi="宋体"/>
          <w:sz w:val="24"/>
          <w:highlight w:val="none"/>
        </w:rPr>
        <w:t>2、投标人法定代表人参加投标的，可以不提供法定代表人授权委托书，但必须提供上述法定代表人身份证明书，否则将按无效投标处理。</w:t>
      </w:r>
    </w:p>
    <w:p>
      <w:pPr>
        <w:pStyle w:val="43"/>
        <w:outlineLvl w:val="2"/>
        <w:rPr>
          <w:highlight w:val="none"/>
        </w:rPr>
      </w:pPr>
      <w:r>
        <w:rPr>
          <w:highlight w:val="none"/>
        </w:rPr>
        <w:br w:type="page"/>
      </w:r>
    </w:p>
    <w:bookmarkEnd w:id="57"/>
    <w:p>
      <w:pPr>
        <w:pStyle w:val="75"/>
        <w:outlineLvl w:val="2"/>
        <w:rPr>
          <w:highlight w:val="none"/>
        </w:rPr>
      </w:pPr>
      <w:bookmarkStart w:id="58" w:name="_Toc256000039"/>
      <w:r>
        <w:rPr>
          <w:rFonts w:hint="eastAsia"/>
          <w:highlight w:val="none"/>
        </w:rPr>
        <w:t>（九）</w:t>
      </w:r>
      <w:bookmarkEnd w:id="58"/>
      <w:bookmarkStart w:id="59" w:name="_Toc256000040"/>
      <w:r>
        <w:rPr>
          <w:highlight w:val="none"/>
        </w:rPr>
        <w:t>商务评议对照表</w:t>
      </w:r>
    </w:p>
    <w:p>
      <w:pPr>
        <w:pStyle w:val="76"/>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76"/>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p>
      <w:pPr>
        <w:pStyle w:val="77"/>
        <w:ind w:firstLine="560"/>
        <w:rPr>
          <w:rFonts w:ascii="宋体" w:hAnsi="宋体"/>
          <w:sz w:val="28"/>
          <w:szCs w:val="28"/>
          <w:highlight w:val="none"/>
        </w:rPr>
      </w:pPr>
    </w:p>
    <w:tbl>
      <w:tblPr>
        <w:tblStyle w:val="22"/>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495"/>
        <w:gridCol w:w="2172"/>
        <w:gridCol w:w="198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79" w:type="dxa"/>
            <w:shd w:val="pct10" w:color="auto" w:fill="auto"/>
            <w:vAlign w:val="center"/>
          </w:tcPr>
          <w:p>
            <w:pPr>
              <w:pStyle w:val="76"/>
              <w:jc w:val="center"/>
              <w:rPr>
                <w:rFonts w:ascii="宋体" w:hAnsi="宋体"/>
                <w:sz w:val="28"/>
                <w:szCs w:val="28"/>
                <w:highlight w:val="none"/>
              </w:rPr>
            </w:pPr>
            <w:r>
              <w:rPr>
                <w:rFonts w:hint="eastAsia" w:ascii="宋体" w:hAnsi="宋体"/>
                <w:sz w:val="28"/>
                <w:szCs w:val="28"/>
                <w:highlight w:val="none"/>
              </w:rPr>
              <w:t>序号</w:t>
            </w:r>
          </w:p>
        </w:tc>
        <w:tc>
          <w:tcPr>
            <w:tcW w:w="2495" w:type="dxa"/>
            <w:shd w:val="pct10" w:color="auto" w:fill="auto"/>
            <w:vAlign w:val="center"/>
          </w:tcPr>
          <w:p>
            <w:pPr>
              <w:pStyle w:val="76"/>
              <w:jc w:val="center"/>
              <w:rPr>
                <w:rFonts w:ascii="宋体" w:hAnsi="宋体"/>
                <w:sz w:val="28"/>
                <w:szCs w:val="28"/>
                <w:highlight w:val="none"/>
              </w:rPr>
            </w:pPr>
            <w:r>
              <w:rPr>
                <w:rFonts w:hint="eastAsia" w:ascii="宋体" w:hAnsi="宋体"/>
                <w:sz w:val="28"/>
                <w:szCs w:val="28"/>
                <w:highlight w:val="none"/>
              </w:rPr>
              <w:t>磋商文件</w:t>
            </w:r>
          </w:p>
          <w:p>
            <w:pPr>
              <w:pStyle w:val="76"/>
              <w:jc w:val="center"/>
              <w:rPr>
                <w:rFonts w:ascii="宋体" w:hAnsi="宋体"/>
                <w:sz w:val="28"/>
                <w:szCs w:val="28"/>
                <w:highlight w:val="none"/>
              </w:rPr>
            </w:pPr>
            <w:r>
              <w:rPr>
                <w:rFonts w:hint="eastAsia" w:ascii="宋体" w:hAnsi="宋体"/>
                <w:sz w:val="28"/>
                <w:szCs w:val="28"/>
                <w:highlight w:val="none"/>
              </w:rPr>
              <w:t>商务评分标准</w:t>
            </w:r>
          </w:p>
        </w:tc>
        <w:tc>
          <w:tcPr>
            <w:tcW w:w="2172" w:type="dxa"/>
            <w:shd w:val="pct10" w:color="auto" w:fill="auto"/>
            <w:vAlign w:val="center"/>
          </w:tcPr>
          <w:p>
            <w:pPr>
              <w:pStyle w:val="76"/>
              <w:jc w:val="center"/>
              <w:rPr>
                <w:rFonts w:ascii="宋体" w:hAnsi="宋体"/>
                <w:sz w:val="28"/>
                <w:szCs w:val="28"/>
                <w:highlight w:val="none"/>
              </w:rPr>
            </w:pPr>
            <w:r>
              <w:rPr>
                <w:rFonts w:hint="eastAsia" w:ascii="宋体" w:hAnsi="宋体"/>
                <w:sz w:val="28"/>
                <w:szCs w:val="28"/>
                <w:highlight w:val="none"/>
              </w:rPr>
              <w:t>响应文件对应部分</w:t>
            </w:r>
          </w:p>
        </w:tc>
        <w:tc>
          <w:tcPr>
            <w:tcW w:w="1984" w:type="dxa"/>
            <w:shd w:val="pct10" w:color="auto" w:fill="auto"/>
            <w:vAlign w:val="center"/>
          </w:tcPr>
          <w:p>
            <w:pPr>
              <w:pStyle w:val="76"/>
              <w:jc w:val="center"/>
              <w:rPr>
                <w:rFonts w:ascii="宋体" w:hAnsi="宋体"/>
                <w:sz w:val="28"/>
                <w:szCs w:val="28"/>
                <w:highlight w:val="none"/>
              </w:rPr>
            </w:pPr>
            <w:r>
              <w:rPr>
                <w:rFonts w:hint="eastAsia" w:ascii="宋体" w:hAnsi="宋体"/>
                <w:sz w:val="28"/>
                <w:szCs w:val="28"/>
                <w:highlight w:val="none"/>
              </w:rPr>
              <w:t>偏离说明</w:t>
            </w:r>
          </w:p>
        </w:tc>
        <w:tc>
          <w:tcPr>
            <w:tcW w:w="1100" w:type="dxa"/>
            <w:shd w:val="pct10" w:color="auto" w:fill="auto"/>
          </w:tcPr>
          <w:p>
            <w:pPr>
              <w:pStyle w:val="76"/>
              <w:jc w:val="center"/>
              <w:rPr>
                <w:rFonts w:ascii="宋体" w:hAnsi="宋体"/>
                <w:sz w:val="28"/>
                <w:szCs w:val="28"/>
                <w:highlight w:val="none"/>
              </w:rPr>
            </w:pPr>
            <w:r>
              <w:rPr>
                <w:rFonts w:hint="eastAsia" w:ascii="宋体" w:hAnsi="宋体"/>
                <w:sz w:val="28"/>
                <w:szCs w:val="28"/>
                <w:highlight w:val="none"/>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numPr>
                <w:ilvl w:val="0"/>
                <w:numId w:val="5"/>
              </w:numPr>
              <w:jc w:val="center"/>
              <w:rPr>
                <w:rFonts w:ascii="宋体" w:hAnsi="宋体" w:cs="仿宋_GB2312"/>
                <w:sz w:val="28"/>
                <w:szCs w:val="28"/>
                <w:highlight w:val="none"/>
              </w:rPr>
            </w:pP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9" w:type="dxa"/>
            <w:vAlign w:val="center"/>
          </w:tcPr>
          <w:p>
            <w:pPr>
              <w:pStyle w:val="76"/>
              <w:jc w:val="center"/>
              <w:rPr>
                <w:rFonts w:ascii="宋体" w:hAnsi="宋体" w:cs="仿宋_GB2312"/>
                <w:sz w:val="28"/>
                <w:szCs w:val="28"/>
                <w:highlight w:val="none"/>
              </w:rPr>
            </w:pPr>
            <w:r>
              <w:rPr>
                <w:rFonts w:hint="eastAsia" w:ascii="宋体" w:hAnsi="宋体" w:cs="仿宋_GB2312"/>
                <w:sz w:val="28"/>
                <w:szCs w:val="28"/>
                <w:highlight w:val="none"/>
              </w:rPr>
              <w:t>…</w:t>
            </w:r>
          </w:p>
        </w:tc>
        <w:tc>
          <w:tcPr>
            <w:tcW w:w="2495" w:type="dxa"/>
            <w:vAlign w:val="center"/>
          </w:tcPr>
          <w:p>
            <w:pPr>
              <w:pStyle w:val="76"/>
              <w:jc w:val="center"/>
              <w:rPr>
                <w:rFonts w:ascii="宋体" w:hAnsi="宋体" w:cs="仿宋_GB2312"/>
                <w:sz w:val="28"/>
                <w:szCs w:val="28"/>
                <w:highlight w:val="none"/>
              </w:rPr>
            </w:pPr>
          </w:p>
        </w:tc>
        <w:tc>
          <w:tcPr>
            <w:tcW w:w="2172" w:type="dxa"/>
            <w:vAlign w:val="center"/>
          </w:tcPr>
          <w:p>
            <w:pPr>
              <w:pStyle w:val="76"/>
              <w:jc w:val="center"/>
              <w:rPr>
                <w:rFonts w:ascii="宋体" w:hAnsi="宋体" w:cs="仿宋_GB2312"/>
                <w:sz w:val="28"/>
                <w:szCs w:val="28"/>
                <w:highlight w:val="none"/>
              </w:rPr>
            </w:pPr>
          </w:p>
        </w:tc>
        <w:tc>
          <w:tcPr>
            <w:tcW w:w="1984" w:type="dxa"/>
            <w:vAlign w:val="center"/>
          </w:tcPr>
          <w:p>
            <w:pPr>
              <w:pStyle w:val="76"/>
              <w:jc w:val="center"/>
              <w:rPr>
                <w:rFonts w:ascii="宋体" w:hAnsi="宋体" w:cs="仿宋_GB2312"/>
                <w:sz w:val="28"/>
                <w:szCs w:val="28"/>
                <w:highlight w:val="none"/>
              </w:rPr>
            </w:pPr>
          </w:p>
        </w:tc>
        <w:tc>
          <w:tcPr>
            <w:tcW w:w="1100" w:type="dxa"/>
            <w:vAlign w:val="center"/>
          </w:tcPr>
          <w:p>
            <w:pPr>
              <w:pStyle w:val="76"/>
              <w:jc w:val="center"/>
              <w:rPr>
                <w:rFonts w:ascii="宋体" w:hAnsi="宋体" w:cs="仿宋_GB2312"/>
                <w:sz w:val="28"/>
                <w:szCs w:val="28"/>
                <w:highlight w:val="none"/>
              </w:rPr>
            </w:pPr>
          </w:p>
        </w:tc>
      </w:tr>
    </w:tbl>
    <w:p>
      <w:pPr>
        <w:pStyle w:val="76"/>
        <w:rPr>
          <w:highlight w:val="none"/>
        </w:rPr>
      </w:pPr>
      <w:r>
        <w:rPr>
          <w:rFonts w:hint="eastAsia" w:ascii="宋体" w:hAnsi="宋体" w:cs="Corbel"/>
          <w:b/>
          <w:sz w:val="28"/>
          <w:szCs w:val="28"/>
          <w:highlight w:val="none"/>
        </w:rPr>
        <w:t>注：</w:t>
      </w:r>
      <w:r>
        <w:rPr>
          <w:rFonts w:hint="eastAsia" w:ascii="宋体" w:hAnsi="宋体" w:cs="Corbel"/>
          <w:sz w:val="28"/>
          <w:szCs w:val="28"/>
          <w:highlight w:val="none"/>
        </w:rPr>
        <w:t>供应商须按商务评议评分标准内容所列条目，逐条注明证明文件的具体页码，若有其他情况则在备注中说明。</w:t>
      </w:r>
    </w:p>
    <w:p>
      <w:pPr>
        <w:pStyle w:val="78"/>
        <w:outlineLvl w:val="2"/>
        <w:rPr>
          <w:highlight w:val="none"/>
        </w:rPr>
      </w:pPr>
      <w:r>
        <w:rPr>
          <w:highlight w:val="none"/>
        </w:rPr>
        <w:br w:type="page"/>
      </w:r>
    </w:p>
    <w:p>
      <w:pPr>
        <w:pStyle w:val="83"/>
        <w:outlineLvl w:val="1"/>
        <w:rPr>
          <w:highlight w:val="none"/>
        </w:rPr>
      </w:pPr>
      <w:r>
        <w:rPr>
          <w:highlight w:val="none"/>
        </w:rPr>
        <w:t>四、技术文件组成</w:t>
      </w:r>
      <w:bookmarkEnd w:id="59"/>
    </w:p>
    <w:p>
      <w:pPr>
        <w:pStyle w:val="84"/>
        <w:outlineLvl w:val="2"/>
        <w:rPr>
          <w:highlight w:val="none"/>
        </w:rPr>
      </w:pPr>
      <w:bookmarkStart w:id="60" w:name="_Toc256000041"/>
      <w:r>
        <w:rPr>
          <w:rFonts w:hint="eastAsia"/>
          <w:highlight w:val="none"/>
        </w:rPr>
        <w:t>（一）</w:t>
      </w:r>
      <w:r>
        <w:rPr>
          <w:highlight w:val="none"/>
        </w:rPr>
        <w:t>技术</w:t>
      </w:r>
      <w:bookmarkEnd w:id="60"/>
      <w:r>
        <w:rPr>
          <w:rFonts w:hint="eastAsia"/>
          <w:highlight w:val="none"/>
        </w:rPr>
        <w:t>标</w:t>
      </w: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highlight w:val="none"/>
        </w:rPr>
      </w:pPr>
    </w:p>
    <w:p>
      <w:pPr>
        <w:pStyle w:val="84"/>
        <w:outlineLvl w:val="2"/>
        <w:rPr>
          <w:rFonts w:hint="eastAsia"/>
          <w:highlight w:val="none"/>
        </w:rPr>
      </w:pPr>
    </w:p>
    <w:p>
      <w:pPr>
        <w:pStyle w:val="88"/>
        <w:outlineLvl w:val="2"/>
        <w:rPr>
          <w:highlight w:val="none"/>
        </w:rPr>
      </w:pPr>
      <w:bookmarkStart w:id="61" w:name="_Toc256000043"/>
      <w:r>
        <w:rPr>
          <w:rFonts w:hint="eastAsia"/>
          <w:highlight w:val="none"/>
        </w:rPr>
        <w:t>（二）</w:t>
      </w:r>
      <w:bookmarkEnd w:id="61"/>
      <w:bookmarkStart w:id="62" w:name="_Toc256000044"/>
      <w:r>
        <w:rPr>
          <w:highlight w:val="none"/>
        </w:rPr>
        <w:t>技术评议对照表</w:t>
      </w:r>
      <w:bookmarkEnd w:id="62"/>
    </w:p>
    <w:p>
      <w:pPr>
        <w:pStyle w:val="92"/>
        <w:adjustRightInd w:val="0"/>
        <w:snapToGrid w:val="0"/>
        <w:spacing w:line="500" w:lineRule="exact"/>
        <w:rPr>
          <w:rFonts w:ascii="宋体" w:hAnsi="宋体"/>
          <w:sz w:val="28"/>
          <w:szCs w:val="28"/>
          <w:highlight w:val="none"/>
        </w:rPr>
      </w:pPr>
      <w:r>
        <w:rPr>
          <w:rFonts w:hint="eastAsia" w:ascii="宋体" w:hAnsi="宋体"/>
          <w:sz w:val="28"/>
          <w:szCs w:val="28"/>
          <w:highlight w:val="none"/>
        </w:rPr>
        <w:t>采购项目编号：</w:t>
      </w:r>
    </w:p>
    <w:p>
      <w:pPr>
        <w:pStyle w:val="92"/>
        <w:adjustRightInd w:val="0"/>
        <w:snapToGrid w:val="0"/>
        <w:spacing w:line="500" w:lineRule="exact"/>
        <w:rPr>
          <w:rFonts w:ascii="宋体" w:hAnsi="宋体"/>
          <w:sz w:val="28"/>
          <w:szCs w:val="28"/>
          <w:highlight w:val="none"/>
          <w:u w:val="single"/>
        </w:rPr>
      </w:pPr>
      <w:r>
        <w:rPr>
          <w:rFonts w:hint="eastAsia" w:ascii="宋体" w:hAnsi="宋体"/>
          <w:sz w:val="28"/>
          <w:szCs w:val="28"/>
          <w:highlight w:val="none"/>
        </w:rPr>
        <w:t>采购项目名称：</w:t>
      </w:r>
    </w:p>
    <w:tbl>
      <w:tblPr>
        <w:tblStyle w:val="22"/>
        <w:tblW w:w="9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718"/>
        <w:gridCol w:w="2640"/>
        <w:gridCol w:w="18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630" w:type="dxa"/>
            <w:shd w:val="pct10" w:color="auto" w:fill="auto"/>
            <w:vAlign w:val="center"/>
          </w:tcPr>
          <w:p>
            <w:pPr>
              <w:pStyle w:val="92"/>
              <w:jc w:val="center"/>
              <w:rPr>
                <w:rFonts w:ascii="宋体" w:hAnsi="宋体"/>
                <w:sz w:val="28"/>
                <w:szCs w:val="28"/>
                <w:highlight w:val="none"/>
              </w:rPr>
            </w:pPr>
            <w:r>
              <w:rPr>
                <w:rFonts w:hint="eastAsia" w:ascii="宋体" w:hAnsi="宋体"/>
                <w:sz w:val="28"/>
                <w:szCs w:val="28"/>
                <w:highlight w:val="none"/>
              </w:rPr>
              <w:t>序号</w:t>
            </w:r>
          </w:p>
        </w:tc>
        <w:tc>
          <w:tcPr>
            <w:tcW w:w="2718" w:type="dxa"/>
            <w:shd w:val="pct10" w:color="auto" w:fill="auto"/>
            <w:vAlign w:val="center"/>
          </w:tcPr>
          <w:p>
            <w:pPr>
              <w:pStyle w:val="92"/>
              <w:jc w:val="center"/>
              <w:rPr>
                <w:rFonts w:ascii="宋体" w:hAnsi="宋体"/>
                <w:sz w:val="28"/>
                <w:szCs w:val="28"/>
                <w:highlight w:val="none"/>
              </w:rPr>
            </w:pPr>
            <w:r>
              <w:rPr>
                <w:rFonts w:hint="eastAsia" w:ascii="宋体" w:hAnsi="宋体"/>
                <w:sz w:val="28"/>
                <w:szCs w:val="28"/>
                <w:highlight w:val="none"/>
              </w:rPr>
              <w:t>磋商文件</w:t>
            </w:r>
          </w:p>
          <w:p>
            <w:pPr>
              <w:pStyle w:val="92"/>
              <w:jc w:val="center"/>
              <w:rPr>
                <w:rFonts w:ascii="宋体" w:hAnsi="宋体"/>
                <w:sz w:val="28"/>
                <w:szCs w:val="28"/>
                <w:highlight w:val="none"/>
              </w:rPr>
            </w:pPr>
            <w:r>
              <w:rPr>
                <w:rFonts w:hint="eastAsia" w:ascii="宋体" w:hAnsi="宋体"/>
                <w:sz w:val="28"/>
                <w:szCs w:val="28"/>
                <w:highlight w:val="none"/>
              </w:rPr>
              <w:t>技术评分标准</w:t>
            </w:r>
          </w:p>
        </w:tc>
        <w:tc>
          <w:tcPr>
            <w:tcW w:w="2640" w:type="dxa"/>
            <w:shd w:val="pct10" w:color="auto" w:fill="auto"/>
            <w:vAlign w:val="center"/>
          </w:tcPr>
          <w:p>
            <w:pPr>
              <w:pStyle w:val="92"/>
              <w:jc w:val="center"/>
              <w:rPr>
                <w:rFonts w:ascii="宋体" w:hAnsi="宋体"/>
                <w:sz w:val="28"/>
                <w:szCs w:val="28"/>
                <w:highlight w:val="none"/>
              </w:rPr>
            </w:pPr>
            <w:r>
              <w:rPr>
                <w:rFonts w:hint="eastAsia" w:ascii="宋体" w:hAnsi="宋体"/>
                <w:sz w:val="28"/>
                <w:szCs w:val="28"/>
                <w:highlight w:val="none"/>
              </w:rPr>
              <w:t>响应文件对应部分</w:t>
            </w:r>
          </w:p>
        </w:tc>
        <w:tc>
          <w:tcPr>
            <w:tcW w:w="1838" w:type="dxa"/>
            <w:shd w:val="pct10" w:color="auto" w:fill="auto"/>
            <w:vAlign w:val="center"/>
          </w:tcPr>
          <w:p>
            <w:pPr>
              <w:pStyle w:val="92"/>
              <w:jc w:val="center"/>
              <w:rPr>
                <w:rFonts w:ascii="宋体" w:hAnsi="宋体"/>
                <w:sz w:val="28"/>
                <w:szCs w:val="28"/>
                <w:highlight w:val="none"/>
              </w:rPr>
            </w:pPr>
            <w:r>
              <w:rPr>
                <w:rFonts w:hint="eastAsia" w:ascii="宋体" w:hAnsi="宋体"/>
                <w:sz w:val="28"/>
                <w:szCs w:val="28"/>
                <w:highlight w:val="none"/>
              </w:rPr>
              <w:t>偏离说明</w:t>
            </w:r>
          </w:p>
        </w:tc>
        <w:tc>
          <w:tcPr>
            <w:tcW w:w="1484" w:type="dxa"/>
            <w:shd w:val="pct10" w:color="auto" w:fill="auto"/>
          </w:tcPr>
          <w:p>
            <w:pPr>
              <w:pStyle w:val="92"/>
              <w:jc w:val="center"/>
              <w:rPr>
                <w:rFonts w:ascii="宋体" w:hAnsi="宋体"/>
                <w:sz w:val="28"/>
                <w:szCs w:val="28"/>
                <w:highlight w:val="none"/>
              </w:rPr>
            </w:pPr>
          </w:p>
          <w:p>
            <w:pPr>
              <w:pStyle w:val="92"/>
              <w:jc w:val="center"/>
              <w:rPr>
                <w:rFonts w:ascii="宋体" w:hAnsi="宋体"/>
                <w:sz w:val="28"/>
                <w:szCs w:val="28"/>
                <w:highlight w:val="none"/>
              </w:rPr>
            </w:pPr>
            <w:r>
              <w:rPr>
                <w:rFonts w:hint="eastAsia" w:ascii="宋体" w:hAnsi="宋体"/>
                <w:sz w:val="28"/>
                <w:szCs w:val="28"/>
                <w:highlight w:val="none"/>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Align w:val="center"/>
          </w:tcPr>
          <w:p>
            <w:pPr>
              <w:pStyle w:val="92"/>
              <w:rPr>
                <w:rFonts w:ascii="宋体" w:hAnsi="宋体" w:cs="仿宋_GB2312"/>
                <w:sz w:val="28"/>
                <w:szCs w:val="28"/>
                <w:highlight w:val="none"/>
              </w:rPr>
            </w:pP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Align w:val="center"/>
          </w:tcPr>
          <w:p>
            <w:pPr>
              <w:pStyle w:val="92"/>
              <w:rPr>
                <w:rFonts w:ascii="宋体" w:hAnsi="宋体" w:cs="仿宋_GB2312"/>
                <w:sz w:val="28"/>
                <w:szCs w:val="28"/>
                <w:highlight w:val="none"/>
              </w:rPr>
            </w:pP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Align w:val="center"/>
          </w:tcPr>
          <w:p>
            <w:pPr>
              <w:pStyle w:val="92"/>
              <w:jc w:val="center"/>
              <w:rPr>
                <w:rFonts w:ascii="宋体" w:hAnsi="宋体" w:cs="仿宋_GB2312"/>
                <w:sz w:val="28"/>
                <w:szCs w:val="28"/>
                <w:highlight w:val="none"/>
              </w:rPr>
            </w:pP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Align w:val="center"/>
          </w:tcPr>
          <w:p>
            <w:pPr>
              <w:pStyle w:val="92"/>
              <w:ind w:left="420"/>
              <w:rPr>
                <w:rFonts w:ascii="宋体" w:hAnsi="宋体" w:cs="仿宋_GB2312"/>
                <w:sz w:val="28"/>
                <w:szCs w:val="28"/>
                <w:highlight w:val="none"/>
              </w:rPr>
            </w:pP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Align w:val="center"/>
          </w:tcPr>
          <w:p>
            <w:pPr>
              <w:pStyle w:val="92"/>
              <w:jc w:val="center"/>
              <w:rPr>
                <w:rFonts w:ascii="宋体" w:hAnsi="宋体" w:cs="仿宋_GB2312"/>
                <w:sz w:val="28"/>
                <w:szCs w:val="28"/>
                <w:highlight w:val="none"/>
              </w:rPr>
            </w:pP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630" w:type="dxa"/>
            <w:vAlign w:val="center"/>
          </w:tcPr>
          <w:p>
            <w:pPr>
              <w:pStyle w:val="92"/>
              <w:jc w:val="center"/>
              <w:rPr>
                <w:rFonts w:ascii="宋体" w:hAnsi="宋体" w:cs="仿宋_GB2312"/>
                <w:sz w:val="28"/>
                <w:szCs w:val="28"/>
                <w:highlight w:val="none"/>
              </w:rPr>
            </w:pPr>
            <w:r>
              <w:rPr>
                <w:rFonts w:hint="eastAsia" w:ascii="宋体" w:hAnsi="宋体" w:cs="仿宋_GB2312"/>
                <w:sz w:val="28"/>
                <w:szCs w:val="28"/>
                <w:highlight w:val="none"/>
              </w:rPr>
              <w:t>…</w:t>
            </w:r>
          </w:p>
        </w:tc>
        <w:tc>
          <w:tcPr>
            <w:tcW w:w="2718" w:type="dxa"/>
            <w:vAlign w:val="center"/>
          </w:tcPr>
          <w:p>
            <w:pPr>
              <w:pStyle w:val="92"/>
              <w:jc w:val="center"/>
              <w:rPr>
                <w:rFonts w:ascii="宋体" w:hAnsi="宋体" w:cs="仿宋_GB2312"/>
                <w:sz w:val="28"/>
                <w:szCs w:val="28"/>
                <w:highlight w:val="none"/>
              </w:rPr>
            </w:pPr>
          </w:p>
        </w:tc>
        <w:tc>
          <w:tcPr>
            <w:tcW w:w="2640" w:type="dxa"/>
            <w:vAlign w:val="center"/>
          </w:tcPr>
          <w:p>
            <w:pPr>
              <w:pStyle w:val="92"/>
              <w:jc w:val="center"/>
              <w:rPr>
                <w:rFonts w:ascii="宋体" w:hAnsi="宋体" w:cs="仿宋_GB2312"/>
                <w:sz w:val="28"/>
                <w:szCs w:val="28"/>
                <w:highlight w:val="none"/>
              </w:rPr>
            </w:pPr>
          </w:p>
        </w:tc>
        <w:tc>
          <w:tcPr>
            <w:tcW w:w="1838" w:type="dxa"/>
            <w:vAlign w:val="center"/>
          </w:tcPr>
          <w:p>
            <w:pPr>
              <w:pStyle w:val="92"/>
              <w:jc w:val="center"/>
              <w:rPr>
                <w:rFonts w:ascii="宋体" w:hAnsi="宋体" w:cs="仿宋_GB2312"/>
                <w:sz w:val="28"/>
                <w:szCs w:val="28"/>
                <w:highlight w:val="none"/>
              </w:rPr>
            </w:pPr>
          </w:p>
        </w:tc>
        <w:tc>
          <w:tcPr>
            <w:tcW w:w="1484" w:type="dxa"/>
            <w:vAlign w:val="center"/>
          </w:tcPr>
          <w:p>
            <w:pPr>
              <w:pStyle w:val="92"/>
              <w:jc w:val="center"/>
              <w:rPr>
                <w:rFonts w:ascii="宋体" w:hAnsi="宋体" w:cs="仿宋_GB2312"/>
                <w:sz w:val="28"/>
                <w:szCs w:val="28"/>
                <w:highlight w:val="none"/>
              </w:rPr>
            </w:pPr>
          </w:p>
        </w:tc>
      </w:tr>
    </w:tbl>
    <w:p>
      <w:pPr>
        <w:pStyle w:val="92"/>
        <w:adjustRightInd w:val="0"/>
        <w:snapToGrid w:val="0"/>
        <w:spacing w:line="360" w:lineRule="auto"/>
        <w:ind w:left="562" w:hanging="562" w:hangingChars="200"/>
        <w:rPr>
          <w:rFonts w:ascii="宋体" w:hAnsi="宋体" w:cs="Corbel"/>
          <w:sz w:val="28"/>
          <w:szCs w:val="28"/>
          <w:highlight w:val="none"/>
        </w:rPr>
      </w:pPr>
      <w:r>
        <w:rPr>
          <w:rFonts w:hint="eastAsia" w:ascii="宋体" w:hAnsi="宋体" w:cs="Corbel"/>
          <w:b/>
          <w:sz w:val="28"/>
          <w:szCs w:val="28"/>
          <w:highlight w:val="none"/>
        </w:rPr>
        <w:t>注：</w:t>
      </w:r>
      <w:r>
        <w:rPr>
          <w:rFonts w:hint="eastAsia" w:ascii="宋体" w:hAnsi="宋体" w:cs="Corbel"/>
          <w:sz w:val="28"/>
          <w:szCs w:val="28"/>
          <w:highlight w:val="none"/>
        </w:rPr>
        <w:t>供应商须按技术评议评分标准内容所列条目，逐条注明证明文件的具体页码，若有其他情况则在备注中说明。</w:t>
      </w:r>
    </w:p>
    <w:p>
      <w:pPr>
        <w:pStyle w:val="92"/>
        <w:spacing w:line="500" w:lineRule="exact"/>
        <w:rPr>
          <w:rFonts w:ascii="宋体" w:hAnsi="宋体"/>
          <w:sz w:val="28"/>
          <w:szCs w:val="28"/>
          <w:highlight w:val="none"/>
        </w:rPr>
      </w:pPr>
    </w:p>
    <w:p>
      <w:pPr>
        <w:rPr>
          <w:sz w:val="20"/>
          <w:highlight w:val="none"/>
        </w:rPr>
      </w:pPr>
      <w:r>
        <w:rPr>
          <w:rFonts w:hint="eastAsia"/>
          <w:sz w:val="20"/>
          <w:highlight w:val="none"/>
        </w:rPr>
        <w:t xml:space="preserve"> </w:t>
      </w:r>
      <w:bookmarkEnd w:id="46"/>
      <w:bookmarkEnd w:id="47"/>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7"/>
        <w:outlineLvl w:val="1"/>
        <w:rPr>
          <w:highlight w:val="none"/>
        </w:rPr>
      </w:pPr>
      <w:r>
        <w:rPr>
          <w:rFonts w:hint="eastAsia"/>
          <w:highlight w:val="none"/>
        </w:rPr>
        <w:t>五、其他材料</w:t>
      </w:r>
    </w:p>
    <w:p>
      <w:pPr>
        <w:rPr>
          <w:highlight w:val="none"/>
        </w:rPr>
      </w:pPr>
    </w:p>
    <w:p>
      <w:pPr>
        <w:rPr>
          <w:highlight w:val="none"/>
        </w:rPr>
      </w:pPr>
    </w:p>
    <w:p>
      <w:pPr>
        <w:rPr>
          <w:highlight w:val="none"/>
        </w:rPr>
      </w:pPr>
    </w:p>
    <w:sectPr>
      <w:headerReference r:id="rId12" w:type="first"/>
      <w:footerReference r:id="rId14" w:type="first"/>
      <w:headerReference r:id="rId11" w:type="default"/>
      <w:footerReference r:id="rId13" w:type="default"/>
      <w:pgSz w:w="11906" w:h="16838"/>
      <w:pgMar w:top="1417" w:right="1304" w:bottom="1417" w:left="1417" w:header="907" w:footer="907" w:gutter="0"/>
      <w:cols w:space="72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dashDotStroked" w:color="auto" w:sz="24" w:space="1"/>
      </w:pBdr>
      <w:jc w:val="right"/>
    </w:pPr>
    <w:r>
      <w:rPr>
        <w:rFonts w:hint="eastAsia"/>
        <w:b/>
        <w:bCs/>
      </w:rPr>
      <w:t xml:space="preserve">                                         </w:t>
    </w:r>
    <w:r>
      <w:rPr>
        <w:rFonts w:hint="eastAsia"/>
        <w:b/>
        <w:bCs/>
        <w:i/>
        <w:iCs/>
      </w:rPr>
      <w:t xml:space="preserve">           </w:t>
    </w:r>
    <w:r>
      <w:rPr>
        <w:rFonts w:hint="eastAsia"/>
        <w:b/>
        <w:bCs/>
      </w:rPr>
      <w:t xml:space="preserve">              </w:t>
    </w:r>
    <w:r>
      <w:fldChar w:fldCharType="begin"/>
    </w:r>
    <w:r>
      <w:instrText xml:space="preserve"> HYPERLINK "http://ggzy.xjbt.gov.cn/TPBidder_5/HuiYuanInfoMis2/BackEnd/FrameAll.aspx?DanWeiType=21&amp;DanWeiGuid=50564c23-5b15-43fc-a136-dc350f5c9d57&amp;ViewType=2&amp;CurrentDanWeiGuid=50564c23-5b15-43fc-a136-dc350f5c9d57" \t "http://ggzy.xjbt.gov.cn/TPFront/showinfo/_blank" </w:instrText>
    </w:r>
    <w:r>
      <w:fldChar w:fldCharType="separate"/>
    </w:r>
    <w:r>
      <w:rPr>
        <w:rFonts w:hint="eastAsia"/>
        <w:b/>
        <w:bCs/>
        <w:sz w:val="16"/>
        <w:szCs w:val="16"/>
      </w:rPr>
      <w:t>铁门关市军缘招标有限公司</w:t>
    </w:r>
    <w:r>
      <w:rPr>
        <w:rFonts w:hint="eastAsia"/>
        <w:b/>
        <w:bCs/>
        <w:sz w:val="16"/>
        <w:szCs w:val="16"/>
      </w:rPr>
      <w:fldChar w:fldCharType="end"/>
    </w:r>
    <w:r>
      <w:rPr>
        <w:rFonts w:hint="eastAsia"/>
        <w:b/>
        <w:bCs/>
        <w:sz w:val="16"/>
        <w:szCs w:val="16"/>
      </w:rPr>
      <w:t xml:space="preserve">编制 编制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dashDotStroked" w:color="auto" w:sz="24" w:space="1"/>
      </w:pBdr>
      <w:jc w:val="right"/>
    </w:pPr>
    <w:r>
      <w:rPr>
        <w:rFonts w:hint="eastAsia"/>
        <w:b/>
        <w:bCs/>
      </w:rPr>
      <w:t xml:space="preserve">                                         </w:t>
    </w:r>
    <w:r>
      <w:rPr>
        <w:rFonts w:hint="eastAsia"/>
        <w:b/>
        <w:bCs/>
        <w:i/>
        <w:i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1067435</wp:posOffset>
              </wp:positionH>
              <wp:positionV relativeFrom="page">
                <wp:posOffset>6863080</wp:posOffset>
              </wp:positionV>
              <wp:extent cx="1012190" cy="668020"/>
              <wp:effectExtent l="0" t="0" r="0" b="0"/>
              <wp:wrapNone/>
              <wp:docPr id="25" name="Shape 25"/>
              <wp:cNvGraphicFramePr/>
              <a:graphic xmlns:a="http://schemas.openxmlformats.org/drawingml/2006/main">
                <a:graphicData uri="http://schemas.microsoft.com/office/word/2010/wordprocessingShape">
                  <wps:wsp>
                    <wps:cNvSpPr txBox="1"/>
                    <wps:spPr>
                      <a:xfrm>
                        <a:off x="0" y="0"/>
                        <a:ext cx="1012190" cy="668020"/>
                      </a:xfrm>
                      <a:prstGeom prst="rect">
                        <a:avLst/>
                      </a:prstGeom>
                      <a:noFill/>
                    </wps:spPr>
                    <wps:txbx>
                      <w:txbxContent>
                        <w:p>
                          <w:pPr>
                            <w:pStyle w:val="102"/>
                            <w:jc w:val="left"/>
                          </w:pPr>
                        </w:p>
                      </w:txbxContent>
                    </wps:txbx>
                    <wps:bodyPr wrap="square" lIns="0" tIns="0" rIns="0" bIns="0">
                      <a:noAutofit/>
                    </wps:bodyPr>
                  </wps:wsp>
                </a:graphicData>
              </a:graphic>
            </wp:anchor>
          </w:drawing>
        </mc:Choice>
        <mc:Fallback>
          <w:pict>
            <v:shape id="Shape 25" o:spid="_x0000_s1026" o:spt="202" type="#_x0000_t202" style="position:absolute;left:0pt;margin-left:84.05pt;margin-top:540.4pt;height:52.6pt;width:79.7pt;mso-position-horizontal-relative:page;mso-position-vertical-relative:page;z-index:-251656192;mso-width-relative:page;mso-height-relative:page;" filled="f" stroked="f" coordsize="21600,21600" o:gfxdata="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pep&#10;ydoAAAANAQAADwAAAAAAAAABACAAAAAiAAAAZHJzL2Rvd25yZXYueG1sUEsBAhQAFAAAAAgAh07i&#10;QOz6smuuAQAAdAMAAA4AAAAAAAAAAQAgAAAAKQEAAGRycy9lMm9Eb2MueG1sUEsFBgAAAAAGAAYA&#10;WQEAAEkFAAAAAA==&#10;">
              <v:fill on="f" focussize="0,0"/>
              <v:stroke on="f"/>
              <v:imagedata o:title=""/>
              <o:lock v:ext="edit" aspectratio="f"/>
              <v:textbox inset="0mm,0mm,0mm,0mm">
                <w:txbxContent>
                  <w:p>
                    <w:pPr>
                      <w:pStyle w:val="102"/>
                      <w:jc w:val="left"/>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dashDotStroked" w:color="auto" w:sz="24" w:space="1"/>
      </w:pBdr>
    </w:pPr>
    <w:r>
      <w:rPr>
        <w:rFonts w:hint="eastAsia"/>
        <w:b/>
        <w:bCs/>
        <w:i/>
        <w:iCs/>
      </w:rPr>
      <w:t xml:space="preserve">                                                              </w:t>
    </w:r>
    <w:r>
      <w:rPr>
        <w:rFonts w:hint="eastAsia" w:ascii="宋体" w:hAnsi="宋体" w:cs="宋体"/>
        <w:b/>
        <w:szCs w:val="2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60" w:lineRule="auto"/>
      <w:ind w:left="0" w:leftChars="0" w:firstLine="0" w:firstLineChars="0"/>
      <w:jc w:val="left"/>
      <w:rPr>
        <w:rFonts w:ascii="宋体" w:hAnsi="宋体" w:eastAsia="宋体" w:cs="宋体"/>
        <w:b/>
        <w:sz w:val="18"/>
        <w:szCs w:val="22"/>
      </w:rPr>
    </w:pPr>
    <w:r>
      <w:rPr>
        <w:rFonts w:hint="eastAsia" w:ascii="宋体" w:hAnsi="宋体" w:cs="宋体"/>
        <w:b/>
      </w:rPr>
      <w:t xml:space="preserve">                     </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60" w:lineRule="auto"/>
      <w:ind w:left="0" w:leftChars="0" w:firstLine="0" w:firstLineChars="0"/>
      <w:jc w:val="left"/>
      <w:rPr>
        <w:rFonts w:ascii="宋体" w:hAnsi="宋体" w:eastAsia="宋体" w:cs="宋体"/>
        <w:b/>
        <w:sz w:val="18"/>
        <w:szCs w:val="22"/>
      </w:rPr>
    </w:pPr>
    <w:r>
      <w:rPr>
        <w:rFonts w:hint="eastAsia" w:ascii="宋体" w:hAnsi="宋体" w:cs="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1082675</wp:posOffset>
              </wp:positionH>
              <wp:positionV relativeFrom="page">
                <wp:posOffset>1507490</wp:posOffset>
              </wp:positionV>
              <wp:extent cx="704215" cy="182880"/>
              <wp:effectExtent l="0" t="0" r="0" b="0"/>
              <wp:wrapNone/>
              <wp:docPr id="23" name="Shape 23"/>
              <wp:cNvGraphicFramePr/>
              <a:graphic xmlns:a="http://schemas.openxmlformats.org/drawingml/2006/main">
                <a:graphicData uri="http://schemas.microsoft.com/office/word/2010/wordprocessingShape">
                  <wps:wsp>
                    <wps:cNvSpPr txBox="1"/>
                    <wps:spPr>
                      <a:xfrm>
                        <a:off x="0" y="0"/>
                        <a:ext cx="704215" cy="182880"/>
                      </a:xfrm>
                      <a:prstGeom prst="rect">
                        <a:avLst/>
                      </a:prstGeom>
                      <a:noFill/>
                    </wps:spPr>
                    <wps:txbx>
                      <w:txbxContent>
                        <w:p>
                          <w:pPr>
                            <w:pStyle w:val="102"/>
                            <w:jc w:val="left"/>
                            <w:rPr>
                              <w:sz w:val="32"/>
                              <w:szCs w:val="32"/>
                            </w:rPr>
                          </w:pPr>
                        </w:p>
                      </w:txbxContent>
                    </wps:txbx>
                    <wps:bodyPr wrap="none" lIns="0" tIns="0" rIns="0" bIns="0">
                      <a:spAutoFit/>
                    </wps:bodyPr>
                  </wps:wsp>
                </a:graphicData>
              </a:graphic>
            </wp:anchor>
          </w:drawing>
        </mc:Choice>
        <mc:Fallback>
          <w:pict>
            <v:shape id="Shape 23" o:spid="_x0000_s1026" o:spt="202" type="#_x0000_t202" style="position:absolute;left:0pt;margin-left:85.25pt;margin-top:118.7pt;height:14.4pt;width:55.45pt;mso-position-horizontal-relative:page;mso-position-vertical-relative:page;mso-wrap-style:none;z-index:-251657216;mso-width-relative:page;mso-height-relative:page;" filled="f" stroked="f" coordsize="21600,21600" o:gfxdata="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0XCwNYA&#10;AAALAQAADwAAAAAAAAABACAAAAAiAAAAZHJzL2Rvd25yZXYueG1sUEsBAhQAFAAAAAgAh07iQK8b&#10;4NyvAQAAcQMAAA4AAAAAAAAAAQAgAAAAJQEAAGRycy9lMm9Eb2MueG1sUEsFBgAAAAAGAAYAWQEA&#10;AEYFAAAAAA==&#10;">
              <v:fill on="f" focussize="0,0"/>
              <v:stroke on="f"/>
              <v:imagedata o:title=""/>
              <o:lock v:ext="edit" aspectratio="f"/>
              <v:textbox inset="0mm,0mm,0mm,0mm" style="mso-fit-shape-to-text:t;">
                <w:txbxContent>
                  <w:p>
                    <w:pPr>
                      <w:pStyle w:val="102"/>
                      <w:jc w:val="left"/>
                      <w:rPr>
                        <w:sz w:val="32"/>
                        <w:szCs w:val="32"/>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54DA9"/>
    <w:multiLevelType w:val="singleLevel"/>
    <w:tmpl w:val="ADA54DA9"/>
    <w:lvl w:ilvl="0" w:tentative="0">
      <w:start w:val="3"/>
      <w:numFmt w:val="decimal"/>
      <w:suff w:val="nothing"/>
      <w:lvlText w:val="%1、"/>
      <w:lvlJc w:val="left"/>
    </w:lvl>
  </w:abstractNum>
  <w:abstractNum w:abstractNumId="1">
    <w:nsid w:val="EEDBD5D0"/>
    <w:multiLevelType w:val="singleLevel"/>
    <w:tmpl w:val="EEDBD5D0"/>
    <w:lvl w:ilvl="0" w:tentative="0">
      <w:start w:val="3"/>
      <w:numFmt w:val="chineseCounting"/>
      <w:suff w:val="space"/>
      <w:lvlText w:val="第%1章"/>
      <w:lvlJc w:val="left"/>
      <w:rPr>
        <w:rFonts w:hint="eastAsia"/>
      </w:rPr>
    </w:lvl>
  </w:abstractNum>
  <w:abstractNum w:abstractNumId="2">
    <w:nsid w:val="00000003"/>
    <w:multiLevelType w:val="singleLevel"/>
    <w:tmpl w:val="00000003"/>
    <w:lvl w:ilvl="0" w:tentative="0">
      <w:start w:val="1"/>
      <w:numFmt w:val="upperLetter"/>
      <w:pStyle w:val="5"/>
      <w:lvlText w:val="%1."/>
      <w:lvlJc w:val="left"/>
      <w:pPr>
        <w:tabs>
          <w:tab w:val="left" w:pos="330"/>
        </w:tabs>
        <w:ind w:left="330" w:hanging="330"/>
      </w:pPr>
    </w:lvl>
  </w:abstractNum>
  <w:abstractNum w:abstractNumId="3">
    <w:nsid w:val="00000009"/>
    <w:multiLevelType w:val="multilevel"/>
    <w:tmpl w:val="00000009"/>
    <w:lvl w:ilvl="0" w:tentative="0">
      <w:start w:val="1"/>
      <w:numFmt w:val="upperLetter"/>
      <w:pStyle w:val="6"/>
      <w:lvlText w:val="%1."/>
      <w:lvlJc w:val="left"/>
      <w:pPr>
        <w:tabs>
          <w:tab w:val="left" w:pos="468"/>
        </w:tabs>
        <w:ind w:left="468" w:hanging="468"/>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360"/>
        </w:tabs>
        <w:ind w:left="3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430444F"/>
    <w:multiLevelType w:val="multilevel"/>
    <w:tmpl w:val="6430444F"/>
    <w:lvl w:ilvl="0" w:tentative="0">
      <w:start w:val="1"/>
      <w:numFmt w:val="decimal"/>
      <w:lvlText w:val="1.%1"/>
      <w:lvlJc w:val="left"/>
      <w:pPr>
        <w:ind w:left="846"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DQ4NzY2ZGVmNjk1NzkwOTI4MjM1ZmMyMzFjNDMifQ=="/>
  </w:docVars>
  <w:rsids>
    <w:rsidRoot w:val="2850517E"/>
    <w:rsid w:val="00010492"/>
    <w:rsid w:val="00063C51"/>
    <w:rsid w:val="000770D5"/>
    <w:rsid w:val="000A5ACC"/>
    <w:rsid w:val="000C4EB1"/>
    <w:rsid w:val="000D00B0"/>
    <w:rsid w:val="000F6956"/>
    <w:rsid w:val="00150DFB"/>
    <w:rsid w:val="001B0B51"/>
    <w:rsid w:val="001B1891"/>
    <w:rsid w:val="001C34B6"/>
    <w:rsid w:val="001F0256"/>
    <w:rsid w:val="002276D9"/>
    <w:rsid w:val="00242B69"/>
    <w:rsid w:val="00244BEF"/>
    <w:rsid w:val="002A6249"/>
    <w:rsid w:val="002D3D8F"/>
    <w:rsid w:val="002F768B"/>
    <w:rsid w:val="00314D2C"/>
    <w:rsid w:val="00324AEA"/>
    <w:rsid w:val="00337A43"/>
    <w:rsid w:val="003437C7"/>
    <w:rsid w:val="0035629F"/>
    <w:rsid w:val="0039146E"/>
    <w:rsid w:val="003946E9"/>
    <w:rsid w:val="00397B98"/>
    <w:rsid w:val="003B5BD3"/>
    <w:rsid w:val="003E456C"/>
    <w:rsid w:val="00403CDF"/>
    <w:rsid w:val="00407477"/>
    <w:rsid w:val="0047264A"/>
    <w:rsid w:val="004A1151"/>
    <w:rsid w:val="004A6754"/>
    <w:rsid w:val="004E18FB"/>
    <w:rsid w:val="004F50A8"/>
    <w:rsid w:val="005212F0"/>
    <w:rsid w:val="005342D1"/>
    <w:rsid w:val="005451D7"/>
    <w:rsid w:val="00545F06"/>
    <w:rsid w:val="00566C7E"/>
    <w:rsid w:val="00584F3E"/>
    <w:rsid w:val="0058530C"/>
    <w:rsid w:val="005906B2"/>
    <w:rsid w:val="005A7192"/>
    <w:rsid w:val="005C6484"/>
    <w:rsid w:val="00617A26"/>
    <w:rsid w:val="00624572"/>
    <w:rsid w:val="006340AC"/>
    <w:rsid w:val="00672ACA"/>
    <w:rsid w:val="00681BB9"/>
    <w:rsid w:val="006B1530"/>
    <w:rsid w:val="006E2AC1"/>
    <w:rsid w:val="007056CF"/>
    <w:rsid w:val="0075608D"/>
    <w:rsid w:val="00896AF6"/>
    <w:rsid w:val="008A1403"/>
    <w:rsid w:val="008C7496"/>
    <w:rsid w:val="008D5358"/>
    <w:rsid w:val="008F2B9F"/>
    <w:rsid w:val="00922D03"/>
    <w:rsid w:val="009362FA"/>
    <w:rsid w:val="00937EC3"/>
    <w:rsid w:val="00951F3D"/>
    <w:rsid w:val="00961BAB"/>
    <w:rsid w:val="009875A5"/>
    <w:rsid w:val="009A2F9F"/>
    <w:rsid w:val="009E538A"/>
    <w:rsid w:val="00A40686"/>
    <w:rsid w:val="00A544CC"/>
    <w:rsid w:val="00AB06FB"/>
    <w:rsid w:val="00AB2686"/>
    <w:rsid w:val="00AC3693"/>
    <w:rsid w:val="00AD5E16"/>
    <w:rsid w:val="00AE7DD5"/>
    <w:rsid w:val="00B37265"/>
    <w:rsid w:val="00B6169A"/>
    <w:rsid w:val="00B84BF1"/>
    <w:rsid w:val="00BA4D45"/>
    <w:rsid w:val="00BC1B4B"/>
    <w:rsid w:val="00BD5783"/>
    <w:rsid w:val="00BF0951"/>
    <w:rsid w:val="00BF6CAB"/>
    <w:rsid w:val="00C24B8A"/>
    <w:rsid w:val="00C24EE3"/>
    <w:rsid w:val="00C25664"/>
    <w:rsid w:val="00C30055"/>
    <w:rsid w:val="00C372A9"/>
    <w:rsid w:val="00C844C5"/>
    <w:rsid w:val="00C86ABF"/>
    <w:rsid w:val="00C97C12"/>
    <w:rsid w:val="00CB4270"/>
    <w:rsid w:val="00D53AC2"/>
    <w:rsid w:val="00D64CE7"/>
    <w:rsid w:val="00D6740A"/>
    <w:rsid w:val="00D72DB2"/>
    <w:rsid w:val="00D95F95"/>
    <w:rsid w:val="00DA02E6"/>
    <w:rsid w:val="00DA1FD0"/>
    <w:rsid w:val="00DB68CF"/>
    <w:rsid w:val="00DC3730"/>
    <w:rsid w:val="00E445A7"/>
    <w:rsid w:val="00E9419F"/>
    <w:rsid w:val="00EA5048"/>
    <w:rsid w:val="00F27676"/>
    <w:rsid w:val="00F737EF"/>
    <w:rsid w:val="00FA2134"/>
    <w:rsid w:val="00FD0C69"/>
    <w:rsid w:val="018468C4"/>
    <w:rsid w:val="01971088"/>
    <w:rsid w:val="024E0E0C"/>
    <w:rsid w:val="0343335A"/>
    <w:rsid w:val="034A0A30"/>
    <w:rsid w:val="0376374B"/>
    <w:rsid w:val="055802C1"/>
    <w:rsid w:val="05E04B6B"/>
    <w:rsid w:val="06F07F7E"/>
    <w:rsid w:val="071E4920"/>
    <w:rsid w:val="07710975"/>
    <w:rsid w:val="080C5EA1"/>
    <w:rsid w:val="08387E2F"/>
    <w:rsid w:val="084B4E95"/>
    <w:rsid w:val="08D81225"/>
    <w:rsid w:val="090E08D1"/>
    <w:rsid w:val="094E3682"/>
    <w:rsid w:val="09AE58D7"/>
    <w:rsid w:val="0AD66D82"/>
    <w:rsid w:val="0B46177B"/>
    <w:rsid w:val="0B666DA1"/>
    <w:rsid w:val="0C134C81"/>
    <w:rsid w:val="0C2C67CA"/>
    <w:rsid w:val="0DCB194E"/>
    <w:rsid w:val="0E034AD3"/>
    <w:rsid w:val="0EEC7257"/>
    <w:rsid w:val="0F4966B0"/>
    <w:rsid w:val="10185B0C"/>
    <w:rsid w:val="106874CE"/>
    <w:rsid w:val="110C21EB"/>
    <w:rsid w:val="1191604A"/>
    <w:rsid w:val="11EF3996"/>
    <w:rsid w:val="11F65BF8"/>
    <w:rsid w:val="12D97D52"/>
    <w:rsid w:val="12F14AD6"/>
    <w:rsid w:val="14484A2F"/>
    <w:rsid w:val="150441AA"/>
    <w:rsid w:val="155C39BB"/>
    <w:rsid w:val="1640757D"/>
    <w:rsid w:val="16694630"/>
    <w:rsid w:val="17B8580F"/>
    <w:rsid w:val="18304F31"/>
    <w:rsid w:val="18A17F5F"/>
    <w:rsid w:val="18C179DD"/>
    <w:rsid w:val="18C65EEA"/>
    <w:rsid w:val="190423A8"/>
    <w:rsid w:val="19D750ED"/>
    <w:rsid w:val="1A313017"/>
    <w:rsid w:val="1B22043C"/>
    <w:rsid w:val="1B341168"/>
    <w:rsid w:val="1B502696"/>
    <w:rsid w:val="1BDF5444"/>
    <w:rsid w:val="1C155844"/>
    <w:rsid w:val="1C3E5861"/>
    <w:rsid w:val="1CA17A40"/>
    <w:rsid w:val="1DF15AD4"/>
    <w:rsid w:val="1E1C6A78"/>
    <w:rsid w:val="1E5E64DD"/>
    <w:rsid w:val="1E953EE3"/>
    <w:rsid w:val="1F8878C7"/>
    <w:rsid w:val="1FCD5ABC"/>
    <w:rsid w:val="200E6BE5"/>
    <w:rsid w:val="20147AA6"/>
    <w:rsid w:val="20DD111C"/>
    <w:rsid w:val="21F13428"/>
    <w:rsid w:val="2238551A"/>
    <w:rsid w:val="227F1FDA"/>
    <w:rsid w:val="22B41F21"/>
    <w:rsid w:val="22C47A38"/>
    <w:rsid w:val="22D6745B"/>
    <w:rsid w:val="23794804"/>
    <w:rsid w:val="245B2DEE"/>
    <w:rsid w:val="246C5D0D"/>
    <w:rsid w:val="24845165"/>
    <w:rsid w:val="24B46932"/>
    <w:rsid w:val="25142553"/>
    <w:rsid w:val="259C5BF4"/>
    <w:rsid w:val="261626ED"/>
    <w:rsid w:val="265F15D3"/>
    <w:rsid w:val="27A91306"/>
    <w:rsid w:val="27FA5C28"/>
    <w:rsid w:val="2850517E"/>
    <w:rsid w:val="28697302"/>
    <w:rsid w:val="28844589"/>
    <w:rsid w:val="28853F8E"/>
    <w:rsid w:val="28F57A50"/>
    <w:rsid w:val="29395AE8"/>
    <w:rsid w:val="29426A84"/>
    <w:rsid w:val="29682370"/>
    <w:rsid w:val="299A6851"/>
    <w:rsid w:val="29BB1DFE"/>
    <w:rsid w:val="29CE7516"/>
    <w:rsid w:val="2A0C43DB"/>
    <w:rsid w:val="2BB444FB"/>
    <w:rsid w:val="2BC80DE1"/>
    <w:rsid w:val="2BCA0D1B"/>
    <w:rsid w:val="2C703A7A"/>
    <w:rsid w:val="2C9B029E"/>
    <w:rsid w:val="2D176B51"/>
    <w:rsid w:val="2D1F2FF7"/>
    <w:rsid w:val="2DB77E8B"/>
    <w:rsid w:val="2DD4721F"/>
    <w:rsid w:val="2E8C368A"/>
    <w:rsid w:val="2F1321AD"/>
    <w:rsid w:val="2F483DB6"/>
    <w:rsid w:val="2F804217"/>
    <w:rsid w:val="2FCB45C7"/>
    <w:rsid w:val="30F1651D"/>
    <w:rsid w:val="326A0FBD"/>
    <w:rsid w:val="32F32E67"/>
    <w:rsid w:val="33130500"/>
    <w:rsid w:val="331765A1"/>
    <w:rsid w:val="336B25B7"/>
    <w:rsid w:val="33BC65AB"/>
    <w:rsid w:val="341A41D5"/>
    <w:rsid w:val="343E451D"/>
    <w:rsid w:val="345A1A0F"/>
    <w:rsid w:val="3493213D"/>
    <w:rsid w:val="34974965"/>
    <w:rsid w:val="349F2C7B"/>
    <w:rsid w:val="35982334"/>
    <w:rsid w:val="35EB6B0B"/>
    <w:rsid w:val="37252F66"/>
    <w:rsid w:val="372B5668"/>
    <w:rsid w:val="372F6C54"/>
    <w:rsid w:val="37721970"/>
    <w:rsid w:val="37B36199"/>
    <w:rsid w:val="37E003FE"/>
    <w:rsid w:val="38214154"/>
    <w:rsid w:val="388E06C2"/>
    <w:rsid w:val="38C0063A"/>
    <w:rsid w:val="38F16154"/>
    <w:rsid w:val="38F4455B"/>
    <w:rsid w:val="398E3EE3"/>
    <w:rsid w:val="399D1869"/>
    <w:rsid w:val="3A66398D"/>
    <w:rsid w:val="3B0F4012"/>
    <w:rsid w:val="3B337E5E"/>
    <w:rsid w:val="3B8065B2"/>
    <w:rsid w:val="3B974473"/>
    <w:rsid w:val="3C282DA0"/>
    <w:rsid w:val="3C3879BD"/>
    <w:rsid w:val="3C414982"/>
    <w:rsid w:val="3D327032"/>
    <w:rsid w:val="3DAF29F1"/>
    <w:rsid w:val="3DC12607"/>
    <w:rsid w:val="3DE00E37"/>
    <w:rsid w:val="3EE33949"/>
    <w:rsid w:val="3FAD5782"/>
    <w:rsid w:val="40270F49"/>
    <w:rsid w:val="406A7AFD"/>
    <w:rsid w:val="40752ECD"/>
    <w:rsid w:val="41931C17"/>
    <w:rsid w:val="419A592F"/>
    <w:rsid w:val="41B07122"/>
    <w:rsid w:val="41B960FC"/>
    <w:rsid w:val="41C50B1C"/>
    <w:rsid w:val="41EF0857"/>
    <w:rsid w:val="41F72466"/>
    <w:rsid w:val="42593BB8"/>
    <w:rsid w:val="431A1904"/>
    <w:rsid w:val="43D17C36"/>
    <w:rsid w:val="44D36D16"/>
    <w:rsid w:val="450F30AA"/>
    <w:rsid w:val="45705C20"/>
    <w:rsid w:val="45AF3969"/>
    <w:rsid w:val="462641F2"/>
    <w:rsid w:val="46FE5605"/>
    <w:rsid w:val="47094C8E"/>
    <w:rsid w:val="471054F8"/>
    <w:rsid w:val="47814BEB"/>
    <w:rsid w:val="47E96E38"/>
    <w:rsid w:val="499564A1"/>
    <w:rsid w:val="49D9248D"/>
    <w:rsid w:val="49E93BE8"/>
    <w:rsid w:val="4A9E2E1A"/>
    <w:rsid w:val="4AEA0789"/>
    <w:rsid w:val="4BD035AE"/>
    <w:rsid w:val="4BF51D42"/>
    <w:rsid w:val="4C7864C4"/>
    <w:rsid w:val="4C7E7AE6"/>
    <w:rsid w:val="4CB96D97"/>
    <w:rsid w:val="4CDC150E"/>
    <w:rsid w:val="4D887E9E"/>
    <w:rsid w:val="4DB66DEF"/>
    <w:rsid w:val="4EBF4F73"/>
    <w:rsid w:val="4ED353E1"/>
    <w:rsid w:val="4F082F58"/>
    <w:rsid w:val="4F963200"/>
    <w:rsid w:val="4FB120D3"/>
    <w:rsid w:val="50065F4C"/>
    <w:rsid w:val="518A11E8"/>
    <w:rsid w:val="51C54984"/>
    <w:rsid w:val="524C0371"/>
    <w:rsid w:val="52EA3848"/>
    <w:rsid w:val="536D151E"/>
    <w:rsid w:val="54F9166E"/>
    <w:rsid w:val="550B0F24"/>
    <w:rsid w:val="5530517E"/>
    <w:rsid w:val="55CE40F8"/>
    <w:rsid w:val="55F16905"/>
    <w:rsid w:val="56C953BC"/>
    <w:rsid w:val="58135BB0"/>
    <w:rsid w:val="58575CDF"/>
    <w:rsid w:val="58D923EE"/>
    <w:rsid w:val="59D000CE"/>
    <w:rsid w:val="59D05426"/>
    <w:rsid w:val="5A4811F1"/>
    <w:rsid w:val="5B6779A7"/>
    <w:rsid w:val="5BC96C65"/>
    <w:rsid w:val="5C741C2D"/>
    <w:rsid w:val="5C7452F6"/>
    <w:rsid w:val="5E167F7C"/>
    <w:rsid w:val="5E360E0D"/>
    <w:rsid w:val="5E3B1A78"/>
    <w:rsid w:val="5EDB54D6"/>
    <w:rsid w:val="5F180F96"/>
    <w:rsid w:val="5F433189"/>
    <w:rsid w:val="60CF5ADC"/>
    <w:rsid w:val="618F3064"/>
    <w:rsid w:val="61D25FF4"/>
    <w:rsid w:val="61D56F33"/>
    <w:rsid w:val="622E51E3"/>
    <w:rsid w:val="62386717"/>
    <w:rsid w:val="623E0D13"/>
    <w:rsid w:val="63AA3963"/>
    <w:rsid w:val="646507D9"/>
    <w:rsid w:val="64C74CB4"/>
    <w:rsid w:val="6550176C"/>
    <w:rsid w:val="660E49EE"/>
    <w:rsid w:val="67614DFB"/>
    <w:rsid w:val="67ED7A99"/>
    <w:rsid w:val="68642968"/>
    <w:rsid w:val="68777571"/>
    <w:rsid w:val="69B51915"/>
    <w:rsid w:val="69E15F06"/>
    <w:rsid w:val="6A9B71F6"/>
    <w:rsid w:val="6B10394A"/>
    <w:rsid w:val="6B532166"/>
    <w:rsid w:val="6B7E03D2"/>
    <w:rsid w:val="6BEE3F7A"/>
    <w:rsid w:val="6C0027DF"/>
    <w:rsid w:val="6C8D3B67"/>
    <w:rsid w:val="6CDE68FC"/>
    <w:rsid w:val="6CF4770E"/>
    <w:rsid w:val="6DBB556D"/>
    <w:rsid w:val="6DC80D67"/>
    <w:rsid w:val="6DD579C0"/>
    <w:rsid w:val="6E5128C2"/>
    <w:rsid w:val="6FE054F4"/>
    <w:rsid w:val="704E505B"/>
    <w:rsid w:val="718143CD"/>
    <w:rsid w:val="71A40284"/>
    <w:rsid w:val="71D45A8C"/>
    <w:rsid w:val="721D41FB"/>
    <w:rsid w:val="7276498D"/>
    <w:rsid w:val="72B11F0D"/>
    <w:rsid w:val="72F91CBB"/>
    <w:rsid w:val="750D6D80"/>
    <w:rsid w:val="76763FFA"/>
    <w:rsid w:val="76A827A7"/>
    <w:rsid w:val="76D274F1"/>
    <w:rsid w:val="784A6EF4"/>
    <w:rsid w:val="78B157B8"/>
    <w:rsid w:val="78C02C97"/>
    <w:rsid w:val="79B23D1E"/>
    <w:rsid w:val="7A9E0A5F"/>
    <w:rsid w:val="7A9F3BCE"/>
    <w:rsid w:val="7AE00F19"/>
    <w:rsid w:val="7B344C76"/>
    <w:rsid w:val="7B4950F5"/>
    <w:rsid w:val="7C893710"/>
    <w:rsid w:val="7CE1794C"/>
    <w:rsid w:val="7D046107"/>
    <w:rsid w:val="7D526FEF"/>
    <w:rsid w:val="7E7F6FF6"/>
    <w:rsid w:val="7EDB0EDD"/>
    <w:rsid w:val="7EF65577"/>
    <w:rsid w:val="7F495386"/>
    <w:rsid w:val="7F690CC5"/>
    <w:rsid w:val="7FBF1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tabs>
        <w:tab w:val="left" w:pos="420"/>
        <w:tab w:val="left" w:pos="468"/>
      </w:tabs>
      <w:jc w:val="center"/>
      <w:outlineLvl w:val="0"/>
    </w:pPr>
    <w:rPr>
      <w:rFonts w:ascii="仿宋_GB2312" w:eastAsia="仿宋_GB2312"/>
      <w:sz w:val="28"/>
    </w:rPr>
  </w:style>
  <w:style w:type="paragraph" w:styleId="5">
    <w:name w:val="heading 2"/>
    <w:basedOn w:val="6"/>
    <w:next w:val="1"/>
    <w:qFormat/>
    <w:uiPriority w:val="0"/>
    <w:pPr>
      <w:numPr>
        <w:ilvl w:val="0"/>
        <w:numId w:val="1"/>
      </w:numPr>
      <w:tabs>
        <w:tab w:val="left" w:pos="420"/>
        <w:tab w:val="left" w:pos="468"/>
        <w:tab w:val="clear" w:pos="330"/>
      </w:tabs>
      <w:spacing w:line="360" w:lineRule="auto"/>
      <w:outlineLvl w:val="1"/>
    </w:pPr>
    <w:rPr>
      <w:b w:val="0"/>
      <w:sz w:val="24"/>
    </w:rPr>
  </w:style>
  <w:style w:type="paragraph" w:styleId="6">
    <w:name w:val="heading 3"/>
    <w:basedOn w:val="1"/>
    <w:next w:val="1"/>
    <w:qFormat/>
    <w:uiPriority w:val="0"/>
    <w:pPr>
      <w:keepNext/>
      <w:numPr>
        <w:ilvl w:val="0"/>
        <w:numId w:val="2"/>
      </w:numPr>
      <w:outlineLvl w:val="2"/>
    </w:pPr>
    <w:rPr>
      <w:b/>
      <w:bCs/>
      <w:sz w:val="28"/>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8280"/>
      </w:tabs>
      <w:ind w:firstLine="420" w:firstLineChars="200"/>
    </w:pPr>
    <w:rPr>
      <w:rFonts w:ascii="Times New Roman"/>
    </w:rPr>
  </w:style>
  <w:style w:type="paragraph" w:styleId="3">
    <w:name w:val="Body Text Indent"/>
    <w:basedOn w:val="1"/>
    <w:qFormat/>
    <w:uiPriority w:val="0"/>
    <w:pPr>
      <w:spacing w:line="800" w:lineRule="exact"/>
      <w:ind w:left="315" w:leftChars="150" w:firstLine="664" w:firstLineChars="237"/>
    </w:pPr>
    <w:rPr>
      <w:rFonts w:ascii="仿宋_GB2312" w:eastAsia="仿宋_GB2312"/>
      <w:sz w:val="28"/>
    </w:rPr>
  </w:style>
  <w:style w:type="paragraph" w:styleId="7">
    <w:name w:val="annotation text"/>
    <w:basedOn w:val="1"/>
    <w:link w:val="105"/>
    <w:qFormat/>
    <w:uiPriority w:val="0"/>
    <w:pPr>
      <w:jc w:val="left"/>
    </w:pPr>
  </w:style>
  <w:style w:type="paragraph" w:styleId="8">
    <w:name w:val="Body Text"/>
    <w:basedOn w:val="1"/>
    <w:next w:val="9"/>
    <w:qFormat/>
    <w:uiPriority w:val="0"/>
  </w:style>
  <w:style w:type="paragraph" w:styleId="9">
    <w:name w:val="Body Text 2"/>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styleId="10">
    <w:name w:val="toc 3"/>
    <w:basedOn w:val="1"/>
    <w:next w:val="1"/>
    <w:qFormat/>
    <w:uiPriority w:val="0"/>
    <w:pPr>
      <w:ind w:left="840" w:leftChars="400"/>
    </w:pPr>
  </w:style>
  <w:style w:type="paragraph" w:styleId="11">
    <w:name w:val="Plain Text"/>
    <w:basedOn w:val="1"/>
    <w:next w:val="1"/>
    <w:qFormat/>
    <w:uiPriority w:val="0"/>
    <w:rPr>
      <w:rFonts w:ascii="宋体" w:hAnsi="宋体"/>
    </w:rPr>
  </w:style>
  <w:style w:type="paragraph" w:styleId="12">
    <w:name w:val="Balloon Text"/>
    <w:basedOn w:val="1"/>
    <w:link w:val="96"/>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spacing w:beforeLines="50"/>
    </w:pPr>
    <w:rPr>
      <w:rFonts w:ascii="仿宋_GB2312" w:eastAsia="仿宋_GB2312"/>
      <w:sz w:val="24"/>
    </w:rPr>
  </w:style>
  <w:style w:type="paragraph" w:styleId="16">
    <w:name w:val="List"/>
    <w:basedOn w:val="1"/>
    <w:qFormat/>
    <w:uiPriority w:val="0"/>
    <w:pPr>
      <w:ind w:left="200" w:hanging="200" w:hangingChars="200"/>
      <w:contextualSpacing/>
    </w:pPr>
    <w:rPr>
      <w:rFonts w:ascii="Calibri" w:hAnsi="Calibri"/>
      <w:szCs w:val="24"/>
    </w:rPr>
  </w:style>
  <w:style w:type="paragraph" w:styleId="17">
    <w:name w:val="footnote text"/>
    <w:basedOn w:val="1"/>
    <w:qFormat/>
    <w:uiPriority w:val="0"/>
    <w:pPr>
      <w:snapToGrid w:val="0"/>
      <w:jc w:val="left"/>
    </w:pPr>
    <w:rPr>
      <w:rFonts w:eastAsia="楷体_GB2312"/>
      <w:sz w:val="18"/>
      <w:szCs w:val="18"/>
    </w:rPr>
  </w:style>
  <w:style w:type="paragraph" w:styleId="18">
    <w:name w:val="toc 2"/>
    <w:basedOn w:val="1"/>
    <w:next w:val="1"/>
    <w:qFormat/>
    <w:uiPriority w:val="0"/>
    <w:pPr>
      <w:ind w:left="420" w:leftChars="200"/>
    </w:pPr>
  </w:style>
  <w:style w:type="paragraph" w:styleId="19">
    <w:name w:val="Normal (Web)"/>
    <w:basedOn w:val="1"/>
    <w:qFormat/>
    <w:uiPriority w:val="0"/>
    <w:pPr>
      <w:widowControl/>
      <w:jc w:val="left"/>
    </w:pPr>
    <w:rPr>
      <w:rFonts w:ascii="宋体" w:hAnsi="宋体" w:cs="宋体"/>
      <w:kern w:val="0"/>
      <w:sz w:val="24"/>
      <w:szCs w:val="24"/>
    </w:rPr>
  </w:style>
  <w:style w:type="paragraph" w:styleId="20">
    <w:name w:val="annotation subject"/>
    <w:basedOn w:val="7"/>
    <w:next w:val="7"/>
    <w:link w:val="106"/>
    <w:qFormat/>
    <w:uiPriority w:val="0"/>
    <w:rPr>
      <w:b/>
      <w:bCs/>
    </w:rPr>
  </w:style>
  <w:style w:type="paragraph" w:styleId="21">
    <w:name w:val="Body Text First Indent"/>
    <w:basedOn w:val="8"/>
    <w:semiHidden/>
    <w:unhideWhenUsed/>
    <w:qFormat/>
    <w:uiPriority w:val="99"/>
    <w:pPr>
      <w:ind w:firstLine="420" w:firstLineChars="100"/>
    </w:pPr>
  </w:style>
  <w:style w:type="table" w:styleId="23">
    <w:name w:val="Table Grid"/>
    <w:basedOn w:val="2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qFormat/>
    <w:uiPriority w:val="0"/>
    <w:rPr>
      <w:color w:val="333333"/>
      <w:u w:val="none"/>
    </w:rPr>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0">
    <w:name w:val="正文_0"/>
    <w:basedOn w:val="31"/>
    <w:qFormat/>
    <w:uiPriority w:val="0"/>
  </w:style>
  <w:style w:type="paragraph" w:customStyle="1" w:styleId="3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2"/>
    <w:basedOn w:val="33"/>
    <w:qFormat/>
    <w:uiPriority w:val="0"/>
    <w:rPr>
      <w:szCs w:val="24"/>
    </w:rPr>
  </w:style>
  <w:style w:type="paragraph" w:customStyle="1" w:styleId="33">
    <w:name w:val="正文_3"/>
    <w:basedOn w:val="34"/>
    <w:next w:val="2"/>
    <w:qFormat/>
    <w:uiPriority w:val="0"/>
    <w:rPr>
      <w:rFonts w:ascii="Times New Roman" w:hAnsi="Times New Roman"/>
    </w:rPr>
  </w:style>
  <w:style w:type="paragraph" w:customStyle="1" w:styleId="3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标题 2_0"/>
    <w:basedOn w:val="36"/>
    <w:next w:val="32"/>
    <w:qFormat/>
    <w:uiPriority w:val="0"/>
    <w:pPr>
      <w:spacing w:line="360" w:lineRule="auto"/>
      <w:outlineLvl w:val="1"/>
    </w:pPr>
    <w:rPr>
      <w:rFonts w:ascii="Arial" w:hAnsi="Arial"/>
      <w:b w:val="0"/>
      <w:bCs w:val="0"/>
      <w:sz w:val="24"/>
    </w:rPr>
  </w:style>
  <w:style w:type="paragraph" w:customStyle="1" w:styleId="36">
    <w:name w:val="标题 3_0"/>
    <w:basedOn w:val="32"/>
    <w:next w:val="32"/>
    <w:unhideWhenUsed/>
    <w:qFormat/>
    <w:uiPriority w:val="9"/>
    <w:pPr>
      <w:keepNext/>
      <w:keepLines/>
      <w:spacing w:before="260" w:after="260" w:line="416" w:lineRule="auto"/>
      <w:outlineLvl w:val="2"/>
    </w:pPr>
    <w:rPr>
      <w:b/>
      <w:bCs/>
      <w:sz w:val="32"/>
      <w:szCs w:val="32"/>
    </w:rPr>
  </w:style>
  <w:style w:type="paragraph" w:customStyle="1" w:styleId="37">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
    <w:name w:val="纯文本_0"/>
    <w:basedOn w:val="37"/>
    <w:qFormat/>
    <w:uiPriority w:val="0"/>
    <w:rPr>
      <w:rFonts w:ascii="宋体" w:hAnsi="Courier New" w:cs="Courier New"/>
      <w:szCs w:val="21"/>
    </w:rPr>
  </w:style>
  <w:style w:type="paragraph" w:customStyle="1" w:styleId="39">
    <w:name w:val="正文缩进_0"/>
    <w:basedOn w:val="32"/>
    <w:unhideWhenUsed/>
    <w:qFormat/>
    <w:uiPriority w:val="0"/>
    <w:pPr>
      <w:ind w:firstLine="420" w:firstLineChars="200"/>
    </w:pPr>
    <w:rPr>
      <w:rFonts w:ascii="Calibri" w:hAnsi="Calibri"/>
    </w:rPr>
  </w:style>
  <w:style w:type="paragraph" w:customStyle="1" w:styleId="40">
    <w:name w:val="列出段落1"/>
    <w:basedOn w:val="1"/>
    <w:next w:val="1"/>
    <w:qFormat/>
    <w:uiPriority w:val="0"/>
    <w:pPr>
      <w:ind w:firstLine="420" w:firstLineChars="200"/>
    </w:pPr>
    <w:rPr>
      <w:rFonts w:ascii="Calibri" w:hAnsi="Calibri"/>
      <w:szCs w:val="22"/>
    </w:rPr>
  </w:style>
  <w:style w:type="paragraph" w:customStyle="1" w:styleId="41">
    <w:name w:val="正文缩进_1"/>
    <w:basedOn w:val="34"/>
    <w:unhideWhenUsed/>
    <w:qFormat/>
    <w:uiPriority w:val="0"/>
    <w:pPr>
      <w:ind w:firstLine="420" w:firstLineChars="200"/>
    </w:pPr>
  </w:style>
  <w:style w:type="paragraph" w:customStyle="1" w:styleId="42">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Normal_16"/>
    <w:qFormat/>
    <w:uiPriority w:val="0"/>
    <w:rPr>
      <w:rFonts w:ascii="Times New Roman" w:hAnsi="Times New Roman" w:eastAsia="Times New Roman" w:cs="Times New Roman"/>
      <w:sz w:val="24"/>
      <w:szCs w:val="24"/>
      <w:lang w:val="en-US" w:eastAsia="zh-CN" w:bidi="ar-SA"/>
    </w:rPr>
  </w:style>
  <w:style w:type="paragraph" w:customStyle="1" w:styleId="44">
    <w:name w:val="Normal_23"/>
    <w:qFormat/>
    <w:uiPriority w:val="0"/>
    <w:rPr>
      <w:rFonts w:ascii="Times New Roman" w:hAnsi="Times New Roman" w:eastAsia="Times New Roman" w:cs="Times New Roman"/>
      <w:sz w:val="24"/>
      <w:szCs w:val="24"/>
      <w:lang w:val="en-US" w:eastAsia="zh-CN" w:bidi="ar-SA"/>
    </w:rPr>
  </w:style>
  <w:style w:type="paragraph" w:customStyle="1" w:styleId="45">
    <w:name w:val="Normal_0"/>
    <w:qFormat/>
    <w:uiPriority w:val="0"/>
    <w:rPr>
      <w:rFonts w:ascii="Times New Roman" w:hAnsi="Times New Roman" w:eastAsia="Times New Roman" w:cs="Times New Roman"/>
      <w:sz w:val="24"/>
      <w:szCs w:val="24"/>
      <w:lang w:val="en-US" w:eastAsia="zh-CN" w:bidi="ar-SA"/>
    </w:rPr>
  </w:style>
  <w:style w:type="paragraph" w:customStyle="1" w:styleId="46">
    <w:name w:val="Normal_1"/>
    <w:qFormat/>
    <w:uiPriority w:val="0"/>
    <w:rPr>
      <w:rFonts w:ascii="Calibri" w:hAnsi="Calibri" w:eastAsia="Times New Roman" w:cs="Times New Roman"/>
      <w:sz w:val="24"/>
      <w:szCs w:val="24"/>
      <w:lang w:val="en-US" w:eastAsia="zh-CN" w:bidi="ar-SA"/>
    </w:rPr>
  </w:style>
  <w:style w:type="paragraph" w:customStyle="1" w:styleId="47">
    <w:name w:val="Normal_2"/>
    <w:qFormat/>
    <w:uiPriority w:val="0"/>
    <w:rPr>
      <w:rFonts w:ascii="黑体" w:hAnsi="黑体" w:eastAsia="黑体" w:cs="Times New Roman"/>
      <w:b/>
      <w:sz w:val="32"/>
      <w:szCs w:val="24"/>
      <w:lang w:val="en-US" w:eastAsia="zh-CN" w:bidi="ar-SA"/>
    </w:rPr>
  </w:style>
  <w:style w:type="paragraph" w:customStyle="1" w:styleId="48">
    <w:name w:val="Normal_3"/>
    <w:qFormat/>
    <w:uiPriority w:val="0"/>
    <w:rPr>
      <w:rFonts w:ascii="黑体" w:hAnsi="黑体" w:eastAsia="黑体" w:cs="Times New Roman"/>
      <w:b/>
      <w:sz w:val="32"/>
      <w:szCs w:val="24"/>
      <w:lang w:val="en-US" w:eastAsia="zh-CN" w:bidi="ar-SA"/>
    </w:rPr>
  </w:style>
  <w:style w:type="paragraph" w:customStyle="1" w:styleId="49">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50">
    <w:name w:val="正文文本_1"/>
    <w:basedOn w:val="51"/>
    <w:unhideWhenUsed/>
    <w:qFormat/>
    <w:uiPriority w:val="0"/>
    <w:pPr>
      <w:spacing w:after="120"/>
    </w:pPr>
  </w:style>
  <w:style w:type="paragraph" w:customStyle="1" w:styleId="51">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Normal_5"/>
    <w:qFormat/>
    <w:uiPriority w:val="0"/>
    <w:rPr>
      <w:rFonts w:ascii="黑体" w:hAnsi="黑体" w:eastAsia="黑体" w:cs="Times New Roman"/>
      <w:b/>
      <w:sz w:val="32"/>
      <w:szCs w:val="24"/>
      <w:lang w:val="en-US" w:eastAsia="zh-CN" w:bidi="ar-SA"/>
    </w:rPr>
  </w:style>
  <w:style w:type="paragraph" w:customStyle="1" w:styleId="53">
    <w:name w:val="正文_2_0"/>
    <w:basedOn w:val="32"/>
    <w:qFormat/>
    <w:uiPriority w:val="0"/>
  </w:style>
  <w:style w:type="paragraph" w:customStyle="1" w:styleId="54">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55">
    <w:name w:val="Normal_6"/>
    <w:qFormat/>
    <w:uiPriority w:val="0"/>
    <w:rPr>
      <w:rFonts w:ascii="黑体" w:hAnsi="黑体" w:eastAsia="黑体" w:cs="Times New Roman"/>
      <w:b/>
      <w:sz w:val="32"/>
      <w:szCs w:val="24"/>
      <w:lang w:val="en-US" w:eastAsia="zh-CN" w:bidi="ar-SA"/>
    </w:rPr>
  </w:style>
  <w:style w:type="paragraph" w:customStyle="1" w:styleId="56">
    <w:name w:val="Normal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Normal_8"/>
    <w:qFormat/>
    <w:uiPriority w:val="0"/>
    <w:rPr>
      <w:rFonts w:ascii="黑体" w:hAnsi="黑体" w:eastAsia="黑体" w:cs="Times New Roman"/>
      <w:b/>
      <w:sz w:val="32"/>
      <w:szCs w:val="24"/>
      <w:lang w:val="en-US" w:eastAsia="zh-CN" w:bidi="ar-SA"/>
    </w:rPr>
  </w:style>
  <w:style w:type="paragraph" w:customStyle="1" w:styleId="58">
    <w:name w:val="Normal_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Normal_10"/>
    <w:qFormat/>
    <w:uiPriority w:val="0"/>
    <w:rPr>
      <w:rFonts w:ascii="黑体" w:hAnsi="黑体" w:eastAsia="黑体" w:cs="Times New Roman"/>
      <w:b/>
      <w:sz w:val="32"/>
      <w:szCs w:val="24"/>
      <w:lang w:val="en-US" w:eastAsia="zh-CN" w:bidi="ar-SA"/>
    </w:rPr>
  </w:style>
  <w:style w:type="paragraph" w:customStyle="1" w:styleId="61">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Normal_11"/>
    <w:qFormat/>
    <w:uiPriority w:val="0"/>
    <w:rPr>
      <w:rFonts w:ascii="黑体" w:hAnsi="黑体" w:eastAsia="黑体" w:cs="Times New Roman"/>
      <w:b/>
      <w:sz w:val="32"/>
      <w:szCs w:val="24"/>
      <w:lang w:val="en-US" w:eastAsia="zh-CN" w:bidi="ar-SA"/>
    </w:rPr>
  </w:style>
  <w:style w:type="paragraph" w:customStyle="1" w:styleId="63">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Normal_12"/>
    <w:qFormat/>
    <w:uiPriority w:val="0"/>
    <w:rPr>
      <w:rFonts w:ascii="黑体" w:hAnsi="黑体" w:eastAsia="黑体" w:cs="Times New Roman"/>
      <w:b/>
      <w:sz w:val="32"/>
      <w:szCs w:val="24"/>
      <w:lang w:val="en-US" w:eastAsia="zh-CN" w:bidi="ar-SA"/>
    </w:rPr>
  </w:style>
  <w:style w:type="paragraph" w:customStyle="1" w:styleId="65">
    <w:name w:val="正文_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6">
    <w:name w:val="Normal_13"/>
    <w:qFormat/>
    <w:uiPriority w:val="0"/>
    <w:rPr>
      <w:rFonts w:ascii="黑体" w:hAnsi="黑体" w:eastAsia="黑体" w:cs="Times New Roman"/>
      <w:b/>
      <w:sz w:val="32"/>
      <w:szCs w:val="24"/>
      <w:lang w:val="en-US" w:eastAsia="zh-CN" w:bidi="ar-SA"/>
    </w:rPr>
  </w:style>
  <w:style w:type="paragraph" w:customStyle="1" w:styleId="6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Normal_14"/>
    <w:qFormat/>
    <w:uiPriority w:val="0"/>
    <w:rPr>
      <w:rFonts w:ascii="黑体" w:hAnsi="黑体" w:eastAsia="黑体" w:cs="Times New Roman"/>
      <w:b/>
      <w:sz w:val="32"/>
      <w:szCs w:val="24"/>
      <w:lang w:val="en-US" w:eastAsia="zh-CN" w:bidi="ar-SA"/>
    </w:rPr>
  </w:style>
  <w:style w:type="paragraph" w:customStyle="1" w:styleId="69">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Normal_15"/>
    <w:qFormat/>
    <w:uiPriority w:val="0"/>
    <w:rPr>
      <w:rFonts w:ascii="黑体" w:hAnsi="黑体" w:eastAsia="黑体" w:cs="Times New Roman"/>
      <w:b/>
      <w:sz w:val="32"/>
      <w:szCs w:val="24"/>
      <w:lang w:val="en-US" w:eastAsia="zh-CN" w:bidi="ar-SA"/>
    </w:rPr>
  </w:style>
  <w:style w:type="paragraph" w:customStyle="1" w:styleId="7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缩进_3"/>
    <w:basedOn w:val="71"/>
    <w:unhideWhenUsed/>
    <w:qFormat/>
    <w:uiPriority w:val="0"/>
    <w:pPr>
      <w:ind w:firstLine="420" w:firstLineChars="200"/>
    </w:pPr>
  </w:style>
  <w:style w:type="paragraph" w:customStyle="1" w:styleId="73">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正文缩进_0_0"/>
    <w:basedOn w:val="73"/>
    <w:unhideWhenUsed/>
    <w:qFormat/>
    <w:uiPriority w:val="0"/>
    <w:pPr>
      <w:ind w:firstLine="420" w:firstLineChars="200"/>
    </w:pPr>
  </w:style>
  <w:style w:type="paragraph" w:customStyle="1" w:styleId="75">
    <w:name w:val="Normal_17"/>
    <w:qFormat/>
    <w:uiPriority w:val="0"/>
    <w:rPr>
      <w:rFonts w:ascii="黑体" w:hAnsi="黑体" w:eastAsia="黑体" w:cs="Times New Roman"/>
      <w:b/>
      <w:sz w:val="32"/>
      <w:szCs w:val="24"/>
      <w:lang w:val="en-US" w:eastAsia="zh-CN" w:bidi="ar-SA"/>
    </w:rPr>
  </w:style>
  <w:style w:type="paragraph" w:customStyle="1" w:styleId="7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缩进_1_0"/>
    <w:basedOn w:val="76"/>
    <w:unhideWhenUsed/>
    <w:qFormat/>
    <w:uiPriority w:val="0"/>
    <w:pPr>
      <w:ind w:firstLine="420" w:firstLineChars="200"/>
    </w:pPr>
  </w:style>
  <w:style w:type="paragraph" w:customStyle="1" w:styleId="78">
    <w:name w:val="Normal_18"/>
    <w:qFormat/>
    <w:uiPriority w:val="0"/>
    <w:rPr>
      <w:rFonts w:ascii="黑体" w:hAnsi="黑体" w:eastAsia="黑体" w:cs="Times New Roman"/>
      <w:b/>
      <w:sz w:val="32"/>
      <w:szCs w:val="24"/>
      <w:lang w:val="en-US" w:eastAsia="zh-CN" w:bidi="ar-SA"/>
    </w:rPr>
  </w:style>
  <w:style w:type="paragraph" w:customStyle="1" w:styleId="79">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纯文本_1"/>
    <w:basedOn w:val="81"/>
    <w:unhideWhenUsed/>
    <w:qFormat/>
    <w:uiPriority w:val="0"/>
    <w:rPr>
      <w:rFonts w:ascii="宋体" w:hAnsi="Courier New" w:cs="Courier New"/>
      <w:szCs w:val="21"/>
    </w:rPr>
  </w:style>
  <w:style w:type="paragraph" w:customStyle="1" w:styleId="8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日期_0"/>
    <w:basedOn w:val="79"/>
    <w:next w:val="79"/>
    <w:qFormat/>
    <w:uiPriority w:val="0"/>
    <w:pPr>
      <w:ind w:left="100" w:leftChars="2500"/>
    </w:pPr>
    <w:rPr>
      <w:rFonts w:ascii="宋体" w:hAnsi="Courier New" w:cs="Courier New"/>
      <w:szCs w:val="21"/>
    </w:rPr>
  </w:style>
  <w:style w:type="paragraph" w:customStyle="1" w:styleId="83">
    <w:name w:val="Normal_19"/>
    <w:qFormat/>
    <w:uiPriority w:val="0"/>
    <w:rPr>
      <w:rFonts w:ascii="黑体" w:hAnsi="黑体" w:eastAsia="黑体" w:cs="Times New Roman"/>
      <w:b/>
      <w:sz w:val="32"/>
      <w:szCs w:val="24"/>
      <w:lang w:val="en-US" w:eastAsia="zh-CN" w:bidi="ar-SA"/>
    </w:rPr>
  </w:style>
  <w:style w:type="paragraph" w:customStyle="1" w:styleId="84">
    <w:name w:val="Normal_20"/>
    <w:qFormat/>
    <w:uiPriority w:val="0"/>
    <w:rPr>
      <w:rFonts w:ascii="黑体" w:hAnsi="黑体" w:eastAsia="黑体" w:cs="Times New Roman"/>
      <w:b/>
      <w:sz w:val="32"/>
      <w:szCs w:val="24"/>
      <w:lang w:val="en-US" w:eastAsia="zh-CN" w:bidi="ar-SA"/>
    </w:rPr>
  </w:style>
  <w:style w:type="paragraph" w:customStyle="1" w:styleId="85">
    <w:name w:val="标题 3_1"/>
    <w:basedOn w:val="86"/>
    <w:next w:val="87"/>
    <w:unhideWhenUsed/>
    <w:qFormat/>
    <w:uiPriority w:val="9"/>
    <w:pPr>
      <w:keepNext/>
      <w:keepLines/>
      <w:spacing w:before="260" w:after="260" w:line="416" w:lineRule="auto"/>
      <w:outlineLvl w:val="2"/>
    </w:pPr>
    <w:rPr>
      <w:b/>
      <w:bCs/>
      <w:sz w:val="32"/>
      <w:szCs w:val="32"/>
    </w:rPr>
  </w:style>
  <w:style w:type="paragraph" w:customStyle="1" w:styleId="86">
    <w:name w:val="标题 2_2"/>
    <w:basedOn w:val="87"/>
    <w:next w:val="87"/>
    <w:unhideWhenUsed/>
    <w:qFormat/>
    <w:uiPriority w:val="0"/>
    <w:pPr>
      <w:spacing w:line="360" w:lineRule="auto"/>
      <w:outlineLvl w:val="1"/>
    </w:pPr>
    <w:rPr>
      <w:rFonts w:ascii="Arial" w:hAnsi="Arial"/>
      <w:sz w:val="24"/>
    </w:rPr>
  </w:style>
  <w:style w:type="paragraph" w:customStyle="1" w:styleId="87">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Normal_21"/>
    <w:qFormat/>
    <w:uiPriority w:val="0"/>
    <w:rPr>
      <w:rFonts w:ascii="黑体" w:hAnsi="黑体" w:eastAsia="黑体" w:cs="Times New Roman"/>
      <w:b/>
      <w:sz w:val="32"/>
      <w:szCs w:val="24"/>
      <w:lang w:val="en-US" w:eastAsia="zh-CN" w:bidi="ar-SA"/>
    </w:rPr>
  </w:style>
  <w:style w:type="paragraph" w:customStyle="1" w:styleId="89">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
    <w:name w:val="正文缩进_2_0"/>
    <w:basedOn w:val="89"/>
    <w:unhideWhenUsed/>
    <w:qFormat/>
    <w:uiPriority w:val="0"/>
    <w:pPr>
      <w:ind w:firstLine="420" w:firstLineChars="200"/>
    </w:pPr>
  </w:style>
  <w:style w:type="paragraph" w:customStyle="1" w:styleId="91">
    <w:name w:val="Normal_22"/>
    <w:qFormat/>
    <w:uiPriority w:val="0"/>
    <w:rPr>
      <w:rFonts w:ascii="黑体" w:hAnsi="黑体" w:eastAsia="黑体" w:cs="Times New Roman"/>
      <w:b/>
      <w:sz w:val="32"/>
      <w:szCs w:val="24"/>
      <w:lang w:val="en-US" w:eastAsia="zh-CN" w:bidi="ar-SA"/>
    </w:rPr>
  </w:style>
  <w:style w:type="paragraph" w:customStyle="1" w:styleId="92">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正文_0_2"/>
    <w:basedOn w:val="33"/>
    <w:qFormat/>
    <w:uiPriority w:val="0"/>
    <w:rPr>
      <w:rFonts w:eastAsia="Times New Roman" w:cs="宋体"/>
      <w:szCs w:val="21"/>
    </w:rPr>
  </w:style>
  <w:style w:type="paragraph" w:customStyle="1" w:styleId="94">
    <w:name w:val="标题 4_0_0"/>
    <w:basedOn w:val="93"/>
    <w:next w:val="93"/>
    <w:qFormat/>
    <w:uiPriority w:val="0"/>
    <w:pPr>
      <w:autoSpaceDE w:val="0"/>
      <w:autoSpaceDN w:val="0"/>
      <w:spacing w:before="100" w:beforeAutospacing="1" w:after="100" w:afterAutospacing="1"/>
      <w:ind w:left="1801"/>
      <w:jc w:val="left"/>
      <w:outlineLvl w:val="3"/>
    </w:pPr>
    <w:rPr>
      <w:rFonts w:ascii="宋体" w:hAnsi="宋体"/>
      <w:b/>
      <w:bCs/>
      <w:kern w:val="0"/>
      <w:sz w:val="24"/>
      <w:szCs w:val="24"/>
    </w:rPr>
  </w:style>
  <w:style w:type="paragraph" w:customStyle="1" w:styleId="95">
    <w:name w:val="正文_3_1"/>
    <w:qFormat/>
    <w:uiPriority w:val="0"/>
    <w:pPr>
      <w:widowControl w:val="0"/>
      <w:jc w:val="both"/>
    </w:pPr>
    <w:rPr>
      <w:rFonts w:ascii="Calibri" w:hAnsi="Calibri" w:eastAsia="Times New Roman" w:cs="Times New Roman"/>
      <w:kern w:val="2"/>
      <w:sz w:val="21"/>
      <w:szCs w:val="22"/>
      <w:lang w:val="en-US" w:eastAsia="zh-CN" w:bidi="ar-SA"/>
    </w:rPr>
  </w:style>
  <w:style w:type="character" w:customStyle="1" w:styleId="96">
    <w:name w:val="批注框文本 字符"/>
    <w:basedOn w:val="24"/>
    <w:link w:val="12"/>
    <w:qFormat/>
    <w:uiPriority w:val="0"/>
    <w:rPr>
      <w:rFonts w:ascii="Times New Roman" w:hAnsi="Times New Roman" w:eastAsia="宋体" w:cs="Times New Roman"/>
      <w:kern w:val="2"/>
      <w:sz w:val="18"/>
      <w:szCs w:val="18"/>
    </w:rPr>
  </w:style>
  <w:style w:type="paragraph" w:customStyle="1" w:styleId="97">
    <w:name w:val="Body text|1"/>
    <w:basedOn w:val="1"/>
    <w:qFormat/>
    <w:uiPriority w:val="0"/>
    <w:pPr>
      <w:spacing w:line="389" w:lineRule="auto"/>
      <w:ind w:firstLine="400"/>
    </w:pPr>
    <w:rPr>
      <w:rFonts w:ascii="宋体" w:hAnsi="宋体" w:cs="宋体"/>
      <w:sz w:val="30"/>
      <w:szCs w:val="30"/>
      <w:lang w:val="zh-TW" w:eastAsia="zh-TW" w:bidi="zh-TW"/>
    </w:rPr>
  </w:style>
  <w:style w:type="paragraph" w:customStyle="1" w:styleId="98">
    <w:name w:val="Heading #1|1"/>
    <w:basedOn w:val="1"/>
    <w:qFormat/>
    <w:uiPriority w:val="0"/>
    <w:pPr>
      <w:spacing w:after="500" w:line="569" w:lineRule="exact"/>
      <w:jc w:val="center"/>
      <w:outlineLvl w:val="0"/>
    </w:pPr>
    <w:rPr>
      <w:rFonts w:ascii="宋体" w:hAnsi="宋体" w:cs="宋体"/>
      <w:sz w:val="44"/>
      <w:szCs w:val="44"/>
      <w:lang w:val="zh-TW" w:eastAsia="zh-TW" w:bidi="zh-TW"/>
    </w:rPr>
  </w:style>
  <w:style w:type="paragraph" w:customStyle="1" w:styleId="99">
    <w:name w:val="Other|1"/>
    <w:basedOn w:val="1"/>
    <w:qFormat/>
    <w:uiPriority w:val="0"/>
    <w:pPr>
      <w:spacing w:line="389" w:lineRule="auto"/>
      <w:ind w:firstLine="400"/>
    </w:pPr>
    <w:rPr>
      <w:rFonts w:ascii="宋体" w:hAnsi="宋体" w:cs="宋体"/>
      <w:sz w:val="30"/>
      <w:szCs w:val="30"/>
      <w:lang w:val="zh-TW" w:eastAsia="zh-TW" w:bidi="zh-TW"/>
    </w:rPr>
  </w:style>
  <w:style w:type="paragraph" w:customStyle="1" w:styleId="100">
    <w:name w:val="Table caption|1"/>
    <w:basedOn w:val="1"/>
    <w:qFormat/>
    <w:uiPriority w:val="0"/>
    <w:rPr>
      <w:rFonts w:ascii="宋体" w:hAnsi="宋体" w:cs="宋体"/>
      <w:sz w:val="22"/>
      <w:szCs w:val="22"/>
      <w:lang w:val="zh-TW" w:eastAsia="zh-TW" w:bidi="zh-TW"/>
    </w:rPr>
  </w:style>
  <w:style w:type="paragraph" w:customStyle="1" w:styleId="101">
    <w:name w:val="Header or footer|2"/>
    <w:basedOn w:val="1"/>
    <w:qFormat/>
    <w:uiPriority w:val="0"/>
    <w:rPr>
      <w:sz w:val="20"/>
    </w:rPr>
  </w:style>
  <w:style w:type="paragraph" w:customStyle="1" w:styleId="102">
    <w:name w:val="Header or footer|1"/>
    <w:basedOn w:val="1"/>
    <w:qFormat/>
    <w:uiPriority w:val="0"/>
    <w:rPr>
      <w:sz w:val="26"/>
      <w:szCs w:val="26"/>
      <w:lang w:val="zh-TW" w:eastAsia="zh-TW" w:bidi="zh-TW"/>
    </w:rPr>
  </w:style>
  <w:style w:type="paragraph" w:styleId="103">
    <w:name w:val="List Paragraph"/>
    <w:basedOn w:val="1"/>
    <w:qFormat/>
    <w:uiPriority w:val="1"/>
    <w:pPr>
      <w:ind w:left="1492" w:hanging="570"/>
    </w:pPr>
    <w:rPr>
      <w:rFonts w:ascii="Microsoft JhengHei" w:hAnsi="Microsoft JhengHei" w:eastAsia="Microsoft JhengHei" w:cs="Microsoft JhengHei"/>
      <w:lang w:val="zh-CN" w:bidi="zh-CN"/>
    </w:rPr>
  </w:style>
  <w:style w:type="paragraph" w:customStyle="1" w:styleId="104">
    <w:name w:val="Table Paragraph"/>
    <w:basedOn w:val="1"/>
    <w:qFormat/>
    <w:uiPriority w:val="1"/>
    <w:pPr>
      <w:jc w:val="center"/>
    </w:pPr>
    <w:rPr>
      <w:rFonts w:ascii="宋体" w:hAnsi="宋体" w:cs="宋体"/>
      <w:lang w:val="zh-CN" w:bidi="zh-CN"/>
    </w:rPr>
  </w:style>
  <w:style w:type="character" w:customStyle="1" w:styleId="105">
    <w:name w:val="批注文字 字符"/>
    <w:basedOn w:val="24"/>
    <w:link w:val="7"/>
    <w:qFormat/>
    <w:uiPriority w:val="0"/>
    <w:rPr>
      <w:kern w:val="2"/>
      <w:sz w:val="21"/>
    </w:rPr>
  </w:style>
  <w:style w:type="character" w:customStyle="1" w:styleId="106">
    <w:name w:val="批注主题 字符"/>
    <w:basedOn w:val="105"/>
    <w:link w:val="20"/>
    <w:qFormat/>
    <w:uiPriority w:val="0"/>
    <w:rPr>
      <w:b/>
      <w:bCs/>
      <w:kern w:val="2"/>
      <w:sz w:val="21"/>
    </w:rPr>
  </w:style>
  <w:style w:type="paragraph" w:customStyle="1" w:styleId="107">
    <w:name w:val="正文1"/>
    <w:qFormat/>
    <w:uiPriority w:val="0"/>
    <w:rPr>
      <w:rFonts w:ascii="Times New Roman" w:hAnsi="Times New Roman" w:eastAsia="Times New Roman" w:cs="Times New Roman"/>
      <w:sz w:val="24"/>
      <w:szCs w:val="24"/>
      <w:lang w:val="en-US" w:eastAsia="zh-CN" w:bidi="ar-SA"/>
    </w:rPr>
  </w:style>
  <w:style w:type="character" w:customStyle="1" w:styleId="108">
    <w:name w:val="red"/>
    <w:basedOn w:val="24"/>
    <w:qFormat/>
    <w:uiPriority w:val="0"/>
    <w:rPr>
      <w:color w:val="E13636"/>
      <w:sz w:val="18"/>
      <w:szCs w:val="18"/>
    </w:rPr>
  </w:style>
  <w:style w:type="character" w:customStyle="1" w:styleId="109">
    <w:name w:val="blue2"/>
    <w:basedOn w:val="24"/>
    <w:qFormat/>
    <w:uiPriority w:val="0"/>
    <w:rPr>
      <w:color w:val="5096D4"/>
      <w:sz w:val="16"/>
      <w:szCs w:val="16"/>
    </w:rPr>
  </w:style>
  <w:style w:type="character" w:customStyle="1" w:styleId="110">
    <w:name w:val="blue"/>
    <w:basedOn w:val="24"/>
    <w:qFormat/>
    <w:uiPriority w:val="0"/>
    <w:rPr>
      <w:color w:val="5096D4"/>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90EB9-7641-4658-8066-8EAE53066091}">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55</Pages>
  <Words>19860</Words>
  <Characters>20960</Characters>
  <Lines>184</Lines>
  <Paragraphs>51</Paragraphs>
  <TotalTime>19</TotalTime>
  <ScaleCrop>false</ScaleCrop>
  <LinksUpToDate>false</LinksUpToDate>
  <CharactersWithSpaces>22680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2021-06-16T07:17:00Z</dcterms:created>
  <dc:creator>NTKO</dc:creator>
  <cp:lastModifiedBy>贝若依</cp:lastModifiedBy>
  <dcterms:modified xsi:type="dcterms:W3CDTF">2022-11-18T05:16:37Z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FEA73BC99B724C78875F22C2FF937232</vt:lpwstr>
  </property>
</Properties>
</file>