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color w:val="auto"/>
          <w:sz w:val="32"/>
          <w:szCs w:val="32"/>
        </w:rPr>
      </w:pPr>
    </w:p>
    <w:p>
      <w:pPr>
        <w:rPr>
          <w:rFonts w:hint="default"/>
          <w:color w:val="auto"/>
          <w:lang w:val="en-US"/>
        </w:rPr>
      </w:pPr>
      <w:r>
        <w:rPr>
          <w:rFonts w:hint="eastAsia"/>
          <w:b/>
          <w:color w:val="auto"/>
          <w:sz w:val="32"/>
          <w:szCs w:val="32"/>
        </w:rPr>
        <w:t>编号</w:t>
      </w:r>
      <w:r>
        <w:rPr>
          <w:rFonts w:hint="eastAsia"/>
          <w:color w:val="auto"/>
          <w:sz w:val="32"/>
          <w:szCs w:val="32"/>
        </w:rPr>
        <w:t>：</w:t>
      </w:r>
      <w:r>
        <w:rPr>
          <w:rFonts w:hint="eastAsia"/>
          <w:color w:val="auto"/>
          <w:sz w:val="28"/>
          <w:szCs w:val="28"/>
          <w:lang w:val="en-US" w:eastAsia="zh-CN"/>
        </w:rPr>
        <w:t>JHXGK-XJHE2023-051</w:t>
      </w:r>
    </w:p>
    <w:p>
      <w:pPr>
        <w:rPr>
          <w:rFonts w:hint="eastAsia"/>
          <w:color w:val="auto"/>
        </w:rPr>
      </w:pPr>
    </w:p>
    <w:p>
      <w:pPr>
        <w:jc w:val="center"/>
        <w:rPr>
          <w:rFonts w:hint="eastAsia"/>
          <w:b/>
          <w:color w:val="auto"/>
          <w:sz w:val="44"/>
          <w:szCs w:val="44"/>
        </w:rPr>
      </w:pPr>
    </w:p>
    <w:p>
      <w:pPr>
        <w:jc w:val="center"/>
        <w:rPr>
          <w:rFonts w:hint="eastAsia"/>
          <w:b/>
          <w:color w:val="auto"/>
          <w:sz w:val="44"/>
          <w:szCs w:val="44"/>
          <w:lang w:eastAsia="zh-CN"/>
        </w:rPr>
      </w:pPr>
    </w:p>
    <w:p>
      <w:pPr>
        <w:jc w:val="center"/>
        <w:rPr>
          <w:rFonts w:hint="eastAsia"/>
          <w:b/>
          <w:color w:val="auto"/>
          <w:sz w:val="44"/>
          <w:szCs w:val="44"/>
        </w:rPr>
      </w:pPr>
      <w:r>
        <w:rPr>
          <w:rFonts w:hint="eastAsia"/>
          <w:b/>
          <w:color w:val="auto"/>
          <w:sz w:val="44"/>
          <w:szCs w:val="44"/>
          <w:lang w:eastAsia="zh-CN"/>
        </w:rPr>
        <w:t>博州精河县妇幼保健能力提升建设项目（A包）</w:t>
      </w:r>
    </w:p>
    <w:p>
      <w:pPr>
        <w:jc w:val="center"/>
        <w:rPr>
          <w:rFonts w:hint="eastAsia"/>
          <w:b/>
          <w:color w:val="auto"/>
          <w:sz w:val="44"/>
          <w:szCs w:val="44"/>
        </w:rPr>
      </w:pPr>
    </w:p>
    <w:p>
      <w:pPr>
        <w:rPr>
          <w:rFonts w:hint="eastAsia"/>
          <w:color w:val="auto"/>
        </w:rPr>
      </w:pPr>
    </w:p>
    <w:p>
      <w:pPr>
        <w:pStyle w:val="6"/>
        <w:rPr>
          <w:rFonts w:hint="eastAsia"/>
          <w:color w:val="auto"/>
        </w:rPr>
      </w:pPr>
    </w:p>
    <w:p>
      <w:pPr>
        <w:rPr>
          <w:rFonts w:hint="eastAsia"/>
          <w:color w:val="auto"/>
        </w:rPr>
      </w:pPr>
    </w:p>
    <w:p>
      <w:pPr>
        <w:rPr>
          <w:rFonts w:hint="eastAsia"/>
          <w:color w:val="auto"/>
        </w:rPr>
      </w:pPr>
    </w:p>
    <w:p>
      <w:pPr>
        <w:pStyle w:val="6"/>
        <w:rPr>
          <w:rFonts w:hint="eastAsia"/>
          <w:color w:val="auto"/>
        </w:rPr>
      </w:pPr>
    </w:p>
    <w:p>
      <w:pPr>
        <w:pStyle w:val="50"/>
        <w:numPr>
          <w:ilvl w:val="1"/>
          <w:numId w:val="0"/>
        </w:numPr>
        <w:spacing w:line="360" w:lineRule="auto"/>
        <w:ind w:left="992" w:leftChars="0" w:hanging="567" w:firstLineChars="0"/>
        <w:jc w:val="center"/>
        <w:rPr>
          <w:rFonts w:hint="eastAsia" w:ascii="宋体" w:hAnsi="宋体" w:eastAsia="宋体" w:cs="宋体"/>
          <w:b w:val="0"/>
          <w:bCs w:val="0"/>
          <w:color w:val="auto"/>
          <w:sz w:val="24"/>
          <w:szCs w:val="24"/>
          <w:highlight w:val="red"/>
        </w:rPr>
      </w:pPr>
      <w:r>
        <w:rPr>
          <w:rFonts w:hint="eastAsia"/>
          <w:b/>
          <w:color w:val="auto"/>
          <w:sz w:val="44"/>
          <w:szCs w:val="44"/>
          <w:lang w:val="en-US" w:eastAsia="zh-CN"/>
        </w:rPr>
        <w:t>公开</w:t>
      </w:r>
      <w:r>
        <w:rPr>
          <w:rFonts w:hint="eastAsia"/>
          <w:b/>
          <w:color w:val="auto"/>
          <w:sz w:val="44"/>
          <w:szCs w:val="44"/>
        </w:rPr>
        <w:t>招标文件</w:t>
      </w:r>
    </w:p>
    <w:p>
      <w:pPr>
        <w:numPr>
          <w:ilvl w:val="0"/>
          <w:numId w:val="0"/>
        </w:numPr>
        <w:spacing w:line="440" w:lineRule="exact"/>
        <w:rPr>
          <w:rFonts w:hint="eastAsia" w:ascii="宋体" w:hAnsi="宋体" w:eastAsia="宋体" w:cs="宋体"/>
          <w:color w:val="auto"/>
          <w:sz w:val="24"/>
          <w:lang w:eastAsia="zh-CN"/>
        </w:rPr>
      </w:pPr>
    </w:p>
    <w:p>
      <w:pPr>
        <w:jc w:val="center"/>
        <w:rPr>
          <w:rFonts w:hint="eastAsia"/>
          <w:color w:val="auto"/>
        </w:rPr>
      </w:pPr>
    </w:p>
    <w:p>
      <w:pPr>
        <w:pStyle w:val="6"/>
        <w:rPr>
          <w:rFonts w:hint="eastAsia"/>
          <w:color w:val="auto"/>
        </w:rPr>
      </w:pPr>
    </w:p>
    <w:p>
      <w:pPr>
        <w:rPr>
          <w:rFonts w:hint="eastAsia"/>
          <w:color w:val="auto"/>
        </w:rPr>
      </w:pPr>
    </w:p>
    <w:p>
      <w:pPr>
        <w:pStyle w:val="6"/>
        <w:rPr>
          <w:rFonts w:hint="eastAsia"/>
          <w:color w:val="auto"/>
        </w:rPr>
      </w:pPr>
    </w:p>
    <w:p>
      <w:pPr>
        <w:rPr>
          <w:rFonts w:hint="eastAsia"/>
          <w:color w:val="auto"/>
        </w:rPr>
      </w:pPr>
    </w:p>
    <w:p>
      <w:pPr>
        <w:spacing w:before="156" w:beforeLines="50" w:after="156" w:afterLines="50"/>
        <w:ind w:left="2" w:firstLine="858" w:firstLineChars="285"/>
        <w:rPr>
          <w:rFonts w:hint="eastAsia" w:ascii="宋体" w:hAnsi="宋体" w:eastAsia="宋体"/>
          <w:b/>
          <w:color w:val="auto"/>
          <w:sz w:val="30"/>
          <w:szCs w:val="30"/>
          <w:lang w:eastAsia="zh-CN"/>
        </w:rPr>
      </w:pPr>
      <w:r>
        <w:rPr>
          <w:rFonts w:hint="eastAsia" w:ascii="宋体" w:hAnsi="宋体"/>
          <w:b/>
          <w:color w:val="auto"/>
          <w:sz w:val="30"/>
          <w:szCs w:val="30"/>
        </w:rPr>
        <w:t>招标人：</w:t>
      </w:r>
      <w:r>
        <w:rPr>
          <w:rFonts w:hint="eastAsia" w:ascii="宋体" w:hAnsi="宋体"/>
          <w:b/>
          <w:color w:val="auto"/>
          <w:sz w:val="30"/>
          <w:szCs w:val="30"/>
          <w:lang w:eastAsia="zh-CN"/>
        </w:rPr>
        <w:t>精河县卫生健康委员会</w:t>
      </w:r>
    </w:p>
    <w:p>
      <w:pPr>
        <w:pStyle w:val="6"/>
        <w:rPr>
          <w:rFonts w:hint="eastAsia"/>
          <w:color w:val="auto"/>
          <w:lang w:eastAsia="zh-CN"/>
        </w:rPr>
      </w:pPr>
    </w:p>
    <w:p>
      <w:pPr>
        <w:spacing w:before="156" w:beforeLines="50" w:after="156" w:afterLines="50"/>
        <w:ind w:left="2" w:firstLine="858" w:firstLineChars="285"/>
        <w:rPr>
          <w:rFonts w:hint="eastAsia" w:ascii="宋体" w:hAnsi="宋体"/>
          <w:b/>
          <w:color w:val="auto"/>
          <w:sz w:val="30"/>
          <w:szCs w:val="30"/>
          <w:lang w:eastAsia="zh-CN"/>
        </w:rPr>
      </w:pPr>
      <w:r>
        <w:rPr>
          <w:rFonts w:hint="eastAsia" w:ascii="宋体" w:hAnsi="宋体"/>
          <w:b/>
          <w:color w:val="auto"/>
          <w:sz w:val="30"/>
          <w:szCs w:val="30"/>
        </w:rPr>
        <w:t>招标代理机构：</w:t>
      </w:r>
      <w:r>
        <w:rPr>
          <w:rFonts w:hint="eastAsia" w:ascii="宋体" w:hAnsi="宋体"/>
          <w:b/>
          <w:color w:val="auto"/>
          <w:sz w:val="30"/>
          <w:szCs w:val="30"/>
          <w:lang w:eastAsia="zh-CN"/>
        </w:rPr>
        <w:t>新疆鸿恩项目管理有限公司</w:t>
      </w:r>
    </w:p>
    <w:p>
      <w:pPr>
        <w:pStyle w:val="6"/>
        <w:rPr>
          <w:rFonts w:hint="eastAsia"/>
          <w:color w:val="auto"/>
          <w:lang w:eastAsia="zh-CN"/>
        </w:rPr>
      </w:pPr>
    </w:p>
    <w:p>
      <w:pPr>
        <w:spacing w:before="156" w:beforeLines="50" w:after="156" w:afterLines="50"/>
        <w:ind w:left="2" w:firstLine="858" w:firstLineChars="285"/>
        <w:rPr>
          <w:rFonts w:hint="eastAsia" w:ascii="宋体" w:hAnsi="宋体"/>
          <w:b/>
          <w:color w:val="auto"/>
          <w:sz w:val="30"/>
          <w:szCs w:val="30"/>
          <w:lang w:eastAsia="zh-CN"/>
        </w:rPr>
      </w:pPr>
      <w:r>
        <w:rPr>
          <w:rFonts w:hint="eastAsia" w:ascii="宋体" w:hAnsi="宋体"/>
          <w:b/>
          <w:color w:val="auto"/>
          <w:sz w:val="30"/>
          <w:szCs w:val="30"/>
        </w:rPr>
        <w:t>联  系  人：</w:t>
      </w:r>
      <w:r>
        <w:rPr>
          <w:rFonts w:hint="eastAsia" w:ascii="宋体" w:hAnsi="宋体"/>
          <w:b/>
          <w:color w:val="auto"/>
          <w:sz w:val="30"/>
          <w:szCs w:val="30"/>
          <w:lang w:eastAsia="zh-CN"/>
        </w:rPr>
        <w:t>张锦</w:t>
      </w:r>
    </w:p>
    <w:p>
      <w:pPr>
        <w:pStyle w:val="6"/>
        <w:rPr>
          <w:rFonts w:hint="eastAsia"/>
          <w:color w:val="auto"/>
          <w:lang w:eastAsia="zh-CN"/>
        </w:rPr>
      </w:pPr>
    </w:p>
    <w:p>
      <w:pPr>
        <w:spacing w:before="156" w:beforeLines="50" w:after="156" w:afterLines="50"/>
        <w:ind w:left="2" w:firstLine="858" w:firstLineChars="285"/>
        <w:rPr>
          <w:rFonts w:hint="eastAsia" w:ascii="宋体" w:hAnsi="宋体"/>
          <w:b/>
          <w:color w:val="auto"/>
          <w:sz w:val="30"/>
          <w:szCs w:val="30"/>
          <w:lang w:eastAsia="zh-CN"/>
        </w:rPr>
      </w:pPr>
      <w:r>
        <w:rPr>
          <w:rFonts w:hint="eastAsia" w:ascii="宋体" w:hAnsi="宋体"/>
          <w:b/>
          <w:color w:val="auto"/>
          <w:sz w:val="30"/>
          <w:szCs w:val="30"/>
        </w:rPr>
        <w:t>联 系 电 话：</w:t>
      </w:r>
      <w:r>
        <w:rPr>
          <w:rFonts w:hint="eastAsia" w:ascii="宋体" w:hAnsi="宋体"/>
          <w:b/>
          <w:color w:val="auto"/>
          <w:sz w:val="30"/>
          <w:szCs w:val="30"/>
          <w:lang w:eastAsia="zh-CN"/>
        </w:rPr>
        <w:t>0909-8880205</w:t>
      </w:r>
    </w:p>
    <w:p>
      <w:pPr>
        <w:pStyle w:val="6"/>
        <w:rPr>
          <w:rFonts w:hint="eastAsia"/>
          <w:color w:val="auto"/>
          <w:lang w:val="en-US" w:eastAsia="zh-CN"/>
        </w:rPr>
      </w:pPr>
    </w:p>
    <w:p>
      <w:pPr>
        <w:spacing w:before="156" w:beforeLines="50" w:after="156" w:afterLines="50"/>
        <w:ind w:left="2" w:firstLine="858" w:firstLineChars="285"/>
        <w:rPr>
          <w:rFonts w:hint="eastAsia" w:ascii="宋体" w:hAnsi="宋体"/>
          <w:b/>
          <w:color w:val="auto"/>
          <w:sz w:val="30"/>
          <w:szCs w:val="30"/>
          <w:lang w:val="en-US" w:eastAsia="zh-CN"/>
        </w:rPr>
      </w:pPr>
      <w:r>
        <w:rPr>
          <w:rFonts w:hint="eastAsia" w:ascii="宋体" w:hAnsi="宋体"/>
          <w:b/>
          <w:color w:val="auto"/>
          <w:sz w:val="30"/>
          <w:szCs w:val="30"/>
        </w:rPr>
        <w:t>联 系 地 址：</w:t>
      </w:r>
      <w:r>
        <w:rPr>
          <w:rFonts w:hint="eastAsia" w:ascii="宋体" w:hAnsi="宋体"/>
          <w:b/>
          <w:color w:val="auto"/>
          <w:sz w:val="30"/>
          <w:szCs w:val="30"/>
          <w:lang w:val="en-US" w:eastAsia="zh-CN"/>
        </w:rPr>
        <w:t>博乐市益群西路北</w:t>
      </w:r>
    </w:p>
    <w:p>
      <w:pPr>
        <w:pStyle w:val="6"/>
        <w:rPr>
          <w:rFonts w:hint="eastAsia"/>
          <w:color w:val="auto"/>
          <w:lang w:val="en-US" w:eastAsia="zh-CN"/>
        </w:rPr>
      </w:pPr>
    </w:p>
    <w:p>
      <w:pPr>
        <w:spacing w:before="156" w:beforeLines="50" w:after="156" w:afterLines="50"/>
        <w:ind w:left="2" w:firstLine="858" w:firstLineChars="285"/>
        <w:rPr>
          <w:rFonts w:hint="eastAsia" w:ascii="宋体" w:hAnsi="宋体"/>
          <w:b/>
          <w:color w:val="auto"/>
          <w:sz w:val="30"/>
          <w:szCs w:val="30"/>
        </w:rPr>
      </w:pPr>
      <w:r>
        <w:rPr>
          <w:rFonts w:hint="eastAsia" w:ascii="宋体" w:hAnsi="宋体"/>
          <w:b/>
          <w:color w:val="auto"/>
          <w:sz w:val="30"/>
          <w:szCs w:val="30"/>
        </w:rPr>
        <w:t>邮 政 编 码：833400</w:t>
      </w:r>
    </w:p>
    <w:p>
      <w:pPr>
        <w:ind w:firstLine="912" w:firstLineChars="285"/>
        <w:rPr>
          <w:rFonts w:hint="eastAsia" w:ascii="宋体" w:hAnsi="宋体"/>
          <w:color w:val="auto"/>
          <w:sz w:val="32"/>
          <w:szCs w:val="32"/>
        </w:rPr>
      </w:pPr>
    </w:p>
    <w:p>
      <w:pPr>
        <w:pStyle w:val="6"/>
        <w:rPr>
          <w:rFonts w:hint="eastAsia" w:ascii="宋体" w:hAnsi="宋体"/>
          <w:color w:val="auto"/>
          <w:sz w:val="32"/>
          <w:szCs w:val="32"/>
        </w:rPr>
      </w:pPr>
    </w:p>
    <w:p>
      <w:pPr>
        <w:rPr>
          <w:rFonts w:hint="eastAsia"/>
          <w:color w:val="auto"/>
        </w:rPr>
      </w:pPr>
    </w:p>
    <w:p>
      <w:pPr>
        <w:ind w:firstLine="912" w:firstLineChars="285"/>
        <w:rPr>
          <w:rFonts w:hint="eastAsia" w:ascii="宋体" w:hAnsi="宋体"/>
          <w:color w:val="auto"/>
          <w:sz w:val="32"/>
          <w:szCs w:val="32"/>
        </w:rPr>
      </w:pPr>
    </w:p>
    <w:p>
      <w:pPr>
        <w:jc w:val="center"/>
        <w:rPr>
          <w:rFonts w:hint="eastAsia" w:ascii="宋体" w:hAnsi="宋体"/>
          <w:b/>
          <w:color w:val="auto"/>
          <w:sz w:val="32"/>
          <w:szCs w:val="32"/>
        </w:rPr>
      </w:pPr>
      <w:r>
        <w:rPr>
          <w:rFonts w:hint="eastAsia" w:ascii="宋体" w:hAnsi="宋体"/>
          <w:b/>
          <w:color w:val="auto"/>
          <w:sz w:val="30"/>
          <w:szCs w:val="30"/>
          <w:lang w:eastAsia="zh-CN"/>
        </w:rPr>
        <w:t>新疆鸿恩项目管理有限公司</w:t>
      </w:r>
    </w:p>
    <w:p>
      <w:pPr>
        <w:jc w:val="center"/>
        <w:rPr>
          <w:rFonts w:hint="eastAsia" w:eastAsia="黑体"/>
          <w:b/>
          <w:bCs/>
          <w:color w:val="auto"/>
          <w:spacing w:val="20"/>
          <w:sz w:val="44"/>
        </w:rPr>
      </w:pPr>
      <w:r>
        <w:rPr>
          <w:rFonts w:hint="eastAsia" w:ascii="宋体" w:hAnsi="宋体"/>
          <w:color w:val="auto"/>
          <w:spacing w:val="30"/>
          <w:sz w:val="32"/>
          <w:szCs w:val="32"/>
          <w:lang w:eastAsia="zh-CN"/>
        </w:rPr>
        <w:t>2023</w:t>
      </w:r>
      <w:r>
        <w:rPr>
          <w:rFonts w:hint="eastAsia" w:ascii="宋体" w:hAnsi="宋体"/>
          <w:color w:val="auto"/>
          <w:spacing w:val="30"/>
          <w:sz w:val="32"/>
          <w:szCs w:val="32"/>
        </w:rPr>
        <w:t>年</w:t>
      </w:r>
      <w:r>
        <w:rPr>
          <w:rFonts w:hint="eastAsia" w:ascii="宋体" w:hAnsi="宋体"/>
          <w:color w:val="auto"/>
          <w:spacing w:val="30"/>
          <w:sz w:val="32"/>
          <w:szCs w:val="32"/>
          <w:lang w:val="en-US" w:eastAsia="zh-CN"/>
        </w:rPr>
        <w:t>10</w:t>
      </w:r>
      <w:r>
        <w:rPr>
          <w:rFonts w:hint="eastAsia" w:ascii="宋体" w:hAnsi="宋体"/>
          <w:color w:val="auto"/>
          <w:spacing w:val="30"/>
          <w:sz w:val="32"/>
          <w:szCs w:val="32"/>
        </w:rPr>
        <w:t>月</w:t>
      </w:r>
    </w:p>
    <w:p>
      <w:pPr>
        <w:spacing w:line="500" w:lineRule="exact"/>
        <w:jc w:val="center"/>
        <w:rPr>
          <w:rFonts w:hint="eastAsia" w:eastAsia="黑体"/>
          <w:b/>
          <w:bCs/>
          <w:color w:val="auto"/>
          <w:spacing w:val="20"/>
          <w:sz w:val="44"/>
        </w:rPr>
        <w:sectPr>
          <w:footerReference r:id="rId3" w:type="default"/>
          <w:pgSz w:w="11907" w:h="16840"/>
          <w:pgMar w:top="400" w:right="1111" w:bottom="1463" w:left="1111" w:header="0" w:footer="1249" w:gutter="0"/>
          <w:cols w:equalWidth="0" w:num="1">
            <w:col w:w="9685"/>
          </w:cols>
        </w:sectPr>
      </w:pPr>
    </w:p>
    <w:p>
      <w:pPr>
        <w:spacing w:line="500" w:lineRule="exact"/>
        <w:ind w:firstLine="363"/>
        <w:jc w:val="center"/>
        <w:rPr>
          <w:rFonts w:hint="eastAsia" w:ascii="宋体" w:hAnsi="宋体" w:cs="宋体"/>
          <w:b/>
          <w:bCs/>
          <w:color w:val="auto"/>
          <w:sz w:val="36"/>
          <w:szCs w:val="36"/>
          <w:lang w:val="zh-CN"/>
        </w:rPr>
      </w:pPr>
    </w:p>
    <w:p>
      <w:pPr>
        <w:spacing w:line="500" w:lineRule="exact"/>
        <w:ind w:firstLine="363"/>
        <w:jc w:val="center"/>
        <w:rPr>
          <w:rFonts w:ascii="宋体" w:hAnsi="宋体" w:cs="宋体"/>
          <w:b/>
          <w:bCs/>
          <w:color w:val="auto"/>
          <w:sz w:val="36"/>
          <w:szCs w:val="36"/>
          <w:lang w:val="zh-CN"/>
        </w:rPr>
      </w:pPr>
      <w:r>
        <w:rPr>
          <w:rFonts w:hint="eastAsia" w:ascii="宋体" w:hAnsi="宋体" w:cs="宋体"/>
          <w:b/>
          <w:bCs/>
          <w:color w:val="auto"/>
          <w:sz w:val="36"/>
          <w:szCs w:val="36"/>
          <w:lang w:val="zh-CN"/>
        </w:rPr>
        <w:t>招标公告</w:t>
      </w:r>
    </w:p>
    <w:p>
      <w:pPr>
        <w:spacing w:line="370" w:lineRule="exact"/>
        <w:rPr>
          <w:rFonts w:hint="eastAsia" w:ascii="仿宋" w:hAnsi="仿宋" w:eastAsia="仿宋" w:cs="仿宋"/>
          <w:color w:val="auto"/>
          <w:spacing w:val="3"/>
          <w:sz w:val="28"/>
          <w:szCs w:val="28"/>
          <w:lang w:val="zh-CN" w:eastAsia="zh-CN"/>
        </w:rPr>
      </w:pPr>
      <w:r>
        <w:rPr>
          <w:rFonts w:hint="eastAsia" w:ascii="仿宋" w:hAnsi="仿宋" w:eastAsia="仿宋" w:cs="仿宋"/>
          <w:color w:val="auto"/>
          <w:spacing w:val="3"/>
          <w:sz w:val="28"/>
          <w:szCs w:val="28"/>
          <w:lang w:val="zh-CN" w:eastAsia="zh-CN"/>
        </w:rPr>
        <w:t>项目概况</w:t>
      </w:r>
    </w:p>
    <w:p>
      <w:pPr>
        <w:spacing w:line="370" w:lineRule="exact"/>
        <w:ind w:firstLine="572"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pacing w:val="3"/>
          <w:sz w:val="28"/>
          <w:szCs w:val="28"/>
          <w:lang w:val="zh-CN" w:eastAsia="zh-CN"/>
        </w:rPr>
        <w:t>博州精河县妇幼保健能力提升建设项目（A包）</w:t>
      </w:r>
      <w:r>
        <w:rPr>
          <w:rFonts w:hint="eastAsia" w:ascii="仿宋" w:hAnsi="仿宋" w:eastAsia="仿宋" w:cs="仿宋"/>
          <w:color w:val="auto"/>
          <w:spacing w:val="3"/>
          <w:sz w:val="28"/>
          <w:szCs w:val="28"/>
          <w:highlight w:val="none"/>
        </w:rPr>
        <w:t>招标项目的潜在供应商应在新疆政府采</w:t>
      </w:r>
      <w:r>
        <w:rPr>
          <w:rFonts w:hint="eastAsia" w:ascii="仿宋" w:hAnsi="仿宋" w:eastAsia="仿宋" w:cs="仿宋"/>
          <w:color w:val="auto"/>
          <w:spacing w:val="6"/>
          <w:sz w:val="28"/>
          <w:szCs w:val="28"/>
          <w:highlight w:val="none"/>
        </w:rPr>
        <w:t>购网政采云</w:t>
      </w:r>
      <w:r>
        <w:rPr>
          <w:rFonts w:hint="eastAsia" w:ascii="仿宋" w:hAnsi="仿宋" w:eastAsia="仿宋" w:cs="仿宋"/>
          <w:color w:val="auto"/>
          <w:spacing w:val="5"/>
          <w:sz w:val="28"/>
          <w:szCs w:val="28"/>
          <w:highlight w:val="none"/>
        </w:rPr>
        <w:t>平</w:t>
      </w:r>
      <w:r>
        <w:rPr>
          <w:rFonts w:hint="eastAsia" w:ascii="仿宋" w:hAnsi="仿宋" w:eastAsia="仿宋" w:cs="仿宋"/>
          <w:color w:val="auto"/>
          <w:spacing w:val="3"/>
          <w:sz w:val="28"/>
          <w:szCs w:val="28"/>
          <w:highlight w:val="none"/>
        </w:rPr>
        <w:t>台 (</w:t>
      </w:r>
      <w:r>
        <w:rPr>
          <w:rFonts w:hint="eastAsia" w:ascii="仿宋" w:hAnsi="仿宋" w:eastAsia="仿宋" w:cs="仿宋"/>
          <w:color w:val="auto"/>
          <w:sz w:val="28"/>
          <w:szCs w:val="28"/>
          <w:highlight w:val="none"/>
        </w:rPr>
        <w:t>http</w:t>
      </w:r>
      <w:r>
        <w:rPr>
          <w:rFonts w:hint="eastAsia" w:ascii="仿宋" w:hAnsi="仿宋" w:eastAsia="仿宋" w:cs="仿宋"/>
          <w:color w:val="auto"/>
          <w:spacing w:val="3"/>
          <w:sz w:val="28"/>
          <w:szCs w:val="28"/>
          <w:highlight w:val="none"/>
        </w:rPr>
        <w:t>://</w:t>
      </w:r>
      <w:r>
        <w:rPr>
          <w:rFonts w:hint="eastAsia" w:ascii="仿宋" w:hAnsi="仿宋" w:eastAsia="仿宋" w:cs="仿宋"/>
          <w:color w:val="auto"/>
          <w:sz w:val="28"/>
          <w:szCs w:val="28"/>
          <w:highlight w:val="none"/>
        </w:rPr>
        <w:t>www</w:t>
      </w:r>
      <w:r>
        <w:rPr>
          <w:rFonts w:hint="eastAsia" w:ascii="仿宋" w:hAnsi="仿宋" w:eastAsia="仿宋" w:cs="仿宋"/>
          <w:color w:val="auto"/>
          <w:spacing w:val="3"/>
          <w:sz w:val="28"/>
          <w:szCs w:val="28"/>
          <w:highlight w:val="none"/>
        </w:rPr>
        <w:t>.</w:t>
      </w:r>
      <w:r>
        <w:rPr>
          <w:rFonts w:hint="eastAsia" w:ascii="仿宋" w:hAnsi="仿宋" w:eastAsia="仿宋" w:cs="仿宋"/>
          <w:color w:val="auto"/>
          <w:sz w:val="28"/>
          <w:szCs w:val="28"/>
          <w:highlight w:val="none"/>
        </w:rPr>
        <w:t>ccgp</w:t>
      </w:r>
      <w:r>
        <w:rPr>
          <w:rFonts w:hint="eastAsia" w:ascii="仿宋" w:hAnsi="仿宋" w:eastAsia="仿宋" w:cs="仿宋"/>
          <w:color w:val="auto"/>
          <w:spacing w:val="3"/>
          <w:sz w:val="28"/>
          <w:szCs w:val="28"/>
          <w:highlight w:val="none"/>
        </w:rPr>
        <w:t>-</w:t>
      </w:r>
      <w:r>
        <w:rPr>
          <w:rFonts w:hint="eastAsia" w:ascii="仿宋" w:hAnsi="仿宋" w:eastAsia="仿宋" w:cs="仿宋"/>
          <w:color w:val="auto"/>
          <w:sz w:val="28"/>
          <w:szCs w:val="28"/>
          <w:highlight w:val="none"/>
        </w:rPr>
        <w:t>xinjiang</w:t>
      </w:r>
      <w:r>
        <w:rPr>
          <w:rFonts w:hint="eastAsia" w:ascii="仿宋" w:hAnsi="仿宋" w:eastAsia="仿宋" w:cs="仿宋"/>
          <w:color w:val="auto"/>
          <w:spacing w:val="3"/>
          <w:sz w:val="28"/>
          <w:szCs w:val="28"/>
          <w:highlight w:val="none"/>
        </w:rPr>
        <w:t>.</w:t>
      </w:r>
      <w:r>
        <w:rPr>
          <w:rFonts w:hint="eastAsia" w:ascii="仿宋" w:hAnsi="仿宋" w:eastAsia="仿宋" w:cs="仿宋"/>
          <w:color w:val="auto"/>
          <w:sz w:val="28"/>
          <w:szCs w:val="28"/>
          <w:highlight w:val="none"/>
        </w:rPr>
        <w:t>gov</w:t>
      </w:r>
      <w:r>
        <w:rPr>
          <w:rFonts w:hint="eastAsia" w:ascii="仿宋" w:hAnsi="仿宋" w:eastAsia="仿宋" w:cs="仿宋"/>
          <w:color w:val="auto"/>
          <w:spacing w:val="3"/>
          <w:sz w:val="28"/>
          <w:szCs w:val="28"/>
          <w:highlight w:val="none"/>
        </w:rPr>
        <w:t>.</w:t>
      </w:r>
      <w:r>
        <w:rPr>
          <w:rFonts w:hint="eastAsia" w:ascii="仿宋" w:hAnsi="仿宋" w:eastAsia="仿宋" w:cs="仿宋"/>
          <w:color w:val="auto"/>
          <w:sz w:val="28"/>
          <w:szCs w:val="28"/>
          <w:highlight w:val="none"/>
        </w:rPr>
        <w:t>cn</w:t>
      </w:r>
      <w:r>
        <w:rPr>
          <w:rFonts w:hint="eastAsia" w:ascii="仿宋" w:hAnsi="仿宋" w:eastAsia="仿宋" w:cs="仿宋"/>
          <w:color w:val="auto"/>
          <w:spacing w:val="3"/>
          <w:sz w:val="28"/>
          <w:szCs w:val="28"/>
          <w:highlight w:val="none"/>
        </w:rPr>
        <w:t>/) 获取采购文件，</w:t>
      </w:r>
      <w:r>
        <w:rPr>
          <w:rFonts w:hint="eastAsia" w:ascii="仿宋" w:hAnsi="仿宋" w:eastAsia="仿宋" w:cs="仿宋"/>
          <w:color w:val="auto"/>
          <w:spacing w:val="-20"/>
          <w:sz w:val="28"/>
          <w:szCs w:val="28"/>
          <w:highlight w:val="none"/>
        </w:rPr>
        <w:t>并于</w:t>
      </w:r>
      <w:r>
        <w:rPr>
          <w:rFonts w:hint="eastAsia" w:ascii="仿宋" w:hAnsi="仿宋" w:eastAsia="仿宋" w:cs="仿宋"/>
          <w:color w:val="auto"/>
          <w:spacing w:val="-18"/>
          <w:sz w:val="28"/>
          <w:szCs w:val="28"/>
          <w:highlight w:val="none"/>
          <w:lang w:eastAsia="zh-CN"/>
        </w:rPr>
        <w:t xml:space="preserve"> 2023年 10月27日 11:00 </w:t>
      </w:r>
      <w:r>
        <w:rPr>
          <w:rFonts w:hint="eastAsia" w:ascii="仿宋" w:hAnsi="仿宋" w:eastAsia="仿宋" w:cs="仿宋"/>
          <w:color w:val="auto"/>
          <w:spacing w:val="-10"/>
          <w:sz w:val="28"/>
          <w:szCs w:val="28"/>
          <w:highlight w:val="none"/>
        </w:rPr>
        <w:t>(北京时间) 前提交</w:t>
      </w:r>
      <w:r>
        <w:rPr>
          <w:rFonts w:hint="eastAsia" w:ascii="仿宋" w:hAnsi="仿宋" w:eastAsia="仿宋" w:cs="仿宋"/>
          <w:color w:val="auto"/>
          <w:spacing w:val="-10"/>
          <w:sz w:val="28"/>
          <w:szCs w:val="28"/>
          <w:highlight w:val="none"/>
          <w:lang w:eastAsia="zh-CN"/>
        </w:rPr>
        <w:t>投标文件</w:t>
      </w:r>
      <w:r>
        <w:rPr>
          <w:rFonts w:hint="eastAsia" w:ascii="仿宋" w:hAnsi="仿宋" w:eastAsia="仿宋" w:cs="仿宋"/>
          <w:color w:val="auto"/>
          <w:sz w:val="28"/>
          <w:szCs w:val="28"/>
          <w:highlight w:val="none"/>
          <w:lang w:val="zh-CN"/>
        </w:rPr>
        <w:t>。</w:t>
      </w:r>
    </w:p>
    <w:p>
      <w:pPr>
        <w:spacing w:line="370" w:lineRule="exact"/>
        <w:rPr>
          <w:rFonts w:hint="eastAsia" w:ascii="仿宋" w:hAnsi="仿宋" w:eastAsia="仿宋" w:cs="仿宋"/>
          <w:b/>
          <w:bCs/>
          <w:color w:val="auto"/>
          <w:sz w:val="28"/>
          <w:szCs w:val="28"/>
          <w:lang w:val="zh-CN"/>
        </w:rPr>
      </w:pPr>
      <w:bookmarkStart w:id="0" w:name="_Toc28359089"/>
      <w:bookmarkStart w:id="1" w:name="_Toc35393629"/>
      <w:bookmarkStart w:id="2" w:name="_Toc35393798"/>
      <w:bookmarkStart w:id="3" w:name="_Toc28359012"/>
      <w:r>
        <w:rPr>
          <w:rFonts w:hint="eastAsia" w:ascii="仿宋" w:hAnsi="仿宋" w:eastAsia="仿宋" w:cs="仿宋"/>
          <w:b/>
          <w:bCs/>
          <w:color w:val="auto"/>
          <w:sz w:val="28"/>
          <w:szCs w:val="28"/>
          <w:lang w:val="zh-CN"/>
        </w:rPr>
        <w:t>一、项目基本情况</w:t>
      </w:r>
      <w:bookmarkEnd w:id="0"/>
      <w:bookmarkEnd w:id="1"/>
      <w:bookmarkEnd w:id="2"/>
      <w:bookmarkEnd w:id="3"/>
    </w:p>
    <w:p>
      <w:pPr>
        <w:spacing w:line="37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项目编号：</w:t>
      </w:r>
      <w:r>
        <w:rPr>
          <w:rFonts w:hint="eastAsia" w:ascii="仿宋" w:hAnsi="仿宋" w:eastAsia="仿宋" w:cs="仿宋"/>
          <w:b/>
          <w:bCs/>
          <w:color w:val="auto"/>
          <w:sz w:val="28"/>
          <w:szCs w:val="28"/>
          <w:lang w:val="zh-CN" w:eastAsia="zh-CN"/>
        </w:rPr>
        <w:t>JHXGK-XJHE2023-051</w:t>
      </w:r>
    </w:p>
    <w:p>
      <w:pPr>
        <w:spacing w:line="370" w:lineRule="exact"/>
        <w:rPr>
          <w:rFonts w:hint="eastAsia" w:ascii="仿宋" w:hAnsi="仿宋" w:eastAsia="仿宋" w:cs="仿宋"/>
          <w:color w:val="auto"/>
          <w:sz w:val="28"/>
          <w:szCs w:val="28"/>
          <w:lang w:val="zh-CN"/>
        </w:rPr>
      </w:pPr>
      <w:r>
        <w:rPr>
          <w:rFonts w:hint="eastAsia" w:ascii="仿宋" w:hAnsi="仿宋" w:eastAsia="仿宋" w:cs="仿宋"/>
          <w:b/>
          <w:bCs/>
          <w:color w:val="auto"/>
          <w:sz w:val="28"/>
          <w:szCs w:val="28"/>
          <w:lang w:val="zh-CN"/>
        </w:rPr>
        <w:t>项目名称：</w:t>
      </w:r>
      <w:r>
        <w:rPr>
          <w:rFonts w:hint="eastAsia" w:ascii="仿宋" w:hAnsi="仿宋" w:eastAsia="仿宋" w:cs="仿宋"/>
          <w:color w:val="auto"/>
          <w:sz w:val="28"/>
          <w:szCs w:val="28"/>
          <w:lang w:val="zh-CN" w:eastAsia="zh-CN"/>
        </w:rPr>
        <w:t>博州精河县妇幼保健能力提升建设项目（A包）</w:t>
      </w:r>
    </w:p>
    <w:p>
      <w:pPr>
        <w:spacing w:line="370" w:lineRule="exact"/>
        <w:rPr>
          <w:rFonts w:hint="eastAsia" w:ascii="仿宋" w:hAnsi="仿宋" w:eastAsia="仿宋" w:cs="仿宋"/>
          <w:color w:val="auto"/>
          <w:sz w:val="28"/>
          <w:szCs w:val="28"/>
        </w:rPr>
      </w:pPr>
      <w:r>
        <w:rPr>
          <w:rFonts w:hint="eastAsia" w:ascii="仿宋" w:hAnsi="仿宋" w:eastAsia="仿宋" w:cs="仿宋"/>
          <w:b/>
          <w:bCs/>
          <w:color w:val="auto"/>
          <w:sz w:val="28"/>
          <w:szCs w:val="28"/>
        </w:rPr>
        <w:t>采购方式：</w:t>
      </w:r>
      <w:r>
        <w:rPr>
          <w:rFonts w:hint="eastAsia" w:ascii="仿宋" w:hAnsi="仿宋" w:eastAsia="仿宋" w:cs="仿宋"/>
          <w:color w:val="auto"/>
          <w:sz w:val="28"/>
          <w:szCs w:val="28"/>
        </w:rPr>
        <w:t xml:space="preserve">公开招标 </w:t>
      </w:r>
    </w:p>
    <w:p>
      <w:pPr>
        <w:spacing w:line="370" w:lineRule="exact"/>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rPr>
        <w:t>预算金额：</w:t>
      </w:r>
      <w:r>
        <w:rPr>
          <w:rFonts w:hint="eastAsia" w:ascii="仿宋" w:hAnsi="仿宋" w:eastAsia="仿宋" w:cs="仿宋"/>
          <w:b/>
          <w:bCs/>
          <w:color w:val="auto"/>
          <w:sz w:val="28"/>
          <w:szCs w:val="28"/>
          <w:highlight w:val="none"/>
          <w:lang w:val="en-US" w:eastAsia="zh-CN"/>
        </w:rPr>
        <w:t>543.4</w:t>
      </w:r>
      <w:r>
        <w:rPr>
          <w:rFonts w:hint="eastAsia" w:ascii="仿宋" w:hAnsi="仿宋" w:eastAsia="仿宋" w:cs="仿宋"/>
          <w:b w:val="0"/>
          <w:bCs w:val="0"/>
          <w:color w:val="auto"/>
          <w:sz w:val="28"/>
          <w:szCs w:val="28"/>
          <w:highlight w:val="none"/>
          <w:lang w:val="zh-CN"/>
        </w:rPr>
        <w:t>万元</w:t>
      </w:r>
    </w:p>
    <w:p>
      <w:pPr>
        <w:spacing w:line="370" w:lineRule="exact"/>
        <w:rPr>
          <w:rFonts w:hint="eastAsia" w:ascii="仿宋" w:hAnsi="仿宋" w:eastAsia="仿宋" w:cs="仿宋"/>
          <w:color w:val="auto"/>
          <w:sz w:val="28"/>
          <w:szCs w:val="28"/>
          <w:highlight w:val="none"/>
          <w:lang w:val="zh-CN"/>
        </w:rPr>
      </w:pPr>
      <w:r>
        <w:rPr>
          <w:rFonts w:hint="eastAsia" w:ascii="仿宋" w:hAnsi="仿宋" w:eastAsia="仿宋" w:cs="仿宋"/>
          <w:b/>
          <w:bCs/>
          <w:color w:val="auto"/>
          <w:sz w:val="28"/>
          <w:szCs w:val="28"/>
          <w:highlight w:val="none"/>
        </w:rPr>
        <w:t>最高限价：</w:t>
      </w:r>
      <w:r>
        <w:rPr>
          <w:rFonts w:hint="eastAsia" w:ascii="仿宋" w:hAnsi="仿宋" w:eastAsia="仿宋" w:cs="仿宋"/>
          <w:b/>
          <w:bCs/>
          <w:color w:val="auto"/>
          <w:sz w:val="28"/>
          <w:szCs w:val="28"/>
          <w:highlight w:val="none"/>
          <w:lang w:val="en-US" w:eastAsia="zh-CN"/>
        </w:rPr>
        <w:t>516.23</w:t>
      </w:r>
      <w:r>
        <w:rPr>
          <w:rFonts w:hint="eastAsia" w:ascii="仿宋" w:hAnsi="仿宋" w:eastAsia="仿宋" w:cs="仿宋"/>
          <w:b w:val="0"/>
          <w:bCs w:val="0"/>
          <w:color w:val="auto"/>
          <w:sz w:val="28"/>
          <w:szCs w:val="28"/>
          <w:highlight w:val="none"/>
          <w:lang w:val="zh-CN"/>
        </w:rPr>
        <w:t>万元</w:t>
      </w:r>
    </w:p>
    <w:p>
      <w:pPr>
        <w:spacing w:line="370" w:lineRule="exact"/>
        <w:rPr>
          <w:rFonts w:hint="eastAsia" w:ascii="仿宋" w:hAnsi="仿宋" w:eastAsia="仿宋" w:cs="仿宋"/>
          <w:color w:val="auto"/>
          <w:sz w:val="28"/>
          <w:szCs w:val="28"/>
          <w:highlight w:val="none"/>
          <w:lang w:eastAsia="zh-CN"/>
        </w:rPr>
      </w:pPr>
      <w:r>
        <w:rPr>
          <w:rFonts w:hint="eastAsia" w:ascii="仿宋" w:hAnsi="仿宋" w:eastAsia="仿宋" w:cs="仿宋"/>
          <w:b/>
          <w:bCs/>
          <w:color w:val="auto"/>
          <w:sz w:val="28"/>
          <w:szCs w:val="28"/>
          <w:highlight w:val="none"/>
        </w:rPr>
        <w:t>采购需求：</w:t>
      </w:r>
      <w:r>
        <w:rPr>
          <w:rFonts w:hint="eastAsia" w:ascii="仿宋" w:hAnsi="仿宋" w:eastAsia="仿宋" w:cs="仿宋"/>
          <w:b/>
          <w:bCs/>
          <w:color w:val="auto"/>
          <w:sz w:val="28"/>
          <w:szCs w:val="28"/>
          <w:highlight w:val="none"/>
          <w:lang w:val="en-US" w:eastAsia="zh-CN"/>
        </w:rPr>
        <w:t>医疗设备设施</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（详见采购清单）</w:t>
      </w:r>
    </w:p>
    <w:p>
      <w:pPr>
        <w:spacing w:line="370" w:lineRule="exact"/>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rPr>
        <w:t>合同履行期限：</w:t>
      </w:r>
      <w:r>
        <w:rPr>
          <w:rFonts w:hint="eastAsia" w:ascii="仿宋" w:hAnsi="仿宋" w:eastAsia="仿宋" w:cs="仿宋"/>
          <w:b/>
          <w:bCs/>
          <w:color w:val="auto"/>
          <w:sz w:val="28"/>
          <w:szCs w:val="28"/>
          <w:highlight w:val="none"/>
          <w:lang w:val="en-US" w:eastAsia="zh-CN"/>
        </w:rPr>
        <w:t>签订合同后30日内供货安装调试完毕达到使用标准。</w:t>
      </w:r>
    </w:p>
    <w:p>
      <w:pPr>
        <w:spacing w:line="370" w:lineRule="exact"/>
        <w:rPr>
          <w:rFonts w:hint="eastAsia" w:ascii="仿宋" w:hAnsi="仿宋" w:eastAsia="仿宋" w:cs="仿宋"/>
          <w:color w:val="auto"/>
          <w:sz w:val="28"/>
          <w:szCs w:val="28"/>
        </w:rPr>
      </w:pPr>
      <w:r>
        <w:rPr>
          <w:rFonts w:hint="eastAsia" w:ascii="仿宋" w:hAnsi="仿宋" w:eastAsia="仿宋" w:cs="仿宋"/>
          <w:color w:val="auto"/>
          <w:sz w:val="28"/>
          <w:szCs w:val="28"/>
        </w:rPr>
        <w:t>本项目</w:t>
      </w:r>
      <w:r>
        <w:rPr>
          <w:rFonts w:hint="eastAsia" w:ascii="仿宋" w:hAnsi="仿宋" w:eastAsia="仿宋" w:cs="仿宋"/>
          <w:color w:val="auto"/>
          <w:sz w:val="28"/>
          <w:szCs w:val="28"/>
          <w:lang w:val="en-US" w:eastAsia="zh-CN"/>
        </w:rPr>
        <w:t>不</w:t>
      </w:r>
      <w:r>
        <w:rPr>
          <w:rFonts w:hint="eastAsia" w:ascii="仿宋" w:hAnsi="仿宋" w:eastAsia="仿宋" w:cs="仿宋"/>
          <w:b/>
          <w:bCs/>
          <w:color w:val="auto"/>
          <w:sz w:val="28"/>
          <w:szCs w:val="28"/>
        </w:rPr>
        <w:t>接受</w:t>
      </w:r>
      <w:r>
        <w:rPr>
          <w:rFonts w:hint="eastAsia" w:ascii="仿宋" w:hAnsi="仿宋" w:eastAsia="仿宋" w:cs="仿宋"/>
          <w:color w:val="auto"/>
          <w:sz w:val="28"/>
          <w:szCs w:val="28"/>
        </w:rPr>
        <w:t>联合体投标。</w:t>
      </w:r>
    </w:p>
    <w:p>
      <w:pPr>
        <w:spacing w:line="370" w:lineRule="exact"/>
        <w:rPr>
          <w:rFonts w:hint="eastAsia" w:ascii="仿宋" w:hAnsi="仿宋" w:eastAsia="仿宋" w:cs="仿宋"/>
          <w:color w:val="auto"/>
          <w:sz w:val="28"/>
          <w:szCs w:val="28"/>
          <w:lang w:val="zh-CN"/>
        </w:rPr>
      </w:pPr>
      <w:bookmarkStart w:id="4" w:name="_Toc35393799"/>
      <w:bookmarkStart w:id="5" w:name="_Toc28359090"/>
      <w:bookmarkStart w:id="6" w:name="_Toc28359013"/>
      <w:bookmarkStart w:id="7" w:name="_Toc35393630"/>
      <w:r>
        <w:rPr>
          <w:rFonts w:hint="eastAsia" w:ascii="仿宋" w:hAnsi="仿宋" w:eastAsia="仿宋" w:cs="仿宋"/>
          <w:b/>
          <w:bCs/>
          <w:color w:val="auto"/>
          <w:sz w:val="28"/>
          <w:szCs w:val="28"/>
        </w:rPr>
        <w:t>二、申请人的资格要求：</w:t>
      </w:r>
      <w:bookmarkEnd w:id="4"/>
      <w:bookmarkEnd w:id="5"/>
      <w:bookmarkEnd w:id="6"/>
      <w:bookmarkEnd w:id="7"/>
    </w:p>
    <w:p>
      <w:pPr>
        <w:spacing w:line="370" w:lineRule="exact"/>
        <w:ind w:firstLine="562" w:firstLineChars="20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1.满足《中华人民共和国政府采购法》第二十二条规定。</w:t>
      </w:r>
    </w:p>
    <w:p>
      <w:pPr>
        <w:spacing w:line="370" w:lineRule="exact"/>
        <w:ind w:firstLine="562" w:firstLineChars="200"/>
        <w:rPr>
          <w:rFonts w:hint="eastAsia" w:ascii="仿宋" w:hAnsi="仿宋" w:eastAsia="仿宋" w:cs="仿宋"/>
          <w:b/>
          <w:bCs/>
          <w:color w:val="auto"/>
          <w:sz w:val="28"/>
          <w:szCs w:val="28"/>
        </w:rPr>
      </w:pPr>
      <w:bookmarkStart w:id="8" w:name="_Toc28359091"/>
      <w:bookmarkStart w:id="9" w:name="_Toc28359014"/>
      <w:r>
        <w:rPr>
          <w:rFonts w:hint="eastAsia" w:ascii="仿宋" w:hAnsi="仿宋" w:eastAsia="仿宋" w:cs="仿宋"/>
          <w:b/>
          <w:bCs/>
          <w:color w:val="auto"/>
          <w:sz w:val="28"/>
          <w:szCs w:val="28"/>
        </w:rPr>
        <w:t>2.落实政府采购政策需满足的资格要求：</w:t>
      </w:r>
    </w:p>
    <w:p>
      <w:pPr>
        <w:spacing w:line="370" w:lineRule="exact"/>
        <w:ind w:firstLine="552" w:firstLineChars="200"/>
        <w:rPr>
          <w:rFonts w:hint="eastAsia" w:ascii="仿宋" w:hAnsi="仿宋" w:eastAsia="仿宋" w:cs="仿宋"/>
          <w:color w:val="auto"/>
          <w:spacing w:val="-2"/>
          <w:sz w:val="28"/>
          <w:szCs w:val="28"/>
          <w:lang w:eastAsia="zh-CN"/>
        </w:rPr>
      </w:pPr>
      <w:r>
        <w:rPr>
          <w:rFonts w:hint="eastAsia" w:ascii="仿宋" w:hAnsi="仿宋" w:eastAsia="仿宋" w:cs="仿宋"/>
          <w:color w:val="auto"/>
          <w:spacing w:val="-2"/>
          <w:sz w:val="28"/>
          <w:szCs w:val="28"/>
          <w:lang w:val="en-US" w:eastAsia="zh-CN"/>
        </w:rPr>
        <w:t>（1）</w:t>
      </w:r>
      <w:r>
        <w:rPr>
          <w:rFonts w:hint="eastAsia" w:ascii="仿宋" w:hAnsi="仿宋" w:eastAsia="仿宋" w:cs="仿宋"/>
          <w:color w:val="auto"/>
          <w:spacing w:val="-2"/>
          <w:sz w:val="28"/>
          <w:szCs w:val="28"/>
        </w:rPr>
        <w:t>根据财政部、工业和信息化部《关于印发《政府采购促进中小企业发展管理办法》的通知》（财库[2020]46号文）</w:t>
      </w:r>
      <w:r>
        <w:rPr>
          <w:rFonts w:hint="eastAsia" w:ascii="仿宋" w:hAnsi="仿宋" w:eastAsia="仿宋" w:cs="仿宋"/>
          <w:color w:val="auto"/>
          <w:spacing w:val="-2"/>
          <w:sz w:val="28"/>
          <w:szCs w:val="28"/>
          <w:lang w:val="en-US" w:eastAsia="zh-CN"/>
        </w:rPr>
        <w:t>和</w:t>
      </w:r>
      <w:r>
        <w:rPr>
          <w:rFonts w:hint="eastAsia" w:ascii="仿宋" w:hAnsi="仿宋" w:eastAsia="仿宋" w:cs="仿宋"/>
          <w:color w:val="auto"/>
          <w:spacing w:val="-2"/>
          <w:sz w:val="28"/>
          <w:szCs w:val="28"/>
          <w:lang w:eastAsia="zh-CN"/>
        </w:rPr>
        <w:t>《关于进一步加大政府采购支持中小企业力度的通知》</w:t>
      </w:r>
      <w:r>
        <w:rPr>
          <w:rFonts w:hint="eastAsia" w:ascii="仿宋" w:hAnsi="仿宋" w:eastAsia="仿宋" w:cs="仿宋"/>
          <w:color w:val="auto"/>
          <w:spacing w:val="-2"/>
          <w:sz w:val="28"/>
          <w:szCs w:val="28"/>
        </w:rPr>
        <w:t>财库〔2022〕19号规定：</w:t>
      </w:r>
      <w:r>
        <w:rPr>
          <w:rFonts w:hint="eastAsia" w:ascii="仿宋" w:hAnsi="仿宋" w:eastAsia="仿宋" w:cs="仿宋"/>
          <w:color w:val="auto"/>
          <w:spacing w:val="-2"/>
          <w:sz w:val="28"/>
          <w:szCs w:val="28"/>
          <w:lang w:val="en-US" w:eastAsia="zh-CN"/>
        </w:rPr>
        <w:t>1、</w:t>
      </w:r>
      <w:r>
        <w:rPr>
          <w:rFonts w:hint="eastAsia" w:ascii="仿宋" w:hAnsi="仿宋" w:eastAsia="仿宋" w:cs="仿宋"/>
          <w:color w:val="auto"/>
          <w:spacing w:val="-2"/>
          <w:sz w:val="28"/>
          <w:szCs w:val="28"/>
        </w:rPr>
        <w:t>预留该部分采购项目预算金额的40%专门面向中小企业采购</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rPr>
        <w:t>其中的</w:t>
      </w:r>
      <w:r>
        <w:rPr>
          <w:rFonts w:hint="eastAsia" w:ascii="仿宋" w:hAnsi="仿宋" w:eastAsia="仿宋" w:cs="仿宋"/>
          <w:color w:val="auto"/>
          <w:spacing w:val="-2"/>
          <w:sz w:val="28"/>
          <w:szCs w:val="28"/>
          <w:lang w:val="en-US" w:eastAsia="zh-CN"/>
        </w:rPr>
        <w:t>7</w:t>
      </w:r>
      <w:r>
        <w:rPr>
          <w:rFonts w:hint="eastAsia" w:ascii="仿宋" w:hAnsi="仿宋" w:eastAsia="仿宋" w:cs="仿宋"/>
          <w:color w:val="auto"/>
          <w:spacing w:val="-2"/>
          <w:sz w:val="28"/>
          <w:szCs w:val="28"/>
        </w:rPr>
        <w:t>0%预留给小微企业采购</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rPr>
        <w:t>；</w:t>
      </w:r>
      <w:r>
        <w:rPr>
          <w:rFonts w:hint="eastAsia" w:ascii="仿宋" w:hAnsi="仿宋" w:eastAsia="仿宋" w:cs="仿宋"/>
          <w:color w:val="auto"/>
          <w:spacing w:val="-2"/>
          <w:sz w:val="28"/>
          <w:szCs w:val="28"/>
          <w:highlight w:val="none"/>
          <w:lang w:val="en-US" w:eastAsia="zh-CN"/>
        </w:rPr>
        <w:t>2、</w:t>
      </w:r>
      <w:r>
        <w:rPr>
          <w:rFonts w:hint="eastAsia" w:ascii="仿宋" w:hAnsi="仿宋" w:eastAsia="仿宋" w:cs="仿宋"/>
          <w:color w:val="auto"/>
          <w:spacing w:val="-2"/>
          <w:sz w:val="28"/>
          <w:szCs w:val="28"/>
        </w:rPr>
        <w:t>本项目投标供应商为大型企业的，须将采购项目中的40%分包给一家或者多家中小企业</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rPr>
        <w:t>其中的</w:t>
      </w:r>
      <w:r>
        <w:rPr>
          <w:rFonts w:hint="eastAsia" w:ascii="仿宋" w:hAnsi="仿宋" w:eastAsia="仿宋" w:cs="仿宋"/>
          <w:color w:val="auto"/>
          <w:spacing w:val="-2"/>
          <w:sz w:val="28"/>
          <w:szCs w:val="28"/>
          <w:lang w:val="en-US" w:eastAsia="zh-CN"/>
        </w:rPr>
        <w:t>7</w:t>
      </w:r>
      <w:r>
        <w:rPr>
          <w:rFonts w:hint="eastAsia" w:ascii="仿宋" w:hAnsi="仿宋" w:eastAsia="仿宋" w:cs="仿宋"/>
          <w:color w:val="auto"/>
          <w:spacing w:val="-2"/>
          <w:sz w:val="28"/>
          <w:szCs w:val="28"/>
        </w:rPr>
        <w:t>0%预留给小微企业采购</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rPr>
        <w:t>，供应商为大型企业的须提供《分包意向协议》</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rPr>
        <w:t>格式自拟</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rPr>
        <w:t>及分包供应商《中小企业声明函》</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lang w:val="en-US" w:eastAsia="zh-CN"/>
        </w:rPr>
        <w:t>格式见招标文件</w:t>
      </w:r>
      <w:r>
        <w:rPr>
          <w:rFonts w:hint="eastAsia" w:ascii="仿宋" w:hAnsi="仿宋" w:eastAsia="仿宋" w:cs="仿宋"/>
          <w:color w:val="auto"/>
          <w:spacing w:val="-2"/>
          <w:sz w:val="28"/>
          <w:szCs w:val="28"/>
          <w:lang w:eastAsia="zh-CN"/>
        </w:rPr>
        <w:t>）；</w:t>
      </w:r>
    </w:p>
    <w:p>
      <w:pPr>
        <w:spacing w:line="370" w:lineRule="exact"/>
        <w:ind w:firstLine="552" w:firstLineChars="200"/>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rPr>
        <w:t>（</w:t>
      </w:r>
      <w:r>
        <w:rPr>
          <w:rFonts w:hint="eastAsia" w:ascii="仿宋" w:hAnsi="仿宋" w:eastAsia="仿宋" w:cs="仿宋"/>
          <w:color w:val="auto"/>
          <w:spacing w:val="-2"/>
          <w:sz w:val="28"/>
          <w:szCs w:val="28"/>
          <w:lang w:val="en-US" w:eastAsia="zh-CN"/>
        </w:rPr>
        <w:t>2</w:t>
      </w:r>
      <w:r>
        <w:rPr>
          <w:rFonts w:hint="eastAsia" w:ascii="仿宋" w:hAnsi="仿宋" w:eastAsia="仿宋" w:cs="仿宋"/>
          <w:color w:val="auto"/>
          <w:spacing w:val="-2"/>
          <w:sz w:val="28"/>
          <w:szCs w:val="28"/>
        </w:rPr>
        <w:t>）财政部、国家发展改革委、生态环境部、市场监管总局《关于调整优化节能产品、环境标志产品政府采购执行机制的通知》（财库[2019]9号文）；</w:t>
      </w:r>
    </w:p>
    <w:p>
      <w:pPr>
        <w:spacing w:line="370" w:lineRule="exact"/>
        <w:ind w:firstLine="552" w:firstLineChars="200"/>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rPr>
        <w:t>（</w:t>
      </w:r>
      <w:r>
        <w:rPr>
          <w:rFonts w:hint="eastAsia" w:ascii="仿宋" w:hAnsi="仿宋" w:eastAsia="仿宋" w:cs="仿宋"/>
          <w:color w:val="auto"/>
          <w:spacing w:val="-2"/>
          <w:sz w:val="28"/>
          <w:szCs w:val="28"/>
          <w:lang w:val="en-US" w:eastAsia="zh-CN"/>
        </w:rPr>
        <w:t>3</w:t>
      </w:r>
      <w:r>
        <w:rPr>
          <w:rFonts w:hint="eastAsia" w:ascii="仿宋" w:hAnsi="仿宋" w:eastAsia="仿宋" w:cs="仿宋"/>
          <w:color w:val="auto"/>
          <w:spacing w:val="-2"/>
          <w:sz w:val="28"/>
          <w:szCs w:val="28"/>
        </w:rPr>
        <w:t>）财政部、生态环境部《关于印发环境标志产品政府采购品目清单的通知》（财库[2019]18号文）；</w:t>
      </w:r>
    </w:p>
    <w:p>
      <w:pPr>
        <w:spacing w:line="370" w:lineRule="exact"/>
        <w:ind w:firstLine="552" w:firstLineChars="200"/>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rPr>
        <w:t>（</w:t>
      </w:r>
      <w:r>
        <w:rPr>
          <w:rFonts w:hint="eastAsia" w:ascii="仿宋" w:hAnsi="仿宋" w:eastAsia="仿宋" w:cs="仿宋"/>
          <w:color w:val="auto"/>
          <w:spacing w:val="-2"/>
          <w:sz w:val="28"/>
          <w:szCs w:val="28"/>
          <w:lang w:val="en-US" w:eastAsia="zh-CN"/>
        </w:rPr>
        <w:t>4</w:t>
      </w:r>
      <w:r>
        <w:rPr>
          <w:rFonts w:hint="eastAsia" w:ascii="仿宋" w:hAnsi="仿宋" w:eastAsia="仿宋" w:cs="仿宋"/>
          <w:color w:val="auto"/>
          <w:spacing w:val="-2"/>
          <w:sz w:val="28"/>
          <w:szCs w:val="28"/>
        </w:rPr>
        <w:t>）财政部、发展改革委《关于印发节能产品政府采购品目清单的通知》（财库[2019]19号文）；</w:t>
      </w:r>
    </w:p>
    <w:p>
      <w:pPr>
        <w:spacing w:line="370" w:lineRule="exact"/>
        <w:ind w:firstLine="552" w:firstLineChars="200"/>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rPr>
        <w:t>（</w:t>
      </w:r>
      <w:r>
        <w:rPr>
          <w:rFonts w:hint="eastAsia" w:ascii="仿宋" w:hAnsi="仿宋" w:eastAsia="仿宋" w:cs="仿宋"/>
          <w:color w:val="auto"/>
          <w:spacing w:val="-2"/>
          <w:sz w:val="28"/>
          <w:szCs w:val="28"/>
          <w:lang w:val="en-US" w:eastAsia="zh-CN"/>
        </w:rPr>
        <w:t>5</w:t>
      </w:r>
      <w:r>
        <w:rPr>
          <w:rFonts w:hint="eastAsia" w:ascii="仿宋" w:hAnsi="仿宋" w:eastAsia="仿宋" w:cs="仿宋"/>
          <w:color w:val="auto"/>
          <w:spacing w:val="-2"/>
          <w:sz w:val="28"/>
          <w:szCs w:val="28"/>
        </w:rPr>
        <w:t>）市场监管总局《市场监管总局关于发布参与实施政府采购节能产品、环境标志产品认证机构名录的公告》（2019年第16号）；</w:t>
      </w:r>
    </w:p>
    <w:p>
      <w:pPr>
        <w:spacing w:line="370" w:lineRule="exact"/>
        <w:ind w:firstLine="552" w:firstLineChars="200"/>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rPr>
        <w:t>（</w:t>
      </w:r>
      <w:r>
        <w:rPr>
          <w:rFonts w:hint="eastAsia" w:ascii="仿宋" w:hAnsi="仿宋" w:eastAsia="仿宋" w:cs="仿宋"/>
          <w:color w:val="auto"/>
          <w:spacing w:val="-2"/>
          <w:sz w:val="28"/>
          <w:szCs w:val="28"/>
          <w:lang w:val="en-US" w:eastAsia="zh-CN"/>
        </w:rPr>
        <w:t>6</w:t>
      </w:r>
      <w:r>
        <w:rPr>
          <w:rFonts w:hint="eastAsia" w:ascii="仿宋" w:hAnsi="仿宋" w:eastAsia="仿宋" w:cs="仿宋"/>
          <w:color w:val="auto"/>
          <w:spacing w:val="-2"/>
          <w:sz w:val="28"/>
          <w:szCs w:val="28"/>
        </w:rPr>
        <w:t>）财政部、工业和信息化部《关于印发《政府采购促进中小企业发展管理办法》的通知》（财库[2020]46号文）</w:t>
      </w:r>
      <w:r>
        <w:rPr>
          <w:rFonts w:hint="eastAsia" w:ascii="仿宋" w:hAnsi="仿宋" w:eastAsia="仿宋" w:cs="仿宋"/>
          <w:color w:val="auto"/>
          <w:spacing w:val="-2"/>
          <w:sz w:val="28"/>
          <w:szCs w:val="28"/>
          <w:lang w:eastAsia="zh-CN"/>
        </w:rPr>
        <w:t>、《关于进一步加大政府采购支持中小企业力度的通知财库》</w:t>
      </w:r>
      <w:r>
        <w:rPr>
          <w:rFonts w:hint="eastAsia" w:ascii="仿宋" w:hAnsi="仿宋" w:eastAsia="仿宋" w:cs="仿宋"/>
          <w:color w:val="auto"/>
          <w:spacing w:val="-2"/>
          <w:sz w:val="28"/>
          <w:szCs w:val="28"/>
        </w:rPr>
        <w:t>[</w:t>
      </w:r>
      <w:r>
        <w:rPr>
          <w:rFonts w:hint="eastAsia" w:ascii="仿宋" w:hAnsi="仿宋" w:eastAsia="仿宋" w:cs="仿宋"/>
          <w:color w:val="auto"/>
          <w:spacing w:val="-2"/>
          <w:sz w:val="28"/>
          <w:szCs w:val="28"/>
          <w:lang w:eastAsia="zh-CN"/>
        </w:rPr>
        <w:t>2022</w:t>
      </w:r>
      <w:r>
        <w:rPr>
          <w:rFonts w:hint="eastAsia" w:ascii="仿宋" w:hAnsi="仿宋" w:eastAsia="仿宋" w:cs="仿宋"/>
          <w:color w:val="auto"/>
          <w:spacing w:val="-2"/>
          <w:sz w:val="28"/>
          <w:szCs w:val="28"/>
        </w:rPr>
        <w:t>]</w:t>
      </w:r>
      <w:r>
        <w:rPr>
          <w:rFonts w:hint="eastAsia" w:ascii="仿宋" w:hAnsi="仿宋" w:eastAsia="仿宋" w:cs="仿宋"/>
          <w:color w:val="auto"/>
          <w:spacing w:val="-2"/>
          <w:sz w:val="28"/>
          <w:szCs w:val="28"/>
          <w:lang w:eastAsia="zh-CN"/>
        </w:rPr>
        <w:t>19号</w:t>
      </w:r>
      <w:r>
        <w:rPr>
          <w:rFonts w:hint="eastAsia" w:ascii="仿宋" w:hAnsi="仿宋" w:eastAsia="仿宋" w:cs="仿宋"/>
          <w:color w:val="auto"/>
          <w:spacing w:val="-2"/>
          <w:sz w:val="28"/>
          <w:szCs w:val="28"/>
        </w:rPr>
        <w:t>；</w:t>
      </w:r>
    </w:p>
    <w:p>
      <w:pPr>
        <w:spacing w:line="370" w:lineRule="exact"/>
        <w:ind w:firstLine="552" w:firstLineChars="200"/>
        <w:rPr>
          <w:rFonts w:hint="eastAsia" w:ascii="仿宋" w:hAnsi="仿宋" w:eastAsia="仿宋" w:cs="仿宋"/>
          <w:color w:val="auto"/>
          <w:sz w:val="28"/>
          <w:szCs w:val="28"/>
        </w:rPr>
      </w:pPr>
      <w:r>
        <w:rPr>
          <w:rFonts w:hint="eastAsia" w:ascii="仿宋" w:hAnsi="仿宋" w:eastAsia="仿宋" w:cs="仿宋"/>
          <w:color w:val="auto"/>
          <w:spacing w:val="-2"/>
          <w:sz w:val="28"/>
          <w:szCs w:val="28"/>
        </w:rPr>
        <w:t>（</w:t>
      </w:r>
      <w:r>
        <w:rPr>
          <w:rFonts w:hint="eastAsia" w:ascii="仿宋" w:hAnsi="仿宋" w:eastAsia="仿宋" w:cs="仿宋"/>
          <w:color w:val="auto"/>
          <w:spacing w:val="-2"/>
          <w:sz w:val="28"/>
          <w:szCs w:val="28"/>
          <w:lang w:val="en-US" w:eastAsia="zh-CN"/>
        </w:rPr>
        <w:t>7</w:t>
      </w:r>
      <w:r>
        <w:rPr>
          <w:rFonts w:hint="eastAsia" w:ascii="仿宋" w:hAnsi="仿宋" w:eastAsia="仿宋" w:cs="仿宋"/>
          <w:color w:val="auto"/>
          <w:spacing w:val="-2"/>
          <w:sz w:val="28"/>
          <w:szCs w:val="28"/>
        </w:rPr>
        <w:t>）财政部、民政部、中国残疾人联合会《关于促进残疾人就业政府采购政策的通知》（财库[2017]141号）；（</w:t>
      </w:r>
      <w:r>
        <w:rPr>
          <w:rFonts w:hint="eastAsia" w:ascii="仿宋" w:hAnsi="仿宋" w:eastAsia="仿宋" w:cs="仿宋"/>
          <w:color w:val="auto"/>
          <w:spacing w:val="-2"/>
          <w:sz w:val="28"/>
          <w:szCs w:val="28"/>
          <w:lang w:val="en-US" w:eastAsia="zh-CN"/>
        </w:rPr>
        <w:t>8</w:t>
      </w:r>
      <w:r>
        <w:rPr>
          <w:rFonts w:hint="eastAsia" w:ascii="仿宋" w:hAnsi="仿宋" w:eastAsia="仿宋" w:cs="仿宋"/>
          <w:color w:val="auto"/>
          <w:spacing w:val="-2"/>
          <w:sz w:val="28"/>
          <w:szCs w:val="28"/>
        </w:rPr>
        <w:t>）财政部、司法部《关于政府采购支持监狱企业发展有关问题的通知》（财库[2014]68号文）</w:t>
      </w:r>
      <w:r>
        <w:rPr>
          <w:rFonts w:hint="eastAsia" w:ascii="仿宋" w:hAnsi="仿宋" w:eastAsia="仿宋" w:cs="仿宋"/>
          <w:color w:val="auto"/>
          <w:sz w:val="28"/>
          <w:szCs w:val="28"/>
        </w:rPr>
        <w:t>。 </w:t>
      </w:r>
    </w:p>
    <w:p>
      <w:pPr>
        <w:spacing w:line="370" w:lineRule="exact"/>
        <w:ind w:firstLine="562" w:firstLineChars="200"/>
        <w:rPr>
          <w:rFonts w:hint="eastAsia" w:ascii="仿宋" w:hAnsi="仿宋" w:eastAsia="仿宋" w:cs="仿宋"/>
          <w:color w:val="auto"/>
          <w:sz w:val="28"/>
          <w:szCs w:val="28"/>
        </w:rPr>
      </w:pPr>
      <w:r>
        <w:rPr>
          <w:rFonts w:hint="eastAsia" w:ascii="仿宋" w:hAnsi="仿宋" w:eastAsia="仿宋" w:cs="仿宋"/>
          <w:b/>
          <w:bCs/>
          <w:color w:val="auto"/>
          <w:sz w:val="28"/>
          <w:szCs w:val="28"/>
        </w:rPr>
        <w:t>3.本项目的特定资格要求</w:t>
      </w:r>
      <w:r>
        <w:rPr>
          <w:rFonts w:hint="eastAsia" w:ascii="仿宋" w:hAnsi="仿宋" w:eastAsia="仿宋" w:cs="仿宋"/>
          <w:color w:val="auto"/>
          <w:sz w:val="28"/>
          <w:szCs w:val="28"/>
        </w:rPr>
        <w:t>：</w:t>
      </w:r>
    </w:p>
    <w:bookmarkEnd w:id="8"/>
    <w:bookmarkEnd w:id="9"/>
    <w:p>
      <w:pPr>
        <w:autoSpaceDE w:val="0"/>
        <w:autoSpaceDN w:val="0"/>
        <w:adjustRightInd w:val="0"/>
        <w:spacing w:line="400" w:lineRule="exact"/>
        <w:ind w:firstLine="560" w:firstLineChars="200"/>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1）在中华人民共和国境内注册，具有独立承担民事责任能力和良好诚信的合法经营单位，并在人员、设备、资金等方面具备相应的能力；</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2）所投产品属于第二类医疗器械的，须提供有效的行政主管部门颁发的医器械经营备案凭证，医疗器械生产许可证或医疗器械经营许可证或其他医疗器械生产经营许可证明文件；所投产品属于第三类医疗器械的，须提供有效的行政主管部门颁发的医疗器械生产许可证或医疗器械经营许可证或其他医疗器械生产经营许可证明文件；</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3）参加政府采购活动前三年内，在经营活动中没有重大违法记录；</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4）未被列入“信用中国www.creditchina.gov.cn”网站中的“失信被执行名单”、“企业经营异常名录”、“重大税收违法案件当事人名单”其中之一，未被列入“中国政府采购网（www.ccgp.gov.cn）”中的“政府采购严重违法失信行为记录名单”，（尚在处罚期内的），否则将被拒绝参与本次政府采购活动（查询结果截图日期必须在发布公告日期之后）；</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5）单位负责人为同一人或者存在直接控股、管理关系的不同投标人，不得参加同一合同项下的政府采购活动。</w:t>
      </w:r>
    </w:p>
    <w:p>
      <w:pPr>
        <w:spacing w:line="370" w:lineRule="exact"/>
        <w:rPr>
          <w:rFonts w:hint="eastAsia" w:ascii="仿宋" w:hAnsi="仿宋" w:eastAsia="仿宋" w:cs="仿宋"/>
          <w:b/>
          <w:bCs/>
          <w:color w:val="auto"/>
          <w:sz w:val="28"/>
          <w:szCs w:val="28"/>
          <w:highlight w:val="none"/>
        </w:rPr>
      </w:pPr>
      <w:bookmarkStart w:id="10" w:name="_Toc35393800"/>
      <w:bookmarkStart w:id="11" w:name="_Toc35393631"/>
      <w:r>
        <w:rPr>
          <w:rFonts w:hint="eastAsia" w:ascii="仿宋" w:hAnsi="仿宋" w:eastAsia="仿宋" w:cs="仿宋"/>
          <w:b/>
          <w:bCs/>
          <w:color w:val="auto"/>
          <w:sz w:val="28"/>
          <w:szCs w:val="28"/>
          <w:highlight w:val="none"/>
        </w:rPr>
        <w:t>三、获取采购文件</w:t>
      </w:r>
      <w:bookmarkEnd w:id="10"/>
      <w:bookmarkEnd w:id="11"/>
    </w:p>
    <w:p>
      <w:pPr>
        <w:spacing w:line="370" w:lineRule="exact"/>
        <w:rPr>
          <w:rFonts w:hint="eastAsia" w:ascii="仿宋" w:hAnsi="仿宋" w:eastAsia="仿宋" w:cs="仿宋"/>
          <w:color w:val="auto"/>
          <w:sz w:val="28"/>
          <w:szCs w:val="28"/>
          <w:highlight w:val="none"/>
        </w:rPr>
      </w:pPr>
      <w:bookmarkStart w:id="12" w:name="_Toc28359017"/>
      <w:bookmarkStart w:id="13" w:name="_Toc35393803"/>
      <w:bookmarkStart w:id="14" w:name="_Toc35393634"/>
      <w:bookmarkStart w:id="15" w:name="_Toc28359094"/>
      <w:r>
        <w:rPr>
          <w:rFonts w:hint="eastAsia" w:ascii="仿宋" w:hAnsi="仿宋" w:eastAsia="仿宋" w:cs="仿宋"/>
          <w:b/>
          <w:bCs/>
          <w:color w:val="auto"/>
          <w:sz w:val="28"/>
          <w:szCs w:val="28"/>
          <w:highlight w:val="none"/>
        </w:rPr>
        <w:t>时 间：</w:t>
      </w:r>
      <w:r>
        <w:rPr>
          <w:rFonts w:hint="eastAsia" w:ascii="仿宋" w:hAnsi="仿宋" w:eastAsia="仿宋" w:cs="仿宋"/>
          <w:color w:val="auto"/>
          <w:sz w:val="28"/>
          <w:szCs w:val="28"/>
          <w:highlight w:val="none"/>
          <w:lang w:eastAsia="zh-CN"/>
        </w:rPr>
        <w:t>2023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07</w:t>
      </w:r>
      <w:r>
        <w:rPr>
          <w:rFonts w:hint="eastAsia" w:ascii="仿宋" w:hAnsi="仿宋" w:eastAsia="仿宋" w:cs="仿宋"/>
          <w:color w:val="auto"/>
          <w:sz w:val="28"/>
          <w:szCs w:val="28"/>
          <w:highlight w:val="none"/>
        </w:rPr>
        <w:t>日至</w:t>
      </w:r>
      <w:r>
        <w:rPr>
          <w:rFonts w:hint="eastAsia" w:ascii="仿宋" w:hAnsi="仿宋" w:eastAsia="仿宋" w:cs="仿宋"/>
          <w:color w:val="auto"/>
          <w:sz w:val="28"/>
          <w:szCs w:val="28"/>
          <w:highlight w:val="none"/>
          <w:lang w:eastAsia="zh-CN"/>
        </w:rPr>
        <w:t>2023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rPr>
        <w:t>日，每天上午</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:00至</w:t>
      </w:r>
      <w:r>
        <w:rPr>
          <w:rFonts w:hint="eastAsia" w:ascii="仿宋" w:hAnsi="仿宋" w:eastAsia="仿宋" w:cs="仿宋"/>
          <w:color w:val="auto"/>
          <w:sz w:val="28"/>
          <w:szCs w:val="28"/>
          <w:highlight w:val="none"/>
          <w:lang w:val="en-US" w:eastAsia="zh-CN"/>
        </w:rPr>
        <w:t>14</w:t>
      </w:r>
      <w:r>
        <w:rPr>
          <w:rFonts w:hint="eastAsia" w:ascii="仿宋" w:hAnsi="仿宋" w:eastAsia="仿宋" w:cs="仿宋"/>
          <w:color w:val="auto"/>
          <w:sz w:val="28"/>
          <w:szCs w:val="28"/>
          <w:highlight w:val="none"/>
        </w:rPr>
        <w:t>:00，下午</w:t>
      </w:r>
      <w:r>
        <w:rPr>
          <w:rFonts w:hint="eastAsia" w:ascii="仿宋" w:hAnsi="仿宋" w:eastAsia="仿宋" w:cs="仿宋"/>
          <w:color w:val="auto"/>
          <w:sz w:val="28"/>
          <w:szCs w:val="28"/>
          <w:highlight w:val="none"/>
          <w:lang w:val="en-US" w:eastAsia="zh-CN"/>
        </w:rPr>
        <w:t>14</w:t>
      </w:r>
      <w:r>
        <w:rPr>
          <w:rFonts w:hint="eastAsia" w:ascii="仿宋" w:hAnsi="仿宋" w:eastAsia="仿宋" w:cs="仿宋"/>
          <w:color w:val="auto"/>
          <w:sz w:val="28"/>
          <w:szCs w:val="28"/>
          <w:highlight w:val="none"/>
        </w:rPr>
        <w:t>:00至</w:t>
      </w:r>
      <w:r>
        <w:rPr>
          <w:rFonts w:hint="eastAsia" w:ascii="仿宋" w:hAnsi="仿宋" w:eastAsia="仿宋" w:cs="仿宋"/>
          <w:color w:val="auto"/>
          <w:sz w:val="28"/>
          <w:szCs w:val="28"/>
          <w:highlight w:val="none"/>
          <w:lang w:val="en-US" w:eastAsia="zh-CN"/>
        </w:rPr>
        <w:t>23</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59</w:t>
      </w:r>
      <w:r>
        <w:rPr>
          <w:rFonts w:hint="eastAsia" w:ascii="仿宋" w:hAnsi="仿宋" w:eastAsia="仿宋" w:cs="仿宋"/>
          <w:color w:val="auto"/>
          <w:sz w:val="28"/>
          <w:szCs w:val="28"/>
          <w:highlight w:val="none"/>
        </w:rPr>
        <w:t>（北京时间，法定节假日除外 ）</w:t>
      </w:r>
    </w:p>
    <w:p>
      <w:pPr>
        <w:spacing w:line="370" w:lineRule="exact"/>
        <w:rPr>
          <w:rFonts w:hint="eastAsia" w:ascii="仿宋" w:hAnsi="仿宋" w:eastAsia="仿宋" w:cs="仿宋"/>
          <w:color w:val="auto"/>
          <w:sz w:val="28"/>
          <w:szCs w:val="28"/>
        </w:rPr>
      </w:pPr>
      <w:r>
        <w:rPr>
          <w:rFonts w:hint="eastAsia" w:ascii="仿宋" w:hAnsi="仿宋" w:eastAsia="仿宋" w:cs="仿宋"/>
          <w:b/>
          <w:bCs/>
          <w:color w:val="auto"/>
          <w:sz w:val="28"/>
          <w:szCs w:val="28"/>
          <w:highlight w:val="none"/>
          <w:lang w:val="zh-CN"/>
        </w:rPr>
        <w:t>地点</w:t>
      </w:r>
      <w:r>
        <w:rPr>
          <w:rFonts w:hint="eastAsia" w:ascii="仿宋" w:hAnsi="仿宋" w:eastAsia="仿宋" w:cs="仿宋"/>
          <w:b/>
          <w:bCs/>
          <w:color w:val="auto"/>
          <w:sz w:val="28"/>
          <w:szCs w:val="28"/>
          <w:highlight w:val="none"/>
        </w:rPr>
        <w:t>：</w:t>
      </w:r>
      <w:r>
        <w:rPr>
          <w:rFonts w:hint="eastAsia" w:ascii="仿宋" w:hAnsi="仿宋" w:eastAsia="仿宋" w:cs="仿宋"/>
          <w:color w:val="auto"/>
          <w:sz w:val="28"/>
          <w:szCs w:val="28"/>
          <w:highlight w:val="none"/>
        </w:rPr>
        <w:t xml:space="preserve"> 新  疆  政  府  采  购  网  政  采  云  平  台 </w:t>
      </w:r>
      <w:r>
        <w:rPr>
          <w:rFonts w:hint="eastAsia" w:ascii="仿宋" w:hAnsi="仿宋" w:eastAsia="仿宋" w:cs="仿宋"/>
          <w:color w:val="auto"/>
          <w:sz w:val="28"/>
          <w:szCs w:val="28"/>
        </w:rPr>
        <w:t>(http://www.ccgp-xinjiang.gov.cn/)</w:t>
      </w:r>
    </w:p>
    <w:p>
      <w:pPr>
        <w:spacing w:before="3" w:line="263" w:lineRule="auto"/>
        <w:rPr>
          <w:rFonts w:ascii="仿宋" w:hAnsi="仿宋" w:eastAsia="仿宋" w:cs="仿宋"/>
          <w:color w:val="auto"/>
          <w:sz w:val="28"/>
          <w:szCs w:val="28"/>
        </w:rPr>
      </w:pPr>
      <w:r>
        <w:rPr>
          <w:rFonts w:hint="eastAsia" w:ascii="仿宋" w:hAnsi="仿宋" w:eastAsia="仿宋" w:cs="仿宋"/>
          <w:b/>
          <w:bCs/>
          <w:color w:val="auto"/>
          <w:sz w:val="28"/>
          <w:szCs w:val="28"/>
        </w:rPr>
        <w:t>方式：</w:t>
      </w:r>
      <w:r>
        <w:rPr>
          <w:rFonts w:ascii="仿宋" w:hAnsi="仿宋" w:eastAsia="仿宋" w:cs="仿宋"/>
          <w:color w:val="auto"/>
          <w:spacing w:val="-2"/>
          <w:sz w:val="28"/>
          <w:szCs w:val="28"/>
        </w:rPr>
        <w:t>供应商登录政采</w:t>
      </w:r>
      <w:r>
        <w:rPr>
          <w:rFonts w:ascii="仿宋" w:hAnsi="仿宋" w:eastAsia="仿宋" w:cs="仿宋"/>
          <w:color w:val="auto"/>
          <w:spacing w:val="-1"/>
          <w:sz w:val="28"/>
          <w:szCs w:val="28"/>
        </w:rPr>
        <w:t>云平台 https://www.zcygov.cn/在线申请获</w:t>
      </w:r>
      <w:r>
        <w:rPr>
          <w:rFonts w:ascii="仿宋" w:hAnsi="仿宋" w:eastAsia="仿宋" w:cs="仿宋"/>
          <w:color w:val="auto"/>
          <w:sz w:val="28"/>
          <w:szCs w:val="28"/>
        </w:rPr>
        <w:t xml:space="preserve"> </w:t>
      </w:r>
      <w:r>
        <w:rPr>
          <w:rFonts w:ascii="仿宋" w:hAnsi="仿宋" w:eastAsia="仿宋" w:cs="仿宋"/>
          <w:color w:val="auto"/>
          <w:spacing w:val="3"/>
          <w:sz w:val="28"/>
          <w:szCs w:val="28"/>
        </w:rPr>
        <w:t>取采购文件 (进入“项目采购”应用，在获取采购文件菜单中选择项</w:t>
      </w:r>
      <w:r>
        <w:rPr>
          <w:rFonts w:ascii="仿宋" w:hAnsi="仿宋" w:eastAsia="仿宋" w:cs="仿宋"/>
          <w:color w:val="auto"/>
          <w:spacing w:val="1"/>
          <w:sz w:val="28"/>
          <w:szCs w:val="28"/>
        </w:rPr>
        <w:t>目</w:t>
      </w:r>
      <w:r>
        <w:rPr>
          <w:rFonts w:ascii="仿宋" w:hAnsi="仿宋" w:eastAsia="仿宋" w:cs="仿宋"/>
          <w:color w:val="auto"/>
          <w:sz w:val="28"/>
          <w:szCs w:val="28"/>
        </w:rPr>
        <w:t xml:space="preserve">， </w:t>
      </w:r>
      <w:r>
        <w:rPr>
          <w:rFonts w:ascii="仿宋" w:hAnsi="仿宋" w:eastAsia="仿宋" w:cs="仿宋"/>
          <w:color w:val="auto"/>
          <w:spacing w:val="-2"/>
          <w:sz w:val="28"/>
          <w:szCs w:val="28"/>
        </w:rPr>
        <w:t>申请获取采购文件)</w:t>
      </w:r>
    </w:p>
    <w:p>
      <w:pPr>
        <w:spacing w:line="370" w:lineRule="exact"/>
        <w:rPr>
          <w:rFonts w:hint="default" w:ascii="仿宋" w:hAnsi="仿宋" w:eastAsia="仿宋" w:cs="仿宋"/>
          <w:color w:val="auto"/>
          <w:sz w:val="28"/>
          <w:szCs w:val="28"/>
          <w:lang w:val="en-US" w:eastAsia="zh-CN"/>
        </w:rPr>
      </w:pPr>
      <w:r>
        <w:rPr>
          <w:rFonts w:hint="eastAsia" w:ascii="仿宋" w:hAnsi="仿宋" w:eastAsia="仿宋" w:cs="仿宋"/>
          <w:b/>
          <w:bCs/>
          <w:color w:val="auto"/>
          <w:sz w:val="28"/>
          <w:szCs w:val="28"/>
        </w:rPr>
        <w:t>售价（元）：</w:t>
      </w:r>
      <w:r>
        <w:rPr>
          <w:rFonts w:hint="eastAsia" w:ascii="仿宋" w:hAnsi="仿宋" w:eastAsia="仿宋" w:cs="仿宋"/>
          <w:color w:val="auto"/>
          <w:sz w:val="28"/>
          <w:szCs w:val="28"/>
          <w:lang w:val="en-US" w:eastAsia="zh-CN"/>
        </w:rPr>
        <w:t>0元</w:t>
      </w:r>
    </w:p>
    <w:p>
      <w:pPr>
        <w:spacing w:line="370" w:lineRule="exact"/>
        <w:rPr>
          <w:rFonts w:hint="eastAsia" w:ascii="仿宋" w:hAnsi="仿宋" w:eastAsia="仿宋" w:cs="仿宋"/>
          <w:b/>
          <w:bCs/>
          <w:color w:val="auto"/>
          <w:sz w:val="28"/>
          <w:szCs w:val="28"/>
        </w:rPr>
      </w:pPr>
      <w:bookmarkStart w:id="16" w:name="_Toc28359015"/>
      <w:bookmarkStart w:id="17" w:name="_Toc28359092"/>
      <w:bookmarkStart w:id="18" w:name="_Toc35393632"/>
      <w:bookmarkStart w:id="19" w:name="_Toc35393801"/>
      <w:r>
        <w:rPr>
          <w:rFonts w:hint="eastAsia" w:ascii="仿宋" w:hAnsi="仿宋" w:eastAsia="仿宋" w:cs="仿宋"/>
          <w:b/>
          <w:bCs/>
          <w:color w:val="auto"/>
          <w:sz w:val="28"/>
          <w:szCs w:val="28"/>
        </w:rPr>
        <w:t>四、</w:t>
      </w:r>
      <w:bookmarkEnd w:id="16"/>
      <w:bookmarkEnd w:id="17"/>
      <w:bookmarkEnd w:id="18"/>
      <w:bookmarkEnd w:id="19"/>
      <w:r>
        <w:rPr>
          <w:rFonts w:hint="eastAsia" w:ascii="仿宋" w:hAnsi="仿宋" w:eastAsia="仿宋" w:cs="仿宋"/>
          <w:b/>
          <w:bCs/>
          <w:color w:val="auto"/>
          <w:sz w:val="28"/>
          <w:szCs w:val="28"/>
        </w:rPr>
        <w:t>提交投标文件截止时间、开标时间和地点</w:t>
      </w:r>
    </w:p>
    <w:p>
      <w:pPr>
        <w:spacing w:line="370" w:lineRule="exact"/>
        <w:rPr>
          <w:rFonts w:hint="eastAsia" w:ascii="仿宋" w:hAnsi="仿宋" w:eastAsia="仿宋" w:cs="仿宋"/>
          <w:b w:val="0"/>
          <w:bCs w:val="0"/>
          <w:color w:val="auto"/>
          <w:sz w:val="28"/>
          <w:szCs w:val="28"/>
          <w:highlight w:val="none"/>
        </w:rPr>
      </w:pPr>
      <w:r>
        <w:rPr>
          <w:rFonts w:hint="eastAsia" w:ascii="仿宋" w:hAnsi="仿宋" w:eastAsia="仿宋" w:cs="仿宋"/>
          <w:b/>
          <w:bCs/>
          <w:color w:val="auto"/>
          <w:sz w:val="28"/>
          <w:szCs w:val="28"/>
          <w:highlight w:val="none"/>
        </w:rPr>
        <w:t>提交投标文件截止时间：</w:t>
      </w:r>
      <w:r>
        <w:rPr>
          <w:rFonts w:hint="eastAsia" w:ascii="仿宋" w:hAnsi="仿宋" w:eastAsia="仿宋" w:cs="仿宋"/>
          <w:b w:val="0"/>
          <w:bCs w:val="0"/>
          <w:color w:val="auto"/>
          <w:sz w:val="28"/>
          <w:szCs w:val="28"/>
          <w:highlight w:val="none"/>
          <w:lang w:eastAsia="zh-CN"/>
        </w:rPr>
        <w:t xml:space="preserve"> 2023 年 </w:t>
      </w:r>
      <w:r>
        <w:rPr>
          <w:rFonts w:hint="eastAsia" w:ascii="仿宋" w:hAnsi="仿宋" w:eastAsia="仿宋" w:cs="仿宋"/>
          <w:b w:val="0"/>
          <w:bCs w:val="0"/>
          <w:color w:val="auto"/>
          <w:sz w:val="28"/>
          <w:szCs w:val="28"/>
          <w:highlight w:val="none"/>
          <w:lang w:val="en-US" w:eastAsia="zh-CN"/>
        </w:rPr>
        <w:t>10</w:t>
      </w:r>
      <w:r>
        <w:rPr>
          <w:rFonts w:hint="eastAsia" w:ascii="仿宋" w:hAnsi="仿宋" w:eastAsia="仿宋" w:cs="仿宋"/>
          <w:b w:val="0"/>
          <w:bCs w:val="0"/>
          <w:color w:val="auto"/>
          <w:sz w:val="28"/>
          <w:szCs w:val="28"/>
          <w:highlight w:val="none"/>
          <w:lang w:eastAsia="zh-CN"/>
        </w:rPr>
        <w:t xml:space="preserve"> 月</w:t>
      </w:r>
      <w:r>
        <w:rPr>
          <w:rFonts w:hint="eastAsia" w:ascii="仿宋" w:hAnsi="仿宋" w:eastAsia="仿宋" w:cs="仿宋"/>
          <w:b w:val="0"/>
          <w:bCs w:val="0"/>
          <w:color w:val="auto"/>
          <w:sz w:val="28"/>
          <w:szCs w:val="28"/>
          <w:highlight w:val="none"/>
          <w:lang w:val="en-US" w:eastAsia="zh-CN"/>
        </w:rPr>
        <w:t>27</w:t>
      </w:r>
      <w:r>
        <w:rPr>
          <w:rFonts w:hint="eastAsia" w:ascii="仿宋" w:hAnsi="仿宋" w:eastAsia="仿宋" w:cs="仿宋"/>
          <w:b w:val="0"/>
          <w:bCs w:val="0"/>
          <w:color w:val="auto"/>
          <w:sz w:val="28"/>
          <w:szCs w:val="28"/>
          <w:highlight w:val="none"/>
          <w:lang w:eastAsia="zh-CN"/>
        </w:rPr>
        <w:t xml:space="preserve"> 日 11:00 </w:t>
      </w:r>
      <w:r>
        <w:rPr>
          <w:rFonts w:hint="eastAsia" w:ascii="仿宋" w:hAnsi="仿宋" w:eastAsia="仿宋" w:cs="仿宋"/>
          <w:b w:val="0"/>
          <w:bCs w:val="0"/>
          <w:color w:val="auto"/>
          <w:sz w:val="28"/>
          <w:szCs w:val="28"/>
          <w:highlight w:val="none"/>
        </w:rPr>
        <w:t xml:space="preserve"> (北京时间)</w:t>
      </w:r>
    </w:p>
    <w:p>
      <w:pPr>
        <w:spacing w:line="370" w:lineRule="exact"/>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地点</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请 使 用 CA 数 字 证 书 登 录 政 采 云 平 台(http://www.ccgp-xinjiang.gov.cn/) 上传加密版投标文件。</w:t>
      </w:r>
    </w:p>
    <w:p>
      <w:pPr>
        <w:spacing w:line="370" w:lineRule="exact"/>
        <w:rPr>
          <w:rFonts w:hint="eastAsia" w:ascii="仿宋" w:hAnsi="仿宋" w:eastAsia="仿宋" w:cs="仿宋"/>
          <w:b w:val="0"/>
          <w:bCs w:val="0"/>
          <w:color w:val="auto"/>
          <w:sz w:val="28"/>
          <w:szCs w:val="28"/>
          <w:highlight w:val="none"/>
        </w:rPr>
      </w:pPr>
      <w:r>
        <w:rPr>
          <w:rFonts w:hint="eastAsia" w:ascii="仿宋" w:hAnsi="仿宋" w:eastAsia="仿宋" w:cs="仿宋"/>
          <w:b/>
          <w:bCs/>
          <w:color w:val="auto"/>
          <w:sz w:val="28"/>
          <w:szCs w:val="28"/>
          <w:highlight w:val="none"/>
        </w:rPr>
        <w:t>开标时间：</w:t>
      </w:r>
      <w:r>
        <w:rPr>
          <w:rFonts w:hint="eastAsia" w:ascii="仿宋" w:hAnsi="仿宋" w:eastAsia="仿宋" w:cs="仿宋"/>
          <w:b w:val="0"/>
          <w:bCs w:val="0"/>
          <w:color w:val="auto"/>
          <w:sz w:val="28"/>
          <w:szCs w:val="28"/>
          <w:highlight w:val="none"/>
          <w:lang w:eastAsia="zh-CN"/>
        </w:rPr>
        <w:t xml:space="preserve"> 2023 年</w:t>
      </w:r>
      <w:r>
        <w:rPr>
          <w:rFonts w:hint="eastAsia" w:ascii="仿宋" w:hAnsi="仿宋" w:eastAsia="仿宋" w:cs="仿宋"/>
          <w:b w:val="0"/>
          <w:bCs w:val="0"/>
          <w:color w:val="auto"/>
          <w:sz w:val="28"/>
          <w:szCs w:val="28"/>
          <w:highlight w:val="none"/>
          <w:lang w:val="en-US" w:eastAsia="zh-CN"/>
        </w:rPr>
        <w:t>10</w:t>
      </w:r>
      <w:r>
        <w:rPr>
          <w:rFonts w:hint="eastAsia" w:ascii="仿宋" w:hAnsi="仿宋" w:eastAsia="仿宋" w:cs="仿宋"/>
          <w:b w:val="0"/>
          <w:bCs w:val="0"/>
          <w:color w:val="auto"/>
          <w:sz w:val="28"/>
          <w:szCs w:val="28"/>
          <w:highlight w:val="none"/>
          <w:lang w:eastAsia="zh-CN"/>
        </w:rPr>
        <w:t xml:space="preserve"> 月 </w:t>
      </w:r>
      <w:r>
        <w:rPr>
          <w:rFonts w:hint="eastAsia" w:ascii="仿宋" w:hAnsi="仿宋" w:eastAsia="仿宋" w:cs="仿宋"/>
          <w:b w:val="0"/>
          <w:bCs w:val="0"/>
          <w:color w:val="auto"/>
          <w:sz w:val="28"/>
          <w:szCs w:val="28"/>
          <w:highlight w:val="none"/>
          <w:lang w:val="en-US" w:eastAsia="zh-CN"/>
        </w:rPr>
        <w:t>27</w:t>
      </w:r>
      <w:r>
        <w:rPr>
          <w:rFonts w:hint="eastAsia" w:ascii="仿宋" w:hAnsi="仿宋" w:eastAsia="仿宋" w:cs="仿宋"/>
          <w:b w:val="0"/>
          <w:bCs w:val="0"/>
          <w:color w:val="auto"/>
          <w:sz w:val="28"/>
          <w:szCs w:val="28"/>
          <w:highlight w:val="none"/>
          <w:lang w:eastAsia="zh-CN"/>
        </w:rPr>
        <w:t xml:space="preserve"> 日 11:00 </w:t>
      </w:r>
      <w:r>
        <w:rPr>
          <w:rFonts w:hint="eastAsia" w:ascii="仿宋" w:hAnsi="仿宋" w:eastAsia="仿宋" w:cs="仿宋"/>
          <w:b w:val="0"/>
          <w:bCs w:val="0"/>
          <w:color w:val="auto"/>
          <w:sz w:val="28"/>
          <w:szCs w:val="28"/>
          <w:highlight w:val="none"/>
        </w:rPr>
        <w:t xml:space="preserve"> (北京时间)</w:t>
      </w:r>
    </w:p>
    <w:p>
      <w:pPr>
        <w:spacing w:line="370" w:lineRule="exact"/>
        <w:rPr>
          <w:rFonts w:hint="eastAsia" w:ascii="仿宋" w:hAnsi="仿宋" w:eastAsia="仿宋" w:cs="仿宋"/>
          <w:color w:val="auto"/>
          <w:sz w:val="28"/>
          <w:szCs w:val="28"/>
        </w:rPr>
      </w:pPr>
      <w:r>
        <w:rPr>
          <w:rFonts w:hint="eastAsia" w:ascii="仿宋" w:hAnsi="仿宋" w:eastAsia="仿宋" w:cs="仿宋"/>
          <w:b/>
          <w:bCs/>
          <w:color w:val="auto"/>
          <w:sz w:val="28"/>
          <w:szCs w:val="28"/>
          <w:lang w:val="en-US" w:eastAsia="zh-CN"/>
        </w:rPr>
        <w:t>开标</w:t>
      </w:r>
      <w:r>
        <w:rPr>
          <w:rFonts w:hint="eastAsia" w:ascii="仿宋" w:hAnsi="仿宋" w:eastAsia="仿宋" w:cs="仿宋"/>
          <w:b/>
          <w:bCs/>
          <w:color w:val="auto"/>
          <w:sz w:val="28"/>
          <w:szCs w:val="28"/>
        </w:rPr>
        <w:t>地点</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政采云平台https://www.zcygov.cn/</w:t>
      </w:r>
    </w:p>
    <w:p>
      <w:pPr>
        <w:spacing w:line="37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五</w:t>
      </w:r>
      <w:r>
        <w:rPr>
          <w:rFonts w:hint="eastAsia" w:ascii="仿宋" w:hAnsi="仿宋" w:eastAsia="仿宋" w:cs="仿宋"/>
          <w:b/>
          <w:bCs/>
          <w:color w:val="auto"/>
          <w:sz w:val="28"/>
          <w:szCs w:val="28"/>
        </w:rPr>
        <w:t>、公告期限</w:t>
      </w:r>
      <w:bookmarkEnd w:id="12"/>
      <w:bookmarkEnd w:id="13"/>
      <w:bookmarkEnd w:id="14"/>
      <w:bookmarkEnd w:id="15"/>
    </w:p>
    <w:p>
      <w:pPr>
        <w:spacing w:line="370" w:lineRule="exact"/>
        <w:rPr>
          <w:rFonts w:hint="eastAsia" w:ascii="仿宋" w:hAnsi="仿宋" w:eastAsia="仿宋" w:cs="仿宋"/>
          <w:color w:val="auto"/>
          <w:sz w:val="28"/>
          <w:szCs w:val="28"/>
        </w:rPr>
      </w:pPr>
      <w:r>
        <w:rPr>
          <w:rFonts w:hint="eastAsia" w:ascii="仿宋" w:hAnsi="仿宋" w:eastAsia="仿宋" w:cs="仿宋"/>
          <w:color w:val="auto"/>
          <w:kern w:val="0"/>
          <w:sz w:val="28"/>
          <w:szCs w:val="28"/>
        </w:rPr>
        <w:t>自本公告发布之日起5个工作日。</w:t>
      </w:r>
    </w:p>
    <w:p>
      <w:pPr>
        <w:numPr>
          <w:ilvl w:val="0"/>
          <w:numId w:val="1"/>
        </w:numPr>
        <w:spacing w:line="370" w:lineRule="exact"/>
        <w:rPr>
          <w:rFonts w:hint="eastAsia" w:ascii="仿宋" w:hAnsi="仿宋" w:eastAsia="仿宋" w:cs="仿宋"/>
          <w:b/>
          <w:bCs/>
          <w:color w:val="auto"/>
          <w:sz w:val="28"/>
          <w:szCs w:val="28"/>
        </w:rPr>
      </w:pPr>
      <w:bookmarkStart w:id="20" w:name="_Toc35393635"/>
      <w:bookmarkStart w:id="21" w:name="_Toc35393804"/>
      <w:r>
        <w:rPr>
          <w:rFonts w:hint="eastAsia" w:ascii="仿宋" w:hAnsi="仿宋" w:eastAsia="仿宋" w:cs="仿宋"/>
          <w:b/>
          <w:bCs/>
          <w:color w:val="auto"/>
          <w:sz w:val="28"/>
          <w:szCs w:val="28"/>
        </w:rPr>
        <w:t>其他补充事宜</w:t>
      </w:r>
      <w:bookmarkEnd w:id="20"/>
      <w:bookmarkEnd w:id="21"/>
      <w:bookmarkStart w:id="22" w:name="_Toc35393636"/>
      <w:bookmarkStart w:id="23" w:name="_Toc28359095"/>
      <w:bookmarkStart w:id="24" w:name="_Toc28359018"/>
      <w:bookmarkStart w:id="25" w:name="_Toc35393805"/>
    </w:p>
    <w:p>
      <w:pPr>
        <w:numPr>
          <w:ilvl w:val="0"/>
          <w:numId w:val="0"/>
        </w:numPr>
        <w:spacing w:line="370" w:lineRule="exact"/>
        <w:rPr>
          <w:rFonts w:ascii="仿宋" w:hAnsi="仿宋" w:eastAsia="仿宋" w:cs="仿宋"/>
          <w:color w:val="auto"/>
          <w:sz w:val="28"/>
          <w:szCs w:val="28"/>
        </w:rPr>
      </w:pPr>
      <w:r>
        <w:rPr>
          <w:rFonts w:ascii="仿宋" w:hAnsi="仿宋" w:eastAsia="仿宋" w:cs="仿宋"/>
          <w:color w:val="auto"/>
          <w:spacing w:val="4"/>
          <w:sz w:val="28"/>
          <w:szCs w:val="28"/>
        </w:rPr>
        <w:t>1、本次采购采用电子招</w:t>
      </w:r>
      <w:r>
        <w:rPr>
          <w:rFonts w:ascii="仿宋" w:hAnsi="仿宋" w:eastAsia="仿宋" w:cs="仿宋"/>
          <w:color w:val="auto"/>
          <w:spacing w:val="3"/>
          <w:sz w:val="28"/>
          <w:szCs w:val="28"/>
        </w:rPr>
        <w:t>投</w:t>
      </w:r>
      <w:r>
        <w:rPr>
          <w:rFonts w:ascii="仿宋" w:hAnsi="仿宋" w:eastAsia="仿宋" w:cs="仿宋"/>
          <w:color w:val="auto"/>
          <w:spacing w:val="2"/>
          <w:sz w:val="28"/>
          <w:szCs w:val="28"/>
        </w:rPr>
        <w:t>标， 电子交易平台为“政府采购云平台</w:t>
      </w:r>
      <w:r>
        <w:rPr>
          <w:rFonts w:ascii="仿宋" w:hAnsi="仿宋" w:eastAsia="仿宋" w:cs="仿宋"/>
          <w:color w:val="auto"/>
          <w:sz w:val="28"/>
          <w:szCs w:val="28"/>
        </w:rPr>
        <w:t xml:space="preserve"> </w:t>
      </w:r>
      <w:r>
        <w:rPr>
          <w:rFonts w:ascii="仿宋" w:hAnsi="仿宋" w:eastAsia="仿宋" w:cs="仿宋"/>
          <w:color w:val="auto"/>
          <w:spacing w:val="6"/>
          <w:sz w:val="28"/>
          <w:szCs w:val="28"/>
        </w:rPr>
        <w:t>(</w:t>
      </w:r>
      <w:r>
        <w:rPr>
          <w:rFonts w:ascii="仿宋" w:hAnsi="仿宋" w:eastAsia="仿宋" w:cs="仿宋"/>
          <w:color w:val="auto"/>
          <w:sz w:val="28"/>
          <w:szCs w:val="28"/>
        </w:rPr>
        <w:t>www</w:t>
      </w:r>
      <w:r>
        <w:rPr>
          <w:rFonts w:ascii="仿宋" w:hAnsi="仿宋" w:eastAsia="仿宋" w:cs="仿宋"/>
          <w:color w:val="auto"/>
          <w:spacing w:val="6"/>
          <w:sz w:val="28"/>
          <w:szCs w:val="28"/>
        </w:rPr>
        <w:t>.</w:t>
      </w:r>
      <w:r>
        <w:rPr>
          <w:rFonts w:ascii="仿宋" w:hAnsi="仿宋" w:eastAsia="仿宋" w:cs="仿宋"/>
          <w:color w:val="auto"/>
          <w:sz w:val="28"/>
          <w:szCs w:val="28"/>
        </w:rPr>
        <w:t>zcygov</w:t>
      </w:r>
      <w:r>
        <w:rPr>
          <w:rFonts w:ascii="仿宋" w:hAnsi="仿宋" w:eastAsia="仿宋" w:cs="仿宋"/>
          <w:color w:val="auto"/>
          <w:spacing w:val="5"/>
          <w:sz w:val="28"/>
          <w:szCs w:val="28"/>
        </w:rPr>
        <w:t>.</w:t>
      </w:r>
      <w:r>
        <w:rPr>
          <w:rFonts w:ascii="仿宋" w:hAnsi="仿宋" w:eastAsia="仿宋" w:cs="仿宋"/>
          <w:color w:val="auto"/>
          <w:sz w:val="28"/>
          <w:szCs w:val="28"/>
        </w:rPr>
        <w:t>cn</w:t>
      </w:r>
      <w:r>
        <w:rPr>
          <w:rFonts w:ascii="仿宋" w:hAnsi="仿宋" w:eastAsia="仿宋" w:cs="仿宋"/>
          <w:color w:val="auto"/>
          <w:spacing w:val="3"/>
          <w:sz w:val="28"/>
          <w:szCs w:val="28"/>
        </w:rPr>
        <w:t>) ”。供应商参与本项目电子交易活动前，应注册成为政</w:t>
      </w:r>
      <w:r>
        <w:rPr>
          <w:rFonts w:ascii="仿宋" w:hAnsi="仿宋" w:eastAsia="仿宋" w:cs="仿宋"/>
          <w:color w:val="auto"/>
          <w:sz w:val="28"/>
          <w:szCs w:val="28"/>
        </w:rPr>
        <w:t xml:space="preserve"> </w:t>
      </w:r>
      <w:r>
        <w:rPr>
          <w:rFonts w:ascii="仿宋" w:hAnsi="仿宋" w:eastAsia="仿宋" w:cs="仿宋"/>
          <w:color w:val="auto"/>
          <w:spacing w:val="-10"/>
          <w:sz w:val="28"/>
          <w:szCs w:val="28"/>
        </w:rPr>
        <w:t>府采</w:t>
      </w:r>
      <w:r>
        <w:rPr>
          <w:rFonts w:ascii="仿宋" w:hAnsi="仿宋" w:eastAsia="仿宋" w:cs="仿宋"/>
          <w:color w:val="auto"/>
          <w:spacing w:val="-5"/>
          <w:sz w:val="28"/>
          <w:szCs w:val="28"/>
        </w:rPr>
        <w:t>购云平台供应商。编制电子投标文件前还需申领 CA 证书并绑定帐号，</w:t>
      </w:r>
      <w:r>
        <w:rPr>
          <w:rFonts w:ascii="仿宋" w:hAnsi="仿宋" w:eastAsia="仿宋" w:cs="仿宋"/>
          <w:color w:val="auto"/>
          <w:sz w:val="28"/>
          <w:szCs w:val="28"/>
        </w:rPr>
        <w:t xml:space="preserve"> </w:t>
      </w:r>
      <w:r>
        <w:rPr>
          <w:rFonts w:ascii="仿宋" w:hAnsi="仿宋" w:eastAsia="仿宋" w:cs="仿宋"/>
          <w:color w:val="auto"/>
          <w:spacing w:val="-10"/>
          <w:sz w:val="28"/>
          <w:szCs w:val="28"/>
        </w:rPr>
        <w:t>因未</w:t>
      </w:r>
      <w:r>
        <w:rPr>
          <w:rFonts w:ascii="仿宋" w:hAnsi="仿宋" w:eastAsia="仿宋" w:cs="仿宋"/>
          <w:color w:val="auto"/>
          <w:spacing w:val="-5"/>
          <w:sz w:val="28"/>
          <w:szCs w:val="28"/>
        </w:rPr>
        <w:t>注册入库、未办理 CA 数字证书等原因造成无法投标或投标失败等后果</w:t>
      </w:r>
      <w:r>
        <w:rPr>
          <w:rFonts w:ascii="仿宋" w:hAnsi="仿宋" w:eastAsia="仿宋" w:cs="仿宋"/>
          <w:color w:val="auto"/>
          <w:sz w:val="28"/>
          <w:szCs w:val="28"/>
        </w:rPr>
        <w:t xml:space="preserve"> </w:t>
      </w:r>
      <w:r>
        <w:rPr>
          <w:rFonts w:ascii="仿宋" w:hAnsi="仿宋" w:eastAsia="仿宋" w:cs="仿宋"/>
          <w:color w:val="auto"/>
          <w:spacing w:val="-2"/>
          <w:sz w:val="28"/>
          <w:szCs w:val="28"/>
        </w:rPr>
        <w:t>由供应商自行承担。</w:t>
      </w:r>
    </w:p>
    <w:p>
      <w:pPr>
        <w:spacing w:before="1" w:line="270" w:lineRule="auto"/>
        <w:rPr>
          <w:rFonts w:ascii="仿宋" w:hAnsi="仿宋" w:eastAsia="仿宋" w:cs="仿宋"/>
          <w:color w:val="auto"/>
          <w:sz w:val="28"/>
          <w:szCs w:val="28"/>
        </w:rPr>
      </w:pPr>
      <w:r>
        <w:rPr>
          <w:rFonts w:ascii="仿宋" w:hAnsi="仿宋" w:eastAsia="仿宋" w:cs="仿宋"/>
          <w:color w:val="auto"/>
          <w:spacing w:val="-2"/>
          <w:sz w:val="28"/>
          <w:szCs w:val="28"/>
        </w:rPr>
        <w:t>2、采购文件中要求</w:t>
      </w:r>
      <w:r>
        <w:rPr>
          <w:rFonts w:ascii="仿宋" w:hAnsi="仿宋" w:eastAsia="仿宋" w:cs="仿宋"/>
          <w:color w:val="auto"/>
          <w:spacing w:val="-1"/>
          <w:sz w:val="28"/>
          <w:szCs w:val="28"/>
        </w:rPr>
        <w:t>在线投标的项目，必须下载投标客户端进行投标</w:t>
      </w:r>
      <w:r>
        <w:rPr>
          <w:rFonts w:ascii="仿宋" w:hAnsi="仿宋" w:eastAsia="仿宋" w:cs="仿宋"/>
          <w:color w:val="auto"/>
          <w:sz w:val="28"/>
          <w:szCs w:val="28"/>
        </w:rPr>
        <w:t xml:space="preserve"> </w:t>
      </w:r>
      <w:r>
        <w:rPr>
          <w:rFonts w:ascii="仿宋" w:hAnsi="仿宋" w:eastAsia="仿宋" w:cs="仿宋"/>
          <w:color w:val="auto"/>
          <w:spacing w:val="3"/>
          <w:sz w:val="28"/>
          <w:szCs w:val="28"/>
        </w:rPr>
        <w:t>文件的编制。并按照本采购文件和投标客户端的要求编制并加密投标文件</w:t>
      </w:r>
      <w:r>
        <w:rPr>
          <w:rFonts w:ascii="仿宋" w:hAnsi="仿宋" w:eastAsia="仿宋" w:cs="仿宋"/>
          <w:color w:val="auto"/>
          <w:sz w:val="28"/>
          <w:szCs w:val="28"/>
        </w:rPr>
        <w:t xml:space="preserve"> </w:t>
      </w:r>
      <w:r>
        <w:rPr>
          <w:rFonts w:ascii="仿宋" w:hAnsi="仿宋" w:eastAsia="仿宋" w:cs="仿宋"/>
          <w:color w:val="auto"/>
          <w:spacing w:val="3"/>
          <w:sz w:val="28"/>
          <w:szCs w:val="28"/>
        </w:rPr>
        <w:t>在左侧菜单【投标文件上传】页面进行上传。未按规定加密的投标文件，</w:t>
      </w:r>
      <w:r>
        <w:rPr>
          <w:rFonts w:ascii="仿宋" w:hAnsi="仿宋" w:eastAsia="仿宋" w:cs="仿宋"/>
          <w:color w:val="auto"/>
          <w:sz w:val="28"/>
          <w:szCs w:val="28"/>
        </w:rPr>
        <w:t xml:space="preserve"> </w:t>
      </w:r>
      <w:r>
        <w:rPr>
          <w:rFonts w:ascii="仿宋" w:hAnsi="仿宋" w:eastAsia="仿宋" w:cs="仿宋"/>
          <w:color w:val="auto"/>
          <w:spacing w:val="3"/>
          <w:sz w:val="28"/>
          <w:szCs w:val="28"/>
        </w:rPr>
        <w:t>投标文件将被拒收。逾期上传或者未上传指定地点的</w:t>
      </w:r>
      <w:r>
        <w:rPr>
          <w:rFonts w:hint="eastAsia" w:ascii="仿宋" w:hAnsi="仿宋" w:eastAsia="仿宋" w:cs="仿宋"/>
          <w:color w:val="auto"/>
          <w:spacing w:val="3"/>
          <w:sz w:val="28"/>
          <w:szCs w:val="28"/>
          <w:lang w:eastAsia="zh-CN"/>
        </w:rPr>
        <w:t>投标文件</w:t>
      </w:r>
      <w:r>
        <w:rPr>
          <w:rFonts w:ascii="仿宋" w:hAnsi="仿宋" w:eastAsia="仿宋" w:cs="仿宋"/>
          <w:color w:val="auto"/>
          <w:spacing w:val="3"/>
          <w:sz w:val="28"/>
          <w:szCs w:val="28"/>
        </w:rPr>
        <w:t>，采购人不</w:t>
      </w:r>
      <w:r>
        <w:rPr>
          <w:rFonts w:ascii="仿宋" w:hAnsi="仿宋" w:eastAsia="仿宋" w:cs="仿宋"/>
          <w:color w:val="auto"/>
          <w:spacing w:val="-8"/>
          <w:sz w:val="28"/>
          <w:szCs w:val="28"/>
        </w:rPr>
        <w:t>予</w:t>
      </w:r>
      <w:r>
        <w:rPr>
          <w:rFonts w:ascii="仿宋" w:hAnsi="仿宋" w:eastAsia="仿宋" w:cs="仿宋"/>
          <w:color w:val="auto"/>
          <w:spacing w:val="-7"/>
          <w:sz w:val="28"/>
          <w:szCs w:val="28"/>
        </w:rPr>
        <w:t>受理。</w:t>
      </w:r>
    </w:p>
    <w:p>
      <w:pPr>
        <w:spacing w:before="53" w:line="264" w:lineRule="auto"/>
        <w:rPr>
          <w:rFonts w:ascii="仿宋" w:hAnsi="仿宋" w:eastAsia="仿宋" w:cs="仿宋"/>
          <w:color w:val="auto"/>
          <w:sz w:val="28"/>
          <w:szCs w:val="28"/>
        </w:rPr>
      </w:pPr>
      <w:r>
        <w:rPr>
          <w:rFonts w:ascii="仿宋" w:hAnsi="仿宋" w:eastAsia="仿宋" w:cs="仿宋"/>
          <w:color w:val="auto"/>
          <w:spacing w:val="-16"/>
          <w:sz w:val="28"/>
          <w:szCs w:val="28"/>
        </w:rPr>
        <w:t>3、特</w:t>
      </w:r>
      <w:r>
        <w:rPr>
          <w:rFonts w:ascii="仿宋" w:hAnsi="仿宋" w:eastAsia="仿宋" w:cs="仿宋"/>
          <w:color w:val="auto"/>
          <w:spacing w:val="-9"/>
          <w:sz w:val="28"/>
          <w:szCs w:val="28"/>
        </w:rPr>
        <w:t>别</w:t>
      </w:r>
      <w:r>
        <w:rPr>
          <w:rFonts w:ascii="仿宋" w:hAnsi="仿宋" w:eastAsia="仿宋" w:cs="仿宋"/>
          <w:color w:val="auto"/>
          <w:spacing w:val="-8"/>
          <w:sz w:val="28"/>
          <w:szCs w:val="28"/>
        </w:rPr>
        <w:t>提示：1.超过 200 万元的货物和服务采购项目、超过 400 万</w:t>
      </w:r>
      <w:r>
        <w:rPr>
          <w:rFonts w:ascii="仿宋" w:hAnsi="仿宋" w:eastAsia="仿宋" w:cs="仿宋"/>
          <w:color w:val="auto"/>
          <w:spacing w:val="6"/>
          <w:sz w:val="28"/>
          <w:szCs w:val="28"/>
        </w:rPr>
        <w:t>元的工</w:t>
      </w:r>
      <w:r>
        <w:rPr>
          <w:rFonts w:ascii="仿宋" w:hAnsi="仿宋" w:eastAsia="仿宋" w:cs="仿宋"/>
          <w:color w:val="auto"/>
          <w:spacing w:val="3"/>
          <w:sz w:val="28"/>
          <w:szCs w:val="28"/>
        </w:rPr>
        <w:t>程采购项目中适宜由中小企业提供的，预留该部分采购项目预算总</w:t>
      </w:r>
      <w:r>
        <w:rPr>
          <w:rFonts w:ascii="仿宋" w:hAnsi="仿宋" w:eastAsia="仿宋" w:cs="仿宋"/>
          <w:color w:val="auto"/>
          <w:spacing w:val="14"/>
          <w:sz w:val="28"/>
          <w:szCs w:val="28"/>
        </w:rPr>
        <w:t>额的</w:t>
      </w:r>
      <w:r>
        <w:rPr>
          <w:rFonts w:ascii="仿宋" w:hAnsi="仿宋" w:eastAsia="仿宋" w:cs="仿宋"/>
          <w:color w:val="auto"/>
          <w:spacing w:val="7"/>
          <w:sz w:val="28"/>
          <w:szCs w:val="28"/>
        </w:rPr>
        <w:t>40%以上专门面向中小企业采购，其中预留给小微企业的比例不低于</w:t>
      </w:r>
      <w:r>
        <w:rPr>
          <w:rFonts w:ascii="仿宋" w:hAnsi="仿宋" w:eastAsia="仿宋" w:cs="仿宋"/>
          <w:color w:val="auto"/>
          <w:sz w:val="28"/>
          <w:szCs w:val="28"/>
        </w:rPr>
        <w:t xml:space="preserve"> </w:t>
      </w:r>
      <w:r>
        <w:rPr>
          <w:rFonts w:ascii="仿宋" w:hAnsi="仿宋" w:eastAsia="仿宋" w:cs="仿宋"/>
          <w:color w:val="auto"/>
          <w:spacing w:val="-1"/>
          <w:sz w:val="28"/>
          <w:szCs w:val="28"/>
        </w:rPr>
        <w:t>70%。2.对于未预留份额专门面向中小企业的采购项目，以及预留份额项目</w:t>
      </w:r>
      <w:r>
        <w:rPr>
          <w:rFonts w:ascii="仿宋" w:hAnsi="仿宋" w:eastAsia="仿宋" w:cs="仿宋"/>
          <w:color w:val="auto"/>
          <w:spacing w:val="6"/>
          <w:sz w:val="28"/>
          <w:szCs w:val="28"/>
        </w:rPr>
        <w:t>中的非</w:t>
      </w:r>
      <w:r>
        <w:rPr>
          <w:rFonts w:ascii="仿宋" w:hAnsi="仿宋" w:eastAsia="仿宋" w:cs="仿宋"/>
          <w:color w:val="auto"/>
          <w:spacing w:val="3"/>
          <w:sz w:val="28"/>
          <w:szCs w:val="28"/>
        </w:rPr>
        <w:t>预留部分采购包，采购人、采购代理机构应当对符合规定的小微企</w:t>
      </w:r>
      <w:r>
        <w:rPr>
          <w:rFonts w:ascii="仿宋" w:hAnsi="仿宋" w:eastAsia="仿宋" w:cs="仿宋"/>
          <w:color w:val="auto"/>
          <w:spacing w:val="-1"/>
          <w:sz w:val="28"/>
          <w:szCs w:val="28"/>
        </w:rPr>
        <w:t>业报价给予 10%~20% (工程项目为 6%~10%) 的扣除，用扣</w:t>
      </w:r>
      <w:r>
        <w:rPr>
          <w:rFonts w:ascii="仿宋" w:hAnsi="仿宋" w:eastAsia="仿宋" w:cs="仿宋"/>
          <w:color w:val="auto"/>
          <w:sz w:val="28"/>
          <w:szCs w:val="28"/>
        </w:rPr>
        <w:t>除后的价格参加</w:t>
      </w:r>
      <w:r>
        <w:rPr>
          <w:rFonts w:ascii="仿宋" w:hAnsi="仿宋" w:eastAsia="仿宋" w:cs="仿宋"/>
          <w:color w:val="auto"/>
          <w:spacing w:val="6"/>
          <w:sz w:val="28"/>
          <w:szCs w:val="28"/>
        </w:rPr>
        <w:t>评审。</w:t>
      </w:r>
      <w:r>
        <w:rPr>
          <w:rFonts w:ascii="仿宋" w:hAnsi="仿宋" w:eastAsia="仿宋" w:cs="仿宋"/>
          <w:color w:val="auto"/>
          <w:spacing w:val="3"/>
          <w:sz w:val="28"/>
          <w:szCs w:val="28"/>
        </w:rPr>
        <w:t>适用招标投标法的政府采购工程建设项目，采用综合评估法但未采</w:t>
      </w:r>
      <w:r>
        <w:rPr>
          <w:rFonts w:ascii="仿宋" w:hAnsi="仿宋" w:eastAsia="仿宋" w:cs="仿宋"/>
          <w:color w:val="auto"/>
          <w:spacing w:val="6"/>
          <w:sz w:val="28"/>
          <w:szCs w:val="28"/>
        </w:rPr>
        <w:t>用低价</w:t>
      </w:r>
      <w:r>
        <w:rPr>
          <w:rFonts w:ascii="仿宋" w:hAnsi="仿宋" w:eastAsia="仿宋" w:cs="仿宋"/>
          <w:color w:val="auto"/>
          <w:spacing w:val="3"/>
          <w:sz w:val="28"/>
          <w:szCs w:val="28"/>
        </w:rPr>
        <w:t>优先法计算价格分的，评标时应当在采用原报价进行评分的基础上增加其价格得分的6%~10%作为其价格分。3.接受大中型企业与小微企业</w:t>
      </w:r>
      <w:r>
        <w:rPr>
          <w:rFonts w:ascii="仿宋" w:hAnsi="仿宋" w:eastAsia="仿宋" w:cs="仿宋"/>
          <w:color w:val="auto"/>
          <w:sz w:val="28"/>
          <w:szCs w:val="28"/>
        </w:rPr>
        <w:t>组</w:t>
      </w:r>
      <w:r>
        <w:rPr>
          <w:rFonts w:ascii="仿宋" w:hAnsi="仿宋" w:eastAsia="仿宋" w:cs="仿宋"/>
          <w:color w:val="auto"/>
          <w:spacing w:val="6"/>
          <w:sz w:val="28"/>
          <w:szCs w:val="28"/>
        </w:rPr>
        <w:t>成联合</w:t>
      </w:r>
      <w:r>
        <w:rPr>
          <w:rFonts w:ascii="仿宋" w:hAnsi="仿宋" w:eastAsia="仿宋" w:cs="仿宋"/>
          <w:color w:val="auto"/>
          <w:spacing w:val="3"/>
          <w:sz w:val="28"/>
          <w:szCs w:val="28"/>
        </w:rPr>
        <w:t>体或者允许大中型企业向一家或者多家小微企业分包的采购项目，</w:t>
      </w:r>
      <w:r>
        <w:rPr>
          <w:rFonts w:ascii="仿宋" w:hAnsi="仿宋" w:eastAsia="仿宋" w:cs="仿宋"/>
          <w:color w:val="auto"/>
          <w:spacing w:val="6"/>
          <w:sz w:val="28"/>
          <w:szCs w:val="28"/>
        </w:rPr>
        <w:t>对于联</w:t>
      </w:r>
      <w:r>
        <w:rPr>
          <w:rFonts w:ascii="仿宋" w:hAnsi="仿宋" w:eastAsia="仿宋" w:cs="仿宋"/>
          <w:color w:val="auto"/>
          <w:spacing w:val="3"/>
          <w:sz w:val="28"/>
          <w:szCs w:val="28"/>
        </w:rPr>
        <w:t>合协议或者分包意向协议约定小微企业的合同份额占到合同总金额</w:t>
      </w:r>
      <w:r>
        <w:rPr>
          <w:rFonts w:ascii="仿宋" w:hAnsi="仿宋" w:eastAsia="仿宋" w:cs="仿宋"/>
          <w:color w:val="auto"/>
          <w:sz w:val="28"/>
          <w:szCs w:val="28"/>
        </w:rPr>
        <w:t xml:space="preserve"> </w:t>
      </w:r>
      <w:r>
        <w:rPr>
          <w:rFonts w:ascii="仿宋" w:hAnsi="仿宋" w:eastAsia="仿宋" w:cs="仿宋"/>
          <w:color w:val="auto"/>
          <w:spacing w:val="-2"/>
          <w:sz w:val="28"/>
          <w:szCs w:val="28"/>
        </w:rPr>
        <w:t>4</w:t>
      </w:r>
      <w:r>
        <w:rPr>
          <w:rFonts w:ascii="仿宋" w:hAnsi="仿宋" w:eastAsia="仿宋" w:cs="仿宋"/>
          <w:color w:val="auto"/>
          <w:spacing w:val="-1"/>
          <w:sz w:val="28"/>
          <w:szCs w:val="28"/>
        </w:rPr>
        <w:t>0%以上的，采购人、采购代理机构应当对联合体或者大中型企业的报价给予4%~6% (工程项目为2%~4%) 的扣除，用扣除后的价格参加评</w:t>
      </w:r>
      <w:r>
        <w:rPr>
          <w:rFonts w:ascii="仿宋" w:hAnsi="仿宋" w:eastAsia="仿宋" w:cs="仿宋"/>
          <w:color w:val="auto"/>
          <w:sz w:val="28"/>
          <w:szCs w:val="28"/>
        </w:rPr>
        <w:t>审。适用招</w:t>
      </w:r>
      <w:r>
        <w:rPr>
          <w:rFonts w:ascii="仿宋" w:hAnsi="仿宋" w:eastAsia="仿宋" w:cs="仿宋"/>
          <w:color w:val="auto"/>
          <w:spacing w:val="6"/>
          <w:sz w:val="28"/>
          <w:szCs w:val="28"/>
        </w:rPr>
        <w:t>标投标</w:t>
      </w:r>
      <w:r>
        <w:rPr>
          <w:rFonts w:ascii="仿宋" w:hAnsi="仿宋" w:eastAsia="仿宋" w:cs="仿宋"/>
          <w:color w:val="auto"/>
          <w:spacing w:val="3"/>
          <w:sz w:val="28"/>
          <w:szCs w:val="28"/>
        </w:rPr>
        <w:t>法的政府采购工程建设项目，采用综合评估法但未采用低价优先法</w:t>
      </w:r>
      <w:r>
        <w:rPr>
          <w:rFonts w:ascii="仿宋" w:hAnsi="仿宋" w:eastAsia="仿宋" w:cs="仿宋"/>
          <w:color w:val="auto"/>
          <w:sz w:val="28"/>
          <w:szCs w:val="28"/>
        </w:rPr>
        <w:t xml:space="preserve"> </w:t>
      </w:r>
      <w:r>
        <w:rPr>
          <w:rFonts w:ascii="仿宋" w:hAnsi="仿宋" w:eastAsia="仿宋" w:cs="仿宋"/>
          <w:color w:val="auto"/>
          <w:spacing w:val="6"/>
          <w:sz w:val="28"/>
          <w:szCs w:val="28"/>
        </w:rPr>
        <w:t>计算价</w:t>
      </w:r>
      <w:r>
        <w:rPr>
          <w:rFonts w:ascii="仿宋" w:hAnsi="仿宋" w:eastAsia="仿宋" w:cs="仿宋"/>
          <w:color w:val="auto"/>
          <w:spacing w:val="3"/>
          <w:sz w:val="28"/>
          <w:szCs w:val="28"/>
        </w:rPr>
        <w:t>格分的，评标时应当在采用原报价进行评分的基础上增加其价格得</w:t>
      </w:r>
      <w:r>
        <w:rPr>
          <w:rFonts w:ascii="仿宋" w:hAnsi="仿宋" w:eastAsia="仿宋" w:cs="仿宋"/>
          <w:color w:val="auto"/>
          <w:sz w:val="28"/>
          <w:szCs w:val="28"/>
        </w:rPr>
        <w:t xml:space="preserve"> </w:t>
      </w:r>
      <w:r>
        <w:rPr>
          <w:rFonts w:ascii="仿宋" w:hAnsi="仿宋" w:eastAsia="仿宋" w:cs="仿宋"/>
          <w:color w:val="auto"/>
          <w:spacing w:val="-7"/>
          <w:sz w:val="28"/>
          <w:szCs w:val="28"/>
        </w:rPr>
        <w:t>分</w:t>
      </w:r>
      <w:r>
        <w:rPr>
          <w:rFonts w:ascii="仿宋" w:hAnsi="仿宋" w:eastAsia="仿宋" w:cs="仿宋"/>
          <w:color w:val="auto"/>
          <w:spacing w:val="-5"/>
          <w:sz w:val="28"/>
          <w:szCs w:val="28"/>
        </w:rPr>
        <w:t>的 2%~4%作为其价格分。</w:t>
      </w:r>
    </w:p>
    <w:p>
      <w:pPr>
        <w:spacing w:line="37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rPr>
        <w:t>八、凡对本次采购提出询问，请按以下方式联系。</w:t>
      </w:r>
      <w:bookmarkEnd w:id="22"/>
      <w:bookmarkEnd w:id="23"/>
      <w:bookmarkEnd w:id="24"/>
      <w:bookmarkEnd w:id="25"/>
    </w:p>
    <w:p>
      <w:pPr>
        <w:spacing w:line="370" w:lineRule="exact"/>
        <w:rPr>
          <w:rFonts w:hint="eastAsia" w:ascii="仿宋" w:hAnsi="仿宋" w:eastAsia="仿宋" w:cs="仿宋"/>
          <w:b/>
          <w:bCs/>
          <w:color w:val="auto"/>
          <w:sz w:val="28"/>
          <w:szCs w:val="28"/>
        </w:rPr>
      </w:pPr>
      <w:bookmarkStart w:id="26" w:name="_Toc35393806"/>
      <w:bookmarkStart w:id="27" w:name="_Toc35393637"/>
      <w:bookmarkStart w:id="28" w:name="_Toc28359096"/>
      <w:bookmarkStart w:id="29" w:name="_Toc28359019"/>
      <w:r>
        <w:rPr>
          <w:rFonts w:hint="eastAsia" w:ascii="仿宋" w:hAnsi="仿宋" w:eastAsia="仿宋" w:cs="仿宋"/>
          <w:b/>
          <w:bCs/>
          <w:color w:val="auto"/>
          <w:sz w:val="28"/>
          <w:szCs w:val="28"/>
        </w:rPr>
        <w:t>1.采购人信息</w:t>
      </w:r>
      <w:bookmarkEnd w:id="26"/>
      <w:bookmarkEnd w:id="27"/>
      <w:bookmarkEnd w:id="28"/>
      <w:bookmarkEnd w:id="29"/>
    </w:p>
    <w:p>
      <w:pPr>
        <w:spacing w:line="370" w:lineRule="exact"/>
        <w:rPr>
          <w:rFonts w:hint="eastAsia" w:ascii="仿宋" w:hAnsi="仿宋" w:eastAsia="仿宋" w:cs="仿宋"/>
          <w:color w:val="auto"/>
          <w:sz w:val="28"/>
          <w:szCs w:val="28"/>
        </w:rPr>
      </w:pPr>
      <w:r>
        <w:rPr>
          <w:rFonts w:hint="eastAsia" w:ascii="仿宋" w:hAnsi="仿宋" w:eastAsia="仿宋" w:cs="仿宋"/>
          <w:b/>
          <w:bCs/>
          <w:color w:val="auto"/>
          <w:sz w:val="28"/>
          <w:szCs w:val="28"/>
        </w:rPr>
        <w:t>名   称</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精河县卫生健康委员会</w:t>
      </w:r>
    </w:p>
    <w:p>
      <w:pPr>
        <w:spacing w:line="370" w:lineRule="exact"/>
        <w:rPr>
          <w:rFonts w:hint="eastAsia" w:ascii="仿宋" w:hAnsi="仿宋" w:eastAsia="仿宋" w:cs="仿宋"/>
          <w:color w:val="auto"/>
          <w:sz w:val="28"/>
          <w:szCs w:val="28"/>
        </w:rPr>
      </w:pPr>
      <w:r>
        <w:rPr>
          <w:rFonts w:hint="eastAsia" w:ascii="仿宋" w:hAnsi="仿宋" w:eastAsia="仿宋" w:cs="仿宋"/>
          <w:b/>
          <w:bCs/>
          <w:color w:val="auto"/>
          <w:sz w:val="28"/>
          <w:szCs w:val="28"/>
        </w:rPr>
        <w:t>地   址</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精河县城镇规划路环保局综合楼四楼</w:t>
      </w:r>
      <w:r>
        <w:rPr>
          <w:rFonts w:hint="eastAsia" w:ascii="仿宋" w:hAnsi="仿宋" w:eastAsia="仿宋" w:cs="仿宋"/>
          <w:color w:val="auto"/>
          <w:sz w:val="28"/>
          <w:szCs w:val="28"/>
        </w:rPr>
        <w:t>　　　　  　</w:t>
      </w:r>
    </w:p>
    <w:p>
      <w:pPr>
        <w:spacing w:line="370" w:lineRule="exact"/>
        <w:rPr>
          <w:rFonts w:hint="eastAsia" w:ascii="仿宋" w:hAnsi="仿宋" w:eastAsia="仿宋" w:cs="仿宋"/>
          <w:color w:val="auto"/>
          <w:sz w:val="28"/>
          <w:szCs w:val="28"/>
        </w:rPr>
      </w:pPr>
      <w:r>
        <w:rPr>
          <w:rFonts w:hint="eastAsia" w:ascii="仿宋" w:hAnsi="仿宋" w:eastAsia="仿宋" w:cs="仿宋"/>
          <w:b/>
          <w:bCs/>
          <w:color w:val="auto"/>
          <w:sz w:val="28"/>
          <w:szCs w:val="28"/>
        </w:rPr>
        <w:t>联系人</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关晓彤</w:t>
      </w:r>
      <w:r>
        <w:rPr>
          <w:rFonts w:hint="eastAsia" w:ascii="仿宋" w:hAnsi="仿宋" w:eastAsia="仿宋" w:cs="仿宋"/>
          <w:color w:val="auto"/>
          <w:sz w:val="28"/>
          <w:szCs w:val="28"/>
        </w:rPr>
        <w:t xml:space="preserve">             </w:t>
      </w:r>
    </w:p>
    <w:p>
      <w:pPr>
        <w:spacing w:line="370" w:lineRule="exact"/>
        <w:rPr>
          <w:rFonts w:hint="eastAsia" w:ascii="仿宋" w:hAnsi="仿宋" w:eastAsia="仿宋" w:cs="仿宋"/>
          <w:color w:val="auto"/>
          <w:sz w:val="28"/>
          <w:szCs w:val="28"/>
          <w:lang w:eastAsia="zh-CN"/>
        </w:rPr>
      </w:pPr>
      <w:r>
        <w:rPr>
          <w:rFonts w:hint="eastAsia" w:ascii="仿宋" w:hAnsi="仿宋" w:eastAsia="仿宋" w:cs="仿宋"/>
          <w:b/>
          <w:bCs/>
          <w:color w:val="auto"/>
          <w:sz w:val="28"/>
          <w:szCs w:val="28"/>
        </w:rPr>
        <w:t>联系方式</w:t>
      </w:r>
      <w:r>
        <w:rPr>
          <w:rFonts w:hint="eastAsia" w:ascii="仿宋" w:hAnsi="仿宋" w:eastAsia="仿宋" w:cs="仿宋"/>
          <w:color w:val="auto"/>
          <w:sz w:val="28"/>
          <w:szCs w:val="28"/>
        </w:rPr>
        <w:t>：</w:t>
      </w:r>
      <w:bookmarkStart w:id="30" w:name="_Toc35393638"/>
      <w:bookmarkStart w:id="31" w:name="_Toc28359020"/>
      <w:bookmarkStart w:id="32" w:name="_Toc28359097"/>
      <w:bookmarkStart w:id="33" w:name="_Toc35393807"/>
      <w:r>
        <w:rPr>
          <w:rFonts w:hint="eastAsia" w:ascii="仿宋" w:hAnsi="仿宋" w:eastAsia="仿宋" w:cs="仿宋"/>
          <w:color w:val="auto"/>
          <w:sz w:val="28"/>
          <w:szCs w:val="28"/>
          <w:lang w:eastAsia="zh-CN"/>
        </w:rPr>
        <w:t>18699067191</w:t>
      </w:r>
    </w:p>
    <w:p>
      <w:pPr>
        <w:spacing w:line="37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rPr>
        <w:t>2.采购代理机构信息</w:t>
      </w:r>
      <w:bookmarkEnd w:id="30"/>
      <w:bookmarkEnd w:id="31"/>
      <w:bookmarkEnd w:id="32"/>
      <w:bookmarkEnd w:id="33"/>
    </w:p>
    <w:p>
      <w:pPr>
        <w:spacing w:line="370" w:lineRule="exact"/>
        <w:rPr>
          <w:rFonts w:hint="eastAsia" w:ascii="仿宋" w:hAnsi="仿宋" w:eastAsia="仿宋" w:cs="仿宋"/>
          <w:color w:val="auto"/>
          <w:sz w:val="28"/>
          <w:szCs w:val="28"/>
        </w:rPr>
      </w:pPr>
      <w:r>
        <w:rPr>
          <w:rFonts w:hint="eastAsia" w:ascii="仿宋" w:hAnsi="仿宋" w:eastAsia="仿宋" w:cs="仿宋"/>
          <w:b/>
          <w:bCs/>
          <w:color w:val="auto"/>
          <w:sz w:val="28"/>
          <w:szCs w:val="28"/>
        </w:rPr>
        <w:t>名    称</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新疆鸿恩项目管理有限公司</w:t>
      </w:r>
      <w:r>
        <w:rPr>
          <w:rFonts w:hint="eastAsia" w:ascii="仿宋" w:hAnsi="仿宋" w:eastAsia="仿宋" w:cs="仿宋"/>
          <w:color w:val="auto"/>
          <w:sz w:val="28"/>
          <w:szCs w:val="28"/>
        </w:rPr>
        <w:t>　</w:t>
      </w:r>
    </w:p>
    <w:p>
      <w:pPr>
        <w:spacing w:line="370" w:lineRule="exact"/>
        <w:rPr>
          <w:rFonts w:hint="eastAsia" w:ascii="仿宋" w:hAnsi="仿宋" w:eastAsia="仿宋" w:cs="仿宋"/>
          <w:color w:val="auto"/>
          <w:sz w:val="28"/>
          <w:szCs w:val="28"/>
        </w:rPr>
      </w:pPr>
      <w:r>
        <w:rPr>
          <w:rFonts w:hint="eastAsia" w:ascii="仿宋" w:hAnsi="仿宋" w:eastAsia="仿宋" w:cs="仿宋"/>
          <w:b/>
          <w:bCs/>
          <w:color w:val="auto"/>
          <w:sz w:val="28"/>
          <w:szCs w:val="28"/>
        </w:rPr>
        <w:t>地　　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博乐市益群西路北</w:t>
      </w:r>
      <w:r>
        <w:rPr>
          <w:rFonts w:hint="eastAsia" w:ascii="仿宋" w:hAnsi="仿宋" w:eastAsia="仿宋" w:cs="仿宋"/>
          <w:color w:val="auto"/>
          <w:sz w:val="28"/>
          <w:szCs w:val="28"/>
        </w:rPr>
        <w:t xml:space="preserve">           </w:t>
      </w:r>
    </w:p>
    <w:p>
      <w:pPr>
        <w:spacing w:line="37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rPr>
        <w:t>联系方式</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0909-8880205</w:t>
      </w:r>
      <w:r>
        <w:rPr>
          <w:rFonts w:hint="eastAsia" w:ascii="仿宋" w:hAnsi="仿宋" w:eastAsia="仿宋" w:cs="仿宋"/>
          <w:color w:val="auto"/>
          <w:sz w:val="28"/>
          <w:szCs w:val="28"/>
          <w:lang w:val="zh-CN"/>
        </w:rPr>
        <w:t>　</w:t>
      </w:r>
      <w:r>
        <w:rPr>
          <w:rFonts w:hint="eastAsia" w:ascii="仿宋" w:hAnsi="仿宋" w:eastAsia="仿宋" w:cs="仿宋"/>
          <w:b/>
          <w:bCs/>
          <w:color w:val="auto"/>
          <w:sz w:val="28"/>
          <w:szCs w:val="28"/>
          <w:lang w:val="zh-CN"/>
        </w:rPr>
        <w:t>　</w:t>
      </w:r>
      <w:r>
        <w:rPr>
          <w:rFonts w:hint="eastAsia" w:ascii="仿宋" w:hAnsi="仿宋" w:eastAsia="仿宋" w:cs="仿宋"/>
          <w:b/>
          <w:bCs/>
          <w:color w:val="auto"/>
          <w:sz w:val="28"/>
          <w:szCs w:val="28"/>
        </w:rPr>
        <w:t xml:space="preserve">                        　</w:t>
      </w:r>
    </w:p>
    <w:p>
      <w:pPr>
        <w:spacing w:line="370" w:lineRule="exact"/>
        <w:rPr>
          <w:rFonts w:hint="eastAsia" w:ascii="仿宋" w:hAnsi="仿宋" w:eastAsia="仿宋" w:cs="仿宋"/>
          <w:b/>
          <w:bCs/>
          <w:color w:val="auto"/>
          <w:sz w:val="28"/>
          <w:szCs w:val="28"/>
        </w:rPr>
      </w:pPr>
      <w:bookmarkStart w:id="34" w:name="_Toc28359021"/>
      <w:bookmarkStart w:id="35" w:name="_Toc35393808"/>
      <w:bookmarkStart w:id="36" w:name="_Toc35393639"/>
      <w:bookmarkStart w:id="37" w:name="_Toc28359098"/>
    </w:p>
    <w:p>
      <w:pPr>
        <w:spacing w:line="37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rPr>
        <w:t>3.项目联系方式</w:t>
      </w:r>
      <w:bookmarkEnd w:id="34"/>
      <w:bookmarkEnd w:id="35"/>
      <w:bookmarkEnd w:id="36"/>
      <w:bookmarkEnd w:id="37"/>
    </w:p>
    <w:p>
      <w:pPr>
        <w:spacing w:line="370" w:lineRule="exact"/>
        <w:rPr>
          <w:rFonts w:hint="eastAsia" w:ascii="仿宋" w:hAnsi="仿宋" w:eastAsia="仿宋" w:cs="仿宋"/>
          <w:color w:val="auto"/>
          <w:sz w:val="28"/>
          <w:szCs w:val="28"/>
        </w:rPr>
      </w:pPr>
      <w:r>
        <w:rPr>
          <w:rFonts w:hint="eastAsia" w:ascii="仿宋" w:hAnsi="仿宋" w:eastAsia="仿宋" w:cs="仿宋"/>
          <w:b/>
          <w:bCs/>
          <w:color w:val="auto"/>
          <w:sz w:val="28"/>
          <w:szCs w:val="28"/>
        </w:rPr>
        <w:t>项目联系人</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张锦</w:t>
      </w:r>
      <w:r>
        <w:rPr>
          <w:rFonts w:hint="eastAsia" w:ascii="仿宋" w:hAnsi="仿宋" w:eastAsia="仿宋" w:cs="仿宋"/>
          <w:color w:val="auto"/>
          <w:sz w:val="28"/>
          <w:szCs w:val="28"/>
        </w:rPr>
        <w:t xml:space="preserve">            </w:t>
      </w:r>
    </w:p>
    <w:p>
      <w:pPr>
        <w:spacing w:line="370" w:lineRule="exact"/>
        <w:rPr>
          <w:rFonts w:hint="eastAsia" w:ascii="仿宋" w:hAnsi="仿宋" w:eastAsia="仿宋" w:cs="仿宋"/>
          <w:color w:val="auto"/>
          <w:sz w:val="28"/>
          <w:szCs w:val="28"/>
        </w:rPr>
      </w:pPr>
      <w:r>
        <w:rPr>
          <w:rFonts w:hint="eastAsia" w:ascii="仿宋" w:hAnsi="仿宋" w:eastAsia="仿宋" w:cs="仿宋"/>
          <w:b/>
          <w:bCs/>
          <w:color w:val="auto"/>
          <w:sz w:val="28"/>
          <w:szCs w:val="28"/>
        </w:rPr>
        <w:t>电　　  话</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0909-8880205</w:t>
      </w:r>
      <w:r>
        <w:rPr>
          <w:rFonts w:hint="eastAsia" w:ascii="仿宋" w:hAnsi="仿宋" w:eastAsia="仿宋" w:cs="仿宋"/>
          <w:color w:val="auto"/>
          <w:sz w:val="28"/>
          <w:szCs w:val="28"/>
          <w:lang w:val="zh-CN"/>
        </w:rPr>
        <w:t>　　</w:t>
      </w:r>
      <w:r>
        <w:rPr>
          <w:rFonts w:hint="eastAsia" w:ascii="仿宋" w:hAnsi="仿宋" w:eastAsia="仿宋" w:cs="仿宋"/>
          <w:color w:val="auto"/>
          <w:sz w:val="28"/>
          <w:szCs w:val="28"/>
        </w:rPr>
        <w:t xml:space="preserve">　            </w:t>
      </w:r>
    </w:p>
    <w:p>
      <w:pPr>
        <w:spacing w:line="370" w:lineRule="exact"/>
        <w:ind w:firstLine="840" w:firstLineChars="300"/>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eastAsia="zh-CN"/>
        </w:rPr>
        <w:t>2023</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07</w:t>
      </w:r>
      <w:r>
        <w:rPr>
          <w:rFonts w:hint="eastAsia" w:ascii="仿宋" w:hAnsi="仿宋" w:eastAsia="仿宋" w:cs="仿宋"/>
          <w:color w:val="auto"/>
          <w:sz w:val="28"/>
          <w:szCs w:val="28"/>
        </w:rPr>
        <w:t>日</w:t>
      </w:r>
    </w:p>
    <w:p>
      <w:pPr>
        <w:pStyle w:val="26"/>
        <w:rPr>
          <w:rFonts w:hint="eastAsia" w:ascii="黑体" w:eastAsia="黑体"/>
          <w:b/>
          <w:bCs/>
          <w:color w:val="auto"/>
          <w:sz w:val="30"/>
        </w:rPr>
      </w:pPr>
    </w:p>
    <w:p>
      <w:pPr>
        <w:pStyle w:val="26"/>
        <w:rPr>
          <w:rFonts w:hint="eastAsia" w:ascii="黑体" w:eastAsia="黑体"/>
          <w:b/>
          <w:bCs/>
          <w:color w:val="auto"/>
          <w:sz w:val="30"/>
        </w:rPr>
      </w:pPr>
    </w:p>
    <w:p>
      <w:pPr>
        <w:pStyle w:val="26"/>
        <w:rPr>
          <w:rFonts w:hint="eastAsia" w:ascii="黑体" w:eastAsia="黑体"/>
          <w:b/>
          <w:bCs/>
          <w:color w:val="auto"/>
          <w:sz w:val="30"/>
        </w:rPr>
      </w:pPr>
    </w:p>
    <w:p>
      <w:pPr>
        <w:spacing w:line="320" w:lineRule="exact"/>
        <w:ind w:right="-159"/>
        <w:jc w:val="center"/>
        <w:rPr>
          <w:rFonts w:hint="eastAsia" w:ascii="黑体" w:eastAsia="黑体"/>
          <w:b/>
          <w:bCs/>
          <w:color w:val="auto"/>
          <w:sz w:val="30"/>
        </w:rPr>
      </w:pPr>
    </w:p>
    <w:p>
      <w:pPr>
        <w:spacing w:line="320" w:lineRule="exact"/>
        <w:ind w:right="-159"/>
        <w:jc w:val="center"/>
        <w:rPr>
          <w:rFonts w:hint="eastAsia" w:ascii="黑体" w:eastAsia="黑体"/>
          <w:b/>
          <w:bCs/>
          <w:color w:val="auto"/>
          <w:sz w:val="30"/>
        </w:rPr>
      </w:pPr>
      <w:r>
        <w:rPr>
          <w:rFonts w:hint="eastAsia" w:ascii="黑体" w:eastAsia="黑体"/>
          <w:b/>
          <w:bCs/>
          <w:color w:val="auto"/>
          <w:sz w:val="30"/>
        </w:rPr>
        <w:t>第一部分 投标人须知</w:t>
      </w:r>
    </w:p>
    <w:p>
      <w:pPr>
        <w:pStyle w:val="31"/>
        <w:jc w:val="center"/>
        <w:rPr>
          <w:b/>
          <w:bCs/>
          <w:color w:val="auto"/>
          <w:sz w:val="32"/>
          <w:szCs w:val="32"/>
        </w:rPr>
      </w:pPr>
      <w:r>
        <w:rPr>
          <w:rFonts w:hint="eastAsia"/>
          <w:b/>
          <w:bCs/>
          <w:color w:val="auto"/>
          <w:sz w:val="32"/>
          <w:szCs w:val="32"/>
        </w:rPr>
        <w:t>供应商须知前附表</w:t>
      </w:r>
    </w:p>
    <w:p>
      <w:pPr>
        <w:pStyle w:val="36"/>
        <w:rPr>
          <w:rFonts w:ascii="Calibri" w:hAnsi="Calibri"/>
          <w:color w:val="auto"/>
          <w:highlight w:val="red"/>
        </w:rPr>
      </w:pPr>
    </w:p>
    <w:tbl>
      <w:tblPr>
        <w:tblStyle w:val="30"/>
        <w:tblW w:w="100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3"/>
        <w:gridCol w:w="1675"/>
        <w:gridCol w:w="75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733" w:type="dxa"/>
            <w:vAlign w:val="center"/>
          </w:tcPr>
          <w:p>
            <w:pPr>
              <w:pStyle w:val="44"/>
              <w:keepNext w:val="0"/>
              <w:keepLines w:val="0"/>
              <w:pageBreakBefore w:val="0"/>
              <w:widowControl/>
              <w:kinsoku/>
              <w:wordWrap/>
              <w:overflowPunct/>
              <w:topLinePunct w:val="0"/>
              <w:bidi w:val="0"/>
              <w:snapToGrid/>
              <w:spacing w:before="134" w:line="400" w:lineRule="exact"/>
              <w:ind w:left="159"/>
              <w:textAlignment w:val="auto"/>
              <w:rPr>
                <w:color w:val="auto"/>
                <w:sz w:val="28"/>
                <w:szCs w:val="28"/>
              </w:rPr>
            </w:pPr>
            <w:r>
              <w:rPr>
                <w:color w:val="auto"/>
                <w:spacing w:val="6"/>
                <w:sz w:val="28"/>
                <w:szCs w:val="28"/>
                <w14:textOutline w14:w="3795" w14:cap="sq" w14:cmpd="sng">
                  <w14:solidFill>
                    <w14:srgbClr w14:val="000000"/>
                  </w14:solidFill>
                  <w14:prstDash w14:val="solid"/>
                  <w14:bevel/>
                </w14:textOutline>
              </w:rPr>
              <w:t>序号</w:t>
            </w:r>
          </w:p>
        </w:tc>
        <w:tc>
          <w:tcPr>
            <w:tcW w:w="1675" w:type="dxa"/>
            <w:vAlign w:val="center"/>
          </w:tcPr>
          <w:p>
            <w:pPr>
              <w:pStyle w:val="44"/>
              <w:keepNext w:val="0"/>
              <w:keepLines w:val="0"/>
              <w:pageBreakBefore w:val="0"/>
              <w:widowControl/>
              <w:kinsoku/>
              <w:wordWrap/>
              <w:overflowPunct/>
              <w:topLinePunct w:val="0"/>
              <w:bidi w:val="0"/>
              <w:snapToGrid/>
              <w:spacing w:before="134" w:line="400" w:lineRule="exact"/>
              <w:ind w:left="579"/>
              <w:textAlignment w:val="auto"/>
              <w:rPr>
                <w:color w:val="auto"/>
                <w:sz w:val="28"/>
                <w:szCs w:val="28"/>
              </w:rPr>
            </w:pPr>
            <w:r>
              <w:rPr>
                <w:color w:val="auto"/>
                <w:sz w:val="28"/>
                <w:szCs w:val="28"/>
                <w14:textOutline w14:w="3795" w14:cap="sq" w14:cmpd="sng">
                  <w14:solidFill>
                    <w14:srgbClr w14:val="000000"/>
                  </w14:solidFill>
                  <w14:prstDash w14:val="solid"/>
                  <w14:bevel/>
                </w14:textOutline>
              </w:rPr>
              <w:t>名</w:t>
            </w:r>
            <w:r>
              <w:rPr>
                <w:color w:val="auto"/>
                <w:spacing w:val="15"/>
                <w:sz w:val="28"/>
                <w:szCs w:val="28"/>
              </w:rPr>
              <w:t xml:space="preserve"> </w:t>
            </w:r>
            <w:r>
              <w:rPr>
                <w:color w:val="auto"/>
                <w:sz w:val="28"/>
                <w:szCs w:val="28"/>
                <w14:textOutline w14:w="3795" w14:cap="sq" w14:cmpd="sng">
                  <w14:solidFill>
                    <w14:srgbClr w14:val="000000"/>
                  </w14:solidFill>
                  <w14:prstDash w14:val="solid"/>
                  <w14:bevel/>
                </w14:textOutline>
              </w:rPr>
              <w:t>称</w:t>
            </w:r>
          </w:p>
        </w:tc>
        <w:tc>
          <w:tcPr>
            <w:tcW w:w="7594" w:type="dxa"/>
            <w:vAlign w:val="center"/>
          </w:tcPr>
          <w:p>
            <w:pPr>
              <w:pStyle w:val="44"/>
              <w:keepNext w:val="0"/>
              <w:keepLines w:val="0"/>
              <w:pageBreakBefore w:val="0"/>
              <w:widowControl/>
              <w:kinsoku/>
              <w:wordWrap/>
              <w:overflowPunct/>
              <w:topLinePunct w:val="0"/>
              <w:bidi w:val="0"/>
              <w:snapToGrid/>
              <w:spacing w:before="134" w:line="400" w:lineRule="exact"/>
              <w:ind w:left="3456"/>
              <w:textAlignment w:val="auto"/>
              <w:rPr>
                <w:color w:val="auto"/>
                <w:sz w:val="28"/>
                <w:szCs w:val="28"/>
              </w:rPr>
            </w:pPr>
            <w:r>
              <w:rPr>
                <w:color w:val="auto"/>
                <w:spacing w:val="-13"/>
                <w:sz w:val="28"/>
                <w:szCs w:val="28"/>
                <w14:textOutline w14:w="3795" w14:cap="sq" w14:cmpd="sng">
                  <w14:solidFill>
                    <w14:srgbClr w14:val="000000"/>
                  </w14:solidFill>
                  <w14:prstDash w14:val="solid"/>
                  <w14:bevel/>
                </w14:textOutline>
              </w:rPr>
              <w:t>内</w:t>
            </w:r>
            <w:r>
              <w:rPr>
                <w:color w:val="auto"/>
                <w:spacing w:val="10"/>
                <w:sz w:val="28"/>
                <w:szCs w:val="28"/>
              </w:rPr>
              <w:t xml:space="preserve">   </w:t>
            </w:r>
            <w:r>
              <w:rPr>
                <w:color w:val="auto"/>
                <w:spacing w:val="-13"/>
                <w:sz w:val="28"/>
                <w:szCs w:val="28"/>
                <w14:textOutline w14:w="3795" w14:cap="sq" w14:cmpd="sng">
                  <w14:solidFill>
                    <w14:srgbClr w14:val="000000"/>
                  </w14:solidFill>
                  <w14:prstDash w14:val="solid"/>
                  <w14:bevel/>
                </w14:textOutline>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733" w:type="dxa"/>
            <w:vAlign w:val="center"/>
          </w:tcPr>
          <w:p>
            <w:pPr>
              <w:pStyle w:val="44"/>
              <w:keepNext w:val="0"/>
              <w:keepLines w:val="0"/>
              <w:pageBreakBefore w:val="0"/>
              <w:widowControl/>
              <w:kinsoku/>
              <w:wordWrap/>
              <w:overflowPunct/>
              <w:topLinePunct w:val="0"/>
              <w:bidi w:val="0"/>
              <w:snapToGrid/>
              <w:spacing w:before="65" w:line="400" w:lineRule="exact"/>
              <w:jc w:val="center"/>
              <w:textAlignment w:val="auto"/>
              <w:rPr>
                <w:color w:val="auto"/>
                <w:sz w:val="28"/>
                <w:szCs w:val="28"/>
              </w:rPr>
            </w:pPr>
            <w:r>
              <w:rPr>
                <w:color w:val="auto"/>
                <w:sz w:val="28"/>
                <w:szCs w:val="28"/>
              </w:rPr>
              <w:t>1</w:t>
            </w:r>
          </w:p>
        </w:tc>
        <w:tc>
          <w:tcPr>
            <w:tcW w:w="1675" w:type="dxa"/>
            <w:vAlign w:val="center"/>
          </w:tcPr>
          <w:p>
            <w:pPr>
              <w:pStyle w:val="44"/>
              <w:keepNext w:val="0"/>
              <w:keepLines w:val="0"/>
              <w:pageBreakBefore w:val="0"/>
              <w:widowControl/>
              <w:kinsoku/>
              <w:wordWrap/>
              <w:overflowPunct/>
              <w:topLinePunct w:val="0"/>
              <w:bidi w:val="0"/>
              <w:snapToGrid/>
              <w:spacing w:before="65" w:line="400" w:lineRule="exact"/>
              <w:jc w:val="center"/>
              <w:textAlignment w:val="auto"/>
              <w:rPr>
                <w:color w:val="auto"/>
                <w:sz w:val="28"/>
                <w:szCs w:val="28"/>
              </w:rPr>
            </w:pPr>
            <w:r>
              <w:rPr>
                <w:color w:val="auto"/>
                <w:spacing w:val="7"/>
                <w:sz w:val="28"/>
                <w:szCs w:val="28"/>
              </w:rPr>
              <w:t>采购人</w:t>
            </w:r>
          </w:p>
        </w:tc>
        <w:tc>
          <w:tcPr>
            <w:tcW w:w="7594" w:type="dxa"/>
            <w:vAlign w:val="center"/>
          </w:tcPr>
          <w:p>
            <w:pPr>
              <w:pStyle w:val="44"/>
              <w:keepNext w:val="0"/>
              <w:keepLines w:val="0"/>
              <w:pageBreakBefore w:val="0"/>
              <w:widowControl/>
              <w:kinsoku/>
              <w:wordWrap/>
              <w:overflowPunct/>
              <w:topLinePunct w:val="0"/>
              <w:bidi w:val="0"/>
              <w:snapToGrid/>
              <w:spacing w:before="113" w:line="400" w:lineRule="exact"/>
              <w:ind w:left="116"/>
              <w:jc w:val="left"/>
              <w:textAlignment w:val="auto"/>
              <w:rPr>
                <w:rFonts w:hint="eastAsia" w:ascii="宋体" w:hAnsi="宋体" w:eastAsia="宋体" w:cs="宋体"/>
                <w:color w:val="auto"/>
                <w:spacing w:val="9"/>
                <w:sz w:val="28"/>
                <w:szCs w:val="28"/>
                <w:lang w:eastAsia="zh-CN"/>
              </w:rPr>
            </w:pPr>
            <w:r>
              <w:rPr>
                <w:rFonts w:hint="eastAsia" w:ascii="宋体" w:hAnsi="宋体" w:eastAsia="宋体" w:cs="宋体"/>
                <w:color w:val="auto"/>
                <w:spacing w:val="9"/>
                <w:sz w:val="28"/>
                <w:szCs w:val="28"/>
                <w:lang w:eastAsia="zh-CN"/>
              </w:rPr>
              <w:t>名称：</w:t>
            </w:r>
            <w:r>
              <w:rPr>
                <w:rFonts w:hint="eastAsia" w:cs="宋体"/>
                <w:color w:val="auto"/>
                <w:spacing w:val="9"/>
                <w:sz w:val="28"/>
                <w:szCs w:val="28"/>
                <w:lang w:eastAsia="zh-CN"/>
              </w:rPr>
              <w:t>精河县卫生健康委员会</w:t>
            </w:r>
          </w:p>
          <w:p>
            <w:pPr>
              <w:pStyle w:val="44"/>
              <w:keepNext w:val="0"/>
              <w:keepLines w:val="0"/>
              <w:pageBreakBefore w:val="0"/>
              <w:widowControl/>
              <w:kinsoku/>
              <w:wordWrap/>
              <w:overflowPunct/>
              <w:topLinePunct w:val="0"/>
              <w:bidi w:val="0"/>
              <w:snapToGrid/>
              <w:spacing w:before="113" w:line="400" w:lineRule="exact"/>
              <w:ind w:left="116"/>
              <w:jc w:val="left"/>
              <w:textAlignment w:val="auto"/>
              <w:rPr>
                <w:rFonts w:hint="eastAsia" w:ascii="宋体" w:hAnsi="宋体" w:eastAsia="宋体" w:cs="宋体"/>
                <w:color w:val="auto"/>
                <w:spacing w:val="9"/>
                <w:sz w:val="28"/>
                <w:szCs w:val="28"/>
                <w:lang w:eastAsia="zh-CN"/>
              </w:rPr>
            </w:pPr>
            <w:r>
              <w:rPr>
                <w:rFonts w:hint="eastAsia" w:ascii="宋体" w:hAnsi="宋体" w:eastAsia="宋体" w:cs="宋体"/>
                <w:color w:val="auto"/>
                <w:spacing w:val="9"/>
                <w:sz w:val="28"/>
                <w:szCs w:val="28"/>
                <w:lang w:eastAsia="zh-CN"/>
              </w:rPr>
              <w:t>联系人：</w:t>
            </w:r>
            <w:r>
              <w:rPr>
                <w:rFonts w:hint="eastAsia" w:cs="宋体"/>
                <w:color w:val="auto"/>
                <w:spacing w:val="9"/>
                <w:sz w:val="28"/>
                <w:szCs w:val="28"/>
                <w:lang w:eastAsia="zh-CN"/>
              </w:rPr>
              <w:t>关晓彤</w:t>
            </w:r>
            <w:r>
              <w:rPr>
                <w:rFonts w:hint="eastAsia" w:ascii="宋体" w:hAnsi="宋体" w:eastAsia="宋体" w:cs="宋体"/>
                <w:color w:val="auto"/>
                <w:spacing w:val="9"/>
                <w:sz w:val="28"/>
                <w:szCs w:val="28"/>
                <w:lang w:eastAsia="zh-CN"/>
              </w:rPr>
              <w:t xml:space="preserve">   电话：</w:t>
            </w:r>
            <w:r>
              <w:rPr>
                <w:rFonts w:hint="eastAsia" w:cs="宋体"/>
                <w:color w:val="auto"/>
                <w:spacing w:val="9"/>
                <w:sz w:val="28"/>
                <w:szCs w:val="28"/>
                <w:lang w:eastAsia="zh-CN"/>
              </w:rPr>
              <w:t>18699067191</w:t>
            </w:r>
          </w:p>
          <w:p>
            <w:pPr>
              <w:pStyle w:val="44"/>
              <w:keepNext w:val="0"/>
              <w:keepLines w:val="0"/>
              <w:pageBreakBefore w:val="0"/>
              <w:widowControl/>
              <w:kinsoku/>
              <w:wordWrap/>
              <w:overflowPunct/>
              <w:topLinePunct w:val="0"/>
              <w:bidi w:val="0"/>
              <w:snapToGrid/>
              <w:spacing w:before="113" w:line="400" w:lineRule="exact"/>
              <w:ind w:left="116"/>
              <w:jc w:val="left"/>
              <w:textAlignment w:val="auto"/>
              <w:rPr>
                <w:rFonts w:hint="eastAsia" w:ascii="宋体" w:hAnsi="宋体" w:eastAsia="宋体" w:cs="宋体"/>
                <w:color w:val="auto"/>
                <w:spacing w:val="9"/>
                <w:sz w:val="28"/>
                <w:szCs w:val="28"/>
                <w:lang w:eastAsia="zh-CN"/>
              </w:rPr>
            </w:pPr>
            <w:r>
              <w:rPr>
                <w:rFonts w:hint="eastAsia" w:ascii="宋体" w:hAnsi="宋体" w:eastAsia="宋体" w:cs="宋体"/>
                <w:color w:val="auto"/>
                <w:spacing w:val="9"/>
                <w:sz w:val="28"/>
                <w:szCs w:val="28"/>
                <w:lang w:eastAsia="zh-CN"/>
              </w:rPr>
              <w:t>地址：</w:t>
            </w:r>
            <w:r>
              <w:rPr>
                <w:rFonts w:hint="eastAsia" w:cs="宋体"/>
                <w:color w:val="auto"/>
                <w:spacing w:val="9"/>
                <w:sz w:val="28"/>
                <w:szCs w:val="28"/>
                <w:lang w:eastAsia="zh-CN"/>
              </w:rPr>
              <w:t>精河县城镇规划路环保局综合楼四楼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733" w:type="dxa"/>
            <w:vAlign w:val="center"/>
          </w:tcPr>
          <w:p>
            <w:pPr>
              <w:pStyle w:val="44"/>
              <w:keepNext w:val="0"/>
              <w:keepLines w:val="0"/>
              <w:pageBreakBefore w:val="0"/>
              <w:widowControl/>
              <w:kinsoku/>
              <w:wordWrap/>
              <w:overflowPunct/>
              <w:topLinePunct w:val="0"/>
              <w:bidi w:val="0"/>
              <w:snapToGrid/>
              <w:spacing w:before="65" w:line="400" w:lineRule="exact"/>
              <w:jc w:val="center"/>
              <w:textAlignment w:val="auto"/>
              <w:rPr>
                <w:color w:val="auto"/>
                <w:sz w:val="28"/>
                <w:szCs w:val="28"/>
              </w:rPr>
            </w:pPr>
            <w:r>
              <w:rPr>
                <w:color w:val="auto"/>
                <w:sz w:val="28"/>
                <w:szCs w:val="28"/>
              </w:rPr>
              <w:t>2</w:t>
            </w:r>
          </w:p>
        </w:tc>
        <w:tc>
          <w:tcPr>
            <w:tcW w:w="1675" w:type="dxa"/>
            <w:vAlign w:val="center"/>
          </w:tcPr>
          <w:p>
            <w:pPr>
              <w:pStyle w:val="44"/>
              <w:keepNext w:val="0"/>
              <w:keepLines w:val="0"/>
              <w:pageBreakBefore w:val="0"/>
              <w:widowControl/>
              <w:kinsoku/>
              <w:wordWrap/>
              <w:overflowPunct/>
              <w:topLinePunct w:val="0"/>
              <w:bidi w:val="0"/>
              <w:snapToGrid/>
              <w:spacing w:before="65" w:line="400" w:lineRule="exact"/>
              <w:jc w:val="center"/>
              <w:textAlignment w:val="auto"/>
              <w:rPr>
                <w:color w:val="auto"/>
                <w:sz w:val="28"/>
                <w:szCs w:val="28"/>
              </w:rPr>
            </w:pPr>
            <w:r>
              <w:rPr>
                <w:color w:val="auto"/>
                <w:spacing w:val="8"/>
                <w:sz w:val="28"/>
                <w:szCs w:val="28"/>
              </w:rPr>
              <w:t>采购代理机构</w:t>
            </w:r>
          </w:p>
        </w:tc>
        <w:tc>
          <w:tcPr>
            <w:tcW w:w="7594" w:type="dxa"/>
            <w:vAlign w:val="center"/>
          </w:tcPr>
          <w:p>
            <w:pPr>
              <w:pStyle w:val="44"/>
              <w:keepNext w:val="0"/>
              <w:keepLines w:val="0"/>
              <w:pageBreakBefore w:val="0"/>
              <w:widowControl/>
              <w:kinsoku/>
              <w:wordWrap/>
              <w:overflowPunct/>
              <w:topLinePunct w:val="0"/>
              <w:bidi w:val="0"/>
              <w:snapToGrid/>
              <w:spacing w:before="113" w:line="400" w:lineRule="exact"/>
              <w:ind w:left="116"/>
              <w:jc w:val="left"/>
              <w:textAlignment w:val="auto"/>
              <w:rPr>
                <w:rFonts w:hint="eastAsia" w:ascii="宋体" w:hAnsi="宋体" w:eastAsia="宋体" w:cs="宋体"/>
                <w:color w:val="auto"/>
                <w:spacing w:val="9"/>
                <w:sz w:val="28"/>
                <w:szCs w:val="28"/>
                <w:lang w:eastAsia="zh-CN"/>
              </w:rPr>
            </w:pPr>
            <w:r>
              <w:rPr>
                <w:rFonts w:hint="eastAsia" w:ascii="宋体" w:hAnsi="宋体" w:eastAsia="宋体" w:cs="宋体"/>
                <w:color w:val="auto"/>
                <w:spacing w:val="9"/>
                <w:sz w:val="28"/>
                <w:szCs w:val="28"/>
                <w:lang w:eastAsia="zh-CN"/>
              </w:rPr>
              <w:t>名称：</w:t>
            </w:r>
            <w:r>
              <w:rPr>
                <w:rFonts w:hint="eastAsia" w:cs="宋体"/>
                <w:color w:val="auto"/>
                <w:spacing w:val="9"/>
                <w:sz w:val="28"/>
                <w:szCs w:val="28"/>
                <w:lang w:eastAsia="zh-CN"/>
              </w:rPr>
              <w:t>新疆鸿恩项目管理有限公司</w:t>
            </w:r>
          </w:p>
          <w:p>
            <w:pPr>
              <w:pStyle w:val="44"/>
              <w:keepNext w:val="0"/>
              <w:keepLines w:val="0"/>
              <w:pageBreakBefore w:val="0"/>
              <w:widowControl/>
              <w:kinsoku/>
              <w:wordWrap/>
              <w:overflowPunct/>
              <w:topLinePunct w:val="0"/>
              <w:bidi w:val="0"/>
              <w:snapToGrid/>
              <w:spacing w:before="113" w:line="400" w:lineRule="exact"/>
              <w:ind w:left="116"/>
              <w:jc w:val="left"/>
              <w:textAlignment w:val="auto"/>
              <w:rPr>
                <w:rFonts w:hint="eastAsia" w:ascii="宋体" w:hAnsi="宋体" w:eastAsia="宋体" w:cs="宋体"/>
                <w:color w:val="auto"/>
                <w:spacing w:val="9"/>
                <w:sz w:val="28"/>
                <w:szCs w:val="28"/>
                <w:lang w:eastAsia="zh-CN"/>
              </w:rPr>
            </w:pPr>
            <w:r>
              <w:rPr>
                <w:rFonts w:hint="eastAsia" w:ascii="宋体" w:hAnsi="宋体" w:eastAsia="宋体" w:cs="宋体"/>
                <w:color w:val="auto"/>
                <w:spacing w:val="9"/>
                <w:sz w:val="28"/>
                <w:szCs w:val="28"/>
                <w:lang w:eastAsia="zh-CN"/>
              </w:rPr>
              <w:t>联系人：</w:t>
            </w:r>
            <w:r>
              <w:rPr>
                <w:rFonts w:hint="eastAsia" w:cs="宋体"/>
                <w:color w:val="auto"/>
                <w:spacing w:val="9"/>
                <w:sz w:val="28"/>
                <w:szCs w:val="28"/>
                <w:lang w:eastAsia="zh-CN"/>
              </w:rPr>
              <w:t>张锦</w:t>
            </w:r>
          </w:p>
          <w:p>
            <w:pPr>
              <w:pStyle w:val="44"/>
              <w:keepNext w:val="0"/>
              <w:keepLines w:val="0"/>
              <w:pageBreakBefore w:val="0"/>
              <w:widowControl/>
              <w:kinsoku/>
              <w:wordWrap/>
              <w:overflowPunct/>
              <w:topLinePunct w:val="0"/>
              <w:bidi w:val="0"/>
              <w:snapToGrid/>
              <w:spacing w:before="113" w:line="400" w:lineRule="exact"/>
              <w:ind w:left="116"/>
              <w:jc w:val="left"/>
              <w:textAlignment w:val="auto"/>
              <w:rPr>
                <w:rFonts w:hint="eastAsia" w:ascii="宋体" w:hAnsi="宋体" w:eastAsia="宋体" w:cs="宋体"/>
                <w:color w:val="auto"/>
                <w:spacing w:val="9"/>
                <w:sz w:val="28"/>
                <w:szCs w:val="28"/>
                <w:lang w:eastAsia="zh-CN"/>
              </w:rPr>
            </w:pPr>
            <w:r>
              <w:rPr>
                <w:rFonts w:hint="eastAsia" w:ascii="宋体" w:hAnsi="宋体" w:eastAsia="宋体" w:cs="宋体"/>
                <w:color w:val="auto"/>
                <w:spacing w:val="9"/>
                <w:sz w:val="28"/>
                <w:szCs w:val="28"/>
                <w:lang w:eastAsia="zh-CN"/>
              </w:rPr>
              <w:t>电话：</w:t>
            </w:r>
            <w:r>
              <w:rPr>
                <w:rFonts w:hint="eastAsia" w:cs="宋体"/>
                <w:color w:val="auto"/>
                <w:spacing w:val="9"/>
                <w:sz w:val="28"/>
                <w:szCs w:val="28"/>
                <w:lang w:eastAsia="zh-CN"/>
              </w:rPr>
              <w:t>0909-8880205</w:t>
            </w:r>
          </w:p>
          <w:p>
            <w:pPr>
              <w:pStyle w:val="44"/>
              <w:keepNext w:val="0"/>
              <w:keepLines w:val="0"/>
              <w:pageBreakBefore w:val="0"/>
              <w:widowControl/>
              <w:kinsoku/>
              <w:wordWrap/>
              <w:overflowPunct/>
              <w:topLinePunct w:val="0"/>
              <w:bidi w:val="0"/>
              <w:snapToGrid/>
              <w:spacing w:before="113" w:line="400" w:lineRule="exact"/>
              <w:ind w:left="116"/>
              <w:jc w:val="left"/>
              <w:textAlignment w:val="auto"/>
              <w:rPr>
                <w:rFonts w:hint="eastAsia" w:ascii="宋体" w:hAnsi="宋体" w:eastAsia="宋体" w:cs="宋体"/>
                <w:color w:val="auto"/>
                <w:spacing w:val="9"/>
                <w:sz w:val="28"/>
                <w:szCs w:val="28"/>
                <w:lang w:eastAsia="zh-CN"/>
              </w:rPr>
            </w:pPr>
            <w:r>
              <w:rPr>
                <w:rFonts w:hint="eastAsia" w:ascii="宋体" w:hAnsi="宋体" w:eastAsia="宋体" w:cs="宋体"/>
                <w:color w:val="auto"/>
                <w:spacing w:val="9"/>
                <w:sz w:val="28"/>
                <w:szCs w:val="28"/>
                <w:lang w:eastAsia="zh-CN"/>
              </w:rPr>
              <w:t>地址：</w:t>
            </w:r>
            <w:r>
              <w:rPr>
                <w:rFonts w:hint="eastAsia" w:cs="宋体"/>
                <w:color w:val="auto"/>
                <w:spacing w:val="9"/>
                <w:sz w:val="28"/>
                <w:szCs w:val="28"/>
                <w:lang w:eastAsia="zh-CN"/>
              </w:rPr>
              <w:t>博乐市益群西路北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733" w:type="dxa"/>
            <w:vAlign w:val="center"/>
          </w:tcPr>
          <w:p>
            <w:pPr>
              <w:pStyle w:val="44"/>
              <w:keepNext w:val="0"/>
              <w:keepLines w:val="0"/>
              <w:pageBreakBefore w:val="0"/>
              <w:widowControl/>
              <w:kinsoku/>
              <w:wordWrap/>
              <w:overflowPunct/>
              <w:topLinePunct w:val="0"/>
              <w:bidi w:val="0"/>
              <w:snapToGrid/>
              <w:spacing w:before="66" w:line="400" w:lineRule="exact"/>
              <w:jc w:val="center"/>
              <w:textAlignment w:val="auto"/>
              <w:rPr>
                <w:color w:val="auto"/>
                <w:sz w:val="28"/>
                <w:szCs w:val="28"/>
              </w:rPr>
            </w:pPr>
            <w:r>
              <w:rPr>
                <w:color w:val="auto"/>
                <w:sz w:val="28"/>
                <w:szCs w:val="28"/>
              </w:rPr>
              <w:t>3</w:t>
            </w:r>
          </w:p>
        </w:tc>
        <w:tc>
          <w:tcPr>
            <w:tcW w:w="1675" w:type="dxa"/>
            <w:vAlign w:val="center"/>
          </w:tcPr>
          <w:p>
            <w:pPr>
              <w:pStyle w:val="44"/>
              <w:keepNext w:val="0"/>
              <w:keepLines w:val="0"/>
              <w:pageBreakBefore w:val="0"/>
              <w:widowControl/>
              <w:kinsoku/>
              <w:wordWrap/>
              <w:overflowPunct/>
              <w:topLinePunct w:val="0"/>
              <w:bidi w:val="0"/>
              <w:snapToGrid/>
              <w:spacing w:before="34" w:line="400" w:lineRule="exact"/>
              <w:jc w:val="center"/>
              <w:textAlignment w:val="auto"/>
              <w:rPr>
                <w:color w:val="auto"/>
                <w:sz w:val="28"/>
                <w:szCs w:val="28"/>
              </w:rPr>
            </w:pPr>
            <w:r>
              <w:rPr>
                <w:color w:val="auto"/>
                <w:spacing w:val="6"/>
                <w:sz w:val="28"/>
                <w:szCs w:val="28"/>
              </w:rPr>
              <w:t>项目名称</w:t>
            </w:r>
          </w:p>
        </w:tc>
        <w:tc>
          <w:tcPr>
            <w:tcW w:w="7594" w:type="dxa"/>
            <w:vAlign w:val="center"/>
          </w:tcPr>
          <w:p>
            <w:pPr>
              <w:pStyle w:val="44"/>
              <w:keepNext w:val="0"/>
              <w:keepLines w:val="0"/>
              <w:pageBreakBefore w:val="0"/>
              <w:widowControl/>
              <w:kinsoku/>
              <w:wordWrap/>
              <w:overflowPunct/>
              <w:topLinePunct w:val="0"/>
              <w:bidi w:val="0"/>
              <w:snapToGrid/>
              <w:spacing w:before="113" w:line="400" w:lineRule="exact"/>
              <w:ind w:left="116"/>
              <w:jc w:val="left"/>
              <w:textAlignment w:val="auto"/>
              <w:rPr>
                <w:rFonts w:hint="eastAsia" w:ascii="宋体" w:hAnsi="宋体" w:eastAsia="宋体" w:cs="宋体"/>
                <w:color w:val="auto"/>
                <w:spacing w:val="9"/>
                <w:sz w:val="28"/>
                <w:szCs w:val="28"/>
                <w:lang w:eastAsia="zh-CN"/>
              </w:rPr>
            </w:pPr>
            <w:r>
              <w:rPr>
                <w:rFonts w:hint="eastAsia" w:cs="宋体"/>
                <w:color w:val="auto"/>
                <w:spacing w:val="9"/>
                <w:sz w:val="28"/>
                <w:szCs w:val="28"/>
                <w:lang w:val="zh-CN" w:eastAsia="zh-CN"/>
              </w:rPr>
              <w:t>博州精河县妇幼保健能力提升建设项目（A包）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733" w:type="dxa"/>
            <w:vAlign w:val="center"/>
          </w:tcPr>
          <w:p>
            <w:pPr>
              <w:pStyle w:val="44"/>
              <w:keepNext w:val="0"/>
              <w:keepLines w:val="0"/>
              <w:pageBreakBefore w:val="0"/>
              <w:widowControl/>
              <w:kinsoku/>
              <w:wordWrap/>
              <w:overflowPunct/>
              <w:topLinePunct w:val="0"/>
              <w:bidi w:val="0"/>
              <w:snapToGrid/>
              <w:spacing w:before="64" w:line="400" w:lineRule="exact"/>
              <w:jc w:val="center"/>
              <w:textAlignment w:val="auto"/>
              <w:rPr>
                <w:color w:val="auto"/>
                <w:sz w:val="28"/>
                <w:szCs w:val="28"/>
              </w:rPr>
            </w:pPr>
            <w:r>
              <w:rPr>
                <w:color w:val="auto"/>
                <w:sz w:val="28"/>
                <w:szCs w:val="28"/>
              </w:rPr>
              <w:t>4</w:t>
            </w:r>
          </w:p>
        </w:tc>
        <w:tc>
          <w:tcPr>
            <w:tcW w:w="1675" w:type="dxa"/>
            <w:vAlign w:val="center"/>
          </w:tcPr>
          <w:p>
            <w:pPr>
              <w:pStyle w:val="44"/>
              <w:keepNext w:val="0"/>
              <w:keepLines w:val="0"/>
              <w:pageBreakBefore w:val="0"/>
              <w:widowControl/>
              <w:kinsoku/>
              <w:wordWrap/>
              <w:overflowPunct/>
              <w:topLinePunct w:val="0"/>
              <w:bidi w:val="0"/>
              <w:snapToGrid/>
              <w:spacing w:before="31" w:line="400" w:lineRule="exact"/>
              <w:jc w:val="center"/>
              <w:textAlignment w:val="auto"/>
              <w:rPr>
                <w:color w:val="auto"/>
                <w:sz w:val="28"/>
                <w:szCs w:val="28"/>
              </w:rPr>
            </w:pPr>
            <w:r>
              <w:rPr>
                <w:color w:val="auto"/>
                <w:spacing w:val="7"/>
                <w:sz w:val="28"/>
                <w:szCs w:val="28"/>
              </w:rPr>
              <w:t>招标编号</w:t>
            </w:r>
          </w:p>
        </w:tc>
        <w:tc>
          <w:tcPr>
            <w:tcW w:w="7594" w:type="dxa"/>
            <w:vAlign w:val="center"/>
          </w:tcPr>
          <w:p>
            <w:pPr>
              <w:pStyle w:val="44"/>
              <w:keepNext w:val="0"/>
              <w:keepLines w:val="0"/>
              <w:pageBreakBefore w:val="0"/>
              <w:widowControl/>
              <w:kinsoku/>
              <w:wordWrap/>
              <w:overflowPunct/>
              <w:topLinePunct w:val="0"/>
              <w:bidi w:val="0"/>
              <w:snapToGrid/>
              <w:spacing w:before="113" w:line="400" w:lineRule="exact"/>
              <w:ind w:left="116"/>
              <w:jc w:val="left"/>
              <w:textAlignment w:val="auto"/>
              <w:rPr>
                <w:rFonts w:hint="default" w:ascii="宋体" w:hAnsi="宋体" w:eastAsia="宋体" w:cs="宋体"/>
                <w:color w:val="auto"/>
                <w:spacing w:val="9"/>
                <w:sz w:val="28"/>
                <w:szCs w:val="28"/>
                <w:lang w:val="en-US" w:eastAsia="zh-CN"/>
              </w:rPr>
            </w:pPr>
            <w:r>
              <w:rPr>
                <w:rFonts w:hint="eastAsia" w:cs="宋体"/>
                <w:color w:val="auto"/>
                <w:spacing w:val="9"/>
                <w:sz w:val="28"/>
                <w:szCs w:val="28"/>
                <w:lang w:eastAsia="zh-CN"/>
              </w:rPr>
              <w:t>JHXGK-XJHE2023-051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733" w:type="dxa"/>
            <w:vAlign w:val="center"/>
          </w:tcPr>
          <w:p>
            <w:pPr>
              <w:pStyle w:val="44"/>
              <w:keepNext w:val="0"/>
              <w:keepLines w:val="0"/>
              <w:pageBreakBefore w:val="0"/>
              <w:widowControl/>
              <w:kinsoku/>
              <w:wordWrap/>
              <w:overflowPunct/>
              <w:topLinePunct w:val="0"/>
              <w:bidi w:val="0"/>
              <w:snapToGrid/>
              <w:spacing w:before="65" w:line="400" w:lineRule="exact"/>
              <w:jc w:val="center"/>
              <w:textAlignment w:val="auto"/>
              <w:rPr>
                <w:color w:val="auto"/>
                <w:sz w:val="28"/>
                <w:szCs w:val="28"/>
              </w:rPr>
            </w:pPr>
            <w:r>
              <w:rPr>
                <w:color w:val="auto"/>
                <w:sz w:val="28"/>
                <w:szCs w:val="28"/>
              </w:rPr>
              <w:t>5</w:t>
            </w:r>
          </w:p>
        </w:tc>
        <w:tc>
          <w:tcPr>
            <w:tcW w:w="1675" w:type="dxa"/>
            <w:vAlign w:val="center"/>
          </w:tcPr>
          <w:p>
            <w:pPr>
              <w:pStyle w:val="44"/>
              <w:keepNext w:val="0"/>
              <w:keepLines w:val="0"/>
              <w:pageBreakBefore w:val="0"/>
              <w:widowControl/>
              <w:kinsoku/>
              <w:wordWrap/>
              <w:overflowPunct/>
              <w:topLinePunct w:val="0"/>
              <w:bidi w:val="0"/>
              <w:snapToGrid/>
              <w:spacing w:before="151" w:line="400" w:lineRule="exact"/>
              <w:ind w:right="208"/>
              <w:jc w:val="center"/>
              <w:textAlignment w:val="auto"/>
              <w:rPr>
                <w:color w:val="auto"/>
                <w:sz w:val="28"/>
                <w:szCs w:val="28"/>
              </w:rPr>
            </w:pPr>
            <w:r>
              <w:rPr>
                <w:color w:val="auto"/>
                <w:spacing w:val="7"/>
                <w:sz w:val="28"/>
                <w:szCs w:val="28"/>
              </w:rPr>
              <w:t>预算金额及采</w:t>
            </w:r>
            <w:r>
              <w:rPr>
                <w:color w:val="auto"/>
                <w:spacing w:val="8"/>
                <w:sz w:val="28"/>
                <w:szCs w:val="28"/>
              </w:rPr>
              <w:t>购最高限价</w:t>
            </w:r>
          </w:p>
        </w:tc>
        <w:tc>
          <w:tcPr>
            <w:tcW w:w="7594" w:type="dxa"/>
            <w:vAlign w:val="center"/>
          </w:tcPr>
          <w:p>
            <w:pPr>
              <w:pStyle w:val="44"/>
              <w:keepNext w:val="0"/>
              <w:keepLines w:val="0"/>
              <w:pageBreakBefore w:val="0"/>
              <w:widowControl/>
              <w:kinsoku/>
              <w:wordWrap/>
              <w:overflowPunct/>
              <w:topLinePunct w:val="0"/>
              <w:bidi w:val="0"/>
              <w:snapToGrid/>
              <w:spacing w:before="113" w:line="400" w:lineRule="exact"/>
              <w:ind w:left="116"/>
              <w:jc w:val="left"/>
              <w:textAlignment w:val="auto"/>
              <w:rPr>
                <w:rFonts w:hint="eastAsia" w:ascii="宋体" w:hAnsi="宋体" w:eastAsia="宋体" w:cs="宋体"/>
                <w:color w:val="auto"/>
                <w:spacing w:val="9"/>
                <w:sz w:val="28"/>
                <w:szCs w:val="28"/>
                <w:highlight w:val="none"/>
                <w:lang w:eastAsia="zh-CN"/>
              </w:rPr>
            </w:pPr>
            <w:r>
              <w:rPr>
                <w:rFonts w:hint="eastAsia" w:ascii="宋体" w:hAnsi="宋体" w:eastAsia="宋体" w:cs="宋体"/>
                <w:color w:val="auto"/>
                <w:spacing w:val="9"/>
                <w:sz w:val="28"/>
                <w:szCs w:val="28"/>
                <w:highlight w:val="none"/>
                <w:lang w:eastAsia="zh-CN"/>
              </w:rPr>
              <w:t>预算金额：</w:t>
            </w:r>
            <w:r>
              <w:rPr>
                <w:rFonts w:hint="eastAsia" w:ascii="仿宋" w:hAnsi="仿宋" w:eastAsia="仿宋" w:cs="仿宋"/>
                <w:b/>
                <w:bCs/>
                <w:color w:val="auto"/>
                <w:sz w:val="28"/>
                <w:szCs w:val="28"/>
                <w:highlight w:val="none"/>
                <w:lang w:val="en-US" w:eastAsia="zh-CN"/>
              </w:rPr>
              <w:t>543.4</w:t>
            </w:r>
            <w:r>
              <w:rPr>
                <w:rFonts w:hint="eastAsia" w:ascii="宋体" w:hAnsi="宋体" w:eastAsia="宋体" w:cs="宋体"/>
                <w:color w:val="auto"/>
                <w:spacing w:val="9"/>
                <w:sz w:val="28"/>
                <w:szCs w:val="28"/>
                <w:highlight w:val="none"/>
                <w:lang w:val="en-US" w:eastAsia="zh-CN"/>
              </w:rPr>
              <w:t>万</w:t>
            </w:r>
            <w:r>
              <w:rPr>
                <w:rFonts w:hint="eastAsia" w:ascii="宋体" w:hAnsi="宋体" w:eastAsia="宋体" w:cs="宋体"/>
                <w:color w:val="auto"/>
                <w:spacing w:val="9"/>
                <w:sz w:val="28"/>
                <w:szCs w:val="28"/>
                <w:highlight w:val="none"/>
                <w:lang w:eastAsia="zh-CN"/>
              </w:rPr>
              <w:t>元</w:t>
            </w:r>
          </w:p>
          <w:p>
            <w:pPr>
              <w:pStyle w:val="44"/>
              <w:keepNext w:val="0"/>
              <w:keepLines w:val="0"/>
              <w:pageBreakBefore w:val="0"/>
              <w:widowControl/>
              <w:kinsoku/>
              <w:wordWrap/>
              <w:overflowPunct/>
              <w:topLinePunct w:val="0"/>
              <w:bidi w:val="0"/>
              <w:snapToGrid/>
              <w:spacing w:before="113" w:line="400" w:lineRule="exact"/>
              <w:ind w:left="116"/>
              <w:jc w:val="left"/>
              <w:textAlignment w:val="auto"/>
              <w:rPr>
                <w:rFonts w:hint="eastAsia" w:ascii="宋体" w:hAnsi="宋体" w:eastAsia="宋体" w:cs="宋体"/>
                <w:color w:val="auto"/>
                <w:spacing w:val="9"/>
                <w:sz w:val="28"/>
                <w:szCs w:val="28"/>
                <w:lang w:eastAsia="zh-CN"/>
              </w:rPr>
            </w:pPr>
            <w:r>
              <w:rPr>
                <w:rFonts w:hint="eastAsia" w:ascii="宋体" w:hAnsi="宋体" w:eastAsia="宋体" w:cs="宋体"/>
                <w:color w:val="auto"/>
                <w:spacing w:val="9"/>
                <w:sz w:val="28"/>
                <w:szCs w:val="28"/>
                <w:highlight w:val="none"/>
                <w:lang w:eastAsia="zh-CN"/>
              </w:rPr>
              <w:t>最高限价：</w:t>
            </w:r>
            <w:r>
              <w:rPr>
                <w:rFonts w:hint="eastAsia" w:ascii="仿宋" w:hAnsi="仿宋" w:eastAsia="仿宋" w:cs="仿宋"/>
                <w:b/>
                <w:bCs/>
                <w:color w:val="auto"/>
                <w:sz w:val="28"/>
                <w:szCs w:val="28"/>
                <w:highlight w:val="none"/>
                <w:lang w:val="en-US" w:eastAsia="zh-CN"/>
              </w:rPr>
              <w:t>516.23</w:t>
            </w:r>
            <w:r>
              <w:rPr>
                <w:rFonts w:hint="eastAsia" w:ascii="宋体" w:hAnsi="宋体" w:eastAsia="宋体" w:cs="宋体"/>
                <w:color w:val="auto"/>
                <w:spacing w:val="9"/>
                <w:sz w:val="28"/>
                <w:szCs w:val="28"/>
                <w:highlight w:val="none"/>
                <w:lang w:val="zh-CN" w:eastAsia="zh-CN"/>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33" w:type="dxa"/>
            <w:vAlign w:val="center"/>
          </w:tcPr>
          <w:p>
            <w:pPr>
              <w:pStyle w:val="44"/>
              <w:keepNext w:val="0"/>
              <w:keepLines w:val="0"/>
              <w:pageBreakBefore w:val="0"/>
              <w:widowControl/>
              <w:kinsoku/>
              <w:wordWrap/>
              <w:overflowPunct/>
              <w:topLinePunct w:val="0"/>
              <w:bidi w:val="0"/>
              <w:snapToGrid/>
              <w:spacing w:before="65" w:line="400" w:lineRule="exact"/>
              <w:jc w:val="center"/>
              <w:textAlignment w:val="auto"/>
              <w:rPr>
                <w:color w:val="auto"/>
                <w:sz w:val="28"/>
                <w:szCs w:val="28"/>
              </w:rPr>
            </w:pPr>
            <w:r>
              <w:rPr>
                <w:color w:val="auto"/>
                <w:sz w:val="28"/>
                <w:szCs w:val="28"/>
              </w:rPr>
              <w:t>6</w:t>
            </w:r>
          </w:p>
        </w:tc>
        <w:tc>
          <w:tcPr>
            <w:tcW w:w="1675" w:type="dxa"/>
            <w:vAlign w:val="center"/>
          </w:tcPr>
          <w:p>
            <w:pPr>
              <w:pStyle w:val="44"/>
              <w:keepNext w:val="0"/>
              <w:keepLines w:val="0"/>
              <w:pageBreakBefore w:val="0"/>
              <w:widowControl/>
              <w:kinsoku/>
              <w:wordWrap/>
              <w:overflowPunct/>
              <w:topLinePunct w:val="0"/>
              <w:bidi w:val="0"/>
              <w:snapToGrid/>
              <w:spacing w:before="65" w:line="400" w:lineRule="exact"/>
              <w:jc w:val="center"/>
              <w:textAlignment w:val="auto"/>
              <w:rPr>
                <w:color w:val="auto"/>
                <w:sz w:val="28"/>
                <w:szCs w:val="28"/>
              </w:rPr>
            </w:pPr>
            <w:r>
              <w:rPr>
                <w:color w:val="auto"/>
                <w:spacing w:val="7"/>
                <w:sz w:val="28"/>
                <w:szCs w:val="28"/>
              </w:rPr>
              <w:t>招标范围</w:t>
            </w:r>
          </w:p>
        </w:tc>
        <w:tc>
          <w:tcPr>
            <w:tcW w:w="7594" w:type="dxa"/>
            <w:vAlign w:val="center"/>
          </w:tcPr>
          <w:p>
            <w:pPr>
              <w:pStyle w:val="44"/>
              <w:keepNext w:val="0"/>
              <w:keepLines w:val="0"/>
              <w:pageBreakBefore w:val="0"/>
              <w:widowControl/>
              <w:kinsoku/>
              <w:wordWrap/>
              <w:overflowPunct/>
              <w:topLinePunct w:val="0"/>
              <w:bidi w:val="0"/>
              <w:snapToGrid/>
              <w:spacing w:before="26" w:line="400" w:lineRule="exact"/>
              <w:ind w:right="107"/>
              <w:jc w:val="left"/>
              <w:textAlignment w:val="auto"/>
              <w:rPr>
                <w:color w:val="auto"/>
                <w:sz w:val="28"/>
                <w:szCs w:val="28"/>
              </w:rPr>
            </w:pPr>
            <w:r>
              <w:rPr>
                <w:rFonts w:hint="eastAsia"/>
                <w:color w:val="auto"/>
                <w:sz w:val="28"/>
                <w:szCs w:val="28"/>
                <w:lang w:val="zh-CN" w:eastAsia="zh-CN"/>
              </w:rPr>
              <w:t>医疗设备设施。（详见采购清单）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33" w:type="dxa"/>
            <w:vAlign w:val="center"/>
          </w:tcPr>
          <w:p>
            <w:pPr>
              <w:pStyle w:val="44"/>
              <w:keepNext w:val="0"/>
              <w:keepLines w:val="0"/>
              <w:pageBreakBefore w:val="0"/>
              <w:widowControl/>
              <w:kinsoku/>
              <w:wordWrap/>
              <w:overflowPunct/>
              <w:topLinePunct w:val="0"/>
              <w:bidi w:val="0"/>
              <w:snapToGrid/>
              <w:spacing w:before="150" w:line="400" w:lineRule="exact"/>
              <w:jc w:val="center"/>
              <w:textAlignment w:val="auto"/>
              <w:rPr>
                <w:color w:val="auto"/>
                <w:sz w:val="28"/>
                <w:szCs w:val="28"/>
              </w:rPr>
            </w:pPr>
            <w:r>
              <w:rPr>
                <w:color w:val="auto"/>
                <w:sz w:val="28"/>
                <w:szCs w:val="28"/>
              </w:rPr>
              <w:t>7</w:t>
            </w:r>
          </w:p>
        </w:tc>
        <w:tc>
          <w:tcPr>
            <w:tcW w:w="1675" w:type="dxa"/>
            <w:vAlign w:val="center"/>
          </w:tcPr>
          <w:p>
            <w:pPr>
              <w:pStyle w:val="44"/>
              <w:keepNext w:val="0"/>
              <w:keepLines w:val="0"/>
              <w:pageBreakBefore w:val="0"/>
              <w:widowControl/>
              <w:kinsoku/>
              <w:wordWrap/>
              <w:overflowPunct/>
              <w:topLinePunct w:val="0"/>
              <w:bidi w:val="0"/>
              <w:snapToGrid/>
              <w:spacing w:before="115" w:line="400" w:lineRule="exact"/>
              <w:jc w:val="center"/>
              <w:textAlignment w:val="auto"/>
              <w:rPr>
                <w:color w:val="auto"/>
                <w:sz w:val="28"/>
                <w:szCs w:val="28"/>
              </w:rPr>
            </w:pPr>
            <w:r>
              <w:rPr>
                <w:color w:val="auto"/>
                <w:spacing w:val="7"/>
                <w:sz w:val="28"/>
                <w:szCs w:val="28"/>
              </w:rPr>
              <w:t>标段（包）划分</w:t>
            </w:r>
          </w:p>
        </w:tc>
        <w:tc>
          <w:tcPr>
            <w:tcW w:w="7594" w:type="dxa"/>
            <w:vAlign w:val="center"/>
          </w:tcPr>
          <w:p>
            <w:pPr>
              <w:pStyle w:val="44"/>
              <w:keepNext w:val="0"/>
              <w:keepLines w:val="0"/>
              <w:pageBreakBefore w:val="0"/>
              <w:widowControl/>
              <w:kinsoku/>
              <w:wordWrap/>
              <w:overflowPunct/>
              <w:topLinePunct w:val="0"/>
              <w:bidi w:val="0"/>
              <w:snapToGrid/>
              <w:spacing w:before="115" w:line="400" w:lineRule="exact"/>
              <w:ind w:left="114"/>
              <w:jc w:val="left"/>
              <w:textAlignment w:val="auto"/>
              <w:rPr>
                <w:color w:val="auto"/>
                <w:sz w:val="28"/>
                <w:szCs w:val="28"/>
              </w:rPr>
            </w:pPr>
            <w:r>
              <w:rPr>
                <w:color w:val="auto"/>
                <w:spacing w:val="4"/>
                <w:sz w:val="28"/>
                <w:szCs w:val="28"/>
              </w:rPr>
              <w:t>本次招标共</w:t>
            </w:r>
            <w:r>
              <w:rPr>
                <w:color w:val="auto"/>
                <w:spacing w:val="-16"/>
                <w:sz w:val="28"/>
                <w:szCs w:val="28"/>
              </w:rPr>
              <w:t xml:space="preserve"> </w:t>
            </w:r>
            <w:r>
              <w:rPr>
                <w:color w:val="auto"/>
                <w:spacing w:val="4"/>
                <w:sz w:val="28"/>
                <w:szCs w:val="28"/>
              </w:rPr>
              <w:t>1</w:t>
            </w:r>
            <w:r>
              <w:rPr>
                <w:color w:val="auto"/>
                <w:spacing w:val="-38"/>
                <w:sz w:val="28"/>
                <w:szCs w:val="28"/>
              </w:rPr>
              <w:t xml:space="preserve"> </w:t>
            </w:r>
            <w:r>
              <w:rPr>
                <w:color w:val="auto"/>
                <w:spacing w:val="4"/>
                <w:sz w:val="28"/>
                <w:szCs w:val="28"/>
              </w:rPr>
              <w:t>个标段（包）。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33" w:type="dxa"/>
            <w:vAlign w:val="center"/>
          </w:tcPr>
          <w:p>
            <w:pPr>
              <w:pStyle w:val="44"/>
              <w:keepNext w:val="0"/>
              <w:keepLines w:val="0"/>
              <w:pageBreakBefore w:val="0"/>
              <w:widowControl/>
              <w:kinsoku/>
              <w:wordWrap/>
              <w:overflowPunct/>
              <w:topLinePunct w:val="0"/>
              <w:bidi w:val="0"/>
              <w:snapToGrid/>
              <w:spacing w:before="301" w:line="400" w:lineRule="exact"/>
              <w:jc w:val="center"/>
              <w:textAlignment w:val="auto"/>
              <w:rPr>
                <w:color w:val="auto"/>
                <w:sz w:val="28"/>
                <w:szCs w:val="28"/>
              </w:rPr>
            </w:pPr>
            <w:r>
              <w:rPr>
                <w:color w:val="auto"/>
                <w:sz w:val="28"/>
                <w:szCs w:val="28"/>
              </w:rPr>
              <w:t>8</w:t>
            </w:r>
          </w:p>
        </w:tc>
        <w:tc>
          <w:tcPr>
            <w:tcW w:w="1675" w:type="dxa"/>
            <w:vAlign w:val="center"/>
          </w:tcPr>
          <w:p>
            <w:pPr>
              <w:pStyle w:val="44"/>
              <w:keepNext w:val="0"/>
              <w:keepLines w:val="0"/>
              <w:pageBreakBefore w:val="0"/>
              <w:widowControl/>
              <w:kinsoku/>
              <w:wordWrap/>
              <w:overflowPunct/>
              <w:topLinePunct w:val="0"/>
              <w:bidi w:val="0"/>
              <w:snapToGrid/>
              <w:spacing w:before="268" w:line="400" w:lineRule="exact"/>
              <w:jc w:val="center"/>
              <w:textAlignment w:val="auto"/>
              <w:rPr>
                <w:rFonts w:hint="default" w:eastAsia="宋体"/>
                <w:color w:val="auto"/>
                <w:sz w:val="28"/>
                <w:szCs w:val="28"/>
                <w:highlight w:val="none"/>
                <w:lang w:val="en-US" w:eastAsia="zh-CN"/>
              </w:rPr>
            </w:pPr>
            <w:r>
              <w:rPr>
                <w:rFonts w:hint="eastAsia"/>
                <w:color w:val="auto"/>
                <w:sz w:val="28"/>
                <w:szCs w:val="28"/>
                <w:highlight w:val="none"/>
                <w:lang w:val="en-US" w:eastAsia="zh-CN"/>
              </w:rPr>
              <w:t>供货期</w:t>
            </w:r>
          </w:p>
        </w:tc>
        <w:tc>
          <w:tcPr>
            <w:tcW w:w="7594" w:type="dxa"/>
            <w:vAlign w:val="center"/>
          </w:tcPr>
          <w:p>
            <w:pPr>
              <w:pStyle w:val="44"/>
              <w:keepNext w:val="0"/>
              <w:keepLines w:val="0"/>
              <w:pageBreakBefore w:val="0"/>
              <w:widowControl/>
              <w:kinsoku/>
              <w:wordWrap/>
              <w:overflowPunct/>
              <w:topLinePunct w:val="0"/>
              <w:bidi w:val="0"/>
              <w:snapToGrid/>
              <w:spacing w:before="268" w:line="400" w:lineRule="exact"/>
              <w:jc w:val="left"/>
              <w:textAlignment w:val="auto"/>
              <w:rPr>
                <w:color w:val="auto"/>
                <w:sz w:val="28"/>
                <w:szCs w:val="28"/>
                <w:highlight w:val="none"/>
              </w:rPr>
            </w:pPr>
            <w:r>
              <w:rPr>
                <w:rFonts w:hint="eastAsia" w:ascii="仿宋" w:hAnsi="仿宋" w:eastAsia="仿宋" w:cs="仿宋"/>
                <w:b/>
                <w:bCs/>
                <w:color w:val="auto"/>
                <w:sz w:val="28"/>
                <w:szCs w:val="28"/>
                <w:highlight w:val="none"/>
                <w:lang w:val="en-US" w:eastAsia="zh-CN"/>
              </w:rPr>
              <w:t>签订合同后30日内供货安装调试完毕达到使用标准。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33" w:type="dxa"/>
            <w:vAlign w:val="center"/>
          </w:tcPr>
          <w:p>
            <w:pPr>
              <w:pStyle w:val="44"/>
              <w:keepNext w:val="0"/>
              <w:keepLines w:val="0"/>
              <w:pageBreakBefore w:val="0"/>
              <w:widowControl/>
              <w:kinsoku/>
              <w:wordWrap/>
              <w:overflowPunct/>
              <w:topLinePunct w:val="0"/>
              <w:bidi w:val="0"/>
              <w:snapToGrid/>
              <w:spacing w:before="179" w:line="400" w:lineRule="exact"/>
              <w:jc w:val="center"/>
              <w:textAlignment w:val="auto"/>
              <w:rPr>
                <w:color w:val="auto"/>
                <w:sz w:val="28"/>
                <w:szCs w:val="28"/>
              </w:rPr>
            </w:pPr>
            <w:r>
              <w:rPr>
                <w:color w:val="auto"/>
                <w:sz w:val="28"/>
                <w:szCs w:val="28"/>
              </w:rPr>
              <w:t>9</w:t>
            </w:r>
          </w:p>
        </w:tc>
        <w:tc>
          <w:tcPr>
            <w:tcW w:w="1675" w:type="dxa"/>
            <w:vAlign w:val="center"/>
          </w:tcPr>
          <w:p>
            <w:pPr>
              <w:pStyle w:val="44"/>
              <w:keepNext w:val="0"/>
              <w:keepLines w:val="0"/>
              <w:pageBreakBefore w:val="0"/>
              <w:widowControl/>
              <w:kinsoku/>
              <w:wordWrap/>
              <w:overflowPunct/>
              <w:topLinePunct w:val="0"/>
              <w:bidi w:val="0"/>
              <w:snapToGrid/>
              <w:spacing w:before="146" w:line="400" w:lineRule="exact"/>
              <w:jc w:val="center"/>
              <w:textAlignment w:val="auto"/>
              <w:rPr>
                <w:color w:val="auto"/>
                <w:sz w:val="28"/>
                <w:szCs w:val="28"/>
              </w:rPr>
            </w:pPr>
            <w:r>
              <w:rPr>
                <w:color w:val="auto"/>
                <w:spacing w:val="7"/>
                <w:sz w:val="28"/>
                <w:szCs w:val="28"/>
              </w:rPr>
              <w:t>质量要求</w:t>
            </w:r>
          </w:p>
        </w:tc>
        <w:tc>
          <w:tcPr>
            <w:tcW w:w="7594" w:type="dxa"/>
            <w:vAlign w:val="center"/>
          </w:tcPr>
          <w:p>
            <w:pPr>
              <w:pStyle w:val="44"/>
              <w:keepNext w:val="0"/>
              <w:keepLines w:val="0"/>
              <w:pageBreakBefore w:val="0"/>
              <w:widowControl/>
              <w:kinsoku/>
              <w:wordWrap/>
              <w:overflowPunct/>
              <w:topLinePunct w:val="0"/>
              <w:bidi w:val="0"/>
              <w:snapToGrid/>
              <w:spacing w:before="145" w:line="400" w:lineRule="exact"/>
              <w:jc w:val="left"/>
              <w:textAlignment w:val="auto"/>
              <w:rPr>
                <w:color w:val="auto"/>
                <w:sz w:val="28"/>
                <w:szCs w:val="28"/>
              </w:rPr>
            </w:pPr>
            <w:r>
              <w:rPr>
                <w:color w:val="auto"/>
                <w:spacing w:val="4"/>
                <w:sz w:val="28"/>
                <w:szCs w:val="28"/>
                <w:highlight w:val="none"/>
              </w:rPr>
              <w:t>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733" w:type="dxa"/>
            <w:vAlign w:val="center"/>
          </w:tcPr>
          <w:p>
            <w:pPr>
              <w:pStyle w:val="44"/>
              <w:keepNext w:val="0"/>
              <w:keepLines w:val="0"/>
              <w:pageBreakBefore w:val="0"/>
              <w:widowControl/>
              <w:kinsoku/>
              <w:wordWrap/>
              <w:overflowPunct/>
              <w:topLinePunct w:val="0"/>
              <w:bidi w:val="0"/>
              <w:snapToGrid/>
              <w:spacing w:before="65" w:line="400" w:lineRule="exact"/>
              <w:jc w:val="center"/>
              <w:textAlignment w:val="auto"/>
              <w:rPr>
                <w:color w:val="auto"/>
                <w:sz w:val="28"/>
                <w:szCs w:val="28"/>
              </w:rPr>
            </w:pPr>
            <w:r>
              <w:rPr>
                <w:color w:val="auto"/>
                <w:spacing w:val="-7"/>
                <w:sz w:val="28"/>
                <w:szCs w:val="28"/>
              </w:rPr>
              <w:t>10</w:t>
            </w:r>
          </w:p>
        </w:tc>
        <w:tc>
          <w:tcPr>
            <w:tcW w:w="1675" w:type="dxa"/>
            <w:vAlign w:val="center"/>
          </w:tcPr>
          <w:p>
            <w:pPr>
              <w:pStyle w:val="44"/>
              <w:keepNext w:val="0"/>
              <w:keepLines w:val="0"/>
              <w:pageBreakBefore w:val="0"/>
              <w:widowControl/>
              <w:kinsoku/>
              <w:wordWrap/>
              <w:overflowPunct/>
              <w:topLinePunct w:val="0"/>
              <w:bidi w:val="0"/>
              <w:snapToGrid/>
              <w:spacing w:before="65" w:line="400" w:lineRule="exact"/>
              <w:jc w:val="center"/>
              <w:textAlignment w:val="auto"/>
              <w:rPr>
                <w:color w:val="auto"/>
                <w:sz w:val="28"/>
                <w:szCs w:val="28"/>
                <w:highlight w:val="none"/>
              </w:rPr>
            </w:pPr>
            <w:r>
              <w:rPr>
                <w:color w:val="auto"/>
                <w:spacing w:val="7"/>
                <w:sz w:val="28"/>
                <w:szCs w:val="28"/>
                <w:highlight w:val="none"/>
              </w:rPr>
              <w:t>政府采购政策</w:t>
            </w:r>
          </w:p>
        </w:tc>
        <w:tc>
          <w:tcPr>
            <w:tcW w:w="7594" w:type="dxa"/>
            <w:vAlign w:val="center"/>
          </w:tcPr>
          <w:p>
            <w:pPr>
              <w:pStyle w:val="44"/>
              <w:keepNext w:val="0"/>
              <w:keepLines w:val="0"/>
              <w:pageBreakBefore w:val="0"/>
              <w:widowControl/>
              <w:numPr>
                <w:ilvl w:val="0"/>
                <w:numId w:val="2"/>
              </w:numPr>
              <w:kinsoku/>
              <w:wordWrap/>
              <w:overflowPunct/>
              <w:topLinePunct w:val="0"/>
              <w:bidi w:val="0"/>
              <w:snapToGrid/>
              <w:spacing w:before="29" w:line="400" w:lineRule="exact"/>
              <w:ind w:left="112" w:right="110"/>
              <w:jc w:val="left"/>
              <w:textAlignment w:val="auto"/>
              <w:rPr>
                <w:rFonts w:hint="eastAsia"/>
                <w:color w:val="auto"/>
                <w:sz w:val="28"/>
                <w:szCs w:val="28"/>
                <w:highlight w:val="none"/>
                <w:lang w:val="en-US" w:eastAsia="zh-CN"/>
              </w:rPr>
            </w:pPr>
            <w:r>
              <w:rPr>
                <w:rFonts w:hint="eastAsia"/>
                <w:color w:val="auto"/>
                <w:sz w:val="28"/>
                <w:szCs w:val="28"/>
                <w:highlight w:val="none"/>
                <w:lang w:val="en-US" w:eastAsia="zh-CN"/>
              </w:rPr>
              <w:t>根据财政部、工业和信息化部《关于印发《政府采购促进中小企业发展管理办法》的通知》（财库[2020]46号文）和《关于进一步加大政府采购支持中小企业力度的通知》财库〔2022〕19号规定：</w:t>
            </w:r>
          </w:p>
          <w:p>
            <w:pPr>
              <w:pStyle w:val="44"/>
              <w:keepNext w:val="0"/>
              <w:keepLines w:val="0"/>
              <w:pageBreakBefore w:val="0"/>
              <w:widowControl/>
              <w:numPr>
                <w:ilvl w:val="0"/>
                <w:numId w:val="0"/>
              </w:numPr>
              <w:kinsoku/>
              <w:wordWrap/>
              <w:overflowPunct/>
              <w:topLinePunct w:val="0"/>
              <w:bidi w:val="0"/>
              <w:snapToGrid/>
              <w:spacing w:before="29" w:line="400" w:lineRule="exact"/>
              <w:ind w:right="110" w:rightChars="0" w:firstLine="560" w:firstLineChars="200"/>
              <w:jc w:val="left"/>
              <w:textAlignment w:val="auto"/>
              <w:rPr>
                <w:rFonts w:hint="eastAsia"/>
                <w:color w:val="auto"/>
                <w:sz w:val="28"/>
                <w:szCs w:val="28"/>
                <w:highlight w:val="none"/>
                <w:lang w:val="en-US" w:eastAsia="zh-CN"/>
              </w:rPr>
            </w:pPr>
            <w:r>
              <w:rPr>
                <w:rFonts w:hint="eastAsia"/>
                <w:color w:val="auto"/>
                <w:sz w:val="28"/>
                <w:szCs w:val="28"/>
                <w:highlight w:val="none"/>
                <w:lang w:val="en-US" w:eastAsia="zh-CN"/>
              </w:rPr>
              <w:t>①预留该部分采购项目预算金额的40%专门面向中小企业采购（其中的70%预留给小微企业采购）；</w:t>
            </w:r>
          </w:p>
          <w:p>
            <w:pPr>
              <w:pStyle w:val="44"/>
              <w:keepNext w:val="0"/>
              <w:keepLines w:val="0"/>
              <w:pageBreakBefore w:val="0"/>
              <w:widowControl/>
              <w:numPr>
                <w:ilvl w:val="0"/>
                <w:numId w:val="0"/>
              </w:numPr>
              <w:kinsoku/>
              <w:wordWrap/>
              <w:overflowPunct/>
              <w:topLinePunct w:val="0"/>
              <w:bidi w:val="0"/>
              <w:snapToGrid/>
              <w:spacing w:before="29" w:line="400" w:lineRule="exact"/>
              <w:ind w:right="110" w:rightChars="0" w:firstLine="560" w:firstLineChars="200"/>
              <w:jc w:val="left"/>
              <w:textAlignment w:val="auto"/>
              <w:rPr>
                <w:rFonts w:hint="eastAsia"/>
                <w:color w:val="auto"/>
                <w:sz w:val="28"/>
                <w:szCs w:val="28"/>
                <w:highlight w:val="none"/>
                <w:lang w:val="en-US" w:eastAsia="zh-CN"/>
              </w:rPr>
            </w:pPr>
            <w:r>
              <w:rPr>
                <w:rFonts w:hint="eastAsia"/>
                <w:color w:val="auto"/>
                <w:sz w:val="28"/>
                <w:szCs w:val="28"/>
                <w:highlight w:val="none"/>
                <w:lang w:val="en-US" w:eastAsia="zh-CN"/>
              </w:rPr>
              <w:t xml:space="preserve">②本项目投标供应商为大型企业的，须将采购项目中的40%分包给一家或者多家中小企业（其中的70%预留给小微企业采购），供应商为大型企业的须提供《分包意向协议》（格式自拟）及分包供应商《中小企业声明函》（格式见招标文件）； </w:t>
            </w:r>
          </w:p>
          <w:p>
            <w:pPr>
              <w:pStyle w:val="44"/>
              <w:keepNext w:val="0"/>
              <w:keepLines w:val="0"/>
              <w:pageBreakBefore w:val="0"/>
              <w:widowControl/>
              <w:kinsoku/>
              <w:wordWrap/>
              <w:overflowPunct/>
              <w:topLinePunct w:val="0"/>
              <w:bidi w:val="0"/>
              <w:snapToGrid/>
              <w:spacing w:before="29" w:line="400" w:lineRule="exact"/>
              <w:ind w:left="112" w:right="110"/>
              <w:jc w:val="left"/>
              <w:textAlignment w:val="auto"/>
              <w:rPr>
                <w:rFonts w:hint="eastAsia"/>
                <w:color w:val="auto"/>
                <w:sz w:val="28"/>
                <w:szCs w:val="28"/>
                <w:highlight w:val="none"/>
                <w:lang w:val="en-US" w:eastAsia="zh-CN"/>
              </w:rPr>
            </w:pPr>
            <w:r>
              <w:rPr>
                <w:rFonts w:hint="eastAsia"/>
                <w:color w:val="auto"/>
                <w:sz w:val="28"/>
                <w:szCs w:val="28"/>
                <w:highlight w:val="none"/>
                <w:lang w:val="en-US" w:eastAsia="zh-CN"/>
              </w:rPr>
              <w:t xml:space="preserve">（2）《财政部、司法部关于政府采购支持监狱企业发展有关问题的通知》（财库〔2014〕68 号） ； </w:t>
            </w:r>
          </w:p>
          <w:p>
            <w:pPr>
              <w:pStyle w:val="44"/>
              <w:keepNext w:val="0"/>
              <w:keepLines w:val="0"/>
              <w:pageBreakBefore w:val="0"/>
              <w:widowControl/>
              <w:kinsoku/>
              <w:wordWrap/>
              <w:overflowPunct/>
              <w:topLinePunct w:val="0"/>
              <w:bidi w:val="0"/>
              <w:snapToGrid/>
              <w:spacing w:before="29" w:line="400" w:lineRule="exact"/>
              <w:ind w:left="112" w:right="110"/>
              <w:jc w:val="left"/>
              <w:textAlignment w:val="auto"/>
              <w:rPr>
                <w:rFonts w:hint="eastAsia"/>
                <w:color w:val="auto"/>
                <w:sz w:val="28"/>
                <w:szCs w:val="28"/>
                <w:highlight w:val="none"/>
                <w:lang w:val="en-US" w:eastAsia="zh-CN"/>
              </w:rPr>
            </w:pPr>
            <w:r>
              <w:rPr>
                <w:rFonts w:hint="eastAsia"/>
                <w:color w:val="auto"/>
                <w:sz w:val="28"/>
                <w:szCs w:val="28"/>
                <w:highlight w:val="none"/>
                <w:lang w:val="en-US" w:eastAsia="zh-CN"/>
              </w:rPr>
              <w:t xml:space="preserve">（3）《财政部、民政部中国残疾人联合会关于促进残疾人就业政府采购政策的通知》（财库〔2017〕141号） 。 </w:t>
            </w:r>
          </w:p>
          <w:p>
            <w:pPr>
              <w:pStyle w:val="44"/>
              <w:keepNext w:val="0"/>
              <w:keepLines w:val="0"/>
              <w:pageBreakBefore w:val="0"/>
              <w:widowControl/>
              <w:kinsoku/>
              <w:wordWrap/>
              <w:overflowPunct/>
              <w:topLinePunct w:val="0"/>
              <w:bidi w:val="0"/>
              <w:snapToGrid/>
              <w:spacing w:before="29" w:line="400" w:lineRule="exact"/>
              <w:ind w:left="112" w:right="110"/>
              <w:jc w:val="left"/>
              <w:textAlignment w:val="auto"/>
              <w:rPr>
                <w:rFonts w:hint="eastAsia"/>
                <w:color w:val="auto"/>
                <w:sz w:val="28"/>
                <w:szCs w:val="28"/>
                <w:highlight w:val="none"/>
                <w:lang w:val="en-US" w:eastAsia="zh-CN"/>
              </w:rPr>
            </w:pPr>
            <w:r>
              <w:rPr>
                <w:rFonts w:hint="eastAsia"/>
                <w:color w:val="auto"/>
                <w:sz w:val="28"/>
                <w:szCs w:val="28"/>
                <w:highlight w:val="none"/>
                <w:lang w:val="en-US" w:eastAsia="zh-CN"/>
              </w:rPr>
              <w:t>（4）财政部、国家发展改革委、生态环境部、市场监管总局《关于调整优化节能产品、环境标志产品政府采购执行机制的通知》（财库[2019]9号文）；</w:t>
            </w:r>
          </w:p>
          <w:p>
            <w:pPr>
              <w:pStyle w:val="44"/>
              <w:keepNext w:val="0"/>
              <w:keepLines w:val="0"/>
              <w:pageBreakBefore w:val="0"/>
              <w:widowControl/>
              <w:kinsoku/>
              <w:wordWrap/>
              <w:overflowPunct/>
              <w:topLinePunct w:val="0"/>
              <w:bidi w:val="0"/>
              <w:snapToGrid/>
              <w:spacing w:before="29" w:line="400" w:lineRule="exact"/>
              <w:ind w:left="112" w:right="110"/>
              <w:jc w:val="left"/>
              <w:textAlignment w:val="auto"/>
              <w:rPr>
                <w:rFonts w:hint="eastAsia"/>
                <w:color w:val="auto"/>
                <w:sz w:val="28"/>
                <w:szCs w:val="28"/>
                <w:highlight w:val="none"/>
                <w:lang w:val="en-US" w:eastAsia="zh-CN"/>
              </w:rPr>
            </w:pPr>
            <w:r>
              <w:rPr>
                <w:rFonts w:hint="eastAsia"/>
                <w:color w:val="auto"/>
                <w:sz w:val="28"/>
                <w:szCs w:val="28"/>
                <w:highlight w:val="none"/>
                <w:lang w:val="en-US" w:eastAsia="zh-CN"/>
              </w:rPr>
              <w:t>（5）财政部、生态环境部《关于印发环境标志产品政府采购品目清单的通知》（财库[2019]18号文）；</w:t>
            </w:r>
          </w:p>
          <w:p>
            <w:pPr>
              <w:pStyle w:val="44"/>
              <w:keepNext w:val="0"/>
              <w:keepLines w:val="0"/>
              <w:pageBreakBefore w:val="0"/>
              <w:widowControl/>
              <w:kinsoku/>
              <w:wordWrap/>
              <w:overflowPunct/>
              <w:topLinePunct w:val="0"/>
              <w:bidi w:val="0"/>
              <w:snapToGrid/>
              <w:spacing w:before="29" w:line="400" w:lineRule="exact"/>
              <w:ind w:left="112" w:right="110"/>
              <w:jc w:val="left"/>
              <w:textAlignment w:val="auto"/>
              <w:rPr>
                <w:rFonts w:hint="eastAsia"/>
                <w:color w:val="auto"/>
                <w:sz w:val="28"/>
                <w:szCs w:val="28"/>
                <w:highlight w:val="none"/>
                <w:lang w:val="en-US" w:eastAsia="zh-CN"/>
              </w:rPr>
            </w:pPr>
            <w:r>
              <w:rPr>
                <w:rFonts w:hint="eastAsia"/>
                <w:color w:val="auto"/>
                <w:sz w:val="28"/>
                <w:szCs w:val="28"/>
                <w:highlight w:val="none"/>
                <w:lang w:val="en-US" w:eastAsia="zh-CN"/>
              </w:rPr>
              <w:t>（6）财政部、发展改革委《关于印发节能产品政府采购品目清单的通知》（财库[2019]19号文）；</w:t>
            </w:r>
          </w:p>
          <w:p>
            <w:pPr>
              <w:pStyle w:val="44"/>
              <w:keepNext w:val="0"/>
              <w:keepLines w:val="0"/>
              <w:pageBreakBefore w:val="0"/>
              <w:widowControl/>
              <w:kinsoku/>
              <w:wordWrap/>
              <w:overflowPunct/>
              <w:topLinePunct w:val="0"/>
              <w:bidi w:val="0"/>
              <w:snapToGrid/>
              <w:spacing w:before="29" w:line="400" w:lineRule="exact"/>
              <w:ind w:left="112" w:right="110"/>
              <w:jc w:val="left"/>
              <w:textAlignment w:val="auto"/>
              <w:rPr>
                <w:rFonts w:hint="eastAsia"/>
                <w:color w:val="auto"/>
                <w:sz w:val="28"/>
                <w:szCs w:val="28"/>
                <w:highlight w:val="none"/>
                <w:lang w:val="en-US" w:eastAsia="zh-CN"/>
              </w:rPr>
            </w:pPr>
            <w:r>
              <w:rPr>
                <w:rFonts w:hint="eastAsia"/>
                <w:color w:val="auto"/>
                <w:sz w:val="28"/>
                <w:szCs w:val="28"/>
                <w:highlight w:val="none"/>
                <w:lang w:val="en-US" w:eastAsia="zh-CN"/>
              </w:rPr>
              <w:t>（7）节能、环境标志产品评审优惠内容及加分幅度：</w:t>
            </w:r>
          </w:p>
          <w:p>
            <w:pPr>
              <w:pStyle w:val="44"/>
              <w:keepNext w:val="0"/>
              <w:keepLines w:val="0"/>
              <w:pageBreakBefore w:val="0"/>
              <w:widowControl/>
              <w:kinsoku/>
              <w:wordWrap/>
              <w:overflowPunct/>
              <w:topLinePunct w:val="0"/>
              <w:bidi w:val="0"/>
              <w:snapToGrid/>
              <w:spacing w:before="29" w:line="400" w:lineRule="exact"/>
              <w:ind w:left="112" w:right="110"/>
              <w:jc w:val="left"/>
              <w:textAlignment w:val="auto"/>
              <w:rPr>
                <w:rFonts w:hint="eastAsia"/>
                <w:color w:val="auto"/>
                <w:sz w:val="28"/>
                <w:szCs w:val="28"/>
                <w:highlight w:val="none"/>
                <w:lang w:eastAsia="zh-CN"/>
              </w:rPr>
            </w:pPr>
            <w:r>
              <w:rPr>
                <w:rFonts w:hint="eastAsia"/>
                <w:color w:val="auto"/>
                <w:sz w:val="28"/>
                <w:szCs w:val="28"/>
                <w:highlight w:val="none"/>
                <w:lang w:val="en-US" w:eastAsia="zh-CN"/>
              </w:rPr>
              <w:t>严格执行《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或环境标志产品认证证书，否则投标无效；属于政府优先采购产品类别的，须按照要求提供依据国家确定的认证机构出具的、处于有效期之内的节能产品或环境标志产品认证证书，否则不予认定。</w:t>
            </w:r>
          </w:p>
          <w:p>
            <w:pPr>
              <w:pStyle w:val="44"/>
              <w:keepNext w:val="0"/>
              <w:keepLines w:val="0"/>
              <w:pageBreakBefore w:val="0"/>
              <w:widowControl/>
              <w:numPr>
                <w:ilvl w:val="0"/>
                <w:numId w:val="3"/>
              </w:numPr>
              <w:kinsoku/>
              <w:wordWrap/>
              <w:overflowPunct/>
              <w:topLinePunct w:val="0"/>
              <w:bidi w:val="0"/>
              <w:snapToGrid/>
              <w:spacing w:before="29" w:line="400" w:lineRule="exact"/>
              <w:ind w:left="112" w:right="110"/>
              <w:jc w:val="left"/>
              <w:textAlignment w:val="auto"/>
              <w:rPr>
                <w:rFonts w:hint="eastAsia"/>
                <w:color w:val="auto"/>
                <w:sz w:val="28"/>
                <w:szCs w:val="28"/>
                <w:highlight w:val="none"/>
                <w:lang w:val="en-US" w:eastAsia="zh-CN"/>
              </w:rPr>
            </w:pPr>
            <w:r>
              <w:rPr>
                <w:rFonts w:hint="eastAsia"/>
                <w:color w:val="auto"/>
                <w:sz w:val="28"/>
                <w:szCs w:val="28"/>
                <w:highlight w:val="none"/>
                <w:lang w:val="en-US" w:eastAsia="zh-CN"/>
              </w:rPr>
              <w:t>财政部、工业和信息化部关于印发《政府采购促进中小企业发展管理办法》的通知（财库〔2020〕46号）和《关于进一步加大政府采购支持中小企业力度的通知》财库〔2022〕19号规定：</w:t>
            </w:r>
          </w:p>
          <w:p>
            <w:pPr>
              <w:pStyle w:val="44"/>
              <w:keepNext w:val="0"/>
              <w:keepLines w:val="0"/>
              <w:pageBreakBefore w:val="0"/>
              <w:widowControl/>
              <w:numPr>
                <w:ilvl w:val="0"/>
                <w:numId w:val="0"/>
              </w:numPr>
              <w:kinsoku/>
              <w:wordWrap/>
              <w:overflowPunct/>
              <w:topLinePunct w:val="0"/>
              <w:bidi w:val="0"/>
              <w:snapToGrid/>
              <w:spacing w:before="29" w:line="400" w:lineRule="exact"/>
              <w:ind w:right="110" w:rightChars="0" w:firstLine="560" w:firstLineChars="200"/>
              <w:jc w:val="left"/>
              <w:textAlignment w:val="auto"/>
              <w:rPr>
                <w:rFonts w:hint="eastAsia"/>
                <w:color w:val="auto"/>
                <w:sz w:val="28"/>
                <w:szCs w:val="28"/>
                <w:highlight w:val="none"/>
                <w:lang w:val="en-US" w:eastAsia="zh-CN"/>
              </w:rPr>
            </w:pPr>
            <w:r>
              <w:rPr>
                <w:rFonts w:hint="eastAsia"/>
                <w:color w:val="auto"/>
                <w:sz w:val="28"/>
                <w:szCs w:val="28"/>
                <w:highlight w:val="none"/>
                <w:lang w:val="en-US" w:eastAsia="zh-CN"/>
              </w:rPr>
              <w:t>①采购限额标准以上，200万元以下的货物和服务采购项目、400万元以下的工程采购项目，适宜由中小企业提供的，采购人应当专门面向中小企业采购。</w:t>
            </w:r>
          </w:p>
          <w:p>
            <w:pPr>
              <w:pStyle w:val="44"/>
              <w:keepNext w:val="0"/>
              <w:keepLines w:val="0"/>
              <w:pageBreakBefore w:val="0"/>
              <w:widowControl/>
              <w:numPr>
                <w:ilvl w:val="0"/>
                <w:numId w:val="0"/>
              </w:numPr>
              <w:kinsoku/>
              <w:wordWrap/>
              <w:overflowPunct/>
              <w:topLinePunct w:val="0"/>
              <w:bidi w:val="0"/>
              <w:snapToGrid/>
              <w:spacing w:before="29" w:line="400" w:lineRule="exact"/>
              <w:ind w:right="110" w:rightChars="0" w:firstLine="560" w:firstLineChars="200"/>
              <w:jc w:val="left"/>
              <w:textAlignment w:val="auto"/>
              <w:rPr>
                <w:rFonts w:hint="eastAsia"/>
                <w:color w:val="auto"/>
                <w:sz w:val="28"/>
                <w:szCs w:val="28"/>
                <w:highlight w:val="none"/>
                <w:lang w:val="en-US" w:eastAsia="zh-CN"/>
              </w:rPr>
            </w:pPr>
            <w:r>
              <w:rPr>
                <w:rFonts w:hint="eastAsia"/>
                <w:color w:val="auto"/>
                <w:sz w:val="28"/>
                <w:szCs w:val="28"/>
                <w:highlight w:val="none"/>
                <w:lang w:val="en-US" w:eastAsia="zh-CN"/>
              </w:rPr>
              <w:t>②超过200万元的货物和服务采购项目、超过400万元的工程采购项目中适宜由中小企业提供的，预留该部分采购项目预算总额的40%以上专门面向中小企业采购，其中预留给小微企业的比例不低于70%。</w:t>
            </w:r>
          </w:p>
          <w:p>
            <w:pPr>
              <w:pStyle w:val="44"/>
              <w:keepNext w:val="0"/>
              <w:keepLines w:val="0"/>
              <w:pageBreakBefore w:val="0"/>
              <w:widowControl/>
              <w:numPr>
                <w:ilvl w:val="0"/>
                <w:numId w:val="0"/>
              </w:numPr>
              <w:kinsoku/>
              <w:wordWrap/>
              <w:overflowPunct/>
              <w:topLinePunct w:val="0"/>
              <w:bidi w:val="0"/>
              <w:snapToGrid/>
              <w:spacing w:before="29" w:line="400" w:lineRule="exact"/>
              <w:ind w:right="110" w:rightChars="0" w:firstLine="560" w:firstLineChars="200"/>
              <w:jc w:val="left"/>
              <w:textAlignment w:val="auto"/>
              <w:rPr>
                <w:rFonts w:ascii="仿宋" w:hAnsi="仿宋" w:eastAsia="仿宋" w:cs="仿宋"/>
                <w:color w:val="auto"/>
                <w:spacing w:val="3"/>
                <w:sz w:val="28"/>
                <w:szCs w:val="28"/>
                <w:highlight w:val="none"/>
              </w:rPr>
            </w:pPr>
            <w:r>
              <w:rPr>
                <w:rFonts w:hint="eastAsia"/>
                <w:color w:val="auto"/>
                <w:sz w:val="28"/>
                <w:szCs w:val="28"/>
                <w:highlight w:val="none"/>
                <w:lang w:val="en-US" w:eastAsia="zh-CN"/>
              </w:rPr>
              <w:t>③对于未预留份额专门面向中小企业的采购项目，以及预留份额项目中的非预留部分采购包，采购人、采购代理机构应当对符合规定的小微企业报价给予 10%~20% (工程项目为6%~10%) 的扣除，用扣除后的价格参加评审。适用招标投标法的政府采购工程建设项目，采用综合评估法但未采用低价优先法计算价格分的，评标时应当在采用原报价进行评分的基础上增加其价格得分的6%~10%作为其价格分</w:t>
            </w:r>
            <w:r>
              <w:rPr>
                <w:rFonts w:ascii="仿宋" w:hAnsi="仿宋" w:eastAsia="仿宋" w:cs="仿宋"/>
                <w:color w:val="auto"/>
                <w:spacing w:val="3"/>
                <w:sz w:val="28"/>
                <w:szCs w:val="28"/>
                <w:highlight w:val="none"/>
              </w:rPr>
              <w:t>。</w:t>
            </w:r>
          </w:p>
          <w:p>
            <w:pPr>
              <w:pStyle w:val="44"/>
              <w:keepNext w:val="0"/>
              <w:keepLines w:val="0"/>
              <w:pageBreakBefore w:val="0"/>
              <w:widowControl/>
              <w:kinsoku/>
              <w:wordWrap/>
              <w:overflowPunct/>
              <w:topLinePunct w:val="0"/>
              <w:bidi w:val="0"/>
              <w:snapToGrid/>
              <w:spacing w:before="29" w:line="400" w:lineRule="exact"/>
              <w:ind w:left="112" w:right="110"/>
              <w:jc w:val="left"/>
              <w:textAlignment w:val="auto"/>
              <w:rPr>
                <w:rFonts w:hint="eastAsia"/>
                <w:color w:val="auto"/>
                <w:sz w:val="28"/>
                <w:szCs w:val="28"/>
                <w:highlight w:val="none"/>
                <w:lang w:val="en-US" w:eastAsia="zh-CN"/>
              </w:rPr>
            </w:pPr>
            <w:r>
              <w:rPr>
                <w:rFonts w:hint="eastAsia"/>
                <w:color w:val="auto"/>
                <w:sz w:val="28"/>
                <w:szCs w:val="28"/>
                <w:highlight w:val="none"/>
                <w:lang w:val="en-US" w:eastAsia="zh-CN"/>
              </w:rPr>
              <w:t>（9）在政府采购活动中，供应商提供的货物、工程或者服务符合下列情形的，享受本办法规定的中小企业扶持政策：</w:t>
            </w:r>
          </w:p>
          <w:p>
            <w:pPr>
              <w:pStyle w:val="44"/>
              <w:keepNext w:val="0"/>
              <w:keepLines w:val="0"/>
              <w:pageBreakBefore w:val="0"/>
              <w:widowControl/>
              <w:kinsoku/>
              <w:wordWrap/>
              <w:overflowPunct/>
              <w:topLinePunct w:val="0"/>
              <w:bidi w:val="0"/>
              <w:snapToGrid/>
              <w:spacing w:before="29" w:line="400" w:lineRule="exact"/>
              <w:ind w:left="112" w:right="110"/>
              <w:jc w:val="left"/>
              <w:textAlignment w:val="auto"/>
              <w:rPr>
                <w:rFonts w:hint="eastAsia"/>
                <w:color w:val="auto"/>
                <w:sz w:val="28"/>
                <w:szCs w:val="28"/>
                <w:highlight w:val="none"/>
                <w:lang w:val="en-US" w:eastAsia="zh-CN"/>
              </w:rPr>
            </w:pPr>
            <w:r>
              <w:rPr>
                <w:rFonts w:hint="eastAsia"/>
                <w:color w:val="auto"/>
                <w:sz w:val="28"/>
                <w:szCs w:val="28"/>
                <w:highlight w:val="none"/>
                <w:lang w:val="en-US" w:eastAsia="zh-CN"/>
              </w:rPr>
              <w:t>（一）在货物采购项目中，货物由中小企业制造，即货物由中小企业生产且使用该中小企业商号或者注册商标；</w:t>
            </w:r>
          </w:p>
          <w:p>
            <w:pPr>
              <w:pStyle w:val="44"/>
              <w:keepNext w:val="0"/>
              <w:keepLines w:val="0"/>
              <w:pageBreakBefore w:val="0"/>
              <w:widowControl/>
              <w:kinsoku/>
              <w:wordWrap/>
              <w:overflowPunct/>
              <w:topLinePunct w:val="0"/>
              <w:bidi w:val="0"/>
              <w:snapToGrid/>
              <w:spacing w:before="29" w:line="400" w:lineRule="exact"/>
              <w:ind w:left="112" w:right="110"/>
              <w:jc w:val="left"/>
              <w:textAlignment w:val="auto"/>
              <w:rPr>
                <w:rFonts w:hint="eastAsia"/>
                <w:color w:val="auto"/>
                <w:sz w:val="28"/>
                <w:szCs w:val="28"/>
                <w:highlight w:val="none"/>
                <w:lang w:val="en-US" w:eastAsia="zh-CN"/>
              </w:rPr>
            </w:pPr>
            <w:r>
              <w:rPr>
                <w:rFonts w:hint="eastAsia"/>
                <w:color w:val="auto"/>
                <w:sz w:val="28"/>
                <w:szCs w:val="28"/>
                <w:highlight w:val="none"/>
                <w:lang w:val="en-US" w:eastAsia="zh-CN"/>
              </w:rPr>
              <w:t>（二）在工程采购项目中，工程由中小企业承建，即工程施工单位为中小企业；</w:t>
            </w:r>
          </w:p>
          <w:p>
            <w:pPr>
              <w:pStyle w:val="44"/>
              <w:keepNext w:val="0"/>
              <w:keepLines w:val="0"/>
              <w:pageBreakBefore w:val="0"/>
              <w:widowControl/>
              <w:kinsoku/>
              <w:wordWrap/>
              <w:overflowPunct/>
              <w:topLinePunct w:val="0"/>
              <w:bidi w:val="0"/>
              <w:snapToGrid/>
              <w:spacing w:before="29" w:line="400" w:lineRule="exact"/>
              <w:ind w:left="112" w:right="110"/>
              <w:jc w:val="left"/>
              <w:textAlignment w:val="auto"/>
              <w:rPr>
                <w:rFonts w:hint="eastAsia"/>
                <w:color w:val="auto"/>
                <w:sz w:val="28"/>
                <w:szCs w:val="28"/>
                <w:highlight w:val="none"/>
                <w:lang w:val="en-US" w:eastAsia="zh-CN"/>
              </w:rPr>
            </w:pPr>
            <w:r>
              <w:rPr>
                <w:rFonts w:hint="eastAsia"/>
                <w:color w:val="auto"/>
                <w:sz w:val="28"/>
                <w:szCs w:val="28"/>
                <w:highlight w:val="none"/>
                <w:lang w:val="en-US" w:eastAsia="zh-CN"/>
              </w:rPr>
              <w:t>（三）在服务采购项目中，服务由中小企业承接，即提供服务的人员为中小企业依照《中华人民共和国劳动合同法》订立劳动合同的从业人员。</w:t>
            </w:r>
          </w:p>
          <w:p>
            <w:pPr>
              <w:pStyle w:val="44"/>
              <w:keepNext w:val="0"/>
              <w:keepLines w:val="0"/>
              <w:pageBreakBefore w:val="0"/>
              <w:widowControl/>
              <w:kinsoku/>
              <w:wordWrap/>
              <w:overflowPunct/>
              <w:topLinePunct w:val="0"/>
              <w:bidi w:val="0"/>
              <w:snapToGrid/>
              <w:spacing w:before="29" w:line="400" w:lineRule="exact"/>
              <w:ind w:left="112" w:right="110"/>
              <w:jc w:val="left"/>
              <w:textAlignment w:val="auto"/>
              <w:rPr>
                <w:rFonts w:hint="eastAsia"/>
                <w:b/>
                <w:bCs/>
                <w:color w:val="auto"/>
                <w:sz w:val="28"/>
                <w:szCs w:val="28"/>
                <w:highlight w:val="none"/>
                <w:lang w:val="en-US" w:eastAsia="zh-CN"/>
              </w:rPr>
            </w:pPr>
            <w:r>
              <w:rPr>
                <w:rFonts w:hint="eastAsia"/>
                <w:b/>
                <w:bCs/>
                <w:color w:val="auto"/>
                <w:sz w:val="28"/>
                <w:szCs w:val="28"/>
                <w:highlight w:val="none"/>
                <w:lang w:val="en-US" w:eastAsia="zh-CN"/>
              </w:rPr>
              <w:t>在货物采购项目中，供应商提供的货物既有中小企业制造货物，也有大型企业制造货物的，不享受本办法规定的中小企业扶持政策。</w:t>
            </w:r>
          </w:p>
          <w:p>
            <w:pPr>
              <w:pStyle w:val="44"/>
              <w:keepNext w:val="0"/>
              <w:keepLines w:val="0"/>
              <w:pageBreakBefore w:val="0"/>
              <w:widowControl/>
              <w:kinsoku/>
              <w:wordWrap/>
              <w:overflowPunct/>
              <w:topLinePunct w:val="0"/>
              <w:bidi w:val="0"/>
              <w:snapToGrid/>
              <w:spacing w:before="29" w:line="400" w:lineRule="exact"/>
              <w:ind w:left="112" w:right="110"/>
              <w:jc w:val="left"/>
              <w:textAlignment w:val="auto"/>
              <w:rPr>
                <w:rFonts w:hint="eastAsia"/>
                <w:color w:val="auto"/>
                <w:sz w:val="28"/>
                <w:szCs w:val="28"/>
                <w:highlight w:val="none"/>
                <w:lang w:val="en-US" w:eastAsia="zh-CN"/>
              </w:rPr>
            </w:pPr>
            <w:r>
              <w:rPr>
                <w:rFonts w:hint="eastAsia"/>
                <w:color w:val="auto"/>
                <w:sz w:val="28"/>
                <w:szCs w:val="28"/>
                <w:highlight w:val="none"/>
                <w:lang w:val="en-US" w:eastAsia="zh-CN"/>
              </w:rPr>
              <w:t>以联合体形式参加政府采购活动，联合体各方均为中小企业的，联合体视同中小企业。其中，联合体各方均为小微企业的，联合体视同小微企业。</w:t>
            </w:r>
          </w:p>
          <w:p>
            <w:pPr>
              <w:pStyle w:val="44"/>
              <w:keepNext w:val="0"/>
              <w:keepLines w:val="0"/>
              <w:pageBreakBefore w:val="0"/>
              <w:widowControl/>
              <w:kinsoku/>
              <w:wordWrap/>
              <w:overflowPunct/>
              <w:topLinePunct w:val="0"/>
              <w:bidi w:val="0"/>
              <w:snapToGrid/>
              <w:spacing w:before="29" w:line="400" w:lineRule="exact"/>
              <w:ind w:left="112" w:right="110"/>
              <w:jc w:val="left"/>
              <w:textAlignment w:val="auto"/>
              <w:rPr>
                <w:rFonts w:hint="eastAsia"/>
                <w:color w:val="auto"/>
                <w:sz w:val="28"/>
                <w:szCs w:val="28"/>
                <w:highlight w:val="none"/>
                <w:lang w:val="en-US" w:eastAsia="zh-CN"/>
              </w:rPr>
            </w:pPr>
            <w:r>
              <w:rPr>
                <w:rFonts w:hint="eastAsia"/>
                <w:color w:val="auto"/>
                <w:sz w:val="28"/>
                <w:szCs w:val="28"/>
                <w:highlight w:val="none"/>
                <w:lang w:val="en-US" w:eastAsia="zh-CN"/>
              </w:rPr>
              <w:t>（10）享受扶持政策获得政府采购合同的，小微企业不得将合同分包给大中型企业，中型企业不得将合同分包给大型企业。</w:t>
            </w:r>
          </w:p>
          <w:p>
            <w:pPr>
              <w:pStyle w:val="44"/>
              <w:keepNext w:val="0"/>
              <w:keepLines w:val="0"/>
              <w:pageBreakBefore w:val="0"/>
              <w:widowControl/>
              <w:kinsoku/>
              <w:wordWrap/>
              <w:overflowPunct/>
              <w:topLinePunct w:val="0"/>
              <w:bidi w:val="0"/>
              <w:snapToGrid/>
              <w:spacing w:before="29" w:line="400" w:lineRule="exact"/>
              <w:ind w:left="112" w:right="110"/>
              <w:jc w:val="left"/>
              <w:textAlignment w:val="auto"/>
              <w:rPr>
                <w:rFonts w:hint="eastAsia"/>
                <w:color w:val="auto"/>
                <w:sz w:val="28"/>
                <w:szCs w:val="28"/>
                <w:highlight w:val="none"/>
                <w:lang w:val="en-US" w:eastAsia="zh-CN"/>
              </w:rPr>
            </w:pPr>
            <w:r>
              <w:rPr>
                <w:rFonts w:hint="eastAsia"/>
                <w:color w:val="auto"/>
                <w:sz w:val="28"/>
                <w:szCs w:val="28"/>
                <w:highlight w:val="none"/>
                <w:lang w:val="en-US" w:eastAsia="zh-CN"/>
              </w:rPr>
              <w:t>注：本项目1、产品符合促进中小企业（监狱企业、残疾人福利性单位）发展政策的，对</w:t>
            </w:r>
            <w:r>
              <w:rPr>
                <w:rFonts w:hint="eastAsia"/>
                <w:b/>
                <w:bCs/>
                <w:color w:val="auto"/>
                <w:sz w:val="28"/>
                <w:szCs w:val="28"/>
                <w:highlight w:val="none"/>
                <w:lang w:val="en-US" w:eastAsia="zh-CN"/>
              </w:rPr>
              <w:t>小型</w:t>
            </w:r>
            <w:r>
              <w:rPr>
                <w:rFonts w:hint="eastAsia"/>
                <w:color w:val="auto"/>
                <w:sz w:val="28"/>
                <w:szCs w:val="28"/>
                <w:highlight w:val="none"/>
                <w:lang w:val="en-US" w:eastAsia="zh-CN"/>
              </w:rPr>
              <w:t>和</w:t>
            </w:r>
            <w:r>
              <w:rPr>
                <w:rFonts w:hint="eastAsia"/>
                <w:b/>
                <w:bCs/>
                <w:color w:val="auto"/>
                <w:sz w:val="28"/>
                <w:szCs w:val="28"/>
                <w:highlight w:val="none"/>
                <w:lang w:val="en-US" w:eastAsia="zh-CN"/>
              </w:rPr>
              <w:t>微型</w:t>
            </w:r>
            <w:r>
              <w:rPr>
                <w:rFonts w:hint="eastAsia"/>
                <w:color w:val="auto"/>
                <w:sz w:val="28"/>
                <w:szCs w:val="28"/>
                <w:highlight w:val="none"/>
                <w:lang w:val="en-US" w:eastAsia="zh-CN"/>
              </w:rPr>
              <w:t xml:space="preserve">企业（监狱企业、残疾人福利性单位）产品的价格给予10%的扣除，用扣除后的价格参与评审打分。 </w:t>
            </w:r>
          </w:p>
          <w:p>
            <w:pPr>
              <w:pStyle w:val="44"/>
              <w:keepNext w:val="0"/>
              <w:keepLines w:val="0"/>
              <w:pageBreakBefore w:val="0"/>
              <w:widowControl/>
              <w:numPr>
                <w:ilvl w:val="0"/>
                <w:numId w:val="4"/>
              </w:numPr>
              <w:kinsoku/>
              <w:wordWrap/>
              <w:overflowPunct/>
              <w:topLinePunct w:val="0"/>
              <w:bidi w:val="0"/>
              <w:snapToGrid/>
              <w:spacing w:before="29" w:line="400" w:lineRule="exact"/>
              <w:ind w:left="112" w:right="110"/>
              <w:jc w:val="left"/>
              <w:textAlignment w:val="auto"/>
              <w:rPr>
                <w:rFonts w:hint="eastAsia"/>
                <w:color w:val="auto"/>
                <w:sz w:val="28"/>
                <w:szCs w:val="28"/>
                <w:highlight w:val="none"/>
                <w:lang w:val="en-US" w:eastAsia="zh-CN"/>
              </w:rPr>
            </w:pPr>
            <w:r>
              <w:rPr>
                <w:rFonts w:hint="eastAsia"/>
                <w:color w:val="auto"/>
                <w:sz w:val="28"/>
                <w:szCs w:val="28"/>
                <w:highlight w:val="none"/>
                <w:lang w:val="en-US" w:eastAsia="zh-CN"/>
              </w:rPr>
              <w:t>若投标人和小微企业的产品/服务制造商有一个符合</w:t>
            </w:r>
            <w:r>
              <w:rPr>
                <w:rFonts w:hint="eastAsia"/>
                <w:b/>
                <w:bCs/>
                <w:color w:val="auto"/>
                <w:sz w:val="28"/>
                <w:szCs w:val="28"/>
                <w:highlight w:val="none"/>
                <w:lang w:val="en-US" w:eastAsia="zh-CN"/>
              </w:rPr>
              <w:t>小微</w:t>
            </w:r>
            <w:r>
              <w:rPr>
                <w:rFonts w:hint="eastAsia"/>
                <w:color w:val="auto"/>
                <w:sz w:val="28"/>
                <w:szCs w:val="28"/>
                <w:highlight w:val="none"/>
                <w:lang w:val="en-US" w:eastAsia="zh-CN"/>
              </w:rPr>
              <w:t>企业条件，并且提供了《中小企业声明函》，则其评标价=投标人报价中属于</w:t>
            </w:r>
            <w:r>
              <w:rPr>
                <w:rFonts w:hint="eastAsia"/>
                <w:b/>
                <w:bCs/>
                <w:color w:val="auto"/>
                <w:sz w:val="28"/>
                <w:szCs w:val="28"/>
                <w:highlight w:val="none"/>
                <w:lang w:val="en-US" w:eastAsia="zh-CN"/>
              </w:rPr>
              <w:t>小型</w:t>
            </w:r>
            <w:r>
              <w:rPr>
                <w:rFonts w:hint="eastAsia"/>
                <w:color w:val="auto"/>
                <w:sz w:val="28"/>
                <w:szCs w:val="28"/>
                <w:highlight w:val="none"/>
                <w:lang w:val="en-US" w:eastAsia="zh-CN"/>
              </w:rPr>
              <w:t>和</w:t>
            </w:r>
            <w:r>
              <w:rPr>
                <w:rFonts w:hint="eastAsia"/>
                <w:b/>
                <w:bCs/>
                <w:color w:val="auto"/>
                <w:sz w:val="28"/>
                <w:szCs w:val="28"/>
                <w:highlight w:val="none"/>
                <w:lang w:val="en-US" w:eastAsia="zh-CN"/>
              </w:rPr>
              <w:t>微型</w:t>
            </w:r>
            <w:r>
              <w:rPr>
                <w:rFonts w:hint="eastAsia"/>
                <w:color w:val="auto"/>
                <w:sz w:val="28"/>
                <w:szCs w:val="28"/>
                <w:highlight w:val="none"/>
                <w:lang w:val="en-US" w:eastAsia="zh-CN"/>
              </w:rPr>
              <w:t>企业产品/服务的价格部分×（100%-10%）+投标人报价中不属于小型和微型企业产品/服务的价格部分；否则，其评标价=投标人报价。</w:t>
            </w:r>
          </w:p>
          <w:p>
            <w:pPr>
              <w:pStyle w:val="44"/>
              <w:keepNext w:val="0"/>
              <w:keepLines w:val="0"/>
              <w:pageBreakBefore w:val="0"/>
              <w:widowControl/>
              <w:kinsoku/>
              <w:wordWrap/>
              <w:overflowPunct/>
              <w:topLinePunct w:val="0"/>
              <w:bidi w:val="0"/>
              <w:snapToGrid/>
              <w:spacing w:before="29" w:line="400" w:lineRule="exact"/>
              <w:ind w:left="112" w:right="110"/>
              <w:jc w:val="left"/>
              <w:textAlignment w:val="auto"/>
              <w:rPr>
                <w:rFonts w:hint="eastAsia"/>
                <w:b/>
                <w:bCs/>
                <w:color w:val="auto"/>
                <w:sz w:val="28"/>
                <w:szCs w:val="28"/>
                <w:highlight w:val="none"/>
                <w:lang w:val="en-US" w:eastAsia="zh-CN"/>
              </w:rPr>
            </w:pPr>
            <w:r>
              <w:rPr>
                <w:rFonts w:hint="eastAsia"/>
                <w:color w:val="auto"/>
                <w:sz w:val="28"/>
                <w:szCs w:val="28"/>
                <w:highlight w:val="none"/>
                <w:lang w:val="en-US" w:eastAsia="zh-CN"/>
              </w:rPr>
              <w:t>3、</w:t>
            </w:r>
            <w:r>
              <w:rPr>
                <w:rFonts w:hint="eastAsia"/>
                <w:b/>
                <w:bCs/>
                <w:color w:val="auto"/>
                <w:sz w:val="28"/>
                <w:szCs w:val="28"/>
                <w:highlight w:val="none"/>
                <w:lang w:val="en-US" w:eastAsia="zh-CN"/>
              </w:rPr>
              <w:t>中型、小型、微型企业提供大型企业制造的货物的，视同为大型企业，不享受本项优惠。</w:t>
            </w:r>
          </w:p>
          <w:p>
            <w:pPr>
              <w:pStyle w:val="44"/>
              <w:keepNext w:val="0"/>
              <w:keepLines w:val="0"/>
              <w:pageBreakBefore w:val="0"/>
              <w:widowControl/>
              <w:kinsoku/>
              <w:wordWrap/>
              <w:overflowPunct/>
              <w:topLinePunct w:val="0"/>
              <w:bidi w:val="0"/>
              <w:snapToGrid/>
              <w:spacing w:before="29" w:line="400" w:lineRule="exact"/>
              <w:ind w:left="112" w:right="110"/>
              <w:jc w:val="left"/>
              <w:textAlignment w:val="auto"/>
              <w:rPr>
                <w:color w:val="auto"/>
                <w:sz w:val="28"/>
                <w:szCs w:val="28"/>
                <w:highlight w:val="none"/>
              </w:rPr>
            </w:pPr>
            <w:r>
              <w:rPr>
                <w:rFonts w:hint="eastAsia"/>
                <w:color w:val="auto"/>
                <w:sz w:val="28"/>
                <w:szCs w:val="28"/>
                <w:highlight w:val="none"/>
                <w:lang w:val="en-US" w:eastAsia="zh-CN"/>
              </w:rPr>
              <w:t>4、投标供应商须提供中小企业申明函。中小企业参加政府采购活动，应当出具本办法规定的《中小企业声明函》，否则不得享受相关中小企业扶持政策。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33" w:type="dxa"/>
            <w:vAlign w:val="center"/>
          </w:tcPr>
          <w:p>
            <w:pPr>
              <w:pStyle w:val="44"/>
              <w:keepNext w:val="0"/>
              <w:keepLines w:val="0"/>
              <w:pageBreakBefore w:val="0"/>
              <w:widowControl/>
              <w:kinsoku/>
              <w:wordWrap/>
              <w:overflowPunct/>
              <w:topLinePunct w:val="0"/>
              <w:bidi w:val="0"/>
              <w:snapToGrid/>
              <w:spacing w:before="65" w:line="400" w:lineRule="exact"/>
              <w:jc w:val="center"/>
              <w:textAlignment w:val="auto"/>
              <w:rPr>
                <w:color w:val="auto"/>
                <w:sz w:val="28"/>
                <w:szCs w:val="28"/>
              </w:rPr>
            </w:pPr>
            <w:r>
              <w:rPr>
                <w:color w:val="auto"/>
                <w:spacing w:val="-7"/>
                <w:sz w:val="28"/>
                <w:szCs w:val="28"/>
              </w:rPr>
              <w:t>11</w:t>
            </w:r>
          </w:p>
        </w:tc>
        <w:tc>
          <w:tcPr>
            <w:tcW w:w="1675" w:type="dxa"/>
            <w:vAlign w:val="center"/>
          </w:tcPr>
          <w:p>
            <w:pPr>
              <w:pStyle w:val="44"/>
              <w:keepNext w:val="0"/>
              <w:keepLines w:val="0"/>
              <w:pageBreakBefore w:val="0"/>
              <w:widowControl/>
              <w:kinsoku/>
              <w:wordWrap/>
              <w:overflowPunct/>
              <w:topLinePunct w:val="0"/>
              <w:bidi w:val="0"/>
              <w:snapToGrid/>
              <w:spacing w:before="34" w:line="400" w:lineRule="exact"/>
              <w:jc w:val="center"/>
              <w:textAlignment w:val="auto"/>
              <w:rPr>
                <w:color w:val="auto"/>
                <w:sz w:val="28"/>
                <w:szCs w:val="28"/>
              </w:rPr>
            </w:pPr>
            <w:r>
              <w:rPr>
                <w:color w:val="auto"/>
                <w:spacing w:val="7"/>
                <w:sz w:val="28"/>
                <w:szCs w:val="28"/>
              </w:rPr>
              <w:t>项目采购标的</w:t>
            </w:r>
            <w:r>
              <w:rPr>
                <w:color w:val="auto"/>
                <w:spacing w:val="8"/>
                <w:sz w:val="28"/>
                <w:szCs w:val="28"/>
              </w:rPr>
              <w:t>对应的中小企业划分标准所</w:t>
            </w:r>
            <w:r>
              <w:rPr>
                <w:color w:val="auto"/>
                <w:spacing w:val="6"/>
                <w:sz w:val="28"/>
                <w:szCs w:val="28"/>
              </w:rPr>
              <w:t>属行业</w:t>
            </w:r>
          </w:p>
        </w:tc>
        <w:tc>
          <w:tcPr>
            <w:tcW w:w="7594" w:type="dxa"/>
            <w:vAlign w:val="center"/>
          </w:tcPr>
          <w:p>
            <w:pPr>
              <w:pStyle w:val="44"/>
              <w:keepNext w:val="0"/>
              <w:keepLines w:val="0"/>
              <w:pageBreakBefore w:val="0"/>
              <w:widowControl/>
              <w:kinsoku/>
              <w:wordWrap/>
              <w:overflowPunct/>
              <w:topLinePunct w:val="0"/>
              <w:bidi w:val="0"/>
              <w:snapToGrid/>
              <w:spacing w:before="65" w:line="400" w:lineRule="exact"/>
              <w:ind w:left="116"/>
              <w:jc w:val="left"/>
              <w:textAlignment w:val="auto"/>
              <w:rPr>
                <w:rFonts w:hint="default" w:eastAsia="宋体"/>
                <w:color w:val="auto"/>
                <w:sz w:val="28"/>
                <w:szCs w:val="28"/>
                <w:lang w:val="en-US" w:eastAsia="zh-CN"/>
              </w:rPr>
            </w:pPr>
            <w:r>
              <w:rPr>
                <w:rFonts w:hint="eastAsia"/>
                <w:color w:val="auto"/>
                <w:sz w:val="28"/>
                <w:szCs w:val="28"/>
                <w:lang w:val="en-US" w:eastAsia="zh-CN"/>
              </w:rPr>
              <w:t>批发业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 w:hRule="atLeast"/>
        </w:trPr>
        <w:tc>
          <w:tcPr>
            <w:tcW w:w="733" w:type="dxa"/>
            <w:vAlign w:val="center"/>
          </w:tcPr>
          <w:p>
            <w:pPr>
              <w:keepNext w:val="0"/>
              <w:keepLines w:val="0"/>
              <w:pageBreakBefore w:val="0"/>
              <w:widowControl/>
              <w:kinsoku/>
              <w:wordWrap/>
              <w:overflowPunct/>
              <w:topLinePunct w:val="0"/>
              <w:bidi w:val="0"/>
              <w:snapToGrid/>
              <w:spacing w:line="400" w:lineRule="exact"/>
              <w:jc w:val="center"/>
              <w:textAlignment w:val="auto"/>
              <w:rPr>
                <w:rFonts w:ascii="Arial"/>
                <w:color w:val="auto"/>
                <w:sz w:val="28"/>
                <w:szCs w:val="28"/>
              </w:rPr>
            </w:pPr>
          </w:p>
          <w:p>
            <w:pPr>
              <w:keepNext w:val="0"/>
              <w:keepLines w:val="0"/>
              <w:pageBreakBefore w:val="0"/>
              <w:widowControl/>
              <w:kinsoku/>
              <w:wordWrap/>
              <w:overflowPunct/>
              <w:topLinePunct w:val="0"/>
              <w:bidi w:val="0"/>
              <w:snapToGrid/>
              <w:spacing w:line="400" w:lineRule="exact"/>
              <w:jc w:val="center"/>
              <w:textAlignment w:val="auto"/>
              <w:rPr>
                <w:rFonts w:ascii="Arial"/>
                <w:color w:val="auto"/>
                <w:sz w:val="28"/>
                <w:szCs w:val="28"/>
              </w:rPr>
            </w:pPr>
          </w:p>
          <w:p>
            <w:pPr>
              <w:keepNext w:val="0"/>
              <w:keepLines w:val="0"/>
              <w:pageBreakBefore w:val="0"/>
              <w:widowControl/>
              <w:kinsoku/>
              <w:wordWrap/>
              <w:overflowPunct/>
              <w:topLinePunct w:val="0"/>
              <w:bidi w:val="0"/>
              <w:snapToGrid/>
              <w:spacing w:line="400" w:lineRule="exact"/>
              <w:jc w:val="center"/>
              <w:textAlignment w:val="auto"/>
              <w:rPr>
                <w:rFonts w:ascii="Arial"/>
                <w:color w:val="auto"/>
                <w:sz w:val="28"/>
                <w:szCs w:val="28"/>
              </w:rPr>
            </w:pPr>
          </w:p>
          <w:p>
            <w:pPr>
              <w:keepNext w:val="0"/>
              <w:keepLines w:val="0"/>
              <w:pageBreakBefore w:val="0"/>
              <w:widowControl/>
              <w:kinsoku/>
              <w:wordWrap/>
              <w:overflowPunct/>
              <w:topLinePunct w:val="0"/>
              <w:bidi w:val="0"/>
              <w:snapToGrid/>
              <w:spacing w:line="400" w:lineRule="exact"/>
              <w:jc w:val="center"/>
              <w:textAlignment w:val="auto"/>
              <w:rPr>
                <w:rFonts w:ascii="Arial"/>
                <w:color w:val="auto"/>
                <w:sz w:val="28"/>
                <w:szCs w:val="28"/>
              </w:rPr>
            </w:pPr>
          </w:p>
          <w:p>
            <w:pPr>
              <w:keepNext w:val="0"/>
              <w:keepLines w:val="0"/>
              <w:pageBreakBefore w:val="0"/>
              <w:widowControl/>
              <w:kinsoku/>
              <w:wordWrap/>
              <w:overflowPunct/>
              <w:topLinePunct w:val="0"/>
              <w:bidi w:val="0"/>
              <w:snapToGrid/>
              <w:spacing w:line="400" w:lineRule="exact"/>
              <w:jc w:val="center"/>
              <w:textAlignment w:val="auto"/>
              <w:rPr>
                <w:rFonts w:ascii="Arial"/>
                <w:color w:val="auto"/>
                <w:sz w:val="28"/>
                <w:szCs w:val="28"/>
              </w:rPr>
            </w:pPr>
          </w:p>
          <w:p>
            <w:pPr>
              <w:keepNext w:val="0"/>
              <w:keepLines w:val="0"/>
              <w:pageBreakBefore w:val="0"/>
              <w:widowControl/>
              <w:kinsoku/>
              <w:wordWrap/>
              <w:overflowPunct/>
              <w:topLinePunct w:val="0"/>
              <w:bidi w:val="0"/>
              <w:snapToGrid/>
              <w:spacing w:line="400" w:lineRule="exact"/>
              <w:jc w:val="center"/>
              <w:textAlignment w:val="auto"/>
              <w:rPr>
                <w:rFonts w:ascii="Arial"/>
                <w:color w:val="auto"/>
                <w:sz w:val="28"/>
                <w:szCs w:val="28"/>
              </w:rPr>
            </w:pPr>
          </w:p>
          <w:p>
            <w:pPr>
              <w:keepNext w:val="0"/>
              <w:keepLines w:val="0"/>
              <w:pageBreakBefore w:val="0"/>
              <w:widowControl/>
              <w:kinsoku/>
              <w:wordWrap/>
              <w:overflowPunct/>
              <w:topLinePunct w:val="0"/>
              <w:bidi w:val="0"/>
              <w:snapToGrid/>
              <w:spacing w:line="400" w:lineRule="exact"/>
              <w:jc w:val="center"/>
              <w:textAlignment w:val="auto"/>
              <w:rPr>
                <w:rFonts w:ascii="Arial"/>
                <w:color w:val="auto"/>
                <w:sz w:val="28"/>
                <w:szCs w:val="28"/>
              </w:rPr>
            </w:pPr>
          </w:p>
          <w:p>
            <w:pPr>
              <w:keepNext w:val="0"/>
              <w:keepLines w:val="0"/>
              <w:pageBreakBefore w:val="0"/>
              <w:widowControl/>
              <w:kinsoku/>
              <w:wordWrap/>
              <w:overflowPunct/>
              <w:topLinePunct w:val="0"/>
              <w:bidi w:val="0"/>
              <w:snapToGrid/>
              <w:spacing w:line="400" w:lineRule="exact"/>
              <w:jc w:val="center"/>
              <w:textAlignment w:val="auto"/>
              <w:rPr>
                <w:rFonts w:ascii="Arial"/>
                <w:color w:val="auto"/>
                <w:sz w:val="28"/>
                <w:szCs w:val="28"/>
              </w:rPr>
            </w:pPr>
          </w:p>
          <w:p>
            <w:pPr>
              <w:keepNext w:val="0"/>
              <w:keepLines w:val="0"/>
              <w:pageBreakBefore w:val="0"/>
              <w:widowControl/>
              <w:kinsoku/>
              <w:wordWrap/>
              <w:overflowPunct/>
              <w:topLinePunct w:val="0"/>
              <w:bidi w:val="0"/>
              <w:snapToGrid/>
              <w:spacing w:line="400" w:lineRule="exact"/>
              <w:jc w:val="center"/>
              <w:textAlignment w:val="auto"/>
              <w:rPr>
                <w:rFonts w:ascii="Arial"/>
                <w:color w:val="auto"/>
                <w:sz w:val="28"/>
                <w:szCs w:val="28"/>
              </w:rPr>
            </w:pPr>
          </w:p>
          <w:p>
            <w:pPr>
              <w:keepNext w:val="0"/>
              <w:keepLines w:val="0"/>
              <w:pageBreakBefore w:val="0"/>
              <w:widowControl/>
              <w:kinsoku/>
              <w:wordWrap/>
              <w:overflowPunct/>
              <w:topLinePunct w:val="0"/>
              <w:bidi w:val="0"/>
              <w:snapToGrid/>
              <w:spacing w:line="400" w:lineRule="exact"/>
              <w:jc w:val="center"/>
              <w:textAlignment w:val="auto"/>
              <w:rPr>
                <w:rFonts w:ascii="Arial"/>
                <w:color w:val="auto"/>
                <w:sz w:val="28"/>
                <w:szCs w:val="28"/>
              </w:rPr>
            </w:pPr>
          </w:p>
          <w:p>
            <w:pPr>
              <w:keepNext w:val="0"/>
              <w:keepLines w:val="0"/>
              <w:pageBreakBefore w:val="0"/>
              <w:widowControl/>
              <w:kinsoku/>
              <w:wordWrap/>
              <w:overflowPunct/>
              <w:topLinePunct w:val="0"/>
              <w:bidi w:val="0"/>
              <w:snapToGrid/>
              <w:spacing w:line="400" w:lineRule="exact"/>
              <w:jc w:val="center"/>
              <w:textAlignment w:val="auto"/>
              <w:rPr>
                <w:rFonts w:ascii="Arial"/>
                <w:color w:val="auto"/>
                <w:sz w:val="28"/>
                <w:szCs w:val="28"/>
              </w:rPr>
            </w:pPr>
          </w:p>
          <w:p>
            <w:pPr>
              <w:keepNext w:val="0"/>
              <w:keepLines w:val="0"/>
              <w:pageBreakBefore w:val="0"/>
              <w:widowControl/>
              <w:kinsoku/>
              <w:wordWrap/>
              <w:overflowPunct/>
              <w:topLinePunct w:val="0"/>
              <w:bidi w:val="0"/>
              <w:snapToGrid/>
              <w:spacing w:line="400" w:lineRule="exact"/>
              <w:jc w:val="center"/>
              <w:textAlignment w:val="auto"/>
              <w:rPr>
                <w:rFonts w:ascii="Arial"/>
                <w:color w:val="auto"/>
                <w:sz w:val="28"/>
                <w:szCs w:val="28"/>
              </w:rPr>
            </w:pPr>
          </w:p>
          <w:p>
            <w:pPr>
              <w:pStyle w:val="44"/>
              <w:keepNext w:val="0"/>
              <w:keepLines w:val="0"/>
              <w:pageBreakBefore w:val="0"/>
              <w:widowControl/>
              <w:kinsoku/>
              <w:wordWrap/>
              <w:overflowPunct/>
              <w:topLinePunct w:val="0"/>
              <w:bidi w:val="0"/>
              <w:snapToGrid/>
              <w:spacing w:before="65" w:line="400" w:lineRule="exact"/>
              <w:ind w:left="281"/>
              <w:jc w:val="center"/>
              <w:textAlignment w:val="auto"/>
              <w:rPr>
                <w:color w:val="auto"/>
                <w:sz w:val="28"/>
                <w:szCs w:val="28"/>
              </w:rPr>
            </w:pPr>
            <w:r>
              <w:rPr>
                <w:color w:val="auto"/>
                <w:spacing w:val="-7"/>
                <w:sz w:val="28"/>
                <w:szCs w:val="28"/>
              </w:rPr>
              <w:t>12</w:t>
            </w:r>
          </w:p>
        </w:tc>
        <w:tc>
          <w:tcPr>
            <w:tcW w:w="1675" w:type="dxa"/>
            <w:vAlign w:val="center"/>
          </w:tcPr>
          <w:p>
            <w:pPr>
              <w:pStyle w:val="44"/>
              <w:keepNext w:val="0"/>
              <w:keepLines w:val="0"/>
              <w:pageBreakBefore w:val="0"/>
              <w:widowControl/>
              <w:kinsoku/>
              <w:wordWrap/>
              <w:overflowPunct/>
              <w:topLinePunct w:val="0"/>
              <w:bidi w:val="0"/>
              <w:snapToGrid/>
              <w:spacing w:before="65" w:line="400" w:lineRule="exact"/>
              <w:ind w:right="208"/>
              <w:jc w:val="center"/>
              <w:textAlignment w:val="auto"/>
              <w:rPr>
                <w:color w:val="auto"/>
                <w:spacing w:val="8"/>
                <w:sz w:val="28"/>
                <w:szCs w:val="28"/>
              </w:rPr>
            </w:pPr>
          </w:p>
          <w:p>
            <w:pPr>
              <w:pStyle w:val="44"/>
              <w:keepNext w:val="0"/>
              <w:keepLines w:val="0"/>
              <w:pageBreakBefore w:val="0"/>
              <w:widowControl/>
              <w:kinsoku/>
              <w:wordWrap/>
              <w:overflowPunct/>
              <w:topLinePunct w:val="0"/>
              <w:bidi w:val="0"/>
              <w:snapToGrid/>
              <w:spacing w:before="65" w:line="400" w:lineRule="exact"/>
              <w:ind w:right="208"/>
              <w:jc w:val="center"/>
              <w:textAlignment w:val="auto"/>
              <w:rPr>
                <w:color w:val="auto"/>
                <w:spacing w:val="8"/>
                <w:sz w:val="28"/>
                <w:szCs w:val="28"/>
              </w:rPr>
            </w:pPr>
          </w:p>
          <w:p>
            <w:pPr>
              <w:pStyle w:val="44"/>
              <w:keepNext w:val="0"/>
              <w:keepLines w:val="0"/>
              <w:pageBreakBefore w:val="0"/>
              <w:widowControl/>
              <w:kinsoku/>
              <w:wordWrap/>
              <w:overflowPunct/>
              <w:topLinePunct w:val="0"/>
              <w:bidi w:val="0"/>
              <w:snapToGrid/>
              <w:spacing w:before="65" w:line="400" w:lineRule="exact"/>
              <w:ind w:right="208"/>
              <w:jc w:val="center"/>
              <w:textAlignment w:val="auto"/>
              <w:rPr>
                <w:color w:val="auto"/>
                <w:spacing w:val="8"/>
                <w:sz w:val="28"/>
                <w:szCs w:val="28"/>
              </w:rPr>
            </w:pPr>
          </w:p>
          <w:p>
            <w:pPr>
              <w:pStyle w:val="44"/>
              <w:keepNext w:val="0"/>
              <w:keepLines w:val="0"/>
              <w:pageBreakBefore w:val="0"/>
              <w:widowControl/>
              <w:kinsoku/>
              <w:wordWrap/>
              <w:overflowPunct/>
              <w:topLinePunct w:val="0"/>
              <w:bidi w:val="0"/>
              <w:snapToGrid/>
              <w:spacing w:before="65" w:line="400" w:lineRule="exact"/>
              <w:ind w:right="208"/>
              <w:jc w:val="center"/>
              <w:textAlignment w:val="auto"/>
              <w:rPr>
                <w:color w:val="auto"/>
                <w:spacing w:val="8"/>
                <w:sz w:val="28"/>
                <w:szCs w:val="28"/>
              </w:rPr>
            </w:pPr>
          </w:p>
          <w:p>
            <w:pPr>
              <w:pStyle w:val="44"/>
              <w:keepNext w:val="0"/>
              <w:keepLines w:val="0"/>
              <w:pageBreakBefore w:val="0"/>
              <w:widowControl/>
              <w:kinsoku/>
              <w:wordWrap/>
              <w:overflowPunct/>
              <w:topLinePunct w:val="0"/>
              <w:bidi w:val="0"/>
              <w:snapToGrid/>
              <w:spacing w:before="65" w:line="400" w:lineRule="exact"/>
              <w:ind w:right="208"/>
              <w:jc w:val="center"/>
              <w:textAlignment w:val="auto"/>
              <w:rPr>
                <w:color w:val="auto"/>
                <w:spacing w:val="8"/>
                <w:sz w:val="28"/>
                <w:szCs w:val="28"/>
              </w:rPr>
            </w:pPr>
          </w:p>
          <w:p>
            <w:pPr>
              <w:pStyle w:val="44"/>
              <w:keepNext w:val="0"/>
              <w:keepLines w:val="0"/>
              <w:pageBreakBefore w:val="0"/>
              <w:widowControl/>
              <w:kinsoku/>
              <w:wordWrap/>
              <w:overflowPunct/>
              <w:topLinePunct w:val="0"/>
              <w:bidi w:val="0"/>
              <w:snapToGrid/>
              <w:spacing w:before="65" w:line="400" w:lineRule="exact"/>
              <w:ind w:right="208"/>
              <w:jc w:val="center"/>
              <w:textAlignment w:val="auto"/>
              <w:rPr>
                <w:color w:val="auto"/>
                <w:spacing w:val="8"/>
                <w:sz w:val="28"/>
                <w:szCs w:val="28"/>
              </w:rPr>
            </w:pPr>
          </w:p>
          <w:p>
            <w:pPr>
              <w:pStyle w:val="44"/>
              <w:keepNext w:val="0"/>
              <w:keepLines w:val="0"/>
              <w:pageBreakBefore w:val="0"/>
              <w:widowControl/>
              <w:kinsoku/>
              <w:wordWrap/>
              <w:overflowPunct/>
              <w:topLinePunct w:val="0"/>
              <w:bidi w:val="0"/>
              <w:snapToGrid/>
              <w:spacing w:before="65" w:line="400" w:lineRule="exact"/>
              <w:ind w:right="208"/>
              <w:jc w:val="center"/>
              <w:textAlignment w:val="auto"/>
              <w:rPr>
                <w:color w:val="auto"/>
                <w:spacing w:val="8"/>
                <w:sz w:val="28"/>
                <w:szCs w:val="28"/>
              </w:rPr>
            </w:pPr>
          </w:p>
          <w:p>
            <w:pPr>
              <w:pStyle w:val="44"/>
              <w:keepNext w:val="0"/>
              <w:keepLines w:val="0"/>
              <w:pageBreakBefore w:val="0"/>
              <w:widowControl/>
              <w:kinsoku/>
              <w:wordWrap/>
              <w:overflowPunct/>
              <w:topLinePunct w:val="0"/>
              <w:bidi w:val="0"/>
              <w:snapToGrid/>
              <w:spacing w:before="65" w:line="400" w:lineRule="exact"/>
              <w:ind w:right="208"/>
              <w:jc w:val="center"/>
              <w:textAlignment w:val="auto"/>
              <w:rPr>
                <w:color w:val="auto"/>
                <w:spacing w:val="8"/>
                <w:sz w:val="28"/>
                <w:szCs w:val="28"/>
              </w:rPr>
            </w:pPr>
          </w:p>
          <w:p>
            <w:pPr>
              <w:pStyle w:val="44"/>
              <w:keepNext w:val="0"/>
              <w:keepLines w:val="0"/>
              <w:pageBreakBefore w:val="0"/>
              <w:widowControl/>
              <w:kinsoku/>
              <w:wordWrap/>
              <w:overflowPunct/>
              <w:topLinePunct w:val="0"/>
              <w:bidi w:val="0"/>
              <w:snapToGrid/>
              <w:spacing w:before="65" w:line="400" w:lineRule="exact"/>
              <w:ind w:right="208"/>
              <w:jc w:val="center"/>
              <w:textAlignment w:val="auto"/>
              <w:rPr>
                <w:color w:val="auto"/>
                <w:spacing w:val="8"/>
                <w:sz w:val="28"/>
                <w:szCs w:val="28"/>
              </w:rPr>
            </w:pPr>
          </w:p>
          <w:p>
            <w:pPr>
              <w:pStyle w:val="44"/>
              <w:keepNext w:val="0"/>
              <w:keepLines w:val="0"/>
              <w:pageBreakBefore w:val="0"/>
              <w:widowControl/>
              <w:kinsoku/>
              <w:wordWrap/>
              <w:overflowPunct/>
              <w:topLinePunct w:val="0"/>
              <w:bidi w:val="0"/>
              <w:snapToGrid/>
              <w:spacing w:before="65" w:line="400" w:lineRule="exact"/>
              <w:ind w:right="208"/>
              <w:jc w:val="center"/>
              <w:textAlignment w:val="auto"/>
              <w:rPr>
                <w:color w:val="auto"/>
                <w:sz w:val="28"/>
                <w:szCs w:val="28"/>
              </w:rPr>
            </w:pPr>
            <w:r>
              <w:rPr>
                <w:color w:val="auto"/>
                <w:spacing w:val="8"/>
                <w:sz w:val="28"/>
                <w:szCs w:val="28"/>
              </w:rPr>
              <w:t>供应商资格要</w:t>
            </w:r>
            <w:r>
              <w:rPr>
                <w:color w:val="auto"/>
                <w:sz w:val="28"/>
                <w:szCs w:val="28"/>
              </w:rPr>
              <w:t>求</w:t>
            </w:r>
          </w:p>
        </w:tc>
        <w:tc>
          <w:tcPr>
            <w:tcW w:w="7594" w:type="dxa"/>
            <w:vAlign w:val="center"/>
          </w:tcPr>
          <w:p>
            <w:pPr>
              <w:pStyle w:val="44"/>
              <w:keepNext w:val="0"/>
              <w:keepLines w:val="0"/>
              <w:pageBreakBefore w:val="0"/>
              <w:widowControl/>
              <w:kinsoku/>
              <w:wordWrap/>
              <w:overflowPunct/>
              <w:topLinePunct w:val="0"/>
              <w:bidi w:val="0"/>
              <w:snapToGrid/>
              <w:spacing w:before="37" w:line="400" w:lineRule="exact"/>
              <w:ind w:left="129"/>
              <w:jc w:val="left"/>
              <w:textAlignment w:val="auto"/>
              <w:rPr>
                <w:color w:val="auto"/>
                <w:sz w:val="28"/>
                <w:szCs w:val="28"/>
              </w:rPr>
            </w:pPr>
            <w:r>
              <w:rPr>
                <w:color w:val="auto"/>
                <w:spacing w:val="9"/>
                <w:sz w:val="28"/>
                <w:szCs w:val="28"/>
                <w14:textOutline w14:w="3795" w14:cap="sq" w14:cmpd="sng">
                  <w14:solidFill>
                    <w14:srgbClr w14:val="000000"/>
                  </w14:solidFill>
                  <w14:prstDash w14:val="solid"/>
                  <w14:bevel/>
                </w14:textOutline>
              </w:rPr>
              <w:t>满足《中华人民共和国政府采购法》第二十二条规定；</w:t>
            </w:r>
          </w:p>
          <w:p>
            <w:pPr>
              <w:pStyle w:val="44"/>
              <w:keepNext w:val="0"/>
              <w:keepLines w:val="0"/>
              <w:pageBreakBefore w:val="0"/>
              <w:widowControl/>
              <w:kinsoku/>
              <w:wordWrap/>
              <w:overflowPunct/>
              <w:topLinePunct w:val="0"/>
              <w:bidi w:val="0"/>
              <w:snapToGrid/>
              <w:spacing w:before="26" w:line="400" w:lineRule="exact"/>
              <w:ind w:left="115"/>
              <w:jc w:val="left"/>
              <w:textAlignment w:val="auto"/>
              <w:rPr>
                <w:rFonts w:hint="eastAsia"/>
                <w:color w:val="auto"/>
                <w:sz w:val="28"/>
                <w:szCs w:val="28"/>
              </w:rPr>
            </w:pPr>
            <w:r>
              <w:rPr>
                <w:rFonts w:hint="eastAsia"/>
                <w:color w:val="auto"/>
                <w:sz w:val="28"/>
                <w:szCs w:val="28"/>
                <w:lang w:val="en-US" w:eastAsia="zh-CN"/>
              </w:rPr>
              <w:t>1、</w:t>
            </w:r>
            <w:r>
              <w:rPr>
                <w:rFonts w:hint="eastAsia"/>
                <w:color w:val="auto"/>
                <w:sz w:val="28"/>
                <w:szCs w:val="28"/>
              </w:rPr>
              <w:t>有效期内营业执照</w:t>
            </w:r>
          </w:p>
          <w:p>
            <w:pPr>
              <w:pStyle w:val="44"/>
              <w:keepNext w:val="0"/>
              <w:keepLines w:val="0"/>
              <w:pageBreakBefore w:val="0"/>
              <w:widowControl/>
              <w:kinsoku/>
              <w:wordWrap/>
              <w:overflowPunct/>
              <w:topLinePunct w:val="0"/>
              <w:bidi w:val="0"/>
              <w:snapToGrid/>
              <w:spacing w:before="26" w:line="400" w:lineRule="exact"/>
              <w:ind w:left="115"/>
              <w:jc w:val="left"/>
              <w:textAlignment w:val="auto"/>
              <w:rPr>
                <w:rFonts w:hint="eastAsia"/>
                <w:color w:val="auto"/>
                <w:sz w:val="28"/>
                <w:szCs w:val="28"/>
              </w:rPr>
            </w:pPr>
            <w:r>
              <w:rPr>
                <w:rFonts w:hint="eastAsia"/>
                <w:color w:val="auto"/>
                <w:sz w:val="28"/>
                <w:szCs w:val="28"/>
                <w:lang w:val="en-US" w:eastAsia="zh-CN"/>
              </w:rPr>
              <w:t>2、</w:t>
            </w:r>
            <w:r>
              <w:rPr>
                <w:rFonts w:hint="eastAsia"/>
                <w:color w:val="auto"/>
                <w:sz w:val="28"/>
                <w:szCs w:val="28"/>
              </w:rPr>
              <w:t>提供银行出具的近1年内资信证明或上一年度经审计的财务报告，新成立企业可不提供</w:t>
            </w:r>
          </w:p>
          <w:p>
            <w:pPr>
              <w:pStyle w:val="44"/>
              <w:keepNext w:val="0"/>
              <w:keepLines w:val="0"/>
              <w:pageBreakBefore w:val="0"/>
              <w:widowControl/>
              <w:kinsoku/>
              <w:wordWrap/>
              <w:overflowPunct/>
              <w:topLinePunct w:val="0"/>
              <w:bidi w:val="0"/>
              <w:snapToGrid/>
              <w:spacing w:before="26" w:line="400" w:lineRule="exact"/>
              <w:ind w:left="115"/>
              <w:jc w:val="left"/>
              <w:textAlignment w:val="auto"/>
              <w:rPr>
                <w:rFonts w:hint="eastAsia"/>
                <w:color w:val="auto"/>
                <w:sz w:val="28"/>
                <w:szCs w:val="28"/>
              </w:rPr>
            </w:pPr>
            <w:r>
              <w:rPr>
                <w:rFonts w:hint="eastAsia"/>
                <w:color w:val="auto"/>
                <w:sz w:val="28"/>
                <w:szCs w:val="28"/>
                <w:lang w:val="en-US" w:eastAsia="zh-CN"/>
              </w:rPr>
              <w:t>3、所投产品属于第二类医疗器械的，须提供有效的行政主管部门颁发的医器械经营备案凭证，医疗器械生产许可证或医疗器械经营许可证或其他医疗器械生产经营许可证明文件；所投产品属于第三类医疗器械的，须提供有效的行政主管部门颁发的医疗器械生产许可证或医疗器械经营许可证或其他医疗器械生产经营许可证明文件</w:t>
            </w:r>
            <w:r>
              <w:rPr>
                <w:rFonts w:hint="eastAsia"/>
                <w:color w:val="auto"/>
                <w:sz w:val="28"/>
                <w:szCs w:val="28"/>
              </w:rPr>
              <w:t>（复印件加盖公章）</w:t>
            </w:r>
          </w:p>
          <w:p>
            <w:pPr>
              <w:pStyle w:val="44"/>
              <w:keepNext w:val="0"/>
              <w:keepLines w:val="0"/>
              <w:pageBreakBefore w:val="0"/>
              <w:widowControl/>
              <w:kinsoku/>
              <w:wordWrap/>
              <w:overflowPunct/>
              <w:topLinePunct w:val="0"/>
              <w:bidi w:val="0"/>
              <w:snapToGrid/>
              <w:spacing w:before="26" w:line="400" w:lineRule="exact"/>
              <w:ind w:left="115"/>
              <w:jc w:val="left"/>
              <w:textAlignment w:val="auto"/>
              <w:rPr>
                <w:rFonts w:hint="eastAsia"/>
                <w:color w:val="auto"/>
                <w:sz w:val="28"/>
                <w:szCs w:val="28"/>
              </w:rPr>
            </w:pPr>
            <w:r>
              <w:rPr>
                <w:rFonts w:hint="eastAsia"/>
                <w:color w:val="auto"/>
                <w:sz w:val="28"/>
                <w:szCs w:val="28"/>
                <w:lang w:val="en-US" w:eastAsia="zh-CN"/>
              </w:rPr>
              <w:t>4、</w:t>
            </w:r>
            <w:r>
              <w:rPr>
                <w:rFonts w:hint="eastAsia"/>
                <w:color w:val="auto"/>
                <w:sz w:val="28"/>
                <w:szCs w:val="28"/>
              </w:rPr>
              <w:t>参加政府采购活动前 3 年内在经营活动中没有重大违法记录的书面声明 (格式见</w:t>
            </w:r>
            <w:r>
              <w:rPr>
                <w:rFonts w:hint="eastAsia"/>
                <w:color w:val="auto"/>
                <w:sz w:val="28"/>
                <w:szCs w:val="28"/>
                <w:lang w:eastAsia="zh-CN"/>
              </w:rPr>
              <w:t>招标</w:t>
            </w:r>
            <w:r>
              <w:rPr>
                <w:rFonts w:hint="eastAsia"/>
                <w:color w:val="auto"/>
                <w:sz w:val="28"/>
                <w:szCs w:val="28"/>
              </w:rPr>
              <w:t>文件)</w:t>
            </w:r>
          </w:p>
          <w:p>
            <w:pPr>
              <w:pStyle w:val="44"/>
              <w:keepNext w:val="0"/>
              <w:keepLines w:val="0"/>
              <w:pageBreakBefore w:val="0"/>
              <w:widowControl/>
              <w:kinsoku/>
              <w:wordWrap/>
              <w:overflowPunct/>
              <w:topLinePunct w:val="0"/>
              <w:bidi w:val="0"/>
              <w:snapToGrid/>
              <w:spacing w:before="26" w:line="400" w:lineRule="exact"/>
              <w:ind w:left="115"/>
              <w:jc w:val="left"/>
              <w:textAlignment w:val="auto"/>
              <w:rPr>
                <w:rFonts w:hint="eastAsia"/>
                <w:color w:val="auto"/>
                <w:sz w:val="28"/>
                <w:szCs w:val="28"/>
              </w:rPr>
            </w:pPr>
            <w:r>
              <w:rPr>
                <w:rFonts w:hint="eastAsia"/>
                <w:color w:val="auto"/>
                <w:sz w:val="28"/>
                <w:szCs w:val="28"/>
                <w:lang w:val="en-US" w:eastAsia="zh-CN"/>
              </w:rPr>
              <w:t>5、</w:t>
            </w:r>
            <w:r>
              <w:rPr>
                <w:rFonts w:hint="eastAsia"/>
                <w:color w:val="auto"/>
                <w:sz w:val="28"/>
                <w:szCs w:val="28"/>
              </w:rPr>
              <w:t>未被“信用中国”网站 (www.creditchina.gov.cn) 列入失信被执 行人、重大税收违法案件当事人名单、政府采购严重失信行为记录名单 (提供网页截图)（查询结果截图日期必须在发布公告日期之后）</w:t>
            </w:r>
          </w:p>
          <w:p>
            <w:pPr>
              <w:pStyle w:val="44"/>
              <w:keepNext w:val="0"/>
              <w:keepLines w:val="0"/>
              <w:pageBreakBefore w:val="0"/>
              <w:widowControl/>
              <w:kinsoku/>
              <w:wordWrap/>
              <w:overflowPunct/>
              <w:topLinePunct w:val="0"/>
              <w:bidi w:val="0"/>
              <w:snapToGrid/>
              <w:spacing w:before="26" w:line="400" w:lineRule="exact"/>
              <w:ind w:left="115"/>
              <w:jc w:val="left"/>
              <w:textAlignment w:val="auto"/>
              <w:rPr>
                <w:rFonts w:hint="eastAsia"/>
                <w:color w:val="auto"/>
                <w:sz w:val="28"/>
                <w:szCs w:val="28"/>
              </w:rPr>
            </w:pPr>
            <w:r>
              <w:rPr>
                <w:rFonts w:hint="eastAsia"/>
                <w:color w:val="auto"/>
                <w:sz w:val="28"/>
                <w:szCs w:val="28"/>
                <w:lang w:val="en-US" w:eastAsia="zh-CN"/>
              </w:rPr>
              <w:t>6、</w:t>
            </w:r>
            <w:r>
              <w:rPr>
                <w:rFonts w:hint="eastAsia"/>
                <w:color w:val="auto"/>
                <w:sz w:val="28"/>
                <w:szCs w:val="28"/>
              </w:rPr>
              <w:t>法人授权书或法人证书 (格式见</w:t>
            </w:r>
            <w:r>
              <w:rPr>
                <w:rFonts w:hint="eastAsia"/>
                <w:color w:val="auto"/>
                <w:sz w:val="28"/>
                <w:szCs w:val="28"/>
                <w:lang w:eastAsia="zh-CN"/>
              </w:rPr>
              <w:t>招标文件</w:t>
            </w:r>
            <w:r>
              <w:rPr>
                <w:rFonts w:hint="eastAsia"/>
                <w:color w:val="auto"/>
                <w:sz w:val="28"/>
                <w:szCs w:val="28"/>
              </w:rPr>
              <w:t>)</w:t>
            </w:r>
          </w:p>
          <w:p>
            <w:pPr>
              <w:pStyle w:val="44"/>
              <w:keepNext w:val="0"/>
              <w:keepLines w:val="0"/>
              <w:pageBreakBefore w:val="0"/>
              <w:widowControl/>
              <w:kinsoku/>
              <w:wordWrap/>
              <w:overflowPunct/>
              <w:topLinePunct w:val="0"/>
              <w:bidi w:val="0"/>
              <w:snapToGrid/>
              <w:spacing w:before="26" w:line="400" w:lineRule="exact"/>
              <w:ind w:left="115"/>
              <w:jc w:val="left"/>
              <w:textAlignment w:val="auto"/>
              <w:rPr>
                <w:rFonts w:hint="eastAsia"/>
                <w:color w:val="auto"/>
                <w:sz w:val="28"/>
                <w:szCs w:val="28"/>
                <w:highlight w:val="none"/>
              </w:rPr>
            </w:pPr>
            <w:r>
              <w:rPr>
                <w:rFonts w:hint="eastAsia"/>
                <w:color w:val="auto"/>
                <w:sz w:val="28"/>
                <w:szCs w:val="28"/>
                <w:lang w:val="en-US" w:eastAsia="zh-CN"/>
              </w:rPr>
              <w:t>7、</w:t>
            </w:r>
            <w:r>
              <w:rPr>
                <w:rFonts w:hint="eastAsia"/>
                <w:color w:val="auto"/>
                <w:sz w:val="28"/>
                <w:szCs w:val="28"/>
                <w:highlight w:val="none"/>
              </w:rPr>
              <w:t>供应商为</w:t>
            </w:r>
            <w:r>
              <w:rPr>
                <w:rFonts w:hint="eastAsia"/>
                <w:color w:val="auto"/>
                <w:sz w:val="28"/>
                <w:szCs w:val="28"/>
                <w:highlight w:val="none"/>
                <w:lang w:eastAsia="zh-CN"/>
              </w:rPr>
              <w:t>中小微</w:t>
            </w:r>
            <w:r>
              <w:rPr>
                <w:rFonts w:hint="eastAsia"/>
                <w:color w:val="auto"/>
                <w:sz w:val="28"/>
                <w:szCs w:val="28"/>
                <w:highlight w:val="none"/>
              </w:rPr>
              <w:t>企业</w:t>
            </w:r>
            <w:r>
              <w:rPr>
                <w:rFonts w:hint="eastAsia"/>
                <w:color w:val="auto"/>
                <w:sz w:val="28"/>
                <w:szCs w:val="28"/>
                <w:highlight w:val="none"/>
                <w:lang w:eastAsia="zh-CN"/>
              </w:rPr>
              <w:t>。供应商为大型企业的，须将采购项目中的40%分包给一家或者多家中小企业（其中的</w:t>
            </w:r>
            <w:r>
              <w:rPr>
                <w:rFonts w:hint="eastAsia"/>
                <w:color w:val="auto"/>
                <w:sz w:val="28"/>
                <w:szCs w:val="28"/>
                <w:highlight w:val="none"/>
                <w:lang w:val="en-US" w:eastAsia="zh-CN"/>
              </w:rPr>
              <w:t>7</w:t>
            </w:r>
            <w:r>
              <w:rPr>
                <w:rFonts w:hint="eastAsia"/>
                <w:color w:val="auto"/>
                <w:sz w:val="28"/>
                <w:szCs w:val="28"/>
                <w:highlight w:val="none"/>
                <w:lang w:eastAsia="zh-CN"/>
              </w:rPr>
              <w:t>0%预留给小微企业采购），供应商为大型企业的须提供《分包意向协议》（格式自拟）及分包供应商《中小企业声明函》</w:t>
            </w:r>
            <w:r>
              <w:rPr>
                <w:rFonts w:hint="eastAsia"/>
                <w:color w:val="auto"/>
                <w:sz w:val="28"/>
                <w:szCs w:val="28"/>
                <w:highlight w:val="none"/>
              </w:rPr>
              <w:t>(格式见</w:t>
            </w:r>
            <w:r>
              <w:rPr>
                <w:rFonts w:hint="eastAsia"/>
                <w:color w:val="auto"/>
                <w:sz w:val="28"/>
                <w:szCs w:val="28"/>
                <w:highlight w:val="none"/>
                <w:lang w:eastAsia="zh-CN"/>
              </w:rPr>
              <w:t>招标文件</w:t>
            </w:r>
            <w:r>
              <w:rPr>
                <w:rFonts w:hint="eastAsia"/>
                <w:color w:val="auto"/>
                <w:sz w:val="28"/>
                <w:szCs w:val="28"/>
                <w:highlight w:val="none"/>
              </w:rPr>
              <w:t>)</w:t>
            </w:r>
          </w:p>
          <w:p>
            <w:pPr>
              <w:pStyle w:val="44"/>
              <w:keepNext w:val="0"/>
              <w:keepLines w:val="0"/>
              <w:pageBreakBefore w:val="0"/>
              <w:widowControl/>
              <w:kinsoku/>
              <w:wordWrap/>
              <w:overflowPunct/>
              <w:topLinePunct w:val="0"/>
              <w:bidi w:val="0"/>
              <w:snapToGrid/>
              <w:spacing w:before="26" w:line="400" w:lineRule="exact"/>
              <w:ind w:left="115"/>
              <w:jc w:val="left"/>
              <w:textAlignment w:val="auto"/>
              <w:rPr>
                <w:rFonts w:hint="eastAsia" w:eastAsia="宋体"/>
                <w:color w:val="auto"/>
                <w:sz w:val="28"/>
                <w:szCs w:val="28"/>
                <w:lang w:eastAsia="zh-CN"/>
              </w:rPr>
            </w:pPr>
            <w:r>
              <w:rPr>
                <w:rFonts w:hint="eastAsia"/>
                <w:color w:val="auto"/>
                <w:sz w:val="28"/>
                <w:szCs w:val="28"/>
                <w:lang w:val="en-US" w:eastAsia="zh-CN"/>
              </w:rPr>
              <w:t>8、</w:t>
            </w:r>
            <w:r>
              <w:rPr>
                <w:rFonts w:hint="eastAsia"/>
                <w:color w:val="auto"/>
                <w:sz w:val="28"/>
                <w:szCs w:val="28"/>
              </w:rPr>
              <w:t>有依法缴纳税收和社会保障资金的良好纪录 ； 提供近 12 个月内（任意 1 个月） 已依法缴纳税收的凭据； 提供近 6 个月内（</w:t>
            </w:r>
            <w:r>
              <w:rPr>
                <w:rFonts w:hint="eastAsia"/>
                <w:color w:val="auto"/>
                <w:sz w:val="28"/>
                <w:szCs w:val="28"/>
                <w:lang w:val="en-US" w:eastAsia="zh-CN"/>
              </w:rPr>
              <w:t>2023年5月至10月连续</w:t>
            </w:r>
            <w:r>
              <w:rPr>
                <w:rFonts w:hint="eastAsia"/>
                <w:color w:val="auto"/>
                <w:sz w:val="28"/>
                <w:szCs w:val="28"/>
              </w:rPr>
              <w:t xml:space="preserve"> </w:t>
            </w:r>
            <w:r>
              <w:rPr>
                <w:rFonts w:hint="eastAsia"/>
                <w:color w:val="auto"/>
                <w:sz w:val="28"/>
                <w:szCs w:val="28"/>
                <w:lang w:val="en-US" w:eastAsia="zh-CN"/>
              </w:rPr>
              <w:t>6</w:t>
            </w:r>
            <w:r>
              <w:rPr>
                <w:rFonts w:hint="eastAsia"/>
                <w:color w:val="auto"/>
                <w:sz w:val="28"/>
                <w:szCs w:val="28"/>
              </w:rPr>
              <w:t>个月） 已依法缴纳社会保险的凭据；依法免税或不需要缴纳社会保障资金的供应商，应提供相应证明文件</w:t>
            </w:r>
            <w:r>
              <w:rPr>
                <w:rFonts w:hint="eastAsia"/>
                <w:color w:val="auto"/>
                <w:sz w:val="28"/>
                <w:szCs w:val="28"/>
                <w:lang w:eastAsia="zh-CN"/>
              </w:rPr>
              <w:t>（</w:t>
            </w:r>
            <w:r>
              <w:rPr>
                <w:rFonts w:hint="eastAsia"/>
                <w:color w:val="auto"/>
                <w:sz w:val="28"/>
                <w:szCs w:val="28"/>
                <w:lang w:val="en-US" w:eastAsia="zh-CN"/>
              </w:rPr>
              <w:t>新成立企业根据成立时间提供至10月份，当月成立企业可不提供</w:t>
            </w:r>
            <w:r>
              <w:rPr>
                <w:rFonts w:hint="eastAsia"/>
                <w:color w:val="auto"/>
                <w:sz w:val="28"/>
                <w:szCs w:val="28"/>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733" w:type="dxa"/>
            <w:vAlign w:val="center"/>
          </w:tcPr>
          <w:p>
            <w:pPr>
              <w:pStyle w:val="44"/>
              <w:keepNext w:val="0"/>
              <w:keepLines w:val="0"/>
              <w:pageBreakBefore w:val="0"/>
              <w:widowControl/>
              <w:kinsoku/>
              <w:wordWrap/>
              <w:overflowPunct/>
              <w:topLinePunct w:val="0"/>
              <w:bidi w:val="0"/>
              <w:snapToGrid/>
              <w:spacing w:before="125" w:line="400" w:lineRule="exact"/>
              <w:ind w:left="281"/>
              <w:textAlignment w:val="auto"/>
              <w:rPr>
                <w:color w:val="auto"/>
                <w:sz w:val="28"/>
                <w:szCs w:val="28"/>
              </w:rPr>
            </w:pPr>
            <w:r>
              <w:rPr>
                <w:color w:val="auto"/>
                <w:spacing w:val="-7"/>
                <w:sz w:val="28"/>
                <w:szCs w:val="28"/>
              </w:rPr>
              <w:t>13</w:t>
            </w:r>
          </w:p>
        </w:tc>
        <w:tc>
          <w:tcPr>
            <w:tcW w:w="1675" w:type="dxa"/>
            <w:vAlign w:val="center"/>
          </w:tcPr>
          <w:p>
            <w:pPr>
              <w:pStyle w:val="44"/>
              <w:keepNext w:val="0"/>
              <w:keepLines w:val="0"/>
              <w:pageBreakBefore w:val="0"/>
              <w:widowControl/>
              <w:kinsoku/>
              <w:wordWrap/>
              <w:overflowPunct/>
              <w:topLinePunct w:val="0"/>
              <w:bidi w:val="0"/>
              <w:snapToGrid/>
              <w:spacing w:before="94" w:line="400" w:lineRule="exact"/>
              <w:ind w:left="320"/>
              <w:textAlignment w:val="auto"/>
              <w:rPr>
                <w:color w:val="auto"/>
                <w:sz w:val="28"/>
                <w:szCs w:val="28"/>
              </w:rPr>
            </w:pPr>
            <w:r>
              <w:rPr>
                <w:color w:val="auto"/>
                <w:spacing w:val="7"/>
                <w:sz w:val="28"/>
                <w:szCs w:val="28"/>
              </w:rPr>
              <w:t>投标保证金</w:t>
            </w:r>
          </w:p>
        </w:tc>
        <w:tc>
          <w:tcPr>
            <w:tcW w:w="7594" w:type="dxa"/>
            <w:vAlign w:val="center"/>
          </w:tcPr>
          <w:p>
            <w:pPr>
              <w:pStyle w:val="44"/>
              <w:keepNext w:val="0"/>
              <w:keepLines w:val="0"/>
              <w:pageBreakBefore w:val="0"/>
              <w:widowControl/>
              <w:kinsoku/>
              <w:wordWrap/>
              <w:overflowPunct/>
              <w:topLinePunct w:val="0"/>
              <w:bidi w:val="0"/>
              <w:snapToGrid/>
              <w:spacing w:before="33" w:line="400" w:lineRule="exact"/>
              <w:ind w:left="114"/>
              <w:jc w:val="left"/>
              <w:textAlignment w:val="auto"/>
              <w:rPr>
                <w:color w:val="auto"/>
                <w:sz w:val="28"/>
                <w:szCs w:val="28"/>
              </w:rPr>
            </w:pPr>
            <w:r>
              <w:rPr>
                <w:color w:val="auto"/>
                <w:spacing w:val="9"/>
                <w:sz w:val="28"/>
                <w:szCs w:val="28"/>
              </w:rPr>
              <w:t>本包段不收取投标保证金，请根据文件格式提供投标保证金承诺书。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33" w:type="dxa"/>
            <w:vAlign w:val="center"/>
          </w:tcPr>
          <w:p>
            <w:pPr>
              <w:pStyle w:val="44"/>
              <w:keepNext w:val="0"/>
              <w:keepLines w:val="0"/>
              <w:pageBreakBefore w:val="0"/>
              <w:widowControl/>
              <w:kinsoku/>
              <w:wordWrap/>
              <w:overflowPunct/>
              <w:topLinePunct w:val="0"/>
              <w:bidi w:val="0"/>
              <w:snapToGrid/>
              <w:spacing w:before="201" w:line="400" w:lineRule="exact"/>
              <w:ind w:left="281"/>
              <w:textAlignment w:val="auto"/>
              <w:rPr>
                <w:color w:val="auto"/>
                <w:sz w:val="28"/>
                <w:szCs w:val="28"/>
              </w:rPr>
            </w:pPr>
            <w:r>
              <w:rPr>
                <w:color w:val="auto"/>
                <w:spacing w:val="-7"/>
                <w:sz w:val="28"/>
                <w:szCs w:val="28"/>
              </w:rPr>
              <w:t>14</w:t>
            </w:r>
          </w:p>
        </w:tc>
        <w:tc>
          <w:tcPr>
            <w:tcW w:w="1675" w:type="dxa"/>
            <w:vAlign w:val="center"/>
          </w:tcPr>
          <w:p>
            <w:pPr>
              <w:pStyle w:val="44"/>
              <w:keepNext w:val="0"/>
              <w:keepLines w:val="0"/>
              <w:pageBreakBefore w:val="0"/>
              <w:widowControl/>
              <w:kinsoku/>
              <w:wordWrap/>
              <w:overflowPunct/>
              <w:topLinePunct w:val="0"/>
              <w:bidi w:val="0"/>
              <w:snapToGrid/>
              <w:spacing w:before="34" w:line="400" w:lineRule="exact"/>
              <w:ind w:left="526" w:right="208" w:hanging="311"/>
              <w:textAlignment w:val="auto"/>
              <w:rPr>
                <w:color w:val="auto"/>
                <w:spacing w:val="7"/>
                <w:sz w:val="28"/>
                <w:szCs w:val="28"/>
              </w:rPr>
            </w:pPr>
            <w:r>
              <w:rPr>
                <w:color w:val="auto"/>
                <w:spacing w:val="7"/>
                <w:sz w:val="28"/>
                <w:szCs w:val="28"/>
              </w:rPr>
              <w:t>是否接受</w:t>
            </w:r>
          </w:p>
          <w:p>
            <w:pPr>
              <w:pStyle w:val="44"/>
              <w:keepNext w:val="0"/>
              <w:keepLines w:val="0"/>
              <w:pageBreakBefore w:val="0"/>
              <w:widowControl/>
              <w:kinsoku/>
              <w:wordWrap/>
              <w:overflowPunct/>
              <w:topLinePunct w:val="0"/>
              <w:bidi w:val="0"/>
              <w:snapToGrid/>
              <w:spacing w:before="34" w:line="400" w:lineRule="exact"/>
              <w:ind w:left="526" w:right="208" w:hanging="311"/>
              <w:textAlignment w:val="auto"/>
              <w:rPr>
                <w:color w:val="auto"/>
                <w:sz w:val="28"/>
                <w:szCs w:val="28"/>
              </w:rPr>
            </w:pPr>
            <w:r>
              <w:rPr>
                <w:color w:val="auto"/>
                <w:spacing w:val="7"/>
                <w:sz w:val="28"/>
                <w:szCs w:val="28"/>
              </w:rPr>
              <w:t>联合</w:t>
            </w:r>
            <w:r>
              <w:rPr>
                <w:color w:val="auto"/>
                <w:spacing w:val="6"/>
                <w:sz w:val="28"/>
                <w:szCs w:val="28"/>
              </w:rPr>
              <w:t>体投标</w:t>
            </w:r>
          </w:p>
        </w:tc>
        <w:tc>
          <w:tcPr>
            <w:tcW w:w="7594" w:type="dxa"/>
            <w:vAlign w:val="center"/>
          </w:tcPr>
          <w:p>
            <w:pPr>
              <w:pStyle w:val="44"/>
              <w:keepNext w:val="0"/>
              <w:keepLines w:val="0"/>
              <w:pageBreakBefore w:val="0"/>
              <w:widowControl/>
              <w:kinsoku/>
              <w:wordWrap/>
              <w:overflowPunct/>
              <w:topLinePunct w:val="0"/>
              <w:bidi w:val="0"/>
              <w:snapToGrid/>
              <w:spacing w:before="168" w:line="400" w:lineRule="exact"/>
              <w:ind w:left="123"/>
              <w:jc w:val="left"/>
              <w:textAlignment w:val="auto"/>
              <w:rPr>
                <w:color w:val="auto"/>
                <w:sz w:val="28"/>
                <w:szCs w:val="28"/>
              </w:rPr>
            </w:pPr>
            <w:r>
              <w:rPr>
                <w:color w:val="auto"/>
                <w:sz w:val="28"/>
                <w:szCs w:val="28"/>
              </w:rPr>
              <w:drawing>
                <wp:inline distT="0" distB="0" distL="0" distR="0">
                  <wp:extent cx="106680" cy="102235"/>
                  <wp:effectExtent l="0" t="0" r="7620" b="12065"/>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0"/>
                          <a:stretch>
                            <a:fillRect/>
                          </a:stretch>
                        </pic:blipFill>
                        <pic:spPr>
                          <a:xfrm>
                            <a:off x="0" y="0"/>
                            <a:ext cx="107101" cy="102588"/>
                          </a:xfrm>
                          <a:prstGeom prst="rect">
                            <a:avLst/>
                          </a:prstGeom>
                        </pic:spPr>
                      </pic:pic>
                    </a:graphicData>
                  </a:graphic>
                </wp:inline>
              </w:drawing>
            </w:r>
            <w:r>
              <w:rPr>
                <w:color w:val="auto"/>
                <w:spacing w:val="8"/>
                <w:sz w:val="28"/>
                <w:szCs w:val="28"/>
              </w:rPr>
              <w:t>不接受/¨接受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733" w:type="dxa"/>
            <w:vAlign w:val="center"/>
          </w:tcPr>
          <w:p>
            <w:pPr>
              <w:pStyle w:val="44"/>
              <w:keepNext w:val="0"/>
              <w:keepLines w:val="0"/>
              <w:pageBreakBefore w:val="0"/>
              <w:widowControl/>
              <w:kinsoku/>
              <w:wordWrap/>
              <w:overflowPunct/>
              <w:topLinePunct w:val="0"/>
              <w:bidi w:val="0"/>
              <w:snapToGrid/>
              <w:spacing w:before="66" w:line="400" w:lineRule="exact"/>
              <w:ind w:left="281"/>
              <w:textAlignment w:val="auto"/>
              <w:rPr>
                <w:color w:val="auto"/>
                <w:sz w:val="28"/>
                <w:szCs w:val="28"/>
              </w:rPr>
            </w:pPr>
            <w:r>
              <w:rPr>
                <w:color w:val="auto"/>
                <w:spacing w:val="-7"/>
                <w:sz w:val="28"/>
                <w:szCs w:val="28"/>
              </w:rPr>
              <w:t>15</w:t>
            </w:r>
          </w:p>
        </w:tc>
        <w:tc>
          <w:tcPr>
            <w:tcW w:w="1675" w:type="dxa"/>
            <w:vAlign w:val="center"/>
          </w:tcPr>
          <w:p>
            <w:pPr>
              <w:pStyle w:val="44"/>
              <w:keepNext w:val="0"/>
              <w:keepLines w:val="0"/>
              <w:pageBreakBefore w:val="0"/>
              <w:widowControl/>
              <w:kinsoku/>
              <w:wordWrap/>
              <w:overflowPunct/>
              <w:topLinePunct w:val="0"/>
              <w:bidi w:val="0"/>
              <w:snapToGrid/>
              <w:spacing w:before="35" w:line="400" w:lineRule="exact"/>
              <w:ind w:firstLine="572" w:firstLineChars="200"/>
              <w:textAlignment w:val="auto"/>
              <w:rPr>
                <w:color w:val="auto"/>
                <w:sz w:val="28"/>
                <w:szCs w:val="28"/>
              </w:rPr>
            </w:pPr>
            <w:r>
              <w:rPr>
                <w:color w:val="auto"/>
                <w:spacing w:val="3"/>
                <w:sz w:val="28"/>
                <w:szCs w:val="28"/>
              </w:rPr>
              <w:t>分包</w:t>
            </w:r>
          </w:p>
        </w:tc>
        <w:tc>
          <w:tcPr>
            <w:tcW w:w="7594" w:type="dxa"/>
            <w:vAlign w:val="center"/>
          </w:tcPr>
          <w:p>
            <w:pPr>
              <w:pStyle w:val="44"/>
              <w:keepNext w:val="0"/>
              <w:keepLines w:val="0"/>
              <w:pageBreakBefore w:val="0"/>
              <w:widowControl/>
              <w:kinsoku/>
              <w:wordWrap/>
              <w:overflowPunct/>
              <w:topLinePunct w:val="0"/>
              <w:bidi w:val="0"/>
              <w:snapToGrid/>
              <w:spacing w:before="35" w:line="400" w:lineRule="exact"/>
              <w:ind w:left="123"/>
              <w:jc w:val="left"/>
              <w:textAlignment w:val="auto"/>
              <w:rPr>
                <w:color w:val="auto"/>
                <w:sz w:val="28"/>
                <w:szCs w:val="28"/>
              </w:rPr>
            </w:pPr>
            <w:r>
              <w:rPr>
                <w:color w:val="auto"/>
                <w:spacing w:val="8"/>
                <w:sz w:val="28"/>
                <w:szCs w:val="28"/>
              </w:rPr>
              <w:t>不允许/</w:t>
            </w:r>
            <w:r>
              <w:rPr>
                <w:color w:val="auto"/>
                <w:sz w:val="28"/>
                <w:szCs w:val="28"/>
              </w:rPr>
              <w:drawing>
                <wp:inline distT="0" distB="0" distL="0" distR="0">
                  <wp:extent cx="106680" cy="102235"/>
                  <wp:effectExtent l="0" t="0" r="7620" b="12065"/>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0"/>
                          <a:stretch>
                            <a:fillRect/>
                          </a:stretch>
                        </pic:blipFill>
                        <pic:spPr>
                          <a:xfrm>
                            <a:off x="0" y="0"/>
                            <a:ext cx="107101" cy="102588"/>
                          </a:xfrm>
                          <a:prstGeom prst="rect">
                            <a:avLst/>
                          </a:prstGeom>
                        </pic:spPr>
                      </pic:pic>
                    </a:graphicData>
                  </a:graphic>
                </wp:inline>
              </w:drawing>
            </w:r>
            <w:r>
              <w:rPr>
                <w:color w:val="auto"/>
                <w:spacing w:val="8"/>
                <w:sz w:val="28"/>
                <w:szCs w:val="28"/>
              </w:rPr>
              <w:t>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733" w:type="dxa"/>
            <w:vAlign w:val="center"/>
          </w:tcPr>
          <w:p>
            <w:pPr>
              <w:keepNext w:val="0"/>
              <w:keepLines w:val="0"/>
              <w:pageBreakBefore w:val="0"/>
              <w:widowControl/>
              <w:kinsoku/>
              <w:wordWrap/>
              <w:overflowPunct/>
              <w:topLinePunct w:val="0"/>
              <w:bidi w:val="0"/>
              <w:snapToGrid/>
              <w:spacing w:line="400" w:lineRule="exact"/>
              <w:textAlignment w:val="auto"/>
              <w:rPr>
                <w:rFonts w:ascii="Arial"/>
                <w:color w:val="auto"/>
                <w:sz w:val="28"/>
                <w:szCs w:val="28"/>
              </w:rPr>
            </w:pPr>
          </w:p>
          <w:p>
            <w:pPr>
              <w:pStyle w:val="44"/>
              <w:keepNext w:val="0"/>
              <w:keepLines w:val="0"/>
              <w:pageBreakBefore w:val="0"/>
              <w:widowControl/>
              <w:kinsoku/>
              <w:wordWrap/>
              <w:overflowPunct/>
              <w:topLinePunct w:val="0"/>
              <w:bidi w:val="0"/>
              <w:snapToGrid/>
              <w:spacing w:before="65" w:line="400" w:lineRule="exact"/>
              <w:ind w:left="281"/>
              <w:textAlignment w:val="auto"/>
              <w:rPr>
                <w:color w:val="auto"/>
                <w:sz w:val="28"/>
                <w:szCs w:val="28"/>
              </w:rPr>
            </w:pPr>
            <w:r>
              <w:rPr>
                <w:color w:val="auto"/>
                <w:spacing w:val="-7"/>
                <w:sz w:val="28"/>
                <w:szCs w:val="28"/>
              </w:rPr>
              <w:t>16</w:t>
            </w:r>
          </w:p>
        </w:tc>
        <w:tc>
          <w:tcPr>
            <w:tcW w:w="1675" w:type="dxa"/>
            <w:vAlign w:val="center"/>
          </w:tcPr>
          <w:p>
            <w:pPr>
              <w:pStyle w:val="44"/>
              <w:keepNext w:val="0"/>
              <w:keepLines w:val="0"/>
              <w:pageBreakBefore w:val="0"/>
              <w:widowControl/>
              <w:kinsoku/>
              <w:wordWrap/>
              <w:overflowPunct/>
              <w:topLinePunct w:val="0"/>
              <w:bidi w:val="0"/>
              <w:snapToGrid/>
              <w:spacing w:before="32" w:line="400" w:lineRule="exact"/>
              <w:ind w:left="211"/>
              <w:textAlignment w:val="auto"/>
              <w:rPr>
                <w:rFonts w:hint="eastAsia" w:eastAsia="宋体"/>
                <w:color w:val="auto"/>
                <w:sz w:val="28"/>
                <w:szCs w:val="28"/>
                <w:lang w:eastAsia="zh-CN"/>
              </w:rPr>
            </w:pPr>
            <w:r>
              <w:rPr>
                <w:rFonts w:hint="eastAsia"/>
                <w:color w:val="auto"/>
                <w:spacing w:val="8"/>
                <w:sz w:val="28"/>
                <w:szCs w:val="28"/>
                <w:lang w:eastAsia="zh-CN"/>
              </w:rPr>
              <w:t>投标文件</w:t>
            </w:r>
          </w:p>
          <w:p>
            <w:pPr>
              <w:pStyle w:val="44"/>
              <w:keepNext w:val="0"/>
              <w:keepLines w:val="0"/>
              <w:pageBreakBefore w:val="0"/>
              <w:widowControl/>
              <w:kinsoku/>
              <w:wordWrap/>
              <w:overflowPunct/>
              <w:topLinePunct w:val="0"/>
              <w:bidi w:val="0"/>
              <w:snapToGrid/>
              <w:spacing w:before="27" w:line="400" w:lineRule="exact"/>
              <w:ind w:left="212"/>
              <w:textAlignment w:val="auto"/>
              <w:rPr>
                <w:color w:val="auto"/>
                <w:sz w:val="28"/>
                <w:szCs w:val="28"/>
              </w:rPr>
            </w:pPr>
            <w:r>
              <w:rPr>
                <w:color w:val="auto"/>
                <w:spacing w:val="8"/>
                <w:sz w:val="28"/>
                <w:szCs w:val="28"/>
              </w:rPr>
              <w:t>递交截止时间及开标时间</w:t>
            </w:r>
          </w:p>
        </w:tc>
        <w:tc>
          <w:tcPr>
            <w:tcW w:w="7594" w:type="dxa"/>
            <w:vAlign w:val="center"/>
          </w:tcPr>
          <w:p>
            <w:pPr>
              <w:pStyle w:val="44"/>
              <w:keepNext w:val="0"/>
              <w:keepLines w:val="0"/>
              <w:pageBreakBefore w:val="0"/>
              <w:widowControl/>
              <w:kinsoku/>
              <w:wordWrap/>
              <w:overflowPunct/>
              <w:topLinePunct w:val="0"/>
              <w:bidi w:val="0"/>
              <w:snapToGrid/>
              <w:spacing w:before="170" w:line="400" w:lineRule="exact"/>
              <w:ind w:left="130" w:right="107" w:hanging="17"/>
              <w:jc w:val="left"/>
              <w:textAlignment w:val="auto"/>
              <w:rPr>
                <w:color w:val="auto"/>
                <w:sz w:val="28"/>
                <w:szCs w:val="28"/>
              </w:rPr>
            </w:pPr>
            <w:r>
              <w:rPr>
                <w:rFonts w:hint="eastAsia"/>
                <w:color w:val="auto"/>
                <w:spacing w:val="2"/>
                <w:sz w:val="28"/>
                <w:szCs w:val="28"/>
                <w:highlight w:val="none"/>
                <w:lang w:eastAsia="zh-CN"/>
              </w:rPr>
              <w:t>投标文件</w:t>
            </w:r>
            <w:r>
              <w:rPr>
                <w:color w:val="auto"/>
                <w:spacing w:val="2"/>
                <w:sz w:val="28"/>
                <w:szCs w:val="28"/>
                <w:highlight w:val="none"/>
              </w:rPr>
              <w:t>递交截止时间及开标时间：</w:t>
            </w:r>
            <w:r>
              <w:rPr>
                <w:rFonts w:hint="eastAsia"/>
                <w:color w:val="auto"/>
                <w:spacing w:val="2"/>
                <w:sz w:val="28"/>
                <w:szCs w:val="28"/>
                <w:highlight w:val="none"/>
                <w:lang w:eastAsia="zh-CN"/>
              </w:rPr>
              <w:t>2023 年</w:t>
            </w:r>
            <w:r>
              <w:rPr>
                <w:rFonts w:hint="eastAsia"/>
                <w:color w:val="auto"/>
                <w:spacing w:val="2"/>
                <w:sz w:val="28"/>
                <w:szCs w:val="28"/>
                <w:highlight w:val="none"/>
                <w:lang w:val="en-US" w:eastAsia="zh-CN"/>
              </w:rPr>
              <w:t>10</w:t>
            </w:r>
            <w:r>
              <w:rPr>
                <w:rFonts w:hint="eastAsia"/>
                <w:color w:val="auto"/>
                <w:spacing w:val="2"/>
                <w:sz w:val="28"/>
                <w:szCs w:val="28"/>
                <w:highlight w:val="none"/>
                <w:lang w:eastAsia="zh-CN"/>
              </w:rPr>
              <w:t>月</w:t>
            </w:r>
            <w:r>
              <w:rPr>
                <w:rFonts w:hint="eastAsia"/>
                <w:color w:val="auto"/>
                <w:spacing w:val="2"/>
                <w:sz w:val="28"/>
                <w:szCs w:val="28"/>
                <w:highlight w:val="none"/>
                <w:lang w:val="en-US" w:eastAsia="zh-CN"/>
              </w:rPr>
              <w:t>27</w:t>
            </w:r>
            <w:r>
              <w:rPr>
                <w:rFonts w:hint="eastAsia"/>
                <w:color w:val="auto"/>
                <w:spacing w:val="2"/>
                <w:sz w:val="28"/>
                <w:szCs w:val="28"/>
                <w:highlight w:val="none"/>
                <w:lang w:eastAsia="zh-CN"/>
              </w:rPr>
              <w:t>日 11:00</w:t>
            </w:r>
            <w:r>
              <w:rPr>
                <w:color w:val="auto"/>
                <w:spacing w:val="2"/>
                <w:sz w:val="28"/>
                <w:szCs w:val="28"/>
                <w:highlight w:val="none"/>
              </w:rPr>
              <w:t>（北京时</w:t>
            </w:r>
            <w:r>
              <w:rPr>
                <w:color w:val="auto"/>
                <w:spacing w:val="-8"/>
                <w:sz w:val="28"/>
                <w:szCs w:val="28"/>
                <w:highlight w:val="none"/>
              </w:rPr>
              <w:t>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33" w:type="dxa"/>
            <w:vAlign w:val="center"/>
          </w:tcPr>
          <w:p>
            <w:pPr>
              <w:keepNext w:val="0"/>
              <w:keepLines w:val="0"/>
              <w:pageBreakBefore w:val="0"/>
              <w:widowControl/>
              <w:kinsoku/>
              <w:wordWrap/>
              <w:overflowPunct/>
              <w:topLinePunct w:val="0"/>
              <w:bidi w:val="0"/>
              <w:snapToGrid/>
              <w:spacing w:line="400" w:lineRule="exact"/>
              <w:textAlignment w:val="auto"/>
              <w:rPr>
                <w:rFonts w:ascii="Arial"/>
                <w:color w:val="auto"/>
                <w:sz w:val="28"/>
                <w:szCs w:val="28"/>
              </w:rPr>
            </w:pPr>
          </w:p>
          <w:p>
            <w:pPr>
              <w:keepNext w:val="0"/>
              <w:keepLines w:val="0"/>
              <w:pageBreakBefore w:val="0"/>
              <w:widowControl/>
              <w:kinsoku/>
              <w:wordWrap/>
              <w:overflowPunct/>
              <w:topLinePunct w:val="0"/>
              <w:bidi w:val="0"/>
              <w:snapToGrid/>
              <w:spacing w:line="400" w:lineRule="exact"/>
              <w:textAlignment w:val="auto"/>
              <w:rPr>
                <w:rFonts w:ascii="Arial"/>
                <w:color w:val="auto"/>
                <w:sz w:val="28"/>
                <w:szCs w:val="28"/>
              </w:rPr>
            </w:pPr>
          </w:p>
          <w:p>
            <w:pPr>
              <w:keepNext w:val="0"/>
              <w:keepLines w:val="0"/>
              <w:pageBreakBefore w:val="0"/>
              <w:widowControl/>
              <w:kinsoku/>
              <w:wordWrap/>
              <w:overflowPunct/>
              <w:topLinePunct w:val="0"/>
              <w:bidi w:val="0"/>
              <w:snapToGrid/>
              <w:spacing w:line="400" w:lineRule="exact"/>
              <w:textAlignment w:val="auto"/>
              <w:rPr>
                <w:rFonts w:ascii="Arial"/>
                <w:color w:val="auto"/>
                <w:sz w:val="28"/>
                <w:szCs w:val="28"/>
              </w:rPr>
            </w:pPr>
          </w:p>
          <w:p>
            <w:pPr>
              <w:pStyle w:val="44"/>
              <w:keepNext w:val="0"/>
              <w:keepLines w:val="0"/>
              <w:pageBreakBefore w:val="0"/>
              <w:widowControl/>
              <w:kinsoku/>
              <w:wordWrap/>
              <w:overflowPunct/>
              <w:topLinePunct w:val="0"/>
              <w:bidi w:val="0"/>
              <w:snapToGrid/>
              <w:spacing w:before="65" w:line="400" w:lineRule="exact"/>
              <w:ind w:left="281"/>
              <w:textAlignment w:val="auto"/>
              <w:rPr>
                <w:color w:val="auto"/>
                <w:sz w:val="28"/>
                <w:szCs w:val="28"/>
              </w:rPr>
            </w:pPr>
            <w:r>
              <w:rPr>
                <w:color w:val="auto"/>
                <w:spacing w:val="-7"/>
                <w:sz w:val="28"/>
                <w:szCs w:val="28"/>
              </w:rPr>
              <w:t>17</w:t>
            </w:r>
          </w:p>
        </w:tc>
        <w:tc>
          <w:tcPr>
            <w:tcW w:w="1675" w:type="dxa"/>
            <w:vAlign w:val="center"/>
          </w:tcPr>
          <w:p>
            <w:pPr>
              <w:keepNext w:val="0"/>
              <w:keepLines w:val="0"/>
              <w:pageBreakBefore w:val="0"/>
              <w:widowControl/>
              <w:kinsoku/>
              <w:wordWrap/>
              <w:overflowPunct/>
              <w:topLinePunct w:val="0"/>
              <w:bidi w:val="0"/>
              <w:snapToGrid/>
              <w:spacing w:line="400" w:lineRule="exact"/>
              <w:textAlignment w:val="auto"/>
              <w:rPr>
                <w:rFonts w:ascii="Arial"/>
                <w:color w:val="auto"/>
                <w:sz w:val="28"/>
                <w:szCs w:val="28"/>
              </w:rPr>
            </w:pPr>
          </w:p>
          <w:p>
            <w:pPr>
              <w:keepNext w:val="0"/>
              <w:keepLines w:val="0"/>
              <w:pageBreakBefore w:val="0"/>
              <w:widowControl/>
              <w:kinsoku/>
              <w:wordWrap/>
              <w:overflowPunct/>
              <w:topLinePunct w:val="0"/>
              <w:bidi w:val="0"/>
              <w:snapToGrid/>
              <w:spacing w:line="400" w:lineRule="exact"/>
              <w:textAlignment w:val="auto"/>
              <w:rPr>
                <w:rFonts w:ascii="Arial"/>
                <w:color w:val="auto"/>
                <w:sz w:val="28"/>
                <w:szCs w:val="28"/>
              </w:rPr>
            </w:pPr>
          </w:p>
          <w:p>
            <w:pPr>
              <w:pStyle w:val="44"/>
              <w:keepNext w:val="0"/>
              <w:keepLines w:val="0"/>
              <w:pageBreakBefore w:val="0"/>
              <w:widowControl/>
              <w:kinsoku/>
              <w:wordWrap/>
              <w:overflowPunct/>
              <w:topLinePunct w:val="0"/>
              <w:bidi w:val="0"/>
              <w:snapToGrid/>
              <w:spacing w:before="65" w:line="400" w:lineRule="exact"/>
              <w:ind w:left="420" w:right="208" w:hanging="209"/>
              <w:textAlignment w:val="auto"/>
              <w:rPr>
                <w:rFonts w:hint="eastAsia"/>
                <w:color w:val="auto"/>
                <w:spacing w:val="8"/>
                <w:sz w:val="28"/>
                <w:szCs w:val="28"/>
                <w:lang w:eastAsia="zh-CN"/>
              </w:rPr>
            </w:pPr>
          </w:p>
          <w:p>
            <w:pPr>
              <w:pStyle w:val="44"/>
              <w:keepNext w:val="0"/>
              <w:keepLines w:val="0"/>
              <w:pageBreakBefore w:val="0"/>
              <w:widowControl/>
              <w:kinsoku/>
              <w:wordWrap/>
              <w:overflowPunct/>
              <w:topLinePunct w:val="0"/>
              <w:bidi w:val="0"/>
              <w:snapToGrid/>
              <w:spacing w:before="65" w:line="400" w:lineRule="exact"/>
              <w:ind w:left="420" w:right="208" w:hanging="209"/>
              <w:textAlignment w:val="auto"/>
              <w:rPr>
                <w:rFonts w:hint="eastAsia"/>
                <w:color w:val="auto"/>
                <w:spacing w:val="8"/>
                <w:sz w:val="28"/>
                <w:szCs w:val="28"/>
                <w:lang w:eastAsia="zh-CN"/>
              </w:rPr>
            </w:pPr>
          </w:p>
          <w:p>
            <w:pPr>
              <w:pStyle w:val="44"/>
              <w:keepNext w:val="0"/>
              <w:keepLines w:val="0"/>
              <w:pageBreakBefore w:val="0"/>
              <w:widowControl/>
              <w:kinsoku/>
              <w:wordWrap/>
              <w:overflowPunct/>
              <w:topLinePunct w:val="0"/>
              <w:bidi w:val="0"/>
              <w:snapToGrid/>
              <w:spacing w:before="65" w:line="400" w:lineRule="exact"/>
              <w:ind w:left="420" w:right="208" w:hanging="209"/>
              <w:textAlignment w:val="auto"/>
              <w:rPr>
                <w:rFonts w:hint="eastAsia"/>
                <w:color w:val="auto"/>
                <w:spacing w:val="8"/>
                <w:sz w:val="28"/>
                <w:szCs w:val="28"/>
                <w:lang w:eastAsia="zh-CN"/>
              </w:rPr>
            </w:pPr>
          </w:p>
          <w:p>
            <w:pPr>
              <w:pStyle w:val="44"/>
              <w:keepNext w:val="0"/>
              <w:keepLines w:val="0"/>
              <w:pageBreakBefore w:val="0"/>
              <w:widowControl/>
              <w:kinsoku/>
              <w:wordWrap/>
              <w:overflowPunct/>
              <w:topLinePunct w:val="0"/>
              <w:bidi w:val="0"/>
              <w:snapToGrid/>
              <w:spacing w:before="65" w:line="400" w:lineRule="exact"/>
              <w:ind w:left="420" w:right="208" w:hanging="209"/>
              <w:textAlignment w:val="auto"/>
              <w:rPr>
                <w:color w:val="auto"/>
                <w:sz w:val="28"/>
                <w:szCs w:val="28"/>
              </w:rPr>
            </w:pPr>
            <w:r>
              <w:rPr>
                <w:rFonts w:hint="eastAsia"/>
                <w:color w:val="auto"/>
                <w:spacing w:val="8"/>
                <w:sz w:val="28"/>
                <w:szCs w:val="28"/>
                <w:lang w:eastAsia="zh-CN"/>
              </w:rPr>
              <w:t>投标文件</w:t>
            </w:r>
            <w:r>
              <w:rPr>
                <w:color w:val="auto"/>
                <w:spacing w:val="7"/>
                <w:sz w:val="28"/>
                <w:szCs w:val="28"/>
              </w:rPr>
              <w:t>加密要求</w:t>
            </w:r>
          </w:p>
        </w:tc>
        <w:tc>
          <w:tcPr>
            <w:tcW w:w="7594" w:type="dxa"/>
            <w:vAlign w:val="center"/>
          </w:tcPr>
          <w:p>
            <w:pPr>
              <w:pStyle w:val="44"/>
              <w:keepNext w:val="0"/>
              <w:keepLines w:val="0"/>
              <w:pageBreakBefore w:val="0"/>
              <w:widowControl/>
              <w:kinsoku/>
              <w:wordWrap/>
              <w:overflowPunct/>
              <w:topLinePunct w:val="0"/>
              <w:bidi w:val="0"/>
              <w:snapToGrid/>
              <w:spacing w:before="34" w:line="400" w:lineRule="exact"/>
              <w:ind w:left="107" w:right="107" w:firstLine="6"/>
              <w:jc w:val="left"/>
              <w:textAlignment w:val="auto"/>
              <w:rPr>
                <w:rFonts w:hint="eastAsia"/>
                <w:color w:val="auto"/>
                <w:sz w:val="28"/>
                <w:szCs w:val="28"/>
                <w:lang w:val="zh-CN" w:eastAsia="zh-CN"/>
              </w:rPr>
            </w:pPr>
            <w:r>
              <w:rPr>
                <w:rFonts w:hint="eastAsia"/>
                <w:color w:val="auto"/>
                <w:sz w:val="28"/>
                <w:szCs w:val="28"/>
                <w:lang w:val="zh-CN" w:eastAsia="zh-CN"/>
              </w:rPr>
              <w:t>采用不见面开标：</w:t>
            </w:r>
          </w:p>
          <w:p>
            <w:pPr>
              <w:pStyle w:val="44"/>
              <w:keepNext w:val="0"/>
              <w:keepLines w:val="0"/>
              <w:pageBreakBefore w:val="0"/>
              <w:widowControl/>
              <w:kinsoku/>
              <w:wordWrap/>
              <w:overflowPunct/>
              <w:topLinePunct w:val="0"/>
              <w:bidi w:val="0"/>
              <w:snapToGrid/>
              <w:spacing w:before="34" w:line="400" w:lineRule="exact"/>
              <w:ind w:left="107" w:right="107" w:firstLine="6"/>
              <w:jc w:val="left"/>
              <w:textAlignment w:val="auto"/>
              <w:rPr>
                <w:rFonts w:hint="eastAsia"/>
                <w:color w:val="auto"/>
                <w:sz w:val="28"/>
                <w:szCs w:val="28"/>
                <w:lang w:val="zh-CN" w:eastAsia="zh-CN"/>
              </w:rPr>
            </w:pPr>
            <w:r>
              <w:rPr>
                <w:rFonts w:hint="eastAsia"/>
                <w:color w:val="auto"/>
                <w:sz w:val="28"/>
                <w:szCs w:val="28"/>
                <w:lang w:val="zh-CN" w:eastAsia="zh-CN"/>
              </w:rPr>
              <w:t>响应文件提交时间：同投标截止时间</w:t>
            </w:r>
          </w:p>
          <w:p>
            <w:pPr>
              <w:pStyle w:val="44"/>
              <w:keepNext w:val="0"/>
              <w:keepLines w:val="0"/>
              <w:pageBreakBefore w:val="0"/>
              <w:widowControl/>
              <w:kinsoku/>
              <w:wordWrap/>
              <w:overflowPunct/>
              <w:topLinePunct w:val="0"/>
              <w:bidi w:val="0"/>
              <w:snapToGrid/>
              <w:spacing w:before="34" w:line="400" w:lineRule="exact"/>
              <w:ind w:left="107" w:right="107" w:firstLine="6"/>
              <w:jc w:val="left"/>
              <w:textAlignment w:val="auto"/>
              <w:rPr>
                <w:rFonts w:hint="eastAsia"/>
                <w:color w:val="auto"/>
                <w:sz w:val="28"/>
                <w:szCs w:val="28"/>
                <w:lang w:val="zh-CN" w:eastAsia="zh-CN"/>
              </w:rPr>
            </w:pPr>
            <w:r>
              <w:rPr>
                <w:rFonts w:hint="eastAsia"/>
                <w:color w:val="auto"/>
                <w:sz w:val="28"/>
                <w:szCs w:val="28"/>
                <w:lang w:val="zh-CN" w:eastAsia="zh-CN"/>
              </w:rPr>
              <w:t>开标地点：政采云远程不见面开标大厅</w:t>
            </w:r>
          </w:p>
          <w:p>
            <w:pPr>
              <w:pStyle w:val="44"/>
              <w:keepNext w:val="0"/>
              <w:keepLines w:val="0"/>
              <w:pageBreakBefore w:val="0"/>
              <w:widowControl/>
              <w:kinsoku/>
              <w:wordWrap/>
              <w:overflowPunct/>
              <w:topLinePunct w:val="0"/>
              <w:bidi w:val="0"/>
              <w:snapToGrid/>
              <w:spacing w:before="34" w:line="400" w:lineRule="exact"/>
              <w:ind w:left="107" w:right="107" w:firstLine="6"/>
              <w:jc w:val="left"/>
              <w:textAlignment w:val="auto"/>
              <w:rPr>
                <w:rFonts w:hint="eastAsia"/>
                <w:color w:val="auto"/>
                <w:sz w:val="28"/>
                <w:szCs w:val="28"/>
                <w:lang w:val="zh-CN" w:eastAsia="zh-CN"/>
              </w:rPr>
            </w:pPr>
            <w:r>
              <w:rPr>
                <w:rFonts w:hint="eastAsia"/>
                <w:color w:val="auto"/>
                <w:sz w:val="28"/>
                <w:szCs w:val="28"/>
                <w:lang w:val="zh-CN" w:eastAsia="zh-CN"/>
              </w:rPr>
              <w:t>不见面开标默认解密时长：30分钟</w:t>
            </w:r>
          </w:p>
          <w:p>
            <w:pPr>
              <w:pStyle w:val="44"/>
              <w:keepNext w:val="0"/>
              <w:keepLines w:val="0"/>
              <w:pageBreakBefore w:val="0"/>
              <w:widowControl/>
              <w:kinsoku/>
              <w:wordWrap/>
              <w:overflowPunct/>
              <w:topLinePunct w:val="0"/>
              <w:bidi w:val="0"/>
              <w:snapToGrid/>
              <w:spacing w:before="34" w:line="400" w:lineRule="exact"/>
              <w:ind w:left="107" w:right="107" w:firstLine="6"/>
              <w:jc w:val="left"/>
              <w:textAlignment w:val="auto"/>
              <w:rPr>
                <w:rFonts w:hint="eastAsia"/>
                <w:color w:val="auto"/>
                <w:sz w:val="28"/>
                <w:szCs w:val="28"/>
                <w:lang w:val="zh-CN" w:eastAsia="zh-CN"/>
              </w:rPr>
            </w:pPr>
            <w:r>
              <w:rPr>
                <w:rFonts w:hint="eastAsia"/>
                <w:color w:val="auto"/>
                <w:sz w:val="28"/>
                <w:szCs w:val="28"/>
                <w:lang w:val="zh-CN" w:eastAsia="zh-CN"/>
              </w:rPr>
              <w:t>关于能否延长解密时间的约定：开标现场若发现默认解密时长不足，由采购人决定是否延长解密时长。</w:t>
            </w:r>
          </w:p>
          <w:p>
            <w:pPr>
              <w:pStyle w:val="44"/>
              <w:keepNext w:val="0"/>
              <w:keepLines w:val="0"/>
              <w:pageBreakBefore w:val="0"/>
              <w:widowControl/>
              <w:kinsoku/>
              <w:wordWrap/>
              <w:overflowPunct/>
              <w:topLinePunct w:val="0"/>
              <w:bidi w:val="0"/>
              <w:snapToGrid/>
              <w:spacing w:before="34" w:line="400" w:lineRule="exact"/>
              <w:ind w:left="107" w:right="107" w:firstLine="6"/>
              <w:jc w:val="left"/>
              <w:textAlignment w:val="auto"/>
              <w:rPr>
                <w:rFonts w:hint="eastAsia"/>
                <w:color w:val="auto"/>
                <w:sz w:val="28"/>
                <w:szCs w:val="28"/>
                <w:lang w:val="zh-CN" w:eastAsia="zh-CN"/>
              </w:rPr>
            </w:pPr>
            <w:r>
              <w:rPr>
                <w:rFonts w:hint="eastAsia"/>
                <w:color w:val="auto"/>
                <w:sz w:val="28"/>
                <w:szCs w:val="28"/>
                <w:lang w:val="zh-CN" w:eastAsia="zh-CN"/>
              </w:rPr>
              <w:t>注：供应商可通过账号密码或CA登录政采云客户端进行投标文件的制作，本项目采用电子版投标文件。</w:t>
            </w:r>
          </w:p>
          <w:p>
            <w:pPr>
              <w:pStyle w:val="44"/>
              <w:keepNext w:val="0"/>
              <w:keepLines w:val="0"/>
              <w:pageBreakBefore w:val="0"/>
              <w:widowControl/>
              <w:kinsoku/>
              <w:wordWrap/>
              <w:overflowPunct/>
              <w:topLinePunct w:val="0"/>
              <w:bidi w:val="0"/>
              <w:snapToGrid/>
              <w:spacing w:before="34" w:line="400" w:lineRule="exact"/>
              <w:ind w:left="107" w:right="107" w:firstLine="6"/>
              <w:jc w:val="left"/>
              <w:textAlignment w:val="auto"/>
              <w:rPr>
                <w:rFonts w:hint="eastAsia"/>
                <w:color w:val="auto"/>
                <w:sz w:val="28"/>
                <w:szCs w:val="28"/>
                <w:lang w:val="zh-CN" w:eastAsia="zh-CN"/>
              </w:rPr>
            </w:pPr>
            <w:r>
              <w:rPr>
                <w:rFonts w:hint="eastAsia"/>
                <w:color w:val="auto"/>
                <w:sz w:val="28"/>
                <w:szCs w:val="28"/>
                <w:lang w:val="zh-CN" w:eastAsia="zh-CN"/>
              </w:rPr>
              <w:t>采用不见面开标：</w:t>
            </w:r>
          </w:p>
          <w:p>
            <w:pPr>
              <w:pStyle w:val="44"/>
              <w:keepNext w:val="0"/>
              <w:keepLines w:val="0"/>
              <w:pageBreakBefore w:val="0"/>
              <w:widowControl/>
              <w:kinsoku/>
              <w:wordWrap/>
              <w:overflowPunct/>
              <w:topLinePunct w:val="0"/>
              <w:bidi w:val="0"/>
              <w:snapToGrid/>
              <w:spacing w:before="34" w:line="400" w:lineRule="exact"/>
              <w:ind w:left="107" w:right="107" w:firstLine="6"/>
              <w:jc w:val="left"/>
              <w:textAlignment w:val="auto"/>
              <w:rPr>
                <w:rFonts w:hint="eastAsia"/>
                <w:color w:val="auto"/>
                <w:sz w:val="28"/>
                <w:szCs w:val="28"/>
                <w:lang w:val="zh-CN" w:eastAsia="zh-CN"/>
              </w:rPr>
            </w:pPr>
            <w:r>
              <w:rPr>
                <w:rFonts w:hint="eastAsia"/>
                <w:color w:val="auto"/>
                <w:sz w:val="28"/>
                <w:szCs w:val="28"/>
                <w:lang w:val="zh-CN" w:eastAsia="zh-CN"/>
              </w:rPr>
              <w:t>1．本项目采用不见面开标、投标人需要递交电子响应文件，加密的电子响应文件，在投标截止时间前通过政采云平台（https://www.zcygov.cn/）上传到指定位置。无需递交纸质文件。</w:t>
            </w:r>
          </w:p>
          <w:p>
            <w:pPr>
              <w:pStyle w:val="44"/>
              <w:keepNext w:val="0"/>
              <w:keepLines w:val="0"/>
              <w:pageBreakBefore w:val="0"/>
              <w:widowControl/>
              <w:kinsoku/>
              <w:wordWrap/>
              <w:overflowPunct/>
              <w:topLinePunct w:val="0"/>
              <w:bidi w:val="0"/>
              <w:snapToGrid/>
              <w:spacing w:before="34" w:line="400" w:lineRule="exact"/>
              <w:ind w:left="107" w:right="107" w:firstLine="6"/>
              <w:jc w:val="left"/>
              <w:textAlignment w:val="auto"/>
              <w:rPr>
                <w:rFonts w:hint="eastAsia"/>
                <w:color w:val="auto"/>
                <w:sz w:val="28"/>
                <w:szCs w:val="28"/>
                <w:lang w:val="zh-CN" w:eastAsia="zh-CN"/>
              </w:rPr>
            </w:pPr>
            <w:r>
              <w:rPr>
                <w:rFonts w:hint="eastAsia"/>
                <w:color w:val="auto"/>
                <w:sz w:val="28"/>
                <w:szCs w:val="28"/>
                <w:lang w:val="zh-CN" w:eastAsia="zh-CN"/>
              </w:rPr>
              <w:t>2.本项目采用远程不见面交易的模式。开标当日，投标人无需到达开标现场，仅需在任意地点通过政采云平台（https://www.zcygov.cn/）完成远程解密、提疑澄清、开标唱标、结果公布等交互环节。投标人必须使用能正确解密响应文件的“CA锁”在规定的时间内完成远程解密，因投标人原因未能解密、解密失败或解密超时，视为投标人撤销其响应文件，系统内响应文件将被退回；因采购人原因或网上招投标平台发生故障，导致无法按时完成响应文件解密或开、评标工作无法进行的，可根据实际情况相应延迟解密时间或调整开、评标时间（友情提示：若投标人已领取副锁（含多把副锁）请注意正副锁的使用差别，务必使用生成响应文件的那把锁解密）。</w:t>
            </w:r>
          </w:p>
          <w:p>
            <w:pPr>
              <w:pStyle w:val="44"/>
              <w:keepNext w:val="0"/>
              <w:keepLines w:val="0"/>
              <w:pageBreakBefore w:val="0"/>
              <w:widowControl/>
              <w:kinsoku/>
              <w:wordWrap/>
              <w:overflowPunct/>
              <w:topLinePunct w:val="0"/>
              <w:bidi w:val="0"/>
              <w:snapToGrid/>
              <w:spacing w:before="34" w:line="400" w:lineRule="exact"/>
              <w:ind w:left="107" w:right="107" w:firstLine="6"/>
              <w:jc w:val="left"/>
              <w:textAlignment w:val="auto"/>
              <w:rPr>
                <w:rFonts w:hint="eastAsia"/>
                <w:color w:val="auto"/>
                <w:sz w:val="28"/>
                <w:szCs w:val="28"/>
                <w:lang w:val="zh-CN" w:eastAsia="zh-CN"/>
              </w:rPr>
            </w:pPr>
            <w:r>
              <w:rPr>
                <w:rFonts w:hint="eastAsia"/>
                <w:color w:val="auto"/>
                <w:sz w:val="28"/>
                <w:szCs w:val="28"/>
                <w:lang w:val="zh-CN" w:eastAsia="zh-CN"/>
              </w:rPr>
              <w:t>3.远程开标前，投标人务必在政采云平台（https://www.zcygov.cn/）响应文件上传模块中使用“模拟解密”功能，验证本机远程自助解密环境</w:t>
            </w:r>
          </w:p>
          <w:p>
            <w:pPr>
              <w:pStyle w:val="44"/>
              <w:keepNext w:val="0"/>
              <w:keepLines w:val="0"/>
              <w:pageBreakBefore w:val="0"/>
              <w:widowControl/>
              <w:kinsoku/>
              <w:wordWrap/>
              <w:overflowPunct/>
              <w:topLinePunct w:val="0"/>
              <w:bidi w:val="0"/>
              <w:snapToGrid/>
              <w:spacing w:before="34" w:line="400" w:lineRule="exact"/>
              <w:ind w:left="107" w:right="107" w:firstLine="6"/>
              <w:jc w:val="left"/>
              <w:textAlignment w:val="auto"/>
              <w:rPr>
                <w:color w:val="auto"/>
                <w:sz w:val="28"/>
                <w:szCs w:val="28"/>
              </w:rPr>
            </w:pPr>
            <w:r>
              <w:rPr>
                <w:rFonts w:hint="eastAsia"/>
                <w:color w:val="auto"/>
                <w:sz w:val="28"/>
                <w:szCs w:val="28"/>
                <w:lang w:val="zh-CN" w:eastAsia="zh-CN"/>
              </w:rPr>
              <w:t>响应文件格式文件要求盖单位章和（或）签字的地方，供应商均应使用CA数字证书加盖供应商的单位电子签章和（或）法定代表人的个人电子签名。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6" w:hRule="atLeast"/>
        </w:trPr>
        <w:tc>
          <w:tcPr>
            <w:tcW w:w="733" w:type="dxa"/>
            <w:vAlign w:val="center"/>
          </w:tcPr>
          <w:p>
            <w:pPr>
              <w:keepNext w:val="0"/>
              <w:keepLines w:val="0"/>
              <w:pageBreakBefore w:val="0"/>
              <w:widowControl/>
              <w:kinsoku/>
              <w:wordWrap/>
              <w:overflowPunct/>
              <w:topLinePunct w:val="0"/>
              <w:bidi w:val="0"/>
              <w:snapToGrid/>
              <w:spacing w:line="400" w:lineRule="exact"/>
              <w:textAlignment w:val="auto"/>
              <w:rPr>
                <w:rFonts w:ascii="Arial"/>
                <w:color w:val="auto"/>
                <w:sz w:val="28"/>
                <w:szCs w:val="28"/>
              </w:rPr>
            </w:pPr>
          </w:p>
          <w:p>
            <w:pPr>
              <w:pStyle w:val="44"/>
              <w:keepNext w:val="0"/>
              <w:keepLines w:val="0"/>
              <w:pageBreakBefore w:val="0"/>
              <w:widowControl/>
              <w:kinsoku/>
              <w:wordWrap/>
              <w:overflowPunct/>
              <w:topLinePunct w:val="0"/>
              <w:bidi w:val="0"/>
              <w:snapToGrid/>
              <w:spacing w:before="65" w:line="400" w:lineRule="exact"/>
              <w:ind w:left="281"/>
              <w:textAlignment w:val="auto"/>
              <w:rPr>
                <w:color w:val="auto"/>
                <w:sz w:val="28"/>
                <w:szCs w:val="28"/>
              </w:rPr>
            </w:pPr>
            <w:r>
              <w:rPr>
                <w:color w:val="auto"/>
                <w:spacing w:val="-7"/>
                <w:sz w:val="28"/>
                <w:szCs w:val="28"/>
              </w:rPr>
              <w:t>18</w:t>
            </w:r>
          </w:p>
        </w:tc>
        <w:tc>
          <w:tcPr>
            <w:tcW w:w="1675" w:type="dxa"/>
            <w:vAlign w:val="center"/>
          </w:tcPr>
          <w:p>
            <w:pPr>
              <w:keepNext w:val="0"/>
              <w:keepLines w:val="0"/>
              <w:pageBreakBefore w:val="0"/>
              <w:widowControl/>
              <w:kinsoku/>
              <w:wordWrap/>
              <w:overflowPunct/>
              <w:topLinePunct w:val="0"/>
              <w:bidi w:val="0"/>
              <w:snapToGrid/>
              <w:spacing w:line="400" w:lineRule="exact"/>
              <w:textAlignment w:val="auto"/>
              <w:rPr>
                <w:rFonts w:ascii="Arial"/>
                <w:color w:val="auto"/>
                <w:sz w:val="28"/>
                <w:szCs w:val="28"/>
              </w:rPr>
            </w:pPr>
          </w:p>
          <w:p>
            <w:pPr>
              <w:pStyle w:val="44"/>
              <w:keepNext w:val="0"/>
              <w:keepLines w:val="0"/>
              <w:pageBreakBefore w:val="0"/>
              <w:widowControl/>
              <w:kinsoku/>
              <w:wordWrap/>
              <w:overflowPunct/>
              <w:topLinePunct w:val="0"/>
              <w:bidi w:val="0"/>
              <w:snapToGrid/>
              <w:spacing w:before="65" w:line="400" w:lineRule="exact"/>
              <w:ind w:left="211"/>
              <w:textAlignment w:val="auto"/>
              <w:rPr>
                <w:rFonts w:hint="eastAsia" w:eastAsia="宋体"/>
                <w:color w:val="auto"/>
                <w:sz w:val="28"/>
                <w:szCs w:val="28"/>
                <w:lang w:eastAsia="zh-CN"/>
              </w:rPr>
            </w:pPr>
            <w:r>
              <w:rPr>
                <w:rFonts w:hint="eastAsia"/>
                <w:color w:val="auto"/>
                <w:spacing w:val="8"/>
                <w:sz w:val="28"/>
                <w:szCs w:val="28"/>
                <w:lang w:eastAsia="zh-CN"/>
              </w:rPr>
              <w:t>投标文件</w:t>
            </w:r>
          </w:p>
        </w:tc>
        <w:tc>
          <w:tcPr>
            <w:tcW w:w="7594" w:type="dxa"/>
            <w:vAlign w:val="center"/>
          </w:tcPr>
          <w:p>
            <w:pPr>
              <w:pStyle w:val="44"/>
              <w:keepNext w:val="0"/>
              <w:keepLines w:val="0"/>
              <w:pageBreakBefore w:val="0"/>
              <w:widowControl/>
              <w:kinsoku/>
              <w:wordWrap/>
              <w:overflowPunct/>
              <w:topLinePunct w:val="0"/>
              <w:bidi w:val="0"/>
              <w:snapToGrid/>
              <w:spacing w:before="174" w:line="400" w:lineRule="exact"/>
              <w:ind w:left="115"/>
              <w:jc w:val="left"/>
              <w:textAlignment w:val="auto"/>
              <w:rPr>
                <w:color w:val="auto"/>
                <w:sz w:val="28"/>
                <w:szCs w:val="28"/>
              </w:rPr>
            </w:pPr>
            <w:r>
              <w:rPr>
                <w:color w:val="auto"/>
                <w:spacing w:val="7"/>
                <w:sz w:val="28"/>
                <w:szCs w:val="28"/>
              </w:rPr>
              <w:t>纸质版</w:t>
            </w:r>
            <w:r>
              <w:rPr>
                <w:rFonts w:hint="eastAsia"/>
                <w:color w:val="auto"/>
                <w:spacing w:val="7"/>
                <w:sz w:val="28"/>
                <w:szCs w:val="28"/>
                <w:lang w:eastAsia="zh-CN"/>
              </w:rPr>
              <w:t>投标文件</w:t>
            </w:r>
            <w:r>
              <w:rPr>
                <w:color w:val="auto"/>
                <w:spacing w:val="7"/>
                <w:sz w:val="28"/>
                <w:szCs w:val="28"/>
              </w:rPr>
              <w:t>份数：</w:t>
            </w:r>
            <w:r>
              <w:rPr>
                <w:rFonts w:ascii="Times New Roman" w:hAnsi="Times New Roman" w:eastAsia="Times New Roman" w:cs="Times New Roman"/>
                <w:color w:val="auto"/>
                <w:spacing w:val="7"/>
                <w:sz w:val="28"/>
                <w:szCs w:val="28"/>
              </w:rPr>
              <w:t>/</w:t>
            </w:r>
          </w:p>
          <w:p>
            <w:pPr>
              <w:pStyle w:val="44"/>
              <w:keepNext w:val="0"/>
              <w:keepLines w:val="0"/>
              <w:pageBreakBefore w:val="0"/>
              <w:widowControl/>
              <w:kinsoku/>
              <w:wordWrap/>
              <w:overflowPunct/>
              <w:topLinePunct w:val="0"/>
              <w:bidi w:val="0"/>
              <w:snapToGrid/>
              <w:spacing w:before="194" w:line="400" w:lineRule="exact"/>
              <w:ind w:left="117"/>
              <w:jc w:val="left"/>
              <w:textAlignment w:val="auto"/>
              <w:rPr>
                <w:rFonts w:hint="eastAsia" w:eastAsia="宋体"/>
                <w:color w:val="auto"/>
                <w:sz w:val="28"/>
                <w:szCs w:val="28"/>
                <w:lang w:eastAsia="zh-CN"/>
              </w:rPr>
            </w:pPr>
            <w:r>
              <w:rPr>
                <w:color w:val="auto"/>
                <w:spacing w:val="9"/>
                <w:sz w:val="28"/>
                <w:szCs w:val="28"/>
              </w:rPr>
              <w:t>是否要求提交电子版文件：</w:t>
            </w:r>
            <w:r>
              <w:rPr>
                <w:rFonts w:hint="eastAsia"/>
                <w:color w:val="auto"/>
                <w:spacing w:val="9"/>
                <w:sz w:val="28"/>
                <w:szCs w:val="28"/>
                <w:lang w:val="en-US" w:eastAsia="zh-CN"/>
              </w:rPr>
              <w:t>是</w:t>
            </w:r>
          </w:p>
          <w:p>
            <w:pPr>
              <w:pStyle w:val="44"/>
              <w:keepNext w:val="0"/>
              <w:keepLines w:val="0"/>
              <w:pageBreakBefore w:val="0"/>
              <w:widowControl/>
              <w:kinsoku/>
              <w:wordWrap/>
              <w:overflowPunct/>
              <w:topLinePunct w:val="0"/>
              <w:bidi w:val="0"/>
              <w:snapToGrid/>
              <w:spacing w:before="50" w:line="400" w:lineRule="exact"/>
              <w:ind w:left="114"/>
              <w:jc w:val="left"/>
              <w:textAlignment w:val="auto"/>
              <w:rPr>
                <w:rFonts w:hint="default" w:ascii="Times New Roman" w:hAnsi="Times New Roman" w:eastAsia="宋体" w:cs="Times New Roman"/>
                <w:color w:val="auto"/>
                <w:sz w:val="28"/>
                <w:szCs w:val="28"/>
                <w:lang w:val="en-US" w:eastAsia="zh-CN"/>
              </w:rPr>
            </w:pPr>
            <w:r>
              <w:rPr>
                <w:color w:val="auto"/>
                <w:spacing w:val="7"/>
                <w:sz w:val="28"/>
                <w:szCs w:val="28"/>
              </w:rPr>
              <w:t>其他要求：</w:t>
            </w:r>
            <w:r>
              <w:rPr>
                <w:rFonts w:hint="eastAsia"/>
                <w:color w:val="auto"/>
                <w:spacing w:val="7"/>
                <w:sz w:val="28"/>
                <w:szCs w:val="28"/>
                <w:lang w:val="en-US" w:eastAsia="zh-CN"/>
              </w:rPr>
              <w:t>所有投标供应商开标结束</w:t>
            </w:r>
            <w:r>
              <w:rPr>
                <w:color w:val="auto"/>
                <w:spacing w:val="7"/>
                <w:sz w:val="28"/>
                <w:szCs w:val="28"/>
              </w:rPr>
              <w:t>后</w:t>
            </w:r>
            <w:r>
              <w:rPr>
                <w:rFonts w:hint="eastAsia"/>
                <w:color w:val="auto"/>
                <w:spacing w:val="7"/>
                <w:sz w:val="28"/>
                <w:szCs w:val="28"/>
                <w:lang w:val="en-US" w:eastAsia="zh-CN"/>
              </w:rPr>
              <w:t>在5个工作日内</w:t>
            </w:r>
            <w:r>
              <w:rPr>
                <w:color w:val="auto"/>
                <w:spacing w:val="7"/>
                <w:sz w:val="28"/>
                <w:szCs w:val="28"/>
              </w:rPr>
              <w:t>需提 3 套纸质投标文件</w:t>
            </w:r>
            <w:r>
              <w:rPr>
                <w:rFonts w:hint="eastAsia"/>
                <w:color w:val="auto"/>
                <w:spacing w:val="7"/>
                <w:sz w:val="28"/>
                <w:szCs w:val="28"/>
                <w:lang w:val="en-US" w:eastAsia="zh-CN"/>
              </w:rPr>
              <w:t>递交/邮寄至招标代理机构。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733" w:type="dxa"/>
            <w:vAlign w:val="center"/>
          </w:tcPr>
          <w:p>
            <w:pPr>
              <w:keepNext w:val="0"/>
              <w:keepLines w:val="0"/>
              <w:pageBreakBefore w:val="0"/>
              <w:widowControl/>
              <w:kinsoku/>
              <w:wordWrap/>
              <w:overflowPunct/>
              <w:topLinePunct w:val="0"/>
              <w:bidi w:val="0"/>
              <w:snapToGrid/>
              <w:spacing w:line="400" w:lineRule="exact"/>
              <w:textAlignment w:val="auto"/>
              <w:rPr>
                <w:rFonts w:ascii="Arial"/>
                <w:color w:val="auto"/>
                <w:sz w:val="28"/>
                <w:szCs w:val="28"/>
              </w:rPr>
            </w:pPr>
          </w:p>
          <w:p>
            <w:pPr>
              <w:pStyle w:val="44"/>
              <w:keepNext w:val="0"/>
              <w:keepLines w:val="0"/>
              <w:pageBreakBefore w:val="0"/>
              <w:widowControl/>
              <w:kinsoku/>
              <w:wordWrap/>
              <w:overflowPunct/>
              <w:topLinePunct w:val="0"/>
              <w:bidi w:val="0"/>
              <w:snapToGrid/>
              <w:spacing w:before="65" w:line="400" w:lineRule="exact"/>
              <w:ind w:left="281"/>
              <w:textAlignment w:val="auto"/>
              <w:rPr>
                <w:color w:val="auto"/>
                <w:sz w:val="28"/>
                <w:szCs w:val="28"/>
              </w:rPr>
            </w:pPr>
            <w:r>
              <w:rPr>
                <w:color w:val="auto"/>
                <w:spacing w:val="-7"/>
                <w:sz w:val="28"/>
                <w:szCs w:val="28"/>
              </w:rPr>
              <w:t>19</w:t>
            </w:r>
          </w:p>
        </w:tc>
        <w:tc>
          <w:tcPr>
            <w:tcW w:w="1675" w:type="dxa"/>
            <w:vAlign w:val="center"/>
          </w:tcPr>
          <w:p>
            <w:pPr>
              <w:keepNext w:val="0"/>
              <w:keepLines w:val="0"/>
              <w:pageBreakBefore w:val="0"/>
              <w:widowControl/>
              <w:kinsoku/>
              <w:wordWrap/>
              <w:overflowPunct/>
              <w:topLinePunct w:val="0"/>
              <w:bidi w:val="0"/>
              <w:snapToGrid/>
              <w:spacing w:line="400" w:lineRule="exact"/>
              <w:textAlignment w:val="auto"/>
              <w:rPr>
                <w:rFonts w:ascii="Arial"/>
                <w:color w:val="auto"/>
                <w:sz w:val="28"/>
                <w:szCs w:val="28"/>
              </w:rPr>
            </w:pPr>
          </w:p>
          <w:p>
            <w:pPr>
              <w:pStyle w:val="44"/>
              <w:keepNext w:val="0"/>
              <w:keepLines w:val="0"/>
              <w:pageBreakBefore w:val="0"/>
              <w:widowControl/>
              <w:kinsoku/>
              <w:wordWrap/>
              <w:overflowPunct/>
              <w:topLinePunct w:val="0"/>
              <w:bidi w:val="0"/>
              <w:snapToGrid/>
              <w:spacing w:before="65" w:line="400" w:lineRule="exact"/>
              <w:ind w:left="316"/>
              <w:textAlignment w:val="auto"/>
              <w:rPr>
                <w:color w:val="auto"/>
                <w:sz w:val="28"/>
                <w:szCs w:val="28"/>
              </w:rPr>
            </w:pPr>
            <w:r>
              <w:rPr>
                <w:color w:val="auto"/>
                <w:spacing w:val="8"/>
                <w:sz w:val="28"/>
                <w:szCs w:val="28"/>
              </w:rPr>
              <w:t>低于成本价</w:t>
            </w:r>
          </w:p>
        </w:tc>
        <w:tc>
          <w:tcPr>
            <w:tcW w:w="7594" w:type="dxa"/>
            <w:vAlign w:val="center"/>
          </w:tcPr>
          <w:p>
            <w:pPr>
              <w:pStyle w:val="44"/>
              <w:keepNext w:val="0"/>
              <w:keepLines w:val="0"/>
              <w:pageBreakBefore w:val="0"/>
              <w:widowControl/>
              <w:kinsoku/>
              <w:wordWrap/>
              <w:overflowPunct/>
              <w:topLinePunct w:val="0"/>
              <w:bidi w:val="0"/>
              <w:snapToGrid/>
              <w:spacing w:before="35" w:line="400" w:lineRule="exact"/>
              <w:ind w:left="113" w:right="107" w:firstLine="560" w:firstLineChars="200"/>
              <w:jc w:val="left"/>
              <w:textAlignment w:val="auto"/>
              <w:rPr>
                <w:rFonts w:hint="default"/>
                <w:color w:val="auto"/>
                <w:sz w:val="28"/>
                <w:szCs w:val="28"/>
              </w:rPr>
            </w:pPr>
            <w:r>
              <w:rPr>
                <w:color w:val="auto"/>
                <w:sz w:val="28"/>
                <w:szCs w:val="28"/>
              </w:rPr>
              <w:t>《政府采购货物和服务招标投标管理办法》（财政部87号令）</w:t>
            </w:r>
            <w:r>
              <w:rPr>
                <w:rFonts w:hint="eastAsia"/>
                <w:color w:val="auto"/>
                <w:sz w:val="28"/>
                <w:szCs w:val="28"/>
              </w:rPr>
              <w:t>第六十条</w:t>
            </w:r>
            <w:r>
              <w:rPr>
                <w:color w:val="auto"/>
                <w:sz w:val="28"/>
                <w:szCs w:val="28"/>
              </w:rPr>
              <w:t>规定</w:t>
            </w:r>
            <w:r>
              <w:rPr>
                <w:rFonts w:hint="eastAsia"/>
                <w:color w:val="auto"/>
                <w:sz w:val="28"/>
                <w:szCs w:val="28"/>
                <w:lang w:eastAsia="zh-CN"/>
              </w:rPr>
              <w:t>：</w:t>
            </w:r>
            <w:r>
              <w:rPr>
                <w:rFonts w:hint="default"/>
                <w:color w:val="auto"/>
                <w:sz w:val="28"/>
                <w:szCs w:val="28"/>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4"/>
              <w:keepNext w:val="0"/>
              <w:keepLines w:val="0"/>
              <w:pageBreakBefore w:val="0"/>
              <w:widowControl/>
              <w:kinsoku/>
              <w:wordWrap/>
              <w:overflowPunct/>
              <w:topLinePunct w:val="0"/>
              <w:bidi w:val="0"/>
              <w:snapToGrid/>
              <w:spacing w:before="35" w:line="400" w:lineRule="exact"/>
              <w:ind w:left="113" w:right="107" w:firstLine="560" w:firstLineChars="200"/>
              <w:jc w:val="left"/>
              <w:textAlignment w:val="auto"/>
              <w:rPr>
                <w:rFonts w:hint="default"/>
                <w:color w:val="auto"/>
                <w:sz w:val="28"/>
                <w:szCs w:val="28"/>
              </w:rPr>
            </w:pPr>
            <w:r>
              <w:rPr>
                <w:rFonts w:hint="default"/>
                <w:color w:val="auto"/>
                <w:sz w:val="28"/>
                <w:szCs w:val="28"/>
              </w:rPr>
              <w:t>在评标过程中，评标委员会认为投标人的报价明显低于其他通过符合性审查投标人的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44"/>
              <w:keepNext w:val="0"/>
              <w:keepLines w:val="0"/>
              <w:pageBreakBefore w:val="0"/>
              <w:widowControl/>
              <w:kinsoku/>
              <w:wordWrap/>
              <w:overflowPunct/>
              <w:topLinePunct w:val="0"/>
              <w:bidi w:val="0"/>
              <w:snapToGrid/>
              <w:spacing w:before="35" w:line="400" w:lineRule="exact"/>
              <w:ind w:left="113" w:right="107" w:firstLine="560" w:firstLineChars="200"/>
              <w:jc w:val="left"/>
              <w:textAlignment w:val="auto"/>
              <w:rPr>
                <w:rFonts w:hint="default"/>
                <w:color w:val="auto"/>
                <w:sz w:val="28"/>
                <w:szCs w:val="28"/>
              </w:rPr>
            </w:pPr>
            <w:r>
              <w:rPr>
                <w:rFonts w:hint="default"/>
                <w:color w:val="auto"/>
                <w:sz w:val="28"/>
                <w:szCs w:val="28"/>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44"/>
              <w:keepNext w:val="0"/>
              <w:keepLines w:val="0"/>
              <w:pageBreakBefore w:val="0"/>
              <w:widowControl/>
              <w:kinsoku/>
              <w:wordWrap/>
              <w:overflowPunct/>
              <w:topLinePunct w:val="0"/>
              <w:bidi w:val="0"/>
              <w:snapToGrid/>
              <w:spacing w:before="35" w:line="400" w:lineRule="exact"/>
              <w:ind w:left="113" w:right="107" w:firstLine="560" w:firstLineChars="200"/>
              <w:jc w:val="left"/>
              <w:textAlignment w:val="auto"/>
              <w:rPr>
                <w:rFonts w:hint="default"/>
                <w:color w:val="auto"/>
                <w:sz w:val="28"/>
                <w:szCs w:val="28"/>
              </w:rPr>
            </w:pPr>
            <w:r>
              <w:rPr>
                <w:rFonts w:hint="default"/>
                <w:color w:val="auto"/>
                <w:sz w:val="28"/>
                <w:szCs w:val="28"/>
              </w:rPr>
              <w:t>供应商提供书面说明后，评标委员会应当结合采购项目采购需求、专业实际情况、供应商财务状况报告、与其他供应商比较情况等就供应商书面说明进行审查评价。</w:t>
            </w:r>
          </w:p>
          <w:p>
            <w:pPr>
              <w:pStyle w:val="44"/>
              <w:keepNext w:val="0"/>
              <w:keepLines w:val="0"/>
              <w:pageBreakBefore w:val="0"/>
              <w:widowControl/>
              <w:kinsoku/>
              <w:wordWrap/>
              <w:overflowPunct/>
              <w:topLinePunct w:val="0"/>
              <w:bidi w:val="0"/>
              <w:snapToGrid/>
              <w:spacing w:before="35" w:line="400" w:lineRule="exact"/>
              <w:ind w:left="113" w:right="107" w:firstLine="560" w:firstLineChars="200"/>
              <w:jc w:val="left"/>
              <w:textAlignment w:val="auto"/>
              <w:rPr>
                <w:rFonts w:hint="default"/>
                <w:color w:val="auto"/>
                <w:sz w:val="28"/>
                <w:szCs w:val="28"/>
              </w:rPr>
            </w:pPr>
            <w:r>
              <w:rPr>
                <w:rFonts w:hint="default"/>
                <w:color w:val="auto"/>
                <w:sz w:val="28"/>
                <w:szCs w:val="28"/>
              </w:rPr>
              <w:t>供应商拒绝或者变相拒绝提供有效书面说明或者书面说明不能证明其报价合理性的，评标委员会应当将其投标（响应）文件作为无效处理。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33" w:type="dxa"/>
            <w:vAlign w:val="center"/>
          </w:tcPr>
          <w:p>
            <w:pPr>
              <w:pStyle w:val="44"/>
              <w:keepNext w:val="0"/>
              <w:keepLines w:val="0"/>
              <w:pageBreakBefore w:val="0"/>
              <w:widowControl/>
              <w:kinsoku/>
              <w:wordWrap/>
              <w:overflowPunct/>
              <w:topLinePunct w:val="0"/>
              <w:bidi w:val="0"/>
              <w:snapToGrid/>
              <w:spacing w:before="204" w:line="400" w:lineRule="exact"/>
              <w:ind w:left="268"/>
              <w:textAlignment w:val="auto"/>
              <w:rPr>
                <w:color w:val="auto"/>
                <w:sz w:val="28"/>
                <w:szCs w:val="28"/>
              </w:rPr>
            </w:pPr>
            <w:r>
              <w:rPr>
                <w:color w:val="auto"/>
                <w:spacing w:val="-1"/>
                <w:sz w:val="28"/>
                <w:szCs w:val="28"/>
              </w:rPr>
              <w:t>20</w:t>
            </w:r>
          </w:p>
        </w:tc>
        <w:tc>
          <w:tcPr>
            <w:tcW w:w="1675" w:type="dxa"/>
            <w:vAlign w:val="center"/>
          </w:tcPr>
          <w:p>
            <w:pPr>
              <w:pStyle w:val="44"/>
              <w:keepNext w:val="0"/>
              <w:keepLines w:val="0"/>
              <w:pageBreakBefore w:val="0"/>
              <w:widowControl/>
              <w:kinsoku/>
              <w:wordWrap/>
              <w:overflowPunct/>
              <w:topLinePunct w:val="0"/>
              <w:bidi w:val="0"/>
              <w:snapToGrid/>
              <w:spacing w:before="170" w:line="400" w:lineRule="exact"/>
              <w:ind w:left="421"/>
              <w:textAlignment w:val="auto"/>
              <w:rPr>
                <w:color w:val="auto"/>
                <w:sz w:val="28"/>
                <w:szCs w:val="28"/>
              </w:rPr>
            </w:pPr>
            <w:r>
              <w:rPr>
                <w:color w:val="auto"/>
                <w:spacing w:val="7"/>
                <w:sz w:val="28"/>
                <w:szCs w:val="28"/>
              </w:rPr>
              <w:t>踏勘现场</w:t>
            </w:r>
          </w:p>
        </w:tc>
        <w:tc>
          <w:tcPr>
            <w:tcW w:w="7594" w:type="dxa"/>
            <w:vAlign w:val="center"/>
          </w:tcPr>
          <w:p>
            <w:pPr>
              <w:pStyle w:val="44"/>
              <w:keepNext w:val="0"/>
              <w:keepLines w:val="0"/>
              <w:pageBreakBefore w:val="0"/>
              <w:widowControl/>
              <w:kinsoku/>
              <w:wordWrap/>
              <w:overflowPunct/>
              <w:topLinePunct w:val="0"/>
              <w:bidi w:val="0"/>
              <w:snapToGrid/>
              <w:spacing w:before="36" w:line="400" w:lineRule="exact"/>
              <w:ind w:left="114" w:right="107" w:firstLine="8"/>
              <w:jc w:val="left"/>
              <w:textAlignment w:val="auto"/>
              <w:rPr>
                <w:color w:val="auto"/>
                <w:sz w:val="28"/>
                <w:szCs w:val="28"/>
              </w:rPr>
            </w:pPr>
            <w:r>
              <w:rPr>
                <w:color w:val="auto"/>
                <w:sz w:val="28"/>
                <w:szCs w:val="28"/>
              </w:rPr>
              <w:drawing>
                <wp:inline distT="0" distB="0" distL="0" distR="0">
                  <wp:extent cx="106680" cy="102235"/>
                  <wp:effectExtent l="0" t="0" r="7620" b="12065"/>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1"/>
                          <a:stretch>
                            <a:fillRect/>
                          </a:stretch>
                        </pic:blipFill>
                        <pic:spPr>
                          <a:xfrm>
                            <a:off x="0" y="0"/>
                            <a:ext cx="107101" cy="102588"/>
                          </a:xfrm>
                          <a:prstGeom prst="rect">
                            <a:avLst/>
                          </a:prstGeom>
                        </pic:spPr>
                      </pic:pic>
                    </a:graphicData>
                  </a:graphic>
                </wp:inline>
              </w:drawing>
            </w:r>
            <w:r>
              <w:rPr>
                <w:color w:val="auto"/>
                <w:spacing w:val="11"/>
                <w:sz w:val="28"/>
                <w:szCs w:val="28"/>
              </w:rPr>
              <w:t>不组织，供应商自行踏勘，无论供应商对现场考察与否，都将被视为熟悉履行</w:t>
            </w:r>
            <w:r>
              <w:rPr>
                <w:color w:val="auto"/>
                <w:spacing w:val="7"/>
                <w:sz w:val="28"/>
                <w:szCs w:val="28"/>
              </w:rPr>
              <w:t>合同有关的一切情况。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733" w:type="dxa"/>
            <w:vAlign w:val="center"/>
          </w:tcPr>
          <w:p>
            <w:pPr>
              <w:pStyle w:val="44"/>
              <w:keepNext w:val="0"/>
              <w:keepLines w:val="0"/>
              <w:pageBreakBefore w:val="0"/>
              <w:widowControl/>
              <w:kinsoku/>
              <w:wordWrap/>
              <w:overflowPunct/>
              <w:topLinePunct w:val="0"/>
              <w:bidi w:val="0"/>
              <w:snapToGrid/>
              <w:spacing w:before="69" w:line="400" w:lineRule="exact"/>
              <w:ind w:left="268"/>
              <w:textAlignment w:val="auto"/>
              <w:rPr>
                <w:color w:val="auto"/>
                <w:sz w:val="28"/>
                <w:szCs w:val="28"/>
              </w:rPr>
            </w:pPr>
            <w:r>
              <w:rPr>
                <w:color w:val="auto"/>
                <w:spacing w:val="-1"/>
                <w:sz w:val="28"/>
                <w:szCs w:val="28"/>
              </w:rPr>
              <w:t>21</w:t>
            </w:r>
          </w:p>
        </w:tc>
        <w:tc>
          <w:tcPr>
            <w:tcW w:w="1675" w:type="dxa"/>
            <w:vAlign w:val="center"/>
          </w:tcPr>
          <w:p>
            <w:pPr>
              <w:pStyle w:val="44"/>
              <w:keepNext w:val="0"/>
              <w:keepLines w:val="0"/>
              <w:pageBreakBefore w:val="0"/>
              <w:widowControl/>
              <w:kinsoku/>
              <w:wordWrap/>
              <w:overflowPunct/>
              <w:topLinePunct w:val="0"/>
              <w:bidi w:val="0"/>
              <w:snapToGrid/>
              <w:spacing w:before="37" w:line="400" w:lineRule="exact"/>
              <w:ind w:left="320"/>
              <w:textAlignment w:val="auto"/>
              <w:rPr>
                <w:color w:val="auto"/>
                <w:sz w:val="28"/>
                <w:szCs w:val="28"/>
              </w:rPr>
            </w:pPr>
            <w:r>
              <w:rPr>
                <w:color w:val="auto"/>
                <w:spacing w:val="7"/>
                <w:sz w:val="28"/>
                <w:szCs w:val="28"/>
              </w:rPr>
              <w:t>投标答疑会</w:t>
            </w:r>
          </w:p>
        </w:tc>
        <w:tc>
          <w:tcPr>
            <w:tcW w:w="7594" w:type="dxa"/>
            <w:vAlign w:val="center"/>
          </w:tcPr>
          <w:p>
            <w:pPr>
              <w:pStyle w:val="44"/>
              <w:keepNext w:val="0"/>
              <w:keepLines w:val="0"/>
              <w:pageBreakBefore w:val="0"/>
              <w:widowControl/>
              <w:kinsoku/>
              <w:wordWrap/>
              <w:overflowPunct/>
              <w:topLinePunct w:val="0"/>
              <w:bidi w:val="0"/>
              <w:snapToGrid/>
              <w:spacing w:before="37" w:line="400" w:lineRule="exact"/>
              <w:ind w:left="123"/>
              <w:jc w:val="left"/>
              <w:textAlignment w:val="auto"/>
              <w:rPr>
                <w:color w:val="auto"/>
                <w:sz w:val="28"/>
                <w:szCs w:val="28"/>
              </w:rPr>
            </w:pPr>
            <w:r>
              <w:rPr>
                <w:color w:val="auto"/>
                <w:sz w:val="28"/>
                <w:szCs w:val="28"/>
              </w:rPr>
              <w:drawing>
                <wp:inline distT="0" distB="0" distL="0" distR="0">
                  <wp:extent cx="106680" cy="102235"/>
                  <wp:effectExtent l="0" t="0" r="7620" b="12065"/>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1"/>
                          <a:stretch>
                            <a:fillRect/>
                          </a:stretch>
                        </pic:blipFill>
                        <pic:spPr>
                          <a:xfrm>
                            <a:off x="0" y="0"/>
                            <a:ext cx="107101" cy="102588"/>
                          </a:xfrm>
                          <a:prstGeom prst="rect">
                            <a:avLst/>
                          </a:prstGeom>
                        </pic:spPr>
                      </pic:pic>
                    </a:graphicData>
                  </a:graphic>
                </wp:inline>
              </w:drawing>
            </w:r>
            <w:r>
              <w:rPr>
                <w:color w:val="auto"/>
                <w:spacing w:val="9"/>
                <w:sz w:val="28"/>
                <w:szCs w:val="28"/>
              </w:rPr>
              <w:t>不召开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33" w:type="dxa"/>
            <w:vAlign w:val="center"/>
          </w:tcPr>
          <w:p>
            <w:pPr>
              <w:pStyle w:val="44"/>
              <w:keepNext w:val="0"/>
              <w:keepLines w:val="0"/>
              <w:pageBreakBefore w:val="0"/>
              <w:widowControl/>
              <w:kinsoku/>
              <w:wordWrap/>
              <w:overflowPunct/>
              <w:topLinePunct w:val="0"/>
              <w:bidi w:val="0"/>
              <w:snapToGrid/>
              <w:spacing w:before="70" w:line="400" w:lineRule="exact"/>
              <w:ind w:left="268"/>
              <w:textAlignment w:val="auto"/>
              <w:rPr>
                <w:color w:val="auto"/>
                <w:sz w:val="28"/>
                <w:szCs w:val="28"/>
              </w:rPr>
            </w:pPr>
            <w:r>
              <w:rPr>
                <w:color w:val="auto"/>
                <w:spacing w:val="-1"/>
                <w:sz w:val="28"/>
                <w:szCs w:val="28"/>
              </w:rPr>
              <w:t>22</w:t>
            </w:r>
          </w:p>
        </w:tc>
        <w:tc>
          <w:tcPr>
            <w:tcW w:w="1675" w:type="dxa"/>
            <w:vAlign w:val="center"/>
          </w:tcPr>
          <w:p>
            <w:pPr>
              <w:pStyle w:val="44"/>
              <w:keepNext w:val="0"/>
              <w:keepLines w:val="0"/>
              <w:pageBreakBefore w:val="0"/>
              <w:widowControl/>
              <w:kinsoku/>
              <w:wordWrap/>
              <w:overflowPunct/>
              <w:topLinePunct w:val="0"/>
              <w:bidi w:val="0"/>
              <w:snapToGrid/>
              <w:spacing w:before="37" w:line="400" w:lineRule="exact"/>
              <w:ind w:left="212"/>
              <w:textAlignment w:val="auto"/>
              <w:rPr>
                <w:color w:val="auto"/>
                <w:sz w:val="28"/>
                <w:szCs w:val="28"/>
              </w:rPr>
            </w:pPr>
            <w:r>
              <w:rPr>
                <w:color w:val="auto"/>
                <w:spacing w:val="8"/>
                <w:sz w:val="28"/>
                <w:szCs w:val="28"/>
              </w:rPr>
              <w:t>供应商提出问</w:t>
            </w:r>
            <w:r>
              <w:rPr>
                <w:color w:val="auto"/>
                <w:spacing w:val="7"/>
                <w:sz w:val="28"/>
                <w:szCs w:val="28"/>
              </w:rPr>
              <w:t>题</w:t>
            </w:r>
            <w:r>
              <w:rPr>
                <w:rFonts w:hint="eastAsia"/>
                <w:color w:val="auto"/>
                <w:spacing w:val="7"/>
                <w:sz w:val="28"/>
                <w:szCs w:val="28"/>
                <w:lang w:eastAsia="zh-CN"/>
              </w:rPr>
              <w:t>、</w:t>
            </w:r>
            <w:r>
              <w:rPr>
                <w:rFonts w:hint="eastAsia"/>
                <w:color w:val="auto"/>
                <w:spacing w:val="7"/>
                <w:sz w:val="28"/>
                <w:szCs w:val="28"/>
                <w:lang w:val="en-US" w:eastAsia="zh-CN"/>
              </w:rPr>
              <w:t>质疑</w:t>
            </w:r>
            <w:r>
              <w:rPr>
                <w:color w:val="auto"/>
                <w:spacing w:val="7"/>
                <w:sz w:val="28"/>
                <w:szCs w:val="28"/>
              </w:rPr>
              <w:t>或要求</w:t>
            </w:r>
            <w:r>
              <w:rPr>
                <w:color w:val="auto"/>
                <w:spacing w:val="8"/>
                <w:sz w:val="28"/>
                <w:szCs w:val="28"/>
              </w:rPr>
              <w:t>澄清</w:t>
            </w:r>
            <w:r>
              <w:rPr>
                <w:rFonts w:hint="eastAsia"/>
                <w:color w:val="auto"/>
                <w:spacing w:val="8"/>
                <w:sz w:val="28"/>
                <w:szCs w:val="28"/>
                <w:lang w:eastAsia="zh-CN"/>
              </w:rPr>
              <w:t>招标文件</w:t>
            </w:r>
            <w:r>
              <w:rPr>
                <w:color w:val="auto"/>
                <w:spacing w:val="4"/>
                <w:sz w:val="28"/>
                <w:szCs w:val="28"/>
              </w:rPr>
              <w:t>的截止时间</w:t>
            </w:r>
          </w:p>
        </w:tc>
        <w:tc>
          <w:tcPr>
            <w:tcW w:w="7594" w:type="dxa"/>
            <w:vAlign w:val="center"/>
          </w:tcPr>
          <w:p>
            <w:pPr>
              <w:pStyle w:val="44"/>
              <w:keepNext w:val="0"/>
              <w:keepLines w:val="0"/>
              <w:pageBreakBefore w:val="0"/>
              <w:widowControl/>
              <w:kinsoku/>
              <w:wordWrap/>
              <w:overflowPunct/>
              <w:topLinePunct w:val="0"/>
              <w:autoSpaceDE/>
              <w:autoSpaceDN/>
              <w:bidi w:val="0"/>
              <w:adjustRightInd/>
              <w:snapToGrid/>
              <w:spacing w:before="26" w:line="400" w:lineRule="exact"/>
              <w:ind w:left="113"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因交易系统实行封闭运行，供应商信息保密，因此标书质疑答疑均在政采云平台中进行，不接受标书书面质疑。请领取招标文件的供应商严格按规定时间进行标书质疑和查看答疑回复。提疑问时间：</w:t>
            </w:r>
            <w:r>
              <w:rPr>
                <w:rFonts w:hint="eastAsia" w:ascii="宋体" w:hAnsi="宋体" w:eastAsia="宋体" w:cs="宋体"/>
                <w:color w:val="auto"/>
                <w:sz w:val="28"/>
                <w:szCs w:val="28"/>
                <w:lang w:eastAsia="zh-CN"/>
              </w:rPr>
              <w:t>投标文件</w:t>
            </w:r>
            <w:r>
              <w:rPr>
                <w:rFonts w:hint="eastAsia" w:ascii="宋体" w:hAnsi="宋体" w:eastAsia="宋体" w:cs="宋体"/>
                <w:color w:val="auto"/>
                <w:sz w:val="28"/>
                <w:szCs w:val="28"/>
              </w:rPr>
              <w:t>递交截止时间</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rPr>
              <w:t>日前；请供应商在已下载招标文件项目中网上提问环节一次性提出针对同一采购程序环节的质疑，逾期不接受书面标书质疑。答疑时间：</w:t>
            </w:r>
            <w:r>
              <w:rPr>
                <w:rFonts w:hint="eastAsia" w:ascii="宋体" w:hAnsi="宋体" w:eastAsia="宋体" w:cs="宋体"/>
                <w:color w:val="auto"/>
                <w:sz w:val="28"/>
                <w:szCs w:val="28"/>
                <w:lang w:eastAsia="zh-CN"/>
              </w:rPr>
              <w:t>投标文件</w:t>
            </w:r>
            <w:r>
              <w:rPr>
                <w:rFonts w:hint="eastAsia" w:ascii="宋体" w:hAnsi="宋体" w:eastAsia="宋体" w:cs="宋体"/>
                <w:color w:val="auto"/>
                <w:sz w:val="28"/>
                <w:szCs w:val="28"/>
              </w:rPr>
              <w:t>递交截止时间</w:t>
            </w:r>
            <w:r>
              <w:rPr>
                <w:rFonts w:hint="eastAsia" w:ascii="宋体" w:hAnsi="宋体" w:eastAsia="宋体" w:cs="宋体"/>
                <w:color w:val="auto"/>
                <w:sz w:val="28"/>
                <w:szCs w:val="28"/>
                <w:lang w:val="en-US" w:eastAsia="zh-CN"/>
              </w:rPr>
              <w:t>15</w:t>
            </w:r>
            <w:r>
              <w:rPr>
                <w:rFonts w:hint="eastAsia" w:ascii="宋体" w:hAnsi="宋体" w:eastAsia="宋体" w:cs="宋体"/>
                <w:color w:val="auto"/>
                <w:sz w:val="28"/>
                <w:szCs w:val="28"/>
              </w:rPr>
              <w:t>日前（北京时间）；请供应商及时登陆政采云平台注意查看网上提问回复。</w:t>
            </w:r>
          </w:p>
          <w:p>
            <w:pPr>
              <w:pStyle w:val="44"/>
              <w:keepNext w:val="0"/>
              <w:keepLines w:val="0"/>
              <w:pageBreakBefore w:val="0"/>
              <w:widowControl/>
              <w:kinsoku/>
              <w:wordWrap/>
              <w:overflowPunct/>
              <w:topLinePunct w:val="0"/>
              <w:autoSpaceDE/>
              <w:autoSpaceDN/>
              <w:bidi w:val="0"/>
              <w:adjustRightInd/>
              <w:snapToGrid/>
              <w:spacing w:before="26" w:line="400" w:lineRule="exact"/>
              <w:ind w:left="113" w:firstLine="560" w:firstLineChars="200"/>
              <w:jc w:val="left"/>
              <w:textAlignment w:val="auto"/>
              <w:rPr>
                <w:rFonts w:hint="default" w:ascii="宋体" w:hAnsi="宋体" w:eastAsia="宋体" w:cs="宋体"/>
                <w:color w:val="auto"/>
                <w:sz w:val="28"/>
                <w:szCs w:val="28"/>
              </w:rPr>
            </w:pPr>
            <w:r>
              <w:rPr>
                <w:rFonts w:hint="default" w:ascii="宋体" w:hAnsi="宋体" w:eastAsia="宋体" w:cs="宋体"/>
                <w:color w:val="auto"/>
                <w:sz w:val="28"/>
                <w:szCs w:val="28"/>
                <w:lang w:val="en-US" w:eastAsia="zh-CN"/>
              </w:rPr>
              <w:t>供应商认为采购文件、</w:t>
            </w:r>
            <w:r>
              <w:rPr>
                <w:rFonts w:hint="default" w:ascii="宋体" w:hAnsi="宋体" w:eastAsia="宋体" w:cs="宋体"/>
                <w:color w:val="auto"/>
                <w:sz w:val="28"/>
                <w:szCs w:val="28"/>
                <w:lang w:val="en-US" w:eastAsia="zh-CN"/>
              </w:rPr>
              <w:fldChar w:fldCharType="begin"/>
            </w:r>
            <w:r>
              <w:rPr>
                <w:rFonts w:hint="default" w:ascii="宋体" w:hAnsi="宋体" w:eastAsia="宋体" w:cs="宋体"/>
                <w:color w:val="auto"/>
                <w:sz w:val="28"/>
                <w:szCs w:val="28"/>
                <w:lang w:val="en-US" w:eastAsia="zh-CN"/>
              </w:rPr>
              <w:instrText xml:space="preserve"> HYPERLINK "https://baike.baidu.com/item/%E9%87%87%E8%B4%AD%E8%BF%87%E7%A8%8B/2526557?fromModule=lemma_inlink" \t "https://baike.baidu.com/item/%E6%94%BF%E5%BA%9C%E9%87%87%E8%B4%AD%E8%B4%A8%E7%96%91%E5%92%8C%E6%8A%95%E8%AF%89%E5%8A%9E%E6%B3%95/_blank" </w:instrText>
            </w:r>
            <w:r>
              <w:rPr>
                <w:rFonts w:hint="default" w:ascii="宋体" w:hAnsi="宋体" w:eastAsia="宋体" w:cs="宋体"/>
                <w:color w:val="auto"/>
                <w:sz w:val="28"/>
                <w:szCs w:val="28"/>
                <w:lang w:val="en-US" w:eastAsia="zh-CN"/>
              </w:rPr>
              <w:fldChar w:fldCharType="separate"/>
            </w:r>
            <w:r>
              <w:rPr>
                <w:rFonts w:hint="default" w:ascii="宋体" w:hAnsi="宋体" w:eastAsia="宋体" w:cs="宋体"/>
                <w:color w:val="auto"/>
                <w:sz w:val="28"/>
                <w:szCs w:val="28"/>
              </w:rPr>
              <w:t>采购过程</w:t>
            </w:r>
            <w:r>
              <w:rPr>
                <w:rFonts w:hint="default" w:ascii="宋体" w:hAnsi="宋体" w:eastAsia="宋体" w:cs="宋体"/>
                <w:color w:val="auto"/>
                <w:sz w:val="28"/>
                <w:szCs w:val="28"/>
                <w:lang w:val="en-US" w:eastAsia="zh-CN"/>
              </w:rPr>
              <w:fldChar w:fldCharType="end"/>
            </w:r>
            <w:r>
              <w:rPr>
                <w:rFonts w:hint="default" w:ascii="宋体" w:hAnsi="宋体" w:eastAsia="宋体" w:cs="宋体"/>
                <w:color w:val="auto"/>
                <w:sz w:val="28"/>
                <w:szCs w:val="28"/>
                <w:lang w:val="en-US" w:eastAsia="zh-CN"/>
              </w:rPr>
              <w:t>、中标或者成交结果使自己的权益受到损害的，可以在知道或者应知其权益受到损害之日起7个工作日内，以书面形式向采购代理机构提出质疑。提出质疑的供应商（以下简称质疑供应商）应当是参与所质疑</w:t>
            </w:r>
            <w:r>
              <w:rPr>
                <w:rFonts w:hint="default" w:ascii="宋体" w:hAnsi="宋体" w:eastAsia="宋体" w:cs="宋体"/>
                <w:color w:val="auto"/>
                <w:sz w:val="28"/>
                <w:szCs w:val="28"/>
                <w:lang w:val="en-US" w:eastAsia="zh-CN"/>
              </w:rPr>
              <w:fldChar w:fldCharType="begin"/>
            </w:r>
            <w:r>
              <w:rPr>
                <w:rFonts w:hint="default" w:ascii="宋体" w:hAnsi="宋体" w:eastAsia="宋体" w:cs="宋体"/>
                <w:color w:val="auto"/>
                <w:sz w:val="28"/>
                <w:szCs w:val="28"/>
                <w:lang w:val="en-US" w:eastAsia="zh-CN"/>
              </w:rPr>
              <w:instrText xml:space="preserve"> HYPERLINK "https://baike.baidu.com/item/%E9%A1%B9%E7%9B%AE%E9%87%87%E8%B4%AD/5122220?fromModule=lemma_inlink" \t "https://baike.baidu.com/item/%E6%94%BF%E5%BA%9C%E9%87%87%E8%B4%AD%E8%B4%A8%E7%96%91%E5%92%8C%E6%8A%95%E8%AF%89%E5%8A%9E%E6%B3%95/_blank" </w:instrText>
            </w:r>
            <w:r>
              <w:rPr>
                <w:rFonts w:hint="default" w:ascii="宋体" w:hAnsi="宋体" w:eastAsia="宋体" w:cs="宋体"/>
                <w:color w:val="auto"/>
                <w:sz w:val="28"/>
                <w:szCs w:val="28"/>
                <w:lang w:val="en-US" w:eastAsia="zh-CN"/>
              </w:rPr>
              <w:fldChar w:fldCharType="separate"/>
            </w:r>
            <w:r>
              <w:rPr>
                <w:rFonts w:hint="default" w:ascii="宋体" w:hAnsi="宋体" w:eastAsia="宋体" w:cs="宋体"/>
                <w:color w:val="auto"/>
                <w:sz w:val="28"/>
                <w:szCs w:val="28"/>
              </w:rPr>
              <w:t>项目采购</w:t>
            </w:r>
            <w:r>
              <w:rPr>
                <w:rFonts w:hint="default" w:ascii="宋体" w:hAnsi="宋体" w:eastAsia="宋体" w:cs="宋体"/>
                <w:color w:val="auto"/>
                <w:sz w:val="28"/>
                <w:szCs w:val="28"/>
                <w:lang w:val="en-US" w:eastAsia="zh-CN"/>
              </w:rPr>
              <w:fldChar w:fldCharType="end"/>
            </w:r>
            <w:r>
              <w:rPr>
                <w:rFonts w:hint="default" w:ascii="宋体" w:hAnsi="宋体" w:eastAsia="宋体" w:cs="宋体"/>
                <w:color w:val="auto"/>
                <w:sz w:val="28"/>
                <w:szCs w:val="28"/>
                <w:lang w:val="en-US" w:eastAsia="zh-CN"/>
              </w:rPr>
              <w:t>活动的供应商。</w:t>
            </w:r>
            <w:r>
              <w:rPr>
                <w:rFonts w:hint="default" w:ascii="宋体" w:hAnsi="宋体" w:eastAsia="宋体" w:cs="宋体"/>
                <w:color w:val="auto"/>
                <w:sz w:val="28"/>
                <w:szCs w:val="28"/>
                <w:lang w:val="en-US" w:eastAsia="zh-CN"/>
              </w:rPr>
              <w:fldChar w:fldCharType="begin"/>
            </w:r>
            <w:r>
              <w:rPr>
                <w:rFonts w:hint="default" w:ascii="宋体" w:hAnsi="宋体" w:eastAsia="宋体" w:cs="宋体"/>
                <w:color w:val="auto"/>
                <w:sz w:val="28"/>
                <w:szCs w:val="28"/>
                <w:lang w:val="en-US" w:eastAsia="zh-CN"/>
              </w:rPr>
              <w:instrText xml:space="preserve"> HYPERLINK "https://baike.baidu.com/item/%E6%BD%9C%E5%9C%A8%E4%BE%9B%E5%BA%94%E5%95%86/12752486?fromModule=lemma_inlink" \t "https://baike.baidu.com/item/%E6%94%BF%E5%BA%9C%E9%87%87%E8%B4%AD%E8%B4%A8%E7%96%91%E5%92%8C%E6%8A%95%E8%AF%89%E5%8A%9E%E6%B3%95/_blank" </w:instrText>
            </w:r>
            <w:r>
              <w:rPr>
                <w:rFonts w:hint="default" w:ascii="宋体" w:hAnsi="宋体" w:eastAsia="宋体" w:cs="宋体"/>
                <w:color w:val="auto"/>
                <w:sz w:val="28"/>
                <w:szCs w:val="28"/>
                <w:lang w:val="en-US" w:eastAsia="zh-CN"/>
              </w:rPr>
              <w:fldChar w:fldCharType="separate"/>
            </w:r>
            <w:r>
              <w:rPr>
                <w:rFonts w:hint="default" w:ascii="宋体" w:hAnsi="宋体" w:eastAsia="宋体" w:cs="宋体"/>
                <w:color w:val="auto"/>
                <w:sz w:val="28"/>
                <w:szCs w:val="28"/>
              </w:rPr>
              <w:t>潜在供应商</w:t>
            </w:r>
            <w:r>
              <w:rPr>
                <w:rFonts w:hint="default" w:ascii="宋体" w:hAnsi="宋体" w:eastAsia="宋体" w:cs="宋体"/>
                <w:color w:val="auto"/>
                <w:sz w:val="28"/>
                <w:szCs w:val="28"/>
                <w:lang w:val="en-US" w:eastAsia="zh-CN"/>
              </w:rPr>
              <w:fldChar w:fldCharType="end"/>
            </w:r>
            <w:r>
              <w:rPr>
                <w:rFonts w:hint="default" w:ascii="宋体" w:hAnsi="宋体" w:eastAsia="宋体" w:cs="宋体"/>
                <w:color w:val="auto"/>
                <w:sz w:val="28"/>
                <w:szCs w:val="28"/>
                <w:lang w:val="en-US" w:eastAsia="zh-CN"/>
              </w:rPr>
              <w:t>已依法获取其可质疑的采购文件的，可以对该文件提出质疑。对采购文件提出质疑的，应当在获取采购文件或者采购文件公告</w:t>
            </w:r>
            <w:r>
              <w:rPr>
                <w:rFonts w:hint="default" w:ascii="宋体" w:hAnsi="宋体" w:eastAsia="宋体" w:cs="宋体"/>
                <w:color w:val="auto"/>
                <w:sz w:val="28"/>
                <w:szCs w:val="28"/>
                <w:lang w:val="en-US" w:eastAsia="zh-CN"/>
              </w:rPr>
              <w:fldChar w:fldCharType="begin"/>
            </w:r>
            <w:r>
              <w:rPr>
                <w:rFonts w:hint="default" w:ascii="宋体" w:hAnsi="宋体" w:eastAsia="宋体" w:cs="宋体"/>
                <w:color w:val="auto"/>
                <w:sz w:val="28"/>
                <w:szCs w:val="28"/>
                <w:lang w:val="en-US" w:eastAsia="zh-CN"/>
              </w:rPr>
              <w:instrText xml:space="preserve"> HYPERLINK "https://baike.baidu.com/item/%E6%9C%9F%E9%99%90%E5%B1%8A%E6%BB%A1/10561304?fromModule=lemma_inlink" \t "https://baike.baidu.com/item/%E6%94%BF%E5%BA%9C%E9%87%87%E8%B4%AD%E8%B4%A8%E7%96%91%E5%92%8C%E6%8A%95%E8%AF%89%E5%8A%9E%E6%B3%95/_blank" </w:instrText>
            </w:r>
            <w:r>
              <w:rPr>
                <w:rFonts w:hint="default" w:ascii="宋体" w:hAnsi="宋体" w:eastAsia="宋体" w:cs="宋体"/>
                <w:color w:val="auto"/>
                <w:sz w:val="28"/>
                <w:szCs w:val="28"/>
                <w:lang w:val="en-US" w:eastAsia="zh-CN"/>
              </w:rPr>
              <w:fldChar w:fldCharType="separate"/>
            </w:r>
            <w:r>
              <w:rPr>
                <w:rFonts w:hint="default" w:ascii="宋体" w:hAnsi="宋体" w:eastAsia="宋体" w:cs="宋体"/>
                <w:color w:val="auto"/>
                <w:sz w:val="28"/>
                <w:szCs w:val="28"/>
              </w:rPr>
              <w:t>期限届满</w:t>
            </w:r>
            <w:r>
              <w:rPr>
                <w:rFonts w:hint="default" w:ascii="宋体" w:hAnsi="宋体" w:eastAsia="宋体" w:cs="宋体"/>
                <w:color w:val="auto"/>
                <w:sz w:val="28"/>
                <w:szCs w:val="28"/>
                <w:lang w:val="en-US" w:eastAsia="zh-CN"/>
              </w:rPr>
              <w:fldChar w:fldCharType="end"/>
            </w:r>
            <w:r>
              <w:rPr>
                <w:rFonts w:hint="default" w:ascii="宋体" w:hAnsi="宋体" w:eastAsia="宋体" w:cs="宋体"/>
                <w:color w:val="auto"/>
                <w:sz w:val="28"/>
                <w:szCs w:val="28"/>
                <w:lang w:val="en-US" w:eastAsia="zh-CN"/>
              </w:rPr>
              <w:t>之日起7个工作日内提出。供应商提出质疑应当提交质疑函和必要的</w:t>
            </w:r>
            <w:r>
              <w:rPr>
                <w:rFonts w:hint="default" w:ascii="宋体" w:hAnsi="宋体" w:eastAsia="宋体" w:cs="宋体"/>
                <w:color w:val="auto"/>
                <w:sz w:val="28"/>
                <w:szCs w:val="28"/>
                <w:lang w:val="en-US" w:eastAsia="zh-CN"/>
              </w:rPr>
              <w:fldChar w:fldCharType="begin"/>
            </w:r>
            <w:r>
              <w:rPr>
                <w:rFonts w:hint="default" w:ascii="宋体" w:hAnsi="宋体" w:eastAsia="宋体" w:cs="宋体"/>
                <w:color w:val="auto"/>
                <w:sz w:val="28"/>
                <w:szCs w:val="28"/>
                <w:lang w:val="en-US" w:eastAsia="zh-CN"/>
              </w:rPr>
              <w:instrText xml:space="preserve"> HYPERLINK "https://baike.baidu.com/item/%E8%AF%81%E6%98%8E%E6%9D%90%E6%96%99/22908383?fromModule=lemma_inlink" \t "https://baike.baidu.com/item/%E6%94%BF%E5%BA%9C%E9%87%87%E8%B4%AD%E8%B4%A8%E7%96%91%E5%92%8C%E6%8A%95%E8%AF%89%E5%8A%9E%E6%B3%95/_blank" </w:instrText>
            </w:r>
            <w:r>
              <w:rPr>
                <w:rFonts w:hint="default" w:ascii="宋体" w:hAnsi="宋体" w:eastAsia="宋体" w:cs="宋体"/>
                <w:color w:val="auto"/>
                <w:sz w:val="28"/>
                <w:szCs w:val="28"/>
                <w:lang w:val="en-US" w:eastAsia="zh-CN"/>
              </w:rPr>
              <w:fldChar w:fldCharType="separate"/>
            </w:r>
            <w:r>
              <w:rPr>
                <w:rFonts w:hint="default" w:ascii="宋体" w:hAnsi="宋体" w:eastAsia="宋体" w:cs="宋体"/>
                <w:color w:val="auto"/>
                <w:sz w:val="28"/>
                <w:szCs w:val="28"/>
              </w:rPr>
              <w:t>证明材料</w:t>
            </w:r>
            <w:r>
              <w:rPr>
                <w:rFonts w:hint="default" w:ascii="宋体" w:hAnsi="宋体" w:eastAsia="宋体" w:cs="宋体"/>
                <w:color w:val="auto"/>
                <w:sz w:val="28"/>
                <w:szCs w:val="28"/>
                <w:lang w:val="en-US" w:eastAsia="zh-CN"/>
              </w:rPr>
              <w:fldChar w:fldCharType="end"/>
            </w:r>
            <w:r>
              <w:rPr>
                <w:rFonts w:hint="default" w:ascii="宋体" w:hAnsi="宋体" w:eastAsia="宋体" w:cs="宋体"/>
                <w:color w:val="auto"/>
                <w:sz w:val="28"/>
                <w:szCs w:val="28"/>
                <w:lang w:val="en-US" w:eastAsia="zh-CN"/>
              </w:rPr>
              <w:t>。质疑函应当包括下列内容：</w:t>
            </w:r>
          </w:p>
          <w:p>
            <w:pPr>
              <w:pStyle w:val="44"/>
              <w:keepNext w:val="0"/>
              <w:keepLines w:val="0"/>
              <w:pageBreakBefore w:val="0"/>
              <w:widowControl/>
              <w:kinsoku/>
              <w:wordWrap/>
              <w:overflowPunct/>
              <w:topLinePunct w:val="0"/>
              <w:autoSpaceDE/>
              <w:autoSpaceDN/>
              <w:bidi w:val="0"/>
              <w:adjustRightInd/>
              <w:snapToGrid/>
              <w:spacing w:before="26" w:line="400" w:lineRule="exact"/>
              <w:ind w:left="113" w:firstLine="560" w:firstLineChars="200"/>
              <w:jc w:val="left"/>
              <w:textAlignment w:val="auto"/>
              <w:rPr>
                <w:rFonts w:hint="default" w:ascii="宋体" w:hAnsi="宋体" w:eastAsia="宋体" w:cs="宋体"/>
                <w:color w:val="auto"/>
                <w:sz w:val="28"/>
                <w:szCs w:val="28"/>
              </w:rPr>
            </w:pPr>
            <w:r>
              <w:rPr>
                <w:rFonts w:hint="default" w:ascii="宋体" w:hAnsi="宋体" w:eastAsia="宋体" w:cs="宋体"/>
                <w:color w:val="auto"/>
                <w:sz w:val="28"/>
                <w:szCs w:val="28"/>
                <w:lang w:val="en-US" w:eastAsia="zh-CN"/>
              </w:rPr>
              <w:t>（一）供应商的姓名或者名称、地址、邮编、联系人及联系电话；</w:t>
            </w:r>
          </w:p>
          <w:p>
            <w:pPr>
              <w:pStyle w:val="44"/>
              <w:keepNext w:val="0"/>
              <w:keepLines w:val="0"/>
              <w:pageBreakBefore w:val="0"/>
              <w:widowControl/>
              <w:kinsoku/>
              <w:wordWrap/>
              <w:overflowPunct/>
              <w:topLinePunct w:val="0"/>
              <w:autoSpaceDE/>
              <w:autoSpaceDN/>
              <w:bidi w:val="0"/>
              <w:adjustRightInd/>
              <w:snapToGrid/>
              <w:spacing w:before="26" w:line="400" w:lineRule="exact"/>
              <w:ind w:left="113" w:firstLine="560" w:firstLineChars="200"/>
              <w:jc w:val="left"/>
              <w:textAlignment w:val="auto"/>
              <w:rPr>
                <w:rFonts w:hint="default" w:ascii="宋体" w:hAnsi="宋体" w:eastAsia="宋体" w:cs="宋体"/>
                <w:color w:val="auto"/>
                <w:sz w:val="28"/>
                <w:szCs w:val="28"/>
              </w:rPr>
            </w:pPr>
            <w:r>
              <w:rPr>
                <w:rFonts w:hint="default" w:ascii="宋体" w:hAnsi="宋体" w:eastAsia="宋体" w:cs="宋体"/>
                <w:color w:val="auto"/>
                <w:sz w:val="28"/>
                <w:szCs w:val="28"/>
                <w:lang w:val="en-US" w:eastAsia="zh-CN"/>
              </w:rPr>
              <w:t>（二）质疑项目的名称、编号；</w:t>
            </w:r>
          </w:p>
          <w:p>
            <w:pPr>
              <w:pStyle w:val="44"/>
              <w:keepNext w:val="0"/>
              <w:keepLines w:val="0"/>
              <w:pageBreakBefore w:val="0"/>
              <w:widowControl/>
              <w:kinsoku/>
              <w:wordWrap/>
              <w:overflowPunct/>
              <w:topLinePunct w:val="0"/>
              <w:autoSpaceDE/>
              <w:autoSpaceDN/>
              <w:bidi w:val="0"/>
              <w:adjustRightInd/>
              <w:snapToGrid/>
              <w:spacing w:before="26" w:line="400" w:lineRule="exact"/>
              <w:ind w:left="113" w:firstLine="560" w:firstLineChars="200"/>
              <w:jc w:val="left"/>
              <w:textAlignment w:val="auto"/>
              <w:rPr>
                <w:rFonts w:hint="default" w:ascii="宋体" w:hAnsi="宋体" w:eastAsia="宋体" w:cs="宋体"/>
                <w:color w:val="auto"/>
                <w:sz w:val="28"/>
                <w:szCs w:val="28"/>
              </w:rPr>
            </w:pPr>
            <w:r>
              <w:rPr>
                <w:rFonts w:hint="default" w:ascii="宋体" w:hAnsi="宋体" w:eastAsia="宋体" w:cs="宋体"/>
                <w:color w:val="auto"/>
                <w:sz w:val="28"/>
                <w:szCs w:val="28"/>
                <w:lang w:val="en-US" w:eastAsia="zh-CN"/>
              </w:rPr>
              <w:t>（三）具体、明确的质疑事项和与质疑事项相关的请求；</w:t>
            </w:r>
          </w:p>
          <w:p>
            <w:pPr>
              <w:pStyle w:val="44"/>
              <w:keepNext w:val="0"/>
              <w:keepLines w:val="0"/>
              <w:pageBreakBefore w:val="0"/>
              <w:widowControl/>
              <w:kinsoku/>
              <w:wordWrap/>
              <w:overflowPunct/>
              <w:topLinePunct w:val="0"/>
              <w:autoSpaceDE/>
              <w:autoSpaceDN/>
              <w:bidi w:val="0"/>
              <w:adjustRightInd/>
              <w:snapToGrid/>
              <w:spacing w:before="26" w:line="400" w:lineRule="exact"/>
              <w:ind w:left="113" w:firstLine="560" w:firstLineChars="200"/>
              <w:jc w:val="left"/>
              <w:textAlignment w:val="auto"/>
              <w:rPr>
                <w:rFonts w:hint="default" w:ascii="宋体" w:hAnsi="宋体" w:eastAsia="宋体" w:cs="宋体"/>
                <w:color w:val="auto"/>
                <w:sz w:val="28"/>
                <w:szCs w:val="28"/>
              </w:rPr>
            </w:pPr>
            <w:r>
              <w:rPr>
                <w:rFonts w:hint="default" w:ascii="宋体" w:hAnsi="宋体" w:eastAsia="宋体" w:cs="宋体"/>
                <w:color w:val="auto"/>
                <w:sz w:val="28"/>
                <w:szCs w:val="28"/>
                <w:lang w:val="en-US" w:eastAsia="zh-CN"/>
              </w:rPr>
              <w:t>（四）事实依据；</w:t>
            </w:r>
          </w:p>
          <w:p>
            <w:pPr>
              <w:pStyle w:val="44"/>
              <w:keepNext w:val="0"/>
              <w:keepLines w:val="0"/>
              <w:pageBreakBefore w:val="0"/>
              <w:widowControl/>
              <w:kinsoku/>
              <w:wordWrap/>
              <w:overflowPunct/>
              <w:topLinePunct w:val="0"/>
              <w:autoSpaceDE/>
              <w:autoSpaceDN/>
              <w:bidi w:val="0"/>
              <w:adjustRightInd/>
              <w:snapToGrid/>
              <w:spacing w:before="26" w:line="400" w:lineRule="exact"/>
              <w:ind w:left="113" w:firstLine="560" w:firstLineChars="200"/>
              <w:jc w:val="left"/>
              <w:textAlignment w:val="auto"/>
              <w:rPr>
                <w:rFonts w:hint="default" w:ascii="宋体" w:hAnsi="宋体" w:eastAsia="宋体" w:cs="宋体"/>
                <w:color w:val="auto"/>
                <w:sz w:val="28"/>
                <w:szCs w:val="28"/>
              </w:rPr>
            </w:pPr>
            <w:r>
              <w:rPr>
                <w:rFonts w:hint="default" w:ascii="宋体" w:hAnsi="宋体" w:eastAsia="宋体" w:cs="宋体"/>
                <w:color w:val="auto"/>
                <w:sz w:val="28"/>
                <w:szCs w:val="28"/>
                <w:lang w:val="en-US" w:eastAsia="zh-CN"/>
              </w:rPr>
              <w:t>（五）必要的法律依据；</w:t>
            </w:r>
          </w:p>
          <w:p>
            <w:pPr>
              <w:pStyle w:val="44"/>
              <w:keepNext w:val="0"/>
              <w:keepLines w:val="0"/>
              <w:pageBreakBefore w:val="0"/>
              <w:widowControl/>
              <w:kinsoku/>
              <w:wordWrap/>
              <w:overflowPunct/>
              <w:topLinePunct w:val="0"/>
              <w:autoSpaceDE/>
              <w:autoSpaceDN/>
              <w:bidi w:val="0"/>
              <w:adjustRightInd/>
              <w:snapToGrid/>
              <w:spacing w:before="26" w:line="400" w:lineRule="exact"/>
              <w:ind w:left="113" w:firstLine="560" w:firstLineChars="200"/>
              <w:jc w:val="left"/>
              <w:textAlignment w:val="auto"/>
              <w:rPr>
                <w:rFonts w:hint="default" w:ascii="宋体" w:hAnsi="宋体" w:eastAsia="宋体" w:cs="宋体"/>
                <w:color w:val="auto"/>
                <w:sz w:val="28"/>
                <w:szCs w:val="28"/>
              </w:rPr>
            </w:pPr>
            <w:r>
              <w:rPr>
                <w:rFonts w:hint="default" w:ascii="宋体" w:hAnsi="宋体" w:eastAsia="宋体" w:cs="宋体"/>
                <w:color w:val="auto"/>
                <w:sz w:val="28"/>
                <w:szCs w:val="28"/>
                <w:lang w:val="en-US" w:eastAsia="zh-CN"/>
              </w:rPr>
              <w:t>（六）提出质疑的日期。</w:t>
            </w:r>
          </w:p>
          <w:p>
            <w:pPr>
              <w:pStyle w:val="44"/>
              <w:keepNext w:val="0"/>
              <w:keepLines w:val="0"/>
              <w:pageBreakBefore w:val="0"/>
              <w:widowControl/>
              <w:kinsoku/>
              <w:wordWrap/>
              <w:overflowPunct/>
              <w:topLinePunct w:val="0"/>
              <w:autoSpaceDE/>
              <w:autoSpaceDN/>
              <w:bidi w:val="0"/>
              <w:adjustRightInd/>
              <w:snapToGrid/>
              <w:spacing w:before="26" w:line="400" w:lineRule="exact"/>
              <w:ind w:left="113" w:firstLine="560" w:firstLineChars="200"/>
              <w:jc w:val="left"/>
              <w:textAlignment w:val="auto"/>
              <w:rPr>
                <w:color w:val="auto"/>
                <w:spacing w:val="6"/>
                <w:sz w:val="28"/>
                <w:szCs w:val="28"/>
              </w:rPr>
            </w:pPr>
            <w:r>
              <w:rPr>
                <w:rFonts w:hint="default" w:ascii="宋体" w:hAnsi="宋体" w:eastAsia="宋体" w:cs="宋体"/>
                <w:color w:val="auto"/>
                <w:sz w:val="28"/>
                <w:szCs w:val="28"/>
                <w:lang w:val="en-US" w:eastAsia="zh-CN"/>
              </w:rPr>
              <w:t>供应商为自然人的，应当由本人签字；供应商为法人或者其他组织的，应当由法定代表人、主要负责人，或者其授权代表签字或者盖章，并加盖公章。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733" w:type="dxa"/>
            <w:vAlign w:val="center"/>
          </w:tcPr>
          <w:p>
            <w:pPr>
              <w:pStyle w:val="44"/>
              <w:keepNext w:val="0"/>
              <w:keepLines w:val="0"/>
              <w:pageBreakBefore w:val="0"/>
              <w:widowControl/>
              <w:kinsoku/>
              <w:wordWrap/>
              <w:overflowPunct/>
              <w:topLinePunct w:val="0"/>
              <w:bidi w:val="0"/>
              <w:snapToGrid/>
              <w:spacing w:before="66" w:line="400" w:lineRule="exact"/>
              <w:ind w:left="268"/>
              <w:textAlignment w:val="auto"/>
              <w:rPr>
                <w:color w:val="auto"/>
                <w:sz w:val="28"/>
                <w:szCs w:val="28"/>
              </w:rPr>
            </w:pPr>
            <w:r>
              <w:rPr>
                <w:color w:val="auto"/>
                <w:spacing w:val="-1"/>
                <w:sz w:val="28"/>
                <w:szCs w:val="28"/>
              </w:rPr>
              <w:t>23</w:t>
            </w:r>
          </w:p>
        </w:tc>
        <w:tc>
          <w:tcPr>
            <w:tcW w:w="1675" w:type="dxa"/>
            <w:vAlign w:val="center"/>
          </w:tcPr>
          <w:p>
            <w:pPr>
              <w:pStyle w:val="44"/>
              <w:keepNext w:val="0"/>
              <w:keepLines w:val="0"/>
              <w:pageBreakBefore w:val="0"/>
              <w:widowControl/>
              <w:kinsoku/>
              <w:wordWrap/>
              <w:overflowPunct/>
              <w:topLinePunct w:val="0"/>
              <w:bidi w:val="0"/>
              <w:snapToGrid/>
              <w:spacing w:before="32" w:line="400" w:lineRule="exact"/>
              <w:ind w:left="320"/>
              <w:textAlignment w:val="auto"/>
              <w:rPr>
                <w:color w:val="auto"/>
                <w:sz w:val="28"/>
                <w:szCs w:val="28"/>
              </w:rPr>
            </w:pPr>
            <w:r>
              <w:rPr>
                <w:color w:val="auto"/>
                <w:spacing w:val="7"/>
                <w:sz w:val="28"/>
                <w:szCs w:val="28"/>
              </w:rPr>
              <w:t>投标有效期</w:t>
            </w:r>
          </w:p>
        </w:tc>
        <w:tc>
          <w:tcPr>
            <w:tcW w:w="7594" w:type="dxa"/>
            <w:vAlign w:val="center"/>
          </w:tcPr>
          <w:p>
            <w:pPr>
              <w:pStyle w:val="44"/>
              <w:keepNext w:val="0"/>
              <w:keepLines w:val="0"/>
              <w:pageBreakBefore w:val="0"/>
              <w:widowControl/>
              <w:kinsoku/>
              <w:wordWrap/>
              <w:overflowPunct/>
              <w:topLinePunct w:val="0"/>
              <w:bidi w:val="0"/>
              <w:snapToGrid/>
              <w:spacing w:before="32" w:line="400" w:lineRule="exact"/>
              <w:ind w:left="116"/>
              <w:jc w:val="left"/>
              <w:textAlignment w:val="auto"/>
              <w:rPr>
                <w:color w:val="auto"/>
                <w:sz w:val="28"/>
                <w:szCs w:val="28"/>
              </w:rPr>
            </w:pPr>
            <w:r>
              <w:rPr>
                <w:color w:val="auto"/>
                <w:spacing w:val="2"/>
                <w:sz w:val="28"/>
                <w:szCs w:val="28"/>
              </w:rPr>
              <w:t>从开标之日起</w:t>
            </w:r>
            <w:r>
              <w:rPr>
                <w:color w:val="auto"/>
                <w:spacing w:val="-33"/>
                <w:sz w:val="28"/>
                <w:szCs w:val="28"/>
              </w:rPr>
              <w:t xml:space="preserve"> </w:t>
            </w:r>
            <w:r>
              <w:rPr>
                <w:rFonts w:hint="eastAsia"/>
                <w:color w:val="auto"/>
                <w:spacing w:val="-33"/>
                <w:sz w:val="28"/>
                <w:szCs w:val="28"/>
                <w:lang w:val="en-US" w:eastAsia="zh-CN"/>
              </w:rPr>
              <w:t xml:space="preserve">90 </w:t>
            </w:r>
            <w:r>
              <w:rPr>
                <w:color w:val="auto"/>
                <w:spacing w:val="2"/>
                <w:sz w:val="28"/>
                <w:szCs w:val="28"/>
              </w:rPr>
              <w:t>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33" w:type="dxa"/>
            <w:vAlign w:val="center"/>
          </w:tcPr>
          <w:p>
            <w:pPr>
              <w:keepNext w:val="0"/>
              <w:keepLines w:val="0"/>
              <w:pageBreakBefore w:val="0"/>
              <w:widowControl/>
              <w:kinsoku/>
              <w:wordWrap/>
              <w:overflowPunct/>
              <w:topLinePunct w:val="0"/>
              <w:bidi w:val="0"/>
              <w:snapToGrid/>
              <w:spacing w:line="400" w:lineRule="exact"/>
              <w:textAlignment w:val="auto"/>
              <w:rPr>
                <w:rFonts w:ascii="Arial"/>
                <w:color w:val="auto"/>
                <w:sz w:val="28"/>
                <w:szCs w:val="28"/>
              </w:rPr>
            </w:pPr>
          </w:p>
          <w:p>
            <w:pPr>
              <w:pStyle w:val="44"/>
              <w:keepNext w:val="0"/>
              <w:keepLines w:val="0"/>
              <w:pageBreakBefore w:val="0"/>
              <w:widowControl/>
              <w:kinsoku/>
              <w:wordWrap/>
              <w:overflowPunct/>
              <w:topLinePunct w:val="0"/>
              <w:bidi w:val="0"/>
              <w:snapToGrid/>
              <w:spacing w:before="65" w:line="400" w:lineRule="exact"/>
              <w:ind w:left="268"/>
              <w:textAlignment w:val="auto"/>
              <w:rPr>
                <w:color w:val="auto"/>
                <w:sz w:val="28"/>
                <w:szCs w:val="28"/>
              </w:rPr>
            </w:pPr>
            <w:r>
              <w:rPr>
                <w:color w:val="auto"/>
                <w:spacing w:val="-1"/>
                <w:sz w:val="28"/>
                <w:szCs w:val="28"/>
              </w:rPr>
              <w:t>24</w:t>
            </w:r>
          </w:p>
        </w:tc>
        <w:tc>
          <w:tcPr>
            <w:tcW w:w="1675" w:type="dxa"/>
            <w:vAlign w:val="center"/>
          </w:tcPr>
          <w:p>
            <w:pPr>
              <w:pStyle w:val="44"/>
              <w:keepNext w:val="0"/>
              <w:keepLines w:val="0"/>
              <w:pageBreakBefore w:val="0"/>
              <w:widowControl/>
              <w:kinsoku/>
              <w:wordWrap/>
              <w:overflowPunct/>
              <w:topLinePunct w:val="0"/>
              <w:bidi w:val="0"/>
              <w:snapToGrid/>
              <w:spacing w:before="32" w:line="400" w:lineRule="exact"/>
              <w:ind w:left="320"/>
              <w:textAlignment w:val="auto"/>
              <w:rPr>
                <w:rFonts w:hint="eastAsia" w:ascii="宋体" w:hAnsi="宋体" w:eastAsia="宋体" w:cs="宋体"/>
                <w:color w:val="auto"/>
                <w:spacing w:val="7"/>
                <w:sz w:val="28"/>
                <w:szCs w:val="28"/>
                <w:lang w:val="en-US" w:eastAsia="zh-CN"/>
              </w:rPr>
            </w:pPr>
          </w:p>
          <w:p>
            <w:pPr>
              <w:pStyle w:val="44"/>
              <w:keepNext w:val="0"/>
              <w:keepLines w:val="0"/>
              <w:pageBreakBefore w:val="0"/>
              <w:widowControl/>
              <w:kinsoku/>
              <w:wordWrap/>
              <w:overflowPunct/>
              <w:topLinePunct w:val="0"/>
              <w:bidi w:val="0"/>
              <w:snapToGrid/>
              <w:spacing w:before="32" w:line="400" w:lineRule="exact"/>
              <w:ind w:left="320"/>
              <w:textAlignment w:val="auto"/>
              <w:rPr>
                <w:color w:val="auto"/>
                <w:sz w:val="28"/>
                <w:szCs w:val="28"/>
              </w:rPr>
            </w:pPr>
            <w:r>
              <w:rPr>
                <w:rFonts w:hint="eastAsia" w:ascii="宋体" w:hAnsi="宋体" w:eastAsia="宋体" w:cs="宋体"/>
                <w:color w:val="auto"/>
                <w:spacing w:val="7"/>
                <w:sz w:val="28"/>
                <w:szCs w:val="28"/>
                <w:lang w:val="en-US" w:eastAsia="zh-CN"/>
              </w:rPr>
              <w:t>评标</w:t>
            </w:r>
            <w:r>
              <w:rPr>
                <w:rFonts w:ascii="宋体" w:hAnsi="宋体" w:eastAsia="宋体" w:cs="宋体"/>
                <w:color w:val="auto"/>
                <w:spacing w:val="7"/>
                <w:sz w:val="28"/>
                <w:szCs w:val="28"/>
              </w:rPr>
              <w:t>小组的组建</w:t>
            </w:r>
          </w:p>
        </w:tc>
        <w:tc>
          <w:tcPr>
            <w:tcW w:w="7594" w:type="dxa"/>
            <w:vAlign w:val="center"/>
          </w:tcPr>
          <w:p>
            <w:pPr>
              <w:pStyle w:val="44"/>
              <w:keepNext w:val="0"/>
              <w:keepLines w:val="0"/>
              <w:pageBreakBefore w:val="0"/>
              <w:widowControl/>
              <w:kinsoku/>
              <w:wordWrap/>
              <w:overflowPunct/>
              <w:topLinePunct w:val="0"/>
              <w:bidi w:val="0"/>
              <w:snapToGrid/>
              <w:spacing w:before="32" w:line="400" w:lineRule="exact"/>
              <w:ind w:left="129" w:right="107" w:hanging="16"/>
              <w:jc w:val="left"/>
              <w:textAlignment w:val="auto"/>
              <w:rPr>
                <w:color w:val="auto"/>
                <w:sz w:val="28"/>
                <w:szCs w:val="28"/>
              </w:rPr>
            </w:pPr>
            <w:r>
              <w:rPr>
                <w:rFonts w:hint="eastAsia" w:ascii="宋体" w:hAnsi="宋体" w:eastAsia="宋体" w:cs="宋体"/>
                <w:color w:val="auto"/>
                <w:spacing w:val="7"/>
                <w:sz w:val="28"/>
                <w:szCs w:val="28"/>
                <w:lang w:val="en-US" w:eastAsia="zh-CN"/>
              </w:rPr>
              <w:t>评标</w:t>
            </w:r>
            <w:r>
              <w:rPr>
                <w:rFonts w:ascii="宋体" w:hAnsi="宋体" w:eastAsia="宋体" w:cs="宋体"/>
                <w:color w:val="auto"/>
                <w:spacing w:val="7"/>
                <w:sz w:val="28"/>
                <w:szCs w:val="28"/>
              </w:rPr>
              <w:t>小组</w:t>
            </w:r>
            <w:r>
              <w:rPr>
                <w:color w:val="auto"/>
                <w:spacing w:val="6"/>
                <w:sz w:val="28"/>
                <w:szCs w:val="28"/>
              </w:rPr>
              <w:t>构成</w:t>
            </w:r>
            <w:r>
              <w:rPr>
                <w:color w:val="auto"/>
                <w:spacing w:val="10"/>
                <w:sz w:val="28"/>
                <w:szCs w:val="28"/>
              </w:rPr>
              <w:t>：</w:t>
            </w:r>
            <w:r>
              <w:rPr>
                <w:rFonts w:hint="eastAsia"/>
                <w:color w:val="auto"/>
                <w:spacing w:val="6"/>
                <w:sz w:val="28"/>
                <w:szCs w:val="28"/>
                <w:lang w:val="en-US" w:eastAsia="zh-CN"/>
              </w:rPr>
              <w:t>5</w:t>
            </w:r>
            <w:r>
              <w:rPr>
                <w:color w:val="auto"/>
                <w:spacing w:val="6"/>
                <w:sz w:val="28"/>
                <w:szCs w:val="28"/>
              </w:rPr>
              <w:t>人，其中采购人代表</w:t>
            </w:r>
            <w:r>
              <w:rPr>
                <w:color w:val="auto"/>
                <w:sz w:val="28"/>
                <w:szCs w:val="28"/>
              </w:rPr>
              <w:t xml:space="preserve"> </w:t>
            </w:r>
            <w:r>
              <w:rPr>
                <w:rFonts w:hint="eastAsia"/>
                <w:color w:val="auto"/>
                <w:spacing w:val="5"/>
                <w:sz w:val="28"/>
                <w:szCs w:val="28"/>
                <w:lang w:val="en-US" w:eastAsia="zh-CN"/>
              </w:rPr>
              <w:t>1</w:t>
            </w:r>
            <w:r>
              <w:rPr>
                <w:color w:val="auto"/>
                <w:spacing w:val="5"/>
                <w:sz w:val="28"/>
                <w:szCs w:val="28"/>
              </w:rPr>
              <w:t>人，经济、技术专家</w:t>
            </w:r>
            <w:r>
              <w:rPr>
                <w:rFonts w:hint="eastAsia"/>
                <w:color w:val="auto"/>
                <w:spacing w:val="5"/>
                <w:sz w:val="28"/>
                <w:szCs w:val="28"/>
                <w:lang w:val="en-US" w:eastAsia="zh-CN"/>
              </w:rPr>
              <w:t>4</w:t>
            </w:r>
            <w:r>
              <w:rPr>
                <w:color w:val="auto"/>
                <w:spacing w:val="5"/>
                <w:sz w:val="28"/>
                <w:szCs w:val="28"/>
              </w:rPr>
              <w:t>人；</w:t>
            </w:r>
          </w:p>
          <w:p>
            <w:pPr>
              <w:pStyle w:val="44"/>
              <w:keepNext w:val="0"/>
              <w:keepLines w:val="0"/>
              <w:pageBreakBefore w:val="0"/>
              <w:widowControl/>
              <w:kinsoku/>
              <w:wordWrap/>
              <w:overflowPunct/>
              <w:topLinePunct w:val="0"/>
              <w:bidi w:val="0"/>
              <w:snapToGrid/>
              <w:spacing w:before="27" w:line="400" w:lineRule="exact"/>
              <w:ind w:left="113" w:right="108"/>
              <w:jc w:val="left"/>
              <w:textAlignment w:val="auto"/>
              <w:rPr>
                <w:color w:val="auto"/>
                <w:sz w:val="28"/>
                <w:szCs w:val="28"/>
              </w:rPr>
            </w:pPr>
            <w:r>
              <w:rPr>
                <w:color w:val="auto"/>
                <w:spacing w:val="10"/>
                <w:sz w:val="28"/>
                <w:szCs w:val="28"/>
              </w:rPr>
              <w:t>评标专家确定方式：经济、技术专家不少于评标委员会组成人员的三分之二，按</w:t>
            </w:r>
            <w:r>
              <w:rPr>
                <w:color w:val="auto"/>
                <w:spacing w:val="8"/>
                <w:sz w:val="28"/>
                <w:szCs w:val="28"/>
              </w:rPr>
              <w:t>相关规定从政府采购专家库中随机抽取。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733" w:type="dxa"/>
            <w:vAlign w:val="center"/>
          </w:tcPr>
          <w:p>
            <w:pPr>
              <w:pStyle w:val="44"/>
              <w:keepNext w:val="0"/>
              <w:keepLines w:val="0"/>
              <w:pageBreakBefore w:val="0"/>
              <w:widowControl/>
              <w:kinsoku/>
              <w:wordWrap/>
              <w:overflowPunct/>
              <w:topLinePunct w:val="0"/>
              <w:bidi w:val="0"/>
              <w:snapToGrid/>
              <w:spacing w:before="65" w:line="400" w:lineRule="exact"/>
              <w:ind w:left="268"/>
              <w:textAlignment w:val="auto"/>
              <w:rPr>
                <w:color w:val="auto"/>
                <w:sz w:val="28"/>
                <w:szCs w:val="28"/>
              </w:rPr>
            </w:pPr>
            <w:r>
              <w:rPr>
                <w:color w:val="auto"/>
                <w:spacing w:val="-1"/>
                <w:sz w:val="28"/>
                <w:szCs w:val="28"/>
              </w:rPr>
              <w:t>25</w:t>
            </w:r>
          </w:p>
        </w:tc>
        <w:tc>
          <w:tcPr>
            <w:tcW w:w="1675" w:type="dxa"/>
            <w:vAlign w:val="center"/>
          </w:tcPr>
          <w:p>
            <w:pPr>
              <w:pStyle w:val="44"/>
              <w:keepNext w:val="0"/>
              <w:keepLines w:val="0"/>
              <w:pageBreakBefore w:val="0"/>
              <w:widowControl/>
              <w:kinsoku/>
              <w:wordWrap/>
              <w:overflowPunct/>
              <w:topLinePunct w:val="0"/>
              <w:bidi w:val="0"/>
              <w:snapToGrid/>
              <w:spacing w:before="31" w:line="400" w:lineRule="exact"/>
              <w:jc w:val="center"/>
              <w:textAlignment w:val="auto"/>
              <w:rPr>
                <w:color w:val="auto"/>
                <w:sz w:val="28"/>
                <w:szCs w:val="28"/>
              </w:rPr>
            </w:pPr>
            <w:r>
              <w:rPr>
                <w:color w:val="auto"/>
                <w:spacing w:val="7"/>
                <w:sz w:val="28"/>
                <w:szCs w:val="28"/>
              </w:rPr>
              <w:t>评标办法</w:t>
            </w:r>
          </w:p>
        </w:tc>
        <w:tc>
          <w:tcPr>
            <w:tcW w:w="7594" w:type="dxa"/>
            <w:vAlign w:val="center"/>
          </w:tcPr>
          <w:p>
            <w:pPr>
              <w:pStyle w:val="44"/>
              <w:keepNext w:val="0"/>
              <w:keepLines w:val="0"/>
              <w:pageBreakBefore w:val="0"/>
              <w:widowControl/>
              <w:kinsoku/>
              <w:wordWrap/>
              <w:overflowPunct/>
              <w:topLinePunct w:val="0"/>
              <w:bidi w:val="0"/>
              <w:snapToGrid/>
              <w:spacing w:before="31" w:line="400" w:lineRule="exact"/>
              <w:ind w:left="116"/>
              <w:jc w:val="left"/>
              <w:textAlignment w:val="auto"/>
              <w:rPr>
                <w:color w:val="auto"/>
                <w:sz w:val="28"/>
                <w:szCs w:val="28"/>
              </w:rPr>
            </w:pPr>
            <w:r>
              <w:rPr>
                <w:color w:val="auto"/>
                <w:spacing w:val="7"/>
                <w:sz w:val="28"/>
                <w:szCs w:val="28"/>
              </w:rPr>
              <w:t>综合评分法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33" w:type="dxa"/>
            <w:vAlign w:val="center"/>
          </w:tcPr>
          <w:p>
            <w:pPr>
              <w:keepNext w:val="0"/>
              <w:keepLines w:val="0"/>
              <w:pageBreakBefore w:val="0"/>
              <w:widowControl/>
              <w:kinsoku/>
              <w:wordWrap/>
              <w:overflowPunct/>
              <w:topLinePunct w:val="0"/>
              <w:bidi w:val="0"/>
              <w:snapToGrid/>
              <w:spacing w:line="400" w:lineRule="exact"/>
              <w:textAlignment w:val="auto"/>
              <w:rPr>
                <w:rFonts w:ascii="Arial"/>
                <w:color w:val="auto"/>
                <w:sz w:val="28"/>
                <w:szCs w:val="28"/>
              </w:rPr>
            </w:pPr>
          </w:p>
          <w:p>
            <w:pPr>
              <w:pStyle w:val="44"/>
              <w:keepNext w:val="0"/>
              <w:keepLines w:val="0"/>
              <w:pageBreakBefore w:val="0"/>
              <w:widowControl/>
              <w:kinsoku/>
              <w:wordWrap/>
              <w:overflowPunct/>
              <w:topLinePunct w:val="0"/>
              <w:bidi w:val="0"/>
              <w:snapToGrid/>
              <w:spacing w:before="65" w:line="400" w:lineRule="exact"/>
              <w:ind w:left="268"/>
              <w:textAlignment w:val="auto"/>
              <w:rPr>
                <w:color w:val="auto"/>
                <w:sz w:val="28"/>
                <w:szCs w:val="28"/>
              </w:rPr>
            </w:pPr>
            <w:r>
              <w:rPr>
                <w:color w:val="auto"/>
                <w:spacing w:val="-1"/>
                <w:sz w:val="28"/>
                <w:szCs w:val="28"/>
              </w:rPr>
              <w:t>26</w:t>
            </w:r>
          </w:p>
        </w:tc>
        <w:tc>
          <w:tcPr>
            <w:tcW w:w="1675" w:type="dxa"/>
            <w:vAlign w:val="center"/>
          </w:tcPr>
          <w:p>
            <w:pPr>
              <w:pStyle w:val="44"/>
              <w:keepNext w:val="0"/>
              <w:keepLines w:val="0"/>
              <w:pageBreakBefore w:val="0"/>
              <w:widowControl/>
              <w:kinsoku/>
              <w:wordWrap/>
              <w:overflowPunct/>
              <w:topLinePunct w:val="0"/>
              <w:bidi w:val="0"/>
              <w:snapToGrid/>
              <w:spacing w:before="33" w:line="400" w:lineRule="exact"/>
              <w:ind w:left="215"/>
              <w:textAlignment w:val="auto"/>
              <w:rPr>
                <w:color w:val="auto"/>
                <w:sz w:val="28"/>
                <w:szCs w:val="28"/>
              </w:rPr>
            </w:pPr>
            <w:r>
              <w:rPr>
                <w:color w:val="auto"/>
                <w:spacing w:val="7"/>
                <w:sz w:val="28"/>
                <w:szCs w:val="28"/>
              </w:rPr>
              <w:t>是否授权评标</w:t>
            </w:r>
            <w:r>
              <w:rPr>
                <w:color w:val="auto"/>
                <w:spacing w:val="8"/>
                <w:sz w:val="28"/>
                <w:szCs w:val="28"/>
              </w:rPr>
              <w:t>委员会确定中</w:t>
            </w:r>
          </w:p>
          <w:p>
            <w:pPr>
              <w:pStyle w:val="44"/>
              <w:keepNext w:val="0"/>
              <w:keepLines w:val="0"/>
              <w:pageBreakBefore w:val="0"/>
              <w:widowControl/>
              <w:kinsoku/>
              <w:wordWrap/>
              <w:overflowPunct/>
              <w:topLinePunct w:val="0"/>
              <w:bidi w:val="0"/>
              <w:snapToGrid/>
              <w:spacing w:before="27" w:line="400" w:lineRule="exact"/>
              <w:ind w:left="632"/>
              <w:textAlignment w:val="auto"/>
              <w:rPr>
                <w:color w:val="auto"/>
                <w:sz w:val="28"/>
                <w:szCs w:val="28"/>
              </w:rPr>
            </w:pPr>
            <w:r>
              <w:rPr>
                <w:color w:val="auto"/>
                <w:spacing w:val="4"/>
                <w:sz w:val="28"/>
                <w:szCs w:val="28"/>
              </w:rPr>
              <w:t>标人</w:t>
            </w:r>
          </w:p>
        </w:tc>
        <w:tc>
          <w:tcPr>
            <w:tcW w:w="7594" w:type="dxa"/>
            <w:vAlign w:val="center"/>
          </w:tcPr>
          <w:p>
            <w:pPr>
              <w:pStyle w:val="44"/>
              <w:keepNext w:val="0"/>
              <w:keepLines w:val="0"/>
              <w:pageBreakBefore w:val="0"/>
              <w:widowControl/>
              <w:kinsoku/>
              <w:wordWrap/>
              <w:overflowPunct/>
              <w:topLinePunct w:val="0"/>
              <w:bidi w:val="0"/>
              <w:snapToGrid/>
              <w:spacing w:before="304" w:line="400" w:lineRule="exact"/>
              <w:ind w:left="123"/>
              <w:jc w:val="left"/>
              <w:textAlignment w:val="auto"/>
              <w:rPr>
                <w:rFonts w:hint="default" w:eastAsia="宋体"/>
                <w:color w:val="auto"/>
                <w:sz w:val="28"/>
                <w:szCs w:val="28"/>
                <w:lang w:val="en-US" w:eastAsia="zh-CN"/>
              </w:rPr>
            </w:pPr>
            <w:r>
              <w:rPr>
                <w:color w:val="auto"/>
                <w:sz w:val="28"/>
                <w:szCs w:val="28"/>
              </w:rPr>
              <w:drawing>
                <wp:inline distT="0" distB="0" distL="0" distR="0">
                  <wp:extent cx="106680" cy="102235"/>
                  <wp:effectExtent l="0" t="0" r="7620" b="12065"/>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2"/>
                          <a:stretch>
                            <a:fillRect/>
                          </a:stretch>
                        </pic:blipFill>
                        <pic:spPr>
                          <a:xfrm>
                            <a:off x="0" y="0"/>
                            <a:ext cx="107101" cy="102588"/>
                          </a:xfrm>
                          <a:prstGeom prst="rect">
                            <a:avLst/>
                          </a:prstGeom>
                        </pic:spPr>
                      </pic:pic>
                    </a:graphicData>
                  </a:graphic>
                </wp:inline>
              </w:drawing>
            </w:r>
            <w:r>
              <w:rPr>
                <w:color w:val="auto"/>
                <w:spacing w:val="6"/>
                <w:sz w:val="28"/>
                <w:szCs w:val="28"/>
              </w:rPr>
              <w:t>否，推荐</w:t>
            </w:r>
            <w:r>
              <w:rPr>
                <w:color w:val="auto"/>
                <w:spacing w:val="-31"/>
                <w:sz w:val="28"/>
                <w:szCs w:val="28"/>
              </w:rPr>
              <w:t xml:space="preserve"> </w:t>
            </w:r>
            <w:r>
              <w:rPr>
                <w:color w:val="auto"/>
                <w:spacing w:val="6"/>
                <w:sz w:val="28"/>
                <w:szCs w:val="28"/>
              </w:rPr>
              <w:t>3</w:t>
            </w:r>
            <w:r>
              <w:rPr>
                <w:color w:val="auto"/>
                <w:spacing w:val="-35"/>
                <w:sz w:val="28"/>
                <w:szCs w:val="28"/>
              </w:rPr>
              <w:t xml:space="preserve"> </w:t>
            </w:r>
            <w:r>
              <w:rPr>
                <w:color w:val="auto"/>
                <w:spacing w:val="6"/>
                <w:sz w:val="28"/>
                <w:szCs w:val="28"/>
              </w:rPr>
              <w:t>名中标候选人。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9" w:hRule="atLeast"/>
        </w:trPr>
        <w:tc>
          <w:tcPr>
            <w:tcW w:w="733" w:type="dxa"/>
            <w:vAlign w:val="center"/>
          </w:tcPr>
          <w:p>
            <w:pPr>
              <w:keepNext w:val="0"/>
              <w:keepLines w:val="0"/>
              <w:pageBreakBefore w:val="0"/>
              <w:widowControl/>
              <w:kinsoku/>
              <w:wordWrap/>
              <w:overflowPunct/>
              <w:topLinePunct w:val="0"/>
              <w:bidi w:val="0"/>
              <w:snapToGrid/>
              <w:spacing w:line="400" w:lineRule="exact"/>
              <w:textAlignment w:val="auto"/>
              <w:rPr>
                <w:rFonts w:ascii="Arial"/>
                <w:color w:val="auto"/>
                <w:sz w:val="28"/>
                <w:szCs w:val="28"/>
              </w:rPr>
            </w:pPr>
          </w:p>
          <w:p>
            <w:pPr>
              <w:keepNext w:val="0"/>
              <w:keepLines w:val="0"/>
              <w:pageBreakBefore w:val="0"/>
              <w:widowControl/>
              <w:kinsoku/>
              <w:wordWrap/>
              <w:overflowPunct/>
              <w:topLinePunct w:val="0"/>
              <w:bidi w:val="0"/>
              <w:snapToGrid/>
              <w:spacing w:line="400" w:lineRule="exact"/>
              <w:textAlignment w:val="auto"/>
              <w:rPr>
                <w:rFonts w:ascii="Arial"/>
                <w:color w:val="auto"/>
                <w:sz w:val="28"/>
                <w:szCs w:val="28"/>
              </w:rPr>
            </w:pPr>
          </w:p>
          <w:p>
            <w:pPr>
              <w:keepNext w:val="0"/>
              <w:keepLines w:val="0"/>
              <w:pageBreakBefore w:val="0"/>
              <w:widowControl/>
              <w:kinsoku/>
              <w:wordWrap/>
              <w:overflowPunct/>
              <w:topLinePunct w:val="0"/>
              <w:bidi w:val="0"/>
              <w:snapToGrid/>
              <w:spacing w:line="400" w:lineRule="exact"/>
              <w:textAlignment w:val="auto"/>
              <w:rPr>
                <w:rFonts w:ascii="Arial"/>
                <w:color w:val="auto"/>
                <w:sz w:val="28"/>
                <w:szCs w:val="28"/>
              </w:rPr>
            </w:pPr>
          </w:p>
          <w:p>
            <w:pPr>
              <w:keepNext w:val="0"/>
              <w:keepLines w:val="0"/>
              <w:pageBreakBefore w:val="0"/>
              <w:widowControl/>
              <w:kinsoku/>
              <w:wordWrap/>
              <w:overflowPunct/>
              <w:topLinePunct w:val="0"/>
              <w:bidi w:val="0"/>
              <w:snapToGrid/>
              <w:spacing w:line="400" w:lineRule="exact"/>
              <w:textAlignment w:val="auto"/>
              <w:rPr>
                <w:rFonts w:ascii="Arial"/>
                <w:color w:val="auto"/>
                <w:sz w:val="28"/>
                <w:szCs w:val="28"/>
              </w:rPr>
            </w:pPr>
          </w:p>
          <w:p>
            <w:pPr>
              <w:keepNext w:val="0"/>
              <w:keepLines w:val="0"/>
              <w:pageBreakBefore w:val="0"/>
              <w:widowControl/>
              <w:kinsoku/>
              <w:wordWrap/>
              <w:overflowPunct/>
              <w:topLinePunct w:val="0"/>
              <w:bidi w:val="0"/>
              <w:snapToGrid/>
              <w:spacing w:line="400" w:lineRule="exact"/>
              <w:textAlignment w:val="auto"/>
              <w:rPr>
                <w:rFonts w:ascii="Arial"/>
                <w:color w:val="auto"/>
                <w:sz w:val="28"/>
                <w:szCs w:val="28"/>
              </w:rPr>
            </w:pPr>
          </w:p>
          <w:p>
            <w:pPr>
              <w:keepNext w:val="0"/>
              <w:keepLines w:val="0"/>
              <w:pageBreakBefore w:val="0"/>
              <w:widowControl/>
              <w:kinsoku/>
              <w:wordWrap/>
              <w:overflowPunct/>
              <w:topLinePunct w:val="0"/>
              <w:bidi w:val="0"/>
              <w:snapToGrid/>
              <w:spacing w:line="400" w:lineRule="exact"/>
              <w:textAlignment w:val="auto"/>
              <w:rPr>
                <w:rFonts w:ascii="Arial"/>
                <w:color w:val="auto"/>
                <w:sz w:val="28"/>
                <w:szCs w:val="28"/>
              </w:rPr>
            </w:pPr>
          </w:p>
          <w:p>
            <w:pPr>
              <w:pStyle w:val="44"/>
              <w:keepNext w:val="0"/>
              <w:keepLines w:val="0"/>
              <w:pageBreakBefore w:val="0"/>
              <w:widowControl/>
              <w:kinsoku/>
              <w:wordWrap/>
              <w:overflowPunct/>
              <w:topLinePunct w:val="0"/>
              <w:bidi w:val="0"/>
              <w:snapToGrid/>
              <w:spacing w:before="65" w:line="400" w:lineRule="exact"/>
              <w:ind w:left="268"/>
              <w:textAlignment w:val="auto"/>
              <w:rPr>
                <w:color w:val="auto"/>
                <w:sz w:val="28"/>
                <w:szCs w:val="28"/>
              </w:rPr>
            </w:pPr>
            <w:r>
              <w:rPr>
                <w:color w:val="auto"/>
                <w:spacing w:val="-1"/>
                <w:sz w:val="28"/>
                <w:szCs w:val="28"/>
              </w:rPr>
              <w:t>27</w:t>
            </w:r>
          </w:p>
        </w:tc>
        <w:tc>
          <w:tcPr>
            <w:tcW w:w="1675" w:type="dxa"/>
            <w:vAlign w:val="center"/>
          </w:tcPr>
          <w:p>
            <w:pPr>
              <w:keepNext w:val="0"/>
              <w:keepLines w:val="0"/>
              <w:pageBreakBefore w:val="0"/>
              <w:widowControl/>
              <w:kinsoku/>
              <w:wordWrap/>
              <w:overflowPunct/>
              <w:topLinePunct w:val="0"/>
              <w:bidi w:val="0"/>
              <w:snapToGrid/>
              <w:spacing w:line="400" w:lineRule="exact"/>
              <w:textAlignment w:val="auto"/>
              <w:rPr>
                <w:rFonts w:ascii="Arial"/>
                <w:color w:val="auto"/>
                <w:sz w:val="28"/>
                <w:szCs w:val="28"/>
              </w:rPr>
            </w:pPr>
          </w:p>
          <w:p>
            <w:pPr>
              <w:keepNext w:val="0"/>
              <w:keepLines w:val="0"/>
              <w:pageBreakBefore w:val="0"/>
              <w:widowControl/>
              <w:kinsoku/>
              <w:wordWrap/>
              <w:overflowPunct/>
              <w:topLinePunct w:val="0"/>
              <w:bidi w:val="0"/>
              <w:snapToGrid/>
              <w:spacing w:line="400" w:lineRule="exact"/>
              <w:textAlignment w:val="auto"/>
              <w:rPr>
                <w:rFonts w:ascii="Arial"/>
                <w:color w:val="auto"/>
                <w:sz w:val="28"/>
                <w:szCs w:val="28"/>
              </w:rPr>
            </w:pPr>
          </w:p>
          <w:p>
            <w:pPr>
              <w:keepNext w:val="0"/>
              <w:keepLines w:val="0"/>
              <w:pageBreakBefore w:val="0"/>
              <w:widowControl/>
              <w:kinsoku/>
              <w:wordWrap/>
              <w:overflowPunct/>
              <w:topLinePunct w:val="0"/>
              <w:bidi w:val="0"/>
              <w:snapToGrid/>
              <w:spacing w:line="400" w:lineRule="exact"/>
              <w:textAlignment w:val="auto"/>
              <w:rPr>
                <w:rFonts w:ascii="Arial"/>
                <w:color w:val="auto"/>
                <w:sz w:val="28"/>
                <w:szCs w:val="28"/>
              </w:rPr>
            </w:pPr>
          </w:p>
          <w:p>
            <w:pPr>
              <w:keepNext w:val="0"/>
              <w:keepLines w:val="0"/>
              <w:pageBreakBefore w:val="0"/>
              <w:widowControl/>
              <w:kinsoku/>
              <w:wordWrap/>
              <w:overflowPunct/>
              <w:topLinePunct w:val="0"/>
              <w:bidi w:val="0"/>
              <w:snapToGrid/>
              <w:spacing w:line="400" w:lineRule="exact"/>
              <w:textAlignment w:val="auto"/>
              <w:rPr>
                <w:rFonts w:ascii="Arial"/>
                <w:color w:val="auto"/>
                <w:sz w:val="28"/>
                <w:szCs w:val="28"/>
              </w:rPr>
            </w:pPr>
          </w:p>
          <w:p>
            <w:pPr>
              <w:keepNext w:val="0"/>
              <w:keepLines w:val="0"/>
              <w:pageBreakBefore w:val="0"/>
              <w:widowControl/>
              <w:kinsoku/>
              <w:wordWrap/>
              <w:overflowPunct/>
              <w:topLinePunct w:val="0"/>
              <w:bidi w:val="0"/>
              <w:snapToGrid/>
              <w:spacing w:line="400" w:lineRule="exact"/>
              <w:textAlignment w:val="auto"/>
              <w:rPr>
                <w:rFonts w:ascii="Arial"/>
                <w:color w:val="auto"/>
                <w:sz w:val="28"/>
                <w:szCs w:val="28"/>
              </w:rPr>
            </w:pPr>
          </w:p>
          <w:p>
            <w:pPr>
              <w:keepNext w:val="0"/>
              <w:keepLines w:val="0"/>
              <w:pageBreakBefore w:val="0"/>
              <w:widowControl/>
              <w:kinsoku/>
              <w:wordWrap/>
              <w:overflowPunct/>
              <w:topLinePunct w:val="0"/>
              <w:bidi w:val="0"/>
              <w:snapToGrid/>
              <w:spacing w:line="400" w:lineRule="exact"/>
              <w:textAlignment w:val="auto"/>
              <w:rPr>
                <w:rFonts w:ascii="Arial"/>
                <w:color w:val="auto"/>
                <w:sz w:val="28"/>
                <w:szCs w:val="28"/>
              </w:rPr>
            </w:pPr>
          </w:p>
          <w:p>
            <w:pPr>
              <w:pStyle w:val="44"/>
              <w:keepNext w:val="0"/>
              <w:keepLines w:val="0"/>
              <w:pageBreakBefore w:val="0"/>
              <w:widowControl/>
              <w:kinsoku/>
              <w:wordWrap/>
              <w:overflowPunct/>
              <w:topLinePunct w:val="0"/>
              <w:bidi w:val="0"/>
              <w:snapToGrid/>
              <w:spacing w:before="65" w:line="400" w:lineRule="exact"/>
              <w:ind w:left="321"/>
              <w:textAlignment w:val="auto"/>
              <w:rPr>
                <w:color w:val="auto"/>
                <w:sz w:val="28"/>
                <w:szCs w:val="28"/>
              </w:rPr>
            </w:pPr>
            <w:r>
              <w:rPr>
                <w:color w:val="auto"/>
                <w:spacing w:val="7"/>
                <w:sz w:val="28"/>
                <w:szCs w:val="28"/>
              </w:rPr>
              <w:t>履约保证金</w:t>
            </w:r>
          </w:p>
        </w:tc>
        <w:tc>
          <w:tcPr>
            <w:tcW w:w="7594" w:type="dxa"/>
            <w:vAlign w:val="center"/>
          </w:tcPr>
          <w:p>
            <w:pPr>
              <w:pStyle w:val="44"/>
              <w:keepNext w:val="0"/>
              <w:keepLines w:val="0"/>
              <w:pageBreakBefore w:val="0"/>
              <w:widowControl/>
              <w:kinsoku/>
              <w:wordWrap/>
              <w:overflowPunct/>
              <w:topLinePunct w:val="0"/>
              <w:bidi w:val="0"/>
              <w:snapToGrid/>
              <w:spacing w:before="35" w:line="400" w:lineRule="exact"/>
              <w:ind w:left="117"/>
              <w:jc w:val="left"/>
              <w:textAlignment w:val="auto"/>
              <w:rPr>
                <w:color w:val="auto"/>
                <w:sz w:val="28"/>
                <w:szCs w:val="28"/>
                <w:highlight w:val="none"/>
              </w:rPr>
            </w:pPr>
            <w:r>
              <w:rPr>
                <w:color w:val="auto"/>
                <w:spacing w:val="6"/>
                <w:sz w:val="28"/>
                <w:szCs w:val="28"/>
                <w:highlight w:val="none"/>
              </w:rPr>
              <w:t>履约保证金金额：合同金额的</w:t>
            </w:r>
            <w:r>
              <w:rPr>
                <w:rFonts w:hint="eastAsia"/>
                <w:color w:val="auto"/>
                <w:spacing w:val="-12"/>
                <w:sz w:val="28"/>
                <w:szCs w:val="28"/>
                <w:highlight w:val="none"/>
                <w:lang w:val="en-US" w:eastAsia="zh-CN"/>
              </w:rPr>
              <w:t>/</w:t>
            </w:r>
            <w:r>
              <w:rPr>
                <w:color w:val="auto"/>
                <w:spacing w:val="6"/>
                <w:sz w:val="28"/>
                <w:szCs w:val="28"/>
                <w:highlight w:val="none"/>
              </w:rPr>
              <w:t>%</w:t>
            </w:r>
          </w:p>
          <w:p>
            <w:pPr>
              <w:pStyle w:val="44"/>
              <w:keepNext w:val="0"/>
              <w:keepLines w:val="0"/>
              <w:pageBreakBefore w:val="0"/>
              <w:widowControl/>
              <w:kinsoku/>
              <w:wordWrap/>
              <w:overflowPunct/>
              <w:topLinePunct w:val="0"/>
              <w:bidi w:val="0"/>
              <w:snapToGrid/>
              <w:spacing w:before="24" w:line="400" w:lineRule="exact"/>
              <w:ind w:left="124"/>
              <w:jc w:val="left"/>
              <w:textAlignment w:val="auto"/>
              <w:rPr>
                <w:color w:val="auto"/>
                <w:sz w:val="28"/>
                <w:szCs w:val="28"/>
                <w:highlight w:val="none"/>
              </w:rPr>
            </w:pPr>
            <w:r>
              <w:rPr>
                <w:color w:val="auto"/>
                <w:spacing w:val="8"/>
                <w:sz w:val="28"/>
                <w:szCs w:val="28"/>
                <w:highlight w:val="none"/>
              </w:rPr>
              <w:t>（1）缴纳形式：转账或电汇或银行保函或电子保函。</w:t>
            </w:r>
          </w:p>
          <w:p>
            <w:pPr>
              <w:pStyle w:val="44"/>
              <w:keepNext w:val="0"/>
              <w:keepLines w:val="0"/>
              <w:pageBreakBefore w:val="0"/>
              <w:widowControl/>
              <w:kinsoku/>
              <w:wordWrap/>
              <w:overflowPunct/>
              <w:topLinePunct w:val="0"/>
              <w:bidi w:val="0"/>
              <w:snapToGrid/>
              <w:spacing w:before="24" w:line="400" w:lineRule="exact"/>
              <w:ind w:left="124"/>
              <w:jc w:val="left"/>
              <w:textAlignment w:val="auto"/>
              <w:rPr>
                <w:color w:val="auto"/>
                <w:sz w:val="28"/>
                <w:szCs w:val="28"/>
                <w:highlight w:val="none"/>
              </w:rPr>
            </w:pPr>
            <w:r>
              <w:rPr>
                <w:color w:val="auto"/>
                <w:spacing w:val="7"/>
                <w:sz w:val="28"/>
                <w:szCs w:val="28"/>
                <w:highlight w:val="none"/>
              </w:rPr>
              <w:t>（2）缴纳时间：签订合同前。</w:t>
            </w:r>
          </w:p>
          <w:p>
            <w:pPr>
              <w:pStyle w:val="44"/>
              <w:keepNext w:val="0"/>
              <w:keepLines w:val="0"/>
              <w:pageBreakBefore w:val="0"/>
              <w:widowControl/>
              <w:kinsoku/>
              <w:wordWrap/>
              <w:overflowPunct/>
              <w:topLinePunct w:val="0"/>
              <w:bidi w:val="0"/>
              <w:snapToGrid/>
              <w:spacing w:before="26" w:line="400" w:lineRule="exact"/>
              <w:ind w:left="124"/>
              <w:jc w:val="left"/>
              <w:textAlignment w:val="auto"/>
              <w:rPr>
                <w:color w:val="auto"/>
                <w:sz w:val="28"/>
                <w:szCs w:val="28"/>
                <w:highlight w:val="none"/>
              </w:rPr>
            </w:pPr>
            <w:r>
              <w:rPr>
                <w:color w:val="auto"/>
                <w:spacing w:val="8"/>
                <w:sz w:val="28"/>
                <w:szCs w:val="28"/>
                <w:highlight w:val="none"/>
              </w:rPr>
              <w:t>（3）缴纳账户：采购人指定账户</w:t>
            </w:r>
          </w:p>
          <w:p>
            <w:pPr>
              <w:pStyle w:val="44"/>
              <w:keepNext w:val="0"/>
              <w:keepLines w:val="0"/>
              <w:pageBreakBefore w:val="0"/>
              <w:widowControl/>
              <w:kinsoku/>
              <w:wordWrap/>
              <w:overflowPunct/>
              <w:topLinePunct w:val="0"/>
              <w:bidi w:val="0"/>
              <w:snapToGrid/>
              <w:spacing w:before="24" w:line="400" w:lineRule="exact"/>
              <w:ind w:left="113" w:right="82" w:firstLine="10"/>
              <w:jc w:val="left"/>
              <w:textAlignment w:val="auto"/>
              <w:rPr>
                <w:color w:val="auto"/>
                <w:sz w:val="28"/>
                <w:szCs w:val="28"/>
                <w:highlight w:val="none"/>
              </w:rPr>
            </w:pPr>
            <w:r>
              <w:rPr>
                <w:color w:val="auto"/>
                <w:spacing w:val="8"/>
                <w:sz w:val="28"/>
                <w:szCs w:val="28"/>
                <w:highlight w:val="none"/>
              </w:rPr>
              <w:t>（4）如果成交人没有按照上述规定缴纳履约担保，采购人有权取</w:t>
            </w:r>
            <w:r>
              <w:rPr>
                <w:color w:val="auto"/>
                <w:spacing w:val="7"/>
                <w:sz w:val="28"/>
                <w:szCs w:val="28"/>
                <w:highlight w:val="none"/>
              </w:rPr>
              <w:t>消其成交资格，</w:t>
            </w:r>
            <w:r>
              <w:rPr>
                <w:color w:val="auto"/>
                <w:sz w:val="28"/>
                <w:szCs w:val="28"/>
                <w:highlight w:val="none"/>
              </w:rPr>
              <w:t xml:space="preserve"> </w:t>
            </w:r>
            <w:r>
              <w:rPr>
                <w:color w:val="auto"/>
                <w:spacing w:val="9"/>
                <w:sz w:val="28"/>
                <w:szCs w:val="28"/>
                <w:highlight w:val="none"/>
              </w:rPr>
              <w:t>在其他候选供应商中依次确定成交供应商或重新招标。</w:t>
            </w:r>
          </w:p>
          <w:p>
            <w:pPr>
              <w:pStyle w:val="44"/>
              <w:keepNext w:val="0"/>
              <w:keepLines w:val="0"/>
              <w:pageBreakBefore w:val="0"/>
              <w:widowControl/>
              <w:kinsoku/>
              <w:wordWrap/>
              <w:overflowPunct/>
              <w:topLinePunct w:val="0"/>
              <w:bidi w:val="0"/>
              <w:snapToGrid/>
              <w:spacing w:before="26" w:line="400" w:lineRule="exact"/>
              <w:ind w:left="115" w:right="107" w:firstLine="8"/>
              <w:jc w:val="left"/>
              <w:textAlignment w:val="auto"/>
              <w:rPr>
                <w:color w:val="auto"/>
                <w:sz w:val="28"/>
                <w:szCs w:val="28"/>
                <w:highlight w:val="none"/>
              </w:rPr>
            </w:pPr>
            <w:r>
              <w:rPr>
                <w:color w:val="auto"/>
                <w:spacing w:val="7"/>
                <w:sz w:val="28"/>
                <w:szCs w:val="28"/>
                <w:highlight w:val="none"/>
              </w:rPr>
              <w:t>（5）</w:t>
            </w:r>
            <w:r>
              <w:rPr>
                <w:color w:val="auto"/>
                <w:spacing w:val="9"/>
                <w:sz w:val="28"/>
                <w:szCs w:val="28"/>
                <w:highlight w:val="none"/>
              </w:rPr>
              <w:t>采购人应在验收合格后五个工作日内退还成交供应商的履约担保。如中标人未能完全履行合同规定的义务，采购人有权从履约担保中得到补偿。</w:t>
            </w:r>
          </w:p>
          <w:p>
            <w:pPr>
              <w:pStyle w:val="44"/>
              <w:keepNext w:val="0"/>
              <w:keepLines w:val="0"/>
              <w:pageBreakBefore w:val="0"/>
              <w:widowControl/>
              <w:kinsoku/>
              <w:wordWrap/>
              <w:overflowPunct/>
              <w:topLinePunct w:val="0"/>
              <w:bidi w:val="0"/>
              <w:snapToGrid/>
              <w:spacing w:before="25" w:line="400" w:lineRule="exact"/>
              <w:ind w:left="137"/>
              <w:jc w:val="left"/>
              <w:textAlignment w:val="auto"/>
              <w:rPr>
                <w:color w:val="auto"/>
                <w:sz w:val="28"/>
                <w:szCs w:val="28"/>
              </w:rPr>
            </w:pPr>
            <w:r>
              <w:rPr>
                <w:color w:val="auto"/>
                <w:spacing w:val="8"/>
                <w:sz w:val="28"/>
                <w:szCs w:val="28"/>
                <w:highlight w:val="none"/>
              </w:rPr>
              <w:t>以银行保函或电子保函提交的，需将保函原件递交给采购人。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33" w:type="dxa"/>
            <w:vAlign w:val="center"/>
          </w:tcPr>
          <w:p>
            <w:pPr>
              <w:keepNext w:val="0"/>
              <w:keepLines w:val="0"/>
              <w:pageBreakBefore w:val="0"/>
              <w:widowControl/>
              <w:kinsoku/>
              <w:wordWrap/>
              <w:overflowPunct/>
              <w:topLinePunct w:val="0"/>
              <w:bidi w:val="0"/>
              <w:snapToGrid/>
              <w:spacing w:line="400" w:lineRule="exact"/>
              <w:textAlignment w:val="auto"/>
              <w:rPr>
                <w:rFonts w:ascii="Arial"/>
                <w:color w:val="auto"/>
                <w:sz w:val="28"/>
                <w:szCs w:val="28"/>
              </w:rPr>
            </w:pPr>
          </w:p>
          <w:p>
            <w:pPr>
              <w:pStyle w:val="44"/>
              <w:keepNext w:val="0"/>
              <w:keepLines w:val="0"/>
              <w:pageBreakBefore w:val="0"/>
              <w:widowControl/>
              <w:kinsoku/>
              <w:wordWrap/>
              <w:overflowPunct/>
              <w:topLinePunct w:val="0"/>
              <w:bidi w:val="0"/>
              <w:snapToGrid/>
              <w:spacing w:before="65" w:line="400" w:lineRule="exact"/>
              <w:ind w:left="268"/>
              <w:textAlignment w:val="auto"/>
              <w:rPr>
                <w:color w:val="auto"/>
                <w:sz w:val="28"/>
                <w:szCs w:val="28"/>
              </w:rPr>
            </w:pPr>
            <w:r>
              <w:rPr>
                <w:color w:val="auto"/>
                <w:spacing w:val="-1"/>
                <w:sz w:val="28"/>
                <w:szCs w:val="28"/>
              </w:rPr>
              <w:t>28</w:t>
            </w:r>
          </w:p>
        </w:tc>
        <w:tc>
          <w:tcPr>
            <w:tcW w:w="1675" w:type="dxa"/>
            <w:vAlign w:val="center"/>
          </w:tcPr>
          <w:p>
            <w:pPr>
              <w:keepNext w:val="0"/>
              <w:keepLines w:val="0"/>
              <w:pageBreakBefore w:val="0"/>
              <w:widowControl/>
              <w:kinsoku/>
              <w:wordWrap/>
              <w:overflowPunct/>
              <w:topLinePunct w:val="0"/>
              <w:bidi w:val="0"/>
              <w:snapToGrid/>
              <w:spacing w:line="400" w:lineRule="exact"/>
              <w:textAlignment w:val="auto"/>
              <w:rPr>
                <w:rFonts w:ascii="Arial"/>
                <w:color w:val="auto"/>
                <w:sz w:val="28"/>
                <w:szCs w:val="28"/>
              </w:rPr>
            </w:pPr>
          </w:p>
          <w:p>
            <w:pPr>
              <w:pStyle w:val="44"/>
              <w:keepNext w:val="0"/>
              <w:keepLines w:val="0"/>
              <w:pageBreakBefore w:val="0"/>
              <w:widowControl/>
              <w:kinsoku/>
              <w:wordWrap/>
              <w:overflowPunct/>
              <w:topLinePunct w:val="0"/>
              <w:bidi w:val="0"/>
              <w:snapToGrid/>
              <w:spacing w:before="65" w:line="400" w:lineRule="exact"/>
              <w:ind w:left="316"/>
              <w:textAlignment w:val="auto"/>
              <w:rPr>
                <w:color w:val="auto"/>
                <w:sz w:val="28"/>
                <w:szCs w:val="28"/>
              </w:rPr>
            </w:pPr>
            <w:r>
              <w:rPr>
                <w:color w:val="auto"/>
                <w:spacing w:val="8"/>
                <w:sz w:val="28"/>
                <w:szCs w:val="28"/>
              </w:rPr>
              <w:t>代理服务费</w:t>
            </w:r>
          </w:p>
        </w:tc>
        <w:tc>
          <w:tcPr>
            <w:tcW w:w="7594" w:type="dxa"/>
            <w:vAlign w:val="center"/>
          </w:tcPr>
          <w:p>
            <w:pPr>
              <w:pStyle w:val="44"/>
              <w:keepNext w:val="0"/>
              <w:keepLines w:val="0"/>
              <w:pageBreakBefore w:val="0"/>
              <w:widowControl/>
              <w:kinsoku/>
              <w:wordWrap/>
              <w:overflowPunct/>
              <w:topLinePunct w:val="0"/>
              <w:bidi w:val="0"/>
              <w:snapToGrid/>
              <w:spacing w:before="29" w:line="400" w:lineRule="exact"/>
              <w:ind w:left="115" w:right="609" w:firstLine="2"/>
              <w:jc w:val="left"/>
              <w:textAlignment w:val="auto"/>
              <w:rPr>
                <w:color w:val="auto"/>
                <w:sz w:val="28"/>
                <w:szCs w:val="28"/>
              </w:rPr>
            </w:pPr>
            <w:r>
              <w:rPr>
                <w:rFonts w:hint="eastAsia"/>
                <w:color w:val="auto"/>
                <w:spacing w:val="4"/>
                <w:sz w:val="28"/>
                <w:szCs w:val="28"/>
              </w:rPr>
              <w:t>本次采购招标代理服务费由中标供应商向招标代理机构支付，其计算标准和方法参照 (计价格[2002]1980 号) 规定计算招标代理服务费</w:t>
            </w:r>
            <w:r>
              <w:rPr>
                <w:color w:val="auto"/>
                <w:spacing w:val="4"/>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733" w:type="dxa"/>
            <w:vAlign w:val="center"/>
          </w:tcPr>
          <w:p>
            <w:pPr>
              <w:pStyle w:val="44"/>
              <w:keepNext w:val="0"/>
              <w:keepLines w:val="0"/>
              <w:pageBreakBefore w:val="0"/>
              <w:widowControl/>
              <w:kinsoku/>
              <w:wordWrap/>
              <w:overflowPunct/>
              <w:topLinePunct w:val="0"/>
              <w:bidi w:val="0"/>
              <w:snapToGrid/>
              <w:spacing w:before="70" w:line="400" w:lineRule="exact"/>
              <w:ind w:left="268"/>
              <w:textAlignment w:val="auto"/>
              <w:rPr>
                <w:color w:val="auto"/>
                <w:sz w:val="28"/>
                <w:szCs w:val="28"/>
              </w:rPr>
            </w:pPr>
            <w:r>
              <w:rPr>
                <w:color w:val="auto"/>
                <w:spacing w:val="-1"/>
                <w:sz w:val="28"/>
                <w:szCs w:val="28"/>
              </w:rPr>
              <w:t>29</w:t>
            </w:r>
          </w:p>
        </w:tc>
        <w:tc>
          <w:tcPr>
            <w:tcW w:w="1675" w:type="dxa"/>
            <w:vAlign w:val="center"/>
          </w:tcPr>
          <w:p>
            <w:pPr>
              <w:pStyle w:val="44"/>
              <w:keepNext w:val="0"/>
              <w:keepLines w:val="0"/>
              <w:pageBreakBefore w:val="0"/>
              <w:widowControl/>
              <w:kinsoku/>
              <w:wordWrap/>
              <w:overflowPunct/>
              <w:topLinePunct w:val="0"/>
              <w:bidi w:val="0"/>
              <w:snapToGrid/>
              <w:spacing w:before="37" w:line="400" w:lineRule="exact"/>
              <w:ind w:left="420"/>
              <w:textAlignment w:val="auto"/>
              <w:rPr>
                <w:color w:val="auto"/>
                <w:sz w:val="28"/>
                <w:szCs w:val="28"/>
                <w:highlight w:val="none"/>
              </w:rPr>
            </w:pPr>
            <w:r>
              <w:rPr>
                <w:color w:val="auto"/>
                <w:spacing w:val="7"/>
                <w:sz w:val="28"/>
                <w:szCs w:val="28"/>
                <w:highlight w:val="none"/>
              </w:rPr>
              <w:t>付款方式</w:t>
            </w:r>
          </w:p>
        </w:tc>
        <w:tc>
          <w:tcPr>
            <w:tcW w:w="7594" w:type="dxa"/>
            <w:vAlign w:val="center"/>
          </w:tcPr>
          <w:p>
            <w:pPr>
              <w:pStyle w:val="44"/>
              <w:keepNext w:val="0"/>
              <w:keepLines w:val="0"/>
              <w:pageBreakBefore w:val="0"/>
              <w:widowControl/>
              <w:kinsoku/>
              <w:wordWrap/>
              <w:overflowPunct/>
              <w:topLinePunct w:val="0"/>
              <w:bidi w:val="0"/>
              <w:snapToGrid/>
              <w:spacing w:before="37" w:line="400" w:lineRule="exact"/>
              <w:ind w:left="114"/>
              <w:jc w:val="left"/>
              <w:textAlignment w:val="auto"/>
              <w:rPr>
                <w:rFonts w:hint="default" w:eastAsia="宋体"/>
                <w:color w:val="auto"/>
                <w:sz w:val="28"/>
                <w:szCs w:val="28"/>
                <w:highlight w:val="none"/>
                <w:lang w:val="en-US" w:eastAsia="zh-CN"/>
              </w:rPr>
            </w:pPr>
            <w:r>
              <w:rPr>
                <w:rFonts w:hint="eastAsia"/>
                <w:color w:val="auto"/>
                <w:sz w:val="28"/>
                <w:szCs w:val="28"/>
                <w:highlight w:val="none"/>
              </w:rPr>
              <w:t>合同签订</w:t>
            </w:r>
            <w:r>
              <w:rPr>
                <w:rFonts w:hint="eastAsia"/>
                <w:color w:val="auto"/>
                <w:sz w:val="28"/>
                <w:szCs w:val="28"/>
                <w:highlight w:val="none"/>
                <w:lang w:val="en-US" w:eastAsia="zh-CN"/>
              </w:rPr>
              <w:t>时双方约定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733" w:type="dxa"/>
            <w:vAlign w:val="center"/>
          </w:tcPr>
          <w:p>
            <w:pPr>
              <w:pStyle w:val="44"/>
              <w:keepNext w:val="0"/>
              <w:keepLines w:val="0"/>
              <w:pageBreakBefore w:val="0"/>
              <w:widowControl/>
              <w:kinsoku/>
              <w:wordWrap/>
              <w:overflowPunct/>
              <w:topLinePunct w:val="0"/>
              <w:bidi w:val="0"/>
              <w:snapToGrid/>
              <w:spacing w:before="70" w:line="400" w:lineRule="exact"/>
              <w:ind w:left="268"/>
              <w:jc w:val="left"/>
              <w:textAlignment w:val="auto"/>
              <w:rPr>
                <w:rFonts w:hint="default" w:eastAsia="宋体"/>
                <w:color w:val="auto"/>
                <w:spacing w:val="-1"/>
                <w:sz w:val="28"/>
                <w:szCs w:val="28"/>
                <w:lang w:val="en-US" w:eastAsia="zh-CN"/>
              </w:rPr>
            </w:pPr>
            <w:r>
              <w:rPr>
                <w:rFonts w:hint="eastAsia"/>
                <w:color w:val="auto"/>
                <w:spacing w:val="-1"/>
                <w:sz w:val="28"/>
                <w:szCs w:val="28"/>
                <w:lang w:val="en-US" w:eastAsia="zh-CN"/>
              </w:rPr>
              <w:t>30</w:t>
            </w:r>
          </w:p>
        </w:tc>
        <w:tc>
          <w:tcPr>
            <w:tcW w:w="1675" w:type="dxa"/>
            <w:vAlign w:val="center"/>
          </w:tcPr>
          <w:p>
            <w:pPr>
              <w:pStyle w:val="44"/>
              <w:keepNext w:val="0"/>
              <w:keepLines w:val="0"/>
              <w:pageBreakBefore w:val="0"/>
              <w:widowControl/>
              <w:kinsoku/>
              <w:wordWrap/>
              <w:overflowPunct/>
              <w:topLinePunct w:val="0"/>
              <w:bidi w:val="0"/>
              <w:snapToGrid/>
              <w:spacing w:before="37" w:line="400" w:lineRule="exact"/>
              <w:jc w:val="center"/>
              <w:textAlignment w:val="auto"/>
              <w:rPr>
                <w:rFonts w:hint="default" w:eastAsia="宋体"/>
                <w:color w:val="auto"/>
                <w:spacing w:val="7"/>
                <w:sz w:val="28"/>
                <w:szCs w:val="28"/>
                <w:lang w:val="en-US" w:eastAsia="zh-CN"/>
              </w:rPr>
            </w:pPr>
            <w:r>
              <w:rPr>
                <w:rFonts w:hint="eastAsia"/>
                <w:color w:val="auto"/>
                <w:spacing w:val="7"/>
                <w:sz w:val="28"/>
                <w:szCs w:val="28"/>
                <w:lang w:val="en-US" w:eastAsia="zh-CN"/>
              </w:rPr>
              <w:t>进口产品</w:t>
            </w:r>
          </w:p>
        </w:tc>
        <w:tc>
          <w:tcPr>
            <w:tcW w:w="7594" w:type="dxa"/>
            <w:vAlign w:val="center"/>
          </w:tcPr>
          <w:p>
            <w:pPr>
              <w:pStyle w:val="7"/>
              <w:keepNext w:val="0"/>
              <w:keepLines w:val="0"/>
              <w:pageBreakBefore w:val="0"/>
              <w:widowControl/>
              <w:kinsoku/>
              <w:wordWrap/>
              <w:overflowPunct/>
              <w:topLinePunct w:val="0"/>
              <w:bidi w:val="0"/>
              <w:snapToGrid/>
              <w:spacing w:line="400" w:lineRule="exact"/>
              <w:textAlignment w:val="auto"/>
              <w:rPr>
                <w:rFonts w:hint="default" w:eastAsia="宋体"/>
                <w:color w:val="auto"/>
                <w:sz w:val="28"/>
                <w:szCs w:val="28"/>
                <w:lang w:val="en-US" w:eastAsia="zh-CN"/>
              </w:rPr>
            </w:pPr>
            <w:r>
              <w:rPr>
                <w:rFonts w:hint="eastAsia"/>
                <w:b/>
                <w:bCs/>
                <w:color w:val="auto"/>
                <w:sz w:val="28"/>
                <w:szCs w:val="28"/>
                <w:lang w:val="en-US" w:eastAsia="zh-CN"/>
              </w:rPr>
              <w:t>本次招标不接受进口产品投标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733" w:type="dxa"/>
            <w:vAlign w:val="center"/>
          </w:tcPr>
          <w:p>
            <w:pPr>
              <w:pStyle w:val="44"/>
              <w:keepNext w:val="0"/>
              <w:keepLines w:val="0"/>
              <w:pageBreakBefore w:val="0"/>
              <w:widowControl/>
              <w:kinsoku/>
              <w:wordWrap/>
              <w:overflowPunct/>
              <w:topLinePunct w:val="0"/>
              <w:bidi w:val="0"/>
              <w:snapToGrid/>
              <w:spacing w:before="70" w:line="400" w:lineRule="exact"/>
              <w:ind w:left="268" w:leftChars="0"/>
              <w:jc w:val="left"/>
              <w:textAlignment w:val="auto"/>
              <w:rPr>
                <w:rFonts w:hint="eastAsia" w:eastAsia="宋体"/>
                <w:color w:val="auto"/>
                <w:sz w:val="28"/>
                <w:szCs w:val="28"/>
                <w:lang w:val="en-US" w:eastAsia="zh-CN"/>
              </w:rPr>
            </w:pPr>
            <w:r>
              <w:rPr>
                <w:rFonts w:hint="eastAsia"/>
                <w:color w:val="auto"/>
                <w:spacing w:val="-1"/>
                <w:sz w:val="28"/>
                <w:szCs w:val="28"/>
                <w:lang w:val="en-US" w:eastAsia="zh-CN"/>
              </w:rPr>
              <w:t>31</w:t>
            </w:r>
          </w:p>
        </w:tc>
        <w:tc>
          <w:tcPr>
            <w:tcW w:w="1675" w:type="dxa"/>
            <w:vAlign w:val="center"/>
          </w:tcPr>
          <w:p>
            <w:pPr>
              <w:pStyle w:val="44"/>
              <w:keepNext w:val="0"/>
              <w:keepLines w:val="0"/>
              <w:pageBreakBefore w:val="0"/>
              <w:widowControl/>
              <w:kinsoku/>
              <w:wordWrap/>
              <w:overflowPunct/>
              <w:topLinePunct w:val="0"/>
              <w:bidi w:val="0"/>
              <w:snapToGrid/>
              <w:spacing w:before="37" w:line="400" w:lineRule="exact"/>
              <w:jc w:val="left"/>
              <w:textAlignment w:val="auto"/>
              <w:rPr>
                <w:rFonts w:hint="eastAsia" w:eastAsia="宋体"/>
                <w:color w:val="auto"/>
                <w:spacing w:val="7"/>
                <w:sz w:val="28"/>
                <w:szCs w:val="28"/>
                <w:lang w:eastAsia="zh-CN"/>
              </w:rPr>
            </w:pPr>
            <w:r>
              <w:rPr>
                <w:rFonts w:hint="eastAsia" w:eastAsia="宋体"/>
                <w:color w:val="auto"/>
                <w:spacing w:val="7"/>
                <w:sz w:val="28"/>
                <w:szCs w:val="28"/>
                <w:lang w:eastAsia="zh-CN"/>
              </w:rPr>
              <w:t>其他说明：</w:t>
            </w:r>
          </w:p>
          <w:p>
            <w:pPr>
              <w:pStyle w:val="44"/>
              <w:keepNext w:val="0"/>
              <w:keepLines w:val="0"/>
              <w:pageBreakBefore w:val="0"/>
              <w:widowControl/>
              <w:kinsoku/>
              <w:wordWrap/>
              <w:overflowPunct/>
              <w:topLinePunct w:val="0"/>
              <w:bidi w:val="0"/>
              <w:snapToGrid/>
              <w:spacing w:before="37" w:line="400" w:lineRule="exact"/>
              <w:jc w:val="left"/>
              <w:textAlignment w:val="auto"/>
              <w:rPr>
                <w:color w:val="auto"/>
                <w:sz w:val="28"/>
                <w:szCs w:val="28"/>
              </w:rPr>
            </w:pPr>
          </w:p>
        </w:tc>
        <w:tc>
          <w:tcPr>
            <w:tcW w:w="7594" w:type="dxa"/>
            <w:vAlign w:val="center"/>
          </w:tcPr>
          <w:p>
            <w:pPr>
              <w:keepNext w:val="0"/>
              <w:keepLines w:val="0"/>
              <w:pageBreakBefore w:val="0"/>
              <w:widowControl/>
              <w:numPr>
                <w:ilvl w:val="0"/>
                <w:numId w:val="5"/>
              </w:numPr>
              <w:suppressLineNumbers w:val="0"/>
              <w:shd w:val="clear"/>
              <w:kinsoku/>
              <w:wordWrap/>
              <w:overflowPunct/>
              <w:topLinePunct w:val="0"/>
              <w:bidi w:val="0"/>
              <w:snapToGrid/>
              <w:spacing w:after="225" w:afterAutospacing="0" w:line="400" w:lineRule="exact"/>
              <w:ind w:firstLine="560" w:firstLineChars="200"/>
              <w:jc w:val="left"/>
              <w:textAlignment w:val="auto"/>
              <w:rPr>
                <w:rFonts w:hint="default" w:ascii="宋体" w:hAnsi="宋体" w:eastAsia="宋体" w:cs="宋体"/>
                <w:color w:val="auto"/>
                <w:sz w:val="28"/>
                <w:szCs w:val="28"/>
                <w:lang w:val="en-US" w:eastAsia="zh-CN" w:bidi="ar-SA"/>
              </w:rPr>
            </w:pPr>
            <w:r>
              <w:rPr>
                <w:rFonts w:hint="default" w:ascii="宋体" w:hAnsi="宋体" w:eastAsia="宋体" w:cs="宋体"/>
                <w:color w:val="auto"/>
                <w:sz w:val="28"/>
                <w:szCs w:val="28"/>
                <w:lang w:val="en-US" w:eastAsia="zh-CN" w:bidi="ar-SA"/>
              </w:rPr>
              <w:t>招标（采购）文件中部分加“★”、加粗、加下划线、废标、无效标、投标被拒绝字样的条款，为招标的实质性要求和条件，着重提醒各投标人注意，并认真查看招标（采购）文件中的每一个条款及要求，因误读招标（采购）文件而造成的后果，招标人概不负责。</w:t>
            </w:r>
          </w:p>
          <w:p>
            <w:pPr>
              <w:keepNext w:val="0"/>
              <w:keepLines w:val="0"/>
              <w:pageBreakBefore w:val="0"/>
              <w:widowControl/>
              <w:numPr>
                <w:ilvl w:val="0"/>
                <w:numId w:val="0"/>
              </w:numPr>
              <w:suppressLineNumbers w:val="0"/>
              <w:shd w:val="clear"/>
              <w:kinsoku/>
              <w:wordWrap/>
              <w:overflowPunct/>
              <w:topLinePunct w:val="0"/>
              <w:bidi w:val="0"/>
              <w:snapToGrid/>
              <w:spacing w:after="225" w:afterAutospacing="0" w:line="400" w:lineRule="exact"/>
              <w:ind w:firstLine="560" w:firstLineChars="200"/>
              <w:jc w:val="left"/>
              <w:textAlignment w:val="auto"/>
              <w:rPr>
                <w:rFonts w:hint="default" w:ascii="宋体" w:hAnsi="宋体" w:eastAsia="宋体" w:cs="宋体"/>
                <w:color w:val="auto"/>
                <w:sz w:val="28"/>
                <w:szCs w:val="28"/>
                <w:lang w:val="en-US" w:eastAsia="zh-CN" w:bidi="ar-SA"/>
              </w:rPr>
            </w:pPr>
            <w:r>
              <w:rPr>
                <w:rFonts w:hint="default" w:ascii="宋体" w:hAnsi="宋体" w:eastAsia="宋体" w:cs="宋体"/>
                <w:color w:val="auto"/>
                <w:sz w:val="28"/>
                <w:szCs w:val="28"/>
                <w:lang w:val="en-US" w:eastAsia="zh-CN" w:bidi="ar-SA"/>
              </w:rPr>
              <w:t>2、投标（响应）文件中有弄虚作假的内容，其投标（响应）文件作废。（如假证书、假业绩、隐瞒不良行为记录、夸大荣誉、使用非本单位在职员工的相关证件及不符合招标（采购）文件规定的条款等）；在签订合同之前，投标人如发现投标人的投标（响应）文件有弄虚作假内容，招标人可拒绝与其签订合同及后续三年内不得其参加采购人的采购活动。并报财政主管部门将其列入政府采购黑名单库。</w:t>
            </w:r>
          </w:p>
          <w:p>
            <w:pPr>
              <w:keepNext w:val="0"/>
              <w:keepLines w:val="0"/>
              <w:pageBreakBefore w:val="0"/>
              <w:widowControl/>
              <w:suppressLineNumbers w:val="0"/>
              <w:shd w:val="clear"/>
              <w:kinsoku/>
              <w:wordWrap/>
              <w:overflowPunct/>
              <w:topLinePunct w:val="0"/>
              <w:bidi w:val="0"/>
              <w:snapToGrid/>
              <w:spacing w:after="225" w:afterAutospacing="0" w:line="400" w:lineRule="exact"/>
              <w:ind w:firstLine="560" w:firstLineChars="200"/>
              <w:jc w:val="left"/>
              <w:textAlignment w:val="auto"/>
              <w:rPr>
                <w:rFonts w:hint="default" w:ascii="宋体" w:hAnsi="宋体" w:eastAsia="宋体" w:cs="宋体"/>
                <w:color w:val="auto"/>
                <w:sz w:val="28"/>
                <w:szCs w:val="28"/>
                <w:lang w:val="en-US" w:eastAsia="zh-CN" w:bidi="ar-SA"/>
              </w:rPr>
            </w:pPr>
            <w:r>
              <w:rPr>
                <w:rFonts w:hint="default" w:ascii="宋体" w:hAnsi="宋体" w:eastAsia="宋体" w:cs="宋体"/>
                <w:color w:val="auto"/>
                <w:sz w:val="28"/>
                <w:szCs w:val="28"/>
                <w:lang w:val="en-US" w:eastAsia="zh-CN" w:bidi="ar-SA"/>
              </w:rPr>
              <w:t>3、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实施。</w:t>
            </w:r>
          </w:p>
          <w:p>
            <w:pPr>
              <w:keepNext w:val="0"/>
              <w:keepLines w:val="0"/>
              <w:pageBreakBefore w:val="0"/>
              <w:widowControl/>
              <w:suppressLineNumbers w:val="0"/>
              <w:shd w:val="clear"/>
              <w:kinsoku/>
              <w:wordWrap/>
              <w:overflowPunct/>
              <w:topLinePunct w:val="0"/>
              <w:bidi w:val="0"/>
              <w:snapToGrid/>
              <w:spacing w:after="225" w:afterAutospacing="0" w:line="400" w:lineRule="exact"/>
              <w:ind w:firstLine="560" w:firstLineChars="200"/>
              <w:jc w:val="left"/>
              <w:textAlignment w:val="auto"/>
              <w:rPr>
                <w:rFonts w:hint="default" w:ascii="宋体" w:hAnsi="宋体" w:eastAsia="宋体" w:cs="宋体"/>
                <w:color w:val="auto"/>
                <w:sz w:val="28"/>
                <w:szCs w:val="28"/>
                <w:lang w:val="en-US" w:eastAsia="zh-CN" w:bidi="ar-SA"/>
              </w:rPr>
            </w:pPr>
            <w:r>
              <w:rPr>
                <w:rFonts w:hint="default" w:ascii="宋体" w:hAnsi="宋体" w:eastAsia="宋体" w:cs="宋体"/>
                <w:color w:val="auto"/>
                <w:sz w:val="28"/>
                <w:szCs w:val="28"/>
                <w:lang w:val="en-US" w:eastAsia="zh-CN" w:bidi="ar-SA"/>
              </w:rPr>
              <w:t>4、分公司在获得总公司授权情况下可以使用总公司的业绩、资质、人员，并且互认。</w:t>
            </w:r>
          </w:p>
          <w:p>
            <w:pPr>
              <w:pStyle w:val="7"/>
              <w:keepNext w:val="0"/>
              <w:keepLines w:val="0"/>
              <w:pageBreakBefore w:val="0"/>
              <w:widowControl/>
              <w:kinsoku/>
              <w:wordWrap/>
              <w:overflowPunct/>
              <w:topLinePunct w:val="0"/>
              <w:bidi w:val="0"/>
              <w:snapToGrid/>
              <w:spacing w:line="400" w:lineRule="exact"/>
              <w:ind w:firstLine="560" w:firstLineChars="200"/>
              <w:textAlignment w:val="auto"/>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5、服务中同品牌投标：投标人提供相同品牌产品且通过资格审查、符合性审查的不同投标人参加同一合同项下投标的，按一家投标人计算，评标后得分最高的同品牌投标人获得中标人推荐资格；评审得分相同的，首先按照报价确定，报价低的获得中标人推荐资格。</w:t>
            </w:r>
          </w:p>
          <w:p>
            <w:pPr>
              <w:pStyle w:val="8"/>
              <w:keepNext w:val="0"/>
              <w:keepLines w:val="0"/>
              <w:pageBreakBefore w:val="0"/>
              <w:widowControl/>
              <w:kinsoku/>
              <w:wordWrap/>
              <w:overflowPunct/>
              <w:topLinePunct w:val="0"/>
              <w:bidi w:val="0"/>
              <w:snapToGrid/>
              <w:spacing w:line="400" w:lineRule="exact"/>
              <w:ind w:left="0" w:leftChars="0" w:firstLine="560" w:firstLineChars="200"/>
              <w:textAlignment w:val="auto"/>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6、（1）.本采购文件中描述供应商的“公章”是指供应商通过指定电子化政府采购平台办理数字证书(CA认证)获得的以法定主体行为名称制作的电子印章。</w:t>
            </w:r>
          </w:p>
          <w:p>
            <w:pPr>
              <w:pStyle w:val="8"/>
              <w:keepNext w:val="0"/>
              <w:keepLines w:val="0"/>
              <w:pageBreakBefore w:val="0"/>
              <w:widowControl/>
              <w:kinsoku/>
              <w:wordWrap/>
              <w:overflowPunct/>
              <w:topLinePunct w:val="0"/>
              <w:bidi w:val="0"/>
              <w:snapToGrid/>
              <w:spacing w:line="400" w:lineRule="exact"/>
              <w:ind w:left="0" w:leftChars="0" w:firstLine="560" w:firstLineChars="200"/>
              <w:textAlignment w:val="auto"/>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 xml:space="preserve">（2）.本采购文件中描述供应商的“签字”是指供应商通过指定电子化政府采购平台办理数字证书 (CA 认证) 获得的以供应商法定代表人或者委托代理人姓名制作的电子印章或手写签字。                           </w:t>
            </w:r>
          </w:p>
          <w:p>
            <w:pPr>
              <w:pStyle w:val="8"/>
              <w:keepNext w:val="0"/>
              <w:keepLines w:val="0"/>
              <w:pageBreakBefore w:val="0"/>
              <w:widowControl/>
              <w:kinsoku/>
              <w:wordWrap/>
              <w:overflowPunct/>
              <w:topLinePunct w:val="0"/>
              <w:bidi w:val="0"/>
              <w:snapToGrid/>
              <w:spacing w:line="400" w:lineRule="exact"/>
              <w:ind w:left="0" w:leftChars="0" w:firstLine="560" w:firstLineChars="200"/>
              <w:textAlignment w:val="auto"/>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 xml:space="preserve">（3）.供应商为其他组织或者自然人时，本采购文件规定的法定代表人指负责人或者自然人。本采购文件所称负责人是指参加投标的其他组织营业执照上的负责人，本采购文件所称自然人指参与竞标的自然人本人。         </w:t>
            </w:r>
          </w:p>
          <w:p>
            <w:pPr>
              <w:pStyle w:val="8"/>
              <w:keepNext w:val="0"/>
              <w:keepLines w:val="0"/>
              <w:pageBreakBefore w:val="0"/>
              <w:widowControl/>
              <w:kinsoku/>
              <w:wordWrap/>
              <w:overflowPunct/>
              <w:topLinePunct w:val="0"/>
              <w:bidi w:val="0"/>
              <w:snapToGrid/>
              <w:spacing w:line="400" w:lineRule="exact"/>
              <w:ind w:left="0" w:leftChars="0" w:firstLine="560" w:firstLineChars="200"/>
              <w:textAlignment w:val="auto"/>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（4）.本采购文件所称的“以上”“以下”“以内”“届满”，包括本数；所称的“不满”“超过”“以外”，不包括本数。</w:t>
            </w:r>
          </w:p>
          <w:p>
            <w:pPr>
              <w:pStyle w:val="8"/>
              <w:keepNext w:val="0"/>
              <w:keepLines w:val="0"/>
              <w:pageBreakBefore w:val="0"/>
              <w:widowControl/>
              <w:kinsoku/>
              <w:wordWrap/>
              <w:overflowPunct/>
              <w:topLinePunct w:val="0"/>
              <w:bidi w:val="0"/>
              <w:snapToGrid/>
              <w:spacing w:line="400" w:lineRule="exact"/>
              <w:ind w:left="0" w:leftChars="0" w:firstLine="560" w:firstLineChars="200"/>
              <w:textAlignment w:val="auto"/>
              <w:rPr>
                <w:rFonts w:hint="default"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5）.在评标过程直至签订合同前的任何时间，如经证实发现供应商提供虚假投标资料(包括技术支持资料)或信息骗取中标的，或者未按本招标文件要求提交履约保证金的（如有要求），将取消其中标资格，并报主管部门备案。</w:t>
            </w:r>
          </w:p>
          <w:p>
            <w:pPr>
              <w:pStyle w:val="7"/>
              <w:keepNext w:val="0"/>
              <w:keepLines w:val="0"/>
              <w:pageBreakBefore w:val="0"/>
              <w:widowControl/>
              <w:kinsoku/>
              <w:wordWrap/>
              <w:overflowPunct/>
              <w:topLinePunct w:val="0"/>
              <w:bidi w:val="0"/>
              <w:snapToGrid/>
              <w:spacing w:line="400" w:lineRule="exact"/>
              <w:textAlignment w:val="auto"/>
              <w:rPr>
                <w:color w:val="auto"/>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733" w:type="dxa"/>
            <w:vAlign w:val="center"/>
          </w:tcPr>
          <w:p>
            <w:pPr>
              <w:pStyle w:val="44"/>
              <w:keepNext w:val="0"/>
              <w:keepLines w:val="0"/>
              <w:pageBreakBefore w:val="0"/>
              <w:widowControl/>
              <w:kinsoku/>
              <w:wordWrap/>
              <w:overflowPunct/>
              <w:topLinePunct w:val="0"/>
              <w:bidi w:val="0"/>
              <w:snapToGrid/>
              <w:spacing w:before="152" w:line="400" w:lineRule="exact"/>
              <w:ind w:left="270" w:leftChars="0"/>
              <w:textAlignment w:val="auto"/>
              <w:rPr>
                <w:color w:val="auto"/>
                <w:spacing w:val="-2"/>
                <w:sz w:val="28"/>
                <w:szCs w:val="28"/>
              </w:rPr>
            </w:pPr>
            <w:r>
              <w:rPr>
                <w:color w:val="auto"/>
                <w:spacing w:val="-2"/>
                <w:sz w:val="28"/>
                <w:szCs w:val="28"/>
              </w:rPr>
              <w:t>3</w:t>
            </w:r>
            <w:r>
              <w:rPr>
                <w:rFonts w:hint="eastAsia"/>
                <w:color w:val="auto"/>
                <w:spacing w:val="-2"/>
                <w:sz w:val="28"/>
                <w:szCs w:val="28"/>
                <w:lang w:val="en-US" w:eastAsia="zh-CN"/>
              </w:rPr>
              <w:t>2</w:t>
            </w:r>
          </w:p>
        </w:tc>
        <w:tc>
          <w:tcPr>
            <w:tcW w:w="1675" w:type="dxa"/>
            <w:vAlign w:val="center"/>
          </w:tcPr>
          <w:p>
            <w:pPr>
              <w:pStyle w:val="44"/>
              <w:keepNext w:val="0"/>
              <w:keepLines w:val="0"/>
              <w:pageBreakBefore w:val="0"/>
              <w:widowControl/>
              <w:kinsoku/>
              <w:wordWrap/>
              <w:overflowPunct/>
              <w:topLinePunct w:val="0"/>
              <w:bidi w:val="0"/>
              <w:snapToGrid/>
              <w:spacing w:before="119" w:line="400" w:lineRule="exact"/>
              <w:ind w:left="632" w:leftChars="0"/>
              <w:textAlignment w:val="auto"/>
              <w:rPr>
                <w:color w:val="auto"/>
                <w:spacing w:val="4"/>
                <w:sz w:val="28"/>
                <w:szCs w:val="28"/>
              </w:rPr>
            </w:pPr>
            <w:r>
              <w:rPr>
                <w:color w:val="auto"/>
                <w:spacing w:val="4"/>
                <w:sz w:val="28"/>
                <w:szCs w:val="28"/>
              </w:rPr>
              <w:t>其他</w:t>
            </w:r>
          </w:p>
        </w:tc>
        <w:tc>
          <w:tcPr>
            <w:tcW w:w="7594" w:type="dxa"/>
            <w:vAlign w:val="center"/>
          </w:tcPr>
          <w:p>
            <w:pPr>
              <w:pStyle w:val="44"/>
              <w:keepNext w:val="0"/>
              <w:keepLines w:val="0"/>
              <w:pageBreakBefore w:val="0"/>
              <w:widowControl/>
              <w:kinsoku/>
              <w:wordWrap/>
              <w:overflowPunct/>
              <w:topLinePunct w:val="0"/>
              <w:bidi w:val="0"/>
              <w:snapToGrid/>
              <w:spacing w:before="119" w:line="400" w:lineRule="exact"/>
              <w:ind w:left="114" w:leftChars="0"/>
              <w:jc w:val="left"/>
              <w:textAlignment w:val="auto"/>
              <w:rPr>
                <w:color w:val="auto"/>
                <w:spacing w:val="9"/>
                <w:sz w:val="28"/>
                <w:szCs w:val="28"/>
              </w:rPr>
            </w:pPr>
            <w:r>
              <w:rPr>
                <w:color w:val="auto"/>
                <w:spacing w:val="9"/>
                <w:sz w:val="28"/>
                <w:szCs w:val="28"/>
              </w:rPr>
              <w:t>本次招标如有变更、澄清或其他通知将在发布公告的网站上公布。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733" w:type="dxa"/>
            <w:vAlign w:val="center"/>
          </w:tcPr>
          <w:p>
            <w:pPr>
              <w:pStyle w:val="44"/>
              <w:keepNext w:val="0"/>
              <w:keepLines w:val="0"/>
              <w:pageBreakBefore w:val="0"/>
              <w:widowControl/>
              <w:kinsoku/>
              <w:wordWrap/>
              <w:overflowPunct/>
              <w:topLinePunct w:val="0"/>
              <w:bidi w:val="0"/>
              <w:snapToGrid/>
              <w:spacing w:before="152" w:line="400" w:lineRule="exact"/>
              <w:ind w:left="270" w:leftChars="0"/>
              <w:textAlignment w:val="auto"/>
              <w:rPr>
                <w:rFonts w:hint="default" w:eastAsia="宋体"/>
                <w:color w:val="auto"/>
                <w:spacing w:val="-2"/>
                <w:sz w:val="28"/>
                <w:szCs w:val="28"/>
                <w:lang w:val="en-US" w:eastAsia="zh-CN"/>
              </w:rPr>
            </w:pPr>
            <w:r>
              <w:rPr>
                <w:rFonts w:hint="eastAsia"/>
                <w:color w:val="auto"/>
                <w:spacing w:val="-2"/>
                <w:sz w:val="28"/>
                <w:szCs w:val="28"/>
                <w:lang w:val="en-US" w:eastAsia="zh-CN"/>
              </w:rPr>
              <w:t>33</w:t>
            </w:r>
          </w:p>
        </w:tc>
        <w:tc>
          <w:tcPr>
            <w:tcW w:w="1675" w:type="dxa"/>
            <w:vAlign w:val="center"/>
          </w:tcPr>
          <w:p>
            <w:pPr>
              <w:pStyle w:val="44"/>
              <w:keepNext w:val="0"/>
              <w:keepLines w:val="0"/>
              <w:pageBreakBefore w:val="0"/>
              <w:widowControl/>
              <w:kinsoku/>
              <w:wordWrap/>
              <w:overflowPunct/>
              <w:topLinePunct w:val="0"/>
              <w:bidi w:val="0"/>
              <w:snapToGrid/>
              <w:spacing w:before="119" w:line="400" w:lineRule="exact"/>
              <w:ind w:left="632" w:leftChars="0"/>
              <w:textAlignment w:val="auto"/>
              <w:rPr>
                <w:rFonts w:hint="eastAsia" w:eastAsia="宋体"/>
                <w:color w:val="auto"/>
                <w:spacing w:val="4"/>
                <w:sz w:val="28"/>
                <w:szCs w:val="28"/>
                <w:lang w:val="en-US" w:eastAsia="zh-CN"/>
              </w:rPr>
            </w:pPr>
            <w:r>
              <w:rPr>
                <w:rFonts w:hint="eastAsia"/>
                <w:color w:val="auto"/>
                <w:spacing w:val="4"/>
                <w:sz w:val="28"/>
                <w:szCs w:val="28"/>
                <w:lang w:val="en-US" w:eastAsia="zh-CN"/>
              </w:rPr>
              <w:t>服务费</w:t>
            </w:r>
          </w:p>
        </w:tc>
        <w:tc>
          <w:tcPr>
            <w:tcW w:w="7594" w:type="dxa"/>
            <w:vAlign w:val="center"/>
          </w:tcPr>
          <w:p>
            <w:pPr>
              <w:pStyle w:val="44"/>
              <w:keepNext w:val="0"/>
              <w:keepLines w:val="0"/>
              <w:pageBreakBefore w:val="0"/>
              <w:widowControl/>
              <w:kinsoku/>
              <w:wordWrap/>
              <w:overflowPunct/>
              <w:topLinePunct w:val="0"/>
              <w:bidi w:val="0"/>
              <w:snapToGrid/>
              <w:spacing w:before="119" w:line="400" w:lineRule="exact"/>
              <w:ind w:left="114" w:leftChars="0"/>
              <w:jc w:val="left"/>
              <w:textAlignment w:val="auto"/>
              <w:rPr>
                <w:color w:val="auto"/>
                <w:spacing w:val="9"/>
                <w:sz w:val="28"/>
                <w:szCs w:val="28"/>
              </w:rPr>
            </w:pPr>
            <w:r>
              <w:rPr>
                <w:rFonts w:hint="eastAsia" w:asciiTheme="minorEastAsia" w:hAnsiTheme="minorEastAsia" w:eastAsiaTheme="minorEastAsia" w:cstheme="minorEastAsia"/>
                <w:b/>
                <w:bCs/>
                <w:color w:val="auto"/>
                <w:sz w:val="28"/>
                <w:szCs w:val="28"/>
                <w:lang w:val="zh-CN"/>
              </w:rPr>
              <w:t>本次采购招标代理服务费由中标供应商向招标代理机构支付，其计算标准和方法参照 (计价格[2002]1980 号) 规定计算招标代理服务费。</w:t>
            </w:r>
          </w:p>
        </w:tc>
      </w:tr>
    </w:tbl>
    <w:p>
      <w:pPr>
        <w:rPr>
          <w:rFonts w:hint="eastAsia" w:ascii="宋体" w:hAnsi="宋体"/>
          <w:color w:val="auto"/>
          <w:sz w:val="21"/>
          <w:szCs w:val="21"/>
        </w:rPr>
      </w:pPr>
    </w:p>
    <w:p>
      <w:pPr>
        <w:rPr>
          <w:rFonts w:hint="eastAsia" w:ascii="宋体" w:hAnsi="宋体"/>
          <w:color w:val="auto"/>
          <w:sz w:val="21"/>
          <w:szCs w:val="21"/>
        </w:rPr>
      </w:pPr>
      <w:r>
        <w:rPr>
          <w:rFonts w:hint="eastAsia" w:ascii="宋体" w:hAnsi="宋体"/>
          <w:color w:val="auto"/>
          <w:sz w:val="21"/>
          <w:szCs w:val="21"/>
        </w:rPr>
        <w:br w:type="page"/>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1.1 总则</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1.1.1本招标文件仅适用于本次招标活动。</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1.1.2 符合招标</w:t>
      </w:r>
      <w:r>
        <w:rPr>
          <w:rFonts w:hint="eastAsia" w:asciiTheme="minorEastAsia" w:hAnsiTheme="minorEastAsia" w:eastAsiaTheme="minorEastAsia" w:cstheme="minorEastAsia"/>
          <w:color w:val="auto"/>
          <w:sz w:val="28"/>
          <w:szCs w:val="28"/>
          <w:lang w:eastAsia="zh-CN"/>
        </w:rPr>
        <w:t>公</w:t>
      </w:r>
      <w:r>
        <w:rPr>
          <w:rFonts w:hint="eastAsia" w:asciiTheme="minorEastAsia" w:hAnsiTheme="minorEastAsia" w:eastAsiaTheme="minorEastAsia" w:cstheme="minorEastAsia"/>
          <w:color w:val="auto"/>
          <w:sz w:val="28"/>
          <w:szCs w:val="28"/>
        </w:rPr>
        <w:t>告所规定条件的</w:t>
      </w:r>
      <w:r>
        <w:rPr>
          <w:rFonts w:hint="eastAsia" w:asciiTheme="minorEastAsia" w:hAnsiTheme="minorEastAsia" w:eastAsiaTheme="minorEastAsia" w:cstheme="minorEastAsia"/>
          <w:color w:val="auto"/>
          <w:sz w:val="28"/>
          <w:szCs w:val="28"/>
          <w:lang w:eastAsia="zh-CN"/>
        </w:rPr>
        <w:t>供货</w:t>
      </w:r>
      <w:r>
        <w:rPr>
          <w:rFonts w:hint="eastAsia" w:asciiTheme="minorEastAsia" w:hAnsiTheme="minorEastAsia" w:eastAsiaTheme="minorEastAsia" w:cstheme="minorEastAsia"/>
          <w:color w:val="auto"/>
          <w:sz w:val="28"/>
          <w:szCs w:val="28"/>
        </w:rPr>
        <w:t>商参与投标。</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1.1.3 无论投标过程中的作法和结果如何，投标人自行承担所有与参加</w:t>
      </w:r>
      <w:r>
        <w:rPr>
          <w:rFonts w:hint="eastAsia" w:asciiTheme="minorEastAsia" w:hAnsiTheme="minorEastAsia" w:eastAsiaTheme="minorEastAsia" w:cstheme="minorEastAsia"/>
          <w:color w:val="auto"/>
          <w:sz w:val="28"/>
          <w:szCs w:val="28"/>
          <w:lang w:eastAsia="zh-CN"/>
        </w:rPr>
        <w:t>本次</w:t>
      </w:r>
      <w:r>
        <w:rPr>
          <w:rFonts w:hint="eastAsia" w:asciiTheme="minorEastAsia" w:hAnsiTheme="minorEastAsia" w:eastAsiaTheme="minorEastAsia" w:cstheme="minorEastAsia"/>
          <w:color w:val="auto"/>
          <w:sz w:val="28"/>
          <w:szCs w:val="28"/>
        </w:rPr>
        <w:t>投标有关的全部费用。</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1.1.4 本次招标活动及由本次招标产生的合同受中国法律制约和保护。</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1.2 招标文件：</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1.2.1 本招标文件由五个部分组成。投标人应仔细阅读，并在投标文件中充分反映招标文件的所有要求。</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1.2.2 投标人应向</w:t>
      </w:r>
      <w:r>
        <w:rPr>
          <w:rFonts w:hint="eastAsia" w:asciiTheme="minorEastAsia" w:hAnsiTheme="minorEastAsia" w:eastAsiaTheme="minorEastAsia" w:cstheme="minorEastAsia"/>
          <w:color w:val="auto"/>
          <w:sz w:val="28"/>
          <w:szCs w:val="28"/>
          <w:lang w:val="zh-CN"/>
        </w:rPr>
        <w:t>新疆鸿恩项目管理有限公司</w:t>
      </w:r>
      <w:r>
        <w:rPr>
          <w:rFonts w:hint="eastAsia" w:asciiTheme="minorEastAsia" w:hAnsiTheme="minorEastAsia" w:eastAsiaTheme="minorEastAsia" w:cstheme="minorEastAsia"/>
          <w:color w:val="auto"/>
          <w:sz w:val="28"/>
          <w:szCs w:val="28"/>
        </w:rPr>
        <w:t>领取招标文件，承认并履行招标文件中的各项规定及要求，否则投标无效。</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1.3  招标文件的解释：</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1.3.1 若投标人对招标文件有疑问的，应以书面形式在开标前向招标代理机构提出询问，招标代理机构应以书面形式予以答复，如有必要可将答复内容（包括所提问题，但不包括问题来源）分发给所有领取了同一招标文件的投标人。</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1.3.2本标书的解释权归</w:t>
      </w:r>
      <w:r>
        <w:rPr>
          <w:rFonts w:hint="eastAsia" w:asciiTheme="minorEastAsia" w:hAnsiTheme="minorEastAsia" w:eastAsiaTheme="minorEastAsia" w:cstheme="minorEastAsia"/>
          <w:b/>
          <w:bCs/>
          <w:color w:val="auto"/>
          <w:sz w:val="28"/>
          <w:szCs w:val="28"/>
          <w:lang w:val="zh-CN"/>
        </w:rPr>
        <w:t>新疆鸿恩项目管理有限公司</w:t>
      </w:r>
      <w:r>
        <w:rPr>
          <w:rFonts w:hint="eastAsia" w:asciiTheme="minorEastAsia" w:hAnsiTheme="minorEastAsia" w:eastAsiaTheme="minorEastAsia" w:cstheme="minorEastAsia"/>
          <w:color w:val="auto"/>
          <w:sz w:val="28"/>
          <w:szCs w:val="28"/>
        </w:rPr>
        <w:t>。</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1.4 招标文件的补充或修正：</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1.4.1 在投标截止日之前，招标代理机构可对招标文件用补充文件的方式进行补充或修正。</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1.4.2 对招标文件的任何补充或修正，招标代理机构将用书面形式通知所有领取本次招标文件的投标人，同时作为招标文件的一部分，对招标代理机构和投标人均有约束力。</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1.4.3 为使投标人有足够的时间按招标文件的补充要求修正投标文件，招标代理机构有权决定推迟投标截止日期和开标日期，并将此变更内容书面通知所有领取本次招标文件的投标人。</w:t>
      </w:r>
    </w:p>
    <w:p>
      <w:pPr>
        <w:keepNext w:val="0"/>
        <w:keepLines w:val="0"/>
        <w:pageBreakBefore w:val="0"/>
        <w:kinsoku/>
        <w:wordWrap/>
        <w:overflowPunct/>
        <w:topLinePunct w:val="0"/>
        <w:autoSpaceDE w:val="0"/>
        <w:autoSpaceDN w:val="0"/>
        <w:bidi w:val="0"/>
        <w:adjustRightInd w:val="0"/>
        <w:snapToGrid/>
        <w:spacing w:line="400" w:lineRule="exact"/>
        <w:ind w:firstLine="422"/>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1.4.4</w:t>
      </w:r>
      <w:r>
        <w:rPr>
          <w:rFonts w:hint="eastAsia" w:asciiTheme="minorEastAsia" w:hAnsiTheme="minorEastAsia" w:eastAsiaTheme="minorEastAsia" w:cstheme="minorEastAsia"/>
          <w:b/>
          <w:bCs/>
          <w:color w:val="auto"/>
          <w:sz w:val="28"/>
          <w:szCs w:val="28"/>
          <w:lang w:val="zh-CN"/>
        </w:rPr>
        <w:t>本次采购招标代理服务费由中标供应商向招标代理机构支付，其计算标准和方法参照 (计价格[2002]1980 号) 规定计算招标代理服务费。</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1.5 投标人须提交</w:t>
      </w:r>
      <w:r>
        <w:rPr>
          <w:rFonts w:hint="eastAsia" w:asciiTheme="minorEastAsia" w:hAnsiTheme="minorEastAsia" w:eastAsiaTheme="minorEastAsia" w:cstheme="minorEastAsia"/>
          <w:color w:val="auto"/>
          <w:sz w:val="28"/>
          <w:szCs w:val="28"/>
          <w:lang w:eastAsia="zh-CN"/>
        </w:rPr>
        <w:t>的</w:t>
      </w:r>
      <w:r>
        <w:rPr>
          <w:rFonts w:hint="eastAsia" w:asciiTheme="minorEastAsia" w:hAnsiTheme="minorEastAsia" w:eastAsiaTheme="minorEastAsia" w:cstheme="minorEastAsia"/>
          <w:color w:val="auto"/>
          <w:sz w:val="28"/>
          <w:szCs w:val="28"/>
        </w:rPr>
        <w:t>投标文件由以下部分组成：（格式见附件）</w:t>
      </w:r>
    </w:p>
    <w:p>
      <w:pPr>
        <w:keepNext w:val="0"/>
        <w:keepLines w:val="0"/>
        <w:pageBreakBefore w:val="0"/>
        <w:kinsoku/>
        <w:wordWrap/>
        <w:overflowPunct/>
        <w:topLinePunct w:val="0"/>
        <w:bidi w:val="0"/>
        <w:snapToGrid/>
        <w:spacing w:line="400" w:lineRule="exact"/>
        <w:ind w:firstLine="420" w:firstLineChars="15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投标文件由商务文件、技术文件组成。商务文件和技术文件按以下顺序分别装订成册：</w:t>
      </w:r>
    </w:p>
    <w:p>
      <w:pPr>
        <w:pStyle w:val="9"/>
        <w:keepNext w:val="0"/>
        <w:keepLines w:val="0"/>
        <w:pageBreakBefore w:val="0"/>
        <w:kinsoku/>
        <w:wordWrap/>
        <w:overflowPunct/>
        <w:topLinePunct w:val="0"/>
        <w:bidi w:val="0"/>
        <w:snapToGrid/>
        <w:spacing w:line="400" w:lineRule="exact"/>
        <w:ind w:firstLine="480" w:firstLineChars="15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商务文件主要包括以下内容：</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1.5.1 </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（1）投标函；</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）开标一览表</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）投标方企业营业执照副本、(须经年审合格）</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4</w:t>
      </w:r>
      <w:r>
        <w:rPr>
          <w:rFonts w:hint="eastAsia" w:asciiTheme="minorEastAsia" w:hAnsiTheme="minorEastAsia" w:eastAsiaTheme="minorEastAsia" w:cstheme="minorEastAsia"/>
          <w:color w:val="auto"/>
          <w:sz w:val="28"/>
          <w:szCs w:val="28"/>
        </w:rPr>
        <w:t>）法定代表人的授权书（委托人身份证、姓名必须同委托书上的姓名相符）</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）资质证书</w:t>
      </w:r>
    </w:p>
    <w:p>
      <w:pPr>
        <w:keepNext w:val="0"/>
        <w:keepLines w:val="0"/>
        <w:pageBreakBefore w:val="0"/>
        <w:kinsoku/>
        <w:wordWrap/>
        <w:overflowPunct/>
        <w:topLinePunct w:val="0"/>
        <w:bidi w:val="0"/>
        <w:snapToGrid/>
        <w:spacing w:line="400" w:lineRule="exact"/>
        <w:ind w:firstLine="280" w:firstLineChars="1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1.5.</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分项报价明细表</w:t>
      </w:r>
    </w:p>
    <w:p>
      <w:pPr>
        <w:keepNext w:val="0"/>
        <w:keepLines w:val="0"/>
        <w:pageBreakBefore w:val="0"/>
        <w:kinsoku/>
        <w:wordWrap/>
        <w:overflowPunct/>
        <w:topLinePunct w:val="0"/>
        <w:bidi w:val="0"/>
        <w:snapToGrid/>
        <w:spacing w:line="400" w:lineRule="exact"/>
        <w:ind w:firstLine="280" w:firstLineChars="1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1.5.</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投标保证金承诺书；</w:t>
      </w:r>
    </w:p>
    <w:p>
      <w:pPr>
        <w:keepNext w:val="0"/>
        <w:keepLines w:val="0"/>
        <w:pageBreakBefore w:val="0"/>
        <w:kinsoku/>
        <w:wordWrap/>
        <w:overflowPunct/>
        <w:topLinePunct w:val="0"/>
        <w:bidi w:val="0"/>
        <w:snapToGrid/>
        <w:spacing w:line="400" w:lineRule="exact"/>
        <w:ind w:firstLine="280" w:firstLineChars="1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1.5.</w:t>
      </w:r>
      <w:r>
        <w:rPr>
          <w:rFonts w:hint="eastAsia" w:asciiTheme="minorEastAsia" w:hAnsiTheme="minorEastAsia" w:eastAsiaTheme="minorEastAsia" w:cstheme="minorEastAsia"/>
          <w:color w:val="auto"/>
          <w:sz w:val="28"/>
          <w:szCs w:val="28"/>
          <w:lang w:val="en-US" w:eastAsia="zh-CN"/>
        </w:rPr>
        <w:t>4</w:t>
      </w:r>
      <w:r>
        <w:rPr>
          <w:rFonts w:hint="eastAsia" w:asciiTheme="minorEastAsia" w:hAnsiTheme="minorEastAsia" w:eastAsiaTheme="minorEastAsia" w:cstheme="minorEastAsia"/>
          <w:color w:val="auto"/>
          <w:sz w:val="28"/>
          <w:szCs w:val="28"/>
        </w:rPr>
        <w:t>产品详细参数说明：</w:t>
      </w:r>
    </w:p>
    <w:p>
      <w:pPr>
        <w:keepNext w:val="0"/>
        <w:keepLines w:val="0"/>
        <w:pageBreakBefore w:val="0"/>
        <w:kinsoku/>
        <w:wordWrap/>
        <w:overflowPunct/>
        <w:topLinePunct w:val="0"/>
        <w:bidi w:val="0"/>
        <w:snapToGrid/>
        <w:spacing w:line="400" w:lineRule="exact"/>
        <w:ind w:firstLine="280" w:firstLineChars="1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1.5.</w:t>
      </w: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供应商认为有必要提供的声明及文件资料。</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技术文件主要反映招标文件要求的有关技术方案及所提供产品的详细技术指标等内容。</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技术文件主要包括以下内容</w:t>
      </w:r>
    </w:p>
    <w:p>
      <w:pPr>
        <w:keepNext w:val="0"/>
        <w:keepLines w:val="0"/>
        <w:pageBreakBefore w:val="0"/>
        <w:kinsoku/>
        <w:wordWrap/>
        <w:overflowPunct/>
        <w:topLinePunct w:val="0"/>
        <w:bidi w:val="0"/>
        <w:snapToGrid/>
        <w:spacing w:line="400" w:lineRule="exact"/>
        <w:ind w:firstLine="621" w:firstLineChars="221"/>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（1）技术</w:t>
      </w:r>
      <w:r>
        <w:rPr>
          <w:rFonts w:hint="eastAsia" w:asciiTheme="minorEastAsia" w:hAnsiTheme="minorEastAsia" w:eastAsiaTheme="minorEastAsia" w:cstheme="minorEastAsia"/>
          <w:b/>
          <w:bCs/>
          <w:color w:val="auto"/>
          <w:sz w:val="28"/>
          <w:szCs w:val="28"/>
          <w:lang w:eastAsia="zh-CN"/>
        </w:rPr>
        <w:t>服务</w:t>
      </w:r>
      <w:r>
        <w:rPr>
          <w:rFonts w:hint="eastAsia" w:asciiTheme="minorEastAsia" w:hAnsiTheme="minorEastAsia" w:eastAsiaTheme="minorEastAsia" w:cstheme="minorEastAsia"/>
          <w:b/>
          <w:bCs/>
          <w:color w:val="auto"/>
          <w:sz w:val="28"/>
          <w:szCs w:val="28"/>
        </w:rPr>
        <w:t>条款偏离表（供应商须对照</w:t>
      </w:r>
      <w:r>
        <w:rPr>
          <w:rFonts w:hint="eastAsia" w:asciiTheme="minorEastAsia" w:hAnsiTheme="minorEastAsia" w:eastAsiaTheme="minorEastAsia" w:cstheme="minorEastAsia"/>
          <w:b/>
          <w:bCs/>
          <w:color w:val="auto"/>
          <w:sz w:val="28"/>
          <w:szCs w:val="28"/>
          <w:lang w:eastAsia="zh-CN"/>
        </w:rPr>
        <w:t>第三部分</w:t>
      </w:r>
      <w:r>
        <w:rPr>
          <w:rFonts w:hint="eastAsia" w:asciiTheme="minorEastAsia" w:hAnsiTheme="minorEastAsia" w:eastAsiaTheme="minorEastAsia" w:cstheme="minorEastAsia"/>
          <w:b/>
          <w:bCs/>
          <w:color w:val="auto"/>
          <w:sz w:val="28"/>
          <w:szCs w:val="28"/>
        </w:rPr>
        <w:t>《采购需求》内容列明响应内容及是否偏离等情况，要求提供“截图”“证书”“</w:t>
      </w:r>
      <w:r>
        <w:rPr>
          <w:rFonts w:hint="eastAsia" w:asciiTheme="minorEastAsia" w:hAnsiTheme="minorEastAsia" w:eastAsiaTheme="minorEastAsia" w:cstheme="minorEastAsia"/>
          <w:b/>
          <w:bCs/>
          <w:color w:val="auto"/>
          <w:sz w:val="28"/>
          <w:szCs w:val="28"/>
          <w:lang w:val="en-US" w:eastAsia="zh-CN"/>
        </w:rPr>
        <w:t>技术白皮书</w:t>
      </w:r>
      <w:r>
        <w:rPr>
          <w:rFonts w:hint="eastAsia" w:asciiTheme="minorEastAsia" w:hAnsiTheme="minorEastAsia" w:eastAsiaTheme="minorEastAsia" w:cstheme="minorEastAsia"/>
          <w:b/>
          <w:bCs/>
          <w:color w:val="auto"/>
          <w:sz w:val="28"/>
          <w:szCs w:val="28"/>
        </w:rPr>
        <w:t>”等各类证明资料的；对</w:t>
      </w:r>
      <w:r>
        <w:rPr>
          <w:rFonts w:hint="eastAsia" w:asciiTheme="minorEastAsia" w:hAnsiTheme="minorEastAsia" w:eastAsiaTheme="minorEastAsia" w:cstheme="minorEastAsia"/>
          <w:b/>
          <w:bCs/>
          <w:color w:val="auto"/>
          <w:sz w:val="28"/>
          <w:szCs w:val="28"/>
          <w:lang w:eastAsia="zh-CN"/>
        </w:rPr>
        <w:t>第三部分</w:t>
      </w:r>
      <w:r>
        <w:rPr>
          <w:rFonts w:hint="eastAsia" w:asciiTheme="minorEastAsia" w:hAnsiTheme="minorEastAsia" w:eastAsiaTheme="minorEastAsia" w:cstheme="minorEastAsia"/>
          <w:b/>
          <w:bCs/>
          <w:color w:val="auto"/>
          <w:sz w:val="28"/>
          <w:szCs w:val="28"/>
        </w:rPr>
        <w:t>《采购需求》中标注★号的条款和投标人《技术规格偏离表》中响应内容为“偏离”的条款，须在“备注”栏说明在技术支持资料的具体位置或页码，并在技术支持资料中做出明确标识。</w:t>
      </w:r>
    </w:p>
    <w:p>
      <w:pPr>
        <w:keepNext w:val="0"/>
        <w:keepLines w:val="0"/>
        <w:pageBreakBefore w:val="0"/>
        <w:kinsoku/>
        <w:wordWrap/>
        <w:overflowPunct/>
        <w:topLinePunct w:val="0"/>
        <w:bidi w:val="0"/>
        <w:snapToGrid/>
        <w:spacing w:line="400" w:lineRule="exact"/>
        <w:ind w:firstLine="618" w:firstLineChars="221"/>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eastAsia="zh-CN"/>
        </w:rPr>
        <w:t>）服务方案</w:t>
      </w:r>
    </w:p>
    <w:p>
      <w:pPr>
        <w:keepNext w:val="0"/>
        <w:keepLines w:val="0"/>
        <w:pageBreakBefore w:val="0"/>
        <w:kinsoku/>
        <w:wordWrap/>
        <w:overflowPunct/>
        <w:topLinePunct w:val="0"/>
        <w:bidi w:val="0"/>
        <w:snapToGrid/>
        <w:spacing w:line="400" w:lineRule="exact"/>
        <w:ind w:firstLine="618" w:firstLineChars="221"/>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）供应商认为有必要提供的声明及文件资料。</w:t>
      </w:r>
    </w:p>
    <w:p>
      <w:pPr>
        <w:keepNext w:val="0"/>
        <w:keepLines w:val="0"/>
        <w:pageBreakBefore w:val="0"/>
        <w:kinsoku/>
        <w:wordWrap/>
        <w:overflowPunct/>
        <w:topLinePunct w:val="0"/>
        <w:bidi w:val="0"/>
        <w:snapToGrid/>
        <w:spacing w:line="400" w:lineRule="exact"/>
        <w:ind w:firstLine="618" w:firstLineChars="221"/>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1.6 投标文件的编制</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要求：</w:t>
      </w:r>
    </w:p>
    <w:p>
      <w:pPr>
        <w:keepNext w:val="0"/>
        <w:keepLines w:val="0"/>
        <w:pageBreakBefore w:val="0"/>
        <w:kinsoku/>
        <w:wordWrap/>
        <w:overflowPunct/>
        <w:topLinePunct w:val="0"/>
        <w:bidi w:val="0"/>
        <w:snapToGrid/>
        <w:spacing w:line="400" w:lineRule="exact"/>
        <w:ind w:firstLine="560" w:firstLineChars="200"/>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1.6.1</w:t>
      </w:r>
      <w:r>
        <w:rPr>
          <w:rFonts w:hint="eastAsia" w:asciiTheme="minorEastAsia" w:hAnsiTheme="minorEastAsia" w:eastAsiaTheme="minorEastAsia" w:cstheme="minorEastAsia"/>
          <w:color w:val="auto"/>
          <w:sz w:val="28"/>
          <w:szCs w:val="28"/>
          <w:lang w:eastAsia="zh-CN"/>
        </w:rPr>
        <w:t>电子投标文件的编制</w:t>
      </w:r>
    </w:p>
    <w:p>
      <w:pPr>
        <w:keepNext w:val="0"/>
        <w:keepLines w:val="0"/>
        <w:pageBreakBefore w:val="0"/>
        <w:kinsoku/>
        <w:wordWrap/>
        <w:overflowPunct/>
        <w:topLinePunct w:val="0"/>
        <w:bidi w:val="0"/>
        <w:snapToGrid/>
        <w:spacing w:line="400" w:lineRule="exact"/>
        <w:ind w:firstLine="560" w:firstLineChars="200"/>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1）电子投标文件应按照统一的“投标文件制作软件”以及招标文件要求进行制作编制，保证目录清晰、内容完整；</w:t>
      </w:r>
    </w:p>
    <w:p>
      <w:pPr>
        <w:keepNext w:val="0"/>
        <w:keepLines w:val="0"/>
        <w:pageBreakBefore w:val="0"/>
        <w:kinsoku/>
        <w:wordWrap/>
        <w:overflowPunct/>
        <w:topLinePunct w:val="0"/>
        <w:bidi w:val="0"/>
        <w:snapToGrid/>
        <w:spacing w:line="400" w:lineRule="exact"/>
        <w:ind w:firstLine="560" w:firstLineChars="200"/>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2）电子投标文件各类证件须与响应供应商注册登记资料相一致；　</w:t>
      </w:r>
    </w:p>
    <w:p>
      <w:pPr>
        <w:keepNext w:val="0"/>
        <w:keepLines w:val="0"/>
        <w:pageBreakBefore w:val="0"/>
        <w:kinsoku/>
        <w:wordWrap/>
        <w:overflowPunct/>
        <w:topLinePunct w:val="0"/>
        <w:bidi w:val="0"/>
        <w:snapToGrid/>
        <w:spacing w:line="400" w:lineRule="exact"/>
        <w:ind w:firstLine="560" w:firstLineChars="200"/>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lang w:eastAsia="zh-CN"/>
        </w:rPr>
        <w:t>）投标人因自身原因导致电子投标文件无法导入电子评标系统的，该投标文件视为无效文件。　</w:t>
      </w:r>
    </w:p>
    <w:p>
      <w:pPr>
        <w:keepNext w:val="0"/>
        <w:keepLines w:val="0"/>
        <w:pageBreakBefore w:val="0"/>
        <w:kinsoku/>
        <w:wordWrap/>
        <w:overflowPunct/>
        <w:topLinePunct w:val="0"/>
        <w:bidi w:val="0"/>
        <w:snapToGrid/>
        <w:spacing w:line="400" w:lineRule="exact"/>
        <w:ind w:firstLine="560" w:firstLineChars="200"/>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4</w:t>
      </w:r>
      <w:r>
        <w:rPr>
          <w:rFonts w:hint="eastAsia" w:asciiTheme="minorEastAsia" w:hAnsiTheme="minorEastAsia" w:eastAsiaTheme="minorEastAsia" w:cstheme="minorEastAsia"/>
          <w:color w:val="auto"/>
          <w:sz w:val="28"/>
          <w:szCs w:val="28"/>
          <w:lang w:eastAsia="zh-CN"/>
        </w:rPr>
        <w:t>）电子招标文件以及电子投标文件具有法律效力,与其他形式的招标文件以及投标文件在内容和格式上等同，若投标文件与招标文件要求不一致，其内容影响成交结果时，责任由供应商自行承担。　</w:t>
      </w:r>
    </w:p>
    <w:p>
      <w:pPr>
        <w:keepNext w:val="0"/>
        <w:keepLines w:val="0"/>
        <w:pageBreakBefore w:val="0"/>
        <w:kinsoku/>
        <w:wordWrap/>
        <w:overflowPunct/>
        <w:topLinePunct w:val="0"/>
        <w:bidi w:val="0"/>
        <w:snapToGrid/>
        <w:spacing w:line="400" w:lineRule="exact"/>
        <w:ind w:firstLine="560" w:firstLineChars="200"/>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lang w:eastAsia="zh-CN"/>
        </w:rPr>
        <w:t>）为了保证电子投标文件的合法性、安全性和完整性，电子投标文件转换完成后，应在规定区域加盖单位和法定代表人CA印章。电子投标文件若无CA电子签章，则视为无效文件。</w:t>
      </w:r>
    </w:p>
    <w:p>
      <w:pPr>
        <w:keepNext w:val="0"/>
        <w:keepLines w:val="0"/>
        <w:pageBreakBefore w:val="0"/>
        <w:kinsoku/>
        <w:wordWrap/>
        <w:overflowPunct/>
        <w:topLinePunct w:val="0"/>
        <w:bidi w:val="0"/>
        <w:snapToGrid/>
        <w:spacing w:line="40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1.6.2</w:t>
      </w:r>
      <w:r>
        <w:rPr>
          <w:rFonts w:hint="eastAsia" w:asciiTheme="minorEastAsia" w:hAnsiTheme="minorEastAsia" w:eastAsiaTheme="minorEastAsia" w:cstheme="minorEastAsia"/>
          <w:color w:val="auto"/>
          <w:sz w:val="28"/>
          <w:szCs w:val="28"/>
        </w:rPr>
        <w:t>要求：</w:t>
      </w:r>
      <w:r>
        <w:rPr>
          <w:rFonts w:hint="eastAsia" w:asciiTheme="minorEastAsia" w:hAnsiTheme="minorEastAsia" w:eastAsiaTheme="minorEastAsia" w:cstheme="minorEastAsia"/>
          <w:b/>
          <w:color w:val="auto"/>
          <w:sz w:val="28"/>
          <w:szCs w:val="28"/>
          <w:u w:val="single"/>
          <w:lang w:eastAsia="zh-CN"/>
        </w:rPr>
        <w:t>（加密电子投标文件请于投标截止时间之前上传至供应商登录政采云平台 https://www.zcygov.cn/；备注：加密的电子投标文件为使用政采云投标工具制作生 成的加密版投标文件，未加密的电子投标文件应与加密的电子投标文件为同时生成的版本，请供应商开标时使用生成投标文件的 CA 锁解密。若因供应商自身原因导致解密失败的，将导致其投标被拒绝且投标文件被退回；但因网上招标系统故障导致所有供应商均解密失败时，允许供应商使用未加密的电子投标文件进行开评标。）</w:t>
      </w:r>
    </w:p>
    <w:p>
      <w:pPr>
        <w:keepNext w:val="0"/>
        <w:keepLines w:val="0"/>
        <w:pageBreakBefore w:val="0"/>
        <w:kinsoku/>
        <w:wordWrap/>
        <w:overflowPunct/>
        <w:topLinePunct w:val="0"/>
        <w:bidi w:val="0"/>
        <w:snapToGrid/>
        <w:spacing w:line="400" w:lineRule="exact"/>
        <w:ind w:firstLine="618" w:firstLineChars="221"/>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1.7关于联合投标：</w:t>
      </w:r>
    </w:p>
    <w:p>
      <w:pPr>
        <w:keepNext w:val="0"/>
        <w:keepLines w:val="0"/>
        <w:pageBreakBefore w:val="0"/>
        <w:kinsoku/>
        <w:wordWrap/>
        <w:overflowPunct/>
        <w:topLinePunct w:val="0"/>
        <w:bidi w:val="0"/>
        <w:snapToGrid/>
        <w:spacing w:line="400" w:lineRule="exact"/>
        <w:ind w:firstLine="618" w:firstLineChars="221"/>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本次招标</w:t>
      </w:r>
      <w:r>
        <w:rPr>
          <w:rFonts w:hint="eastAsia" w:asciiTheme="minorEastAsia" w:hAnsiTheme="minorEastAsia" w:eastAsiaTheme="minorEastAsia" w:cstheme="minorEastAsia"/>
          <w:color w:val="auto"/>
          <w:sz w:val="28"/>
          <w:szCs w:val="28"/>
          <w:lang w:val="en-US" w:eastAsia="zh-CN"/>
        </w:rPr>
        <w:t>不</w:t>
      </w:r>
      <w:r>
        <w:rPr>
          <w:rFonts w:hint="eastAsia" w:asciiTheme="minorEastAsia" w:hAnsiTheme="minorEastAsia" w:eastAsiaTheme="minorEastAsia" w:cstheme="minorEastAsia"/>
          <w:color w:val="auto"/>
          <w:sz w:val="28"/>
          <w:szCs w:val="28"/>
        </w:rPr>
        <w:t>接受任何形式的联合投标。</w:t>
      </w:r>
    </w:p>
    <w:p>
      <w:pPr>
        <w:keepNext w:val="0"/>
        <w:keepLines w:val="0"/>
        <w:pageBreakBefore w:val="0"/>
        <w:kinsoku/>
        <w:wordWrap/>
        <w:overflowPunct/>
        <w:topLinePunct w:val="0"/>
        <w:bidi w:val="0"/>
        <w:snapToGrid/>
        <w:spacing w:line="400" w:lineRule="exact"/>
        <w:ind w:firstLine="618" w:firstLineChars="221"/>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1.8 投标日期：</w:t>
      </w:r>
    </w:p>
    <w:p>
      <w:pPr>
        <w:keepNext w:val="0"/>
        <w:keepLines w:val="0"/>
        <w:pageBreakBefore w:val="0"/>
        <w:kinsoku/>
        <w:wordWrap/>
        <w:overflowPunct/>
        <w:topLinePunct w:val="0"/>
        <w:bidi w:val="0"/>
        <w:snapToGrid/>
        <w:spacing w:line="400" w:lineRule="exact"/>
        <w:ind w:firstLine="562" w:firstLineChars="200"/>
        <w:textAlignment w:val="auto"/>
        <w:rPr>
          <w:rFonts w:hint="eastAsia" w:asciiTheme="minorEastAsia" w:hAnsiTheme="minorEastAsia" w:eastAsiaTheme="minorEastAsia" w:cstheme="minorEastAsia"/>
          <w:b/>
          <w:color w:val="auto"/>
          <w:sz w:val="28"/>
          <w:szCs w:val="28"/>
          <w:u w:val="single"/>
        </w:rPr>
      </w:pPr>
      <w:r>
        <w:rPr>
          <w:rFonts w:hint="eastAsia" w:asciiTheme="minorEastAsia" w:hAnsiTheme="minorEastAsia" w:eastAsiaTheme="minorEastAsia" w:cstheme="minorEastAsia"/>
          <w:b/>
          <w:color w:val="auto"/>
          <w:sz w:val="28"/>
          <w:szCs w:val="28"/>
          <w:u w:val="single"/>
        </w:rPr>
        <w:t>投标人应在规定的投标文件截止时间前使用CA数字证书登录政采云平台</w:t>
      </w:r>
    </w:p>
    <w:p>
      <w:pPr>
        <w:keepNext w:val="0"/>
        <w:keepLines w:val="0"/>
        <w:pageBreakBefore w:val="0"/>
        <w:kinsoku/>
        <w:wordWrap/>
        <w:overflowPunct/>
        <w:topLinePunct w:val="0"/>
        <w:bidi w:val="0"/>
        <w:snapToGrid/>
        <w:spacing w:line="400" w:lineRule="exact"/>
        <w:ind w:firstLine="562" w:firstLineChars="200"/>
        <w:textAlignment w:val="auto"/>
        <w:rPr>
          <w:rFonts w:hint="eastAsia" w:asciiTheme="minorEastAsia" w:hAnsiTheme="minorEastAsia" w:eastAsiaTheme="minorEastAsia" w:cstheme="minorEastAsia"/>
          <w:b/>
          <w:color w:val="auto"/>
          <w:sz w:val="28"/>
          <w:szCs w:val="28"/>
          <w:u w:val="single"/>
          <w:lang w:eastAsia="zh-CN"/>
        </w:rPr>
      </w:pPr>
      <w:r>
        <w:rPr>
          <w:rFonts w:hint="eastAsia" w:asciiTheme="minorEastAsia" w:hAnsiTheme="minorEastAsia" w:eastAsiaTheme="minorEastAsia" w:cstheme="minorEastAsia"/>
          <w:b/>
          <w:color w:val="auto"/>
          <w:sz w:val="28"/>
          <w:szCs w:val="28"/>
          <w:u w:val="single"/>
        </w:rPr>
        <w:t>(http://www.ccgp-xinjiang.gov.cn/) 上传加密版投标文件，逾期不予受理。</w:t>
      </w:r>
    </w:p>
    <w:p>
      <w:pPr>
        <w:keepNext w:val="0"/>
        <w:keepLines w:val="0"/>
        <w:pageBreakBefore w:val="0"/>
        <w:kinsoku/>
        <w:wordWrap/>
        <w:overflowPunct/>
        <w:topLinePunct w:val="0"/>
        <w:bidi w:val="0"/>
        <w:snapToGrid/>
        <w:spacing w:line="400" w:lineRule="exact"/>
        <w:ind w:firstLine="621" w:firstLineChars="221"/>
        <w:textAlignment w:val="auto"/>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1.9开标、评标：</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开标会主持人按照招标文件规定的开标时间宣布开标，按照规定要求主持开标会。开标将按以下程序进行：</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（1）宣布开标会开始。开标时间到，主持人宣布开标会开始并致辞，当众宣布参加开标会的现场监督人员、公证人员（若有）和主持人、唱标、监标、会议记录等招标工作人员，根据“供应商</w:t>
      </w:r>
      <w:r>
        <w:rPr>
          <w:rFonts w:hint="eastAsia" w:asciiTheme="minorEastAsia" w:hAnsiTheme="minorEastAsia" w:eastAsiaTheme="minorEastAsia" w:cstheme="minorEastAsia"/>
          <w:color w:val="auto"/>
          <w:sz w:val="28"/>
          <w:szCs w:val="28"/>
          <w:lang w:val="en-US" w:eastAsia="zh-CN"/>
        </w:rPr>
        <w:t>网上标书送达时间</w:t>
      </w:r>
      <w:r>
        <w:rPr>
          <w:rFonts w:hint="eastAsia" w:asciiTheme="minorEastAsia" w:hAnsiTheme="minorEastAsia" w:eastAsiaTheme="minorEastAsia" w:cstheme="minorEastAsia"/>
          <w:color w:val="auto"/>
          <w:sz w:val="28"/>
          <w:szCs w:val="28"/>
        </w:rPr>
        <w:t>”宣布参加投标的供应商名单。</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（2）宣布会场纪律和有关注意事项。</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）开标唱标。主持人宣布开标后，由现场工作人员或公证人员按任意顺序对“开标一览表”的项目名称、投标产品的规格型号（服务内容）、投标总价以及供应商名称进行宣读，并做开标记录。</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4</w:t>
      </w:r>
      <w:r>
        <w:rPr>
          <w:rFonts w:hint="eastAsia" w:asciiTheme="minorEastAsia" w:hAnsiTheme="minorEastAsia" w:eastAsiaTheme="minorEastAsia" w:cstheme="minorEastAsia"/>
          <w:color w:val="auto"/>
          <w:sz w:val="28"/>
          <w:szCs w:val="28"/>
        </w:rPr>
        <w:t>）致公证词（若有）。唱标结束后，主持人请公证人员当众致公证词。</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）宣布开标会结束。</w:t>
      </w:r>
    </w:p>
    <w:p>
      <w:pPr>
        <w:keepNext w:val="0"/>
        <w:keepLines w:val="0"/>
        <w:pageBreakBefore w:val="0"/>
        <w:kinsoku/>
        <w:wordWrap/>
        <w:overflowPunct/>
        <w:topLinePunct w:val="0"/>
        <w:bidi w:val="0"/>
        <w:snapToGrid/>
        <w:spacing w:line="400" w:lineRule="exact"/>
        <w:ind w:firstLine="621" w:firstLineChars="221"/>
        <w:textAlignment w:val="auto"/>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1.9.1合格投标人的资格审查文件：</w:t>
      </w:r>
    </w:p>
    <w:p>
      <w:pPr>
        <w:keepNext w:val="0"/>
        <w:keepLines w:val="0"/>
        <w:pageBreakBefore w:val="0"/>
        <w:numPr>
          <w:ilvl w:val="0"/>
          <w:numId w:val="6"/>
        </w:numPr>
        <w:kinsoku/>
        <w:wordWrap/>
        <w:overflowPunct/>
        <w:topLinePunct w:val="0"/>
        <w:bidi w:val="0"/>
        <w:snapToGrid/>
        <w:spacing w:line="400" w:lineRule="exact"/>
        <w:ind w:firstLine="703" w:firstLineChars="250"/>
        <w:textAlignment w:val="auto"/>
        <w:rPr>
          <w:rFonts w:hint="eastAsia" w:asciiTheme="minorEastAsia" w:hAnsiTheme="minorEastAsia" w:eastAsiaTheme="minorEastAsia" w:cstheme="minorEastAsia"/>
          <w:b/>
          <w:color w:val="auto"/>
          <w:sz w:val="28"/>
          <w:szCs w:val="28"/>
          <w:u w:val="single"/>
        </w:rPr>
      </w:pPr>
      <w:r>
        <w:rPr>
          <w:rFonts w:hint="eastAsia" w:asciiTheme="minorEastAsia" w:hAnsiTheme="minorEastAsia" w:eastAsiaTheme="minorEastAsia" w:cstheme="minorEastAsia"/>
          <w:b/>
          <w:color w:val="auto"/>
          <w:sz w:val="28"/>
          <w:szCs w:val="28"/>
          <w:u w:val="single"/>
        </w:rPr>
        <w:t>有效期内营业执照</w:t>
      </w:r>
    </w:p>
    <w:p>
      <w:pPr>
        <w:keepNext w:val="0"/>
        <w:keepLines w:val="0"/>
        <w:pageBreakBefore w:val="0"/>
        <w:numPr>
          <w:ilvl w:val="0"/>
          <w:numId w:val="6"/>
        </w:numPr>
        <w:kinsoku/>
        <w:wordWrap/>
        <w:overflowPunct/>
        <w:topLinePunct w:val="0"/>
        <w:bidi w:val="0"/>
        <w:snapToGrid/>
        <w:spacing w:line="400" w:lineRule="exact"/>
        <w:ind w:firstLine="703" w:firstLineChars="250"/>
        <w:textAlignment w:val="auto"/>
        <w:rPr>
          <w:rFonts w:hint="eastAsia" w:asciiTheme="minorEastAsia" w:hAnsiTheme="minorEastAsia" w:eastAsiaTheme="minorEastAsia" w:cstheme="minorEastAsia"/>
          <w:b/>
          <w:color w:val="auto"/>
          <w:sz w:val="28"/>
          <w:szCs w:val="28"/>
          <w:u w:val="single"/>
        </w:rPr>
      </w:pPr>
      <w:r>
        <w:rPr>
          <w:rFonts w:hint="eastAsia" w:asciiTheme="minorEastAsia" w:hAnsiTheme="minorEastAsia" w:eastAsiaTheme="minorEastAsia" w:cstheme="minorEastAsia"/>
          <w:b/>
          <w:color w:val="auto"/>
          <w:sz w:val="28"/>
          <w:szCs w:val="28"/>
          <w:u w:val="single"/>
        </w:rPr>
        <w:t>提供银行出具的近1年内资信证明或上一年度经审计的财务报告，新成立企业可不提供</w:t>
      </w:r>
    </w:p>
    <w:p>
      <w:pPr>
        <w:keepNext w:val="0"/>
        <w:keepLines w:val="0"/>
        <w:pageBreakBefore w:val="0"/>
        <w:numPr>
          <w:ilvl w:val="0"/>
          <w:numId w:val="6"/>
        </w:numPr>
        <w:kinsoku/>
        <w:wordWrap/>
        <w:overflowPunct/>
        <w:topLinePunct w:val="0"/>
        <w:bidi w:val="0"/>
        <w:snapToGrid/>
        <w:spacing w:line="400" w:lineRule="exact"/>
        <w:ind w:firstLine="703" w:firstLineChars="250"/>
        <w:textAlignment w:val="auto"/>
        <w:rPr>
          <w:rFonts w:hint="eastAsia" w:asciiTheme="minorEastAsia" w:hAnsiTheme="minorEastAsia" w:eastAsiaTheme="minorEastAsia" w:cstheme="minorEastAsia"/>
          <w:b/>
          <w:color w:val="auto"/>
          <w:sz w:val="28"/>
          <w:szCs w:val="28"/>
          <w:u w:val="single"/>
        </w:rPr>
      </w:pPr>
      <w:r>
        <w:rPr>
          <w:rFonts w:hint="eastAsia" w:asciiTheme="minorEastAsia" w:hAnsiTheme="minorEastAsia" w:eastAsiaTheme="minorEastAsia" w:cstheme="minorEastAsia"/>
          <w:b/>
          <w:color w:val="auto"/>
          <w:sz w:val="28"/>
          <w:szCs w:val="28"/>
          <w:u w:val="single"/>
        </w:rPr>
        <w:t>《</w:t>
      </w:r>
      <w:r>
        <w:rPr>
          <w:rFonts w:hint="eastAsia" w:asciiTheme="minorEastAsia" w:hAnsiTheme="minorEastAsia" w:eastAsiaTheme="minorEastAsia" w:cstheme="minorEastAsia"/>
          <w:b/>
          <w:color w:val="auto"/>
          <w:sz w:val="28"/>
          <w:szCs w:val="28"/>
          <w:u w:val="single"/>
          <w:lang w:val="en-US" w:eastAsia="zh-CN"/>
        </w:rPr>
        <w:t>所投产品属于第二类医疗器械的，须提供有效的行政主管部门颁发的医器械经营备案凭证，医疗器械生产许可证或医疗器械经营许可证或其他医疗器械生产经营许可证明文件；所投产品属于第三类医疗器械的，须提供有效的行政主管部门颁发的医疗器械生产许可证或医疗器械经营许可证或其他医疗器械生产经营许可证明文件</w:t>
      </w:r>
      <w:r>
        <w:rPr>
          <w:rFonts w:hint="eastAsia" w:asciiTheme="minorEastAsia" w:hAnsiTheme="minorEastAsia" w:eastAsiaTheme="minorEastAsia" w:cstheme="minorEastAsia"/>
          <w:b/>
          <w:color w:val="auto"/>
          <w:sz w:val="28"/>
          <w:szCs w:val="28"/>
          <w:u w:val="single"/>
        </w:rPr>
        <w:t>（复印件加盖公章）</w:t>
      </w:r>
    </w:p>
    <w:p>
      <w:pPr>
        <w:keepNext w:val="0"/>
        <w:keepLines w:val="0"/>
        <w:pageBreakBefore w:val="0"/>
        <w:numPr>
          <w:ilvl w:val="0"/>
          <w:numId w:val="6"/>
        </w:numPr>
        <w:kinsoku/>
        <w:wordWrap/>
        <w:overflowPunct/>
        <w:topLinePunct w:val="0"/>
        <w:bidi w:val="0"/>
        <w:snapToGrid/>
        <w:spacing w:line="400" w:lineRule="exact"/>
        <w:ind w:firstLine="703" w:firstLineChars="250"/>
        <w:textAlignment w:val="auto"/>
        <w:rPr>
          <w:rFonts w:hint="eastAsia" w:asciiTheme="minorEastAsia" w:hAnsiTheme="minorEastAsia" w:eastAsiaTheme="minorEastAsia" w:cstheme="minorEastAsia"/>
          <w:b/>
          <w:color w:val="auto"/>
          <w:sz w:val="28"/>
          <w:szCs w:val="28"/>
          <w:u w:val="single"/>
        </w:rPr>
      </w:pPr>
      <w:r>
        <w:rPr>
          <w:rFonts w:hint="eastAsia" w:asciiTheme="minorEastAsia" w:hAnsiTheme="minorEastAsia" w:eastAsiaTheme="minorEastAsia" w:cstheme="minorEastAsia"/>
          <w:b/>
          <w:color w:val="auto"/>
          <w:sz w:val="28"/>
          <w:szCs w:val="28"/>
          <w:u w:val="single"/>
        </w:rPr>
        <w:t>参加政府采购活动前 3 年内在经营活动中没有重大违法记录的书 面声明 (格式见</w:t>
      </w:r>
      <w:r>
        <w:rPr>
          <w:rFonts w:hint="eastAsia" w:asciiTheme="minorEastAsia" w:hAnsiTheme="minorEastAsia" w:eastAsiaTheme="minorEastAsia" w:cstheme="minorEastAsia"/>
          <w:b/>
          <w:color w:val="auto"/>
          <w:sz w:val="28"/>
          <w:szCs w:val="28"/>
          <w:u w:val="single"/>
          <w:lang w:val="en-US" w:eastAsia="zh-CN"/>
        </w:rPr>
        <w:t>招标</w:t>
      </w:r>
      <w:r>
        <w:rPr>
          <w:rFonts w:hint="eastAsia" w:asciiTheme="minorEastAsia" w:hAnsiTheme="minorEastAsia" w:eastAsiaTheme="minorEastAsia" w:cstheme="minorEastAsia"/>
          <w:b/>
          <w:color w:val="auto"/>
          <w:sz w:val="28"/>
          <w:szCs w:val="28"/>
          <w:u w:val="single"/>
        </w:rPr>
        <w:t>文件)</w:t>
      </w:r>
    </w:p>
    <w:p>
      <w:pPr>
        <w:keepNext w:val="0"/>
        <w:keepLines w:val="0"/>
        <w:pageBreakBefore w:val="0"/>
        <w:numPr>
          <w:ilvl w:val="0"/>
          <w:numId w:val="6"/>
        </w:numPr>
        <w:kinsoku/>
        <w:wordWrap/>
        <w:overflowPunct/>
        <w:topLinePunct w:val="0"/>
        <w:bidi w:val="0"/>
        <w:snapToGrid/>
        <w:spacing w:line="400" w:lineRule="exact"/>
        <w:ind w:firstLine="703" w:firstLineChars="250"/>
        <w:textAlignment w:val="auto"/>
        <w:rPr>
          <w:rFonts w:hint="eastAsia" w:asciiTheme="minorEastAsia" w:hAnsiTheme="minorEastAsia" w:eastAsiaTheme="minorEastAsia" w:cstheme="minorEastAsia"/>
          <w:b/>
          <w:color w:val="auto"/>
          <w:sz w:val="28"/>
          <w:szCs w:val="28"/>
          <w:u w:val="single"/>
        </w:rPr>
      </w:pPr>
      <w:r>
        <w:rPr>
          <w:rFonts w:hint="eastAsia" w:asciiTheme="minorEastAsia" w:hAnsiTheme="minorEastAsia" w:eastAsiaTheme="minorEastAsia" w:cstheme="minorEastAsia"/>
          <w:b/>
          <w:color w:val="auto"/>
          <w:sz w:val="28"/>
          <w:szCs w:val="28"/>
          <w:u w:val="single"/>
        </w:rPr>
        <w:t>未被“信用中国”网站 (www.creditchina.gov.cn) 列入失信被执 行人、重大税收违法案件当事人名单、政府采购严重失信行为记录 名单 (提供网页截图)</w:t>
      </w:r>
    </w:p>
    <w:p>
      <w:pPr>
        <w:keepNext w:val="0"/>
        <w:keepLines w:val="0"/>
        <w:pageBreakBefore w:val="0"/>
        <w:numPr>
          <w:ilvl w:val="0"/>
          <w:numId w:val="6"/>
        </w:numPr>
        <w:kinsoku/>
        <w:wordWrap/>
        <w:overflowPunct/>
        <w:topLinePunct w:val="0"/>
        <w:bidi w:val="0"/>
        <w:snapToGrid/>
        <w:spacing w:line="400" w:lineRule="exact"/>
        <w:ind w:firstLine="703" w:firstLineChars="250"/>
        <w:textAlignment w:val="auto"/>
        <w:rPr>
          <w:rFonts w:hint="eastAsia" w:asciiTheme="minorEastAsia" w:hAnsiTheme="minorEastAsia" w:eastAsiaTheme="minorEastAsia" w:cstheme="minorEastAsia"/>
          <w:b/>
          <w:color w:val="auto"/>
          <w:sz w:val="28"/>
          <w:szCs w:val="28"/>
          <w:highlight w:val="none"/>
          <w:u w:val="single"/>
        </w:rPr>
      </w:pPr>
      <w:r>
        <w:rPr>
          <w:rFonts w:hint="eastAsia" w:asciiTheme="minorEastAsia" w:hAnsiTheme="minorEastAsia" w:eastAsiaTheme="minorEastAsia" w:cstheme="minorEastAsia"/>
          <w:b/>
          <w:color w:val="auto"/>
          <w:sz w:val="28"/>
          <w:szCs w:val="28"/>
          <w:highlight w:val="none"/>
          <w:u w:val="single"/>
        </w:rPr>
        <w:t>法人授权书或法人证书 (格式见</w:t>
      </w:r>
      <w:r>
        <w:rPr>
          <w:rFonts w:hint="eastAsia" w:asciiTheme="minorEastAsia" w:hAnsiTheme="minorEastAsia" w:eastAsiaTheme="minorEastAsia" w:cstheme="minorEastAsia"/>
          <w:b/>
          <w:color w:val="auto"/>
          <w:sz w:val="28"/>
          <w:szCs w:val="28"/>
          <w:highlight w:val="none"/>
          <w:u w:val="single"/>
          <w:lang w:val="en-US" w:eastAsia="zh-CN"/>
        </w:rPr>
        <w:t>招标</w:t>
      </w:r>
      <w:r>
        <w:rPr>
          <w:rFonts w:hint="eastAsia" w:asciiTheme="minorEastAsia" w:hAnsiTheme="minorEastAsia" w:eastAsiaTheme="minorEastAsia" w:cstheme="minorEastAsia"/>
          <w:b/>
          <w:color w:val="auto"/>
          <w:sz w:val="28"/>
          <w:szCs w:val="28"/>
          <w:highlight w:val="none"/>
          <w:u w:val="single"/>
        </w:rPr>
        <w:t>文件)</w:t>
      </w:r>
    </w:p>
    <w:p>
      <w:pPr>
        <w:keepNext w:val="0"/>
        <w:keepLines w:val="0"/>
        <w:pageBreakBefore w:val="0"/>
        <w:numPr>
          <w:ilvl w:val="0"/>
          <w:numId w:val="6"/>
        </w:numPr>
        <w:kinsoku/>
        <w:wordWrap/>
        <w:overflowPunct/>
        <w:topLinePunct w:val="0"/>
        <w:bidi w:val="0"/>
        <w:snapToGrid/>
        <w:spacing w:line="400" w:lineRule="exact"/>
        <w:ind w:firstLine="703" w:firstLineChars="250"/>
        <w:textAlignment w:val="auto"/>
        <w:rPr>
          <w:rFonts w:hint="eastAsia" w:asciiTheme="minorEastAsia" w:hAnsiTheme="minorEastAsia" w:eastAsiaTheme="minorEastAsia" w:cstheme="minorEastAsia"/>
          <w:b/>
          <w:color w:val="auto"/>
          <w:sz w:val="28"/>
          <w:szCs w:val="28"/>
          <w:highlight w:val="none"/>
          <w:u w:val="single"/>
        </w:rPr>
      </w:pPr>
      <w:r>
        <w:rPr>
          <w:rFonts w:hint="eastAsia" w:asciiTheme="minorEastAsia" w:hAnsiTheme="minorEastAsia" w:eastAsiaTheme="minorEastAsia" w:cstheme="minorEastAsia"/>
          <w:b/>
          <w:color w:val="auto"/>
          <w:sz w:val="28"/>
          <w:szCs w:val="28"/>
          <w:highlight w:val="none"/>
          <w:u w:val="single"/>
        </w:rPr>
        <w:t>供应商为</w:t>
      </w:r>
      <w:r>
        <w:rPr>
          <w:rFonts w:hint="eastAsia" w:asciiTheme="minorEastAsia" w:hAnsiTheme="minorEastAsia" w:eastAsiaTheme="minorEastAsia" w:cstheme="minorEastAsia"/>
          <w:b/>
          <w:color w:val="auto"/>
          <w:sz w:val="28"/>
          <w:szCs w:val="28"/>
          <w:highlight w:val="none"/>
          <w:u w:val="single"/>
          <w:lang w:eastAsia="zh-CN"/>
        </w:rPr>
        <w:t>中小微</w:t>
      </w:r>
      <w:r>
        <w:rPr>
          <w:rFonts w:hint="eastAsia" w:asciiTheme="minorEastAsia" w:hAnsiTheme="minorEastAsia" w:eastAsiaTheme="minorEastAsia" w:cstheme="minorEastAsia"/>
          <w:b/>
          <w:color w:val="auto"/>
          <w:sz w:val="28"/>
          <w:szCs w:val="28"/>
          <w:highlight w:val="none"/>
          <w:u w:val="single"/>
        </w:rPr>
        <w:t>企业</w:t>
      </w:r>
      <w:r>
        <w:rPr>
          <w:rFonts w:hint="eastAsia" w:asciiTheme="minorEastAsia" w:hAnsiTheme="minorEastAsia" w:eastAsiaTheme="minorEastAsia" w:cstheme="minorEastAsia"/>
          <w:b/>
          <w:color w:val="auto"/>
          <w:sz w:val="28"/>
          <w:szCs w:val="28"/>
          <w:highlight w:val="none"/>
          <w:u w:val="single"/>
          <w:lang w:eastAsia="zh-CN"/>
        </w:rPr>
        <w:t>。供应商为大型企业的，须将采购项目中的40%分包给一家或者多家中小企业（其中的</w:t>
      </w:r>
      <w:r>
        <w:rPr>
          <w:rFonts w:hint="eastAsia" w:asciiTheme="minorEastAsia" w:hAnsiTheme="minorEastAsia" w:eastAsiaTheme="minorEastAsia" w:cstheme="minorEastAsia"/>
          <w:b/>
          <w:color w:val="auto"/>
          <w:sz w:val="28"/>
          <w:szCs w:val="28"/>
          <w:highlight w:val="none"/>
          <w:u w:val="single"/>
          <w:lang w:val="en-US" w:eastAsia="zh-CN"/>
        </w:rPr>
        <w:t>7</w:t>
      </w:r>
      <w:r>
        <w:rPr>
          <w:rFonts w:hint="eastAsia" w:asciiTheme="minorEastAsia" w:hAnsiTheme="minorEastAsia" w:eastAsiaTheme="minorEastAsia" w:cstheme="minorEastAsia"/>
          <w:b/>
          <w:color w:val="auto"/>
          <w:sz w:val="28"/>
          <w:szCs w:val="28"/>
          <w:highlight w:val="none"/>
          <w:u w:val="single"/>
          <w:lang w:eastAsia="zh-CN"/>
        </w:rPr>
        <w:t>0%预留给小微企业采购），供应商为大型企业的须提供《分包意向协议》（格式自拟）及分包供应商《中小企业声明函》</w:t>
      </w:r>
      <w:r>
        <w:rPr>
          <w:rFonts w:hint="eastAsia" w:asciiTheme="minorEastAsia" w:hAnsiTheme="minorEastAsia" w:eastAsiaTheme="minorEastAsia" w:cstheme="minorEastAsia"/>
          <w:b/>
          <w:color w:val="auto"/>
          <w:sz w:val="28"/>
          <w:szCs w:val="28"/>
          <w:highlight w:val="none"/>
          <w:u w:val="single"/>
        </w:rPr>
        <w:t>(格式见</w:t>
      </w:r>
      <w:r>
        <w:rPr>
          <w:rFonts w:hint="eastAsia" w:asciiTheme="minorEastAsia" w:hAnsiTheme="minorEastAsia" w:eastAsiaTheme="minorEastAsia" w:cstheme="minorEastAsia"/>
          <w:b/>
          <w:color w:val="auto"/>
          <w:sz w:val="28"/>
          <w:szCs w:val="28"/>
          <w:highlight w:val="none"/>
          <w:u w:val="single"/>
          <w:lang w:eastAsia="zh-CN"/>
        </w:rPr>
        <w:t>招标文件</w:t>
      </w:r>
      <w:r>
        <w:rPr>
          <w:rFonts w:hint="eastAsia" w:asciiTheme="minorEastAsia" w:hAnsiTheme="minorEastAsia" w:eastAsiaTheme="minorEastAsia" w:cstheme="minorEastAsia"/>
          <w:b/>
          <w:color w:val="auto"/>
          <w:sz w:val="28"/>
          <w:szCs w:val="28"/>
          <w:highlight w:val="none"/>
          <w:u w:val="single"/>
        </w:rPr>
        <w:t>)</w:t>
      </w:r>
    </w:p>
    <w:p>
      <w:pPr>
        <w:keepNext w:val="0"/>
        <w:keepLines w:val="0"/>
        <w:pageBreakBefore w:val="0"/>
        <w:numPr>
          <w:ilvl w:val="0"/>
          <w:numId w:val="6"/>
        </w:numPr>
        <w:kinsoku/>
        <w:wordWrap/>
        <w:overflowPunct/>
        <w:topLinePunct w:val="0"/>
        <w:bidi w:val="0"/>
        <w:snapToGrid/>
        <w:spacing w:line="400" w:lineRule="exact"/>
        <w:ind w:firstLine="703" w:firstLineChars="250"/>
        <w:textAlignment w:val="auto"/>
        <w:rPr>
          <w:rFonts w:hint="eastAsia" w:asciiTheme="minorEastAsia" w:hAnsiTheme="minorEastAsia" w:eastAsiaTheme="minorEastAsia" w:cstheme="minorEastAsia"/>
          <w:b/>
          <w:color w:val="auto"/>
          <w:sz w:val="28"/>
          <w:szCs w:val="28"/>
          <w:u w:val="single"/>
        </w:rPr>
      </w:pPr>
      <w:r>
        <w:rPr>
          <w:rFonts w:hint="eastAsia" w:asciiTheme="minorEastAsia" w:hAnsiTheme="minorEastAsia" w:eastAsiaTheme="minorEastAsia" w:cstheme="minorEastAsia"/>
          <w:b/>
          <w:color w:val="auto"/>
          <w:sz w:val="28"/>
          <w:szCs w:val="28"/>
          <w:u w:val="single"/>
        </w:rPr>
        <w:t>有依法缴纳税收和社会保障资金的良好纪录 ； 提供近 12 个月内（任意 1 个月） 已依法缴纳税收的凭据</w:t>
      </w:r>
      <w:r>
        <w:rPr>
          <w:rFonts w:hint="eastAsia" w:asciiTheme="minorEastAsia" w:hAnsiTheme="minorEastAsia" w:eastAsiaTheme="minorEastAsia" w:cstheme="minorEastAsia"/>
          <w:b/>
          <w:color w:val="auto"/>
          <w:sz w:val="28"/>
          <w:szCs w:val="28"/>
          <w:u w:val="single"/>
          <w:lang w:eastAsia="zh-CN"/>
        </w:rPr>
        <w:t>；</w:t>
      </w:r>
      <w:r>
        <w:rPr>
          <w:rFonts w:hint="eastAsia" w:asciiTheme="minorEastAsia" w:hAnsiTheme="minorEastAsia" w:eastAsiaTheme="minorEastAsia" w:cstheme="minorEastAsia"/>
          <w:b/>
          <w:color w:val="auto"/>
          <w:sz w:val="28"/>
          <w:szCs w:val="28"/>
          <w:u w:val="single"/>
        </w:rPr>
        <w:t>提供近 6 个月内（</w:t>
      </w:r>
      <w:r>
        <w:rPr>
          <w:rFonts w:hint="eastAsia" w:asciiTheme="minorEastAsia" w:hAnsiTheme="minorEastAsia" w:eastAsiaTheme="minorEastAsia" w:cstheme="minorEastAsia"/>
          <w:b/>
          <w:color w:val="auto"/>
          <w:sz w:val="28"/>
          <w:szCs w:val="28"/>
          <w:u w:val="single"/>
          <w:lang w:val="en-US" w:eastAsia="zh-CN"/>
        </w:rPr>
        <w:t>2023年5月至10月连续</w:t>
      </w:r>
      <w:r>
        <w:rPr>
          <w:rFonts w:hint="eastAsia" w:asciiTheme="minorEastAsia" w:hAnsiTheme="minorEastAsia" w:eastAsiaTheme="minorEastAsia" w:cstheme="minorEastAsia"/>
          <w:b/>
          <w:color w:val="auto"/>
          <w:sz w:val="28"/>
          <w:szCs w:val="28"/>
          <w:u w:val="single"/>
        </w:rPr>
        <w:t xml:space="preserve"> </w:t>
      </w:r>
      <w:r>
        <w:rPr>
          <w:rFonts w:hint="eastAsia" w:asciiTheme="minorEastAsia" w:hAnsiTheme="minorEastAsia" w:eastAsiaTheme="minorEastAsia" w:cstheme="minorEastAsia"/>
          <w:b/>
          <w:color w:val="auto"/>
          <w:sz w:val="28"/>
          <w:szCs w:val="28"/>
          <w:u w:val="single"/>
          <w:lang w:val="en-US" w:eastAsia="zh-CN"/>
        </w:rPr>
        <w:t>6</w:t>
      </w:r>
      <w:r>
        <w:rPr>
          <w:rFonts w:hint="eastAsia" w:asciiTheme="minorEastAsia" w:hAnsiTheme="minorEastAsia" w:eastAsiaTheme="minorEastAsia" w:cstheme="minorEastAsia"/>
          <w:b/>
          <w:color w:val="auto"/>
          <w:sz w:val="28"/>
          <w:szCs w:val="28"/>
          <w:u w:val="single"/>
        </w:rPr>
        <w:t>个月） 已依法缴纳社会保险的凭据；依法免税或不需要缴纳社会保障资金的供应商，应提供相应证明文件</w:t>
      </w:r>
      <w:r>
        <w:rPr>
          <w:rFonts w:hint="eastAsia" w:asciiTheme="minorEastAsia" w:hAnsiTheme="minorEastAsia" w:eastAsiaTheme="minorEastAsia" w:cstheme="minorEastAsia"/>
          <w:b/>
          <w:color w:val="auto"/>
          <w:sz w:val="28"/>
          <w:szCs w:val="28"/>
          <w:u w:val="single"/>
          <w:lang w:eastAsia="zh-CN"/>
        </w:rPr>
        <w:t>（</w:t>
      </w:r>
      <w:r>
        <w:rPr>
          <w:rFonts w:hint="eastAsia" w:asciiTheme="minorEastAsia" w:hAnsiTheme="minorEastAsia" w:eastAsiaTheme="minorEastAsia" w:cstheme="minorEastAsia"/>
          <w:b/>
          <w:color w:val="auto"/>
          <w:sz w:val="28"/>
          <w:szCs w:val="28"/>
          <w:u w:val="single"/>
          <w:lang w:val="en-US" w:eastAsia="zh-CN"/>
        </w:rPr>
        <w:t>新成立企业根据成立时间提供至10月份，当月成立企业可不提供</w:t>
      </w:r>
      <w:r>
        <w:rPr>
          <w:rFonts w:hint="eastAsia" w:asciiTheme="minorEastAsia" w:hAnsiTheme="minorEastAsia" w:eastAsiaTheme="minorEastAsia" w:cstheme="minorEastAsia"/>
          <w:b/>
          <w:color w:val="auto"/>
          <w:sz w:val="28"/>
          <w:szCs w:val="28"/>
          <w:u w:val="single"/>
          <w:lang w:eastAsia="zh-CN"/>
        </w:rPr>
        <w:t>）。</w:t>
      </w:r>
    </w:p>
    <w:p>
      <w:pPr>
        <w:keepNext w:val="0"/>
        <w:keepLines w:val="0"/>
        <w:pageBreakBefore w:val="0"/>
        <w:numPr>
          <w:ilvl w:val="0"/>
          <w:numId w:val="0"/>
        </w:numPr>
        <w:kinsoku/>
        <w:wordWrap/>
        <w:overflowPunct/>
        <w:topLinePunct w:val="0"/>
        <w:bidi w:val="0"/>
        <w:snapToGrid/>
        <w:spacing w:line="400" w:lineRule="exact"/>
        <w:textAlignment w:val="auto"/>
        <w:rPr>
          <w:rFonts w:hint="eastAsia" w:asciiTheme="minorEastAsia" w:hAnsiTheme="minorEastAsia" w:eastAsiaTheme="minorEastAsia" w:cstheme="minorEastAsia"/>
          <w:b/>
          <w:color w:val="auto"/>
          <w:sz w:val="28"/>
          <w:szCs w:val="28"/>
          <w:u w:val="single"/>
        </w:rPr>
      </w:pPr>
      <w:r>
        <w:rPr>
          <w:rFonts w:hint="eastAsia" w:asciiTheme="minorEastAsia" w:hAnsiTheme="minorEastAsia" w:eastAsiaTheme="minorEastAsia" w:cstheme="minorEastAsia"/>
          <w:b/>
          <w:color w:val="auto"/>
          <w:sz w:val="28"/>
          <w:szCs w:val="28"/>
          <w:u w:val="single"/>
        </w:rPr>
        <w:t>供应商在政采云平台上传相应资料，详见资格审查表。</w:t>
      </w:r>
    </w:p>
    <w:p>
      <w:pPr>
        <w:keepNext w:val="0"/>
        <w:keepLines w:val="0"/>
        <w:pageBreakBefore w:val="0"/>
        <w:kinsoku/>
        <w:wordWrap/>
        <w:overflowPunct/>
        <w:topLinePunct w:val="0"/>
        <w:bidi w:val="0"/>
        <w:snapToGrid/>
        <w:spacing w:line="400" w:lineRule="exact"/>
        <w:ind w:firstLine="548" w:firstLineChars="196"/>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1.9.2出现下列情形之一的，为废标： </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（一）符合专业条件的投标人或者对招标文件作实质的投标人不足三家的； </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（二）出现影响采购公正的违法、违规行为的； </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（三）投标人的报价均超过了采购预算，采购人不能支付的； </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（四）因重大变故，采购任务取消的。 </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1.9.3在确认合格后，由招标代理机构主持进行唱标，宣读投标人名称、投标价格、价格折扣和投标文件的其他主要内容，并作唱标记录。</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未宣读的投标价格、价格折扣等实质内容，评标时不予承认。</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1.9.4 成立评标委员会，评标委员会由招标代理机构负责组建。</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1.9.5 投标文件的澄清：为有利于评标审查，在评标过程中，评标委员会可随时要求投标人对其投标文件的内容作出澄清，重要或复杂的澄清须以书面形式作出，但不得对投标文件的内容加以修改。</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1.9.6 投标文件的初审及资格审查：</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1.9.6.1 投标文件初审：</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（1）对投标文件的初审包括投标文件的完整性和对招标文件的响应性；</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评标委员会将审查每份投标文件对招标文件的要求是否作出了实质性的响应。实质性响应是指投标文件符合招标文件的所有条款、条件和规格，而没有重大偏离或保留。重大偏离或保留系指影响到招标文件规定的供货范围、质量和性能，或限制了采购人的权利和投标人义务的规定，而纠正这些偏离将影响到其他提交了实质性响应投标文件的投标人的公平竞争地位；</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评标委员会可以书面形式要求投标人对投标文件中含义不明确、对同类问题表述不一致或者有明显文字和计算错误的内容作必要的澄清、说明或者补正，澄清、说明或者补正应以书面方式进行并不得超出招标文件的范围或者改变投标文件的实质性内容。</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（4）判断投标文件的响应与否只能根据投标文件本身，而不允许寻求外部证据；</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（5）评标委员会将拒绝没有实质上响应招标文件的投标文件；</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招标代理机构将审查每份投标文件中的投标报价是否有计算错误，投标文件中开标一览表(报价表)内容与投标文件中明细表内容不一致的，以开标一览表(报价表)为准。投标文件的大写金额和小写金额不一致的，以大写金额为准；单价汇总金额高于总价的以总价为准，单价汇总金额低于总价的以单价汇总为准；单价金额小数点有明显错位的，应以总价为准，并修改单价；对不同文字文本投标文件的解释发生异议的，以中文文本为准。若投标人拒绝上述修正，则视为其投标后又撤回投标。</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1.9.6.2资格审查：</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资格审查主要审查五个方面的内容：</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（1）资格文件</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）企业状况；</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）履约能力；</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4</w:t>
      </w:r>
      <w:r>
        <w:rPr>
          <w:rFonts w:hint="eastAsia" w:asciiTheme="minorEastAsia" w:hAnsiTheme="minorEastAsia" w:eastAsiaTheme="minorEastAsia" w:cstheme="minorEastAsia"/>
          <w:color w:val="auto"/>
          <w:sz w:val="28"/>
          <w:szCs w:val="28"/>
        </w:rPr>
        <w:t>）经营信誉。</w:t>
      </w:r>
    </w:p>
    <w:p>
      <w:pPr>
        <w:keepNext w:val="0"/>
        <w:keepLines w:val="0"/>
        <w:pageBreakBefore w:val="0"/>
        <w:kinsoku/>
        <w:wordWrap/>
        <w:overflowPunct/>
        <w:topLinePunct w:val="0"/>
        <w:bidi w:val="0"/>
        <w:snapToGrid/>
        <w:spacing w:line="400" w:lineRule="exact"/>
        <w:ind w:firstLine="758" w:firstLineChars="271"/>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只有符合本次投标文件初审及资格审查条件的投标人的投标文件才能进入下一阶段的评标。同时投标人在投标文件中所提交的所有资料和文件均应是真实的和有效的，在评标过程中，若发现投标人串通投标，以行贿手段谋取中标或者以其他弄虚作假方式投标的，该投标人的投标应作无效标处理，若中标后被发现有上述行为的，则招标采购单位有权取消其中标资格，并且该投标人应承担由此而造成的一切损失（包括经济损失和法律责任）。</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投标文件属下列情况之一的，在资格性、符合性检查时按照无效投标处理：</w:t>
      </w:r>
    </w:p>
    <w:p>
      <w:pPr>
        <w:keepNext w:val="0"/>
        <w:keepLines w:val="0"/>
        <w:pageBreakBefore w:val="0"/>
        <w:kinsoku/>
        <w:wordWrap/>
        <w:overflowPunct/>
        <w:topLinePunct w:val="0"/>
        <w:bidi w:val="0"/>
        <w:snapToGrid/>
        <w:spacing w:line="400" w:lineRule="exact"/>
        <w:ind w:firstLine="618" w:firstLineChars="221"/>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1、</w:t>
      </w:r>
      <w:r>
        <w:rPr>
          <w:rFonts w:hint="eastAsia" w:asciiTheme="minorEastAsia" w:hAnsiTheme="minorEastAsia" w:eastAsiaTheme="minorEastAsia" w:cstheme="minorEastAsia"/>
          <w:color w:val="auto"/>
          <w:sz w:val="28"/>
          <w:szCs w:val="28"/>
          <w:highlight w:val="none"/>
        </w:rPr>
        <w:t>未按照招标文件规定要求签署、盖章的；</w:t>
      </w:r>
    </w:p>
    <w:p>
      <w:pPr>
        <w:keepNext w:val="0"/>
        <w:keepLines w:val="0"/>
        <w:pageBreakBefore w:val="0"/>
        <w:kinsoku/>
        <w:wordWrap/>
        <w:overflowPunct/>
        <w:topLinePunct w:val="0"/>
        <w:bidi w:val="0"/>
        <w:snapToGrid/>
        <w:spacing w:line="400" w:lineRule="exact"/>
        <w:ind w:firstLine="618" w:firstLineChars="221"/>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2、</w:t>
      </w:r>
      <w:r>
        <w:rPr>
          <w:rFonts w:hint="eastAsia" w:asciiTheme="minorEastAsia" w:hAnsiTheme="minorEastAsia" w:eastAsiaTheme="minorEastAsia" w:cstheme="minorEastAsia"/>
          <w:color w:val="auto"/>
          <w:sz w:val="28"/>
          <w:szCs w:val="28"/>
          <w:highlight w:val="none"/>
        </w:rPr>
        <w:t>不具备招标文件中规定资格要求的；</w:t>
      </w:r>
    </w:p>
    <w:p>
      <w:pPr>
        <w:keepNext w:val="0"/>
        <w:keepLines w:val="0"/>
        <w:pageBreakBefore w:val="0"/>
        <w:kinsoku/>
        <w:wordWrap/>
        <w:overflowPunct/>
        <w:topLinePunct w:val="0"/>
        <w:bidi w:val="0"/>
        <w:snapToGrid/>
        <w:spacing w:line="400" w:lineRule="exact"/>
        <w:ind w:firstLine="618" w:firstLineChars="221"/>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3、</w:t>
      </w:r>
      <w:r>
        <w:rPr>
          <w:rFonts w:hint="eastAsia" w:asciiTheme="minorEastAsia" w:hAnsiTheme="minorEastAsia" w:eastAsiaTheme="minorEastAsia" w:cstheme="minorEastAsia"/>
          <w:color w:val="auto"/>
          <w:sz w:val="28"/>
          <w:szCs w:val="28"/>
          <w:highlight w:val="none"/>
        </w:rPr>
        <w:t>未注明投标产品的品牌、型号、生产厂家等信息的；</w:t>
      </w:r>
    </w:p>
    <w:p>
      <w:pPr>
        <w:keepNext w:val="0"/>
        <w:keepLines w:val="0"/>
        <w:pageBreakBefore w:val="0"/>
        <w:kinsoku/>
        <w:wordWrap/>
        <w:overflowPunct/>
        <w:topLinePunct w:val="0"/>
        <w:bidi w:val="0"/>
        <w:snapToGrid/>
        <w:spacing w:line="400" w:lineRule="exact"/>
        <w:ind w:firstLine="618" w:firstLineChars="221"/>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4、</w:t>
      </w:r>
      <w:r>
        <w:rPr>
          <w:rFonts w:hint="eastAsia" w:asciiTheme="minorEastAsia" w:hAnsiTheme="minorEastAsia" w:eastAsiaTheme="minorEastAsia" w:cstheme="minorEastAsia"/>
          <w:color w:val="auto"/>
          <w:sz w:val="28"/>
          <w:szCs w:val="28"/>
          <w:highlight w:val="none"/>
        </w:rPr>
        <w:t>其它在招标文件中已明确为无效标的</w:t>
      </w:r>
    </w:p>
    <w:p>
      <w:pPr>
        <w:keepNext w:val="0"/>
        <w:keepLines w:val="0"/>
        <w:pageBreakBefore w:val="0"/>
        <w:kinsoku/>
        <w:wordWrap/>
        <w:overflowPunct/>
        <w:topLinePunct w:val="0"/>
        <w:bidi w:val="0"/>
        <w:snapToGrid/>
        <w:spacing w:line="400" w:lineRule="exact"/>
        <w:ind w:firstLine="618" w:firstLineChars="221"/>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5、</w:t>
      </w:r>
      <w:r>
        <w:rPr>
          <w:rFonts w:hint="eastAsia" w:asciiTheme="minorEastAsia" w:hAnsiTheme="minorEastAsia" w:eastAsiaTheme="minorEastAsia" w:cstheme="minorEastAsia"/>
          <w:color w:val="auto"/>
          <w:sz w:val="28"/>
          <w:szCs w:val="28"/>
          <w:highlight w:val="none"/>
        </w:rPr>
        <w:t>投标有效期不满足招标文件要求。</w:t>
      </w:r>
    </w:p>
    <w:p>
      <w:pPr>
        <w:keepNext w:val="0"/>
        <w:keepLines w:val="0"/>
        <w:pageBreakBefore w:val="0"/>
        <w:kinsoku/>
        <w:wordWrap/>
        <w:overflowPunct/>
        <w:topLinePunct w:val="0"/>
        <w:bidi w:val="0"/>
        <w:snapToGrid/>
        <w:spacing w:line="400" w:lineRule="exact"/>
        <w:ind w:firstLine="618" w:firstLineChars="221"/>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6、供货期</w:t>
      </w:r>
      <w:r>
        <w:rPr>
          <w:rFonts w:hint="eastAsia" w:asciiTheme="minorEastAsia" w:hAnsiTheme="minorEastAsia" w:eastAsiaTheme="minorEastAsia" w:cstheme="minorEastAsia"/>
          <w:color w:val="auto"/>
          <w:sz w:val="28"/>
          <w:szCs w:val="28"/>
          <w:highlight w:val="none"/>
        </w:rPr>
        <w:t>不满足招标文件要求的。</w:t>
      </w:r>
    </w:p>
    <w:p>
      <w:pPr>
        <w:keepNext w:val="0"/>
        <w:keepLines w:val="0"/>
        <w:pageBreakBefore w:val="0"/>
        <w:kinsoku/>
        <w:wordWrap/>
        <w:overflowPunct/>
        <w:topLinePunct w:val="0"/>
        <w:bidi w:val="0"/>
        <w:snapToGrid/>
        <w:spacing w:line="400" w:lineRule="exact"/>
        <w:ind w:firstLine="618" w:firstLineChars="221"/>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7、</w:t>
      </w:r>
      <w:r>
        <w:rPr>
          <w:rFonts w:hint="eastAsia" w:asciiTheme="minorEastAsia" w:hAnsiTheme="minorEastAsia" w:eastAsiaTheme="minorEastAsia" w:cstheme="minorEastAsia"/>
          <w:color w:val="auto"/>
          <w:sz w:val="28"/>
          <w:szCs w:val="28"/>
          <w:highlight w:val="none"/>
        </w:rPr>
        <w:t>投标报价超过招标控制价的。</w:t>
      </w:r>
    </w:p>
    <w:p>
      <w:pPr>
        <w:keepNext w:val="0"/>
        <w:keepLines w:val="0"/>
        <w:pageBreakBefore w:val="0"/>
        <w:kinsoku/>
        <w:wordWrap/>
        <w:overflowPunct/>
        <w:topLinePunct w:val="0"/>
        <w:bidi w:val="0"/>
        <w:snapToGrid/>
        <w:spacing w:line="400" w:lineRule="exact"/>
        <w:ind w:firstLine="618" w:firstLineChars="221"/>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8、</w:t>
      </w:r>
      <w:r>
        <w:rPr>
          <w:rFonts w:hint="eastAsia" w:asciiTheme="minorEastAsia" w:hAnsiTheme="minorEastAsia" w:eastAsiaTheme="minorEastAsia" w:cstheme="minorEastAsia"/>
          <w:color w:val="auto"/>
          <w:sz w:val="28"/>
          <w:szCs w:val="28"/>
          <w:highlight w:val="none"/>
        </w:rPr>
        <w:t>不符合法律、法规和招标文件中规定的其他实质性要求的；</w:t>
      </w:r>
    </w:p>
    <w:p>
      <w:pPr>
        <w:keepNext w:val="0"/>
        <w:keepLines w:val="0"/>
        <w:pageBreakBefore w:val="0"/>
        <w:kinsoku/>
        <w:wordWrap/>
        <w:overflowPunct/>
        <w:topLinePunct w:val="0"/>
        <w:bidi w:val="0"/>
        <w:snapToGrid/>
        <w:spacing w:line="400" w:lineRule="exact"/>
        <w:ind w:firstLine="618" w:firstLineChars="221"/>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1.9.7投标响应实质评审。</w:t>
      </w:r>
    </w:p>
    <w:p>
      <w:pPr>
        <w:keepNext w:val="0"/>
        <w:keepLines w:val="0"/>
        <w:pageBreakBefore w:val="0"/>
        <w:kinsoku/>
        <w:wordWrap/>
        <w:overflowPunct/>
        <w:topLinePunct w:val="0"/>
        <w:bidi w:val="0"/>
        <w:snapToGrid/>
        <w:spacing w:line="400" w:lineRule="exact"/>
        <w:ind w:firstLine="618" w:firstLineChars="221"/>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评标采用综合比较评分方法，严格按照招标文件的要求、条件、评分标准及投标人所作的实质性响应内容进行，比较报价，同时考虑以下因素：</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lang w:val="en-US" w:eastAsia="zh-CN"/>
        </w:rPr>
        <w:t>货物</w:t>
      </w:r>
      <w:r>
        <w:rPr>
          <w:rFonts w:hint="eastAsia" w:asciiTheme="minorEastAsia" w:hAnsiTheme="minorEastAsia" w:eastAsiaTheme="minorEastAsia" w:cstheme="minorEastAsia"/>
          <w:color w:val="auto"/>
          <w:sz w:val="28"/>
          <w:szCs w:val="28"/>
        </w:rPr>
        <w:t>的质量保证（保障）内容；</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（2）售后的三包（如系国家规定的三包产品）、维修、维护、备品备件、配件供应及其它伴随服务；</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（3）企业信用及财务状况；</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（4）企业信誉。</w:t>
      </w:r>
    </w:p>
    <w:p>
      <w:pPr>
        <w:keepNext w:val="0"/>
        <w:keepLines w:val="0"/>
        <w:pageBreakBefore w:val="0"/>
        <w:kinsoku/>
        <w:wordWrap/>
        <w:overflowPunct/>
        <w:topLinePunct w:val="0"/>
        <w:bidi w:val="0"/>
        <w:snapToGrid/>
        <w:spacing w:line="400" w:lineRule="exact"/>
        <w:ind w:firstLine="618" w:firstLineChars="221"/>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1.9.8评标过程的保密：</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（1）在宣布中标之前，凡属于审查、澄清、评价、比较投标文件和中标意向等有关信息，均不得泄露给投标人或与评标工作无关的人员；</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（2）投标人不得探听上述信息，不得以任何行为影响评标过程，否则其投标文件将被作为无效标处理；</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（3）在评标期间，招标代理机构将指定联络员与投标人联络。</w:t>
      </w:r>
    </w:p>
    <w:p>
      <w:pPr>
        <w:keepNext w:val="0"/>
        <w:keepLines w:val="0"/>
        <w:pageBreakBefore w:val="0"/>
        <w:kinsoku/>
        <w:wordWrap/>
        <w:overflowPunct/>
        <w:topLinePunct w:val="0"/>
        <w:bidi w:val="0"/>
        <w:snapToGrid/>
        <w:spacing w:line="400" w:lineRule="exact"/>
        <w:ind w:firstLine="618" w:firstLineChars="221"/>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1.9.9评标委员会在评标过程中发现的问题，应及时作出处理或者向招标代理机构提出处理建议，并作出书面记录，同时评标委员会在评标完成后应向招标代理机构提出书面评标报告。</w:t>
      </w:r>
    </w:p>
    <w:p>
      <w:pPr>
        <w:keepNext w:val="0"/>
        <w:keepLines w:val="0"/>
        <w:pageBreakBefore w:val="0"/>
        <w:kinsoku/>
        <w:wordWrap/>
        <w:overflowPunct/>
        <w:topLinePunct w:val="0"/>
        <w:bidi w:val="0"/>
        <w:snapToGrid/>
        <w:spacing w:line="400" w:lineRule="exact"/>
        <w:ind w:firstLine="618" w:firstLineChars="221"/>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1.10 定标：</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（1）评标委员会成员应根据投标人资格审查情况，投标书的编写内容及开标结果等按评分标准分别进行评分，汇总评分结果，并根据评分结果初步推荐预中标人。</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（2）评标委员会有权确定预中标人，同时也有权拒绝部分或所有投标人中标。</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（3）评标结束后，招标代理机构将公布所有投标人的最终得分结果，并在标书有效期内向中标人发出中标通知书。</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（4）对落标原因，招标代理机构不作落标解释。</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（5）在标书有效期内，因中标人未按期签订合同或因法律、法规或招标文件的规定而被取消中标资格的，则招标代理机构有权决定得分居其后的投标人中标或由招标代理机构组织重新招标。</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（6）最低的投标报价或最高的折扣比例是中标的重要条件，但不是中标的唯一条件。</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中标结果宣布后公示期为七日如无异议，由招标代理机构发中标通知书；如投标人对此结果有异议，投标人应以书面形式向招标代理机构提出质疑，招标代理机构在收到书面质疑后七个工作日内对此作出答复，并以书面形式通知质疑投标人和其他相关的投标人，若质疑投标人对答复不满意或者招标代理机构未在规定的时间内作出答复的，可以在答复期满后十五个工作日内向博</w:t>
      </w:r>
      <w:r>
        <w:rPr>
          <w:rFonts w:hint="eastAsia" w:asciiTheme="minorEastAsia" w:hAnsiTheme="minorEastAsia" w:eastAsiaTheme="minorEastAsia" w:cstheme="minorEastAsia"/>
          <w:color w:val="auto"/>
          <w:sz w:val="28"/>
          <w:szCs w:val="28"/>
          <w:lang w:eastAsia="zh-CN"/>
        </w:rPr>
        <w:t>州</w:t>
      </w:r>
      <w:r>
        <w:rPr>
          <w:rFonts w:hint="eastAsia" w:asciiTheme="minorEastAsia" w:hAnsiTheme="minorEastAsia" w:eastAsiaTheme="minorEastAsia" w:cstheme="minorEastAsia"/>
          <w:color w:val="auto"/>
          <w:sz w:val="28"/>
          <w:szCs w:val="28"/>
        </w:rPr>
        <w:t>政府采购监督管理部门投诉，博乐市政府采购监督管理部门在收到投诉书后在三十个工作日内对投诉事项作出处理决定，如仍对处理决定不服的，可按有关法律处理。</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1.11 中标的标准：</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 投标文件组成及签署完整。</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 较好的品牌和质量。</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 较低的报价。</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 具备履约能力，能提供最佳售后服务（包括安装、保修、维修、送货上门及其它）。</w:t>
      </w:r>
    </w:p>
    <w:p>
      <w:pPr>
        <w:keepNext w:val="0"/>
        <w:keepLines w:val="0"/>
        <w:pageBreakBefore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上述1、2项应作为投标人能否进入评标阶段的先决条件。</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1.12 中标者数量：</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经评标委员会评审，最终得分在前壹名的投标人为预中标人。</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1.1</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 xml:space="preserve"> 签订合同：</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1.1</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.1 在合同签订之前，招标代理机构有权对中标人的履约能力及中标的</w:t>
      </w:r>
      <w:r>
        <w:rPr>
          <w:rFonts w:hint="eastAsia" w:asciiTheme="minorEastAsia" w:hAnsiTheme="minorEastAsia" w:eastAsiaTheme="minorEastAsia" w:cstheme="minorEastAsia"/>
          <w:color w:val="auto"/>
          <w:sz w:val="28"/>
          <w:szCs w:val="28"/>
          <w:lang w:eastAsia="zh-CN"/>
        </w:rPr>
        <w:t>松土、播种</w:t>
      </w:r>
      <w:r>
        <w:rPr>
          <w:rFonts w:hint="eastAsia" w:asciiTheme="minorEastAsia" w:hAnsiTheme="minorEastAsia" w:eastAsiaTheme="minorEastAsia" w:cstheme="minorEastAsia"/>
          <w:color w:val="auto"/>
          <w:sz w:val="28"/>
          <w:szCs w:val="28"/>
        </w:rPr>
        <w:t>的技术质量进行最后审查，审查方式包括询问、调查和实地考察，如发现中标人提供的材料虚假或对标书所要求说明的情况故意隐瞒或虚报，则招标采购单位有权取消其中标资格，并另行决定评标得分（或价格）居其后的投标人中标（在标书有效期内）或由招标代理机构组织重新招标。</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1.1</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.2中标人收到中标通知书后应严格按照通知书要求的时间和地点与采购人签订合同，否则按开标后撤回投标处理。</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1.1</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.3中标通知书是购销合同的组成部分，对采购人和中标人均具有法律效力。中标通知书发出后招标代理机构改变中标结果或中标人放弃中标项目的，均应依法承担法律责任。</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1.1</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.4签订合同书及合同条款应以招标文件和中标人的投标文件为依据。</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1.1</w:t>
      </w:r>
      <w:r>
        <w:rPr>
          <w:rFonts w:hint="eastAsia" w:asciiTheme="minorEastAsia" w:hAnsiTheme="minorEastAsia" w:eastAsiaTheme="minorEastAsia" w:cstheme="minorEastAsia"/>
          <w:b/>
          <w:color w:val="auto"/>
          <w:sz w:val="28"/>
          <w:szCs w:val="28"/>
          <w:highlight w:val="none"/>
          <w:lang w:val="en-US" w:eastAsia="zh-CN"/>
        </w:rPr>
        <w:t>3</w:t>
      </w:r>
      <w:r>
        <w:rPr>
          <w:rFonts w:hint="eastAsia" w:asciiTheme="minorEastAsia" w:hAnsiTheme="minorEastAsia" w:eastAsiaTheme="minorEastAsia" w:cstheme="minorEastAsia"/>
          <w:b/>
          <w:color w:val="auto"/>
          <w:sz w:val="28"/>
          <w:szCs w:val="28"/>
          <w:highlight w:val="none"/>
        </w:rPr>
        <w:t>.5</w:t>
      </w:r>
      <w:r>
        <w:rPr>
          <w:rFonts w:hint="eastAsia" w:asciiTheme="minorEastAsia" w:hAnsiTheme="minorEastAsia" w:eastAsiaTheme="minorEastAsia" w:cstheme="minorEastAsia"/>
          <w:b/>
          <w:color w:val="auto"/>
          <w:sz w:val="28"/>
          <w:szCs w:val="28"/>
          <w:highlight w:val="none"/>
          <w:lang w:val="en-US" w:eastAsia="zh-CN"/>
        </w:rPr>
        <w:t>本项目不收取履约保证金。</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1.1</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6政府采购合同履行中，采购人需追加与合同标的相同的货物、工程或者服务的，在不改变合同其他条款的前提下，经政府监管部门同意，可以与中标人协商签定补充合同，但所有补充合同的采购金额不得超过原合同采购金额的百分之十。</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1.1</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.7政府采购合同的双方当事人不得擅自变更、中止或终止合同。</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1.1</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.8政府采购合同继续履行将损害国家利益和社会公共利益的，双方当事人应当变更、中止或终止合同，有过错的一方应当承担赔赏责任，双方都有过错的，各自承担相应的责任。</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1.1</w:t>
      </w:r>
      <w:r>
        <w:rPr>
          <w:rFonts w:hint="eastAsia" w:asciiTheme="minorEastAsia" w:hAnsiTheme="minorEastAsia" w:eastAsiaTheme="minorEastAsia" w:cstheme="minorEastAsia"/>
          <w:color w:val="auto"/>
          <w:sz w:val="28"/>
          <w:szCs w:val="28"/>
          <w:lang w:val="en-US" w:eastAsia="zh-CN"/>
        </w:rPr>
        <w:t>4</w:t>
      </w:r>
      <w:r>
        <w:rPr>
          <w:rFonts w:hint="eastAsia" w:asciiTheme="minorEastAsia" w:hAnsiTheme="minorEastAsia" w:eastAsiaTheme="minorEastAsia" w:cstheme="minorEastAsia"/>
          <w:color w:val="auto"/>
          <w:sz w:val="28"/>
          <w:szCs w:val="28"/>
        </w:rPr>
        <w:t>本招标文件中的名称解释</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招标代理机构：</w:t>
      </w:r>
      <w:r>
        <w:rPr>
          <w:rFonts w:hint="eastAsia" w:asciiTheme="minorEastAsia" w:hAnsiTheme="minorEastAsia" w:eastAsiaTheme="minorEastAsia" w:cstheme="minorEastAsia"/>
          <w:color w:val="auto"/>
          <w:sz w:val="28"/>
          <w:szCs w:val="28"/>
          <w:lang w:val="zh-CN"/>
        </w:rPr>
        <w:t>新疆鸿恩项目管理有限公司</w:t>
      </w:r>
      <w:r>
        <w:rPr>
          <w:rFonts w:hint="eastAsia" w:asciiTheme="minorEastAsia" w:hAnsiTheme="minorEastAsia" w:eastAsiaTheme="minorEastAsia" w:cstheme="minorEastAsia"/>
          <w:color w:val="auto"/>
          <w:sz w:val="28"/>
          <w:szCs w:val="28"/>
        </w:rPr>
        <w:t>。</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采购人：实际购买货物和服务的法人或其他组织和自然人 。</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投标人：经认定有资格响应招标，参加投标竞争的法人或其他组织和自然人。</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中标人：经评标委员会评定后得分居前并由评标委员会推荐中标的投标人。</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招标采购单位：指采购人和招标代理机构的统称。</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响应：投标人根据招标代理机构或招标代理机构发布的招标文件，编制投标文件并按规定投标的行为。</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1.1</w:t>
      </w: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法律责任</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招标代理机构、采购人和投标人均须按《中华人民共和国政府采购法》的有关规定执行，若有违反须承担相应的法律责任。</w:t>
      </w:r>
    </w:p>
    <w:p>
      <w:pPr>
        <w:keepNext w:val="0"/>
        <w:keepLines w:val="0"/>
        <w:pageBreakBefore w:val="0"/>
        <w:kinsoku/>
        <w:wordWrap/>
        <w:overflowPunct/>
        <w:topLinePunct w:val="0"/>
        <w:bidi w:val="0"/>
        <w:snapToGrid/>
        <w:spacing w:line="400" w:lineRule="exact"/>
        <w:ind w:firstLine="360"/>
        <w:textAlignment w:val="auto"/>
        <w:rPr>
          <w:rFonts w:hint="eastAsia" w:asciiTheme="minorEastAsia" w:hAnsiTheme="minorEastAsia" w:eastAsiaTheme="minorEastAsia" w:cstheme="minorEastAsia"/>
          <w:b/>
          <w:color w:val="auto"/>
          <w:spacing w:val="20"/>
          <w:sz w:val="28"/>
          <w:szCs w:val="28"/>
        </w:rPr>
      </w:pPr>
      <w:r>
        <w:rPr>
          <w:rFonts w:hint="eastAsia" w:asciiTheme="minorEastAsia" w:hAnsiTheme="minorEastAsia" w:eastAsiaTheme="minorEastAsia" w:cstheme="minorEastAsia"/>
          <w:color w:val="auto"/>
          <w:sz w:val="28"/>
          <w:szCs w:val="28"/>
        </w:rPr>
        <w:t>1.1</w:t>
      </w: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相关监督部门对此次招投标全过程进行监督。</w:t>
      </w:r>
    </w:p>
    <w:p>
      <w:pPr>
        <w:keepNext w:val="0"/>
        <w:keepLines w:val="0"/>
        <w:pageBreakBefore w:val="0"/>
        <w:kinsoku/>
        <w:wordWrap/>
        <w:overflowPunct/>
        <w:topLinePunct w:val="0"/>
        <w:bidi w:val="0"/>
        <w:snapToGrid/>
        <w:spacing w:line="400" w:lineRule="exact"/>
        <w:ind w:firstLine="360"/>
        <w:jc w:val="center"/>
        <w:textAlignment w:val="auto"/>
        <w:rPr>
          <w:rFonts w:hint="eastAsia" w:asciiTheme="minorEastAsia" w:hAnsiTheme="minorEastAsia" w:eastAsiaTheme="minorEastAsia" w:cstheme="minorEastAsia"/>
          <w:b/>
          <w:color w:val="auto"/>
          <w:spacing w:val="20"/>
          <w:sz w:val="28"/>
          <w:szCs w:val="28"/>
        </w:rPr>
      </w:pPr>
    </w:p>
    <w:p>
      <w:pPr>
        <w:keepNext w:val="0"/>
        <w:keepLines w:val="0"/>
        <w:pageBreakBefore w:val="0"/>
        <w:kinsoku/>
        <w:wordWrap/>
        <w:overflowPunct/>
        <w:topLinePunct w:val="0"/>
        <w:bidi w:val="0"/>
        <w:snapToGrid/>
        <w:spacing w:line="400" w:lineRule="exact"/>
        <w:ind w:firstLine="360"/>
        <w:jc w:val="center"/>
        <w:textAlignment w:val="auto"/>
        <w:rPr>
          <w:rFonts w:hint="eastAsia" w:asciiTheme="minorEastAsia" w:hAnsiTheme="minorEastAsia" w:eastAsiaTheme="minorEastAsia" w:cstheme="minorEastAsia"/>
          <w:b/>
          <w:color w:val="auto"/>
          <w:spacing w:val="20"/>
          <w:sz w:val="28"/>
          <w:szCs w:val="28"/>
        </w:rPr>
      </w:pPr>
    </w:p>
    <w:p>
      <w:pPr>
        <w:keepNext w:val="0"/>
        <w:keepLines w:val="0"/>
        <w:pageBreakBefore w:val="0"/>
        <w:kinsoku/>
        <w:wordWrap/>
        <w:overflowPunct/>
        <w:topLinePunct w:val="0"/>
        <w:bidi w:val="0"/>
        <w:snapToGrid/>
        <w:spacing w:line="400" w:lineRule="exact"/>
        <w:ind w:firstLine="360"/>
        <w:jc w:val="center"/>
        <w:textAlignment w:val="auto"/>
        <w:rPr>
          <w:rFonts w:hint="eastAsia" w:asciiTheme="minorEastAsia" w:hAnsiTheme="minorEastAsia" w:eastAsiaTheme="minorEastAsia" w:cstheme="minorEastAsia"/>
          <w:b/>
          <w:color w:val="auto"/>
          <w:spacing w:val="20"/>
          <w:sz w:val="28"/>
          <w:szCs w:val="28"/>
        </w:rPr>
      </w:pPr>
    </w:p>
    <w:p>
      <w:pPr>
        <w:keepNext w:val="0"/>
        <w:keepLines w:val="0"/>
        <w:pageBreakBefore w:val="0"/>
        <w:kinsoku/>
        <w:wordWrap/>
        <w:overflowPunct/>
        <w:topLinePunct w:val="0"/>
        <w:bidi w:val="0"/>
        <w:snapToGrid/>
        <w:spacing w:line="400" w:lineRule="exact"/>
        <w:ind w:firstLine="360"/>
        <w:jc w:val="center"/>
        <w:textAlignment w:val="auto"/>
        <w:rPr>
          <w:rFonts w:hint="eastAsia" w:asciiTheme="minorEastAsia" w:hAnsiTheme="minorEastAsia" w:eastAsiaTheme="minorEastAsia" w:cstheme="minorEastAsia"/>
          <w:b/>
          <w:color w:val="auto"/>
          <w:spacing w:val="20"/>
          <w:sz w:val="28"/>
          <w:szCs w:val="28"/>
        </w:rPr>
      </w:pPr>
    </w:p>
    <w:p>
      <w:pPr>
        <w:keepNext w:val="0"/>
        <w:keepLines w:val="0"/>
        <w:pageBreakBefore w:val="0"/>
        <w:kinsoku/>
        <w:wordWrap/>
        <w:overflowPunct/>
        <w:topLinePunct w:val="0"/>
        <w:bidi w:val="0"/>
        <w:snapToGrid/>
        <w:spacing w:line="400" w:lineRule="exact"/>
        <w:ind w:firstLine="360"/>
        <w:jc w:val="center"/>
        <w:textAlignment w:val="auto"/>
        <w:rPr>
          <w:rFonts w:hint="eastAsia" w:asciiTheme="minorEastAsia" w:hAnsiTheme="minorEastAsia" w:eastAsiaTheme="minorEastAsia" w:cstheme="minorEastAsia"/>
          <w:b/>
          <w:color w:val="auto"/>
          <w:spacing w:val="20"/>
          <w:sz w:val="28"/>
          <w:szCs w:val="28"/>
        </w:rPr>
      </w:pPr>
    </w:p>
    <w:p>
      <w:pPr>
        <w:keepNext w:val="0"/>
        <w:keepLines w:val="0"/>
        <w:pageBreakBefore w:val="0"/>
        <w:kinsoku/>
        <w:wordWrap/>
        <w:overflowPunct/>
        <w:topLinePunct w:val="0"/>
        <w:bidi w:val="0"/>
        <w:snapToGrid/>
        <w:spacing w:line="400" w:lineRule="exact"/>
        <w:textAlignment w:val="auto"/>
        <w:rPr>
          <w:rFonts w:hint="eastAsia" w:asciiTheme="minorEastAsia" w:hAnsiTheme="minorEastAsia" w:eastAsiaTheme="minorEastAsia" w:cstheme="minorEastAsia"/>
          <w:b/>
          <w:color w:val="auto"/>
          <w:spacing w:val="20"/>
          <w:sz w:val="28"/>
          <w:szCs w:val="28"/>
        </w:rPr>
      </w:pPr>
      <w:r>
        <w:rPr>
          <w:rFonts w:hint="eastAsia" w:asciiTheme="minorEastAsia" w:hAnsiTheme="minorEastAsia" w:eastAsiaTheme="minorEastAsia" w:cstheme="minorEastAsia"/>
          <w:b/>
          <w:color w:val="auto"/>
          <w:spacing w:val="20"/>
          <w:sz w:val="28"/>
          <w:szCs w:val="28"/>
        </w:rPr>
        <w:br w:type="page"/>
      </w:r>
    </w:p>
    <w:p>
      <w:pPr>
        <w:keepNext w:val="0"/>
        <w:keepLines w:val="0"/>
        <w:pageBreakBefore w:val="0"/>
        <w:kinsoku/>
        <w:wordWrap/>
        <w:overflowPunct/>
        <w:topLinePunct w:val="0"/>
        <w:bidi w:val="0"/>
        <w:snapToGrid/>
        <w:spacing w:line="400" w:lineRule="exact"/>
        <w:ind w:firstLine="360"/>
        <w:jc w:val="center"/>
        <w:textAlignment w:val="auto"/>
        <w:rPr>
          <w:rFonts w:hint="eastAsia" w:asciiTheme="minorEastAsia" w:hAnsiTheme="minorEastAsia" w:eastAsiaTheme="minorEastAsia" w:cstheme="minorEastAsia"/>
          <w:b/>
          <w:color w:val="auto"/>
          <w:spacing w:val="20"/>
          <w:sz w:val="28"/>
          <w:szCs w:val="28"/>
        </w:rPr>
      </w:pPr>
      <w:r>
        <w:rPr>
          <w:rFonts w:hint="eastAsia" w:asciiTheme="minorEastAsia" w:hAnsiTheme="minorEastAsia" w:eastAsiaTheme="minorEastAsia" w:cstheme="minorEastAsia"/>
          <w:b/>
          <w:color w:val="auto"/>
          <w:spacing w:val="20"/>
          <w:sz w:val="28"/>
          <w:szCs w:val="28"/>
        </w:rPr>
        <w:t>第二部分  合同一般条款</w:t>
      </w:r>
    </w:p>
    <w:p>
      <w:pPr>
        <w:pStyle w:val="45"/>
        <w:shd w:val="clear" w:color="auto" w:fill="auto"/>
        <w:jc w:val="center"/>
        <w:rPr>
          <w:rFonts w:hint="eastAsia" w:ascii="仿宋" w:hAnsi="仿宋" w:eastAsia="仿宋"/>
          <w:b/>
          <w:color w:val="auto"/>
          <w:sz w:val="24"/>
          <w:szCs w:val="24"/>
        </w:rPr>
      </w:pPr>
      <w:r>
        <w:rPr>
          <w:rFonts w:hint="eastAsia" w:ascii="仿宋" w:hAnsi="仿宋" w:eastAsia="仿宋"/>
          <w:b/>
          <w:color w:val="auto"/>
          <w:sz w:val="24"/>
          <w:szCs w:val="24"/>
        </w:rPr>
        <w:t>请采购人提供，拟与中标供应商签订的合同模板。以下合同模板，仅做参考</w:t>
      </w:r>
    </w:p>
    <w:p>
      <w:pPr>
        <w:pStyle w:val="45"/>
        <w:shd w:val="clear" w:color="auto" w:fill="auto"/>
        <w:jc w:val="center"/>
        <w:rPr>
          <w:rFonts w:ascii="仿宋" w:hAnsi="仿宋" w:eastAsia="仿宋"/>
          <w:b/>
          <w:color w:val="auto"/>
          <w:sz w:val="28"/>
          <w:szCs w:val="28"/>
        </w:rPr>
      </w:pPr>
      <w:r>
        <w:rPr>
          <w:rFonts w:hint="eastAsia" w:ascii="仿宋" w:hAnsi="仿宋" w:eastAsia="仿宋"/>
          <w:b/>
          <w:color w:val="auto"/>
          <w:sz w:val="28"/>
          <w:szCs w:val="28"/>
        </w:rPr>
        <w:t>政府采购合同</w:t>
      </w:r>
    </w:p>
    <w:p>
      <w:pPr>
        <w:pStyle w:val="45"/>
        <w:shd w:val="clear" w:color="auto" w:fill="auto"/>
        <w:jc w:val="center"/>
        <w:rPr>
          <w:rFonts w:ascii="仿宋" w:hAnsi="仿宋" w:eastAsia="仿宋"/>
          <w:b/>
          <w:color w:val="auto"/>
          <w:sz w:val="24"/>
          <w:szCs w:val="24"/>
        </w:rPr>
      </w:pPr>
    </w:p>
    <w:p>
      <w:pPr>
        <w:pStyle w:val="45"/>
        <w:shd w:val="clear" w:color="auto" w:fill="auto"/>
        <w:jc w:val="center"/>
        <w:rPr>
          <w:rFonts w:ascii="仿宋" w:hAnsi="仿宋" w:eastAsia="仿宋"/>
          <w:b/>
          <w:color w:val="auto"/>
          <w:sz w:val="24"/>
          <w:szCs w:val="24"/>
        </w:rPr>
      </w:pPr>
    </w:p>
    <w:p>
      <w:pPr>
        <w:pStyle w:val="45"/>
        <w:shd w:val="clear" w:color="auto" w:fill="auto"/>
        <w:jc w:val="center"/>
        <w:rPr>
          <w:rFonts w:hint="eastAsia" w:ascii="仿宋" w:hAnsi="仿宋" w:eastAsia="仿宋"/>
          <w:b/>
          <w:color w:val="auto"/>
          <w:sz w:val="24"/>
          <w:szCs w:val="24"/>
        </w:rPr>
      </w:pPr>
    </w:p>
    <w:p>
      <w:pPr>
        <w:pStyle w:val="45"/>
        <w:shd w:val="clear" w:color="auto" w:fill="auto"/>
        <w:jc w:val="center"/>
        <w:rPr>
          <w:rFonts w:hint="eastAsia" w:ascii="仿宋" w:hAnsi="仿宋" w:eastAsia="仿宋"/>
          <w:b/>
          <w:color w:val="auto"/>
          <w:sz w:val="24"/>
          <w:szCs w:val="24"/>
        </w:rPr>
      </w:pPr>
    </w:p>
    <w:p>
      <w:pPr>
        <w:pStyle w:val="45"/>
        <w:shd w:val="clear" w:color="auto" w:fill="auto"/>
        <w:jc w:val="center"/>
        <w:rPr>
          <w:rFonts w:ascii="仿宋" w:hAnsi="仿宋" w:eastAsia="仿宋"/>
          <w:b/>
          <w:color w:val="auto"/>
          <w:sz w:val="24"/>
          <w:szCs w:val="24"/>
        </w:rPr>
      </w:pPr>
    </w:p>
    <w:p>
      <w:pPr>
        <w:pStyle w:val="45"/>
        <w:shd w:val="clear" w:color="auto" w:fill="auto"/>
        <w:ind w:firstLine="1197" w:firstLineChars="497"/>
        <w:rPr>
          <w:rFonts w:ascii="仿宋" w:hAnsi="仿宋" w:eastAsia="仿宋"/>
          <w:b/>
          <w:color w:val="auto"/>
          <w:sz w:val="24"/>
          <w:szCs w:val="24"/>
        </w:rPr>
      </w:pPr>
      <w:r>
        <w:rPr>
          <w:rFonts w:hint="eastAsia" w:ascii="仿宋" w:hAnsi="仿宋" w:eastAsia="仿宋"/>
          <w:b/>
          <w:color w:val="auto"/>
          <w:sz w:val="24"/>
          <w:szCs w:val="24"/>
        </w:rPr>
        <w:t>项目名称</w:t>
      </w:r>
      <w:r>
        <w:rPr>
          <w:rFonts w:ascii="仿宋" w:hAnsi="仿宋" w:eastAsia="仿宋"/>
          <w:b/>
          <w:color w:val="auto"/>
          <w:sz w:val="24"/>
          <w:szCs w:val="24"/>
        </w:rPr>
        <w:t>:</w:t>
      </w:r>
      <w:r>
        <w:rPr>
          <w:rFonts w:hint="eastAsia" w:ascii="仿宋" w:hAnsi="仿宋" w:eastAsia="仿宋"/>
          <w:b/>
          <w:color w:val="auto"/>
          <w:sz w:val="24"/>
          <w:szCs w:val="24"/>
          <w:u w:val="single"/>
        </w:rPr>
        <w:t xml:space="preserve">                    </w:t>
      </w:r>
    </w:p>
    <w:p>
      <w:pPr>
        <w:pStyle w:val="45"/>
        <w:shd w:val="clear" w:color="auto" w:fill="auto"/>
        <w:spacing w:before="314" w:beforeLines="100"/>
        <w:ind w:firstLine="1197" w:firstLineChars="497"/>
        <w:rPr>
          <w:rFonts w:ascii="仿宋" w:hAnsi="仿宋" w:eastAsia="仿宋"/>
          <w:b/>
          <w:color w:val="auto"/>
          <w:sz w:val="24"/>
          <w:szCs w:val="24"/>
          <w:u w:val="single"/>
        </w:rPr>
      </w:pPr>
      <w:r>
        <w:rPr>
          <w:rFonts w:hint="eastAsia" w:ascii="仿宋" w:hAnsi="仿宋" w:eastAsia="仿宋"/>
          <w:b/>
          <w:color w:val="auto"/>
          <w:sz w:val="24"/>
          <w:szCs w:val="24"/>
        </w:rPr>
        <w:t>项目编号</w:t>
      </w:r>
      <w:r>
        <w:rPr>
          <w:rFonts w:ascii="仿宋" w:hAnsi="仿宋" w:eastAsia="仿宋"/>
          <w:b/>
          <w:color w:val="auto"/>
          <w:sz w:val="24"/>
          <w:szCs w:val="24"/>
        </w:rPr>
        <w:t>:</w:t>
      </w:r>
      <w:r>
        <w:rPr>
          <w:rFonts w:hint="eastAsia" w:ascii="仿宋" w:hAnsi="仿宋" w:eastAsia="仿宋"/>
          <w:b/>
          <w:color w:val="auto"/>
          <w:sz w:val="24"/>
          <w:szCs w:val="24"/>
          <w:u w:val="single"/>
        </w:rPr>
        <w:t xml:space="preserve">                    </w:t>
      </w:r>
    </w:p>
    <w:p>
      <w:pPr>
        <w:pStyle w:val="45"/>
        <w:shd w:val="clear" w:color="auto" w:fill="auto"/>
        <w:spacing w:before="314" w:beforeLines="100"/>
        <w:ind w:firstLine="1197" w:firstLineChars="497"/>
        <w:rPr>
          <w:rFonts w:hint="eastAsia" w:ascii="仿宋" w:hAnsi="仿宋" w:eastAsia="仿宋"/>
          <w:b/>
          <w:color w:val="auto"/>
          <w:sz w:val="24"/>
          <w:szCs w:val="24"/>
          <w:u w:val="single"/>
        </w:rPr>
      </w:pPr>
      <w:r>
        <w:rPr>
          <w:rFonts w:hint="eastAsia" w:ascii="仿宋" w:hAnsi="仿宋" w:eastAsia="仿宋"/>
          <w:b/>
          <w:bCs/>
          <w:color w:val="auto"/>
          <w:kern w:val="0"/>
          <w:sz w:val="24"/>
          <w:szCs w:val="24"/>
        </w:rPr>
        <w:t>合同编号</w:t>
      </w:r>
      <w:r>
        <w:rPr>
          <w:rFonts w:ascii="仿宋" w:hAnsi="仿宋" w:eastAsia="仿宋"/>
          <w:b/>
          <w:bCs/>
          <w:color w:val="auto"/>
          <w:kern w:val="0"/>
          <w:sz w:val="24"/>
          <w:szCs w:val="24"/>
        </w:rPr>
        <w:t>:</w:t>
      </w:r>
      <w:r>
        <w:rPr>
          <w:rFonts w:hint="eastAsia" w:ascii="仿宋" w:hAnsi="仿宋" w:eastAsia="仿宋"/>
          <w:b/>
          <w:color w:val="auto"/>
          <w:sz w:val="24"/>
          <w:szCs w:val="24"/>
          <w:u w:val="single"/>
        </w:rPr>
        <w:t xml:space="preserve">                    </w:t>
      </w:r>
    </w:p>
    <w:p>
      <w:pPr>
        <w:pStyle w:val="45"/>
        <w:shd w:val="clear" w:color="auto" w:fill="auto"/>
        <w:spacing w:before="314" w:beforeLines="100"/>
        <w:jc w:val="center"/>
        <w:rPr>
          <w:rFonts w:hint="eastAsia" w:ascii="仿宋" w:hAnsi="仿宋" w:eastAsia="仿宋"/>
          <w:b/>
          <w:color w:val="auto"/>
          <w:sz w:val="24"/>
          <w:szCs w:val="24"/>
          <w:u w:val="single"/>
        </w:rPr>
      </w:pPr>
    </w:p>
    <w:p>
      <w:pPr>
        <w:pStyle w:val="45"/>
        <w:shd w:val="clear" w:color="auto" w:fill="auto"/>
        <w:spacing w:before="314" w:beforeLines="100"/>
        <w:jc w:val="center"/>
        <w:rPr>
          <w:rFonts w:hint="eastAsia" w:ascii="仿宋" w:hAnsi="仿宋" w:eastAsia="仿宋"/>
          <w:b/>
          <w:color w:val="auto"/>
          <w:sz w:val="24"/>
          <w:szCs w:val="24"/>
          <w:u w:val="single"/>
        </w:rPr>
      </w:pPr>
    </w:p>
    <w:p>
      <w:pPr>
        <w:pStyle w:val="45"/>
        <w:shd w:val="clear" w:color="auto" w:fill="auto"/>
        <w:spacing w:before="314" w:beforeLines="100"/>
        <w:jc w:val="center"/>
        <w:rPr>
          <w:rFonts w:hint="eastAsia" w:ascii="仿宋" w:hAnsi="仿宋" w:eastAsia="仿宋"/>
          <w:b/>
          <w:color w:val="auto"/>
          <w:sz w:val="24"/>
          <w:szCs w:val="24"/>
          <w:u w:val="single"/>
        </w:rPr>
      </w:pPr>
    </w:p>
    <w:p>
      <w:pPr>
        <w:pStyle w:val="45"/>
        <w:shd w:val="clear" w:color="auto" w:fill="auto"/>
        <w:spacing w:before="314" w:beforeLines="100"/>
        <w:jc w:val="center"/>
        <w:rPr>
          <w:rFonts w:hint="eastAsia" w:ascii="仿宋" w:hAnsi="仿宋" w:eastAsia="仿宋"/>
          <w:b/>
          <w:color w:val="auto"/>
          <w:sz w:val="24"/>
          <w:szCs w:val="24"/>
          <w:u w:val="single"/>
        </w:rPr>
      </w:pPr>
    </w:p>
    <w:p>
      <w:pPr>
        <w:pStyle w:val="45"/>
        <w:shd w:val="clear" w:color="auto" w:fill="auto"/>
        <w:ind w:firstLine="1205" w:firstLineChars="500"/>
        <w:rPr>
          <w:rFonts w:hint="eastAsia" w:ascii="仿宋" w:hAnsi="仿宋" w:eastAsia="仿宋"/>
          <w:b/>
          <w:color w:val="auto"/>
          <w:sz w:val="24"/>
          <w:szCs w:val="24"/>
        </w:rPr>
      </w:pPr>
      <w:r>
        <w:rPr>
          <w:rFonts w:hint="eastAsia" w:ascii="仿宋" w:hAnsi="仿宋" w:eastAsia="仿宋"/>
          <w:b/>
          <w:color w:val="auto"/>
          <w:sz w:val="24"/>
          <w:szCs w:val="24"/>
        </w:rPr>
        <w:t>甲</w:t>
      </w:r>
      <w:r>
        <w:rPr>
          <w:rFonts w:ascii="仿宋" w:hAnsi="仿宋" w:eastAsia="仿宋"/>
          <w:b/>
          <w:color w:val="auto"/>
          <w:sz w:val="24"/>
          <w:szCs w:val="24"/>
        </w:rPr>
        <w:t xml:space="preserve">    </w:t>
      </w:r>
      <w:r>
        <w:rPr>
          <w:rFonts w:hint="eastAsia" w:ascii="仿宋" w:hAnsi="仿宋" w:eastAsia="仿宋"/>
          <w:b/>
          <w:color w:val="auto"/>
          <w:sz w:val="24"/>
          <w:szCs w:val="24"/>
        </w:rPr>
        <w:t>方</w:t>
      </w:r>
      <w:r>
        <w:rPr>
          <w:rFonts w:ascii="仿宋" w:hAnsi="仿宋" w:eastAsia="仿宋"/>
          <w:b/>
          <w:color w:val="auto"/>
          <w:sz w:val="24"/>
          <w:szCs w:val="24"/>
        </w:rPr>
        <w:t>:</w:t>
      </w:r>
      <w:r>
        <w:rPr>
          <w:rFonts w:hint="eastAsia" w:ascii="仿宋" w:hAnsi="仿宋" w:eastAsia="仿宋"/>
          <w:b/>
          <w:color w:val="auto"/>
          <w:sz w:val="24"/>
          <w:szCs w:val="24"/>
          <w:u w:val="single"/>
        </w:rPr>
        <w:t xml:space="preserve">                    </w:t>
      </w:r>
    </w:p>
    <w:p>
      <w:pPr>
        <w:pStyle w:val="45"/>
        <w:shd w:val="clear" w:color="auto" w:fill="auto"/>
        <w:spacing w:before="314" w:beforeLines="100"/>
        <w:ind w:firstLine="1205" w:firstLineChars="500"/>
        <w:rPr>
          <w:rFonts w:ascii="仿宋" w:hAnsi="仿宋" w:eastAsia="仿宋"/>
          <w:b/>
          <w:color w:val="auto"/>
          <w:sz w:val="24"/>
          <w:szCs w:val="24"/>
          <w:u w:val="single"/>
        </w:rPr>
      </w:pPr>
      <w:r>
        <w:rPr>
          <w:rFonts w:hint="eastAsia" w:ascii="仿宋" w:hAnsi="仿宋" w:eastAsia="仿宋"/>
          <w:b/>
          <w:color w:val="auto"/>
          <w:sz w:val="24"/>
          <w:szCs w:val="24"/>
        </w:rPr>
        <w:t>乙</w:t>
      </w:r>
      <w:r>
        <w:rPr>
          <w:rFonts w:ascii="仿宋" w:hAnsi="仿宋" w:eastAsia="仿宋"/>
          <w:b/>
          <w:color w:val="auto"/>
          <w:sz w:val="24"/>
          <w:szCs w:val="24"/>
        </w:rPr>
        <w:t xml:space="preserve">    </w:t>
      </w:r>
      <w:r>
        <w:rPr>
          <w:rFonts w:hint="eastAsia" w:ascii="仿宋" w:hAnsi="仿宋" w:eastAsia="仿宋"/>
          <w:b/>
          <w:color w:val="auto"/>
          <w:sz w:val="24"/>
          <w:szCs w:val="24"/>
        </w:rPr>
        <w:t>方</w:t>
      </w:r>
      <w:r>
        <w:rPr>
          <w:rFonts w:ascii="仿宋" w:hAnsi="仿宋" w:eastAsia="仿宋"/>
          <w:b/>
          <w:color w:val="auto"/>
          <w:sz w:val="24"/>
          <w:szCs w:val="24"/>
        </w:rPr>
        <w:t>:</w:t>
      </w:r>
      <w:r>
        <w:rPr>
          <w:rFonts w:hint="eastAsia" w:ascii="仿宋" w:hAnsi="仿宋" w:eastAsia="仿宋"/>
          <w:b/>
          <w:color w:val="auto"/>
          <w:sz w:val="24"/>
          <w:szCs w:val="24"/>
          <w:u w:val="single"/>
        </w:rPr>
        <w:t xml:space="preserve">                    </w:t>
      </w:r>
    </w:p>
    <w:p>
      <w:pPr>
        <w:pStyle w:val="46"/>
        <w:widowControl/>
        <w:shd w:val="clear" w:color="auto" w:fill="auto"/>
        <w:snapToGrid w:val="0"/>
        <w:spacing w:line="440" w:lineRule="exact"/>
        <w:ind w:firstLine="482" w:firstLineChars="200"/>
        <w:rPr>
          <w:rFonts w:ascii="仿宋" w:hAnsi="仿宋" w:eastAsia="仿宋"/>
          <w:color w:val="auto"/>
          <w:kern w:val="0"/>
          <w:sz w:val="24"/>
        </w:rPr>
      </w:pPr>
      <w:r>
        <w:rPr>
          <w:rFonts w:hint="eastAsia" w:ascii="仿宋" w:hAnsi="仿宋" w:eastAsia="仿宋"/>
          <w:b/>
          <w:color w:val="auto"/>
          <w:kern w:val="0"/>
          <w:sz w:val="24"/>
          <w:u w:val="single"/>
        </w:rPr>
        <w:br w:type="page"/>
      </w:r>
      <w:r>
        <w:rPr>
          <w:rFonts w:hint="eastAsia" w:ascii="仿宋" w:hAnsi="仿宋" w:eastAsia="仿宋"/>
          <w:color w:val="auto"/>
          <w:sz w:val="24"/>
          <w:u w:val="single"/>
        </w:rPr>
        <w:t xml:space="preserve">  </w:t>
      </w:r>
      <w:r>
        <w:rPr>
          <w:rFonts w:hint="eastAsia" w:ascii="仿宋" w:hAnsi="仿宋" w:eastAsia="仿宋"/>
          <w:color w:val="auto"/>
          <w:sz w:val="24"/>
          <w:u w:val="single"/>
          <w:lang w:val="en-US" w:eastAsia="zh-CN"/>
        </w:rPr>
        <w:t xml:space="preserve">            </w:t>
      </w:r>
      <w:r>
        <w:rPr>
          <w:rFonts w:hint="eastAsia" w:ascii="仿宋" w:hAnsi="仿宋" w:eastAsia="仿宋"/>
          <w:color w:val="auto"/>
          <w:sz w:val="24"/>
          <w:u w:val="single"/>
        </w:rPr>
        <w:t xml:space="preserve"> </w:t>
      </w:r>
      <w:r>
        <w:rPr>
          <w:rFonts w:hint="eastAsia" w:ascii="仿宋" w:hAnsi="仿宋" w:eastAsia="仿宋"/>
          <w:color w:val="auto"/>
          <w:kern w:val="0"/>
          <w:sz w:val="24"/>
        </w:rPr>
        <w:t>（甲方）所需</w:t>
      </w:r>
      <w:r>
        <w:rPr>
          <w:rFonts w:hint="eastAsia" w:ascii="宋体" w:hAnsi="宋体" w:eastAsia="仿宋"/>
          <w:color w:val="auto"/>
          <w:kern w:val="0"/>
          <w:sz w:val="24"/>
          <w:u w:val="single"/>
        </w:rPr>
        <w:t>         </w:t>
      </w:r>
      <w:r>
        <w:rPr>
          <w:rFonts w:hint="eastAsia" w:ascii="仿宋" w:hAnsi="仿宋" w:eastAsia="仿宋"/>
          <w:color w:val="auto"/>
          <w:kern w:val="0"/>
          <w:sz w:val="24"/>
          <w:u w:val="single"/>
        </w:rPr>
        <w:t xml:space="preserve"> </w:t>
      </w:r>
      <w:r>
        <w:rPr>
          <w:rFonts w:hint="eastAsia" w:ascii="仿宋" w:hAnsi="仿宋" w:eastAsia="仿宋"/>
          <w:color w:val="auto"/>
          <w:kern w:val="0"/>
          <w:sz w:val="24"/>
        </w:rPr>
        <w:t>(项目名称)经以</w:t>
      </w:r>
      <w:r>
        <w:rPr>
          <w:rFonts w:hint="eastAsia" w:ascii="仿宋" w:hAnsi="仿宋" w:eastAsia="仿宋"/>
          <w:color w:val="auto"/>
          <w:kern w:val="0"/>
          <w:sz w:val="24"/>
          <w:u w:val="single"/>
        </w:rPr>
        <w:t xml:space="preserve">              （项目编号）    </w:t>
      </w:r>
      <w:r>
        <w:rPr>
          <w:rFonts w:hint="eastAsia" w:ascii="仿宋" w:hAnsi="仿宋" w:eastAsia="仿宋"/>
          <w:color w:val="auto"/>
          <w:kern w:val="0"/>
          <w:sz w:val="24"/>
        </w:rPr>
        <w:t>采购文件在国内以公开招标方式进行采购。经评标委员会确定</w:t>
      </w:r>
      <w:r>
        <w:rPr>
          <w:rFonts w:hint="eastAsia" w:ascii="宋体" w:hAnsi="宋体" w:eastAsia="仿宋"/>
          <w:color w:val="auto"/>
          <w:kern w:val="0"/>
          <w:sz w:val="24"/>
          <w:u w:val="single"/>
        </w:rPr>
        <w:t>        </w:t>
      </w:r>
      <w:r>
        <w:rPr>
          <w:rFonts w:hint="eastAsia" w:ascii="仿宋" w:hAnsi="仿宋" w:eastAsia="仿宋"/>
          <w:color w:val="auto"/>
          <w:kern w:val="0"/>
          <w:sz w:val="24"/>
          <w:u w:val="single"/>
        </w:rPr>
        <w:t xml:space="preserve"> </w:t>
      </w:r>
      <w:r>
        <w:rPr>
          <w:rFonts w:hint="eastAsia" w:ascii="仿宋" w:hAnsi="仿宋" w:eastAsia="仿宋"/>
          <w:color w:val="auto"/>
          <w:kern w:val="0"/>
          <w:sz w:val="24"/>
        </w:rPr>
        <w:t>（乙方）为中标人。甲、乙双方根据《中华人民共和国政府采购法》、《中华人民共和国民法典》等相关法律以及本项目招标文件的规定，经平等协商</w:t>
      </w:r>
      <w:r>
        <w:rPr>
          <w:rFonts w:hint="eastAsia" w:ascii="仿宋" w:hAnsi="仿宋" w:eastAsia="仿宋"/>
          <w:color w:val="auto"/>
          <w:sz w:val="24"/>
        </w:rPr>
        <w:t>达成一致意见，特订立本合同。</w:t>
      </w:r>
      <w:r>
        <w:rPr>
          <w:rFonts w:hint="eastAsia" w:ascii="仿宋" w:hAnsi="仿宋" w:eastAsia="仿宋"/>
          <w:color w:val="auto"/>
          <w:kern w:val="0"/>
          <w:sz w:val="24"/>
        </w:rPr>
        <w:t>合同内容如下：</w:t>
      </w:r>
    </w:p>
    <w:p>
      <w:pPr>
        <w:pStyle w:val="46"/>
        <w:widowControl/>
        <w:shd w:val="clear" w:color="auto" w:fill="auto"/>
        <w:snapToGrid w:val="0"/>
        <w:spacing w:line="440" w:lineRule="exact"/>
        <w:ind w:firstLine="482" w:firstLineChars="200"/>
        <w:rPr>
          <w:rFonts w:hint="eastAsia" w:ascii="仿宋" w:hAnsi="仿宋" w:eastAsia="仿宋"/>
          <w:color w:val="auto"/>
          <w:kern w:val="0"/>
          <w:sz w:val="24"/>
        </w:rPr>
      </w:pPr>
      <w:r>
        <w:rPr>
          <w:rFonts w:hint="eastAsia" w:ascii="仿宋" w:hAnsi="仿宋" w:eastAsia="仿宋"/>
          <w:b/>
          <w:bCs/>
          <w:color w:val="auto"/>
          <w:sz w:val="24"/>
        </w:rPr>
        <w:t>一、合同文件</w:t>
      </w:r>
    </w:p>
    <w:p>
      <w:pPr>
        <w:pStyle w:val="46"/>
        <w:widowControl/>
        <w:shd w:val="clear" w:color="auto" w:fill="auto"/>
        <w:snapToGrid w:val="0"/>
        <w:spacing w:line="440" w:lineRule="exact"/>
        <w:ind w:firstLine="480" w:firstLineChars="200"/>
        <w:rPr>
          <w:rFonts w:hint="eastAsia" w:ascii="仿宋" w:hAnsi="仿宋" w:eastAsia="仿宋"/>
          <w:color w:val="auto"/>
          <w:kern w:val="0"/>
          <w:sz w:val="24"/>
        </w:rPr>
      </w:pPr>
      <w:r>
        <w:rPr>
          <w:rFonts w:hint="eastAsia" w:ascii="仿宋" w:hAnsi="仿宋" w:eastAsia="仿宋"/>
          <w:color w:val="auto"/>
          <w:sz w:val="24"/>
        </w:rPr>
        <w:t>本合同所附下列文件是构成本合同不可分割的部分：</w:t>
      </w:r>
    </w:p>
    <w:p>
      <w:pPr>
        <w:pStyle w:val="46"/>
        <w:widowControl/>
        <w:shd w:val="clear" w:color="auto" w:fill="auto"/>
        <w:snapToGrid w:val="0"/>
        <w:spacing w:line="440" w:lineRule="exact"/>
        <w:ind w:firstLine="480" w:firstLineChars="200"/>
        <w:rPr>
          <w:rFonts w:hint="eastAsia" w:ascii="仿宋" w:hAnsi="仿宋" w:eastAsia="仿宋"/>
          <w:color w:val="auto"/>
          <w:kern w:val="0"/>
          <w:sz w:val="24"/>
        </w:rPr>
      </w:pPr>
      <w:r>
        <w:rPr>
          <w:rFonts w:hint="eastAsia" w:ascii="仿宋" w:hAnsi="仿宋" w:eastAsia="仿宋"/>
          <w:color w:val="auto"/>
          <w:sz w:val="24"/>
        </w:rPr>
        <w:t>（一）本项目采购文件</w:t>
      </w:r>
    </w:p>
    <w:p>
      <w:pPr>
        <w:pStyle w:val="46"/>
        <w:widowControl/>
        <w:shd w:val="clear" w:color="auto" w:fill="auto"/>
        <w:snapToGrid w:val="0"/>
        <w:spacing w:line="440" w:lineRule="exact"/>
        <w:ind w:firstLine="480" w:firstLineChars="200"/>
        <w:rPr>
          <w:rFonts w:hint="eastAsia" w:ascii="仿宋" w:hAnsi="仿宋" w:eastAsia="仿宋"/>
          <w:color w:val="auto"/>
          <w:kern w:val="0"/>
          <w:sz w:val="24"/>
        </w:rPr>
      </w:pPr>
      <w:r>
        <w:rPr>
          <w:rFonts w:hint="eastAsia" w:ascii="仿宋" w:hAnsi="仿宋" w:eastAsia="仿宋"/>
          <w:color w:val="auto"/>
          <w:sz w:val="24"/>
        </w:rPr>
        <w:t>（二）中标人投标文件</w:t>
      </w:r>
    </w:p>
    <w:p>
      <w:pPr>
        <w:pStyle w:val="46"/>
        <w:widowControl/>
        <w:shd w:val="clear" w:color="auto" w:fill="auto"/>
        <w:snapToGrid w:val="0"/>
        <w:spacing w:line="440" w:lineRule="exact"/>
        <w:ind w:firstLine="480" w:firstLineChars="200"/>
        <w:rPr>
          <w:rFonts w:hint="eastAsia" w:ascii="仿宋" w:hAnsi="仿宋" w:eastAsia="仿宋"/>
          <w:color w:val="auto"/>
          <w:kern w:val="0"/>
          <w:sz w:val="24"/>
        </w:rPr>
      </w:pPr>
      <w:r>
        <w:rPr>
          <w:rFonts w:hint="eastAsia" w:ascii="仿宋" w:hAnsi="仿宋" w:eastAsia="仿宋"/>
          <w:color w:val="auto"/>
          <w:sz w:val="24"/>
        </w:rPr>
        <w:t>（三）合同格式、合同条款</w:t>
      </w:r>
    </w:p>
    <w:p>
      <w:pPr>
        <w:pStyle w:val="46"/>
        <w:widowControl/>
        <w:shd w:val="clear" w:color="auto" w:fill="auto"/>
        <w:snapToGrid w:val="0"/>
        <w:spacing w:line="440" w:lineRule="exact"/>
        <w:ind w:firstLine="480" w:firstLineChars="200"/>
        <w:rPr>
          <w:rFonts w:hint="eastAsia" w:ascii="仿宋" w:hAnsi="仿宋" w:eastAsia="仿宋"/>
          <w:color w:val="auto"/>
          <w:kern w:val="0"/>
          <w:sz w:val="24"/>
        </w:rPr>
      </w:pPr>
      <w:r>
        <w:rPr>
          <w:rFonts w:hint="eastAsia" w:ascii="仿宋" w:hAnsi="仿宋" w:eastAsia="仿宋"/>
          <w:color w:val="auto"/>
          <w:sz w:val="24"/>
        </w:rPr>
        <w:t>（四）中标人在评标过程中做出的有关澄清、说明或者补正文件</w:t>
      </w:r>
    </w:p>
    <w:p>
      <w:pPr>
        <w:pStyle w:val="46"/>
        <w:widowControl/>
        <w:shd w:val="clear" w:color="auto" w:fill="auto"/>
        <w:snapToGrid w:val="0"/>
        <w:spacing w:line="440" w:lineRule="exact"/>
        <w:ind w:firstLine="480" w:firstLineChars="200"/>
        <w:rPr>
          <w:rFonts w:hint="eastAsia" w:ascii="仿宋" w:hAnsi="仿宋" w:eastAsia="仿宋"/>
          <w:color w:val="auto"/>
          <w:kern w:val="0"/>
          <w:sz w:val="24"/>
        </w:rPr>
      </w:pPr>
      <w:r>
        <w:rPr>
          <w:rFonts w:hint="eastAsia" w:ascii="仿宋" w:hAnsi="仿宋" w:eastAsia="仿宋"/>
          <w:color w:val="auto"/>
          <w:sz w:val="24"/>
        </w:rPr>
        <w:t>（五）中标通知书</w:t>
      </w:r>
    </w:p>
    <w:p>
      <w:pPr>
        <w:pStyle w:val="46"/>
        <w:widowControl/>
        <w:shd w:val="clear" w:color="auto" w:fill="auto"/>
        <w:snapToGrid w:val="0"/>
        <w:spacing w:line="440" w:lineRule="exact"/>
        <w:ind w:firstLine="480" w:firstLineChars="200"/>
        <w:rPr>
          <w:rFonts w:hint="eastAsia" w:ascii="仿宋" w:hAnsi="仿宋" w:eastAsia="仿宋"/>
          <w:color w:val="auto"/>
          <w:kern w:val="0"/>
          <w:sz w:val="24"/>
        </w:rPr>
      </w:pPr>
      <w:r>
        <w:rPr>
          <w:rFonts w:hint="eastAsia" w:ascii="仿宋" w:hAnsi="仿宋" w:eastAsia="仿宋"/>
          <w:color w:val="auto"/>
          <w:sz w:val="24"/>
        </w:rPr>
        <w:t xml:space="preserve">（六）本合同附件                    </w:t>
      </w:r>
    </w:p>
    <w:p>
      <w:pPr>
        <w:pStyle w:val="46"/>
        <w:widowControl/>
        <w:shd w:val="clear" w:color="auto" w:fill="auto"/>
        <w:snapToGrid w:val="0"/>
        <w:spacing w:line="440" w:lineRule="exact"/>
        <w:ind w:firstLine="482" w:firstLineChars="200"/>
        <w:rPr>
          <w:rFonts w:hint="eastAsia" w:ascii="仿宋" w:hAnsi="仿宋" w:eastAsia="仿宋"/>
          <w:color w:val="auto"/>
          <w:kern w:val="0"/>
          <w:sz w:val="24"/>
        </w:rPr>
      </w:pPr>
      <w:r>
        <w:rPr>
          <w:rFonts w:hint="eastAsia" w:ascii="仿宋" w:hAnsi="仿宋" w:eastAsia="仿宋"/>
          <w:b/>
          <w:bCs/>
          <w:color w:val="auto"/>
          <w:sz w:val="24"/>
        </w:rPr>
        <w:t>二、合同的范围和条件</w:t>
      </w:r>
    </w:p>
    <w:p>
      <w:pPr>
        <w:pStyle w:val="46"/>
        <w:widowControl/>
        <w:shd w:val="clear" w:color="auto" w:fill="auto"/>
        <w:snapToGrid w:val="0"/>
        <w:spacing w:line="440" w:lineRule="exact"/>
        <w:ind w:firstLine="480" w:firstLineChars="200"/>
        <w:rPr>
          <w:rFonts w:hint="eastAsia" w:ascii="仿宋" w:hAnsi="仿宋" w:eastAsia="仿宋"/>
          <w:color w:val="auto"/>
          <w:kern w:val="0"/>
          <w:sz w:val="24"/>
        </w:rPr>
      </w:pPr>
      <w:r>
        <w:rPr>
          <w:rFonts w:hint="eastAsia" w:ascii="仿宋" w:hAnsi="仿宋" w:eastAsia="仿宋"/>
          <w:color w:val="auto"/>
          <w:sz w:val="24"/>
        </w:rPr>
        <w:t>本合同的范围和条件与上述合同文件的规定相一致。</w:t>
      </w:r>
    </w:p>
    <w:p>
      <w:pPr>
        <w:pStyle w:val="46"/>
        <w:widowControl/>
        <w:shd w:val="clear" w:color="auto" w:fill="auto"/>
        <w:snapToGrid w:val="0"/>
        <w:spacing w:line="440" w:lineRule="exact"/>
        <w:ind w:firstLine="482" w:firstLineChars="200"/>
        <w:rPr>
          <w:rFonts w:hint="eastAsia" w:ascii="仿宋" w:hAnsi="仿宋" w:eastAsia="仿宋"/>
          <w:b/>
          <w:bCs/>
          <w:color w:val="auto"/>
          <w:sz w:val="24"/>
        </w:rPr>
      </w:pPr>
      <w:r>
        <w:rPr>
          <w:rFonts w:hint="eastAsia" w:ascii="仿宋" w:hAnsi="仿宋" w:eastAsia="仿宋"/>
          <w:b/>
          <w:bCs/>
          <w:color w:val="auto"/>
          <w:sz w:val="24"/>
        </w:rPr>
        <w:t>三、合同金额及供货范围</w:t>
      </w:r>
    </w:p>
    <w:p>
      <w:pPr>
        <w:pStyle w:val="46"/>
        <w:widowControl/>
        <w:shd w:val="clear" w:color="auto" w:fill="auto"/>
        <w:snapToGrid w:val="0"/>
        <w:spacing w:line="440" w:lineRule="exact"/>
        <w:ind w:firstLine="480" w:firstLineChars="200"/>
        <w:rPr>
          <w:rFonts w:hint="eastAsia" w:ascii="仿宋" w:hAnsi="仿宋" w:eastAsia="仿宋"/>
          <w:color w:val="auto"/>
          <w:sz w:val="24"/>
        </w:rPr>
      </w:pPr>
      <w:r>
        <w:rPr>
          <w:rFonts w:hint="eastAsia" w:ascii="仿宋" w:hAnsi="仿宋" w:eastAsia="仿宋"/>
          <w:color w:val="auto"/>
          <w:sz w:val="24"/>
        </w:rPr>
        <w:t>根据上述合同文件要求，合同金额为人民币</w:t>
      </w:r>
      <w:r>
        <w:rPr>
          <w:rFonts w:hint="eastAsia" w:ascii="仿宋" w:hAnsi="仿宋" w:eastAsia="仿宋"/>
          <w:color w:val="auto"/>
          <w:sz w:val="24"/>
          <w:u w:val="single"/>
        </w:rPr>
        <w:t xml:space="preserve">         </w:t>
      </w:r>
      <w:r>
        <w:rPr>
          <w:rFonts w:hint="eastAsia" w:ascii="仿宋" w:hAnsi="仿宋" w:eastAsia="仿宋"/>
          <w:color w:val="auto"/>
          <w:sz w:val="24"/>
        </w:rPr>
        <w:t>元，大写：</w:t>
      </w:r>
      <w:r>
        <w:rPr>
          <w:rFonts w:hint="eastAsia" w:ascii="仿宋" w:hAnsi="仿宋" w:eastAsia="仿宋"/>
          <w:color w:val="auto"/>
          <w:sz w:val="24"/>
          <w:u w:val="single"/>
        </w:rPr>
        <w:t xml:space="preserve">         </w:t>
      </w:r>
      <w:r>
        <w:rPr>
          <w:rFonts w:hint="eastAsia" w:ascii="仿宋" w:hAnsi="仿宋" w:eastAsia="仿宋"/>
          <w:color w:val="auto"/>
          <w:sz w:val="24"/>
        </w:rPr>
        <w:t>。（分项价格也可详见合同货物清单、增配清单或耗材明细，同投标文件中报价明细表）见附件。</w:t>
      </w:r>
    </w:p>
    <w:p>
      <w:pPr>
        <w:pStyle w:val="46"/>
        <w:widowControl/>
        <w:shd w:val="clear" w:color="auto" w:fill="auto"/>
        <w:snapToGrid w:val="0"/>
        <w:spacing w:line="440" w:lineRule="exact"/>
        <w:ind w:firstLine="482" w:firstLineChars="200"/>
        <w:rPr>
          <w:rFonts w:hint="eastAsia" w:ascii="仿宋" w:hAnsi="仿宋" w:eastAsia="仿宋"/>
          <w:b/>
          <w:bCs/>
          <w:color w:val="auto"/>
          <w:sz w:val="24"/>
        </w:rPr>
      </w:pPr>
    </w:p>
    <w:tbl>
      <w:tblPr>
        <w:tblStyle w:val="20"/>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211"/>
        <w:gridCol w:w="1275"/>
        <w:gridCol w:w="709"/>
        <w:gridCol w:w="709"/>
        <w:gridCol w:w="850"/>
        <w:gridCol w:w="709"/>
        <w:gridCol w:w="1559"/>
        <w:gridCol w:w="1276"/>
        <w:gridCol w:w="851"/>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7" w:type="dxa"/>
            <w:noWrap w:val="0"/>
            <w:vAlign w:val="top"/>
          </w:tcPr>
          <w:p>
            <w:pPr>
              <w:pStyle w:val="46"/>
              <w:widowControl/>
              <w:shd w:val="clear" w:color="auto" w:fill="auto"/>
              <w:snapToGrid w:val="0"/>
              <w:spacing w:line="440" w:lineRule="exact"/>
              <w:rPr>
                <w:rFonts w:hint="eastAsia" w:ascii="仿宋" w:hAnsi="仿宋" w:eastAsia="仿宋"/>
                <w:b/>
                <w:bCs/>
                <w:color w:val="auto"/>
                <w:sz w:val="24"/>
              </w:rPr>
            </w:pPr>
            <w:r>
              <w:rPr>
                <w:rFonts w:hint="eastAsia" w:ascii="仿宋" w:hAnsi="仿宋" w:eastAsia="仿宋"/>
                <w:b/>
                <w:bCs/>
                <w:color w:val="auto"/>
                <w:sz w:val="24"/>
              </w:rPr>
              <w:t>序号</w:t>
            </w:r>
          </w:p>
        </w:tc>
        <w:tc>
          <w:tcPr>
            <w:tcW w:w="1211" w:type="dxa"/>
            <w:noWrap w:val="0"/>
            <w:vAlign w:val="top"/>
          </w:tcPr>
          <w:p>
            <w:pPr>
              <w:pStyle w:val="46"/>
              <w:widowControl/>
              <w:shd w:val="clear" w:color="auto" w:fill="auto"/>
              <w:snapToGrid w:val="0"/>
              <w:spacing w:line="440" w:lineRule="exact"/>
              <w:rPr>
                <w:rFonts w:hint="eastAsia" w:ascii="仿宋" w:hAnsi="仿宋" w:eastAsia="仿宋"/>
                <w:b/>
                <w:bCs/>
                <w:color w:val="auto"/>
                <w:sz w:val="24"/>
              </w:rPr>
            </w:pPr>
            <w:r>
              <w:rPr>
                <w:rFonts w:hint="eastAsia" w:ascii="仿宋" w:hAnsi="仿宋" w:eastAsia="仿宋"/>
                <w:b/>
                <w:bCs/>
                <w:color w:val="auto"/>
                <w:sz w:val="24"/>
              </w:rPr>
              <w:t>货物名称</w:t>
            </w:r>
          </w:p>
        </w:tc>
        <w:tc>
          <w:tcPr>
            <w:tcW w:w="1275" w:type="dxa"/>
            <w:noWrap w:val="0"/>
            <w:vAlign w:val="top"/>
          </w:tcPr>
          <w:p>
            <w:pPr>
              <w:pStyle w:val="46"/>
              <w:widowControl/>
              <w:shd w:val="clear" w:color="auto" w:fill="auto"/>
              <w:snapToGrid w:val="0"/>
              <w:spacing w:line="440" w:lineRule="exact"/>
              <w:rPr>
                <w:rFonts w:hint="eastAsia" w:ascii="仿宋" w:hAnsi="仿宋" w:eastAsia="仿宋"/>
                <w:b/>
                <w:bCs/>
                <w:color w:val="auto"/>
                <w:sz w:val="24"/>
              </w:rPr>
            </w:pPr>
            <w:r>
              <w:rPr>
                <w:rFonts w:hint="eastAsia" w:ascii="仿宋" w:hAnsi="仿宋" w:eastAsia="仿宋"/>
                <w:b/>
                <w:bCs/>
                <w:color w:val="auto"/>
                <w:sz w:val="24"/>
              </w:rPr>
              <w:t>规格型号</w:t>
            </w:r>
          </w:p>
        </w:tc>
        <w:tc>
          <w:tcPr>
            <w:tcW w:w="709" w:type="dxa"/>
            <w:noWrap w:val="0"/>
            <w:vAlign w:val="top"/>
          </w:tcPr>
          <w:p>
            <w:pPr>
              <w:pStyle w:val="46"/>
              <w:widowControl/>
              <w:shd w:val="clear" w:color="auto" w:fill="auto"/>
              <w:snapToGrid w:val="0"/>
              <w:spacing w:line="440" w:lineRule="exact"/>
              <w:rPr>
                <w:rFonts w:hint="eastAsia" w:ascii="仿宋" w:hAnsi="仿宋" w:eastAsia="仿宋"/>
                <w:b/>
                <w:bCs/>
                <w:color w:val="auto"/>
                <w:sz w:val="24"/>
              </w:rPr>
            </w:pPr>
            <w:r>
              <w:rPr>
                <w:rFonts w:hint="eastAsia" w:ascii="仿宋" w:hAnsi="仿宋" w:eastAsia="仿宋"/>
                <w:b/>
                <w:bCs/>
                <w:color w:val="auto"/>
                <w:sz w:val="24"/>
              </w:rPr>
              <w:t>数量</w:t>
            </w:r>
          </w:p>
        </w:tc>
        <w:tc>
          <w:tcPr>
            <w:tcW w:w="709" w:type="dxa"/>
            <w:noWrap w:val="0"/>
            <w:vAlign w:val="top"/>
          </w:tcPr>
          <w:p>
            <w:pPr>
              <w:pStyle w:val="46"/>
              <w:widowControl/>
              <w:shd w:val="clear" w:color="auto" w:fill="auto"/>
              <w:snapToGrid w:val="0"/>
              <w:spacing w:line="440" w:lineRule="exact"/>
              <w:rPr>
                <w:rFonts w:hint="eastAsia" w:ascii="仿宋" w:hAnsi="仿宋" w:eastAsia="仿宋"/>
                <w:b/>
                <w:bCs/>
                <w:color w:val="auto"/>
                <w:sz w:val="24"/>
              </w:rPr>
            </w:pPr>
            <w:r>
              <w:rPr>
                <w:rFonts w:hint="eastAsia" w:ascii="仿宋" w:hAnsi="仿宋" w:eastAsia="仿宋"/>
                <w:b/>
                <w:bCs/>
                <w:color w:val="auto"/>
                <w:sz w:val="24"/>
              </w:rPr>
              <w:t>单位</w:t>
            </w:r>
          </w:p>
        </w:tc>
        <w:tc>
          <w:tcPr>
            <w:tcW w:w="850" w:type="dxa"/>
            <w:noWrap w:val="0"/>
            <w:vAlign w:val="top"/>
          </w:tcPr>
          <w:p>
            <w:pPr>
              <w:pStyle w:val="46"/>
              <w:widowControl/>
              <w:shd w:val="clear" w:color="auto" w:fill="auto"/>
              <w:snapToGrid w:val="0"/>
              <w:spacing w:line="440" w:lineRule="exact"/>
              <w:rPr>
                <w:rFonts w:hint="eastAsia" w:ascii="仿宋" w:hAnsi="仿宋" w:eastAsia="仿宋"/>
                <w:b/>
                <w:bCs/>
                <w:color w:val="auto"/>
                <w:sz w:val="24"/>
              </w:rPr>
            </w:pPr>
            <w:r>
              <w:rPr>
                <w:rFonts w:hint="eastAsia" w:ascii="仿宋" w:hAnsi="仿宋" w:eastAsia="仿宋"/>
                <w:b/>
                <w:bCs/>
                <w:color w:val="auto"/>
                <w:sz w:val="24"/>
              </w:rPr>
              <w:t>单价</w:t>
            </w:r>
          </w:p>
        </w:tc>
        <w:tc>
          <w:tcPr>
            <w:tcW w:w="709" w:type="dxa"/>
            <w:noWrap w:val="0"/>
            <w:vAlign w:val="top"/>
          </w:tcPr>
          <w:p>
            <w:pPr>
              <w:pStyle w:val="46"/>
              <w:widowControl/>
              <w:shd w:val="clear" w:color="auto" w:fill="auto"/>
              <w:snapToGrid w:val="0"/>
              <w:spacing w:line="440" w:lineRule="exact"/>
              <w:rPr>
                <w:rFonts w:hint="eastAsia" w:ascii="仿宋" w:hAnsi="仿宋" w:eastAsia="仿宋"/>
                <w:b/>
                <w:bCs/>
                <w:color w:val="auto"/>
                <w:sz w:val="24"/>
              </w:rPr>
            </w:pPr>
            <w:r>
              <w:rPr>
                <w:rFonts w:hint="eastAsia" w:ascii="仿宋" w:hAnsi="仿宋" w:eastAsia="仿宋"/>
                <w:b/>
                <w:bCs/>
                <w:color w:val="auto"/>
                <w:sz w:val="24"/>
              </w:rPr>
              <w:t>合价</w:t>
            </w:r>
          </w:p>
        </w:tc>
        <w:tc>
          <w:tcPr>
            <w:tcW w:w="1559" w:type="dxa"/>
            <w:noWrap w:val="0"/>
            <w:vAlign w:val="top"/>
          </w:tcPr>
          <w:p>
            <w:pPr>
              <w:pStyle w:val="46"/>
              <w:widowControl/>
              <w:shd w:val="clear" w:color="auto" w:fill="auto"/>
              <w:snapToGrid w:val="0"/>
              <w:spacing w:line="440" w:lineRule="exact"/>
              <w:rPr>
                <w:rFonts w:hint="eastAsia" w:ascii="仿宋" w:hAnsi="仿宋" w:eastAsia="仿宋"/>
                <w:b/>
                <w:bCs/>
                <w:color w:val="auto"/>
                <w:sz w:val="24"/>
              </w:rPr>
            </w:pPr>
            <w:r>
              <w:rPr>
                <w:rFonts w:hint="eastAsia" w:ascii="仿宋" w:hAnsi="仿宋" w:eastAsia="仿宋"/>
                <w:b/>
                <w:bCs/>
                <w:color w:val="auto"/>
                <w:sz w:val="24"/>
              </w:rPr>
              <w:t>制造商名称</w:t>
            </w:r>
          </w:p>
        </w:tc>
        <w:tc>
          <w:tcPr>
            <w:tcW w:w="1276" w:type="dxa"/>
            <w:noWrap w:val="0"/>
            <w:vAlign w:val="top"/>
          </w:tcPr>
          <w:p>
            <w:pPr>
              <w:pStyle w:val="46"/>
              <w:widowControl/>
              <w:shd w:val="clear" w:color="auto" w:fill="auto"/>
              <w:snapToGrid w:val="0"/>
              <w:spacing w:line="440" w:lineRule="exact"/>
              <w:rPr>
                <w:rFonts w:hint="eastAsia" w:ascii="仿宋" w:hAnsi="仿宋" w:eastAsia="仿宋"/>
                <w:b/>
                <w:bCs/>
                <w:color w:val="auto"/>
                <w:sz w:val="24"/>
              </w:rPr>
            </w:pPr>
            <w:r>
              <w:rPr>
                <w:rFonts w:hint="eastAsia" w:ascii="仿宋" w:hAnsi="仿宋" w:eastAsia="仿宋"/>
                <w:b/>
                <w:bCs/>
                <w:color w:val="auto"/>
                <w:sz w:val="24"/>
              </w:rPr>
              <w:t>生产地址</w:t>
            </w:r>
          </w:p>
        </w:tc>
        <w:tc>
          <w:tcPr>
            <w:tcW w:w="851" w:type="dxa"/>
            <w:noWrap w:val="0"/>
            <w:vAlign w:val="top"/>
          </w:tcPr>
          <w:p>
            <w:pPr>
              <w:pStyle w:val="46"/>
              <w:widowControl/>
              <w:shd w:val="clear" w:color="auto" w:fill="auto"/>
              <w:snapToGrid w:val="0"/>
              <w:spacing w:line="440" w:lineRule="exact"/>
              <w:rPr>
                <w:rFonts w:hint="eastAsia" w:ascii="仿宋" w:hAnsi="仿宋" w:eastAsia="仿宋"/>
                <w:b/>
                <w:bCs/>
                <w:color w:val="auto"/>
                <w:sz w:val="24"/>
              </w:rPr>
            </w:pPr>
            <w:r>
              <w:rPr>
                <w:rFonts w:hint="eastAsia" w:ascii="仿宋" w:hAnsi="仿宋" w:eastAsia="仿宋"/>
                <w:b/>
                <w:bCs/>
                <w:color w:val="auto"/>
                <w:sz w:val="24"/>
              </w:rPr>
              <w:t>品牌</w:t>
            </w:r>
          </w:p>
        </w:tc>
        <w:tc>
          <w:tcPr>
            <w:tcW w:w="567" w:type="dxa"/>
            <w:noWrap w:val="0"/>
            <w:vAlign w:val="top"/>
          </w:tcPr>
          <w:p>
            <w:pPr>
              <w:pStyle w:val="46"/>
              <w:widowControl/>
              <w:shd w:val="clear" w:color="auto" w:fill="auto"/>
              <w:snapToGrid w:val="0"/>
              <w:spacing w:line="440" w:lineRule="exact"/>
              <w:rPr>
                <w:rFonts w:hint="eastAsia" w:ascii="仿宋" w:hAnsi="仿宋" w:eastAsia="仿宋"/>
                <w:b/>
                <w:bCs/>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4" w:hRule="atLeast"/>
        </w:trPr>
        <w:tc>
          <w:tcPr>
            <w:tcW w:w="457" w:type="dxa"/>
            <w:noWrap w:val="0"/>
            <w:vAlign w:val="top"/>
          </w:tcPr>
          <w:p>
            <w:pPr>
              <w:pStyle w:val="46"/>
              <w:widowControl/>
              <w:shd w:val="clear" w:color="auto" w:fill="auto"/>
              <w:snapToGrid w:val="0"/>
              <w:spacing w:line="440" w:lineRule="exact"/>
              <w:rPr>
                <w:rFonts w:hint="eastAsia" w:ascii="仿宋" w:hAnsi="仿宋" w:eastAsia="仿宋"/>
                <w:b/>
                <w:bCs/>
                <w:color w:val="auto"/>
                <w:sz w:val="24"/>
              </w:rPr>
            </w:pPr>
          </w:p>
        </w:tc>
        <w:tc>
          <w:tcPr>
            <w:tcW w:w="1211" w:type="dxa"/>
            <w:noWrap w:val="0"/>
            <w:vAlign w:val="top"/>
          </w:tcPr>
          <w:p>
            <w:pPr>
              <w:pStyle w:val="46"/>
              <w:widowControl/>
              <w:shd w:val="clear" w:color="auto" w:fill="auto"/>
              <w:snapToGrid w:val="0"/>
              <w:spacing w:line="440" w:lineRule="exact"/>
              <w:rPr>
                <w:rFonts w:hint="eastAsia" w:ascii="仿宋" w:hAnsi="仿宋" w:eastAsia="仿宋"/>
                <w:b/>
                <w:bCs/>
                <w:color w:val="auto"/>
                <w:sz w:val="24"/>
              </w:rPr>
            </w:pPr>
          </w:p>
        </w:tc>
        <w:tc>
          <w:tcPr>
            <w:tcW w:w="1275" w:type="dxa"/>
            <w:noWrap w:val="0"/>
            <w:vAlign w:val="top"/>
          </w:tcPr>
          <w:p>
            <w:pPr>
              <w:pStyle w:val="46"/>
              <w:widowControl/>
              <w:shd w:val="clear" w:color="auto" w:fill="auto"/>
              <w:snapToGrid w:val="0"/>
              <w:spacing w:line="440" w:lineRule="exact"/>
              <w:rPr>
                <w:rFonts w:hint="eastAsia" w:ascii="仿宋" w:hAnsi="仿宋" w:eastAsia="仿宋"/>
                <w:b/>
                <w:bCs/>
                <w:color w:val="auto"/>
                <w:sz w:val="24"/>
              </w:rPr>
            </w:pPr>
          </w:p>
        </w:tc>
        <w:tc>
          <w:tcPr>
            <w:tcW w:w="709" w:type="dxa"/>
            <w:noWrap w:val="0"/>
            <w:vAlign w:val="top"/>
          </w:tcPr>
          <w:p>
            <w:pPr>
              <w:pStyle w:val="46"/>
              <w:widowControl/>
              <w:shd w:val="clear" w:color="auto" w:fill="auto"/>
              <w:snapToGrid w:val="0"/>
              <w:spacing w:line="440" w:lineRule="exact"/>
              <w:rPr>
                <w:rFonts w:hint="eastAsia" w:ascii="仿宋" w:hAnsi="仿宋" w:eastAsia="仿宋"/>
                <w:b/>
                <w:bCs/>
                <w:color w:val="auto"/>
                <w:sz w:val="24"/>
              </w:rPr>
            </w:pPr>
          </w:p>
        </w:tc>
        <w:tc>
          <w:tcPr>
            <w:tcW w:w="709" w:type="dxa"/>
            <w:noWrap w:val="0"/>
            <w:vAlign w:val="top"/>
          </w:tcPr>
          <w:p>
            <w:pPr>
              <w:pStyle w:val="46"/>
              <w:widowControl/>
              <w:shd w:val="clear" w:color="auto" w:fill="auto"/>
              <w:snapToGrid w:val="0"/>
              <w:spacing w:line="440" w:lineRule="exact"/>
              <w:rPr>
                <w:rFonts w:hint="eastAsia" w:ascii="仿宋" w:hAnsi="仿宋" w:eastAsia="仿宋"/>
                <w:b/>
                <w:bCs/>
                <w:color w:val="auto"/>
                <w:sz w:val="24"/>
              </w:rPr>
            </w:pPr>
          </w:p>
        </w:tc>
        <w:tc>
          <w:tcPr>
            <w:tcW w:w="850" w:type="dxa"/>
            <w:noWrap w:val="0"/>
            <w:vAlign w:val="top"/>
          </w:tcPr>
          <w:p>
            <w:pPr>
              <w:pStyle w:val="46"/>
              <w:widowControl/>
              <w:shd w:val="clear" w:color="auto" w:fill="auto"/>
              <w:snapToGrid w:val="0"/>
              <w:spacing w:line="440" w:lineRule="exact"/>
              <w:rPr>
                <w:rFonts w:hint="eastAsia" w:ascii="仿宋" w:hAnsi="仿宋" w:eastAsia="仿宋"/>
                <w:b/>
                <w:bCs/>
                <w:color w:val="auto"/>
                <w:sz w:val="24"/>
              </w:rPr>
            </w:pPr>
          </w:p>
        </w:tc>
        <w:tc>
          <w:tcPr>
            <w:tcW w:w="709" w:type="dxa"/>
            <w:noWrap w:val="0"/>
            <w:vAlign w:val="top"/>
          </w:tcPr>
          <w:p>
            <w:pPr>
              <w:pStyle w:val="46"/>
              <w:widowControl/>
              <w:shd w:val="clear" w:color="auto" w:fill="auto"/>
              <w:snapToGrid w:val="0"/>
              <w:spacing w:line="440" w:lineRule="exact"/>
              <w:rPr>
                <w:rFonts w:hint="eastAsia" w:ascii="仿宋" w:hAnsi="仿宋" w:eastAsia="仿宋"/>
                <w:b/>
                <w:bCs/>
                <w:color w:val="auto"/>
                <w:sz w:val="24"/>
              </w:rPr>
            </w:pPr>
          </w:p>
        </w:tc>
        <w:tc>
          <w:tcPr>
            <w:tcW w:w="1559" w:type="dxa"/>
            <w:noWrap w:val="0"/>
            <w:vAlign w:val="top"/>
          </w:tcPr>
          <w:p>
            <w:pPr>
              <w:pStyle w:val="46"/>
              <w:widowControl/>
              <w:shd w:val="clear" w:color="auto" w:fill="auto"/>
              <w:snapToGrid w:val="0"/>
              <w:spacing w:line="440" w:lineRule="exact"/>
              <w:rPr>
                <w:rFonts w:hint="eastAsia" w:ascii="仿宋" w:hAnsi="仿宋" w:eastAsia="仿宋"/>
                <w:b/>
                <w:bCs/>
                <w:color w:val="auto"/>
                <w:sz w:val="24"/>
              </w:rPr>
            </w:pPr>
          </w:p>
        </w:tc>
        <w:tc>
          <w:tcPr>
            <w:tcW w:w="1276" w:type="dxa"/>
            <w:noWrap w:val="0"/>
            <w:vAlign w:val="top"/>
          </w:tcPr>
          <w:p>
            <w:pPr>
              <w:pStyle w:val="46"/>
              <w:widowControl/>
              <w:shd w:val="clear" w:color="auto" w:fill="auto"/>
              <w:snapToGrid w:val="0"/>
              <w:spacing w:line="440" w:lineRule="exact"/>
              <w:rPr>
                <w:rFonts w:hint="eastAsia" w:ascii="仿宋" w:hAnsi="仿宋" w:eastAsia="仿宋"/>
                <w:b/>
                <w:bCs/>
                <w:color w:val="auto"/>
                <w:sz w:val="24"/>
              </w:rPr>
            </w:pPr>
          </w:p>
        </w:tc>
        <w:tc>
          <w:tcPr>
            <w:tcW w:w="851" w:type="dxa"/>
            <w:noWrap w:val="0"/>
            <w:vAlign w:val="top"/>
          </w:tcPr>
          <w:p>
            <w:pPr>
              <w:pStyle w:val="46"/>
              <w:widowControl/>
              <w:shd w:val="clear" w:color="auto" w:fill="auto"/>
              <w:snapToGrid w:val="0"/>
              <w:spacing w:line="440" w:lineRule="exact"/>
              <w:rPr>
                <w:rFonts w:hint="eastAsia" w:ascii="仿宋" w:hAnsi="仿宋" w:eastAsia="仿宋"/>
                <w:b/>
                <w:bCs/>
                <w:color w:val="auto"/>
                <w:sz w:val="24"/>
              </w:rPr>
            </w:pPr>
          </w:p>
        </w:tc>
        <w:tc>
          <w:tcPr>
            <w:tcW w:w="567" w:type="dxa"/>
            <w:noWrap w:val="0"/>
            <w:vAlign w:val="top"/>
          </w:tcPr>
          <w:p>
            <w:pPr>
              <w:pStyle w:val="46"/>
              <w:widowControl/>
              <w:shd w:val="clear" w:color="auto" w:fill="auto"/>
              <w:snapToGrid w:val="0"/>
              <w:spacing w:line="440" w:lineRule="exact"/>
              <w:rPr>
                <w:rFonts w:hint="eastAsia" w:ascii="仿宋" w:hAnsi="仿宋" w:eastAsia="仿宋"/>
                <w:b/>
                <w:bCs/>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4" w:hRule="atLeast"/>
        </w:trPr>
        <w:tc>
          <w:tcPr>
            <w:tcW w:w="457" w:type="dxa"/>
            <w:noWrap w:val="0"/>
            <w:vAlign w:val="top"/>
          </w:tcPr>
          <w:p>
            <w:pPr>
              <w:pStyle w:val="46"/>
              <w:widowControl/>
              <w:shd w:val="clear" w:color="auto" w:fill="auto"/>
              <w:snapToGrid w:val="0"/>
              <w:spacing w:line="440" w:lineRule="exact"/>
              <w:rPr>
                <w:rFonts w:hint="eastAsia" w:ascii="仿宋" w:hAnsi="仿宋" w:eastAsia="仿宋"/>
                <w:b/>
                <w:bCs/>
                <w:color w:val="auto"/>
                <w:sz w:val="24"/>
              </w:rPr>
            </w:pPr>
          </w:p>
        </w:tc>
        <w:tc>
          <w:tcPr>
            <w:tcW w:w="1211" w:type="dxa"/>
            <w:noWrap w:val="0"/>
            <w:vAlign w:val="top"/>
          </w:tcPr>
          <w:p>
            <w:pPr>
              <w:pStyle w:val="46"/>
              <w:widowControl/>
              <w:shd w:val="clear" w:color="auto" w:fill="auto"/>
              <w:snapToGrid w:val="0"/>
              <w:spacing w:line="440" w:lineRule="exact"/>
              <w:rPr>
                <w:rFonts w:hint="eastAsia" w:ascii="仿宋" w:hAnsi="仿宋" w:eastAsia="仿宋"/>
                <w:b/>
                <w:bCs/>
                <w:color w:val="auto"/>
                <w:sz w:val="24"/>
              </w:rPr>
            </w:pPr>
          </w:p>
        </w:tc>
        <w:tc>
          <w:tcPr>
            <w:tcW w:w="1275" w:type="dxa"/>
            <w:noWrap w:val="0"/>
            <w:vAlign w:val="top"/>
          </w:tcPr>
          <w:p>
            <w:pPr>
              <w:pStyle w:val="46"/>
              <w:widowControl/>
              <w:shd w:val="clear" w:color="auto" w:fill="auto"/>
              <w:snapToGrid w:val="0"/>
              <w:spacing w:line="440" w:lineRule="exact"/>
              <w:rPr>
                <w:rFonts w:hint="eastAsia" w:ascii="仿宋" w:hAnsi="仿宋" w:eastAsia="仿宋"/>
                <w:b/>
                <w:bCs/>
                <w:color w:val="auto"/>
                <w:sz w:val="24"/>
              </w:rPr>
            </w:pPr>
          </w:p>
        </w:tc>
        <w:tc>
          <w:tcPr>
            <w:tcW w:w="709" w:type="dxa"/>
            <w:noWrap w:val="0"/>
            <w:vAlign w:val="top"/>
          </w:tcPr>
          <w:p>
            <w:pPr>
              <w:pStyle w:val="46"/>
              <w:widowControl/>
              <w:shd w:val="clear" w:color="auto" w:fill="auto"/>
              <w:snapToGrid w:val="0"/>
              <w:spacing w:line="440" w:lineRule="exact"/>
              <w:rPr>
                <w:rFonts w:hint="eastAsia" w:ascii="仿宋" w:hAnsi="仿宋" w:eastAsia="仿宋"/>
                <w:b/>
                <w:bCs/>
                <w:color w:val="auto"/>
                <w:sz w:val="24"/>
              </w:rPr>
            </w:pPr>
          </w:p>
        </w:tc>
        <w:tc>
          <w:tcPr>
            <w:tcW w:w="709" w:type="dxa"/>
            <w:noWrap w:val="0"/>
            <w:vAlign w:val="top"/>
          </w:tcPr>
          <w:p>
            <w:pPr>
              <w:pStyle w:val="46"/>
              <w:widowControl/>
              <w:shd w:val="clear" w:color="auto" w:fill="auto"/>
              <w:snapToGrid w:val="0"/>
              <w:spacing w:line="440" w:lineRule="exact"/>
              <w:rPr>
                <w:rFonts w:hint="eastAsia" w:ascii="仿宋" w:hAnsi="仿宋" w:eastAsia="仿宋"/>
                <w:b/>
                <w:bCs/>
                <w:color w:val="auto"/>
                <w:sz w:val="24"/>
              </w:rPr>
            </w:pPr>
          </w:p>
        </w:tc>
        <w:tc>
          <w:tcPr>
            <w:tcW w:w="850" w:type="dxa"/>
            <w:noWrap w:val="0"/>
            <w:vAlign w:val="top"/>
          </w:tcPr>
          <w:p>
            <w:pPr>
              <w:pStyle w:val="46"/>
              <w:widowControl/>
              <w:shd w:val="clear" w:color="auto" w:fill="auto"/>
              <w:snapToGrid w:val="0"/>
              <w:spacing w:line="440" w:lineRule="exact"/>
              <w:rPr>
                <w:rFonts w:hint="eastAsia" w:ascii="仿宋" w:hAnsi="仿宋" w:eastAsia="仿宋"/>
                <w:b/>
                <w:bCs/>
                <w:color w:val="auto"/>
                <w:sz w:val="24"/>
              </w:rPr>
            </w:pPr>
          </w:p>
        </w:tc>
        <w:tc>
          <w:tcPr>
            <w:tcW w:w="709" w:type="dxa"/>
            <w:noWrap w:val="0"/>
            <w:vAlign w:val="top"/>
          </w:tcPr>
          <w:p>
            <w:pPr>
              <w:pStyle w:val="46"/>
              <w:widowControl/>
              <w:shd w:val="clear" w:color="auto" w:fill="auto"/>
              <w:snapToGrid w:val="0"/>
              <w:spacing w:line="440" w:lineRule="exact"/>
              <w:rPr>
                <w:rFonts w:hint="eastAsia" w:ascii="仿宋" w:hAnsi="仿宋" w:eastAsia="仿宋"/>
                <w:b/>
                <w:bCs/>
                <w:color w:val="auto"/>
                <w:sz w:val="24"/>
              </w:rPr>
            </w:pPr>
          </w:p>
        </w:tc>
        <w:tc>
          <w:tcPr>
            <w:tcW w:w="1559" w:type="dxa"/>
            <w:noWrap w:val="0"/>
            <w:vAlign w:val="top"/>
          </w:tcPr>
          <w:p>
            <w:pPr>
              <w:pStyle w:val="46"/>
              <w:widowControl/>
              <w:shd w:val="clear" w:color="auto" w:fill="auto"/>
              <w:snapToGrid w:val="0"/>
              <w:spacing w:line="440" w:lineRule="exact"/>
              <w:rPr>
                <w:rFonts w:hint="eastAsia" w:ascii="仿宋" w:hAnsi="仿宋" w:eastAsia="仿宋"/>
                <w:b/>
                <w:bCs/>
                <w:color w:val="auto"/>
                <w:sz w:val="24"/>
              </w:rPr>
            </w:pPr>
          </w:p>
        </w:tc>
        <w:tc>
          <w:tcPr>
            <w:tcW w:w="1276" w:type="dxa"/>
            <w:noWrap w:val="0"/>
            <w:vAlign w:val="top"/>
          </w:tcPr>
          <w:p>
            <w:pPr>
              <w:pStyle w:val="46"/>
              <w:widowControl/>
              <w:shd w:val="clear" w:color="auto" w:fill="auto"/>
              <w:snapToGrid w:val="0"/>
              <w:spacing w:line="440" w:lineRule="exact"/>
              <w:rPr>
                <w:rFonts w:hint="eastAsia" w:ascii="仿宋" w:hAnsi="仿宋" w:eastAsia="仿宋"/>
                <w:b/>
                <w:bCs/>
                <w:color w:val="auto"/>
                <w:sz w:val="24"/>
              </w:rPr>
            </w:pPr>
          </w:p>
        </w:tc>
        <w:tc>
          <w:tcPr>
            <w:tcW w:w="851" w:type="dxa"/>
            <w:noWrap w:val="0"/>
            <w:vAlign w:val="top"/>
          </w:tcPr>
          <w:p>
            <w:pPr>
              <w:pStyle w:val="46"/>
              <w:widowControl/>
              <w:shd w:val="clear" w:color="auto" w:fill="auto"/>
              <w:snapToGrid w:val="0"/>
              <w:spacing w:line="440" w:lineRule="exact"/>
              <w:rPr>
                <w:rFonts w:hint="eastAsia" w:ascii="仿宋" w:hAnsi="仿宋" w:eastAsia="仿宋"/>
                <w:b/>
                <w:bCs/>
                <w:color w:val="auto"/>
                <w:sz w:val="24"/>
              </w:rPr>
            </w:pPr>
          </w:p>
        </w:tc>
        <w:tc>
          <w:tcPr>
            <w:tcW w:w="567" w:type="dxa"/>
            <w:noWrap w:val="0"/>
            <w:vAlign w:val="top"/>
          </w:tcPr>
          <w:p>
            <w:pPr>
              <w:pStyle w:val="46"/>
              <w:widowControl/>
              <w:shd w:val="clear" w:color="auto" w:fill="auto"/>
              <w:snapToGrid w:val="0"/>
              <w:spacing w:line="440" w:lineRule="exact"/>
              <w:rPr>
                <w:rFonts w:hint="eastAsia" w:ascii="仿宋" w:hAnsi="仿宋" w:eastAsia="仿宋"/>
                <w:b/>
                <w:bCs/>
                <w:color w:val="auto"/>
                <w:sz w:val="24"/>
              </w:rPr>
            </w:pPr>
          </w:p>
        </w:tc>
      </w:tr>
    </w:tbl>
    <w:p>
      <w:pPr>
        <w:pStyle w:val="46"/>
        <w:widowControl/>
        <w:shd w:val="clear" w:color="auto" w:fill="auto"/>
        <w:snapToGrid w:val="0"/>
        <w:spacing w:line="440" w:lineRule="exact"/>
        <w:rPr>
          <w:rFonts w:hint="eastAsia" w:ascii="仿宋" w:hAnsi="仿宋" w:eastAsia="仿宋"/>
          <w:color w:val="auto"/>
          <w:kern w:val="0"/>
          <w:sz w:val="24"/>
        </w:rPr>
      </w:pPr>
    </w:p>
    <w:p>
      <w:pPr>
        <w:pStyle w:val="46"/>
        <w:shd w:val="clear" w:color="auto" w:fill="auto"/>
        <w:spacing w:line="420" w:lineRule="exact"/>
        <w:ind w:firstLine="482" w:firstLineChars="200"/>
        <w:rPr>
          <w:rFonts w:hint="eastAsia" w:ascii="仿宋" w:hAnsi="仿宋" w:eastAsia="仿宋"/>
          <w:b/>
          <w:bCs/>
          <w:color w:val="auto"/>
          <w:sz w:val="24"/>
        </w:rPr>
      </w:pPr>
      <w:r>
        <w:rPr>
          <w:rFonts w:hint="eastAsia" w:ascii="仿宋" w:hAnsi="仿宋" w:eastAsia="仿宋"/>
          <w:b/>
          <w:bCs/>
          <w:color w:val="auto"/>
          <w:sz w:val="24"/>
        </w:rPr>
        <w:t>四、交付日期、交付地点及保修</w:t>
      </w:r>
    </w:p>
    <w:p>
      <w:pPr>
        <w:pStyle w:val="46"/>
        <w:shd w:val="clear" w:color="auto" w:fill="auto"/>
        <w:spacing w:line="420" w:lineRule="exact"/>
        <w:ind w:firstLine="480" w:firstLineChars="200"/>
        <w:rPr>
          <w:rFonts w:hint="eastAsia" w:ascii="仿宋" w:hAnsi="仿宋" w:eastAsia="仿宋"/>
          <w:color w:val="auto"/>
          <w:sz w:val="24"/>
        </w:rPr>
      </w:pPr>
      <w:r>
        <w:rPr>
          <w:rFonts w:hint="eastAsia" w:ascii="仿宋" w:hAnsi="仿宋" w:eastAsia="仿宋"/>
          <w:color w:val="auto"/>
          <w:sz w:val="24"/>
        </w:rPr>
        <w:t>1、交付日期：</w:t>
      </w:r>
      <w:r>
        <w:rPr>
          <w:rFonts w:hint="eastAsia" w:ascii="仿宋" w:hAnsi="仿宋" w:eastAsia="仿宋"/>
          <w:color w:val="auto"/>
          <w:sz w:val="24"/>
          <w:lang w:val="en-US" w:eastAsia="zh-CN"/>
        </w:rPr>
        <w:t xml:space="preserve">签订合同后30日内供货安装调试完毕达到使用标准。                </w:t>
      </w:r>
      <w:r>
        <w:rPr>
          <w:rFonts w:hint="eastAsia" w:ascii="仿宋" w:hAnsi="仿宋" w:eastAsia="仿宋"/>
          <w:color w:val="auto"/>
          <w:sz w:val="24"/>
        </w:rPr>
        <w:t>。</w:t>
      </w:r>
    </w:p>
    <w:p>
      <w:pPr>
        <w:pStyle w:val="46"/>
        <w:shd w:val="clear" w:color="auto" w:fill="auto"/>
        <w:tabs>
          <w:tab w:val="left" w:pos="955"/>
        </w:tabs>
        <w:spacing w:line="42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2、交付地点：</w:t>
      </w:r>
      <w:r>
        <w:rPr>
          <w:rFonts w:hint="eastAsia" w:ascii="仿宋" w:hAnsi="仿宋" w:eastAsia="仿宋"/>
          <w:bCs/>
          <w:color w:val="auto"/>
          <w:sz w:val="24"/>
          <w:highlight w:val="none"/>
        </w:rPr>
        <w:t>具体为采购人指定地点。</w:t>
      </w:r>
    </w:p>
    <w:p>
      <w:pPr>
        <w:pStyle w:val="46"/>
        <w:shd w:val="clear" w:color="auto" w:fill="auto"/>
        <w:spacing w:line="420" w:lineRule="exact"/>
        <w:ind w:firstLine="480" w:firstLineChars="200"/>
        <w:rPr>
          <w:rFonts w:hint="eastAsia" w:ascii="仿宋" w:hAnsi="仿宋" w:eastAsia="仿宋"/>
          <w:color w:val="auto"/>
          <w:sz w:val="24"/>
          <w:lang w:val="en-US" w:eastAsia="zh-CN"/>
        </w:rPr>
      </w:pPr>
      <w:r>
        <w:rPr>
          <w:rFonts w:hint="eastAsia" w:ascii="仿宋" w:hAnsi="仿宋" w:eastAsia="仿宋"/>
          <w:color w:val="auto"/>
          <w:sz w:val="24"/>
          <w:lang w:val="en-US" w:eastAsia="zh-CN"/>
        </w:rPr>
        <w:t>3、保修</w:t>
      </w:r>
    </w:p>
    <w:p>
      <w:pPr>
        <w:pStyle w:val="46"/>
        <w:shd w:val="clear" w:color="auto" w:fill="auto"/>
        <w:spacing w:line="420" w:lineRule="exact"/>
        <w:ind w:firstLine="480" w:firstLineChars="200"/>
        <w:rPr>
          <w:rFonts w:hint="eastAsia" w:ascii="仿宋" w:hAnsi="仿宋" w:eastAsia="仿宋"/>
          <w:color w:val="auto"/>
          <w:sz w:val="24"/>
          <w:lang w:val="en-US" w:eastAsia="zh-CN"/>
        </w:rPr>
      </w:pPr>
      <w:r>
        <w:rPr>
          <w:rFonts w:hint="eastAsia" w:ascii="仿宋" w:hAnsi="仿宋" w:eastAsia="仿宋"/>
          <w:color w:val="auto"/>
          <w:sz w:val="24"/>
          <w:lang w:val="en-US" w:eastAsia="zh-CN"/>
        </w:rPr>
        <w:t>3.1、整机质保1年。详细技术参数中有明确质保期限的，按技术参数执行；没有具体质保期的均为1年。保修期满后，终身维护、软件升级，长期提供良好的技术支持及零配件的优惠供应。制造商具有全国400或800免费服务热线。</w:t>
      </w:r>
    </w:p>
    <w:p>
      <w:pPr>
        <w:shd w:val="clear" w:color="auto" w:fill="auto"/>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3.2、</w:t>
      </w:r>
      <w:r>
        <w:rPr>
          <w:rFonts w:ascii="仿宋" w:hAnsi="仿宋" w:eastAsia="仿宋" w:cs="仿宋"/>
          <w:b/>
          <w:bCs/>
          <w:color w:val="auto"/>
          <w:sz w:val="24"/>
          <w:highlight w:val="none"/>
        </w:rPr>
        <w:t>保证可终身提供设备使用所需的耗材及配件</w:t>
      </w:r>
      <w:r>
        <w:rPr>
          <w:rFonts w:hint="eastAsia" w:ascii="仿宋" w:hAnsi="仿宋" w:eastAsia="仿宋" w:cs="仿宋"/>
          <w:b/>
          <w:bCs/>
          <w:color w:val="auto"/>
          <w:sz w:val="24"/>
          <w:highlight w:val="none"/>
        </w:rPr>
        <w:t>，</w:t>
      </w:r>
      <w:r>
        <w:rPr>
          <w:rFonts w:ascii="仿宋" w:hAnsi="仿宋" w:eastAsia="仿宋" w:cs="仿宋"/>
          <w:b/>
          <w:bCs/>
          <w:color w:val="auto"/>
          <w:sz w:val="24"/>
          <w:highlight w:val="none"/>
        </w:rPr>
        <w:t>提供常规耗材及易损件报价明细</w:t>
      </w:r>
      <w:r>
        <w:rPr>
          <w:rFonts w:hint="eastAsia" w:ascii="仿宋" w:hAnsi="仿宋" w:eastAsia="仿宋" w:cs="仿宋"/>
          <w:b/>
          <w:bCs/>
          <w:color w:val="auto"/>
          <w:sz w:val="24"/>
          <w:highlight w:val="none"/>
        </w:rPr>
        <w:t>（单独报价，不计入投标总价）</w:t>
      </w:r>
      <w:r>
        <w:rPr>
          <w:rFonts w:ascii="仿宋" w:hAnsi="仿宋" w:eastAsia="仿宋" w:cs="仿宋"/>
          <w:b/>
          <w:bCs/>
          <w:color w:val="auto"/>
          <w:sz w:val="24"/>
          <w:highlight w:val="none"/>
        </w:rPr>
        <w:t>；</w:t>
      </w:r>
    </w:p>
    <w:p>
      <w:pPr>
        <w:shd w:val="clear" w:color="auto" w:fill="auto"/>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3.3、</w:t>
      </w:r>
      <w:r>
        <w:rPr>
          <w:rFonts w:ascii="仿宋" w:hAnsi="仿宋" w:eastAsia="仿宋" w:cs="仿宋"/>
          <w:b/>
          <w:bCs/>
          <w:color w:val="auto"/>
          <w:sz w:val="24"/>
          <w:highlight w:val="none"/>
        </w:rPr>
        <w:t>设备故障响应时间：2小时，常规故障</w:t>
      </w:r>
      <w:r>
        <w:rPr>
          <w:rFonts w:hint="eastAsia" w:ascii="仿宋" w:hAnsi="仿宋" w:eastAsia="仿宋" w:cs="仿宋"/>
          <w:b/>
          <w:bCs/>
          <w:color w:val="auto"/>
          <w:sz w:val="24"/>
          <w:highlight w:val="none"/>
        </w:rPr>
        <w:t>厂家</w:t>
      </w:r>
      <w:r>
        <w:rPr>
          <w:rFonts w:ascii="仿宋" w:hAnsi="仿宋" w:eastAsia="仿宋" w:cs="仿宋"/>
          <w:b/>
          <w:bCs/>
          <w:color w:val="auto"/>
          <w:sz w:val="24"/>
          <w:highlight w:val="none"/>
        </w:rPr>
        <w:t xml:space="preserve">维修工程师48小时到场并解决问题； </w:t>
      </w:r>
    </w:p>
    <w:p>
      <w:pPr>
        <w:shd w:val="clear" w:color="auto" w:fill="auto"/>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3.4、</w:t>
      </w:r>
      <w:r>
        <w:rPr>
          <w:rFonts w:ascii="仿宋" w:hAnsi="仿宋" w:eastAsia="仿宋" w:cs="仿宋"/>
          <w:b/>
          <w:bCs/>
          <w:color w:val="auto"/>
          <w:sz w:val="24"/>
          <w:highlight w:val="none"/>
        </w:rPr>
        <w:t>如遇紧急故障，</w:t>
      </w:r>
      <w:r>
        <w:rPr>
          <w:rFonts w:hint="eastAsia" w:ascii="仿宋" w:hAnsi="仿宋" w:eastAsia="仿宋" w:cs="仿宋"/>
          <w:b/>
          <w:bCs/>
          <w:color w:val="auto"/>
          <w:sz w:val="24"/>
          <w:highlight w:val="none"/>
        </w:rPr>
        <w:t>厂家</w:t>
      </w:r>
      <w:r>
        <w:rPr>
          <w:rFonts w:ascii="仿宋" w:hAnsi="仿宋" w:eastAsia="仿宋" w:cs="仿宋"/>
          <w:b/>
          <w:bCs/>
          <w:color w:val="auto"/>
          <w:sz w:val="24"/>
          <w:highlight w:val="none"/>
        </w:rPr>
        <w:t xml:space="preserve">维修工程师应于12小时内到达故障现场； </w:t>
      </w:r>
    </w:p>
    <w:p>
      <w:pPr>
        <w:shd w:val="clear" w:color="auto" w:fill="auto"/>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3.5、</w:t>
      </w:r>
      <w:r>
        <w:rPr>
          <w:rFonts w:ascii="仿宋" w:hAnsi="仿宋" w:eastAsia="仿宋" w:cs="仿宋"/>
          <w:b/>
          <w:bCs/>
          <w:color w:val="auto"/>
          <w:sz w:val="24"/>
          <w:highlight w:val="none"/>
        </w:rPr>
        <w:t>故障设备修复期限自报修之日计算，不超过3个工作日，逾期由中标公司提供备用机，同时质保期顺延；</w:t>
      </w:r>
    </w:p>
    <w:p>
      <w:pPr>
        <w:shd w:val="clear" w:color="auto" w:fill="auto"/>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3.6、</w:t>
      </w:r>
      <w:r>
        <w:rPr>
          <w:rFonts w:ascii="仿宋" w:hAnsi="仿宋" w:eastAsia="仿宋" w:cs="仿宋"/>
          <w:b/>
          <w:bCs/>
          <w:color w:val="auto"/>
          <w:sz w:val="24"/>
          <w:highlight w:val="none"/>
        </w:rPr>
        <w:t>质保期内，卖方应按甲方要求随时提供现场服务，同时必须提供设备定期上门巡检服务，巡检周期为自设备验收合格之日起每四个月一次，须由专业技术工程师完成</w:t>
      </w:r>
      <w:r>
        <w:rPr>
          <w:rFonts w:hint="eastAsia" w:ascii="仿宋" w:hAnsi="仿宋" w:eastAsia="仿宋" w:cs="仿宋"/>
          <w:b/>
          <w:bCs/>
          <w:color w:val="auto"/>
          <w:sz w:val="24"/>
          <w:highlight w:val="none"/>
        </w:rPr>
        <w:t>；</w:t>
      </w:r>
    </w:p>
    <w:p>
      <w:pPr>
        <w:shd w:val="clear" w:color="auto" w:fill="auto"/>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3</w:t>
      </w:r>
      <w:r>
        <w:rPr>
          <w:rFonts w:ascii="仿宋" w:hAnsi="仿宋" w:eastAsia="仿宋" w:cs="仿宋"/>
          <w:b/>
          <w:bCs/>
          <w:color w:val="auto"/>
          <w:sz w:val="24"/>
          <w:highlight w:val="none"/>
        </w:rPr>
        <w:t>.</w:t>
      </w:r>
      <w:r>
        <w:rPr>
          <w:rFonts w:hint="eastAsia" w:ascii="仿宋" w:hAnsi="仿宋" w:eastAsia="仿宋" w:cs="仿宋"/>
          <w:b/>
          <w:bCs/>
          <w:color w:val="auto"/>
          <w:sz w:val="24"/>
          <w:highlight w:val="none"/>
        </w:rPr>
        <w:t>7、</w:t>
      </w:r>
      <w:r>
        <w:rPr>
          <w:rFonts w:ascii="仿宋" w:hAnsi="仿宋" w:eastAsia="仿宋" w:cs="仿宋"/>
          <w:b/>
          <w:bCs/>
          <w:color w:val="auto"/>
          <w:sz w:val="24"/>
          <w:highlight w:val="none"/>
        </w:rPr>
        <w:t>卖方在提供设备定期巡检服务时必须留存服务单据，并有每次服务现场甲方科室人员及甲方工程师确认签字，以作为设备维保款结款依据</w:t>
      </w:r>
      <w:r>
        <w:rPr>
          <w:rFonts w:hint="eastAsia" w:ascii="仿宋" w:hAnsi="仿宋" w:eastAsia="仿宋" w:cs="仿宋"/>
          <w:b/>
          <w:bCs/>
          <w:color w:val="auto"/>
          <w:sz w:val="24"/>
          <w:highlight w:val="none"/>
        </w:rPr>
        <w:t>；</w:t>
      </w:r>
    </w:p>
    <w:p>
      <w:pPr>
        <w:shd w:val="clear" w:color="auto" w:fill="auto"/>
        <w:spacing w:line="44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3.8、</w:t>
      </w:r>
      <w:r>
        <w:rPr>
          <w:rFonts w:ascii="仿宋" w:hAnsi="仿宋" w:eastAsia="仿宋" w:cs="仿宋"/>
          <w:b/>
          <w:bCs/>
          <w:color w:val="auto"/>
          <w:sz w:val="24"/>
          <w:highlight w:val="none"/>
        </w:rPr>
        <w:t>如有维修响应超时、故障设备修复期限超过3个工作日而未提出解决办法、未按规定提供巡检服务、或缺少服务确认单据等情况，甲方有权按比例扣除部分或全部的剩余设备维保款项</w:t>
      </w:r>
      <w:r>
        <w:rPr>
          <w:rFonts w:hint="eastAsia" w:ascii="仿宋" w:hAnsi="仿宋" w:eastAsia="仿宋" w:cs="仿宋"/>
          <w:b/>
          <w:bCs/>
          <w:color w:val="auto"/>
          <w:sz w:val="24"/>
          <w:highlight w:val="none"/>
        </w:rPr>
        <w:t>；</w:t>
      </w:r>
    </w:p>
    <w:p>
      <w:pPr>
        <w:shd w:val="clear" w:color="auto" w:fill="auto"/>
        <w:spacing w:line="44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3.9、</w:t>
      </w:r>
      <w:r>
        <w:rPr>
          <w:rFonts w:hint="eastAsia" w:ascii="仿宋" w:hAnsi="仿宋" w:eastAsia="仿宋"/>
          <w:b/>
          <w:bCs/>
          <w:color w:val="auto"/>
          <w:sz w:val="24"/>
          <w:highlight w:val="none"/>
        </w:rPr>
        <w:t>本合同项下货物的免费保修期或与质量相关的其它期限均按照本合同约定方式完成最终验收（最终验收指以采购方（甲方）与中标人签订最终验收文件之日）开始计算。</w:t>
      </w:r>
    </w:p>
    <w:p>
      <w:pPr>
        <w:shd w:val="clear" w:color="auto" w:fill="auto"/>
        <w:spacing w:line="400" w:lineRule="exact"/>
        <w:ind w:firstLine="480"/>
        <w:rPr>
          <w:rFonts w:hint="eastAsia" w:ascii="仿宋" w:hAnsi="仿宋" w:eastAsia="仿宋"/>
          <w:b/>
          <w:bCs/>
          <w:color w:val="auto"/>
          <w:sz w:val="24"/>
          <w:highlight w:val="none"/>
        </w:rPr>
      </w:pPr>
      <w:r>
        <w:rPr>
          <w:rFonts w:hint="eastAsia" w:ascii="仿宋" w:hAnsi="仿宋" w:eastAsia="仿宋"/>
          <w:b/>
          <w:bCs/>
          <w:color w:val="auto"/>
          <w:sz w:val="24"/>
          <w:highlight w:val="none"/>
        </w:rPr>
        <w:t>3.10、本合同签订后及货物使用中，如涉及增加或改进安全性的软件升级问题，无论甲方是否知晓或是否向乙方提出，乙方均应当在其刚开始应用该等软件时的第一时间内，立即主动地、无条件地给与免费更新并调试完好。</w:t>
      </w:r>
    </w:p>
    <w:p>
      <w:pPr>
        <w:pStyle w:val="46"/>
        <w:shd w:val="clear" w:color="auto" w:fill="auto"/>
        <w:tabs>
          <w:tab w:val="left" w:pos="955"/>
        </w:tabs>
        <w:spacing w:line="420" w:lineRule="exact"/>
        <w:ind w:firstLine="482" w:firstLineChars="200"/>
        <w:rPr>
          <w:rFonts w:hint="eastAsia" w:ascii="仿宋" w:hAnsi="仿宋" w:eastAsia="仿宋"/>
          <w:b/>
          <w:bCs/>
          <w:color w:val="auto"/>
          <w:sz w:val="24"/>
          <w:highlight w:val="none"/>
        </w:rPr>
      </w:pPr>
      <w:r>
        <w:rPr>
          <w:rFonts w:hint="eastAsia" w:ascii="仿宋" w:hAnsi="仿宋" w:eastAsia="仿宋"/>
          <w:b/>
          <w:bCs/>
          <w:color w:val="auto"/>
          <w:sz w:val="24"/>
          <w:highlight w:val="none"/>
        </w:rPr>
        <w:t>3.11、乙方保证，乙方依据本合同提供的货物、服务及相关的软件和技术资料，乙方均已得到有关知识产权的权利人的合法授权，如发生涉及到专利权、著作权、商标权等争议，乙方负责处理，并承担由此引起的全部法律及经济责任。</w:t>
      </w:r>
    </w:p>
    <w:p>
      <w:pPr>
        <w:pStyle w:val="46"/>
        <w:shd w:val="clear" w:color="auto" w:fill="auto"/>
        <w:spacing w:line="420" w:lineRule="exact"/>
        <w:ind w:firstLine="482" w:firstLineChars="200"/>
        <w:rPr>
          <w:rFonts w:hint="eastAsia" w:ascii="仿宋" w:hAnsi="仿宋" w:eastAsia="仿宋"/>
          <w:b/>
          <w:bCs/>
          <w:color w:val="auto"/>
          <w:sz w:val="24"/>
          <w:highlight w:val="none"/>
        </w:rPr>
      </w:pPr>
      <w:r>
        <w:rPr>
          <w:rFonts w:hint="eastAsia" w:ascii="仿宋" w:hAnsi="仿宋" w:eastAsia="仿宋"/>
          <w:b/>
          <w:bCs/>
          <w:color w:val="auto"/>
          <w:sz w:val="24"/>
          <w:highlight w:val="none"/>
        </w:rPr>
        <w:t>五、设备的包装</w:t>
      </w:r>
    </w:p>
    <w:p>
      <w:pPr>
        <w:pStyle w:val="46"/>
        <w:shd w:val="clear" w:color="auto" w:fill="auto"/>
        <w:tabs>
          <w:tab w:val="left" w:pos="955"/>
        </w:tabs>
        <w:spacing w:line="420" w:lineRule="exact"/>
        <w:ind w:firstLine="482" w:firstLineChars="200"/>
        <w:rPr>
          <w:rFonts w:hint="eastAsia" w:ascii="仿宋" w:hAnsi="仿宋" w:eastAsia="仿宋"/>
          <w:b/>
          <w:bCs/>
          <w:color w:val="auto"/>
          <w:sz w:val="24"/>
          <w:highlight w:val="none"/>
        </w:rPr>
      </w:pPr>
      <w:r>
        <w:rPr>
          <w:rFonts w:hint="eastAsia" w:ascii="仿宋" w:hAnsi="仿宋" w:eastAsia="仿宋"/>
          <w:b/>
          <w:bCs/>
          <w:color w:val="auto"/>
          <w:sz w:val="24"/>
          <w:highlight w:val="none"/>
        </w:rPr>
        <w:t>1、乙方交付的所有合同货物应具有适于运输的坚固包装，并且乙方应根据合同货物的不同特性和要求采取防潮、防雨、防锈、防震、防腐等保护措施，以确保合同货物安全无损地送达甲方指定的交货地点。</w:t>
      </w:r>
    </w:p>
    <w:p>
      <w:pPr>
        <w:pStyle w:val="46"/>
        <w:shd w:val="clear" w:color="auto" w:fill="auto"/>
        <w:tabs>
          <w:tab w:val="left" w:pos="955"/>
        </w:tabs>
        <w:spacing w:line="420" w:lineRule="exact"/>
        <w:ind w:firstLine="482" w:firstLineChars="200"/>
        <w:rPr>
          <w:rFonts w:hint="eastAsia" w:ascii="仿宋" w:hAnsi="仿宋" w:eastAsia="仿宋"/>
          <w:b/>
          <w:bCs/>
          <w:color w:val="auto"/>
          <w:sz w:val="24"/>
          <w:highlight w:val="none"/>
        </w:rPr>
      </w:pPr>
      <w:r>
        <w:rPr>
          <w:rFonts w:hint="eastAsia" w:ascii="仿宋" w:hAnsi="仿宋" w:eastAsia="仿宋"/>
          <w:b/>
          <w:bCs/>
          <w:color w:val="auto"/>
          <w:sz w:val="24"/>
          <w:highlight w:val="none"/>
        </w:rPr>
        <w:t>2、凡由于乙方对合同货物包装不善、标记不明、防护措施不当或在合同货物装箱前保管不良，致使合同货物遭到损坏或丢失，乙方应负责免费修理或更换，并承担由此产生的一切费用和给甲方造成的一切损失。</w:t>
      </w:r>
    </w:p>
    <w:p>
      <w:pPr>
        <w:pStyle w:val="46"/>
        <w:shd w:val="clear" w:color="auto" w:fill="auto"/>
        <w:tabs>
          <w:tab w:val="left" w:pos="360"/>
          <w:tab w:val="left" w:pos="480"/>
          <w:tab w:val="left" w:pos="1413"/>
        </w:tabs>
        <w:spacing w:line="420" w:lineRule="exact"/>
        <w:ind w:firstLine="482" w:firstLineChars="200"/>
        <w:rPr>
          <w:rFonts w:hint="eastAsia" w:ascii="仿宋" w:hAnsi="仿宋" w:eastAsia="仿宋"/>
          <w:b/>
          <w:bCs/>
          <w:color w:val="auto"/>
          <w:sz w:val="24"/>
          <w:highlight w:val="none"/>
        </w:rPr>
      </w:pPr>
      <w:r>
        <w:rPr>
          <w:rFonts w:hint="eastAsia" w:ascii="仿宋" w:hAnsi="仿宋" w:eastAsia="仿宋"/>
          <w:b/>
          <w:bCs/>
          <w:color w:val="auto"/>
          <w:sz w:val="24"/>
          <w:highlight w:val="none"/>
        </w:rPr>
        <w:t>六、设备的安装、质量标准、检验方式、相关培训及其他</w:t>
      </w:r>
    </w:p>
    <w:p>
      <w:pPr>
        <w:pStyle w:val="46"/>
        <w:shd w:val="clear" w:color="auto" w:fill="auto"/>
        <w:tabs>
          <w:tab w:val="left" w:pos="955"/>
        </w:tabs>
        <w:spacing w:line="420" w:lineRule="exact"/>
        <w:ind w:firstLine="482" w:firstLineChars="200"/>
        <w:rPr>
          <w:rFonts w:hint="eastAsia" w:ascii="仿宋" w:hAnsi="仿宋" w:eastAsia="仿宋"/>
          <w:b/>
          <w:bCs/>
          <w:color w:val="auto"/>
          <w:sz w:val="24"/>
          <w:highlight w:val="none"/>
        </w:rPr>
      </w:pPr>
      <w:r>
        <w:rPr>
          <w:rFonts w:hint="eastAsia" w:ascii="仿宋" w:hAnsi="仿宋" w:eastAsia="仿宋"/>
          <w:b/>
          <w:bCs/>
          <w:color w:val="auto"/>
          <w:sz w:val="24"/>
          <w:highlight w:val="none"/>
        </w:rPr>
        <w:t>1、乙方应承诺提供给甲方的合同货物是货物制造商原厂生产的，全新、未使用过的，通过货物制造厂商的出厂检验合格的，符合中华人民共和国相关标准及相应的技术规范（详细明确质量遵循标准，并详细注明文件号及文件名称），并完全符合本项目招标文件规定的质量、性能和规格的要求，同时提供质量合格证书、使用说明书等书面文件。</w:t>
      </w:r>
    </w:p>
    <w:p>
      <w:pPr>
        <w:pStyle w:val="46"/>
        <w:shd w:val="clear" w:color="auto" w:fill="auto"/>
        <w:tabs>
          <w:tab w:val="left" w:pos="955"/>
        </w:tabs>
        <w:spacing w:line="420" w:lineRule="exact"/>
        <w:ind w:firstLine="482" w:firstLineChars="200"/>
        <w:rPr>
          <w:rFonts w:hint="eastAsia" w:ascii="仿宋" w:hAnsi="仿宋" w:eastAsia="仿宋"/>
          <w:b/>
          <w:bCs/>
          <w:color w:val="auto"/>
          <w:sz w:val="24"/>
          <w:highlight w:val="none"/>
        </w:rPr>
      </w:pPr>
      <w:r>
        <w:rPr>
          <w:rFonts w:hint="eastAsia" w:ascii="仿宋" w:hAnsi="仿宋" w:eastAsia="仿宋"/>
          <w:b/>
          <w:bCs/>
          <w:color w:val="auto"/>
          <w:sz w:val="24"/>
          <w:highlight w:val="none"/>
        </w:rPr>
        <w:t>2、乙方保证提供的货物、服务符合中华人民共和国国家及行业的安全质量标准、环保标准；若货物、服务来源于中华人民共和国境外，还要同时符合货物来源国的官方、行业及生产厂商的安全质量标准、环保标准（上述标准为已发布的且在货物、服务交付时有效的最新版本的标准）。当货物来源于中华人民共和国境外时，产品必须附有原产地证明、中华人民共和国商检机构的检验证明、合法进货渠道证明及海关完税证明、报关单，免检产品须附免检相关资料。此外，有关技术资料中须附有全文翻译的中文文本。</w:t>
      </w:r>
    </w:p>
    <w:p>
      <w:pPr>
        <w:pStyle w:val="46"/>
        <w:shd w:val="clear" w:color="auto" w:fill="auto"/>
        <w:tabs>
          <w:tab w:val="left" w:pos="955"/>
        </w:tabs>
        <w:spacing w:line="420" w:lineRule="exact"/>
        <w:ind w:firstLine="482" w:firstLineChars="200"/>
        <w:rPr>
          <w:rFonts w:hint="eastAsia" w:ascii="仿宋" w:hAnsi="仿宋" w:eastAsia="仿宋"/>
          <w:b/>
          <w:bCs/>
          <w:color w:val="auto"/>
          <w:sz w:val="24"/>
          <w:highlight w:val="none"/>
        </w:rPr>
      </w:pPr>
      <w:r>
        <w:rPr>
          <w:rFonts w:hint="eastAsia" w:ascii="仿宋" w:hAnsi="仿宋" w:eastAsia="仿宋"/>
          <w:b/>
          <w:bCs/>
          <w:color w:val="auto"/>
          <w:sz w:val="24"/>
          <w:highlight w:val="none"/>
        </w:rPr>
        <w:t>3、乙方应保证所提供的货物经正确安装、合理操作和维护保养在其使用寿命期内具有令甲方满意的性能，并对由于合同货物的设计、工艺或材料的缺陷而发生的任何故障负责。</w:t>
      </w:r>
    </w:p>
    <w:p>
      <w:pPr>
        <w:pStyle w:val="46"/>
        <w:shd w:val="clear" w:color="auto" w:fill="auto"/>
        <w:tabs>
          <w:tab w:val="left" w:pos="955"/>
        </w:tabs>
        <w:spacing w:line="420" w:lineRule="exact"/>
        <w:ind w:firstLine="482" w:firstLineChars="200"/>
        <w:rPr>
          <w:rFonts w:hint="eastAsia" w:ascii="仿宋" w:hAnsi="仿宋" w:eastAsia="仿宋"/>
          <w:b/>
          <w:bCs/>
          <w:color w:val="auto"/>
          <w:sz w:val="24"/>
          <w:highlight w:val="none"/>
        </w:rPr>
      </w:pPr>
      <w:r>
        <w:rPr>
          <w:rFonts w:hint="eastAsia" w:ascii="仿宋" w:hAnsi="仿宋" w:eastAsia="仿宋"/>
          <w:b/>
          <w:bCs/>
          <w:color w:val="auto"/>
          <w:sz w:val="24"/>
          <w:highlight w:val="none"/>
        </w:rPr>
        <w:t>4、乙方提供的货物抵达甲方指定地点后的开箱清点及初步检验，应依据乙方提供的开箱要求和环境要求进行。乙方应在收到甲方的验货通知后到现场参加开箱清点及初步检验，开箱清点及初步检验时双方均应派员参加，并签署书面验收单，以此作为乙方履约进度的依据。</w:t>
      </w:r>
    </w:p>
    <w:p>
      <w:pPr>
        <w:pStyle w:val="46"/>
        <w:shd w:val="clear" w:color="auto" w:fill="auto"/>
        <w:tabs>
          <w:tab w:val="left" w:pos="955"/>
        </w:tabs>
        <w:spacing w:line="420" w:lineRule="exact"/>
        <w:ind w:firstLine="482" w:firstLineChars="200"/>
        <w:rPr>
          <w:rFonts w:hint="eastAsia" w:ascii="仿宋" w:hAnsi="仿宋" w:eastAsia="仿宋"/>
          <w:b/>
          <w:bCs/>
          <w:color w:val="auto"/>
          <w:sz w:val="24"/>
          <w:highlight w:val="none"/>
        </w:rPr>
      </w:pPr>
      <w:r>
        <w:rPr>
          <w:rFonts w:hint="eastAsia" w:ascii="仿宋" w:hAnsi="仿宋" w:eastAsia="仿宋"/>
          <w:b/>
          <w:bCs/>
          <w:color w:val="auto"/>
          <w:sz w:val="24"/>
          <w:highlight w:val="none"/>
        </w:rPr>
        <w:t>5、甲方对合同货物的数量、规格和质量的检验，应依据本项目招标文件中的有关规定进行。</w:t>
      </w:r>
    </w:p>
    <w:p>
      <w:pPr>
        <w:pStyle w:val="46"/>
        <w:shd w:val="clear" w:color="auto" w:fill="auto"/>
        <w:tabs>
          <w:tab w:val="left" w:pos="955"/>
        </w:tabs>
        <w:spacing w:line="420" w:lineRule="exact"/>
        <w:ind w:firstLine="482" w:firstLineChars="200"/>
        <w:rPr>
          <w:rFonts w:hint="eastAsia" w:ascii="仿宋" w:hAnsi="仿宋" w:eastAsia="仿宋"/>
          <w:b/>
          <w:bCs/>
          <w:color w:val="auto"/>
          <w:sz w:val="24"/>
          <w:highlight w:val="none"/>
        </w:rPr>
      </w:pPr>
      <w:r>
        <w:rPr>
          <w:rFonts w:hint="eastAsia" w:ascii="仿宋" w:hAnsi="仿宋" w:eastAsia="仿宋"/>
          <w:b/>
          <w:bCs/>
          <w:color w:val="auto"/>
          <w:sz w:val="24"/>
          <w:highlight w:val="none"/>
        </w:rPr>
        <w:t>6、若检验时发现货物数量不足、规格与合同要求不符或开箱时虽然货物外包装完好无损，但箱内货物短缺或损伤，双方应签署书面形式证明，乙方应根据该证明及时补足或更换。</w:t>
      </w:r>
    </w:p>
    <w:p>
      <w:pPr>
        <w:pStyle w:val="46"/>
        <w:shd w:val="clear" w:color="auto" w:fill="auto"/>
        <w:tabs>
          <w:tab w:val="left" w:pos="955"/>
        </w:tabs>
        <w:spacing w:line="420" w:lineRule="exact"/>
        <w:ind w:firstLine="482" w:firstLineChars="200"/>
        <w:rPr>
          <w:rFonts w:hint="eastAsia" w:ascii="仿宋" w:hAnsi="仿宋" w:eastAsia="仿宋"/>
          <w:b/>
          <w:bCs/>
          <w:color w:val="auto"/>
          <w:sz w:val="24"/>
          <w:highlight w:val="none"/>
        </w:rPr>
      </w:pPr>
      <w:r>
        <w:rPr>
          <w:rFonts w:hint="eastAsia" w:ascii="仿宋" w:hAnsi="仿宋" w:eastAsia="仿宋"/>
          <w:b/>
          <w:bCs/>
          <w:color w:val="auto"/>
          <w:sz w:val="24"/>
          <w:highlight w:val="none"/>
        </w:rPr>
        <w:t>7、本合同各相关条款中凡与乙方责任或义务相关及由乙方原因所引起涉及各项货物、零件、部件、配件及资料的更、换、补、退等情形，所发生相关的任何价款、成本、费用，包括但不限于运输、安装、服务、维修、调试等，以及保险、税、费等，均应当由乙方承担。</w:t>
      </w:r>
    </w:p>
    <w:p>
      <w:pPr>
        <w:pStyle w:val="46"/>
        <w:shd w:val="clear" w:color="auto" w:fill="auto"/>
        <w:tabs>
          <w:tab w:val="left" w:pos="955"/>
        </w:tabs>
        <w:spacing w:line="420" w:lineRule="exact"/>
        <w:ind w:firstLine="482" w:firstLineChars="200"/>
        <w:rPr>
          <w:rFonts w:hint="eastAsia" w:ascii="仿宋" w:hAnsi="仿宋" w:eastAsia="仿宋"/>
          <w:b/>
          <w:bCs/>
          <w:color w:val="auto"/>
          <w:sz w:val="24"/>
          <w:highlight w:val="none"/>
        </w:rPr>
      </w:pPr>
      <w:r>
        <w:rPr>
          <w:rFonts w:hint="eastAsia" w:ascii="仿宋" w:hAnsi="仿宋" w:eastAsia="仿宋"/>
          <w:b/>
          <w:bCs/>
          <w:color w:val="auto"/>
          <w:sz w:val="24"/>
          <w:highlight w:val="none"/>
        </w:rPr>
        <w:t>8、培训：卖方提供现场技术培训,保证使用人员正常操作设备的各种功能，培训时间不得少于3天，仪器使用1年内根据需要再次培训，培训时间不得少于2天。在仪器使用过程中遇到操作及软件问题必须提供相应服务。响应时间2小时以内。年开机率须在98%以上。每台仪器提供最少2人去内地三甲医院进行学习培训（以便熟悉该设备各项功能在临床中的应用，时间不少于1周）。乙方应在培训方案中明确培训方式、时间及地点以及培训所达到的效果（如“直至操作人员能熟练操作”）。</w:t>
      </w:r>
    </w:p>
    <w:p>
      <w:pPr>
        <w:pStyle w:val="46"/>
        <w:shd w:val="clear" w:color="auto" w:fill="auto"/>
        <w:tabs>
          <w:tab w:val="left" w:pos="955"/>
        </w:tabs>
        <w:spacing w:line="420" w:lineRule="exact"/>
        <w:ind w:firstLine="482" w:firstLineChars="200"/>
        <w:rPr>
          <w:rFonts w:hint="eastAsia" w:ascii="仿宋" w:hAnsi="仿宋" w:eastAsia="仿宋"/>
          <w:b/>
          <w:bCs/>
          <w:color w:val="auto"/>
          <w:sz w:val="24"/>
          <w:highlight w:val="none"/>
        </w:rPr>
      </w:pPr>
      <w:r>
        <w:rPr>
          <w:rFonts w:hint="eastAsia" w:ascii="仿宋" w:hAnsi="仿宋" w:eastAsia="仿宋"/>
          <w:b/>
          <w:bCs/>
          <w:color w:val="auto"/>
          <w:sz w:val="24"/>
          <w:highlight w:val="none"/>
        </w:rPr>
        <w:t>9、应伴随的服务：</w:t>
      </w:r>
    </w:p>
    <w:p>
      <w:pPr>
        <w:shd w:val="clear" w:color="auto" w:fill="auto"/>
        <w:spacing w:line="42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9.1.供货时提供合法有效完整的全部通关单及商品检验检疫手续资料；</w:t>
      </w:r>
    </w:p>
    <w:p>
      <w:pPr>
        <w:shd w:val="clear" w:color="auto" w:fill="auto"/>
        <w:spacing w:line="42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9.2.负责实施或监督所供货物的现场组装和/或试运行；提供货物组装和/或维修所需的工具；</w:t>
      </w:r>
    </w:p>
    <w:p>
      <w:pPr>
        <w:shd w:val="clear" w:color="auto" w:fill="auto"/>
        <w:spacing w:line="42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9.3.为所供货物的每一单台设备提供详细的操作和维护手册；</w:t>
      </w:r>
    </w:p>
    <w:p>
      <w:pPr>
        <w:shd w:val="clear" w:color="auto" w:fill="auto"/>
        <w:spacing w:line="42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9.4.在双方商定的一定期限内对所供货物实施运行或监督或维护或修理，但前提条件是该服务并不能免除卖方在合同保证期内所承担的义务；</w:t>
      </w:r>
    </w:p>
    <w:p>
      <w:pPr>
        <w:shd w:val="clear" w:color="auto" w:fill="auto"/>
        <w:spacing w:line="42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9.5.在卖方厂家和/或在项目现场就所供货物的组装、试运行、运行、维护和/或修理对买方人员进行培训。设备安装过程中如涉及墙体拆除、恢复，增加、连接线路等全部工作内容均由中标单位承担。</w:t>
      </w:r>
    </w:p>
    <w:p>
      <w:pPr>
        <w:shd w:val="clear" w:color="auto" w:fill="auto"/>
        <w:spacing w:line="420" w:lineRule="exact"/>
        <w:ind w:firstLine="480"/>
        <w:rPr>
          <w:rFonts w:hint="eastAsia" w:ascii="仿宋" w:hAnsi="仿宋" w:eastAsia="仿宋"/>
          <w:b/>
          <w:bCs/>
          <w:color w:val="auto"/>
          <w:sz w:val="24"/>
          <w:highlight w:val="none"/>
        </w:rPr>
      </w:pPr>
      <w:r>
        <w:rPr>
          <w:rFonts w:hint="eastAsia" w:ascii="仿宋" w:hAnsi="仿宋" w:eastAsia="仿宋"/>
          <w:b/>
          <w:bCs/>
          <w:color w:val="auto"/>
          <w:sz w:val="24"/>
          <w:highlight w:val="none"/>
        </w:rPr>
        <w:t>9.6.所有设备、材料必须是全新并且符合采购技术要求，中标方应对设备供货商提供的设备进行质量把关，对到货设备严格按照国家标准进行验收，出具详细的验收报告及验收清单，若发现所提供设备品质和技术规范不满足招标和承诺要求等，采购人有权拒收，并要求中标方更换和赔偿。</w:t>
      </w:r>
    </w:p>
    <w:p>
      <w:pPr>
        <w:shd w:val="clear" w:color="auto" w:fill="auto"/>
        <w:spacing w:line="420" w:lineRule="exact"/>
        <w:ind w:firstLine="480"/>
        <w:rPr>
          <w:rFonts w:ascii="仿宋" w:hAnsi="仿宋" w:eastAsia="仿宋"/>
          <w:b/>
          <w:bCs/>
          <w:color w:val="auto"/>
          <w:sz w:val="24"/>
          <w:highlight w:val="none"/>
        </w:rPr>
      </w:pPr>
      <w:r>
        <w:rPr>
          <w:rFonts w:hint="eastAsia" w:ascii="仿宋" w:hAnsi="仿宋" w:eastAsia="仿宋"/>
          <w:b/>
          <w:bCs/>
          <w:color w:val="auto"/>
          <w:sz w:val="24"/>
          <w:highlight w:val="none"/>
        </w:rPr>
        <w:t>9.7.提供的货物，应保证包装完好、数量与供货产品清单相符。投标人提供的产品送货到采购人指定现场后，应该会同采购人（或采购人授权人员）进行开箱点货验收（由中标方或所投产品设备商拆除包装，并负责运输到采购人指定位置）。点货验收前，投标人需提供完整清晰的供货清单。点货验收后，双方签字确认，并将货物的保管权移交给采购人。采购人在保管期内只对货物的数量和外观原状负责。</w:t>
      </w:r>
    </w:p>
    <w:p>
      <w:pPr>
        <w:shd w:val="clear" w:color="auto" w:fill="auto"/>
        <w:spacing w:line="420" w:lineRule="exact"/>
        <w:ind w:firstLine="480"/>
        <w:rPr>
          <w:rFonts w:ascii="仿宋" w:hAnsi="仿宋" w:eastAsia="仿宋"/>
          <w:b/>
          <w:bCs/>
          <w:color w:val="auto"/>
          <w:sz w:val="24"/>
          <w:highlight w:val="none"/>
        </w:rPr>
      </w:pPr>
      <w:r>
        <w:rPr>
          <w:rFonts w:hint="eastAsia" w:ascii="仿宋" w:hAnsi="仿宋" w:eastAsia="仿宋"/>
          <w:b/>
          <w:bCs/>
          <w:color w:val="auto"/>
          <w:sz w:val="24"/>
          <w:highlight w:val="none"/>
        </w:rPr>
        <w:t>9.8.负责组织货物制造厂家合格的技术人员或由货物制造厂家直接授权的有资格的技术人员完成设备及软件的安装、测试，并解决此过程中出现的有关问题和提供技术支持服务。</w:t>
      </w:r>
    </w:p>
    <w:p>
      <w:pPr>
        <w:shd w:val="clear" w:color="auto" w:fill="auto"/>
        <w:spacing w:line="420" w:lineRule="exact"/>
        <w:ind w:firstLine="480"/>
        <w:rPr>
          <w:rFonts w:ascii="仿宋" w:hAnsi="仿宋" w:eastAsia="仿宋"/>
          <w:b/>
          <w:bCs/>
          <w:color w:val="auto"/>
          <w:sz w:val="24"/>
          <w:highlight w:val="none"/>
        </w:rPr>
      </w:pPr>
      <w:r>
        <w:rPr>
          <w:rFonts w:hint="eastAsia" w:ascii="仿宋" w:hAnsi="仿宋" w:eastAsia="仿宋"/>
          <w:b/>
          <w:bCs/>
          <w:color w:val="auto"/>
          <w:sz w:val="24"/>
          <w:highlight w:val="none"/>
        </w:rPr>
        <w:t>9.9.投标人提供的货物若具有固有的设计缺陷，则不能因超过质保期而解除投标人对该产品应承担的修复和更换责任。</w:t>
      </w:r>
    </w:p>
    <w:p>
      <w:pPr>
        <w:pStyle w:val="46"/>
        <w:shd w:val="clear" w:color="auto" w:fill="auto"/>
        <w:tabs>
          <w:tab w:val="left" w:pos="955"/>
        </w:tabs>
        <w:spacing w:line="420" w:lineRule="exact"/>
        <w:ind w:firstLine="482" w:firstLineChars="200"/>
        <w:rPr>
          <w:rFonts w:hint="eastAsia" w:ascii="仿宋" w:hAnsi="仿宋" w:eastAsia="仿宋"/>
          <w:b/>
          <w:bCs/>
          <w:color w:val="auto"/>
          <w:sz w:val="24"/>
          <w:highlight w:val="none"/>
        </w:rPr>
      </w:pPr>
      <w:r>
        <w:rPr>
          <w:rFonts w:hint="eastAsia" w:ascii="仿宋" w:hAnsi="仿宋" w:eastAsia="仿宋"/>
          <w:b/>
          <w:bCs/>
          <w:color w:val="auto"/>
          <w:sz w:val="24"/>
          <w:highlight w:val="none"/>
        </w:rPr>
        <w:t>9.10.在保修期结束前，需由原设备制造厂家或中标人技术人员代表和采购人代表对设备进行一次全面检查，任何缺陷由投标人负责修理，在修理之后，投标人应将缺陷原因、修理内容、完成修理及恢复正常的时间和日期等形成一份书面报告交采购人。</w:t>
      </w:r>
    </w:p>
    <w:p>
      <w:pPr>
        <w:pStyle w:val="46"/>
        <w:shd w:val="clear" w:color="auto" w:fill="auto"/>
        <w:spacing w:line="420" w:lineRule="exact"/>
        <w:ind w:firstLine="482" w:firstLineChars="200"/>
        <w:rPr>
          <w:rFonts w:hint="eastAsia" w:ascii="仿宋" w:hAnsi="仿宋" w:eastAsia="仿宋"/>
          <w:b/>
          <w:bCs/>
          <w:color w:val="auto"/>
          <w:sz w:val="24"/>
          <w:highlight w:val="none"/>
        </w:rPr>
      </w:pPr>
      <w:r>
        <w:rPr>
          <w:rFonts w:hint="eastAsia" w:ascii="仿宋" w:hAnsi="仿宋" w:eastAsia="仿宋"/>
          <w:b/>
          <w:bCs/>
          <w:color w:val="auto"/>
          <w:sz w:val="24"/>
          <w:highlight w:val="none"/>
        </w:rPr>
        <w:t xml:space="preserve">七、故障响应： </w:t>
      </w:r>
    </w:p>
    <w:p>
      <w:pPr>
        <w:shd w:val="clear" w:color="auto" w:fill="auto"/>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ascii="仿宋" w:hAnsi="仿宋" w:eastAsia="仿宋" w:cs="仿宋"/>
          <w:b/>
          <w:bCs/>
          <w:color w:val="auto"/>
          <w:sz w:val="24"/>
          <w:highlight w:val="none"/>
        </w:rPr>
        <w:t>设备故障响应时间：2小时，常规故障</w:t>
      </w:r>
      <w:r>
        <w:rPr>
          <w:rFonts w:hint="eastAsia" w:ascii="仿宋" w:hAnsi="仿宋" w:eastAsia="仿宋" w:cs="仿宋"/>
          <w:b/>
          <w:bCs/>
          <w:color w:val="auto"/>
          <w:sz w:val="24"/>
          <w:highlight w:val="none"/>
        </w:rPr>
        <w:t>厂家</w:t>
      </w:r>
      <w:r>
        <w:rPr>
          <w:rFonts w:ascii="仿宋" w:hAnsi="仿宋" w:eastAsia="仿宋" w:cs="仿宋"/>
          <w:b/>
          <w:bCs/>
          <w:color w:val="auto"/>
          <w:sz w:val="24"/>
          <w:highlight w:val="none"/>
        </w:rPr>
        <w:t>维修工程师48小时到场并解决问题；</w:t>
      </w:r>
    </w:p>
    <w:p>
      <w:pPr>
        <w:shd w:val="clear" w:color="auto" w:fill="auto"/>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2、</w:t>
      </w:r>
      <w:r>
        <w:rPr>
          <w:rFonts w:ascii="仿宋" w:hAnsi="仿宋" w:eastAsia="仿宋" w:cs="仿宋"/>
          <w:b/>
          <w:bCs/>
          <w:color w:val="auto"/>
          <w:sz w:val="24"/>
          <w:highlight w:val="none"/>
        </w:rPr>
        <w:t>如遇紧急故障，</w:t>
      </w:r>
      <w:r>
        <w:rPr>
          <w:rFonts w:hint="eastAsia" w:ascii="仿宋" w:hAnsi="仿宋" w:eastAsia="仿宋" w:cs="仿宋"/>
          <w:b/>
          <w:bCs/>
          <w:color w:val="auto"/>
          <w:sz w:val="24"/>
          <w:highlight w:val="none"/>
        </w:rPr>
        <w:t>厂家</w:t>
      </w:r>
      <w:r>
        <w:rPr>
          <w:rFonts w:ascii="仿宋" w:hAnsi="仿宋" w:eastAsia="仿宋" w:cs="仿宋"/>
          <w:b/>
          <w:bCs/>
          <w:color w:val="auto"/>
          <w:sz w:val="24"/>
          <w:highlight w:val="none"/>
        </w:rPr>
        <w:t>维修工程师应于12小时内到达故障现场；</w:t>
      </w:r>
    </w:p>
    <w:p>
      <w:pPr>
        <w:pStyle w:val="46"/>
        <w:shd w:val="clear" w:color="auto" w:fill="auto"/>
        <w:tabs>
          <w:tab w:val="left" w:pos="955"/>
        </w:tabs>
        <w:spacing w:line="420" w:lineRule="exact"/>
        <w:ind w:firstLine="482" w:firstLineChars="200"/>
        <w:rPr>
          <w:rFonts w:hint="eastAsia" w:ascii="仿宋" w:hAnsi="仿宋" w:eastAsia="仿宋"/>
          <w:b/>
          <w:bCs/>
          <w:color w:val="auto"/>
          <w:sz w:val="24"/>
          <w:highlight w:val="none"/>
        </w:rPr>
      </w:pPr>
      <w:r>
        <w:rPr>
          <w:rFonts w:hint="eastAsia" w:ascii="仿宋" w:hAnsi="仿宋" w:eastAsia="仿宋" w:cs="仿宋"/>
          <w:b/>
          <w:bCs/>
          <w:color w:val="auto"/>
          <w:sz w:val="24"/>
          <w:highlight w:val="none"/>
        </w:rPr>
        <w:t>3、</w:t>
      </w:r>
      <w:r>
        <w:rPr>
          <w:rFonts w:ascii="仿宋" w:hAnsi="仿宋" w:eastAsia="仿宋" w:cs="仿宋"/>
          <w:b/>
          <w:bCs/>
          <w:color w:val="auto"/>
          <w:sz w:val="24"/>
          <w:highlight w:val="none"/>
        </w:rPr>
        <w:t>故障设备修复期限自报修之日计算，不超过3个工作日，逾期由中标公司提供备用机，同时质保期顺延；</w:t>
      </w:r>
    </w:p>
    <w:p>
      <w:pPr>
        <w:pStyle w:val="46"/>
        <w:shd w:val="clear" w:color="auto" w:fill="auto"/>
        <w:tabs>
          <w:tab w:val="left" w:pos="955"/>
        </w:tabs>
        <w:spacing w:line="420" w:lineRule="exact"/>
        <w:ind w:firstLine="482" w:firstLineChars="200"/>
        <w:rPr>
          <w:rFonts w:hint="eastAsia" w:ascii="仿宋" w:hAnsi="仿宋" w:eastAsia="仿宋"/>
          <w:b/>
          <w:bCs/>
          <w:color w:val="auto"/>
          <w:sz w:val="24"/>
          <w:highlight w:val="none"/>
        </w:rPr>
      </w:pPr>
      <w:r>
        <w:rPr>
          <w:rFonts w:hint="eastAsia" w:ascii="仿宋" w:hAnsi="仿宋" w:eastAsia="仿宋"/>
          <w:b/>
          <w:bCs/>
          <w:color w:val="auto"/>
          <w:sz w:val="24"/>
          <w:highlight w:val="none"/>
        </w:rPr>
        <w:t>4、须详细注明维修联系人、维修方式（频次）、维修电话、邮箱、QQ号。维修人员需在每次履行维修义务后前往相关科室签署书面维修确认单，经双方签字确认后方可被认为履行完维修义务。书面维修确认单需留存作为合同履行依据。</w:t>
      </w:r>
    </w:p>
    <w:p>
      <w:pPr>
        <w:pStyle w:val="46"/>
        <w:shd w:val="clear" w:color="auto" w:fill="auto"/>
        <w:tabs>
          <w:tab w:val="left" w:pos="955"/>
        </w:tabs>
        <w:spacing w:line="420" w:lineRule="exact"/>
        <w:ind w:firstLine="482" w:firstLineChars="200"/>
        <w:rPr>
          <w:rFonts w:hint="eastAsia" w:ascii="仿宋" w:hAnsi="仿宋" w:eastAsia="仿宋"/>
          <w:b/>
          <w:bCs/>
          <w:color w:val="auto"/>
          <w:sz w:val="24"/>
          <w:highlight w:val="none"/>
        </w:rPr>
      </w:pPr>
      <w:r>
        <w:rPr>
          <w:rFonts w:hint="eastAsia" w:ascii="仿宋" w:hAnsi="仿宋" w:eastAsia="仿宋"/>
          <w:b/>
          <w:bCs/>
          <w:color w:val="auto"/>
          <w:sz w:val="24"/>
          <w:highlight w:val="none"/>
        </w:rPr>
        <w:t>八、付款方式</w:t>
      </w:r>
    </w:p>
    <w:p>
      <w:pPr>
        <w:shd w:val="clear" w:color="auto" w:fill="auto"/>
        <w:spacing w:line="440" w:lineRule="exact"/>
        <w:ind w:firstLine="482" w:firstLineChars="200"/>
        <w:rPr>
          <w:rFonts w:hint="eastAsia" w:ascii="仿宋" w:hAnsi="仿宋" w:eastAsia="仿宋"/>
          <w:b/>
          <w:bCs/>
          <w:color w:val="auto"/>
          <w:kern w:val="0"/>
          <w:sz w:val="24"/>
          <w:highlight w:val="none"/>
        </w:rPr>
      </w:pPr>
      <w:r>
        <w:rPr>
          <w:rFonts w:hint="eastAsia" w:ascii="仿宋" w:hAnsi="仿宋" w:eastAsia="仿宋"/>
          <w:b/>
          <w:bCs/>
          <w:color w:val="auto"/>
          <w:sz w:val="24"/>
          <w:highlight w:val="none"/>
        </w:rPr>
        <w:t>按甲乙双方签定的采购合同为准。</w:t>
      </w:r>
    </w:p>
    <w:p>
      <w:pPr>
        <w:pStyle w:val="46"/>
        <w:shd w:val="clear" w:color="auto" w:fill="auto"/>
        <w:tabs>
          <w:tab w:val="left" w:pos="360"/>
          <w:tab w:val="left" w:pos="480"/>
          <w:tab w:val="left" w:pos="1413"/>
        </w:tabs>
        <w:spacing w:line="420" w:lineRule="exact"/>
        <w:ind w:firstLine="482" w:firstLineChars="200"/>
        <w:rPr>
          <w:rFonts w:hint="eastAsia" w:ascii="仿宋" w:hAnsi="仿宋" w:eastAsia="仿宋"/>
          <w:b/>
          <w:color w:val="auto"/>
          <w:sz w:val="24"/>
        </w:rPr>
      </w:pPr>
      <w:r>
        <w:rPr>
          <w:rFonts w:hint="eastAsia" w:ascii="仿宋" w:hAnsi="仿宋" w:eastAsia="仿宋"/>
          <w:b/>
          <w:color w:val="auto"/>
          <w:sz w:val="24"/>
        </w:rPr>
        <w:t>九、违约责任</w:t>
      </w:r>
    </w:p>
    <w:p>
      <w:pPr>
        <w:shd w:val="clear" w:color="auto" w:fill="auto"/>
        <w:spacing w:line="420" w:lineRule="exact"/>
        <w:ind w:firstLine="484" w:firstLineChars="202"/>
        <w:rPr>
          <w:rFonts w:ascii="仿宋" w:hAnsi="仿宋" w:eastAsia="仿宋"/>
          <w:bCs/>
          <w:color w:val="auto"/>
          <w:kern w:val="0"/>
          <w:sz w:val="24"/>
        </w:rPr>
      </w:pPr>
      <w:r>
        <w:rPr>
          <w:rFonts w:hint="eastAsia" w:ascii="仿宋" w:hAnsi="仿宋" w:eastAsia="仿宋"/>
          <w:bCs/>
          <w:color w:val="auto"/>
          <w:kern w:val="0"/>
          <w:sz w:val="24"/>
        </w:rPr>
        <w:t>1、乙方提供设备如满足不了甲方要求，由乙方负责包换，并承担调换或退货而支付的实际费用。乙方不能调换的，甲方有权终止合同。</w:t>
      </w:r>
    </w:p>
    <w:p>
      <w:pPr>
        <w:shd w:val="clear" w:color="auto" w:fill="auto"/>
        <w:spacing w:line="420" w:lineRule="exact"/>
        <w:ind w:firstLine="484" w:firstLineChars="202"/>
        <w:rPr>
          <w:rFonts w:ascii="仿宋" w:hAnsi="仿宋" w:eastAsia="仿宋"/>
          <w:bCs/>
          <w:color w:val="auto"/>
          <w:kern w:val="0"/>
          <w:sz w:val="24"/>
        </w:rPr>
      </w:pPr>
      <w:r>
        <w:rPr>
          <w:rFonts w:hint="eastAsia" w:ascii="仿宋" w:hAnsi="仿宋" w:eastAsia="仿宋"/>
          <w:bCs/>
          <w:color w:val="auto"/>
          <w:kern w:val="0"/>
          <w:sz w:val="24"/>
        </w:rPr>
        <w:t>2、因包装不符合规定造成货物损坏或灭失的，乙方应当负责赔偿。</w:t>
      </w:r>
    </w:p>
    <w:p>
      <w:pPr>
        <w:shd w:val="clear" w:color="auto" w:fill="auto"/>
        <w:spacing w:line="420" w:lineRule="exact"/>
        <w:ind w:firstLine="484" w:firstLineChars="202"/>
        <w:rPr>
          <w:rFonts w:ascii="仿宋" w:hAnsi="仿宋" w:eastAsia="仿宋"/>
          <w:bCs/>
          <w:color w:val="auto"/>
          <w:kern w:val="0"/>
          <w:sz w:val="24"/>
        </w:rPr>
      </w:pPr>
      <w:r>
        <w:rPr>
          <w:rFonts w:hint="eastAsia" w:ascii="仿宋" w:hAnsi="仿宋" w:eastAsia="仿宋"/>
          <w:bCs/>
          <w:color w:val="auto"/>
          <w:kern w:val="0"/>
          <w:sz w:val="24"/>
        </w:rPr>
        <w:t>3、如设备质量存在问题，给甲方造成损失，由乙方承担全部责任并赔偿甲方所有损失。</w:t>
      </w:r>
    </w:p>
    <w:p>
      <w:pPr>
        <w:pStyle w:val="46"/>
        <w:shd w:val="clear" w:color="auto" w:fill="auto"/>
        <w:tabs>
          <w:tab w:val="left" w:pos="955"/>
        </w:tabs>
        <w:spacing w:line="420" w:lineRule="exact"/>
        <w:ind w:firstLine="480" w:firstLineChars="200"/>
        <w:rPr>
          <w:rFonts w:hint="eastAsia" w:ascii="仿宋" w:hAnsi="仿宋" w:eastAsia="仿宋"/>
          <w:color w:val="auto"/>
          <w:sz w:val="24"/>
        </w:rPr>
      </w:pPr>
      <w:r>
        <w:rPr>
          <w:rFonts w:hint="eastAsia" w:ascii="仿宋" w:hAnsi="仿宋" w:eastAsia="仿宋"/>
          <w:color w:val="auto"/>
          <w:sz w:val="24"/>
        </w:rPr>
        <w:t>4、若乙方未如期按照合同约定交付合同货物或提供服务、补足或更换货物，甲方有权直接向乙方发出违约通知书，违约金按合同价格的2</w:t>
      </w:r>
      <w:r>
        <w:rPr>
          <w:rFonts w:hint="eastAsia" w:ascii="仿宋" w:hAnsi="仿宋" w:eastAsia="仿宋"/>
          <w:bCs/>
          <w:color w:val="auto"/>
          <w:kern w:val="0"/>
          <w:sz w:val="24"/>
        </w:rPr>
        <w:t>‰</w:t>
      </w:r>
      <w:r>
        <w:rPr>
          <w:rFonts w:hint="eastAsia" w:ascii="仿宋" w:hAnsi="仿宋" w:eastAsia="仿宋"/>
          <w:color w:val="auto"/>
          <w:sz w:val="24"/>
        </w:rPr>
        <w:t>计算每日的违约金。</w:t>
      </w:r>
    </w:p>
    <w:p>
      <w:pPr>
        <w:pStyle w:val="46"/>
        <w:shd w:val="clear" w:color="auto" w:fill="auto"/>
        <w:tabs>
          <w:tab w:val="left" w:pos="955"/>
        </w:tabs>
        <w:spacing w:line="420" w:lineRule="exact"/>
        <w:ind w:firstLine="480" w:firstLineChars="200"/>
        <w:rPr>
          <w:rFonts w:hint="eastAsia" w:ascii="仿宋" w:hAnsi="仿宋" w:eastAsia="仿宋"/>
          <w:color w:val="auto"/>
          <w:sz w:val="24"/>
        </w:rPr>
      </w:pPr>
      <w:r>
        <w:rPr>
          <w:rFonts w:hint="eastAsia" w:ascii="仿宋" w:hAnsi="仿宋" w:eastAsia="仿宋"/>
          <w:color w:val="auto"/>
          <w:sz w:val="24"/>
        </w:rPr>
        <w:t>5、如果乙方在收到甲方的违约通知书5个工作日内未作答复也没有按照甲方选择的方式承担违约责任，则甲方有权从尚未支付的合同价款中扣回相当于甲方选择的方式计算的索赔金额。如果这些金额不足以补偿，甲方有权向乙方提出不足部分的赔偿要求。</w:t>
      </w:r>
    </w:p>
    <w:p>
      <w:pPr>
        <w:pStyle w:val="46"/>
        <w:shd w:val="clear" w:color="auto" w:fill="auto"/>
        <w:tabs>
          <w:tab w:val="left" w:pos="955"/>
        </w:tabs>
        <w:spacing w:line="420" w:lineRule="exact"/>
        <w:ind w:firstLine="480" w:firstLineChars="200"/>
        <w:rPr>
          <w:rFonts w:hint="eastAsia" w:ascii="仿宋" w:hAnsi="仿宋" w:eastAsia="仿宋"/>
          <w:color w:val="auto"/>
          <w:sz w:val="24"/>
        </w:rPr>
      </w:pPr>
      <w:r>
        <w:rPr>
          <w:rFonts w:hint="eastAsia" w:ascii="仿宋" w:hAnsi="仿宋" w:eastAsia="仿宋"/>
          <w:color w:val="auto"/>
          <w:sz w:val="24"/>
        </w:rPr>
        <w:t>6、当违约行为给对方造成损失时，若违约金不足以弥补全部损失，违约方还应当赔偿对方因此所受全部损失。当构成严重违约时（如延期交货达一个月时），甲方可以单方面决定解除或终止合同履行，违约方同时还应当承担违约或赔偿责任。</w:t>
      </w:r>
    </w:p>
    <w:p>
      <w:pPr>
        <w:pStyle w:val="46"/>
        <w:shd w:val="clear" w:color="auto" w:fill="auto"/>
        <w:tabs>
          <w:tab w:val="left" w:pos="955"/>
        </w:tabs>
        <w:spacing w:line="420" w:lineRule="exact"/>
        <w:ind w:firstLine="480" w:firstLineChars="200"/>
        <w:rPr>
          <w:rFonts w:hint="eastAsia" w:ascii="仿宋" w:hAnsi="仿宋" w:eastAsia="仿宋"/>
          <w:color w:val="auto"/>
          <w:sz w:val="24"/>
        </w:rPr>
      </w:pPr>
      <w:r>
        <w:rPr>
          <w:rFonts w:hint="eastAsia" w:ascii="仿宋" w:hAnsi="仿宋" w:eastAsia="仿宋"/>
          <w:color w:val="auto"/>
          <w:sz w:val="24"/>
        </w:rPr>
        <w:t>7、以上各项交付的违约金并不影响违约方履行合同的各项义务。</w:t>
      </w:r>
    </w:p>
    <w:p>
      <w:pPr>
        <w:pStyle w:val="46"/>
        <w:shd w:val="clear" w:color="auto" w:fill="auto"/>
        <w:tabs>
          <w:tab w:val="left" w:pos="360"/>
          <w:tab w:val="left" w:pos="480"/>
          <w:tab w:val="left" w:pos="1413"/>
        </w:tabs>
        <w:spacing w:line="420" w:lineRule="exact"/>
        <w:ind w:firstLine="482" w:firstLineChars="200"/>
        <w:rPr>
          <w:rFonts w:hint="eastAsia" w:ascii="仿宋" w:hAnsi="仿宋" w:eastAsia="仿宋"/>
          <w:b/>
          <w:color w:val="auto"/>
          <w:sz w:val="24"/>
        </w:rPr>
      </w:pPr>
      <w:r>
        <w:rPr>
          <w:rFonts w:hint="eastAsia" w:ascii="仿宋" w:hAnsi="仿宋" w:eastAsia="仿宋"/>
          <w:b/>
          <w:color w:val="auto"/>
          <w:sz w:val="24"/>
        </w:rPr>
        <w:t>十、不可抗力</w:t>
      </w:r>
    </w:p>
    <w:p>
      <w:pPr>
        <w:pStyle w:val="46"/>
        <w:shd w:val="clear" w:color="auto" w:fill="auto"/>
        <w:tabs>
          <w:tab w:val="left" w:pos="955"/>
        </w:tabs>
        <w:spacing w:line="420" w:lineRule="exact"/>
        <w:ind w:firstLine="480" w:firstLineChars="200"/>
        <w:rPr>
          <w:rFonts w:hint="eastAsia" w:ascii="仿宋" w:hAnsi="仿宋" w:eastAsia="仿宋"/>
          <w:color w:val="auto"/>
          <w:sz w:val="24"/>
        </w:rPr>
      </w:pPr>
      <w:r>
        <w:rPr>
          <w:rFonts w:hint="eastAsia" w:ascii="仿宋" w:hAnsi="仿宋" w:eastAsia="仿宋"/>
          <w:color w:val="auto"/>
          <w:sz w:val="24"/>
        </w:rPr>
        <w:t>1、任何一方因不可抗力不能履行本合同规定的全部或部分义务，该方应尽快通知另一方，并须在不可抗力发生后三日内以书面形式向另一方提供详细情况报告及不可抗力对履行本合同的影响程度的说明。遭受不可抗力影响的一方有责任尽可能及时采取适当或必要措施减少或消除不可抗力的影响。遭受不可抗力影响的一方对因未尽本项责任而造成的相关损失承担责任。合同各方应根据不可抗力对本合同履行的影响程度，协商确定是否终止本合同，或是继续履行本合同。</w:t>
      </w:r>
    </w:p>
    <w:p>
      <w:pPr>
        <w:pStyle w:val="46"/>
        <w:shd w:val="clear" w:color="auto" w:fill="auto"/>
        <w:tabs>
          <w:tab w:val="left" w:pos="360"/>
          <w:tab w:val="left" w:pos="480"/>
          <w:tab w:val="left" w:pos="1413"/>
        </w:tabs>
        <w:spacing w:line="420" w:lineRule="exact"/>
        <w:ind w:firstLine="482" w:firstLineChars="200"/>
        <w:rPr>
          <w:rFonts w:hint="eastAsia" w:ascii="仿宋" w:hAnsi="仿宋" w:eastAsia="仿宋"/>
          <w:b/>
          <w:color w:val="auto"/>
          <w:sz w:val="24"/>
        </w:rPr>
      </w:pPr>
      <w:r>
        <w:rPr>
          <w:rFonts w:hint="eastAsia" w:ascii="仿宋" w:hAnsi="仿宋" w:eastAsia="仿宋"/>
          <w:b/>
          <w:color w:val="auto"/>
          <w:sz w:val="24"/>
        </w:rPr>
        <w:t>十一、合同终止</w:t>
      </w:r>
    </w:p>
    <w:p>
      <w:pPr>
        <w:pStyle w:val="46"/>
        <w:shd w:val="clear" w:color="auto" w:fill="auto"/>
        <w:tabs>
          <w:tab w:val="left" w:pos="955"/>
        </w:tabs>
        <w:spacing w:line="420" w:lineRule="exact"/>
        <w:ind w:firstLine="480" w:firstLineChars="200"/>
        <w:rPr>
          <w:rFonts w:hint="eastAsia" w:ascii="仿宋" w:hAnsi="仿宋" w:eastAsia="仿宋"/>
          <w:color w:val="auto"/>
          <w:sz w:val="24"/>
        </w:rPr>
      </w:pPr>
      <w:r>
        <w:rPr>
          <w:rFonts w:hint="eastAsia" w:ascii="仿宋" w:hAnsi="仿宋" w:eastAsia="仿宋"/>
          <w:color w:val="auto"/>
          <w:sz w:val="24"/>
        </w:rPr>
        <w:t>1、本合同因下列原因而终止：</w:t>
      </w:r>
    </w:p>
    <w:p>
      <w:pPr>
        <w:pStyle w:val="46"/>
        <w:shd w:val="clear" w:color="auto" w:fill="auto"/>
        <w:tabs>
          <w:tab w:val="left" w:pos="955"/>
        </w:tabs>
        <w:spacing w:line="420" w:lineRule="exact"/>
        <w:ind w:firstLine="480" w:firstLineChars="200"/>
        <w:rPr>
          <w:rFonts w:hint="eastAsia" w:ascii="仿宋" w:hAnsi="仿宋" w:eastAsia="仿宋"/>
          <w:color w:val="auto"/>
          <w:sz w:val="24"/>
        </w:rPr>
      </w:pPr>
      <w:r>
        <w:rPr>
          <w:rFonts w:hint="eastAsia" w:ascii="仿宋" w:hAnsi="仿宋" w:eastAsia="仿宋"/>
          <w:color w:val="auto"/>
          <w:sz w:val="24"/>
        </w:rPr>
        <w:t>1）本合同正常履行完毕；</w:t>
      </w:r>
    </w:p>
    <w:p>
      <w:pPr>
        <w:pStyle w:val="46"/>
        <w:shd w:val="clear" w:color="auto" w:fill="auto"/>
        <w:tabs>
          <w:tab w:val="left" w:pos="955"/>
        </w:tabs>
        <w:spacing w:line="420" w:lineRule="exact"/>
        <w:ind w:firstLine="480" w:firstLineChars="200"/>
        <w:rPr>
          <w:rFonts w:hint="eastAsia" w:ascii="仿宋" w:hAnsi="仿宋" w:eastAsia="仿宋"/>
          <w:color w:val="auto"/>
          <w:sz w:val="24"/>
        </w:rPr>
      </w:pPr>
      <w:r>
        <w:rPr>
          <w:rFonts w:hint="eastAsia" w:ascii="仿宋" w:hAnsi="仿宋" w:eastAsia="仿宋"/>
          <w:color w:val="auto"/>
          <w:sz w:val="24"/>
        </w:rPr>
        <w:t>2）合同双方协议终止本合同的履行；</w:t>
      </w:r>
    </w:p>
    <w:p>
      <w:pPr>
        <w:pStyle w:val="46"/>
        <w:shd w:val="clear" w:color="auto" w:fill="auto"/>
        <w:tabs>
          <w:tab w:val="left" w:pos="955"/>
        </w:tabs>
        <w:spacing w:line="420" w:lineRule="exact"/>
        <w:ind w:firstLine="480" w:firstLineChars="200"/>
        <w:rPr>
          <w:rFonts w:hint="eastAsia" w:ascii="仿宋" w:hAnsi="仿宋" w:eastAsia="仿宋"/>
          <w:color w:val="auto"/>
          <w:sz w:val="24"/>
        </w:rPr>
      </w:pPr>
      <w:r>
        <w:rPr>
          <w:rFonts w:hint="eastAsia" w:ascii="仿宋" w:hAnsi="仿宋" w:eastAsia="仿宋"/>
          <w:color w:val="auto"/>
          <w:sz w:val="24"/>
        </w:rPr>
        <w:t>3）不可抗力事件导致本合同无法履行或履行不必要；</w:t>
      </w:r>
    </w:p>
    <w:p>
      <w:pPr>
        <w:pStyle w:val="46"/>
        <w:shd w:val="clear" w:color="auto" w:fill="auto"/>
        <w:tabs>
          <w:tab w:val="left" w:pos="955"/>
        </w:tabs>
        <w:spacing w:line="420" w:lineRule="exact"/>
        <w:ind w:firstLine="480" w:firstLineChars="200"/>
        <w:rPr>
          <w:rFonts w:hint="eastAsia" w:ascii="仿宋" w:hAnsi="仿宋" w:eastAsia="仿宋"/>
          <w:color w:val="auto"/>
          <w:sz w:val="24"/>
        </w:rPr>
      </w:pPr>
      <w:r>
        <w:rPr>
          <w:rFonts w:hint="eastAsia" w:ascii="仿宋" w:hAnsi="仿宋" w:eastAsia="仿宋"/>
          <w:color w:val="auto"/>
          <w:sz w:val="24"/>
        </w:rPr>
        <w:t>4）任何一方行使解除权，解除本合同。</w:t>
      </w:r>
    </w:p>
    <w:p>
      <w:pPr>
        <w:pStyle w:val="46"/>
        <w:shd w:val="clear" w:color="auto" w:fill="auto"/>
        <w:tabs>
          <w:tab w:val="left" w:pos="955"/>
        </w:tabs>
        <w:spacing w:line="420" w:lineRule="exact"/>
        <w:ind w:firstLine="480" w:firstLineChars="200"/>
        <w:rPr>
          <w:rFonts w:hint="eastAsia" w:ascii="仿宋" w:hAnsi="仿宋" w:eastAsia="仿宋"/>
          <w:color w:val="auto"/>
          <w:sz w:val="24"/>
        </w:rPr>
      </w:pPr>
      <w:r>
        <w:rPr>
          <w:rFonts w:hint="eastAsia" w:ascii="仿宋" w:hAnsi="仿宋" w:eastAsia="仿宋"/>
          <w:color w:val="auto"/>
          <w:sz w:val="24"/>
        </w:rPr>
        <w:t>2、对本合同终止有过错的一方应赔偿另一方因合同终止而受到的损失。对合同终止双方均无过错的，则各自承担所受到的损失。</w:t>
      </w:r>
    </w:p>
    <w:p>
      <w:pPr>
        <w:pStyle w:val="46"/>
        <w:shd w:val="clear" w:color="auto" w:fill="auto"/>
        <w:tabs>
          <w:tab w:val="left" w:pos="360"/>
          <w:tab w:val="left" w:pos="480"/>
          <w:tab w:val="left" w:pos="1413"/>
        </w:tabs>
        <w:spacing w:line="420" w:lineRule="exact"/>
        <w:ind w:firstLine="482" w:firstLineChars="200"/>
        <w:rPr>
          <w:rFonts w:hint="eastAsia" w:ascii="仿宋" w:hAnsi="仿宋" w:eastAsia="仿宋"/>
          <w:b/>
          <w:color w:val="auto"/>
          <w:sz w:val="24"/>
        </w:rPr>
      </w:pPr>
      <w:r>
        <w:rPr>
          <w:rFonts w:hint="eastAsia" w:ascii="仿宋" w:hAnsi="仿宋" w:eastAsia="仿宋"/>
          <w:b/>
          <w:color w:val="auto"/>
          <w:sz w:val="24"/>
        </w:rPr>
        <w:t>十二、合同解除</w:t>
      </w:r>
    </w:p>
    <w:p>
      <w:pPr>
        <w:pStyle w:val="47"/>
        <w:shd w:val="clear" w:color="auto" w:fill="auto"/>
        <w:spacing w:line="42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1、在本合同履行过程中，如果发生以下情形之一，合同一方可以通知对方解除合同：</w:t>
      </w:r>
    </w:p>
    <w:p>
      <w:pPr>
        <w:pStyle w:val="47"/>
        <w:shd w:val="clear" w:color="auto" w:fill="auto"/>
        <w:spacing w:line="42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1.1因对方根本违约使合同无法继续履行或没有必要继续履行；</w:t>
      </w:r>
    </w:p>
    <w:p>
      <w:pPr>
        <w:pStyle w:val="47"/>
        <w:shd w:val="clear" w:color="auto" w:fill="auto"/>
        <w:spacing w:line="42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1.2在甲方对乙方违约后采取的补救措施不予接受的情况下，甲方有权解除合同；</w:t>
      </w:r>
    </w:p>
    <w:p>
      <w:pPr>
        <w:pStyle w:val="47"/>
        <w:shd w:val="clear" w:color="auto" w:fill="auto"/>
        <w:spacing w:line="42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1.2.1如果非因甲方原因，乙方未能在甲方同意延长的限期内按照本合同约定及服务承诺提供服务，甲方有权解除本合同；</w:t>
      </w:r>
    </w:p>
    <w:p>
      <w:pPr>
        <w:pStyle w:val="47"/>
        <w:shd w:val="clear" w:color="auto" w:fill="auto"/>
        <w:spacing w:line="42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1.2.2乙方在收到甲方的违约通知后五日内，未能纠正其违约行为，甲方有权解除本合同。</w:t>
      </w:r>
    </w:p>
    <w:p>
      <w:pPr>
        <w:pStyle w:val="47"/>
        <w:shd w:val="clear" w:color="auto" w:fill="auto"/>
        <w:spacing w:line="42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1.3如果乙方未能履行本合同约定的其它任何义务，甲方有权解除本合同。</w:t>
      </w:r>
    </w:p>
    <w:p>
      <w:pPr>
        <w:pStyle w:val="47"/>
        <w:shd w:val="clear" w:color="auto" w:fill="auto"/>
        <w:spacing w:line="42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1.4如果乙方在服务采购或实施中有腐败和欺诈行为，甲方有权解除本合同。“腐败行为”是指提供、给予任何有价值的东西来影响甲方人员在采购过程或合同实施过程中的行为；“欺诈行为”指为了影响采购过程或合同实施过程而谎报事实，损害甲方的利益，包括投标（报价）人之间串通报价，人为地使投标（报价）丧失竞争性，剥夺甲方从自由公开竞争所能获得的权益。</w:t>
      </w:r>
    </w:p>
    <w:p>
      <w:pPr>
        <w:pStyle w:val="47"/>
        <w:shd w:val="clear" w:color="auto" w:fill="auto"/>
        <w:spacing w:line="42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1.5如果乙方无实际履行能力以及破产或无清偿能力时，甲方可在任何时候以书面形式通知乙方终止合同，终止该合同将不损害或影响甲方已经采取或将要采取的补救措施的权利。</w:t>
      </w:r>
    </w:p>
    <w:p>
      <w:pPr>
        <w:pStyle w:val="47"/>
        <w:shd w:val="clear" w:color="auto" w:fill="auto"/>
        <w:spacing w:line="42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1.6由于不可抗力致使本合同不能履行的，甲方可以解除本合同。</w:t>
      </w:r>
    </w:p>
    <w:p>
      <w:pPr>
        <w:pStyle w:val="47"/>
        <w:shd w:val="clear" w:color="auto" w:fill="auto"/>
        <w:spacing w:line="42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2、双方协商一致可以解除合同。</w:t>
      </w:r>
    </w:p>
    <w:p>
      <w:pPr>
        <w:pStyle w:val="47"/>
        <w:shd w:val="clear" w:color="auto" w:fill="auto"/>
        <w:spacing w:line="42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3、双方可依据本合同约定的其他可以解除合同的法定情形解除合同。</w:t>
      </w:r>
    </w:p>
    <w:p>
      <w:pPr>
        <w:pStyle w:val="47"/>
        <w:shd w:val="clear" w:color="auto" w:fill="auto"/>
        <w:spacing w:line="42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4、因乙方的原因，在甲方根据以上条款解除合同后，甲方可以依其认为适当的条件和方法购买相同或者类似未提供的服务，乙方应负担甲方因另行购买相同或者类似服务而多支出的费用。</w:t>
      </w:r>
    </w:p>
    <w:p>
      <w:pPr>
        <w:pStyle w:val="46"/>
        <w:shd w:val="clear" w:color="auto" w:fill="auto"/>
        <w:tabs>
          <w:tab w:val="left" w:pos="360"/>
          <w:tab w:val="left" w:pos="480"/>
          <w:tab w:val="left" w:pos="1413"/>
        </w:tabs>
        <w:spacing w:line="420" w:lineRule="exact"/>
        <w:ind w:firstLine="482" w:firstLineChars="200"/>
        <w:rPr>
          <w:rFonts w:ascii="仿宋" w:hAnsi="仿宋" w:eastAsia="仿宋"/>
          <w:b/>
          <w:color w:val="auto"/>
          <w:sz w:val="24"/>
        </w:rPr>
      </w:pPr>
      <w:r>
        <w:rPr>
          <w:rFonts w:hint="eastAsia" w:ascii="仿宋" w:hAnsi="仿宋" w:eastAsia="仿宋"/>
          <w:b/>
          <w:color w:val="auto"/>
          <w:sz w:val="24"/>
        </w:rPr>
        <w:t>十三、保密条款</w:t>
      </w:r>
    </w:p>
    <w:p>
      <w:pPr>
        <w:shd w:val="clear" w:color="auto" w:fill="auto"/>
        <w:spacing w:line="420" w:lineRule="exact"/>
        <w:ind w:firstLine="484" w:firstLineChars="202"/>
        <w:rPr>
          <w:rFonts w:ascii="仿宋" w:hAnsi="仿宋" w:eastAsia="仿宋"/>
          <w:bCs/>
          <w:color w:val="auto"/>
          <w:kern w:val="0"/>
          <w:sz w:val="24"/>
        </w:rPr>
      </w:pPr>
      <w:r>
        <w:rPr>
          <w:rFonts w:hint="eastAsia" w:ascii="仿宋" w:hAnsi="仿宋" w:eastAsia="仿宋"/>
          <w:bCs/>
          <w:color w:val="auto"/>
          <w:kern w:val="0"/>
          <w:sz w:val="24"/>
        </w:rPr>
        <w:t>1、任何一方对其获知的本合同及附件中其他各方的商业秘密和国家秘密负有保密义务。</w:t>
      </w:r>
    </w:p>
    <w:p>
      <w:pPr>
        <w:shd w:val="clear" w:color="auto" w:fill="auto"/>
        <w:spacing w:line="420" w:lineRule="exact"/>
        <w:ind w:firstLine="484" w:firstLineChars="202"/>
        <w:rPr>
          <w:rFonts w:ascii="仿宋" w:hAnsi="仿宋" w:eastAsia="仿宋"/>
          <w:bCs/>
          <w:color w:val="auto"/>
          <w:kern w:val="0"/>
          <w:sz w:val="24"/>
        </w:rPr>
      </w:pPr>
      <w:r>
        <w:rPr>
          <w:rFonts w:hint="eastAsia" w:ascii="仿宋" w:hAnsi="仿宋" w:eastAsia="仿宋"/>
          <w:bCs/>
          <w:color w:val="auto"/>
          <w:kern w:val="0"/>
          <w:sz w:val="24"/>
        </w:rPr>
        <w:t>2、在下列情形下：当发布中标公告和其他公告时，当国家机关调查、审查、审计时，以及其他符合法律规定的情形下，无须事先征求乙方同意而可以披露关于采购过程、合同文本、签署情况的资料、乙方的名称及地址、采购内容的有关信息以及补充条款等，但应当在合理的必要范围内。</w:t>
      </w:r>
    </w:p>
    <w:p>
      <w:pPr>
        <w:pStyle w:val="46"/>
        <w:shd w:val="clear" w:color="auto" w:fill="auto"/>
        <w:tabs>
          <w:tab w:val="left" w:pos="360"/>
          <w:tab w:val="left" w:pos="480"/>
          <w:tab w:val="left" w:pos="1413"/>
        </w:tabs>
        <w:spacing w:line="420" w:lineRule="exact"/>
        <w:ind w:firstLine="482" w:firstLineChars="200"/>
        <w:rPr>
          <w:rFonts w:ascii="仿宋" w:hAnsi="仿宋" w:eastAsia="仿宋"/>
          <w:b/>
          <w:color w:val="auto"/>
          <w:sz w:val="24"/>
        </w:rPr>
      </w:pPr>
      <w:r>
        <w:rPr>
          <w:rFonts w:hint="eastAsia" w:ascii="仿宋" w:hAnsi="仿宋" w:eastAsia="仿宋"/>
          <w:b/>
          <w:color w:val="auto"/>
          <w:sz w:val="24"/>
        </w:rPr>
        <w:t>十四、廉洁协议</w:t>
      </w:r>
    </w:p>
    <w:p>
      <w:pPr>
        <w:shd w:val="clear" w:color="auto" w:fill="auto"/>
        <w:spacing w:line="420" w:lineRule="exact"/>
        <w:ind w:firstLine="484" w:firstLineChars="202"/>
        <w:rPr>
          <w:rFonts w:ascii="仿宋" w:hAnsi="仿宋" w:eastAsia="仿宋"/>
          <w:bCs/>
          <w:color w:val="auto"/>
          <w:kern w:val="0"/>
          <w:sz w:val="24"/>
        </w:rPr>
      </w:pPr>
      <w:r>
        <w:rPr>
          <w:rFonts w:hint="eastAsia" w:ascii="仿宋" w:hAnsi="仿宋" w:eastAsia="仿宋"/>
          <w:bCs/>
          <w:color w:val="auto"/>
          <w:kern w:val="0"/>
          <w:sz w:val="24"/>
        </w:rPr>
        <w:t>1、乙方承诺，在与甲方合作期间，不以任何方式向甲方工作人员馈赠现金、实物、购物卡等;不得向甲方工作人员给予佣金、回扣、报酬、预期利益等的承诺。</w:t>
      </w:r>
    </w:p>
    <w:p>
      <w:pPr>
        <w:shd w:val="clear" w:color="auto" w:fill="auto"/>
        <w:spacing w:line="420" w:lineRule="exact"/>
        <w:ind w:firstLine="484" w:firstLineChars="202"/>
        <w:rPr>
          <w:rFonts w:hint="eastAsia" w:ascii="仿宋" w:hAnsi="仿宋" w:eastAsia="仿宋"/>
          <w:bCs/>
          <w:color w:val="auto"/>
          <w:kern w:val="0"/>
          <w:sz w:val="24"/>
        </w:rPr>
      </w:pPr>
      <w:r>
        <w:rPr>
          <w:rFonts w:hint="eastAsia" w:ascii="仿宋" w:hAnsi="仿宋" w:eastAsia="仿宋"/>
          <w:bCs/>
          <w:color w:val="auto"/>
          <w:kern w:val="0"/>
          <w:sz w:val="24"/>
        </w:rPr>
        <w:t>2、乙方承诺，在合同履行过程中，恪守商业道德，诚实守信，不得有违反本公约规定的任何不当行为，如有违反，乙方列入甲方黑名单，今后拒绝任何业务往来。如乙方违反合同约定，给甲方造成经济及名誉损失的，乙方应按合同约定承担违约责任。</w:t>
      </w:r>
    </w:p>
    <w:p>
      <w:pPr>
        <w:pStyle w:val="46"/>
        <w:shd w:val="clear" w:color="auto" w:fill="auto"/>
        <w:tabs>
          <w:tab w:val="left" w:pos="360"/>
          <w:tab w:val="left" w:pos="480"/>
          <w:tab w:val="left" w:pos="1413"/>
        </w:tabs>
        <w:spacing w:line="420" w:lineRule="exact"/>
        <w:ind w:firstLine="482" w:firstLineChars="200"/>
        <w:rPr>
          <w:rFonts w:hint="eastAsia" w:ascii="仿宋" w:hAnsi="仿宋" w:eastAsia="仿宋"/>
          <w:b/>
          <w:color w:val="auto"/>
          <w:sz w:val="24"/>
        </w:rPr>
      </w:pPr>
      <w:r>
        <w:rPr>
          <w:rFonts w:hint="eastAsia" w:ascii="仿宋" w:hAnsi="仿宋" w:eastAsia="仿宋"/>
          <w:b/>
          <w:color w:val="auto"/>
          <w:sz w:val="24"/>
        </w:rPr>
        <w:t>十五、争议的解决</w:t>
      </w:r>
    </w:p>
    <w:p>
      <w:pPr>
        <w:pStyle w:val="46"/>
        <w:shd w:val="clear" w:color="auto" w:fill="auto"/>
        <w:tabs>
          <w:tab w:val="left" w:pos="955"/>
        </w:tabs>
        <w:spacing w:line="420" w:lineRule="exact"/>
        <w:ind w:firstLine="480" w:firstLineChars="200"/>
        <w:rPr>
          <w:rFonts w:hint="eastAsia" w:ascii="仿宋" w:hAnsi="仿宋" w:eastAsia="仿宋"/>
          <w:color w:val="auto"/>
          <w:sz w:val="24"/>
        </w:rPr>
      </w:pPr>
      <w:r>
        <w:rPr>
          <w:rFonts w:hint="eastAsia" w:ascii="仿宋" w:hAnsi="仿宋" w:eastAsia="仿宋"/>
          <w:color w:val="auto"/>
          <w:sz w:val="24"/>
        </w:rPr>
        <w:t>1、合同双方应通过友好协商解决因解释﹑执行本合同所发生的和本合同有关的一切争议。如果经协商不能达成协议，可以采用以下方式解决：（1）提交当地仲裁委员会仲裁；（2）可向石河子市人民法院提起诉讼。</w:t>
      </w:r>
    </w:p>
    <w:p>
      <w:pPr>
        <w:pStyle w:val="46"/>
        <w:shd w:val="clear" w:color="auto" w:fill="auto"/>
        <w:tabs>
          <w:tab w:val="left" w:pos="955"/>
        </w:tabs>
        <w:spacing w:line="420" w:lineRule="exact"/>
        <w:ind w:firstLine="480" w:firstLineChars="200"/>
        <w:rPr>
          <w:rFonts w:hint="eastAsia" w:ascii="仿宋" w:hAnsi="仿宋" w:eastAsia="仿宋"/>
          <w:color w:val="auto"/>
          <w:sz w:val="24"/>
        </w:rPr>
      </w:pPr>
      <w:r>
        <w:rPr>
          <w:rFonts w:hint="eastAsia" w:ascii="仿宋" w:hAnsi="仿宋" w:eastAsia="仿宋"/>
          <w:color w:val="auto"/>
          <w:sz w:val="24"/>
        </w:rPr>
        <w:t>2、在争议解决期间，除了诉讼或仲裁进行过程中正在解决的那部分问题外，合同其余部分应继续履行。</w:t>
      </w:r>
    </w:p>
    <w:p>
      <w:pPr>
        <w:pStyle w:val="46"/>
        <w:shd w:val="clear" w:color="auto" w:fill="auto"/>
        <w:tabs>
          <w:tab w:val="left" w:pos="360"/>
          <w:tab w:val="left" w:pos="480"/>
          <w:tab w:val="left" w:pos="1413"/>
        </w:tabs>
        <w:spacing w:line="420" w:lineRule="exact"/>
        <w:ind w:firstLine="482" w:firstLineChars="200"/>
        <w:rPr>
          <w:rFonts w:hint="eastAsia" w:ascii="仿宋" w:hAnsi="仿宋" w:eastAsia="仿宋"/>
          <w:b/>
          <w:color w:val="auto"/>
          <w:sz w:val="24"/>
        </w:rPr>
      </w:pPr>
      <w:r>
        <w:rPr>
          <w:rFonts w:hint="eastAsia" w:ascii="仿宋" w:hAnsi="仿宋" w:eastAsia="仿宋"/>
          <w:b/>
          <w:color w:val="auto"/>
          <w:sz w:val="24"/>
        </w:rPr>
        <w:t>十六、合同的生效</w:t>
      </w:r>
    </w:p>
    <w:p>
      <w:pPr>
        <w:pStyle w:val="46"/>
        <w:shd w:val="clear" w:color="auto" w:fill="auto"/>
        <w:spacing w:line="420" w:lineRule="exact"/>
        <w:ind w:firstLine="480" w:firstLineChars="200"/>
        <w:rPr>
          <w:rFonts w:hint="eastAsia" w:ascii="仿宋" w:hAnsi="仿宋" w:eastAsia="仿宋"/>
          <w:color w:val="auto"/>
          <w:sz w:val="24"/>
        </w:rPr>
      </w:pPr>
      <w:r>
        <w:rPr>
          <w:rFonts w:hint="eastAsia" w:ascii="仿宋" w:hAnsi="仿宋" w:eastAsia="仿宋"/>
          <w:color w:val="auto"/>
          <w:sz w:val="24"/>
        </w:rPr>
        <w:t>本合同经甲乙双方法定代表人或授权代理人签字加盖单位公章时生效。</w:t>
      </w:r>
    </w:p>
    <w:p>
      <w:pPr>
        <w:pStyle w:val="46"/>
        <w:shd w:val="clear" w:color="auto" w:fill="auto"/>
        <w:tabs>
          <w:tab w:val="left" w:pos="360"/>
          <w:tab w:val="left" w:pos="480"/>
          <w:tab w:val="left" w:pos="1413"/>
        </w:tabs>
        <w:spacing w:line="420" w:lineRule="exact"/>
        <w:ind w:firstLine="482" w:firstLineChars="200"/>
        <w:rPr>
          <w:rFonts w:hint="eastAsia" w:ascii="仿宋" w:hAnsi="仿宋" w:eastAsia="仿宋"/>
          <w:b/>
          <w:color w:val="auto"/>
          <w:sz w:val="24"/>
        </w:rPr>
      </w:pPr>
      <w:r>
        <w:rPr>
          <w:rFonts w:hint="eastAsia" w:ascii="仿宋" w:hAnsi="仿宋" w:eastAsia="仿宋"/>
          <w:b/>
          <w:color w:val="auto"/>
          <w:sz w:val="24"/>
        </w:rPr>
        <w:t>十七、其他约定事项</w:t>
      </w:r>
    </w:p>
    <w:p>
      <w:pPr>
        <w:pStyle w:val="46"/>
        <w:shd w:val="clear" w:color="auto" w:fill="auto"/>
        <w:spacing w:line="420" w:lineRule="exact"/>
        <w:ind w:firstLine="480" w:firstLineChars="200"/>
        <w:rPr>
          <w:rFonts w:hint="eastAsia" w:ascii="仿宋" w:hAnsi="仿宋" w:eastAsia="仿宋"/>
          <w:color w:val="auto"/>
          <w:sz w:val="24"/>
        </w:rPr>
      </w:pPr>
      <w:r>
        <w:rPr>
          <w:rFonts w:hint="eastAsia" w:ascii="仿宋" w:hAnsi="仿宋" w:eastAsia="仿宋"/>
          <w:color w:val="auto"/>
          <w:sz w:val="24"/>
        </w:rPr>
        <w:t>1、乙方不得将合同转让给第三人。</w:t>
      </w:r>
    </w:p>
    <w:p>
      <w:pPr>
        <w:pStyle w:val="46"/>
        <w:shd w:val="clear" w:color="auto" w:fill="auto"/>
        <w:tabs>
          <w:tab w:val="left" w:pos="360"/>
          <w:tab w:val="left" w:pos="480"/>
          <w:tab w:val="left" w:pos="1413"/>
        </w:tabs>
        <w:spacing w:line="420" w:lineRule="exact"/>
        <w:ind w:firstLine="480" w:firstLineChars="200"/>
        <w:rPr>
          <w:rFonts w:hint="eastAsia" w:ascii="仿宋" w:hAnsi="仿宋" w:eastAsia="仿宋"/>
          <w:color w:val="auto"/>
          <w:sz w:val="24"/>
        </w:rPr>
      </w:pPr>
      <w:r>
        <w:rPr>
          <w:rFonts w:hint="eastAsia" w:ascii="仿宋" w:hAnsi="仿宋" w:eastAsia="仿宋"/>
          <w:color w:val="auto"/>
          <w:sz w:val="24"/>
        </w:rPr>
        <w:t>2、未尽事宜，经双方协商后可签定补充协议，与合同正本具有相同的法律效力。</w:t>
      </w:r>
    </w:p>
    <w:p>
      <w:pPr>
        <w:pStyle w:val="46"/>
        <w:shd w:val="clear" w:color="auto" w:fill="auto"/>
        <w:tabs>
          <w:tab w:val="left" w:pos="360"/>
          <w:tab w:val="left" w:pos="480"/>
          <w:tab w:val="left" w:pos="1413"/>
        </w:tabs>
        <w:spacing w:line="420" w:lineRule="exact"/>
        <w:ind w:firstLine="480" w:firstLineChars="200"/>
        <w:rPr>
          <w:rFonts w:hint="eastAsia" w:ascii="仿宋" w:hAnsi="仿宋" w:eastAsia="仿宋"/>
          <w:color w:val="auto"/>
          <w:sz w:val="24"/>
        </w:rPr>
      </w:pPr>
      <w:r>
        <w:rPr>
          <w:rFonts w:hint="eastAsia" w:ascii="仿宋" w:hAnsi="仿宋" w:eastAsia="仿宋"/>
          <w:color w:val="auto"/>
          <w:sz w:val="24"/>
        </w:rPr>
        <w:t>3、本合同一式五份，甲方执四份，乙方执一份。</w:t>
      </w:r>
    </w:p>
    <w:p>
      <w:pPr>
        <w:pStyle w:val="46"/>
        <w:shd w:val="clear" w:color="auto" w:fill="auto"/>
        <w:spacing w:line="420" w:lineRule="exact"/>
        <w:ind w:left="485" w:leftChars="202"/>
        <w:rPr>
          <w:rFonts w:hint="eastAsia" w:ascii="仿宋" w:hAnsi="仿宋" w:eastAsia="仿宋"/>
          <w:color w:val="auto"/>
          <w:sz w:val="24"/>
        </w:rPr>
      </w:pPr>
      <w:r>
        <w:rPr>
          <w:rFonts w:hint="eastAsia" w:ascii="仿宋" w:hAnsi="仿宋" w:eastAsia="仿宋"/>
          <w:color w:val="auto"/>
          <w:sz w:val="24"/>
        </w:rPr>
        <w:t xml:space="preserve">                                                                                                                                                                                                                                                                                                                                                                                                                                                                                                                                                                                                                                                                                                                                                             甲    方：                            乙    方：</w:t>
      </w:r>
    </w:p>
    <w:p>
      <w:pPr>
        <w:pStyle w:val="46"/>
        <w:shd w:val="clear" w:color="auto" w:fill="auto"/>
        <w:spacing w:line="420" w:lineRule="exact"/>
        <w:ind w:left="485" w:leftChars="202" w:firstLine="1"/>
        <w:rPr>
          <w:rFonts w:hint="eastAsia" w:ascii="仿宋" w:hAnsi="仿宋" w:eastAsia="仿宋"/>
          <w:color w:val="auto"/>
          <w:sz w:val="24"/>
        </w:rPr>
      </w:pPr>
      <w:r>
        <w:rPr>
          <w:rFonts w:hint="eastAsia" w:ascii="仿宋" w:hAnsi="仿宋" w:eastAsia="仿宋"/>
          <w:color w:val="auto"/>
          <w:sz w:val="24"/>
        </w:rPr>
        <w:t>单位名称(公章)：                      单位名称(公章)：</w:t>
      </w:r>
    </w:p>
    <w:p>
      <w:pPr>
        <w:pStyle w:val="46"/>
        <w:shd w:val="clear" w:color="auto" w:fill="auto"/>
        <w:spacing w:line="420" w:lineRule="exact"/>
        <w:ind w:left="485" w:leftChars="202" w:firstLine="1"/>
        <w:rPr>
          <w:rFonts w:hint="eastAsia" w:ascii="仿宋" w:hAnsi="仿宋" w:eastAsia="仿宋"/>
          <w:color w:val="auto"/>
          <w:sz w:val="24"/>
        </w:rPr>
      </w:pPr>
      <w:r>
        <w:rPr>
          <w:rFonts w:hint="eastAsia" w:ascii="仿宋" w:hAnsi="仿宋" w:eastAsia="仿宋"/>
          <w:color w:val="auto"/>
          <w:sz w:val="24"/>
        </w:rPr>
        <w:t>地址：                                地址：</w:t>
      </w:r>
    </w:p>
    <w:p>
      <w:pPr>
        <w:pStyle w:val="46"/>
        <w:shd w:val="clear" w:color="auto" w:fill="auto"/>
        <w:spacing w:line="420" w:lineRule="exact"/>
        <w:ind w:left="485" w:leftChars="202" w:firstLine="1"/>
        <w:rPr>
          <w:rFonts w:hint="eastAsia" w:ascii="仿宋" w:hAnsi="仿宋" w:eastAsia="仿宋"/>
          <w:color w:val="auto"/>
          <w:sz w:val="24"/>
        </w:rPr>
      </w:pPr>
      <w:r>
        <w:rPr>
          <w:rFonts w:hint="eastAsia" w:ascii="仿宋" w:hAnsi="仿宋" w:eastAsia="仿宋"/>
          <w:color w:val="auto"/>
          <w:sz w:val="24"/>
        </w:rPr>
        <w:t>法定代表人或授权代理人：（签字）      法定代表人或授权代理人：（签字）</w:t>
      </w:r>
    </w:p>
    <w:p>
      <w:pPr>
        <w:pStyle w:val="46"/>
        <w:shd w:val="clear" w:color="auto" w:fill="auto"/>
        <w:spacing w:line="420" w:lineRule="exact"/>
        <w:ind w:left="485" w:leftChars="202" w:firstLine="1"/>
        <w:rPr>
          <w:rFonts w:hint="eastAsia" w:ascii="仿宋" w:hAnsi="仿宋" w:eastAsia="仿宋"/>
          <w:color w:val="auto"/>
          <w:sz w:val="24"/>
        </w:rPr>
      </w:pPr>
      <w:r>
        <w:rPr>
          <w:rFonts w:hint="eastAsia" w:ascii="仿宋" w:hAnsi="仿宋" w:eastAsia="仿宋"/>
          <w:color w:val="auto"/>
          <w:sz w:val="24"/>
        </w:rPr>
        <w:t>传真：                                传真：</w:t>
      </w:r>
    </w:p>
    <w:p>
      <w:pPr>
        <w:pStyle w:val="46"/>
        <w:shd w:val="clear" w:color="auto" w:fill="auto"/>
        <w:spacing w:line="420" w:lineRule="exact"/>
        <w:ind w:left="485" w:leftChars="202" w:firstLine="1"/>
        <w:rPr>
          <w:rFonts w:hint="eastAsia" w:ascii="仿宋" w:hAnsi="仿宋" w:eastAsia="仿宋"/>
          <w:color w:val="auto"/>
          <w:sz w:val="24"/>
        </w:rPr>
      </w:pPr>
      <w:r>
        <w:rPr>
          <w:rFonts w:hint="eastAsia" w:ascii="仿宋" w:hAnsi="仿宋" w:eastAsia="仿宋"/>
          <w:color w:val="auto"/>
          <w:sz w:val="24"/>
        </w:rPr>
        <w:t>开户行：                              开户行：</w:t>
      </w:r>
    </w:p>
    <w:p>
      <w:pPr>
        <w:pStyle w:val="46"/>
        <w:shd w:val="clear" w:color="auto" w:fill="auto"/>
        <w:spacing w:line="420" w:lineRule="exact"/>
        <w:ind w:left="485" w:leftChars="202" w:firstLine="1"/>
        <w:rPr>
          <w:rFonts w:hint="eastAsia" w:ascii="仿宋" w:hAnsi="仿宋" w:eastAsia="仿宋"/>
          <w:color w:val="auto"/>
          <w:sz w:val="24"/>
        </w:rPr>
      </w:pPr>
      <w:r>
        <w:rPr>
          <w:rFonts w:hint="eastAsia" w:ascii="仿宋" w:hAnsi="仿宋" w:eastAsia="仿宋"/>
          <w:color w:val="auto"/>
          <w:sz w:val="24"/>
        </w:rPr>
        <w:t>账号：                                账号：</w:t>
      </w:r>
    </w:p>
    <w:p>
      <w:pPr>
        <w:pStyle w:val="46"/>
        <w:shd w:val="clear" w:color="auto" w:fill="auto"/>
        <w:spacing w:line="420" w:lineRule="exact"/>
        <w:ind w:left="485" w:leftChars="202" w:firstLine="1"/>
        <w:rPr>
          <w:rFonts w:hint="eastAsia" w:ascii="仿宋" w:hAnsi="仿宋" w:eastAsia="仿宋"/>
          <w:color w:val="auto"/>
          <w:sz w:val="24"/>
        </w:rPr>
      </w:pPr>
      <w:r>
        <w:rPr>
          <w:rFonts w:hint="eastAsia" w:ascii="仿宋" w:hAnsi="仿宋" w:eastAsia="仿宋"/>
          <w:color w:val="auto"/>
          <w:sz w:val="24"/>
        </w:rPr>
        <w:t>邮政编码：                            邮政编码：</w:t>
      </w:r>
    </w:p>
    <w:p>
      <w:pPr>
        <w:pStyle w:val="46"/>
        <w:shd w:val="clear" w:color="auto" w:fill="auto"/>
        <w:spacing w:line="420" w:lineRule="exact"/>
        <w:ind w:left="485" w:leftChars="202" w:firstLine="1"/>
        <w:rPr>
          <w:rFonts w:hint="eastAsia" w:ascii="仿宋" w:hAnsi="仿宋" w:eastAsia="仿宋"/>
          <w:color w:val="auto"/>
          <w:sz w:val="24"/>
        </w:rPr>
      </w:pPr>
      <w:r>
        <w:rPr>
          <w:rFonts w:hint="eastAsia" w:ascii="仿宋" w:hAnsi="仿宋" w:eastAsia="仿宋"/>
          <w:color w:val="auto"/>
          <w:sz w:val="24"/>
        </w:rPr>
        <w:t>电子邮箱：                            电子邮箱：</w:t>
      </w:r>
    </w:p>
    <w:p>
      <w:pPr>
        <w:pStyle w:val="46"/>
        <w:shd w:val="clear" w:color="auto" w:fill="auto"/>
        <w:spacing w:line="420" w:lineRule="exact"/>
        <w:ind w:left="485" w:leftChars="202" w:firstLine="1"/>
        <w:rPr>
          <w:rFonts w:hint="eastAsia" w:ascii="仿宋" w:hAnsi="仿宋" w:eastAsia="仿宋"/>
          <w:color w:val="auto"/>
          <w:sz w:val="24"/>
        </w:rPr>
      </w:pPr>
      <w:r>
        <w:rPr>
          <w:rFonts w:hint="eastAsia" w:ascii="仿宋" w:hAnsi="仿宋" w:eastAsia="仿宋"/>
          <w:color w:val="auto"/>
          <w:sz w:val="24"/>
        </w:rPr>
        <w:t xml:space="preserve">固定及移动联系方式：                  固定及移动联系方式：   </w:t>
      </w:r>
    </w:p>
    <w:p>
      <w:pPr>
        <w:pStyle w:val="46"/>
        <w:shd w:val="clear" w:color="auto" w:fill="auto"/>
        <w:spacing w:line="420" w:lineRule="exact"/>
        <w:ind w:left="485" w:leftChars="202" w:firstLine="1"/>
        <w:rPr>
          <w:rFonts w:hint="eastAsia" w:ascii="仿宋" w:hAnsi="仿宋" w:eastAsia="仿宋"/>
          <w:color w:val="auto"/>
          <w:sz w:val="24"/>
        </w:rPr>
      </w:pPr>
      <w:r>
        <w:rPr>
          <w:rFonts w:hint="eastAsia" w:ascii="仿宋" w:hAnsi="仿宋" w:eastAsia="仿宋"/>
          <w:color w:val="auto"/>
          <w:sz w:val="24"/>
        </w:rPr>
        <w:t>签订地点：                            签订地点：</w:t>
      </w:r>
    </w:p>
    <w:p>
      <w:pPr>
        <w:pStyle w:val="47"/>
        <w:shd w:val="clear" w:color="auto" w:fill="auto"/>
        <w:spacing w:beforeAutospacing="0" w:afterAutospacing="0" w:line="420" w:lineRule="exact"/>
        <w:ind w:firstLine="480" w:firstLineChars="200"/>
        <w:rPr>
          <w:rFonts w:hint="eastAsia" w:hAnsi="宋体" w:eastAsia="宋体" w:cs="宋体"/>
          <w:color w:val="auto"/>
          <w:sz w:val="24"/>
          <w:szCs w:val="24"/>
          <w:lang w:eastAsia="zh-CN"/>
        </w:rPr>
      </w:pPr>
      <w:r>
        <w:rPr>
          <w:rFonts w:hint="eastAsia" w:ascii="仿宋" w:hAnsi="仿宋" w:eastAsia="仿宋"/>
          <w:color w:val="auto"/>
          <w:sz w:val="24"/>
          <w:szCs w:val="24"/>
        </w:rPr>
        <w:t>签订日期：                            签订日期：</w:t>
      </w:r>
    </w:p>
    <w:p>
      <w:pPr>
        <w:pStyle w:val="47"/>
        <w:shd w:val="clear" w:color="auto" w:fill="auto"/>
        <w:spacing w:beforeAutospacing="0" w:afterAutospacing="0" w:line="420" w:lineRule="exact"/>
        <w:ind w:firstLine="480" w:firstLineChars="200"/>
        <w:rPr>
          <w:rFonts w:ascii="仿宋" w:hAnsi="仿宋" w:eastAsia="仿宋"/>
          <w:color w:val="auto"/>
          <w:sz w:val="24"/>
          <w:szCs w:val="24"/>
        </w:rPr>
      </w:pPr>
      <w:r>
        <w:rPr>
          <w:rFonts w:hint="eastAsia" w:hAnsi="宋体" w:cs="宋体"/>
          <w:color w:val="auto"/>
          <w:sz w:val="24"/>
          <w:szCs w:val="24"/>
        </w:rPr>
        <w:t>注：最终合同已与甲方签订的合同为准。</w:t>
      </w:r>
    </w:p>
    <w:p>
      <w:pPr>
        <w:spacing w:line="320" w:lineRule="exact"/>
        <w:jc w:val="both"/>
        <w:rPr>
          <w:rFonts w:hint="eastAsia" w:eastAsia="黑体"/>
          <w:b/>
          <w:bCs/>
          <w:color w:val="auto"/>
          <w:spacing w:val="20"/>
          <w:sz w:val="30"/>
        </w:rPr>
      </w:pPr>
    </w:p>
    <w:p>
      <w:pPr>
        <w:spacing w:line="320" w:lineRule="exact"/>
        <w:ind w:firstLine="357"/>
        <w:jc w:val="center"/>
        <w:rPr>
          <w:rFonts w:hint="eastAsia" w:eastAsia="黑体"/>
          <w:b/>
          <w:bCs/>
          <w:color w:val="auto"/>
          <w:spacing w:val="20"/>
          <w:sz w:val="30"/>
        </w:rPr>
      </w:pPr>
    </w:p>
    <w:p>
      <w:pPr>
        <w:rPr>
          <w:rFonts w:hint="eastAsia" w:eastAsia="黑体"/>
          <w:b/>
          <w:bCs/>
          <w:color w:val="auto"/>
          <w:spacing w:val="20"/>
          <w:sz w:val="30"/>
        </w:rPr>
      </w:pPr>
      <w:r>
        <w:rPr>
          <w:rFonts w:hint="eastAsia" w:eastAsia="黑体"/>
          <w:b/>
          <w:bCs/>
          <w:color w:val="auto"/>
          <w:spacing w:val="20"/>
          <w:sz w:val="30"/>
        </w:rPr>
        <w:br w:type="page"/>
      </w:r>
    </w:p>
    <w:p>
      <w:pPr>
        <w:spacing w:line="320" w:lineRule="exact"/>
        <w:ind w:firstLine="357"/>
        <w:jc w:val="center"/>
        <w:rPr>
          <w:rFonts w:hint="eastAsia" w:eastAsia="黑体"/>
          <w:b/>
          <w:bCs/>
          <w:color w:val="auto"/>
          <w:spacing w:val="20"/>
          <w:sz w:val="30"/>
        </w:rPr>
      </w:pPr>
    </w:p>
    <w:p>
      <w:pPr>
        <w:spacing w:line="320" w:lineRule="exact"/>
        <w:ind w:firstLine="357"/>
        <w:jc w:val="center"/>
        <w:rPr>
          <w:rFonts w:hint="eastAsia" w:eastAsia="黑体"/>
          <w:b/>
          <w:bCs/>
          <w:color w:val="auto"/>
          <w:spacing w:val="20"/>
          <w:sz w:val="30"/>
        </w:rPr>
      </w:pPr>
    </w:p>
    <w:p>
      <w:pPr>
        <w:spacing w:line="320" w:lineRule="exact"/>
        <w:ind w:firstLine="357"/>
        <w:jc w:val="center"/>
        <w:rPr>
          <w:rFonts w:hint="eastAsia"/>
          <w:color w:val="auto"/>
          <w:spacing w:val="20"/>
        </w:rPr>
      </w:pPr>
      <w:r>
        <w:rPr>
          <w:rFonts w:hint="eastAsia" w:eastAsia="黑体"/>
          <w:b/>
          <w:bCs/>
          <w:color w:val="auto"/>
          <w:spacing w:val="20"/>
          <w:sz w:val="30"/>
        </w:rPr>
        <w:t xml:space="preserve">第三部分   </w:t>
      </w:r>
      <w:r>
        <w:rPr>
          <w:rFonts w:hint="eastAsia" w:eastAsia="黑体"/>
          <w:b/>
          <w:bCs/>
          <w:color w:val="auto"/>
          <w:spacing w:val="20"/>
          <w:sz w:val="30"/>
          <w:lang w:eastAsia="zh-CN"/>
        </w:rPr>
        <w:t>采购需求</w:t>
      </w:r>
    </w:p>
    <w:p>
      <w:pPr>
        <w:keepNext w:val="0"/>
        <w:keepLines w:val="0"/>
        <w:widowControl/>
        <w:suppressLineNumbers w:val="0"/>
        <w:jc w:val="center"/>
        <w:textAlignment w:val="center"/>
        <w:rPr>
          <w:rFonts w:hint="eastAsia" w:ascii="仿宋" w:hAnsi="仿宋" w:eastAsia="仿宋" w:cs="仿宋"/>
          <w:b/>
          <w:bCs/>
          <w:i w:val="0"/>
          <w:iCs w:val="0"/>
          <w:color w:val="auto"/>
          <w:kern w:val="0"/>
          <w:sz w:val="28"/>
          <w:szCs w:val="28"/>
          <w:u w:val="none"/>
          <w:lang w:val="en-US" w:eastAsia="zh-CN" w:bidi="ar"/>
        </w:rPr>
      </w:pPr>
    </w:p>
    <w:tbl>
      <w:tblPr>
        <w:tblStyle w:val="20"/>
        <w:tblW w:w="10399" w:type="dxa"/>
        <w:tblInd w:w="-56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4"/>
        <w:gridCol w:w="4603"/>
        <w:gridCol w:w="970"/>
        <w:gridCol w:w="1430"/>
        <w:gridCol w:w="1167"/>
        <w:gridCol w:w="1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794"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  博州精河县妇幼保健能力提升建设项目（A包）参数</w:t>
            </w:r>
          </w:p>
        </w:tc>
        <w:tc>
          <w:tcPr>
            <w:tcW w:w="1605"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序号</w:t>
            </w:r>
          </w:p>
        </w:tc>
        <w:tc>
          <w:tcPr>
            <w:tcW w:w="4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设备名称</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数量</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单价（元）</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合计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4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51"/>
                <w:rFonts w:hint="eastAsia" w:ascii="宋体" w:hAnsi="宋体" w:eastAsia="宋体" w:cs="宋体"/>
                <w:color w:val="000000" w:themeColor="text1"/>
                <w:sz w:val="21"/>
                <w:szCs w:val="21"/>
                <w:lang w:val="en-US" w:eastAsia="zh-CN" w:bidi="ar"/>
                <w14:textFill>
                  <w14:solidFill>
                    <w14:schemeClr w14:val="tx1"/>
                  </w14:solidFill>
                </w14:textFill>
              </w:rPr>
              <w:t>数字化摄影</w:t>
            </w:r>
            <w:r>
              <w:rPr>
                <w:rStyle w:val="52"/>
                <w:rFonts w:hint="eastAsia" w:ascii="宋体" w:hAnsi="宋体" w:eastAsia="宋体" w:cs="宋体"/>
                <w:color w:val="000000" w:themeColor="text1"/>
                <w:sz w:val="21"/>
                <w:szCs w:val="21"/>
                <w:lang w:val="en-US" w:eastAsia="zh-CN" w:bidi="ar"/>
                <w14:textFill>
                  <w14:solidFill>
                    <w14:schemeClr w14:val="tx1"/>
                  </w14:solidFill>
                </w14:textFill>
              </w:rPr>
              <w:t>X</w:t>
            </w:r>
            <w:r>
              <w:rPr>
                <w:rStyle w:val="51"/>
                <w:rFonts w:hint="eastAsia" w:ascii="宋体" w:hAnsi="宋体" w:eastAsia="宋体" w:cs="宋体"/>
                <w:color w:val="000000" w:themeColor="text1"/>
                <w:sz w:val="21"/>
                <w:szCs w:val="21"/>
                <w:lang w:val="en-US" w:eastAsia="zh-CN" w:bidi="ar"/>
                <w14:textFill>
                  <w14:solidFill>
                    <w14:schemeClr w14:val="tx1"/>
                  </w14:solidFill>
                </w14:textFill>
              </w:rPr>
              <w:t>射线系统</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详见附录1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4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全自动血液细胞分析仪</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详见附录2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w:t>
            </w:r>
          </w:p>
        </w:tc>
        <w:tc>
          <w:tcPr>
            <w:tcW w:w="4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全自动生化分析仪</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详见附录3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w:t>
            </w:r>
          </w:p>
        </w:tc>
        <w:tc>
          <w:tcPr>
            <w:tcW w:w="4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高压灭菌柜</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详见附录4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w:t>
            </w:r>
          </w:p>
        </w:tc>
        <w:tc>
          <w:tcPr>
            <w:tcW w:w="4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便携式彩色多普勒超声系统</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详见附录5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w:t>
            </w:r>
          </w:p>
        </w:tc>
        <w:tc>
          <w:tcPr>
            <w:tcW w:w="4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台式彩色多普勒仪</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详见附录6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w:t>
            </w:r>
          </w:p>
        </w:tc>
        <w:tc>
          <w:tcPr>
            <w:tcW w:w="4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中医体质辨识系统</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详见附录7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w:t>
            </w:r>
          </w:p>
        </w:tc>
        <w:tc>
          <w:tcPr>
            <w:tcW w:w="4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空气消毒机</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详见附录8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w:t>
            </w:r>
          </w:p>
        </w:tc>
        <w:tc>
          <w:tcPr>
            <w:tcW w:w="4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急救室用多功能抢救车</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lang w:val="en-US"/>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lang w:val="en-US"/>
                <w14:textFill>
                  <w14:solidFill>
                    <w14:schemeClr w14:val="tx1"/>
                  </w14:solidFill>
                </w14:textFill>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详见附录9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w:t>
            </w:r>
          </w:p>
        </w:tc>
        <w:tc>
          <w:tcPr>
            <w:tcW w:w="4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微量输液泵</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详见附录10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w:t>
            </w:r>
          </w:p>
        </w:tc>
        <w:tc>
          <w:tcPr>
            <w:tcW w:w="4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分子筛制氧机</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详见附录11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w:t>
            </w:r>
          </w:p>
        </w:tc>
        <w:tc>
          <w:tcPr>
            <w:tcW w:w="4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医用臭氧治疗仪</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详见附录12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w:t>
            </w:r>
          </w:p>
        </w:tc>
        <w:tc>
          <w:tcPr>
            <w:tcW w:w="4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电子显微镜</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详见附录13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w:t>
            </w:r>
          </w:p>
        </w:tc>
        <w:tc>
          <w:tcPr>
            <w:tcW w:w="4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经皮黄疸测定仪</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详见附录14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w:t>
            </w:r>
          </w:p>
        </w:tc>
        <w:tc>
          <w:tcPr>
            <w:tcW w:w="4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胎心监护仪</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lang w:val="en-US"/>
                <w14:textFill>
                  <w14:solidFill>
                    <w14:schemeClr w14:val="tx1"/>
                  </w14:solidFill>
                </w14:textFill>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详见附录15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16</w:t>
            </w:r>
          </w:p>
        </w:tc>
        <w:tc>
          <w:tcPr>
            <w:tcW w:w="4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51"/>
                <w:rFonts w:hint="eastAsia" w:ascii="宋体" w:hAnsi="宋体" w:eastAsia="宋体" w:cs="宋体"/>
                <w:color w:val="000000" w:themeColor="text1"/>
                <w:sz w:val="21"/>
                <w:szCs w:val="21"/>
                <w:lang w:val="en-US" w:eastAsia="zh-CN" w:bidi="ar"/>
                <w14:textFill>
                  <w14:solidFill>
                    <w14:schemeClr w14:val="tx1"/>
                  </w14:solidFill>
                </w14:textFill>
              </w:rPr>
              <w:t>孕酮血</w:t>
            </w:r>
            <w:r>
              <w:rPr>
                <w:rStyle w:val="52"/>
                <w:rFonts w:hint="eastAsia" w:ascii="宋体" w:hAnsi="宋体" w:eastAsia="宋体" w:cs="宋体"/>
                <w:color w:val="000000" w:themeColor="text1"/>
                <w:sz w:val="21"/>
                <w:szCs w:val="21"/>
                <w:lang w:val="en-US" w:eastAsia="zh-CN" w:bidi="ar"/>
                <w14:textFill>
                  <w14:solidFill>
                    <w14:schemeClr w14:val="tx1"/>
                  </w14:solidFill>
                </w14:textFill>
              </w:rPr>
              <w:t>HCg</w:t>
            </w:r>
            <w:r>
              <w:rPr>
                <w:rStyle w:val="51"/>
                <w:rFonts w:hint="eastAsia" w:ascii="宋体" w:hAnsi="宋体" w:eastAsia="宋体" w:cs="宋体"/>
                <w:color w:val="000000" w:themeColor="text1"/>
                <w:sz w:val="21"/>
                <w:szCs w:val="21"/>
                <w:lang w:val="en-US" w:eastAsia="zh-CN" w:bidi="ar"/>
                <w14:textFill>
                  <w14:solidFill>
                    <w14:schemeClr w14:val="tx1"/>
                  </w14:solidFill>
                </w14:textFill>
              </w:rPr>
              <w:t>一体机</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详见附录16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17</w:t>
            </w:r>
          </w:p>
        </w:tc>
        <w:tc>
          <w:tcPr>
            <w:tcW w:w="4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心肺复苏模拟人</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详见附录17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18</w:t>
            </w:r>
          </w:p>
        </w:tc>
        <w:tc>
          <w:tcPr>
            <w:tcW w:w="4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医用冷藏柜</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详见附录18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19</w:t>
            </w:r>
          </w:p>
        </w:tc>
        <w:tc>
          <w:tcPr>
            <w:tcW w:w="4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病床</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详见附录19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w:t>
            </w:r>
          </w:p>
        </w:tc>
        <w:tc>
          <w:tcPr>
            <w:tcW w:w="4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熏蒸床</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详见附录20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21</w:t>
            </w:r>
          </w:p>
        </w:tc>
        <w:tc>
          <w:tcPr>
            <w:tcW w:w="4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熏蒸床</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详见附录21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22</w:t>
            </w:r>
          </w:p>
        </w:tc>
        <w:tc>
          <w:tcPr>
            <w:tcW w:w="4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无烟艾灸床</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详见附录22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23</w:t>
            </w:r>
          </w:p>
        </w:tc>
        <w:tc>
          <w:tcPr>
            <w:tcW w:w="4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沙疗床</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详见附录23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24</w:t>
            </w:r>
          </w:p>
        </w:tc>
        <w:tc>
          <w:tcPr>
            <w:tcW w:w="4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盐疗床</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详见附录24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25</w:t>
            </w:r>
          </w:p>
        </w:tc>
        <w:tc>
          <w:tcPr>
            <w:tcW w:w="4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玉石疗床</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详见附录25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26</w:t>
            </w:r>
          </w:p>
        </w:tc>
        <w:tc>
          <w:tcPr>
            <w:tcW w:w="4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推拿床</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详见附录26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27</w:t>
            </w:r>
          </w:p>
        </w:tc>
        <w:tc>
          <w:tcPr>
            <w:tcW w:w="4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足浴桶</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详见附录27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28</w:t>
            </w:r>
          </w:p>
        </w:tc>
        <w:tc>
          <w:tcPr>
            <w:tcW w:w="4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推拿软凳</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详见附录28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29</w:t>
            </w:r>
          </w:p>
        </w:tc>
        <w:tc>
          <w:tcPr>
            <w:tcW w:w="4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消毒柜</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lang w:val="en-US"/>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lang w:val="en-US"/>
                <w14:textFill>
                  <w14:solidFill>
                    <w14:schemeClr w14:val="tx1"/>
                  </w14:solidFill>
                </w14:textFill>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详见附录29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30</w:t>
            </w:r>
          </w:p>
        </w:tc>
        <w:tc>
          <w:tcPr>
            <w:tcW w:w="4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烟雾净化器</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详见附录30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31</w:t>
            </w:r>
          </w:p>
        </w:tc>
        <w:tc>
          <w:tcPr>
            <w:tcW w:w="4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肺功能检测仪</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详见附录31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32</w:t>
            </w:r>
          </w:p>
        </w:tc>
        <w:tc>
          <w:tcPr>
            <w:tcW w:w="4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数字心电图机</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详见附录32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33</w:t>
            </w:r>
          </w:p>
        </w:tc>
        <w:tc>
          <w:tcPr>
            <w:tcW w:w="4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便携式心电图机</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详见附录33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34</w:t>
            </w:r>
          </w:p>
        </w:tc>
        <w:tc>
          <w:tcPr>
            <w:tcW w:w="4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血气分析仪</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详见附录34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35</w:t>
            </w:r>
          </w:p>
        </w:tc>
        <w:tc>
          <w:tcPr>
            <w:tcW w:w="4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体外除颤监护仪</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详见附录35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36</w:t>
            </w:r>
          </w:p>
        </w:tc>
        <w:tc>
          <w:tcPr>
            <w:tcW w:w="4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心电监护仪</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详见附录36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37</w:t>
            </w:r>
          </w:p>
        </w:tc>
        <w:tc>
          <w:tcPr>
            <w:tcW w:w="4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转运监护仪</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详见附录37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38</w:t>
            </w:r>
          </w:p>
        </w:tc>
        <w:tc>
          <w:tcPr>
            <w:tcW w:w="4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气管插管设备</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详见附录38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39</w:t>
            </w:r>
          </w:p>
        </w:tc>
        <w:tc>
          <w:tcPr>
            <w:tcW w:w="4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注射泵</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21</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详见附录39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p>
        </w:tc>
        <w:tc>
          <w:tcPr>
            <w:tcW w:w="4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p>
        </w:tc>
      </w:tr>
    </w:tbl>
    <w:p>
      <w:pPr>
        <w:rPr>
          <w:rFonts w:hint="eastAsia" w:ascii="宋体" w:hAnsi="宋体" w:eastAsia="宋体" w:cs="宋体"/>
          <w:color w:val="000000" w:themeColor="text1"/>
          <w:sz w:val="24"/>
          <w:szCs w:val="24"/>
          <w:lang w:val="en-US" w:eastAsia="zh-CN"/>
          <w14:textFill>
            <w14:solidFill>
              <w14:schemeClr w14:val="tx1"/>
            </w14:solidFill>
          </w14:textFill>
        </w:rPr>
      </w:pPr>
      <w:bookmarkStart w:id="38" w:name="_Toc32764"/>
      <w:r>
        <w:rPr>
          <w:rFonts w:hint="eastAsia" w:ascii="宋体" w:hAnsi="宋体" w:eastAsia="宋体" w:cs="宋体"/>
          <w:color w:val="000000" w:themeColor="text1"/>
          <w:sz w:val="24"/>
          <w:szCs w:val="24"/>
          <w:lang w:val="en-US" w:eastAsia="zh-CN"/>
          <w14:textFill>
            <w14:solidFill>
              <w14:schemeClr w14:val="tx1"/>
            </w14:solidFill>
          </w14:textFill>
        </w:rPr>
        <w:br w:type="page"/>
      </w:r>
    </w:p>
    <w:p>
      <w:pPr>
        <w:pStyle w:val="2"/>
        <w:pageBreakBefore w:val="0"/>
        <w:kinsoku/>
        <w:wordWrap/>
        <w:overflowPunct/>
        <w:topLinePunct w:val="0"/>
        <w:autoSpaceDE/>
        <w:autoSpaceDN/>
        <w:bidi w:val="0"/>
        <w:spacing w:line="360" w:lineRule="auto"/>
        <w:ind w:firstLine="482" w:firstLineChars="20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附件1：</w:t>
      </w:r>
      <w:bookmarkEnd w:id="38"/>
      <w:r>
        <w:rPr>
          <w:rFonts w:hint="eastAsia" w:ascii="宋体" w:hAnsi="宋体" w:eastAsia="宋体" w:cs="宋体"/>
          <w:color w:val="000000" w:themeColor="text1"/>
          <w:sz w:val="24"/>
          <w:szCs w:val="24"/>
          <w:lang w:val="en-US" w:eastAsia="zh-CN"/>
          <w14:textFill>
            <w14:solidFill>
              <w14:schemeClr w14:val="tx1"/>
            </w14:solidFill>
          </w14:textFill>
        </w:rPr>
        <w:t>数字化摄影X射线系统</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一、设备名称、用途及整体要求：</w:t>
      </w:r>
    </w:p>
    <w:p>
      <w:pPr>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1.设备名称：</w:t>
      </w:r>
      <w:r>
        <w:rPr>
          <w:rFonts w:hint="eastAsia" w:ascii="宋体" w:hAnsi="宋体" w:eastAsia="宋体" w:cs="宋体"/>
          <w:color w:val="000000" w:themeColor="text1"/>
          <w:sz w:val="24"/>
          <w:szCs w:val="24"/>
          <w:lang w:val="en-US" w:eastAsia="zh-CN"/>
          <w14:textFill>
            <w14:solidFill>
              <w14:schemeClr w14:val="tx1"/>
            </w14:solidFill>
          </w14:textFill>
        </w:rPr>
        <w:t>数字化摄影X射线系统</w:t>
      </w:r>
    </w:p>
    <w:p>
      <w:pPr>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设备用途：整机双立柱型机架式结构加平板探测器系统，能进行人体全身各部位的立位、卧位、水平侧位、担架位、轮椅位等X线影像学检查，实现X线数字成像、数字图像的DICOM网络传输、打印、存贮管理及激光打印胶片、完善的图像后处理功能。</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二、主要配置和技术参数要求：</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1、高压发生器装置</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为了保证设备稳定性和兼容性，要求高压发生器为DR整机制造商原厂生</w:t>
      </w:r>
      <w:r>
        <w:rPr>
          <w:rFonts w:hint="eastAsia" w:ascii="宋体" w:hAnsi="宋体" w:eastAsia="宋体" w:cs="宋体"/>
          <w:color w:val="000000" w:themeColor="text1"/>
          <w:sz w:val="24"/>
          <w:szCs w:val="24"/>
          <w:lang w:val="en-US" w:eastAsia="zh-CN"/>
          <w14:textFill>
            <w14:solidFill>
              <w14:schemeClr w14:val="tx1"/>
            </w14:solidFill>
          </w14:textFill>
        </w:rPr>
        <w:t>产</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1.2</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逆变频率：≥450</w:t>
      </w:r>
      <w:r>
        <w:rPr>
          <w:rFonts w:hint="eastAsia" w:ascii="宋体" w:hAnsi="宋体" w:eastAsia="宋体" w:cs="宋体"/>
          <w:color w:val="000000" w:themeColor="text1"/>
          <w:sz w:val="24"/>
          <w:szCs w:val="24"/>
          <w:lang w:val="en-US" w:eastAsia="zh-CN"/>
          <w14:textFill>
            <w14:solidFill>
              <w14:schemeClr w14:val="tx1"/>
            </w14:solidFill>
          </w14:textFill>
        </w:rPr>
        <w:t>k</w:t>
      </w:r>
      <w:r>
        <w:rPr>
          <w:rFonts w:hint="eastAsia" w:ascii="宋体" w:hAnsi="宋体" w:eastAsia="宋体" w:cs="宋体"/>
          <w:color w:val="000000" w:themeColor="text1"/>
          <w:sz w:val="24"/>
          <w:szCs w:val="24"/>
          <w14:textFill>
            <w14:solidFill>
              <w14:schemeClr w14:val="tx1"/>
            </w14:solidFill>
          </w14:textFill>
        </w:rPr>
        <w:t>H</w:t>
      </w:r>
      <w:r>
        <w:rPr>
          <w:rFonts w:hint="eastAsia" w:ascii="宋体" w:hAnsi="宋体" w:eastAsia="宋体" w:cs="宋体"/>
          <w:color w:val="000000" w:themeColor="text1"/>
          <w:sz w:val="24"/>
          <w:szCs w:val="24"/>
          <w:lang w:val="en-US" w:eastAsia="zh-CN"/>
          <w14:textFill>
            <w14:solidFill>
              <w14:schemeClr w14:val="tx1"/>
            </w14:solidFill>
          </w14:textFill>
        </w:rPr>
        <w:t>z</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管电压可调范围：≥40-150</w:t>
      </w:r>
      <w:r>
        <w:rPr>
          <w:rFonts w:hint="eastAsia" w:ascii="宋体" w:hAnsi="宋体" w:eastAsia="宋体" w:cs="宋体"/>
          <w:color w:val="000000" w:themeColor="text1"/>
          <w:sz w:val="24"/>
          <w:szCs w:val="24"/>
          <w:lang w:val="en-US" w:eastAsia="zh-CN"/>
          <w14:textFill>
            <w14:solidFill>
              <w14:schemeClr w14:val="tx1"/>
            </w14:solidFill>
          </w14:textFill>
        </w:rPr>
        <w:t>kv</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1.4</w:t>
      </w:r>
      <w:r>
        <w:rPr>
          <w:rFonts w:hint="eastAsia" w:ascii="宋体" w:hAnsi="宋体" w:eastAsia="宋体" w:cs="宋体"/>
          <w:color w:val="000000" w:themeColor="text1"/>
          <w:sz w:val="24"/>
          <w:szCs w:val="24"/>
          <w14:textFill>
            <w14:solidFill>
              <w14:schemeClr w14:val="tx1"/>
            </w14:solidFill>
          </w14:textFill>
        </w:rPr>
        <w:t xml:space="preserve"> 最大输出功率：≥</w:t>
      </w:r>
      <w:r>
        <w:rPr>
          <w:rFonts w:hint="eastAsia" w:ascii="宋体" w:hAnsi="宋体" w:eastAsia="宋体" w:cs="宋体"/>
          <w:color w:val="000000" w:themeColor="text1"/>
          <w:sz w:val="24"/>
          <w:szCs w:val="24"/>
          <w:lang w:val="en-US" w:eastAsia="zh-CN"/>
          <w14:textFill>
            <w14:solidFill>
              <w14:schemeClr w14:val="tx1"/>
            </w14:solidFill>
          </w14:textFill>
        </w:rPr>
        <w:t>50</w:t>
      </w:r>
      <w:r>
        <w:rPr>
          <w:rFonts w:hint="eastAsia" w:ascii="宋体" w:hAnsi="宋体" w:eastAsia="宋体" w:cs="宋体"/>
          <w:color w:val="000000" w:themeColor="text1"/>
          <w:sz w:val="24"/>
          <w:szCs w:val="24"/>
          <w14:textFill>
            <w14:solidFill>
              <w14:schemeClr w14:val="tx1"/>
            </w14:solidFill>
          </w14:textFill>
        </w:rPr>
        <w:t>kW</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最大输出电流：≥630mA</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最短曝光时间：≤1ms</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最小时间电流积：≤0.1mAs</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具有器官程序摄影（APR）功能，摄影程序数量≥1000种</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高压发生器的操作与控制系统完全与主机集成，在图像采集工作站上控制曝光参数</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 xml:space="preserve">10 </w:t>
      </w:r>
      <w:r>
        <w:rPr>
          <w:rFonts w:hint="eastAsia" w:ascii="宋体" w:hAnsi="宋体" w:eastAsia="宋体" w:cs="宋体"/>
          <w:color w:val="000000" w:themeColor="text1"/>
          <w:sz w:val="24"/>
          <w:szCs w:val="24"/>
          <w14:textFill>
            <w14:solidFill>
              <w14:schemeClr w14:val="tx1"/>
            </w14:solidFill>
          </w14:textFill>
        </w:rPr>
        <w:t>配备硬件电离室，具备AEC功能</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2、平板探测器</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材料：碘化铯+非晶硅（整板，非拼接）</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尺寸：无线平板探测器：≥43cm×43cm</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总像素：平板≥900万</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 xml:space="preserve">4 </w:t>
      </w:r>
      <w:r>
        <w:rPr>
          <w:rFonts w:hint="eastAsia" w:ascii="宋体" w:hAnsi="宋体" w:eastAsia="宋体" w:cs="宋体"/>
          <w:color w:val="000000" w:themeColor="text1"/>
          <w:sz w:val="24"/>
          <w:szCs w:val="24"/>
          <w14:textFill>
            <w14:solidFill>
              <w14:schemeClr w14:val="tx1"/>
            </w14:solidFill>
          </w14:textFill>
        </w:rPr>
        <w:t>最小像素尺寸：≤140μm</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 xml:space="preserve">5 </w:t>
      </w:r>
      <w:r>
        <w:rPr>
          <w:rFonts w:hint="eastAsia" w:ascii="宋体" w:hAnsi="宋体" w:eastAsia="宋体" w:cs="宋体"/>
          <w:color w:val="000000" w:themeColor="text1"/>
          <w:sz w:val="24"/>
          <w:szCs w:val="24"/>
          <w14:textFill>
            <w14:solidFill>
              <w14:schemeClr w14:val="tx1"/>
            </w14:solidFill>
          </w14:textFill>
        </w:rPr>
        <w:t>有效数据位数：≥16bit</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 xml:space="preserve">6 </w:t>
      </w:r>
      <w:r>
        <w:rPr>
          <w:rFonts w:hint="eastAsia" w:ascii="宋体" w:hAnsi="宋体" w:eastAsia="宋体" w:cs="宋体"/>
          <w:color w:val="000000" w:themeColor="text1"/>
          <w:sz w:val="24"/>
          <w:szCs w:val="24"/>
          <w14:textFill>
            <w14:solidFill>
              <w14:schemeClr w14:val="tx1"/>
            </w14:solidFill>
          </w14:textFill>
        </w:rPr>
        <w:t>空间分辨率最低出厂标准：≥3.6lp/mm</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从曝光到获得预示图像的最短时间：≤4.5s</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平板探测器重量：≤4.2kg</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 xml:space="preserve">9 </w:t>
      </w:r>
      <w:r>
        <w:rPr>
          <w:rFonts w:hint="eastAsia" w:ascii="宋体" w:hAnsi="宋体" w:eastAsia="宋体" w:cs="宋体"/>
          <w:color w:val="000000" w:themeColor="text1"/>
          <w:sz w:val="24"/>
          <w:szCs w:val="24"/>
          <w14:textFill>
            <w14:solidFill>
              <w14:schemeClr w14:val="tx1"/>
            </w14:solidFill>
          </w14:textFill>
        </w:rPr>
        <w:t>平板探测器表面承重：≥200kg</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w:t>
      </w:r>
      <w:r>
        <w:rPr>
          <w:rFonts w:hint="eastAsia" w:ascii="宋体" w:hAnsi="宋体" w:eastAsia="宋体" w:cs="宋体"/>
          <w:color w:val="000000" w:themeColor="text1"/>
          <w:sz w:val="24"/>
          <w:szCs w:val="24"/>
          <w:lang w:val="en-US" w:eastAsia="zh-CN"/>
          <w14:textFill>
            <w14:solidFill>
              <w14:schemeClr w14:val="tx1"/>
            </w14:solidFill>
          </w14:textFill>
        </w:rPr>
        <w:t xml:space="preserve">0 </w:t>
      </w:r>
      <w:r>
        <w:rPr>
          <w:rFonts w:hint="eastAsia" w:ascii="宋体" w:hAnsi="宋体" w:eastAsia="宋体" w:cs="宋体"/>
          <w:color w:val="000000" w:themeColor="text1"/>
          <w:sz w:val="24"/>
          <w:szCs w:val="24"/>
          <w14:textFill>
            <w14:solidFill>
              <w14:schemeClr w14:val="tx1"/>
            </w14:solidFill>
          </w14:textFill>
        </w:rPr>
        <w:t>成像时间</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≤6s</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w:t>
      </w:r>
      <w:r>
        <w:rPr>
          <w:rFonts w:hint="eastAsia" w:ascii="宋体" w:hAnsi="宋体" w:eastAsia="宋体" w:cs="宋体"/>
          <w:color w:val="000000" w:themeColor="text1"/>
          <w:sz w:val="24"/>
          <w:szCs w:val="24"/>
          <w:lang w:val="en-US" w:eastAsia="zh-CN"/>
          <w14:textFill>
            <w14:solidFill>
              <w14:schemeClr w14:val="tx1"/>
            </w14:solidFill>
          </w14:textFill>
        </w:rPr>
        <w:t xml:space="preserve">1 </w:t>
      </w:r>
      <w:r>
        <w:rPr>
          <w:rFonts w:hint="eastAsia" w:ascii="宋体" w:hAnsi="宋体" w:eastAsia="宋体" w:cs="宋体"/>
          <w:color w:val="000000" w:themeColor="text1"/>
          <w:sz w:val="24"/>
          <w:szCs w:val="24"/>
          <w14:textFill>
            <w14:solidFill>
              <w14:schemeClr w14:val="tx1"/>
            </w14:solidFill>
          </w14:textFill>
        </w:rPr>
        <w:t>获得SRRC（国家无线电管理委员会强制认证要求）核准认证，并提供整机制造商的证明材料</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w:t>
      </w:r>
      <w:r>
        <w:rPr>
          <w:rFonts w:hint="eastAsia" w:ascii="宋体" w:hAnsi="宋体" w:eastAsia="宋体" w:cs="宋体"/>
          <w:color w:val="000000" w:themeColor="text1"/>
          <w:sz w:val="24"/>
          <w:szCs w:val="24"/>
          <w:lang w:val="en-US" w:eastAsia="zh-CN"/>
          <w14:textFill>
            <w14:solidFill>
              <w14:schemeClr w14:val="tx1"/>
            </w14:solidFill>
          </w14:textFill>
        </w:rPr>
        <w:t xml:space="preserve">2 </w:t>
      </w:r>
      <w:r>
        <w:rPr>
          <w:rFonts w:hint="eastAsia" w:ascii="宋体" w:hAnsi="宋体" w:eastAsia="宋体" w:cs="宋体"/>
          <w:color w:val="000000" w:themeColor="text1"/>
          <w:sz w:val="24"/>
          <w:szCs w:val="24"/>
          <w14:textFill>
            <w14:solidFill>
              <w14:schemeClr w14:val="tx1"/>
            </w14:solidFill>
          </w14:textFill>
        </w:rPr>
        <w:t>平板防水防尘等级：≥IP54，提供检验报告作为证明材料</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w:t>
      </w:r>
      <w:r>
        <w:rPr>
          <w:rFonts w:hint="eastAsia" w:ascii="宋体" w:hAnsi="宋体" w:eastAsia="宋体" w:cs="宋体"/>
          <w:color w:val="000000" w:themeColor="text1"/>
          <w:sz w:val="24"/>
          <w:szCs w:val="24"/>
          <w:lang w:val="en-US" w:eastAsia="zh-CN"/>
          <w14:textFill>
            <w14:solidFill>
              <w14:schemeClr w14:val="tx1"/>
            </w14:solidFill>
          </w14:textFill>
        </w:rPr>
        <w:t xml:space="preserve">3 </w:t>
      </w:r>
      <w:r>
        <w:rPr>
          <w:rFonts w:hint="eastAsia" w:ascii="宋体" w:hAnsi="宋体" w:eastAsia="宋体" w:cs="宋体"/>
          <w:color w:val="000000" w:themeColor="text1"/>
          <w:sz w:val="24"/>
          <w:szCs w:val="24"/>
          <w14:textFill>
            <w14:solidFill>
              <w14:schemeClr w14:val="tx1"/>
            </w14:solidFill>
          </w14:textFill>
        </w:rPr>
        <w:t>平板坠落性能，在正常工作状态下自由坠落在硬性表面上仍能正常工作的高度：≥1m，提供检验报告作为证明材料</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 xml:space="preserve">14 </w:t>
      </w:r>
      <w:r>
        <w:rPr>
          <w:rFonts w:hint="eastAsia" w:ascii="宋体" w:hAnsi="宋体" w:eastAsia="宋体" w:cs="宋体"/>
          <w:color w:val="000000" w:themeColor="text1"/>
          <w:sz w:val="24"/>
          <w:szCs w:val="24"/>
          <w14:textFill>
            <w14:solidFill>
              <w14:schemeClr w14:val="tx1"/>
            </w14:solidFill>
          </w14:textFill>
        </w:rPr>
        <w:t>为保障图像质量的稳定性</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平板探测器与整机品牌一致，提供证明文件</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w:t>
      </w:r>
      <w:r>
        <w:rPr>
          <w:rFonts w:hint="eastAsia" w:ascii="宋体" w:hAnsi="宋体" w:eastAsia="宋体" w:cs="宋体"/>
          <w:color w:val="000000" w:themeColor="text1"/>
          <w:sz w:val="24"/>
          <w:szCs w:val="24"/>
          <w:lang w:val="en-US" w:eastAsia="zh-CN"/>
          <w14:textFill>
            <w14:solidFill>
              <w14:schemeClr w14:val="tx1"/>
            </w14:solidFill>
          </w14:textFill>
        </w:rPr>
        <w:t xml:space="preserve">5 </w:t>
      </w:r>
      <w:r>
        <w:rPr>
          <w:rFonts w:hint="eastAsia" w:ascii="宋体" w:hAnsi="宋体" w:eastAsia="宋体" w:cs="宋体"/>
          <w:color w:val="000000" w:themeColor="text1"/>
          <w:sz w:val="24"/>
          <w:szCs w:val="24"/>
          <w14:textFill>
            <w14:solidFill>
              <w14:schemeClr w14:val="tx1"/>
            </w14:solidFill>
          </w14:textFill>
        </w:rPr>
        <w:t>最大电池容量的最大曝光时间：≥800次或≥4h</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w:t>
      </w:r>
      <w:r>
        <w:rPr>
          <w:rFonts w:hint="eastAsia" w:ascii="宋体" w:hAnsi="宋体" w:eastAsia="宋体" w:cs="宋体"/>
          <w:color w:val="000000" w:themeColor="text1"/>
          <w:sz w:val="24"/>
          <w:szCs w:val="24"/>
          <w:lang w:val="en-US" w:eastAsia="zh-CN"/>
          <w14:textFill>
            <w14:solidFill>
              <w14:schemeClr w14:val="tx1"/>
            </w14:solidFill>
          </w14:textFill>
        </w:rPr>
        <w:t xml:space="preserve">6 </w:t>
      </w:r>
      <w:r>
        <w:rPr>
          <w:rFonts w:hint="eastAsia" w:ascii="宋体" w:hAnsi="宋体" w:eastAsia="宋体" w:cs="宋体"/>
          <w:color w:val="000000" w:themeColor="text1"/>
          <w:sz w:val="24"/>
          <w:szCs w:val="24"/>
          <w14:textFill>
            <w14:solidFill>
              <w14:schemeClr w14:val="tx1"/>
            </w14:solidFill>
          </w14:textFill>
        </w:rPr>
        <w:t>具备与主机同步开关机功能</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 X射线管</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要求为原装进口</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提供报关单</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双焦点：小焦点≤0.6mm；大焦点≤1.2mm</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管套热容量：≥1250kH</w:t>
      </w:r>
      <w:r>
        <w:rPr>
          <w:rFonts w:hint="eastAsia" w:ascii="宋体" w:hAnsi="宋体" w:eastAsia="宋体" w:cs="宋体"/>
          <w:color w:val="000000" w:themeColor="text1"/>
          <w:sz w:val="24"/>
          <w:szCs w:val="24"/>
          <w:lang w:val="en-US" w:eastAsia="zh-CN"/>
          <w14:textFill>
            <w14:solidFill>
              <w14:schemeClr w14:val="tx1"/>
            </w14:solidFill>
          </w14:textFill>
        </w:rPr>
        <w:t>U</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3.4</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阳极最大转速：≥3200r/min</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3.5</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阳极热容量：≥2</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0kH</w:t>
      </w:r>
      <w:r>
        <w:rPr>
          <w:rFonts w:hint="eastAsia" w:ascii="宋体" w:hAnsi="宋体" w:eastAsia="宋体" w:cs="宋体"/>
          <w:color w:val="000000" w:themeColor="text1"/>
          <w:sz w:val="24"/>
          <w:szCs w:val="24"/>
          <w:lang w:val="en-US" w:eastAsia="zh-CN"/>
          <w14:textFill>
            <w14:solidFill>
              <w14:schemeClr w14:val="tx1"/>
            </w14:solidFill>
          </w14:textFill>
        </w:rPr>
        <w:t>U</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3.6</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靶角：≤12°</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3.7</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焦点额定功率：小焦点≥20kW；大焦点≥50kW</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3.8</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最大管电流：≥650mA</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3.9</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采用球管全包设计，以便保护球管，提供整机图片证明</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4、X射线管支撑装置</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类型：落地式、非U臂或UC臂机架</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无需天轨即可完成安装</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4.3</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球管沿水平轴旋转≥±180°</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4.4</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球管立柱沿垂直轴旋转≥±180°</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4.5</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球管垂直移动范围≥1400mm</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4.6</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球管垂直移动到最低处≤450mm（球管中心距地）</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4.7</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具备与平板探测器跟踪运动功能（双向跟随）</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4.8</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具备手动及电动控制球管垂直运动功能</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4.9</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机头具备感应把手，可一键解锁，并可控制球管旋转、立柱横向运动</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4.10</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具备状态显示灯带，可显示开机、静止、运动、待机等状态</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4.11</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具有一个动作即可完成X射线管升降、X射线管纵向运动、X射线管垂直旋转的运动解锁装置</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4.12</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机头上配置X射线管升降运动升降按键和X射线管升降与平板探测器片盒升降联动按键</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5、球管机头显示屏及遥控器</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5.1</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大小：≥12</w:t>
      </w:r>
      <w:r>
        <w:rPr>
          <w:rFonts w:hint="eastAsia" w:ascii="宋体" w:hAnsi="宋体" w:eastAsia="宋体" w:cs="宋体"/>
          <w:color w:val="000000" w:themeColor="text1"/>
          <w:sz w:val="24"/>
          <w:szCs w:val="24"/>
          <w:lang w:val="en-US" w:eastAsia="zh-CN"/>
          <w14:textFill>
            <w14:solidFill>
              <w14:schemeClr w14:val="tx1"/>
            </w14:solidFill>
          </w14:textFill>
        </w:rPr>
        <w:t>英寸</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5.2</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显示屏上支持触屏操作，支持多点触摸</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5.3</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显示屏需显示病人基本信息、病人体位等信息，支持病人切换操作，且可对当前病人的体位进行增加或删减</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5.4</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显示屏支持显示当前体位的体位示意图，提供图片证明</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5.5</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显示屏可显示机器的位置信息，支持运动速度切换</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5.6</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显示屏可显示曝光图像</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5.7</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具有一个动作即可完成X射线管升降、X射线管纵向运动、X射线管垂直旋转的运动解锁装置</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5.8</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配备射频遥控器</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6、摄影床</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固定式摄影床，床面具备四方浮动功能，电磁锁定</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床面纵向移动：≥9</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0mm，横向移动：≥260mm</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6.3</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床面高度：≤650mm</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6.4</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承重：≥270kg</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6.5</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固定滤线栅栅密度≥40L/cm</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6.6</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固定滤线栅尺寸≥470×450mm</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6.7</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探测器托盘覆盖范围≥1000mm</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6.8</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片盒内提供无线平板探测器自动充电装置，且支持任意放置均可充电，无需考虑无线平板探测器的插入方向，提供图片作为证明材料</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6.9</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高压内置：体现一体化设计，高压内置于床下，操作更便利（并提供厂家照片证明）。</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7、立式平板探测器摄影架</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平板探测器垂直移动范围≥1</w:t>
      </w:r>
      <w:r>
        <w:rPr>
          <w:rFonts w:hint="eastAsia" w:ascii="宋体" w:hAnsi="宋体" w:eastAsia="宋体" w:cs="宋体"/>
          <w:color w:val="000000" w:themeColor="text1"/>
          <w:sz w:val="24"/>
          <w:szCs w:val="24"/>
          <w:lang w:val="en-US" w:eastAsia="zh-CN"/>
          <w14:textFill>
            <w14:solidFill>
              <w14:schemeClr w14:val="tx1"/>
            </w14:solidFill>
          </w14:textFill>
        </w:rPr>
        <w:t>40</w:t>
      </w:r>
      <w:r>
        <w:rPr>
          <w:rFonts w:hint="eastAsia" w:ascii="宋体" w:hAnsi="宋体" w:eastAsia="宋体" w:cs="宋体"/>
          <w:color w:val="000000" w:themeColor="text1"/>
          <w:sz w:val="24"/>
          <w:szCs w:val="24"/>
          <w14:textFill>
            <w14:solidFill>
              <w14:schemeClr w14:val="tx1"/>
            </w14:solidFill>
          </w14:textFill>
        </w:rPr>
        <w:t>0mm</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7.2</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平板探测器垂直移动到最低处≤</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50mm（平板中心距地）</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7.3</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具备手动和电动控制平板探测器垂直运动功能</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7.</w:t>
      </w:r>
      <w:r>
        <w:rPr>
          <w:rFonts w:hint="eastAsia" w:ascii="宋体" w:hAnsi="宋体" w:eastAsia="宋体" w:cs="宋体"/>
          <w:color w:val="000000" w:themeColor="text1"/>
          <w:sz w:val="24"/>
          <w:szCs w:val="24"/>
          <w:lang w:val="en-US" w:eastAsia="zh-CN"/>
          <w14:textFill>
            <w14:solidFill>
              <w14:schemeClr w14:val="tx1"/>
            </w14:solidFill>
          </w14:textFill>
        </w:rPr>
        <w:t xml:space="preserve">4 </w:t>
      </w:r>
      <w:r>
        <w:rPr>
          <w:rFonts w:hint="eastAsia" w:ascii="宋体" w:hAnsi="宋体" w:eastAsia="宋体" w:cs="宋体"/>
          <w:color w:val="000000" w:themeColor="text1"/>
          <w:sz w:val="24"/>
          <w:szCs w:val="24"/>
          <w14:textFill>
            <w14:solidFill>
              <w14:schemeClr w14:val="tx1"/>
            </w14:solidFill>
          </w14:textFill>
        </w:rPr>
        <w:t>具备控制限束器点亮及运动缩窗功能</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7.5</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具备与平球管跟踪运动功能（双向跟随）</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7.6</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片盒内提供无线平板探测器自动充电装置，且支持任意放置均可充电，无需考虑无线平板探测器的插入方向，提供图片作为证明材料</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7.7</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具备X射线管与立式摄影架探测器片盒电动升降联动开关控制功能</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8、限束器</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8.1</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固有滤过(70kV)</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≥1.3 mmAl</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8.2</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可调式附加滤过：≥1.5/2.0 mmAl</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8.3</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最小照射野(SID=100cm)：≤10mm×10mm</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8.4</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最大照射野(SID=100cm)：≥430mm×430mm</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8.5</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光野指示灯：LED</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8.6</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光野指示灯：具备延时功能，延时时间≥30s</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8.7</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具备激光对中指示灯，提供图片证明</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9、图像采集工作站</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9.1</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控制台配置，可控制X线发生器、病人资料处理、图像显示及图像传输等，配备最新版本的专业DR处理软件</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9.2</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一体化工作站，各功能非模块设计。</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9.3</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一键开关机控制盒：具备一键开关机功能，使医生开关机操作更加方便，同时保护机器及病人数据的安全（并提供证明材料）。</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9.4</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操作系统：Windows，全中文操作界面</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9.5</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硬件配置：CPU≥2GHz，内存容量≥4G，硬盘容量≥1T，液晶显示器：≥23″</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9.6</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病人登记及管理功能：病人信息登记/并支持急诊病人快速登记功能。支持DICOM3.0 标准的Worklist 查询服务，可通过HIS/PACS 查询并下载病例资料</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9.7</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图像采集：支持3D仿真摆位示意图、检查项目选择、摄影参数选择功能；支持图像自动窗宽窗位调节；支持图像正负片显示；支持图像镜像与旋转；可显示病人信息/检查信息/设备信息/图像信息</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9.8</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图像处理：支持多频带处理功能、栅纹自动识别及处理功能、高亮度去噪及增强功能、细节增强功能支持窗宽、窗位调整</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9.9</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支持云端轻会诊功能，提供操作界面证明文件</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9.9.1</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适用多种终端，包括台式计算机，笔记本电脑，平板电脑，智能手机等，提供证明文件</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9.9.2</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移动终端具备建立多人离线交流群组，且支持离线DICOM图像上传和下载</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9.9.3</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具备上传本地文件（包括但不限于图像、视频、文本文件等）至云端软件</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9.9.4</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移动终端可提供不同用户针对单一病例的诊断讨论及评论功能，可在病例图像实时显示评论数量，查看图像时可同时查看评论内容，提供证明加盖制造商公章</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9.9.</w:t>
      </w:r>
      <w:r>
        <w:rPr>
          <w:rFonts w:hint="eastAsia" w:ascii="宋体" w:hAnsi="宋体" w:eastAsia="宋体" w:cs="宋体"/>
          <w:color w:val="000000" w:themeColor="text1"/>
          <w:sz w:val="24"/>
          <w:szCs w:val="24"/>
          <w:lang w:val="en-US" w:eastAsia="zh-CN"/>
          <w14:textFill>
            <w14:solidFill>
              <w14:schemeClr w14:val="tx1"/>
            </w14:solidFill>
          </w14:textFill>
        </w:rPr>
        <w:t xml:space="preserve">5 </w:t>
      </w:r>
      <w:r>
        <w:rPr>
          <w:rFonts w:hint="eastAsia" w:ascii="宋体" w:hAnsi="宋体" w:eastAsia="宋体" w:cs="宋体"/>
          <w:color w:val="000000" w:themeColor="text1"/>
          <w:sz w:val="24"/>
          <w:szCs w:val="24"/>
          <w14:textFill>
            <w14:solidFill>
              <w14:schemeClr w14:val="tx1"/>
            </w14:solidFill>
          </w14:textFill>
        </w:rPr>
        <w:t>移动终端支持录发语音功能</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9.9.6</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移动终端支持多种查询条件组合查询功能（上传者、病人姓名、检查类型、检查时间、标签等）</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9.9.7</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支持隐藏病人信息功能</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9.9.8</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支持智能移动终端的APP应用</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9.9.9</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移动终端支持文件分享功能，图像和视频文件可以直接分享到微信等软件，并可通过链接直接查看DR图像，提供证明加盖制造公章</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9.9.10</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移动终端支持医生建立讨论群组探讨病例的图像功能</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9.9.11</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支持桌面直播功能。工作站和用户端都能进行桌面直播，接收端可以查看发起端的桌面直播内容，提供证明文件加盖制造商公章</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9.10</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图像观察：正负片转换、图像缩放、平移、镜像、旋转、放大镜显示；可选择感兴趣区域的原始显示、全屏显示、直方图显示、窗宽窗位调整；图像标注功能，包括方位和文字；实时自动ROI裁剪</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9.11</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胶片打印：支持DICOM3.0标准的激光相机输出，可方便地选择配置好的方案（胶片尺寸、排版）打印；打印排版可通过拖拽式将图像拖入排版区域</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9.12</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Dicom传输：支持DICOM3.0标准的归档服务，可把图像归档到服务器，支持后台自动发送</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9.13</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提供RIS、HIS软件系统的集成接口，通过安装配置可实现从RIS、HIS调阅存储在系统中的图像</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9.14</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软件支持3台以上打印机连接，并提供界面截图作为证明材料</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9.15</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具备辐射剂量面积积指示，并在图像上显示，提供界面截图作为证明材料</w:t>
      </w:r>
    </w:p>
    <w:p>
      <w:pPr>
        <w:pageBreakBefore w:val="0"/>
        <w:kinsoku/>
        <w:wordWrap/>
        <w:overflowPunct/>
        <w:topLinePunct w:val="0"/>
        <w:autoSpaceDE/>
        <w:autoSpaceDN/>
        <w:bidi w:val="0"/>
        <w:spacing w:line="360" w:lineRule="auto"/>
        <w:ind w:left="-324" w:leftChars="-135"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9.16</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具备常规模式、急诊模式、体检模式、儿童检查模式。（提供工作站软件界面截图）</w:t>
      </w:r>
    </w:p>
    <w:p>
      <w:pPr>
        <w:rPr>
          <w:rFonts w:hint="eastAsia" w:ascii="宋体" w:hAnsi="宋体" w:eastAsia="宋体" w:cs="宋体"/>
          <w:color w:val="000000" w:themeColor="text1"/>
          <w:sz w:val="24"/>
          <w:szCs w:val="24"/>
          <w:lang w:val="en-US" w:eastAsia="zh-CN"/>
          <w14:textFill>
            <w14:solidFill>
              <w14:schemeClr w14:val="tx1"/>
            </w14:solidFill>
          </w14:textFill>
        </w:rPr>
      </w:pPr>
      <w:bookmarkStart w:id="39" w:name="_Toc17191"/>
      <w:r>
        <w:rPr>
          <w:rFonts w:hint="eastAsia" w:ascii="宋体" w:hAnsi="宋体" w:eastAsia="宋体" w:cs="宋体"/>
          <w:color w:val="000000" w:themeColor="text1"/>
          <w:sz w:val="24"/>
          <w:szCs w:val="24"/>
          <w:lang w:val="en-US" w:eastAsia="zh-CN"/>
          <w14:textFill>
            <w14:solidFill>
              <w14:schemeClr w14:val="tx1"/>
            </w14:solidFill>
          </w14:textFill>
        </w:rPr>
        <w:br w:type="page"/>
      </w:r>
    </w:p>
    <w:p>
      <w:pPr>
        <w:pStyle w:val="2"/>
        <w:pageBreakBefore w:val="0"/>
        <w:kinsoku/>
        <w:wordWrap/>
        <w:overflowPunct/>
        <w:topLinePunct w:val="0"/>
        <w:autoSpaceDE/>
        <w:autoSpaceDN/>
        <w:bidi w:val="0"/>
        <w:spacing w:line="360" w:lineRule="auto"/>
        <w:ind w:firstLine="482" w:firstLineChars="20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附件2：</w:t>
      </w:r>
      <w:bookmarkEnd w:id="39"/>
      <w:r>
        <w:rPr>
          <w:rFonts w:hint="eastAsia" w:ascii="宋体" w:hAnsi="宋体" w:eastAsia="宋体" w:cs="宋体"/>
          <w:color w:val="000000" w:themeColor="text1"/>
          <w:sz w:val="24"/>
          <w:szCs w:val="24"/>
          <w:lang w:val="en-US" w:eastAsia="zh-CN"/>
          <w14:textFill>
            <w14:solidFill>
              <w14:schemeClr w14:val="tx1"/>
            </w14:solidFill>
          </w14:textFill>
        </w:rPr>
        <w:t>全自动血液细胞分析仪</w:t>
      </w:r>
    </w:p>
    <w:p>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1、检测原理为激光散射法+细胞染色技术测定白细胞</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无氰化物法测定血红蛋白</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1、测量原理：采用</w:t>
      </w:r>
      <w:r>
        <w:rPr>
          <w:rFonts w:hint="eastAsia" w:ascii="宋体" w:hAnsi="宋体" w:eastAsia="宋体" w:cs="宋体"/>
          <w:color w:val="000000" w:themeColor="text1"/>
          <w:sz w:val="24"/>
          <w:szCs w:val="24"/>
          <w:lang w:val="en-US"/>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 xml:space="preserve">角度激光散射流式细胞技术进行WBC五分类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★2、测量参数：可提供≥2</w:t>
      </w:r>
      <w:r>
        <w:rPr>
          <w:rFonts w:hint="eastAsia" w:ascii="宋体" w:hAnsi="宋体" w:eastAsia="宋体" w:cs="宋体"/>
          <w:color w:val="000000" w:themeColor="text1"/>
          <w:sz w:val="24"/>
          <w:szCs w:val="24"/>
          <w:lang w:val="en-US"/>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项报告参数（不包括研究性参数、散点图和直方图）</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3、检测速度：≥60个/小时</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4、测试模式：全血模式，预稀释模式</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5、样本用量：全血≤20ul，预稀释≤20ul</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7、进样平台容量：≥50个/次，可循环添加</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7、试剂种类（含清洗液）≤4种</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★8、仪器具有网织红细胞检测功能</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9、数据储存：≥</w:t>
      </w:r>
      <w:r>
        <w:rPr>
          <w:rFonts w:hint="eastAsia" w:ascii="宋体" w:hAnsi="宋体" w:eastAsia="宋体" w:cs="宋体"/>
          <w:color w:val="000000" w:themeColor="text1"/>
          <w:sz w:val="24"/>
          <w:szCs w:val="24"/>
          <w:lang w:val="en-US"/>
          <w14:textFill>
            <w14:solidFill>
              <w14:schemeClr w14:val="tx1"/>
            </w14:solidFill>
          </w14:textFill>
        </w:rPr>
        <w:t>14.5</w:t>
      </w:r>
      <w:r>
        <w:rPr>
          <w:rFonts w:hint="eastAsia" w:ascii="宋体" w:hAnsi="宋体" w:eastAsia="宋体" w:cs="宋体"/>
          <w:color w:val="000000" w:themeColor="text1"/>
          <w:sz w:val="24"/>
          <w:szCs w:val="24"/>
          <w14:textFill>
            <w14:solidFill>
              <w14:schemeClr w14:val="tx1"/>
            </w14:solidFill>
          </w14:textFill>
        </w:rPr>
        <w:t>万份测试结果</w:t>
      </w:r>
    </w:p>
    <w:p>
      <w:pPr>
        <w:pageBreakBefore w:val="0"/>
        <w:kinsoku/>
        <w:wordWrap/>
        <w:overflowPunct/>
        <w:topLinePunct w:val="0"/>
        <w:autoSpaceDE/>
        <w:autoSpaceDN/>
        <w:bidi w:val="0"/>
        <w:spacing w:line="360" w:lineRule="auto"/>
        <w:ind w:left="480"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10、重复性误差：WBC≤2.0%，RBC≤1.5%，HGB≤1.5%，PLT≤4.0%，MCV≤1.0%，HCT≤2.0%</w:t>
      </w:r>
    </w:p>
    <w:p>
      <w:pPr>
        <w:pageBreakBefore w:val="0"/>
        <w:kinsoku/>
        <w:wordWrap/>
        <w:overflowPunct/>
        <w:topLinePunct w:val="0"/>
        <w:autoSpaceDE/>
        <w:autoSpaceDN/>
        <w:bidi w:val="0"/>
        <w:spacing w:line="360" w:lineRule="auto"/>
        <w:ind w:left="480"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11、携带污染率：WBC≤0.5%，RBC≤0.5%，HGB≤0.5%，PLT≤1.0%</w:t>
      </w:r>
    </w:p>
    <w:p>
      <w:pPr>
        <w:pageBreakBefore w:val="0"/>
        <w:kinsoku/>
        <w:wordWrap/>
        <w:overflowPunct/>
        <w:topLinePunct w:val="0"/>
        <w:autoSpaceDE/>
        <w:autoSpaceDN/>
        <w:bidi w:val="0"/>
        <w:spacing w:line="360" w:lineRule="auto"/>
        <w:ind w:firstLine="56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0"/>
          <w:sz w:val="24"/>
          <w:szCs w:val="24"/>
          <w14:textFill>
            <w14:solidFill>
              <w14:schemeClr w14:val="tx1"/>
            </w14:solidFill>
          </w14:textFill>
        </w:rPr>
        <w:t>12、校准与质控：</w:t>
      </w:r>
      <w:r>
        <w:rPr>
          <w:rFonts w:hint="eastAsia" w:ascii="宋体" w:hAnsi="宋体" w:eastAsia="宋体" w:cs="宋体"/>
          <w:color w:val="000000" w:themeColor="text1"/>
          <w:sz w:val="24"/>
          <w:szCs w:val="24"/>
          <w14:textFill>
            <w14:solidFill>
              <w14:schemeClr w14:val="tx1"/>
            </w14:solidFill>
          </w14:textFill>
        </w:rPr>
        <w:t>具有L-J，X，X-R，X-B等4种质控模式，</w:t>
      </w:r>
      <w:r>
        <w:rPr>
          <w:rFonts w:hint="eastAsia" w:ascii="宋体" w:hAnsi="宋体" w:eastAsia="宋体" w:cs="宋体"/>
          <w:color w:val="000000" w:themeColor="text1"/>
          <w:kern w:val="0"/>
          <w:sz w:val="24"/>
          <w:szCs w:val="24"/>
          <w14:textFill>
            <w14:solidFill>
              <w14:schemeClr w14:val="tx1"/>
            </w14:solidFill>
          </w14:textFill>
        </w:rPr>
        <w:t>能够自动绘制质控图</w:t>
      </w:r>
    </w:p>
    <w:p>
      <w:pPr>
        <w:pageBreakBefore w:val="0"/>
        <w:kinsoku/>
        <w:wordWrap/>
        <w:overflowPunct/>
        <w:topLinePunct w:val="0"/>
        <w:autoSpaceDE/>
        <w:autoSpaceDN/>
        <w:bidi w:val="0"/>
        <w:spacing w:line="360" w:lineRule="auto"/>
        <w:ind w:firstLine="56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0"/>
          <w:sz w:val="24"/>
          <w:szCs w:val="24"/>
          <w14:textFill>
            <w14:solidFill>
              <w14:schemeClr w14:val="tx1"/>
            </w14:solidFill>
          </w14:textFill>
        </w:rPr>
        <w:t>13、参考范围：</w:t>
      </w:r>
      <w:r>
        <w:rPr>
          <w:rFonts w:hint="eastAsia" w:ascii="宋体" w:hAnsi="宋体" w:eastAsia="宋体" w:cs="宋体"/>
          <w:color w:val="000000" w:themeColor="text1"/>
          <w:sz w:val="24"/>
          <w:szCs w:val="24"/>
          <w14:textFill>
            <w14:solidFill>
              <w14:schemeClr w14:val="tx1"/>
            </w14:solidFill>
          </w14:textFill>
        </w:rPr>
        <w:t>具有</w:t>
      </w:r>
      <w:r>
        <w:rPr>
          <w:rFonts w:hint="eastAsia" w:ascii="宋体" w:hAnsi="宋体" w:eastAsia="宋体" w:cs="宋体"/>
          <w:color w:val="000000" w:themeColor="text1"/>
          <w:sz w:val="24"/>
          <w:szCs w:val="24"/>
          <w:lang w:val="en-US"/>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组不同人群正常范围参数限设定功能</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14、WBC、RBC、HGB、PLT等项目具有两种单位选择</w:t>
      </w:r>
    </w:p>
    <w:p>
      <w:pPr>
        <w:pageBreakBefore w:val="0"/>
        <w:kinsoku/>
        <w:wordWrap/>
        <w:overflowPunct/>
        <w:topLinePunct w:val="0"/>
        <w:autoSpaceDE/>
        <w:autoSpaceDN/>
        <w:bidi w:val="0"/>
        <w:spacing w:line="360" w:lineRule="auto"/>
        <w:ind w:firstLine="56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0"/>
          <w:sz w:val="24"/>
          <w:szCs w:val="24"/>
          <w14:textFill>
            <w14:solidFill>
              <w14:schemeClr w14:val="tx1"/>
            </w14:solidFill>
          </w14:textFill>
        </w:rPr>
        <w:t>15、异常细胞提示：</w:t>
      </w:r>
      <w:r>
        <w:rPr>
          <w:rFonts w:hint="eastAsia" w:ascii="宋体" w:hAnsi="宋体" w:eastAsia="宋体" w:cs="宋体"/>
          <w:color w:val="000000" w:themeColor="text1"/>
          <w:sz w:val="24"/>
          <w:szCs w:val="24"/>
          <w14:textFill>
            <w14:solidFill>
              <w14:schemeClr w14:val="tx1"/>
            </w14:solidFill>
          </w14:textFill>
        </w:rPr>
        <w:t>具有提示难溶性红细胞</w:t>
      </w:r>
      <w:r>
        <w:rPr>
          <w:rFonts w:hint="eastAsia" w:ascii="宋体" w:hAnsi="宋体" w:eastAsia="宋体" w:cs="宋体"/>
          <w:color w:val="000000" w:themeColor="text1"/>
          <w:kern w:val="0"/>
          <w:sz w:val="24"/>
          <w:szCs w:val="24"/>
          <w14:textFill>
            <w14:solidFill>
              <w14:schemeClr w14:val="tx1"/>
            </w14:solidFill>
          </w14:textFill>
        </w:rPr>
        <w:t>及异常细胞报警功能</w:t>
      </w:r>
      <w:r>
        <w:rPr>
          <w:rFonts w:hint="eastAsia" w:ascii="宋体" w:hAnsi="宋体" w:eastAsia="宋体" w:cs="宋体"/>
          <w:color w:val="000000" w:themeColor="text1"/>
          <w:sz w:val="24"/>
          <w:szCs w:val="24"/>
          <w14:textFill>
            <w14:solidFill>
              <w14:schemeClr w14:val="tx1"/>
            </w14:solidFill>
          </w14:textFill>
        </w:rPr>
        <w:t>。</w:t>
      </w:r>
    </w:p>
    <w:p>
      <w:pPr>
        <w:pageBreakBefore w:val="0"/>
        <w:kinsoku/>
        <w:wordWrap/>
        <w:overflowPunct/>
        <w:topLinePunct w:val="0"/>
        <w:autoSpaceDE/>
        <w:autoSpaceDN/>
        <w:bidi w:val="0"/>
        <w:spacing w:line="360" w:lineRule="auto"/>
        <w:ind w:firstLine="56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0"/>
          <w:sz w:val="24"/>
          <w:szCs w:val="24"/>
          <w14:textFill>
            <w14:solidFill>
              <w14:schemeClr w14:val="tx1"/>
            </w14:solidFill>
          </w14:textFill>
        </w:rPr>
        <w:t>16、报警功能：</w:t>
      </w:r>
      <w:r>
        <w:rPr>
          <w:rFonts w:hint="eastAsia" w:ascii="宋体" w:hAnsi="宋体" w:eastAsia="宋体" w:cs="宋体"/>
          <w:color w:val="000000" w:themeColor="text1"/>
          <w:sz w:val="24"/>
          <w:szCs w:val="24"/>
          <w14:textFill>
            <w14:solidFill>
              <w14:schemeClr w14:val="tx1"/>
            </w14:solidFill>
          </w14:textFill>
        </w:rPr>
        <w:t>仪器具有参数异常报警、试剂检测报警、故障提示报警功能</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17、配置：电脑和打印机</w:t>
      </w:r>
    </w:p>
    <w:p>
      <w:pPr>
        <w:pageBreakBefore w:val="0"/>
        <w:tabs>
          <w:tab w:val="left" w:pos="920"/>
          <w:tab w:val="left" w:pos="2628"/>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p>
    <w:p>
      <w:pPr>
        <w:rPr>
          <w:rFonts w:hint="eastAsia" w:ascii="宋体" w:hAnsi="宋体" w:eastAsia="宋体" w:cs="宋体"/>
          <w:color w:val="000000" w:themeColor="text1"/>
          <w:sz w:val="24"/>
          <w:szCs w:val="24"/>
          <w:lang w:val="en-US" w:eastAsia="zh-CN"/>
          <w14:textFill>
            <w14:solidFill>
              <w14:schemeClr w14:val="tx1"/>
            </w14:solidFill>
          </w14:textFill>
        </w:rPr>
      </w:pPr>
      <w:bookmarkStart w:id="40" w:name="_Toc8303"/>
      <w:r>
        <w:rPr>
          <w:rFonts w:hint="eastAsia" w:ascii="宋体" w:hAnsi="宋体" w:eastAsia="宋体" w:cs="宋体"/>
          <w:color w:val="000000" w:themeColor="text1"/>
          <w:sz w:val="24"/>
          <w:szCs w:val="24"/>
          <w:lang w:val="en-US" w:eastAsia="zh-CN"/>
          <w14:textFill>
            <w14:solidFill>
              <w14:schemeClr w14:val="tx1"/>
            </w14:solidFill>
          </w14:textFill>
        </w:rPr>
        <w:br w:type="page"/>
      </w:r>
    </w:p>
    <w:p>
      <w:pPr>
        <w:pStyle w:val="2"/>
        <w:pageBreakBefore w:val="0"/>
        <w:kinsoku/>
        <w:wordWrap/>
        <w:overflowPunct/>
        <w:topLinePunct w:val="0"/>
        <w:autoSpaceDE/>
        <w:autoSpaceDN/>
        <w:bidi w:val="0"/>
        <w:spacing w:line="360" w:lineRule="auto"/>
        <w:ind w:firstLine="482" w:firstLineChars="20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附件3：全自动生化分析仪</w:t>
      </w:r>
      <w:bookmarkEnd w:id="40"/>
    </w:p>
    <w:p>
      <w:pPr>
        <w:pageBreakBefore w:val="0"/>
        <w:tabs>
          <w:tab w:val="left" w:pos="920"/>
          <w:tab w:val="left" w:pos="2628"/>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分析速度：生化恒速800T/H</w:t>
      </w:r>
    </w:p>
    <w:p>
      <w:pPr>
        <w:pageBreakBefore w:val="0"/>
        <w:tabs>
          <w:tab w:val="left" w:pos="920"/>
          <w:tab w:val="left" w:pos="2628"/>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最大可同时分析项目：≥1</w:t>
      </w:r>
      <w:r>
        <w:rPr>
          <w:rFonts w:hint="eastAsia" w:ascii="宋体" w:hAnsi="宋体" w:eastAsia="宋体" w:cs="宋体"/>
          <w:color w:val="000000" w:themeColor="text1"/>
          <w:kern w:val="0"/>
          <w:sz w:val="24"/>
          <w:szCs w:val="24"/>
          <w:lang w:val="en-US" w:eastAsia="zh-CN"/>
          <w14:textFill>
            <w14:solidFill>
              <w14:schemeClr w14:val="tx1"/>
            </w14:solidFill>
          </w14:textFill>
        </w:rPr>
        <w:t>65</w:t>
      </w:r>
      <w:r>
        <w:rPr>
          <w:rFonts w:hint="eastAsia" w:ascii="宋体" w:hAnsi="宋体" w:eastAsia="宋体" w:cs="宋体"/>
          <w:color w:val="000000" w:themeColor="text1"/>
          <w:kern w:val="0"/>
          <w:sz w:val="24"/>
          <w:szCs w:val="24"/>
          <w14:textFill>
            <w14:solidFill>
              <w14:schemeClr w14:val="tx1"/>
            </w14:solidFill>
          </w14:textFill>
        </w:rPr>
        <w:t>个（生化1</w:t>
      </w: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9个，ISE3个，血清指数3项）</w:t>
      </w:r>
    </w:p>
    <w:p>
      <w:pPr>
        <w:pageBreakBefore w:val="0"/>
        <w:tabs>
          <w:tab w:val="left" w:pos="920"/>
          <w:tab w:val="left" w:pos="2628"/>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测试原理：比色法、比浊法</w:t>
      </w:r>
    </w:p>
    <w:p>
      <w:pPr>
        <w:pageBreakBefore w:val="0"/>
        <w:tabs>
          <w:tab w:val="left" w:pos="920"/>
          <w:tab w:val="left" w:pos="2628"/>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分析方法：终点法、固定时间法、动力学法;</w:t>
      </w:r>
    </w:p>
    <w:p>
      <w:pPr>
        <w:pageBreakBefore w:val="0"/>
        <w:tabs>
          <w:tab w:val="left" w:pos="920"/>
          <w:tab w:val="left" w:pos="2628"/>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波长：340～850nm ,≥1</w:t>
      </w: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个波长</w:t>
      </w:r>
    </w:p>
    <w:p>
      <w:pPr>
        <w:pageBreakBefore w:val="0"/>
        <w:tabs>
          <w:tab w:val="left" w:pos="920"/>
          <w:tab w:val="left" w:pos="2628"/>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6、</w:t>
      </w:r>
      <w:r>
        <w:rPr>
          <w:rFonts w:hint="eastAsia" w:ascii="宋体" w:hAnsi="宋体" w:eastAsia="宋体" w:cs="宋体"/>
          <w:color w:val="000000" w:themeColor="text1"/>
          <w:kern w:val="0"/>
          <w:sz w:val="24"/>
          <w:szCs w:val="24"/>
          <w14:textFill>
            <w14:solidFill>
              <w14:schemeClr w14:val="tx1"/>
            </w14:solidFill>
          </w14:textFill>
        </w:rPr>
        <w:t>吸光度线性范围：≥0～3.</w:t>
      </w:r>
      <w:r>
        <w:rPr>
          <w:rFonts w:hint="eastAsia" w:ascii="宋体" w:hAnsi="宋体" w:eastAsia="宋体" w:cs="宋体"/>
          <w:color w:val="000000" w:themeColor="text1"/>
          <w:kern w:val="0"/>
          <w:sz w:val="24"/>
          <w:szCs w:val="24"/>
          <w:lang w:val="en-US" w:eastAsia="zh-CN"/>
          <w14:textFill>
            <w14:solidFill>
              <w14:schemeClr w14:val="tx1"/>
            </w14:solidFill>
          </w14:textFill>
        </w:rPr>
        <w:t>45</w:t>
      </w:r>
      <w:r>
        <w:rPr>
          <w:rFonts w:hint="eastAsia" w:ascii="宋体" w:hAnsi="宋体" w:eastAsia="宋体" w:cs="宋体"/>
          <w:color w:val="000000" w:themeColor="text1"/>
          <w:kern w:val="0"/>
          <w:sz w:val="24"/>
          <w:szCs w:val="24"/>
          <w14:textFill>
            <w14:solidFill>
              <w14:schemeClr w14:val="tx1"/>
            </w14:solidFill>
          </w14:textFill>
        </w:rPr>
        <w:t>Abs</w:t>
      </w:r>
    </w:p>
    <w:p>
      <w:pPr>
        <w:pageBreakBefore w:val="0"/>
        <w:tabs>
          <w:tab w:val="left" w:pos="920"/>
          <w:tab w:val="left" w:pos="2628"/>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7、</w:t>
      </w:r>
      <w:r>
        <w:rPr>
          <w:rFonts w:hint="eastAsia" w:ascii="宋体" w:hAnsi="宋体" w:eastAsia="宋体" w:cs="宋体"/>
          <w:color w:val="000000" w:themeColor="text1"/>
          <w:kern w:val="0"/>
          <w:sz w:val="24"/>
          <w:szCs w:val="24"/>
          <w14:textFill>
            <w14:solidFill>
              <w14:schemeClr w14:val="tx1"/>
            </w14:solidFill>
          </w14:textFill>
        </w:rPr>
        <w:t>样品携带污染率：不大于0.0</w:t>
      </w: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tabs>
          <w:tab w:val="left" w:pos="920"/>
          <w:tab w:val="left" w:pos="2628"/>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8、</w:t>
      </w:r>
      <w:r>
        <w:rPr>
          <w:rFonts w:hint="eastAsia" w:ascii="宋体" w:hAnsi="宋体" w:eastAsia="宋体" w:cs="宋体"/>
          <w:color w:val="000000" w:themeColor="text1"/>
          <w:kern w:val="0"/>
          <w:sz w:val="24"/>
          <w:szCs w:val="24"/>
          <w14:textFill>
            <w14:solidFill>
              <w14:schemeClr w14:val="tx1"/>
            </w14:solidFill>
          </w14:textFill>
        </w:rPr>
        <w:t>试剂位：≥1</w:t>
      </w:r>
      <w:r>
        <w:rPr>
          <w:rFonts w:hint="eastAsia" w:ascii="宋体" w:hAnsi="宋体" w:eastAsia="宋体" w:cs="宋体"/>
          <w:color w:val="000000" w:themeColor="text1"/>
          <w:kern w:val="0"/>
          <w:sz w:val="24"/>
          <w:szCs w:val="24"/>
          <w:lang w:val="en-US" w:eastAsia="zh-CN"/>
          <w14:textFill>
            <w14:solidFill>
              <w14:schemeClr w14:val="tx1"/>
            </w14:solidFill>
          </w14:textFill>
        </w:rPr>
        <w:t>76</w:t>
      </w:r>
      <w:r>
        <w:rPr>
          <w:rFonts w:hint="eastAsia" w:ascii="宋体" w:hAnsi="宋体" w:eastAsia="宋体" w:cs="宋体"/>
          <w:color w:val="000000" w:themeColor="text1"/>
          <w:kern w:val="0"/>
          <w:sz w:val="24"/>
          <w:szCs w:val="24"/>
          <w14:textFill>
            <w14:solidFill>
              <w14:schemeClr w14:val="tx1"/>
            </w14:solidFill>
          </w14:textFill>
        </w:rPr>
        <w:t>个试剂位；</w:t>
      </w:r>
    </w:p>
    <w:p>
      <w:pPr>
        <w:pageBreakBefore w:val="0"/>
        <w:tabs>
          <w:tab w:val="left" w:pos="920"/>
          <w:tab w:val="left" w:pos="2628"/>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9、</w:t>
      </w:r>
      <w:r>
        <w:rPr>
          <w:rFonts w:hint="eastAsia" w:ascii="宋体" w:hAnsi="宋体" w:eastAsia="宋体" w:cs="宋体"/>
          <w:color w:val="000000" w:themeColor="text1"/>
          <w:kern w:val="0"/>
          <w:sz w:val="24"/>
          <w:szCs w:val="24"/>
          <w14:textFill>
            <w14:solidFill>
              <w14:schemeClr w14:val="tx1"/>
            </w14:solidFill>
          </w14:textFill>
        </w:rPr>
        <w:t>试剂盘冷藏温度：2～8℃</w:t>
      </w:r>
    </w:p>
    <w:p>
      <w:pPr>
        <w:pageBreakBefore w:val="0"/>
        <w:tabs>
          <w:tab w:val="left" w:pos="920"/>
          <w:tab w:val="left" w:pos="2628"/>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10、</w:t>
      </w:r>
      <w:r>
        <w:rPr>
          <w:rFonts w:hint="eastAsia" w:ascii="宋体" w:hAnsi="宋体" w:eastAsia="宋体" w:cs="宋体"/>
          <w:color w:val="000000" w:themeColor="text1"/>
          <w:kern w:val="0"/>
          <w:sz w:val="24"/>
          <w:szCs w:val="24"/>
          <w14:textFill>
            <w14:solidFill>
              <w14:schemeClr w14:val="tx1"/>
            </w14:solidFill>
          </w14:textFill>
        </w:rPr>
        <w:t>试剂量：10μL～200uL， 0.5µl步进。</w:t>
      </w:r>
    </w:p>
    <w:p>
      <w:pPr>
        <w:pageBreakBefore w:val="0"/>
        <w:tabs>
          <w:tab w:val="left" w:pos="920"/>
          <w:tab w:val="left" w:pos="2628"/>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11、</w:t>
      </w:r>
      <w:r>
        <w:rPr>
          <w:rFonts w:hint="eastAsia" w:ascii="宋体" w:hAnsi="宋体" w:eastAsia="宋体" w:cs="宋体"/>
          <w:color w:val="000000" w:themeColor="text1"/>
          <w:kern w:val="0"/>
          <w:sz w:val="24"/>
          <w:szCs w:val="24"/>
          <w14:textFill>
            <w14:solidFill>
              <w14:schemeClr w14:val="tx1"/>
            </w14:solidFill>
          </w14:textFill>
        </w:rPr>
        <w:t>反应杯位：≥16</w:t>
      </w: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个,光径5mm；</w:t>
      </w:r>
    </w:p>
    <w:p>
      <w:pPr>
        <w:pageBreakBefore w:val="0"/>
        <w:tabs>
          <w:tab w:val="left" w:pos="920"/>
          <w:tab w:val="left" w:pos="2628"/>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12、</w:t>
      </w:r>
      <w:r>
        <w:rPr>
          <w:rFonts w:hint="eastAsia" w:ascii="宋体" w:hAnsi="宋体" w:eastAsia="宋体" w:cs="宋体"/>
          <w:color w:val="000000" w:themeColor="text1"/>
          <w:kern w:val="0"/>
          <w:sz w:val="24"/>
          <w:szCs w:val="24"/>
          <w14:textFill>
            <w14:solidFill>
              <w14:schemeClr w14:val="tx1"/>
            </w14:solidFill>
          </w14:textFill>
        </w:rPr>
        <w:t>最小反应体积： ≤8</w:t>
      </w:r>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µl；</w:t>
      </w:r>
    </w:p>
    <w:p>
      <w:pPr>
        <w:pageBreakBefore w:val="0"/>
        <w:tabs>
          <w:tab w:val="left" w:pos="920"/>
          <w:tab w:val="left" w:pos="2628"/>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13、</w:t>
      </w:r>
      <w:r>
        <w:rPr>
          <w:rFonts w:hint="eastAsia" w:ascii="宋体" w:hAnsi="宋体" w:eastAsia="宋体" w:cs="宋体"/>
          <w:color w:val="000000" w:themeColor="text1"/>
          <w:kern w:val="0"/>
          <w:sz w:val="24"/>
          <w:szCs w:val="24"/>
          <w14:textFill>
            <w14:solidFill>
              <w14:schemeClr w14:val="tx1"/>
            </w14:solidFill>
          </w14:textFill>
        </w:rPr>
        <w:t>样本位：≥1</w:t>
      </w:r>
      <w:r>
        <w:rPr>
          <w:rFonts w:hint="eastAsia" w:ascii="宋体" w:hAnsi="宋体" w:eastAsia="宋体" w:cs="宋体"/>
          <w:color w:val="000000" w:themeColor="text1"/>
          <w:kern w:val="0"/>
          <w:sz w:val="24"/>
          <w:szCs w:val="24"/>
          <w:lang w:val="en-US" w:eastAsia="zh-CN"/>
          <w14:textFill>
            <w14:solidFill>
              <w14:schemeClr w14:val="tx1"/>
            </w14:solidFill>
          </w14:textFill>
        </w:rPr>
        <w:t>80</w:t>
      </w:r>
      <w:r>
        <w:rPr>
          <w:rFonts w:hint="eastAsia" w:ascii="宋体" w:hAnsi="宋体" w:eastAsia="宋体" w:cs="宋体"/>
          <w:color w:val="000000" w:themeColor="text1"/>
          <w:kern w:val="0"/>
          <w:sz w:val="24"/>
          <w:szCs w:val="24"/>
          <w14:textFill>
            <w14:solidFill>
              <w14:schemeClr w14:val="tx1"/>
            </w14:solidFill>
          </w14:textFill>
        </w:rPr>
        <w:t>个样本位；</w:t>
      </w:r>
    </w:p>
    <w:p>
      <w:pPr>
        <w:pageBreakBefore w:val="0"/>
        <w:tabs>
          <w:tab w:val="left" w:pos="920"/>
          <w:tab w:val="left" w:pos="2628"/>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14、</w:t>
      </w:r>
      <w:r>
        <w:rPr>
          <w:rFonts w:hint="eastAsia" w:ascii="宋体" w:hAnsi="宋体" w:eastAsia="宋体" w:cs="宋体"/>
          <w:color w:val="000000" w:themeColor="text1"/>
          <w:kern w:val="0"/>
          <w:sz w:val="24"/>
          <w:szCs w:val="24"/>
          <w14:textFill>
            <w14:solidFill>
              <w14:schemeClr w14:val="tx1"/>
            </w14:solidFill>
          </w14:textFill>
        </w:rPr>
        <w:t>样本量：1.5μL～35uL， 0.1µl步进。</w:t>
      </w:r>
    </w:p>
    <w:p>
      <w:pPr>
        <w:pageBreakBefore w:val="0"/>
        <w:tabs>
          <w:tab w:val="left" w:pos="920"/>
          <w:tab w:val="left" w:pos="2628"/>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15、</w:t>
      </w:r>
      <w:r>
        <w:rPr>
          <w:rFonts w:hint="eastAsia" w:ascii="宋体" w:hAnsi="宋体" w:eastAsia="宋体" w:cs="宋体"/>
          <w:color w:val="000000" w:themeColor="text1"/>
          <w:kern w:val="0"/>
          <w:sz w:val="24"/>
          <w:szCs w:val="24"/>
          <w14:textFill>
            <w14:solidFill>
              <w14:schemeClr w14:val="tx1"/>
            </w14:solidFill>
          </w14:textFill>
        </w:rPr>
        <w:t>温控方式：非水浴免维护免保养的恒温方式；</w:t>
      </w:r>
    </w:p>
    <w:p>
      <w:pPr>
        <w:pageBreakBefore w:val="0"/>
        <w:tabs>
          <w:tab w:val="left" w:pos="920"/>
          <w:tab w:val="left" w:pos="2628"/>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16、</w:t>
      </w:r>
      <w:r>
        <w:rPr>
          <w:rFonts w:hint="eastAsia" w:ascii="宋体" w:hAnsi="宋体" w:eastAsia="宋体" w:cs="宋体"/>
          <w:color w:val="000000" w:themeColor="text1"/>
          <w:kern w:val="0"/>
          <w:sz w:val="24"/>
          <w:szCs w:val="24"/>
          <w14:textFill>
            <w14:solidFill>
              <w14:schemeClr w14:val="tx1"/>
            </w14:solidFill>
          </w14:textFill>
        </w:rPr>
        <w:t>比色杯清洗：8阶，自动温水/清洗剂清洗</w:t>
      </w:r>
    </w:p>
    <w:p>
      <w:pPr>
        <w:pageBreakBefore w:val="0"/>
        <w:tabs>
          <w:tab w:val="left" w:pos="920"/>
          <w:tab w:val="left" w:pos="2628"/>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17、</w:t>
      </w:r>
      <w:r>
        <w:rPr>
          <w:rFonts w:hint="eastAsia" w:ascii="宋体" w:hAnsi="宋体" w:eastAsia="宋体" w:cs="宋体"/>
          <w:color w:val="000000" w:themeColor="text1"/>
          <w:kern w:val="0"/>
          <w:sz w:val="24"/>
          <w:szCs w:val="24"/>
          <w14:textFill>
            <w14:solidFill>
              <w14:schemeClr w14:val="tx1"/>
            </w14:solidFill>
          </w14:textFill>
        </w:rPr>
        <w:t>光学系统：全息凹面光栅后分光系统</w:t>
      </w:r>
    </w:p>
    <w:p>
      <w:pPr>
        <w:pageBreakBefore w:val="0"/>
        <w:tabs>
          <w:tab w:val="left" w:pos="920"/>
          <w:tab w:val="left" w:pos="2628"/>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18、</w:t>
      </w:r>
      <w:r>
        <w:rPr>
          <w:rFonts w:hint="eastAsia" w:ascii="宋体" w:hAnsi="宋体" w:eastAsia="宋体" w:cs="宋体"/>
          <w:color w:val="000000" w:themeColor="text1"/>
          <w:kern w:val="0"/>
          <w:sz w:val="24"/>
          <w:szCs w:val="24"/>
          <w14:textFill>
            <w14:solidFill>
              <w14:schemeClr w14:val="tx1"/>
            </w14:solidFill>
          </w14:textFill>
        </w:rPr>
        <w:t>支持HbA1c全血测试功能</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支持在线试剂装载</w:t>
      </w:r>
    </w:p>
    <w:p>
      <w:pPr>
        <w:pageBreakBefore w:val="0"/>
        <w:tabs>
          <w:tab w:val="left" w:pos="920"/>
          <w:tab w:val="left" w:pos="2628"/>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29、</w:t>
      </w:r>
      <w:r>
        <w:rPr>
          <w:rFonts w:hint="eastAsia" w:ascii="宋体" w:hAnsi="宋体" w:eastAsia="宋体" w:cs="宋体"/>
          <w:color w:val="000000" w:themeColor="text1"/>
          <w:kern w:val="0"/>
          <w:sz w:val="24"/>
          <w:szCs w:val="24"/>
          <w14:textFill>
            <w14:solidFill>
              <w14:schemeClr w14:val="tx1"/>
            </w14:solidFill>
          </w14:textFill>
        </w:rPr>
        <w:t>拥有CNAS认可的标准化实验室。</w:t>
      </w:r>
    </w:p>
    <w:p>
      <w:pPr>
        <w:pageBreakBefore w:val="0"/>
        <w:tabs>
          <w:tab w:val="left" w:pos="920"/>
          <w:tab w:val="left" w:pos="2628"/>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20、</w:t>
      </w:r>
      <w:r>
        <w:rPr>
          <w:rFonts w:hint="eastAsia" w:ascii="宋体" w:hAnsi="宋体" w:eastAsia="宋体" w:cs="宋体"/>
          <w:color w:val="000000" w:themeColor="text1"/>
          <w:kern w:val="0"/>
          <w:sz w:val="24"/>
          <w:szCs w:val="24"/>
          <w14:textFill>
            <w14:solidFill>
              <w14:schemeClr w14:val="tx1"/>
            </w14:solidFill>
          </w14:textFill>
        </w:rPr>
        <w:t>系统配套性要求：具有原厂配套试剂、校准品和质控品；试剂配套项目≥5</w:t>
      </w:r>
      <w:r>
        <w:rPr>
          <w:rFonts w:hint="eastAsia" w:ascii="宋体" w:hAnsi="宋体" w:eastAsia="宋体" w:cs="宋体"/>
          <w:color w:val="000000" w:themeColor="text1"/>
          <w:kern w:val="0"/>
          <w:sz w:val="24"/>
          <w:szCs w:val="24"/>
          <w:lang w:val="en-US" w:eastAsia="zh-CN"/>
          <w14:textFill>
            <w14:solidFill>
              <w14:schemeClr w14:val="tx1"/>
            </w14:solidFill>
          </w14:textFill>
        </w:rPr>
        <w:t>6</w:t>
      </w:r>
      <w:r>
        <w:rPr>
          <w:rFonts w:hint="eastAsia" w:ascii="宋体" w:hAnsi="宋体" w:eastAsia="宋体" w:cs="宋体"/>
          <w:color w:val="000000" w:themeColor="text1"/>
          <w:kern w:val="0"/>
          <w:sz w:val="24"/>
          <w:szCs w:val="24"/>
          <w14:textFill>
            <w14:solidFill>
              <w14:schemeClr w14:val="tx1"/>
            </w14:solidFill>
          </w14:textFill>
        </w:rPr>
        <w:t>项，校准品≥32项,并提供项目注册证明。</w:t>
      </w:r>
    </w:p>
    <w:p>
      <w:pPr>
        <w:pageBreakBefore w:val="0"/>
        <w:tabs>
          <w:tab w:val="left" w:pos="920"/>
          <w:tab w:val="left" w:pos="2628"/>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p>
    <w:p>
      <w:pPr>
        <w:pageBreakBefore w:val="0"/>
        <w:tabs>
          <w:tab w:val="left" w:pos="920"/>
          <w:tab w:val="left" w:pos="2628"/>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p>
    <w:p>
      <w:pPr>
        <w:rPr>
          <w:rFonts w:hint="eastAsia" w:ascii="宋体" w:hAnsi="宋体" w:eastAsia="宋体" w:cs="宋体"/>
          <w:color w:val="000000" w:themeColor="text1"/>
          <w:sz w:val="24"/>
          <w:szCs w:val="24"/>
          <w:lang w:val="en-US" w:eastAsia="zh-CN"/>
          <w14:textFill>
            <w14:solidFill>
              <w14:schemeClr w14:val="tx1"/>
            </w14:solidFill>
          </w14:textFill>
        </w:rPr>
      </w:pPr>
      <w:bookmarkStart w:id="41" w:name="_Toc28080"/>
      <w:r>
        <w:rPr>
          <w:rFonts w:hint="eastAsia" w:ascii="宋体" w:hAnsi="宋体" w:eastAsia="宋体" w:cs="宋体"/>
          <w:color w:val="000000" w:themeColor="text1"/>
          <w:sz w:val="24"/>
          <w:szCs w:val="24"/>
          <w:lang w:val="en-US" w:eastAsia="zh-CN"/>
          <w14:textFill>
            <w14:solidFill>
              <w14:schemeClr w14:val="tx1"/>
            </w14:solidFill>
          </w14:textFill>
        </w:rPr>
        <w:br w:type="page"/>
      </w:r>
    </w:p>
    <w:p>
      <w:pPr>
        <w:pStyle w:val="2"/>
        <w:pageBreakBefore w:val="0"/>
        <w:kinsoku/>
        <w:wordWrap/>
        <w:overflowPunct/>
        <w:topLinePunct w:val="0"/>
        <w:autoSpaceDE/>
        <w:autoSpaceDN/>
        <w:bidi w:val="0"/>
        <w:spacing w:line="360" w:lineRule="auto"/>
        <w:ind w:firstLine="482" w:firstLineChars="20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附件4：高压灭菌柜</w:t>
      </w:r>
      <w:bookmarkEnd w:id="41"/>
    </w:p>
    <w:p>
      <w:pPr>
        <w:pageBreakBefore w:val="0"/>
        <w:tabs>
          <w:tab w:val="left" w:pos="920"/>
          <w:tab w:val="left" w:pos="2628"/>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不锈钢材质，径向自胀式密封圈;</w:t>
      </w:r>
    </w:p>
    <w:p>
      <w:pPr>
        <w:pageBreakBefore w:val="0"/>
        <w:tabs>
          <w:tab w:val="left" w:pos="920"/>
          <w:tab w:val="left" w:pos="2628"/>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拨杆弹盖结构，开盖自动弹起，上盖有耐高温防烫保护结构;</w:t>
      </w:r>
    </w:p>
    <w:p>
      <w:pPr>
        <w:pageBreakBefore w:val="0"/>
        <w:tabs>
          <w:tab w:val="left" w:pos="920"/>
          <w:tab w:val="left" w:pos="2628"/>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上置触摸液晶显示屏，便于操作观察;</w:t>
      </w:r>
    </w:p>
    <w:p>
      <w:pPr>
        <w:pageBreakBefore w:val="0"/>
        <w:tabs>
          <w:tab w:val="left" w:pos="920"/>
          <w:tab w:val="left" w:pos="2628"/>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微电脑自定义程序设定，满足不同灭菌需求;</w:t>
      </w:r>
    </w:p>
    <w:p>
      <w:pPr>
        <w:pageBreakBefore w:val="0"/>
        <w:tabs>
          <w:tab w:val="left" w:pos="920"/>
          <w:tab w:val="left" w:pos="2628"/>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大屏幕直观显示灭菌过程，显示设备运行状态</w:t>
      </w:r>
      <w:r>
        <w:rPr>
          <w:rFonts w:hint="eastAsia" w:ascii="宋体" w:hAnsi="宋体" w:eastAsia="宋体" w:cs="宋体"/>
          <w:color w:val="000000" w:themeColor="text1"/>
          <w:kern w:val="0"/>
          <w:sz w:val="24"/>
          <w:szCs w:val="24"/>
          <w:lang w:eastAsia="zh-CN"/>
          <w14:textFill>
            <w14:solidFill>
              <w14:schemeClr w14:val="tx1"/>
            </w14:solidFill>
          </w14:textFill>
        </w:rPr>
        <w:t>；</w:t>
      </w:r>
    </w:p>
    <w:p>
      <w:pPr>
        <w:pageBreakBefore w:val="0"/>
        <w:tabs>
          <w:tab w:val="left" w:pos="920"/>
          <w:tab w:val="left" w:pos="2628"/>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6、</w:t>
      </w:r>
      <w:r>
        <w:rPr>
          <w:rFonts w:hint="eastAsia" w:ascii="宋体" w:hAnsi="宋体" w:eastAsia="宋体" w:cs="宋体"/>
          <w:color w:val="000000" w:themeColor="text1"/>
          <w:kern w:val="0"/>
          <w:sz w:val="24"/>
          <w:szCs w:val="24"/>
          <w14:textFill>
            <w14:solidFill>
              <w14:schemeClr w14:val="tx1"/>
            </w14:solidFill>
          </w14:textFill>
        </w:rPr>
        <w:t>压力安全联锁装置，有压状态下上盖无法打开</w:t>
      </w:r>
      <w:r>
        <w:rPr>
          <w:rFonts w:hint="eastAsia" w:ascii="宋体" w:hAnsi="宋体" w:eastAsia="宋体" w:cs="宋体"/>
          <w:color w:val="000000" w:themeColor="text1"/>
          <w:kern w:val="0"/>
          <w:sz w:val="24"/>
          <w:szCs w:val="24"/>
          <w:lang w:eastAsia="zh-CN"/>
          <w14:textFill>
            <w14:solidFill>
              <w14:schemeClr w14:val="tx1"/>
            </w14:solidFill>
          </w14:textFill>
        </w:rPr>
        <w:t>；</w:t>
      </w:r>
    </w:p>
    <w:p>
      <w:pPr>
        <w:pageBreakBefore w:val="0"/>
        <w:tabs>
          <w:tab w:val="left" w:pos="920"/>
          <w:tab w:val="left" w:pos="2628"/>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7、</w:t>
      </w:r>
      <w:r>
        <w:rPr>
          <w:rFonts w:hint="eastAsia" w:ascii="宋体" w:hAnsi="宋体" w:eastAsia="宋体" w:cs="宋体"/>
          <w:color w:val="000000" w:themeColor="text1"/>
          <w:kern w:val="0"/>
          <w:sz w:val="24"/>
          <w:szCs w:val="24"/>
          <w14:textFill>
            <w14:solidFill>
              <w14:schemeClr w14:val="tx1"/>
            </w14:solidFill>
          </w14:textFill>
        </w:rPr>
        <w:t>缺水自动补水功能，补水完毕，自动恢复加热;</w:t>
      </w:r>
    </w:p>
    <w:p>
      <w:pPr>
        <w:pageBreakBefore w:val="0"/>
        <w:tabs>
          <w:tab w:val="left" w:pos="920"/>
          <w:tab w:val="left" w:pos="2628"/>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8、</w:t>
      </w:r>
      <w:r>
        <w:rPr>
          <w:rFonts w:hint="eastAsia" w:ascii="宋体" w:hAnsi="宋体" w:eastAsia="宋体" w:cs="宋体"/>
          <w:color w:val="000000" w:themeColor="text1"/>
          <w:kern w:val="0"/>
          <w:sz w:val="24"/>
          <w:szCs w:val="24"/>
          <w14:textFill>
            <w14:solidFill>
              <w14:schemeClr w14:val="tx1"/>
            </w14:solidFill>
          </w14:textFill>
        </w:rPr>
        <w:t>具有声光报警系统，缺水、灭菌结束蜂鸣提示;</w:t>
      </w:r>
    </w:p>
    <w:p>
      <w:pPr>
        <w:pageBreakBefore w:val="0"/>
        <w:tabs>
          <w:tab w:val="left" w:pos="920"/>
          <w:tab w:val="left" w:pos="2628"/>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9、</w:t>
      </w:r>
      <w:r>
        <w:rPr>
          <w:rFonts w:hint="eastAsia" w:ascii="宋体" w:hAnsi="宋体" w:eastAsia="宋体" w:cs="宋体"/>
          <w:color w:val="000000" w:themeColor="text1"/>
          <w:kern w:val="0"/>
          <w:sz w:val="24"/>
          <w:szCs w:val="24"/>
          <w14:textFill>
            <w14:solidFill>
              <w14:schemeClr w14:val="tx1"/>
            </w14:solidFill>
          </w14:textFill>
        </w:rPr>
        <w:t>超温自动控制和安全阀超压自泄双重保护，超静音设计，自带废气处理系统，蒸汽内循环</w:t>
      </w:r>
      <w:r>
        <w:rPr>
          <w:rFonts w:hint="eastAsia" w:ascii="宋体" w:hAnsi="宋体" w:eastAsia="宋体" w:cs="宋体"/>
          <w:color w:val="000000" w:themeColor="text1"/>
          <w:kern w:val="0"/>
          <w:sz w:val="24"/>
          <w:szCs w:val="24"/>
          <w:lang w:eastAsia="zh-CN"/>
          <w14:textFill>
            <w14:solidFill>
              <w14:schemeClr w14:val="tx1"/>
            </w14:solidFill>
          </w14:textFill>
        </w:rPr>
        <w:t>。</w:t>
      </w:r>
    </w:p>
    <w:p>
      <w:pPr>
        <w:pageBreakBefore w:val="0"/>
        <w:tabs>
          <w:tab w:val="left" w:pos="920"/>
          <w:tab w:val="left" w:pos="2628"/>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10、</w:t>
      </w:r>
      <w:r>
        <w:rPr>
          <w:rFonts w:hint="eastAsia" w:ascii="宋体" w:hAnsi="宋体" w:eastAsia="宋体" w:cs="宋体"/>
          <w:color w:val="000000" w:themeColor="text1"/>
          <w:kern w:val="0"/>
          <w:sz w:val="24"/>
          <w:szCs w:val="24"/>
          <w14:textFill>
            <w14:solidFill>
              <w14:schemeClr w14:val="tx1"/>
            </w14:solidFill>
          </w14:textFill>
        </w:rPr>
        <w:t>灭菌过程中冷空气自动排出功能;</w:t>
      </w:r>
    </w:p>
    <w:p>
      <w:pPr>
        <w:pageBreakBefore w:val="0"/>
        <w:tabs>
          <w:tab w:val="left" w:pos="920"/>
          <w:tab w:val="left" w:pos="2628"/>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11、</w:t>
      </w:r>
      <w:r>
        <w:rPr>
          <w:rFonts w:hint="eastAsia" w:ascii="宋体" w:hAnsi="宋体" w:eastAsia="宋体" w:cs="宋体"/>
          <w:color w:val="000000" w:themeColor="text1"/>
          <w:kern w:val="0"/>
          <w:sz w:val="24"/>
          <w:szCs w:val="24"/>
          <w14:textFill>
            <w14:solidFill>
              <w14:schemeClr w14:val="tx1"/>
            </w14:solidFill>
          </w14:textFill>
        </w:rPr>
        <w:t>灭菌结束有自动排汽或手动排汽供选择</w:t>
      </w:r>
      <w:r>
        <w:rPr>
          <w:rFonts w:hint="eastAsia" w:ascii="宋体" w:hAnsi="宋体" w:eastAsia="宋体" w:cs="宋体"/>
          <w:color w:val="000000" w:themeColor="text1"/>
          <w:kern w:val="0"/>
          <w:sz w:val="24"/>
          <w:szCs w:val="24"/>
          <w:lang w:eastAsia="zh-CN"/>
          <w14:textFill>
            <w14:solidFill>
              <w14:schemeClr w14:val="tx1"/>
            </w14:solidFill>
          </w14:textFill>
        </w:rPr>
        <w:t>；</w:t>
      </w:r>
    </w:p>
    <w:p>
      <w:pPr>
        <w:pageBreakBefore w:val="0"/>
        <w:tabs>
          <w:tab w:val="left" w:pos="920"/>
          <w:tab w:val="left" w:pos="2628"/>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12、</w:t>
      </w:r>
      <w:r>
        <w:rPr>
          <w:rFonts w:hint="eastAsia" w:ascii="宋体" w:hAnsi="宋体" w:eastAsia="宋体" w:cs="宋体"/>
          <w:color w:val="000000" w:themeColor="text1"/>
          <w:kern w:val="0"/>
          <w:sz w:val="24"/>
          <w:szCs w:val="24"/>
          <w14:textFill>
            <w14:solidFill>
              <w14:schemeClr w14:val="tx1"/>
            </w14:solidFill>
          </w14:textFill>
        </w:rPr>
        <w:t>实时打印功能，记录灭菌过程数据;并有USB端口，可以将灭菌记录拷贝U盘保存</w:t>
      </w:r>
      <w:r>
        <w:rPr>
          <w:rFonts w:hint="eastAsia" w:ascii="宋体" w:hAnsi="宋体" w:eastAsia="宋体" w:cs="宋体"/>
          <w:color w:val="000000" w:themeColor="text1"/>
          <w:kern w:val="0"/>
          <w:sz w:val="24"/>
          <w:szCs w:val="24"/>
          <w:lang w:eastAsia="zh-CN"/>
          <w14:textFill>
            <w14:solidFill>
              <w14:schemeClr w14:val="tx1"/>
            </w14:solidFill>
          </w14:textFill>
        </w:rPr>
        <w:t>；</w:t>
      </w:r>
    </w:p>
    <w:p>
      <w:pPr>
        <w:pageBreakBefore w:val="0"/>
        <w:tabs>
          <w:tab w:val="left" w:pos="920"/>
          <w:tab w:val="left" w:pos="2628"/>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13、</w:t>
      </w:r>
      <w:r>
        <w:rPr>
          <w:rFonts w:hint="eastAsia" w:ascii="宋体" w:hAnsi="宋体" w:eastAsia="宋体" w:cs="宋体"/>
          <w:color w:val="000000" w:themeColor="text1"/>
          <w:kern w:val="0"/>
          <w:sz w:val="24"/>
          <w:szCs w:val="24"/>
          <w14:textFill>
            <w14:solidFill>
              <w14:schemeClr w14:val="tx1"/>
            </w14:solidFill>
          </w14:textFill>
        </w:rPr>
        <w:t>具有查看本机使用次数记录功能</w:t>
      </w:r>
      <w:r>
        <w:rPr>
          <w:rFonts w:hint="eastAsia" w:ascii="宋体" w:hAnsi="宋体" w:eastAsia="宋体" w:cs="宋体"/>
          <w:color w:val="000000" w:themeColor="text1"/>
          <w:kern w:val="0"/>
          <w:sz w:val="24"/>
          <w:szCs w:val="24"/>
          <w:lang w:eastAsia="zh-CN"/>
          <w14:textFill>
            <w14:solidFill>
              <w14:schemeClr w14:val="tx1"/>
            </w14:solidFill>
          </w14:textFill>
        </w:rPr>
        <w:t>；</w:t>
      </w:r>
    </w:p>
    <w:p>
      <w:pPr>
        <w:pageBreakBefore w:val="0"/>
        <w:tabs>
          <w:tab w:val="left" w:pos="920"/>
          <w:tab w:val="left" w:pos="2628"/>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14、</w:t>
      </w:r>
      <w:r>
        <w:rPr>
          <w:rFonts w:hint="eastAsia" w:ascii="宋体" w:hAnsi="宋体" w:eastAsia="宋体" w:cs="宋体"/>
          <w:color w:val="000000" w:themeColor="text1"/>
          <w:kern w:val="0"/>
          <w:sz w:val="24"/>
          <w:szCs w:val="24"/>
          <w14:textFill>
            <w14:solidFill>
              <w14:schemeClr w14:val="tx1"/>
            </w14:solidFill>
          </w14:textFill>
        </w:rPr>
        <w:t>内设TT/PT温度、压力测试验证接口</w:t>
      </w:r>
      <w:r>
        <w:rPr>
          <w:rFonts w:hint="eastAsia" w:ascii="宋体" w:hAnsi="宋体" w:eastAsia="宋体" w:cs="宋体"/>
          <w:color w:val="000000" w:themeColor="text1"/>
          <w:kern w:val="0"/>
          <w:sz w:val="24"/>
          <w:szCs w:val="24"/>
          <w:lang w:eastAsia="zh-CN"/>
          <w14:textFill>
            <w14:solidFill>
              <w14:schemeClr w14:val="tx1"/>
            </w14:solidFill>
          </w14:textFill>
        </w:rPr>
        <w:t>；</w:t>
      </w:r>
    </w:p>
    <w:p>
      <w:pPr>
        <w:pageBreakBefore w:val="0"/>
        <w:tabs>
          <w:tab w:val="left" w:pos="920"/>
          <w:tab w:val="left" w:pos="2628"/>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15、</w:t>
      </w:r>
      <w:r>
        <w:rPr>
          <w:rFonts w:hint="eastAsia" w:ascii="宋体" w:hAnsi="宋体" w:eastAsia="宋体" w:cs="宋体"/>
          <w:color w:val="000000" w:themeColor="text1"/>
          <w:kern w:val="0"/>
          <w:sz w:val="24"/>
          <w:szCs w:val="24"/>
          <w14:textFill>
            <w14:solidFill>
              <w14:schemeClr w14:val="tx1"/>
            </w14:solidFill>
          </w14:textFill>
        </w:rPr>
        <w:t>灭菌器压力容器设计压力0.25Mpa、工作压力0.23Mpa,安全阀泄放压力0.24Mpa;</w:t>
      </w:r>
    </w:p>
    <w:p>
      <w:pPr>
        <w:pageBreakBefore w:val="0"/>
        <w:tabs>
          <w:tab w:val="left" w:pos="920"/>
          <w:tab w:val="left" w:pos="2628"/>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16、</w:t>
      </w:r>
      <w:r>
        <w:rPr>
          <w:rFonts w:hint="eastAsia" w:ascii="宋体" w:hAnsi="宋体" w:eastAsia="宋体" w:cs="宋体"/>
          <w:color w:val="000000" w:themeColor="text1"/>
          <w:kern w:val="0"/>
          <w:sz w:val="24"/>
          <w:szCs w:val="24"/>
          <w14:textFill>
            <w14:solidFill>
              <w14:schemeClr w14:val="tx1"/>
            </w14:solidFill>
          </w14:textFill>
        </w:rPr>
        <w:t>温度可在105-136</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范围内任意设置</w:t>
      </w:r>
      <w:r>
        <w:rPr>
          <w:rFonts w:hint="eastAsia" w:ascii="宋体" w:hAnsi="宋体" w:eastAsia="宋体" w:cs="宋体"/>
          <w:color w:val="000000" w:themeColor="text1"/>
          <w:kern w:val="0"/>
          <w:sz w:val="24"/>
          <w:szCs w:val="24"/>
          <w:lang w:eastAsia="zh-CN"/>
          <w14:textFill>
            <w14:solidFill>
              <w14:schemeClr w14:val="tx1"/>
            </w14:solidFill>
          </w14:textFill>
        </w:rPr>
        <w:t>；</w:t>
      </w:r>
    </w:p>
    <w:p>
      <w:pPr>
        <w:pageBreakBefore w:val="0"/>
        <w:tabs>
          <w:tab w:val="left" w:pos="920"/>
          <w:tab w:val="left" w:pos="2628"/>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17、</w:t>
      </w:r>
      <w:r>
        <w:rPr>
          <w:rFonts w:hint="eastAsia" w:ascii="宋体" w:hAnsi="宋体" w:eastAsia="宋体" w:cs="宋体"/>
          <w:color w:val="000000" w:themeColor="text1"/>
          <w:kern w:val="0"/>
          <w:sz w:val="24"/>
          <w:szCs w:val="24"/>
          <w14:textFill>
            <w14:solidFill>
              <w14:schemeClr w14:val="tx1"/>
            </w14:solidFill>
          </w14:textFill>
        </w:rPr>
        <w:t>带刹车的万向脚轮移位轻捷，定向方便，浸入式电加热管，热效率高。</w:t>
      </w:r>
    </w:p>
    <w:p>
      <w:pPr>
        <w:pageBreakBefore w:val="0"/>
        <w:tabs>
          <w:tab w:val="left" w:pos="920"/>
          <w:tab w:val="left" w:pos="2628"/>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p>
    <w:p>
      <w:pPr>
        <w:rPr>
          <w:rFonts w:hint="eastAsia" w:ascii="宋体" w:hAnsi="宋体" w:eastAsia="宋体" w:cs="宋体"/>
          <w:color w:val="000000" w:themeColor="text1"/>
          <w:sz w:val="24"/>
          <w:szCs w:val="24"/>
          <w:lang w:val="en-US" w:eastAsia="zh-CN"/>
          <w14:textFill>
            <w14:solidFill>
              <w14:schemeClr w14:val="tx1"/>
            </w14:solidFill>
          </w14:textFill>
        </w:rPr>
      </w:pPr>
      <w:bookmarkStart w:id="42" w:name="_Toc2643"/>
      <w:r>
        <w:rPr>
          <w:rFonts w:hint="eastAsia" w:ascii="宋体" w:hAnsi="宋体" w:eastAsia="宋体" w:cs="宋体"/>
          <w:color w:val="000000" w:themeColor="text1"/>
          <w:sz w:val="24"/>
          <w:szCs w:val="24"/>
          <w:lang w:val="en-US" w:eastAsia="zh-CN"/>
          <w14:textFill>
            <w14:solidFill>
              <w14:schemeClr w14:val="tx1"/>
            </w14:solidFill>
          </w14:textFill>
        </w:rPr>
        <w:br w:type="page"/>
      </w:r>
    </w:p>
    <w:p>
      <w:pPr>
        <w:pStyle w:val="2"/>
        <w:pageBreakBefore w:val="0"/>
        <w:kinsoku/>
        <w:wordWrap/>
        <w:overflowPunct/>
        <w:topLinePunct w:val="0"/>
        <w:autoSpaceDE/>
        <w:autoSpaceDN/>
        <w:bidi w:val="0"/>
        <w:spacing w:line="360" w:lineRule="auto"/>
        <w:ind w:firstLine="482" w:firstLineChars="20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附件5：</w:t>
      </w:r>
      <w:bookmarkEnd w:id="42"/>
      <w:r>
        <w:rPr>
          <w:rFonts w:hint="eastAsia" w:ascii="宋体" w:hAnsi="宋体" w:eastAsia="宋体" w:cs="宋体"/>
          <w:color w:val="000000" w:themeColor="text1"/>
          <w:sz w:val="24"/>
          <w:szCs w:val="24"/>
          <w:lang w:val="en-US" w:eastAsia="zh-CN"/>
          <w14:textFill>
            <w14:solidFill>
              <w14:schemeClr w14:val="tx1"/>
            </w14:solidFill>
          </w14:textFill>
        </w:rPr>
        <w:t>便携式彩色多普勒超声系统</w:t>
      </w:r>
    </w:p>
    <w:p>
      <w:pPr>
        <w:pStyle w:val="53"/>
        <w:keepNext w:val="0"/>
        <w:keepLines w:val="0"/>
        <w:pageBreakBefore w:val="0"/>
        <w:widowControl w:val="0"/>
        <w:numPr>
          <w:ilvl w:val="0"/>
          <w:numId w:val="7"/>
        </w:numPr>
        <w:kinsoku/>
        <w:wordWrap/>
        <w:overflowPunct/>
        <w:topLinePunct w:val="0"/>
        <w:autoSpaceDE/>
        <w:autoSpaceDN/>
        <w:bidi w:val="0"/>
        <w:adjustRightInd/>
        <w:snapToGrid/>
        <w:spacing w:line="360" w:lineRule="auto"/>
        <w:ind w:left="-210" w:lef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设备用途说明：主要用于腹部、妇产、心脏、</w:t>
      </w:r>
      <w:r>
        <w:rPr>
          <w:rFonts w:hint="eastAsia" w:ascii="宋体" w:hAnsi="宋体" w:eastAsia="宋体" w:cs="宋体"/>
          <w:b w:val="0"/>
          <w:bCs w:val="0"/>
          <w:kern w:val="0"/>
          <w:sz w:val="24"/>
          <w:szCs w:val="24"/>
        </w:rPr>
        <w:t>泌尿、外周血管、小器官、肌肉骨骼、神经、术中，介入</w:t>
      </w:r>
      <w:r>
        <w:rPr>
          <w:rFonts w:hint="eastAsia" w:ascii="宋体" w:hAnsi="宋体" w:eastAsia="宋体" w:cs="宋体"/>
          <w:b w:val="0"/>
          <w:bCs w:val="0"/>
          <w:sz w:val="24"/>
          <w:szCs w:val="24"/>
        </w:rPr>
        <w:t>等方面的临床诊断</w:t>
      </w:r>
      <w:r>
        <w:rPr>
          <w:rFonts w:hint="eastAsia" w:ascii="宋体" w:hAnsi="宋体" w:eastAsia="宋体" w:cs="宋体"/>
          <w:b w:val="0"/>
          <w:bCs w:val="0"/>
          <w:sz w:val="24"/>
          <w:szCs w:val="24"/>
          <w:lang w:eastAsia="zh-CN"/>
        </w:rPr>
        <w:t>。</w:t>
      </w:r>
    </w:p>
    <w:p>
      <w:pPr>
        <w:pStyle w:val="53"/>
        <w:keepNext w:val="0"/>
        <w:keepLines w:val="0"/>
        <w:pageBreakBefore w:val="0"/>
        <w:widowControl w:val="0"/>
        <w:numPr>
          <w:ilvl w:val="0"/>
          <w:numId w:val="7"/>
        </w:numPr>
        <w:kinsoku/>
        <w:wordWrap/>
        <w:overflowPunct/>
        <w:topLinePunct w:val="0"/>
        <w:autoSpaceDE/>
        <w:autoSpaceDN/>
        <w:bidi w:val="0"/>
        <w:adjustRightInd/>
        <w:snapToGrid/>
        <w:spacing w:line="360" w:lineRule="auto"/>
        <w:ind w:left="-210" w:lef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主要规格及系统概述：</w:t>
      </w:r>
    </w:p>
    <w:p>
      <w:pPr>
        <w:pStyle w:val="50"/>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2.1</w:t>
      </w:r>
      <w:r>
        <w:rPr>
          <w:rFonts w:hint="eastAsia" w:ascii="宋体" w:hAnsi="宋体" w:eastAsia="宋体" w:cs="宋体"/>
          <w:b w:val="0"/>
          <w:bCs w:val="0"/>
          <w:sz w:val="24"/>
          <w:szCs w:val="24"/>
        </w:rPr>
        <w:t>数字化二维灰阶成像单元</w:t>
      </w:r>
      <w:r>
        <w:rPr>
          <w:rFonts w:hint="eastAsia" w:ascii="宋体" w:hAnsi="宋体" w:eastAsia="宋体" w:cs="宋体"/>
          <w:b w:val="0"/>
          <w:bCs w:val="0"/>
          <w:sz w:val="24"/>
          <w:szCs w:val="24"/>
          <w:lang w:eastAsia="zh-CN"/>
        </w:rPr>
        <w:t>。</w:t>
      </w:r>
    </w:p>
    <w:p>
      <w:pPr>
        <w:pStyle w:val="50"/>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2.2</w:t>
      </w:r>
      <w:r>
        <w:rPr>
          <w:rFonts w:hint="eastAsia" w:ascii="宋体" w:hAnsi="宋体" w:eastAsia="宋体" w:cs="宋体"/>
          <w:b w:val="0"/>
          <w:bCs w:val="0"/>
          <w:sz w:val="24"/>
          <w:szCs w:val="24"/>
        </w:rPr>
        <w:t>数字化彩色多普勒单元</w:t>
      </w:r>
      <w:r>
        <w:rPr>
          <w:rFonts w:hint="eastAsia" w:ascii="宋体" w:hAnsi="宋体" w:eastAsia="宋体" w:cs="宋体"/>
          <w:b w:val="0"/>
          <w:bCs w:val="0"/>
          <w:sz w:val="24"/>
          <w:szCs w:val="24"/>
          <w:lang w:eastAsia="zh-CN"/>
        </w:rPr>
        <w:t>。</w:t>
      </w:r>
    </w:p>
    <w:p>
      <w:pPr>
        <w:pStyle w:val="50"/>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2.3</w:t>
      </w:r>
      <w:r>
        <w:rPr>
          <w:rFonts w:hint="eastAsia" w:ascii="宋体" w:hAnsi="宋体" w:eastAsia="宋体" w:cs="宋体"/>
          <w:b w:val="0"/>
          <w:bCs w:val="0"/>
          <w:sz w:val="24"/>
          <w:szCs w:val="24"/>
        </w:rPr>
        <w:t>数字化频谱多普勒显示和分析单元</w:t>
      </w:r>
      <w:r>
        <w:rPr>
          <w:rFonts w:hint="eastAsia" w:ascii="宋体" w:hAnsi="宋体" w:eastAsia="宋体" w:cs="宋体"/>
          <w:b w:val="0"/>
          <w:bCs w:val="0"/>
          <w:sz w:val="24"/>
          <w:szCs w:val="24"/>
          <w:lang w:eastAsia="zh-CN"/>
        </w:rPr>
        <w:t>。</w:t>
      </w:r>
    </w:p>
    <w:p>
      <w:pPr>
        <w:pStyle w:val="50"/>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2.4</w:t>
      </w:r>
      <w:r>
        <w:rPr>
          <w:rFonts w:hint="eastAsia" w:ascii="宋体" w:hAnsi="宋体" w:eastAsia="宋体" w:cs="宋体"/>
          <w:b w:val="0"/>
          <w:bCs w:val="0"/>
          <w:sz w:val="24"/>
          <w:szCs w:val="24"/>
        </w:rPr>
        <w:t>数字化能量血流成像单元</w:t>
      </w:r>
      <w:r>
        <w:rPr>
          <w:rFonts w:hint="eastAsia" w:ascii="宋体" w:hAnsi="宋体" w:eastAsia="宋体" w:cs="宋体"/>
          <w:b w:val="0"/>
          <w:bCs w:val="0"/>
          <w:sz w:val="24"/>
          <w:szCs w:val="24"/>
          <w:lang w:eastAsia="zh-CN"/>
        </w:rPr>
        <w:t>。</w:t>
      </w:r>
    </w:p>
    <w:p>
      <w:pPr>
        <w:pStyle w:val="50"/>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2.5</w:t>
      </w:r>
      <w:r>
        <w:rPr>
          <w:rFonts w:hint="eastAsia" w:ascii="宋体" w:hAnsi="宋体" w:eastAsia="宋体" w:cs="宋体"/>
          <w:b w:val="0"/>
          <w:bCs w:val="0"/>
          <w:sz w:val="24"/>
          <w:szCs w:val="24"/>
        </w:rPr>
        <w:t>全数字式波束形成器</w:t>
      </w:r>
      <w:r>
        <w:rPr>
          <w:rFonts w:hint="eastAsia" w:ascii="宋体" w:hAnsi="宋体" w:eastAsia="宋体" w:cs="宋体"/>
          <w:b w:val="0"/>
          <w:bCs w:val="0"/>
          <w:sz w:val="24"/>
          <w:szCs w:val="24"/>
          <w:lang w:eastAsia="zh-CN"/>
        </w:rPr>
        <w:t>。</w:t>
      </w:r>
    </w:p>
    <w:p>
      <w:pPr>
        <w:pStyle w:val="50"/>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2.6</w:t>
      </w:r>
      <w:r>
        <w:rPr>
          <w:rFonts w:hint="eastAsia" w:ascii="宋体" w:hAnsi="宋体" w:eastAsia="宋体" w:cs="宋体"/>
          <w:b w:val="0"/>
          <w:bCs w:val="0"/>
          <w:sz w:val="24"/>
          <w:szCs w:val="24"/>
        </w:rPr>
        <w:t>B 模式/ CFM / PWD模式分别独立角度偏转功能</w:t>
      </w:r>
      <w:r>
        <w:rPr>
          <w:rFonts w:hint="eastAsia" w:ascii="宋体" w:hAnsi="宋体" w:eastAsia="宋体" w:cs="宋体"/>
          <w:b w:val="0"/>
          <w:bCs w:val="0"/>
          <w:sz w:val="24"/>
          <w:szCs w:val="24"/>
          <w:lang w:eastAsia="zh-CN"/>
        </w:rPr>
        <w:t>。</w:t>
      </w:r>
    </w:p>
    <w:p>
      <w:pPr>
        <w:pStyle w:val="50"/>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2.7</w:t>
      </w:r>
      <w:r>
        <w:rPr>
          <w:rFonts w:hint="eastAsia" w:ascii="宋体" w:hAnsi="宋体" w:eastAsia="宋体" w:cs="宋体"/>
          <w:b w:val="0"/>
          <w:bCs w:val="0"/>
          <w:sz w:val="24"/>
          <w:szCs w:val="24"/>
        </w:rPr>
        <w:t>两种组织谐波成像模式, 可用于全部2D探头和4D探头，谐波频率明确显示，可视可调。</w:t>
      </w:r>
    </w:p>
    <w:p>
      <w:pPr>
        <w:pStyle w:val="50"/>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bookmarkStart w:id="43" w:name="OLE_LINK2"/>
      <w:r>
        <w:rPr>
          <w:rFonts w:hint="eastAsia" w:ascii="宋体" w:hAnsi="宋体" w:eastAsia="宋体" w:cs="宋体"/>
          <w:b w:val="0"/>
          <w:bCs w:val="0"/>
          <w:kern w:val="2"/>
          <w:sz w:val="24"/>
          <w:szCs w:val="24"/>
          <w:lang w:val="en-US" w:eastAsia="zh-CN" w:bidi="ar-SA"/>
        </w:rPr>
        <w:t>2.8</w:t>
      </w:r>
      <w:r>
        <w:rPr>
          <w:rFonts w:hint="eastAsia" w:ascii="宋体" w:hAnsi="宋体" w:eastAsia="宋体" w:cs="宋体"/>
          <w:b w:val="0"/>
          <w:bCs w:val="0"/>
          <w:sz w:val="24"/>
          <w:szCs w:val="24"/>
        </w:rPr>
        <w:t>高清晰斑点噪音抑制技术</w:t>
      </w:r>
      <w:r>
        <w:rPr>
          <w:rFonts w:hint="eastAsia" w:ascii="宋体" w:hAnsi="宋体" w:eastAsia="宋体" w:cs="宋体"/>
          <w:b w:val="0"/>
          <w:bCs w:val="0"/>
          <w:sz w:val="24"/>
          <w:szCs w:val="24"/>
          <w:lang w:eastAsia="zh-CN"/>
        </w:rPr>
        <w:t>。</w:t>
      </w:r>
    </w:p>
    <w:p>
      <w:pPr>
        <w:pStyle w:val="50"/>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bidi="ar-SA"/>
        </w:rPr>
        <w:t>2.9</w:t>
      </w:r>
      <w:r>
        <w:rPr>
          <w:rFonts w:hint="eastAsia" w:ascii="宋体" w:hAnsi="宋体" w:eastAsia="宋体" w:cs="宋体"/>
          <w:b w:val="0"/>
          <w:bCs w:val="0"/>
          <w:sz w:val="24"/>
          <w:szCs w:val="24"/>
        </w:rPr>
        <w:t>空间复合成像技术</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(请提供≥9线偏转的曲别针试验图片）</w:t>
      </w:r>
    </w:p>
    <w:p>
      <w:pPr>
        <w:pStyle w:val="50"/>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2.10</w:t>
      </w:r>
      <w:r>
        <w:rPr>
          <w:rFonts w:hint="eastAsia" w:ascii="宋体" w:hAnsi="宋体" w:eastAsia="宋体" w:cs="宋体"/>
          <w:b w:val="0"/>
          <w:bCs w:val="0"/>
          <w:kern w:val="0"/>
          <w:sz w:val="24"/>
          <w:szCs w:val="24"/>
        </w:rPr>
        <w:t>★</w:t>
      </w:r>
      <w:r>
        <w:rPr>
          <w:rFonts w:hint="eastAsia" w:ascii="宋体" w:hAnsi="宋体" w:eastAsia="宋体" w:cs="宋体"/>
          <w:b w:val="0"/>
          <w:bCs w:val="0"/>
          <w:sz w:val="24"/>
          <w:szCs w:val="24"/>
        </w:rPr>
        <w:t>系统动态范围≥2</w:t>
      </w: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rPr>
        <w:t>0Db，2dB逐级调节，数值明确显示</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请</w:t>
      </w:r>
      <w:r>
        <w:rPr>
          <w:rFonts w:hint="eastAsia" w:ascii="宋体" w:hAnsi="宋体" w:eastAsia="宋体" w:cs="宋体"/>
          <w:b w:val="0"/>
          <w:bCs w:val="0"/>
          <w:sz w:val="24"/>
          <w:szCs w:val="24"/>
        </w:rPr>
        <w:t>提供</w:t>
      </w:r>
      <w:r>
        <w:rPr>
          <w:rFonts w:hint="eastAsia" w:ascii="宋体" w:hAnsi="宋体" w:eastAsia="宋体" w:cs="宋体"/>
          <w:b w:val="0"/>
          <w:bCs w:val="0"/>
          <w:sz w:val="24"/>
          <w:szCs w:val="24"/>
          <w:lang w:val="en-US" w:eastAsia="zh-CN"/>
        </w:rPr>
        <w:t>280db及2db相邻数字证明</w:t>
      </w:r>
      <w:r>
        <w:rPr>
          <w:rFonts w:hint="eastAsia" w:ascii="宋体" w:hAnsi="宋体" w:eastAsia="宋体" w:cs="宋体"/>
          <w:b w:val="0"/>
          <w:bCs w:val="0"/>
          <w:sz w:val="24"/>
          <w:szCs w:val="24"/>
        </w:rPr>
        <w:t>图片)</w:t>
      </w:r>
    </w:p>
    <w:p>
      <w:pPr>
        <w:pStyle w:val="50"/>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2.11</w:t>
      </w:r>
      <w:r>
        <w:rPr>
          <w:rFonts w:hint="eastAsia" w:ascii="宋体" w:hAnsi="宋体" w:eastAsia="宋体" w:cs="宋体"/>
          <w:b w:val="0"/>
          <w:bCs w:val="0"/>
          <w:sz w:val="24"/>
          <w:szCs w:val="24"/>
        </w:rPr>
        <w:t>支持跟踪对比技术，可将不同日期，不同时间、不同病人图像进行同屏对比显示，支持不同探头图像、动静态图像同屏对比显示，便于疾病的归类统计示教</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且所对比的左右两幅图像大小一致（非剪贴板及病例档案界面，</w:t>
      </w:r>
      <w:r>
        <w:rPr>
          <w:rFonts w:hint="eastAsia" w:ascii="宋体" w:hAnsi="宋体" w:eastAsia="宋体" w:cs="宋体"/>
          <w:b w:val="0"/>
          <w:bCs w:val="0"/>
          <w:sz w:val="24"/>
          <w:szCs w:val="24"/>
        </w:rPr>
        <w:t>请提供证明图片)</w:t>
      </w:r>
      <w:r>
        <w:rPr>
          <w:rFonts w:hint="eastAsia" w:ascii="宋体" w:hAnsi="宋体" w:eastAsia="宋体" w:cs="宋体"/>
          <w:b w:val="0"/>
          <w:bCs w:val="0"/>
          <w:sz w:val="24"/>
          <w:szCs w:val="24"/>
          <w:lang w:val="en-US" w:eastAsia="zh-CN"/>
        </w:rPr>
        <w:t>，并可进行图像处理和测量注释。</w:t>
      </w:r>
    </w:p>
    <w:p>
      <w:pPr>
        <w:pStyle w:val="50"/>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bidi="ar-SA"/>
        </w:rPr>
        <w:t>2.12</w:t>
      </w:r>
      <w:r>
        <w:rPr>
          <w:rFonts w:hint="eastAsia" w:ascii="宋体" w:hAnsi="宋体" w:eastAsia="宋体" w:cs="宋体"/>
          <w:b w:val="0"/>
          <w:bCs w:val="0"/>
          <w:sz w:val="24"/>
          <w:szCs w:val="24"/>
        </w:rPr>
        <w:t>梯形成像、凸型扩展功能</w:t>
      </w:r>
      <w:r>
        <w:rPr>
          <w:rFonts w:hint="eastAsia" w:ascii="宋体" w:hAnsi="宋体" w:eastAsia="宋体" w:cs="宋体"/>
          <w:b w:val="0"/>
          <w:bCs w:val="0"/>
          <w:sz w:val="24"/>
          <w:szCs w:val="24"/>
          <w:lang w:eastAsia="zh-CN"/>
        </w:rPr>
        <w:t>。</w:t>
      </w:r>
    </w:p>
    <w:p>
      <w:pPr>
        <w:pStyle w:val="50"/>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2.13</w:t>
      </w:r>
      <w:r>
        <w:rPr>
          <w:rFonts w:hint="eastAsia" w:ascii="宋体" w:hAnsi="宋体" w:eastAsia="宋体" w:cs="宋体"/>
          <w:b w:val="0"/>
          <w:bCs w:val="0"/>
          <w:sz w:val="24"/>
          <w:szCs w:val="24"/>
        </w:rPr>
        <w:t>全屏放大显示功能</w:t>
      </w:r>
      <w:r>
        <w:rPr>
          <w:rFonts w:hint="eastAsia" w:ascii="宋体" w:hAnsi="宋体" w:eastAsia="宋体" w:cs="宋体"/>
          <w:b w:val="0"/>
          <w:bCs w:val="0"/>
          <w:sz w:val="24"/>
          <w:szCs w:val="24"/>
          <w:lang w:eastAsia="zh-CN"/>
        </w:rPr>
        <w:t>。</w:t>
      </w:r>
    </w:p>
    <w:p>
      <w:pPr>
        <w:pStyle w:val="50"/>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2.14</w:t>
      </w:r>
      <w:r>
        <w:rPr>
          <w:rFonts w:hint="eastAsia" w:ascii="宋体" w:hAnsi="宋体" w:eastAsia="宋体" w:cs="宋体"/>
          <w:b w:val="0"/>
          <w:bCs w:val="0"/>
          <w:sz w:val="24"/>
          <w:szCs w:val="24"/>
        </w:rPr>
        <w:t>Zoom 局部放大功能</w:t>
      </w:r>
      <w:r>
        <w:rPr>
          <w:rFonts w:hint="eastAsia" w:ascii="宋体" w:hAnsi="宋体" w:eastAsia="宋体" w:cs="宋体"/>
          <w:b w:val="0"/>
          <w:bCs w:val="0"/>
          <w:sz w:val="24"/>
          <w:szCs w:val="24"/>
          <w:lang w:eastAsia="zh-CN"/>
        </w:rPr>
        <w:t>。</w:t>
      </w:r>
    </w:p>
    <w:p>
      <w:pPr>
        <w:pStyle w:val="50"/>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2.15</w:t>
      </w:r>
      <w:r>
        <w:rPr>
          <w:rFonts w:hint="eastAsia" w:ascii="宋体" w:hAnsi="宋体" w:eastAsia="宋体" w:cs="宋体"/>
          <w:b w:val="0"/>
          <w:bCs w:val="0"/>
          <w:sz w:val="24"/>
          <w:szCs w:val="24"/>
        </w:rPr>
        <w:t>双幅实时成像，成像大小不变</w:t>
      </w:r>
      <w:r>
        <w:rPr>
          <w:rFonts w:hint="eastAsia" w:ascii="宋体" w:hAnsi="宋体" w:eastAsia="宋体" w:cs="宋体"/>
          <w:b w:val="0"/>
          <w:bCs w:val="0"/>
          <w:sz w:val="24"/>
          <w:szCs w:val="24"/>
          <w:lang w:eastAsia="zh-CN"/>
        </w:rPr>
        <w:t>。</w:t>
      </w:r>
    </w:p>
    <w:p>
      <w:pPr>
        <w:pStyle w:val="50"/>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2.16</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8个焦点可调</w:t>
      </w:r>
      <w:r>
        <w:rPr>
          <w:rFonts w:hint="eastAsia" w:ascii="宋体" w:hAnsi="宋体" w:eastAsia="宋体" w:cs="宋体"/>
          <w:b w:val="0"/>
          <w:bCs w:val="0"/>
          <w:sz w:val="24"/>
          <w:szCs w:val="24"/>
          <w:lang w:eastAsia="zh-CN"/>
        </w:rPr>
        <w:t>。</w:t>
      </w:r>
    </w:p>
    <w:p>
      <w:pPr>
        <w:pStyle w:val="50"/>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2.17</w:t>
      </w:r>
      <w:r>
        <w:rPr>
          <w:rFonts w:hint="eastAsia" w:ascii="宋体" w:hAnsi="宋体" w:eastAsia="宋体" w:cs="宋体"/>
          <w:b w:val="0"/>
          <w:bCs w:val="0"/>
          <w:sz w:val="24"/>
          <w:szCs w:val="24"/>
        </w:rPr>
        <w:t>实时双同步、三同步</w:t>
      </w:r>
      <w:r>
        <w:rPr>
          <w:rFonts w:hint="eastAsia" w:ascii="宋体" w:hAnsi="宋体" w:eastAsia="宋体" w:cs="宋体"/>
          <w:b w:val="0"/>
          <w:bCs w:val="0"/>
          <w:sz w:val="24"/>
          <w:szCs w:val="24"/>
          <w:lang w:eastAsia="zh-CN"/>
        </w:rPr>
        <w:t>。</w:t>
      </w:r>
    </w:p>
    <w:p>
      <w:pPr>
        <w:pStyle w:val="50"/>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2.18</w:t>
      </w:r>
      <w:r>
        <w:rPr>
          <w:rFonts w:hint="eastAsia" w:ascii="宋体" w:hAnsi="宋体" w:eastAsia="宋体" w:cs="宋体"/>
          <w:b w:val="0"/>
          <w:bCs w:val="0"/>
          <w:sz w:val="24"/>
          <w:szCs w:val="24"/>
        </w:rPr>
        <w:t>支持全方位M型功能</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≥3条线。（请提供证明图片）</w:t>
      </w:r>
    </w:p>
    <w:bookmarkEnd w:id="43"/>
    <w:p>
      <w:pPr>
        <w:pStyle w:val="50"/>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2.19</w:t>
      </w:r>
      <w:r>
        <w:rPr>
          <w:rFonts w:hint="eastAsia" w:ascii="宋体" w:hAnsi="宋体" w:eastAsia="宋体" w:cs="宋体"/>
          <w:sz w:val="24"/>
          <w:szCs w:val="24"/>
        </w:rPr>
        <w:t>可支持血管内中膜自动测量:支持前壁、后壁同时测量与数值显示，且测量数值包含最大值、平均值、SD、取样点个数。(请提供证明图片)</w:t>
      </w:r>
    </w:p>
    <w:p>
      <w:pPr>
        <w:pStyle w:val="50"/>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2.20</w:t>
      </w:r>
      <w:r>
        <w:rPr>
          <w:rFonts w:hint="eastAsia" w:ascii="宋体" w:hAnsi="宋体" w:eastAsia="宋体" w:cs="宋体"/>
          <w:b w:val="0"/>
          <w:bCs w:val="0"/>
          <w:kern w:val="0"/>
          <w:sz w:val="24"/>
          <w:szCs w:val="24"/>
        </w:rPr>
        <w:t>★</w:t>
      </w:r>
      <w:r>
        <w:rPr>
          <w:rFonts w:hint="eastAsia" w:ascii="宋体" w:hAnsi="宋体" w:eastAsia="宋体" w:cs="宋体"/>
          <w:b w:val="0"/>
          <w:bCs w:val="0"/>
          <w:sz w:val="24"/>
          <w:szCs w:val="24"/>
        </w:rPr>
        <w:t>具备穿刺引导，并具备三种引导方式。(提供</w:t>
      </w:r>
      <w:r>
        <w:rPr>
          <w:rFonts w:hint="eastAsia" w:ascii="宋体" w:hAnsi="宋体" w:eastAsia="宋体" w:cs="宋体"/>
          <w:b w:val="0"/>
          <w:bCs w:val="0"/>
          <w:sz w:val="24"/>
          <w:szCs w:val="24"/>
          <w:lang w:eastAsia="zh-CN"/>
        </w:rPr>
        <w:t>证明图片</w:t>
      </w:r>
      <w:r>
        <w:rPr>
          <w:rFonts w:hint="eastAsia" w:ascii="宋体" w:hAnsi="宋体" w:eastAsia="宋体" w:cs="宋体"/>
          <w:b w:val="0"/>
          <w:bCs w:val="0"/>
          <w:sz w:val="24"/>
          <w:szCs w:val="24"/>
        </w:rPr>
        <w:t>)</w:t>
      </w:r>
    </w:p>
    <w:p>
      <w:pPr>
        <w:pStyle w:val="50"/>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2.21</w:t>
      </w:r>
      <w:r>
        <w:rPr>
          <w:rFonts w:hint="eastAsia" w:ascii="宋体" w:hAnsi="宋体" w:eastAsia="宋体" w:cs="宋体"/>
          <w:b w:val="0"/>
          <w:bCs w:val="0"/>
          <w:color w:val="000000" w:themeColor="text1"/>
          <w:sz w:val="24"/>
          <w:szCs w:val="24"/>
          <w14:textFill>
            <w14:solidFill>
              <w14:schemeClr w14:val="tx1"/>
            </w14:solidFill>
          </w14:textFill>
        </w:rPr>
        <w:t>★支持穿刺增强技术，根据不同的进针角度，适时调节声束的角度，增强组织与穿刺针的显示能力，提高穿刺的准确性和成功率</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请</w:t>
      </w:r>
      <w:r>
        <w:rPr>
          <w:rFonts w:hint="eastAsia" w:ascii="宋体" w:hAnsi="宋体" w:eastAsia="宋体" w:cs="宋体"/>
          <w:b w:val="0"/>
          <w:bCs w:val="0"/>
          <w:sz w:val="24"/>
          <w:szCs w:val="24"/>
        </w:rPr>
        <w:t>提供</w:t>
      </w:r>
      <w:r>
        <w:rPr>
          <w:rFonts w:hint="eastAsia" w:ascii="宋体" w:hAnsi="宋体" w:eastAsia="宋体" w:cs="宋体"/>
          <w:b w:val="0"/>
          <w:bCs w:val="0"/>
          <w:sz w:val="24"/>
          <w:szCs w:val="24"/>
          <w:lang w:val="en-US" w:eastAsia="zh-CN"/>
        </w:rPr>
        <w:t>双福对比</w:t>
      </w:r>
      <w:r>
        <w:rPr>
          <w:rFonts w:hint="eastAsia" w:ascii="宋体" w:hAnsi="宋体" w:eastAsia="宋体" w:cs="宋体"/>
          <w:b w:val="0"/>
          <w:bCs w:val="0"/>
          <w:sz w:val="24"/>
          <w:szCs w:val="24"/>
          <w:lang w:eastAsia="zh-CN"/>
        </w:rPr>
        <w:t>证明图片</w:t>
      </w:r>
      <w:r>
        <w:rPr>
          <w:rFonts w:hint="eastAsia" w:ascii="宋体" w:hAnsi="宋体" w:eastAsia="宋体" w:cs="宋体"/>
          <w:b w:val="0"/>
          <w:bCs w:val="0"/>
          <w:sz w:val="24"/>
          <w:szCs w:val="24"/>
        </w:rPr>
        <w:t>)</w:t>
      </w:r>
    </w:p>
    <w:p>
      <w:pPr>
        <w:pStyle w:val="50"/>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2.22</w:t>
      </w:r>
      <w:r>
        <w:rPr>
          <w:rFonts w:hint="eastAsia" w:ascii="宋体" w:hAnsi="宋体" w:eastAsia="宋体" w:cs="宋体"/>
          <w:b w:val="0"/>
          <w:bCs w:val="0"/>
          <w:sz w:val="24"/>
          <w:szCs w:val="24"/>
        </w:rPr>
        <w:t>原始数据处理功能，数据储存后，可对回放的常规图像进行20种参数调节</w:t>
      </w:r>
      <w:r>
        <w:rPr>
          <w:rFonts w:hint="eastAsia" w:ascii="宋体" w:hAnsi="宋体" w:eastAsia="宋体" w:cs="宋体"/>
          <w:b w:val="0"/>
          <w:bCs w:val="0"/>
          <w:sz w:val="24"/>
          <w:szCs w:val="24"/>
          <w:lang w:eastAsia="zh-CN"/>
        </w:rPr>
        <w:t>。</w:t>
      </w:r>
    </w:p>
    <w:p>
      <w:pPr>
        <w:pStyle w:val="50"/>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2.23</w:t>
      </w:r>
      <w:r>
        <w:rPr>
          <w:rFonts w:hint="eastAsia" w:ascii="宋体" w:hAnsi="宋体" w:eastAsia="宋体" w:cs="宋体"/>
          <w:b w:val="0"/>
          <w:bCs w:val="0"/>
          <w:kern w:val="0"/>
          <w:sz w:val="24"/>
          <w:szCs w:val="24"/>
        </w:rPr>
        <w:t>★</w:t>
      </w:r>
      <w:r>
        <w:rPr>
          <w:rFonts w:hint="eastAsia" w:ascii="宋体" w:hAnsi="宋体" w:eastAsia="宋体" w:cs="宋体"/>
          <w:b w:val="0"/>
          <w:bCs w:val="0"/>
          <w:sz w:val="24"/>
          <w:szCs w:val="24"/>
        </w:rPr>
        <w:t>自动工作流，可根据医生习惯自定义检查规范，减少重复操作，并具备智能程序化操作流程编辑功能，如：自动注释、体标（体标上探头的位置和方向）等，提高扫查效率</w:t>
      </w:r>
      <w:r>
        <w:rPr>
          <w:rFonts w:hint="eastAsia" w:ascii="宋体" w:hAnsi="宋体" w:eastAsia="宋体" w:cs="宋体"/>
          <w:b w:val="0"/>
          <w:bCs w:val="0"/>
          <w:sz w:val="24"/>
          <w:szCs w:val="24"/>
          <w:lang w:eastAsia="zh-CN"/>
        </w:rPr>
        <w:t>。</w:t>
      </w:r>
    </w:p>
    <w:p>
      <w:pPr>
        <w:pStyle w:val="50"/>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2.24</w:t>
      </w:r>
      <w:r>
        <w:rPr>
          <w:rFonts w:hint="eastAsia" w:ascii="宋体" w:hAnsi="宋体" w:eastAsia="宋体" w:cs="宋体"/>
          <w:b w:val="0"/>
          <w:bCs w:val="0"/>
          <w:sz w:val="24"/>
          <w:szCs w:val="24"/>
        </w:rPr>
        <w:t>测量和分析：(B型、M型、频谱多普勒、彩色模式)</w:t>
      </w:r>
    </w:p>
    <w:p>
      <w:pPr>
        <w:pStyle w:val="50"/>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2.24.1</w:t>
      </w:r>
      <w:r>
        <w:rPr>
          <w:rFonts w:hint="eastAsia" w:ascii="宋体" w:hAnsi="宋体" w:eastAsia="宋体" w:cs="宋体"/>
          <w:b w:val="0"/>
          <w:bCs w:val="0"/>
          <w:sz w:val="24"/>
          <w:szCs w:val="24"/>
        </w:rPr>
        <w:t>一般测量</w:t>
      </w:r>
      <w:r>
        <w:rPr>
          <w:rFonts w:hint="eastAsia" w:ascii="宋体" w:hAnsi="宋体" w:eastAsia="宋体" w:cs="宋体"/>
          <w:b w:val="0"/>
          <w:bCs w:val="0"/>
          <w:sz w:val="24"/>
          <w:szCs w:val="24"/>
          <w:lang w:eastAsia="zh-CN"/>
        </w:rPr>
        <w:t>。</w:t>
      </w:r>
    </w:p>
    <w:p>
      <w:pPr>
        <w:pStyle w:val="50"/>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2.24.2</w:t>
      </w:r>
      <w:r>
        <w:rPr>
          <w:rFonts w:hint="eastAsia" w:ascii="宋体" w:hAnsi="宋体" w:eastAsia="宋体" w:cs="宋体"/>
          <w:sz w:val="24"/>
          <w:szCs w:val="24"/>
        </w:rPr>
        <w:t>急诊、肾内、麻醉、肌骨</w:t>
      </w:r>
      <w:r>
        <w:rPr>
          <w:rFonts w:hint="eastAsia" w:ascii="宋体" w:hAnsi="宋体" w:eastAsia="宋体" w:cs="宋体"/>
          <w:sz w:val="24"/>
          <w:szCs w:val="24"/>
          <w:lang w:val="en-US" w:eastAsia="zh-CN"/>
        </w:rPr>
        <w:t>测量包。</w:t>
      </w:r>
    </w:p>
    <w:p>
      <w:pPr>
        <w:pStyle w:val="50"/>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2.24.3</w:t>
      </w:r>
      <w:r>
        <w:rPr>
          <w:rFonts w:hint="eastAsia" w:ascii="宋体" w:hAnsi="宋体" w:eastAsia="宋体" w:cs="宋体"/>
          <w:b w:val="0"/>
          <w:bCs w:val="0"/>
          <w:sz w:val="24"/>
          <w:szCs w:val="24"/>
        </w:rPr>
        <w:t>妇、产科测量包，支持产科自动测量。</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请提供证明图片</w:t>
      </w:r>
      <w:r>
        <w:rPr>
          <w:rFonts w:hint="eastAsia" w:ascii="宋体" w:hAnsi="宋体" w:eastAsia="宋体" w:cs="宋体"/>
          <w:b w:val="0"/>
          <w:bCs w:val="0"/>
          <w:sz w:val="24"/>
          <w:szCs w:val="24"/>
          <w:lang w:eastAsia="zh-CN"/>
        </w:rPr>
        <w:t>）</w:t>
      </w:r>
    </w:p>
    <w:p>
      <w:pPr>
        <w:pStyle w:val="50"/>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2.24.4</w:t>
      </w:r>
      <w:r>
        <w:rPr>
          <w:rFonts w:hint="eastAsia" w:ascii="宋体" w:hAnsi="宋体" w:eastAsia="宋体" w:cs="宋体"/>
          <w:b w:val="0"/>
          <w:bCs w:val="0"/>
          <w:sz w:val="24"/>
          <w:szCs w:val="24"/>
        </w:rPr>
        <w:t>血管测量包</w:t>
      </w:r>
      <w:r>
        <w:rPr>
          <w:rFonts w:hint="eastAsia" w:ascii="宋体" w:hAnsi="宋体" w:eastAsia="宋体" w:cs="宋体"/>
          <w:b w:val="0"/>
          <w:bCs w:val="0"/>
          <w:sz w:val="24"/>
          <w:szCs w:val="24"/>
          <w:lang w:eastAsia="zh-CN"/>
        </w:rPr>
        <w:t>。</w:t>
      </w:r>
    </w:p>
    <w:p>
      <w:pPr>
        <w:pStyle w:val="50"/>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2.24.5</w:t>
      </w:r>
      <w:r>
        <w:rPr>
          <w:rFonts w:hint="eastAsia" w:ascii="宋体" w:hAnsi="宋体" w:eastAsia="宋体" w:cs="宋体"/>
          <w:b w:val="0"/>
          <w:bCs w:val="0"/>
          <w:sz w:val="24"/>
          <w:szCs w:val="24"/>
        </w:rPr>
        <w:t>泌尿科测量与分析</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支持膀胱自动测量。</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请提供证明图片</w:t>
      </w:r>
      <w:r>
        <w:rPr>
          <w:rFonts w:hint="eastAsia" w:ascii="宋体" w:hAnsi="宋体" w:eastAsia="宋体" w:cs="宋体"/>
          <w:b w:val="0"/>
          <w:bCs w:val="0"/>
          <w:sz w:val="24"/>
          <w:szCs w:val="24"/>
          <w:lang w:eastAsia="zh-CN"/>
        </w:rPr>
        <w:t>）</w:t>
      </w:r>
    </w:p>
    <w:p>
      <w:pPr>
        <w:pStyle w:val="50"/>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2.24.6</w:t>
      </w:r>
      <w:r>
        <w:rPr>
          <w:rFonts w:hint="eastAsia" w:ascii="宋体" w:hAnsi="宋体" w:eastAsia="宋体" w:cs="宋体"/>
          <w:b w:val="0"/>
          <w:bCs w:val="0"/>
          <w:sz w:val="24"/>
          <w:szCs w:val="24"/>
        </w:rPr>
        <w:t>肾脏测量包</w:t>
      </w:r>
      <w:r>
        <w:rPr>
          <w:rFonts w:hint="eastAsia" w:ascii="宋体" w:hAnsi="宋体" w:eastAsia="宋体" w:cs="宋体"/>
          <w:b w:val="0"/>
          <w:bCs w:val="0"/>
          <w:sz w:val="24"/>
          <w:szCs w:val="24"/>
          <w:lang w:eastAsia="zh-CN"/>
        </w:rPr>
        <w:t>。</w:t>
      </w:r>
    </w:p>
    <w:p>
      <w:pPr>
        <w:pStyle w:val="50"/>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2.24.7</w:t>
      </w:r>
      <w:r>
        <w:rPr>
          <w:rFonts w:hint="eastAsia" w:ascii="宋体" w:hAnsi="宋体" w:eastAsia="宋体" w:cs="宋体"/>
          <w:b w:val="0"/>
          <w:bCs w:val="0"/>
          <w:sz w:val="24"/>
          <w:szCs w:val="24"/>
        </w:rPr>
        <w:t>容积测量包</w:t>
      </w:r>
      <w:r>
        <w:rPr>
          <w:rFonts w:hint="eastAsia" w:ascii="宋体" w:hAnsi="宋体" w:eastAsia="宋体" w:cs="宋体"/>
          <w:b w:val="0"/>
          <w:bCs w:val="0"/>
          <w:sz w:val="24"/>
          <w:szCs w:val="24"/>
          <w:lang w:eastAsia="zh-CN"/>
        </w:rPr>
        <w:t>。</w:t>
      </w:r>
    </w:p>
    <w:p>
      <w:pPr>
        <w:pStyle w:val="50"/>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2.24.8</w:t>
      </w:r>
      <w:r>
        <w:rPr>
          <w:rFonts w:hint="eastAsia" w:ascii="宋体" w:hAnsi="宋体" w:eastAsia="宋体" w:cs="宋体"/>
          <w:b w:val="0"/>
          <w:bCs w:val="0"/>
          <w:sz w:val="24"/>
          <w:szCs w:val="24"/>
        </w:rPr>
        <w:t>多普勒血流测量与分析</w:t>
      </w:r>
      <w:r>
        <w:rPr>
          <w:rFonts w:hint="eastAsia" w:ascii="宋体" w:hAnsi="宋体" w:eastAsia="宋体" w:cs="宋体"/>
          <w:b w:val="0"/>
          <w:bCs w:val="0"/>
          <w:sz w:val="24"/>
          <w:szCs w:val="24"/>
          <w:lang w:eastAsia="zh-CN"/>
        </w:rPr>
        <w:t>。</w:t>
      </w:r>
    </w:p>
    <w:p>
      <w:pPr>
        <w:pStyle w:val="50"/>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2.24.9</w:t>
      </w:r>
      <w:r>
        <w:rPr>
          <w:rFonts w:hint="eastAsia" w:ascii="宋体" w:hAnsi="宋体" w:eastAsia="宋体" w:cs="宋体"/>
          <w:b w:val="0"/>
          <w:bCs w:val="0"/>
          <w:sz w:val="24"/>
          <w:szCs w:val="24"/>
        </w:rPr>
        <w:t>自动多普勒血流测量与分析</w:t>
      </w:r>
      <w:r>
        <w:rPr>
          <w:rFonts w:hint="eastAsia" w:ascii="宋体" w:hAnsi="宋体" w:eastAsia="宋体" w:cs="宋体"/>
          <w:b w:val="0"/>
          <w:bCs w:val="0"/>
          <w:sz w:val="24"/>
          <w:szCs w:val="24"/>
          <w:lang w:eastAsia="zh-CN"/>
        </w:rPr>
        <w:t>。</w:t>
      </w:r>
    </w:p>
    <w:p>
      <w:pPr>
        <w:pStyle w:val="50"/>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2.24.10</w:t>
      </w:r>
      <w:r>
        <w:rPr>
          <w:rFonts w:hint="eastAsia" w:ascii="宋体" w:hAnsi="宋体" w:eastAsia="宋体" w:cs="宋体"/>
          <w:b w:val="0"/>
          <w:bCs w:val="0"/>
          <w:sz w:val="24"/>
          <w:szCs w:val="24"/>
        </w:rPr>
        <w:t>客户自定义测量</w:t>
      </w:r>
      <w:r>
        <w:rPr>
          <w:rFonts w:hint="eastAsia" w:ascii="宋体" w:hAnsi="宋体" w:eastAsia="宋体" w:cs="宋体"/>
          <w:b w:val="0"/>
          <w:bCs w:val="0"/>
          <w:sz w:val="24"/>
          <w:szCs w:val="24"/>
          <w:lang w:eastAsia="zh-CN"/>
        </w:rPr>
        <w:t>。</w:t>
      </w:r>
    </w:p>
    <w:p>
      <w:pPr>
        <w:pStyle w:val="50"/>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2.25</w:t>
      </w:r>
      <w:r>
        <w:rPr>
          <w:rFonts w:hint="eastAsia" w:ascii="宋体" w:hAnsi="宋体" w:eastAsia="宋体" w:cs="宋体"/>
          <w:b w:val="0"/>
          <w:bCs w:val="0"/>
          <w:sz w:val="24"/>
          <w:szCs w:val="24"/>
        </w:rPr>
        <w:t>图像存储与(电影)回放重现单元</w:t>
      </w:r>
      <w:r>
        <w:rPr>
          <w:rFonts w:hint="eastAsia" w:ascii="宋体" w:hAnsi="宋体" w:eastAsia="宋体" w:cs="宋体"/>
          <w:b w:val="0"/>
          <w:bCs w:val="0"/>
          <w:sz w:val="24"/>
          <w:szCs w:val="24"/>
          <w:lang w:eastAsia="zh-CN"/>
        </w:rPr>
        <w:t>。</w:t>
      </w:r>
    </w:p>
    <w:p>
      <w:pPr>
        <w:pStyle w:val="50"/>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2.26</w:t>
      </w:r>
      <w:r>
        <w:rPr>
          <w:rFonts w:hint="eastAsia" w:ascii="宋体" w:hAnsi="宋体" w:eastAsia="宋体" w:cs="宋体"/>
          <w:b w:val="0"/>
          <w:bCs w:val="0"/>
          <w:sz w:val="24"/>
          <w:szCs w:val="24"/>
        </w:rPr>
        <w:t>输入/输出信号：</w:t>
      </w:r>
    </w:p>
    <w:p>
      <w:pPr>
        <w:pStyle w:val="50"/>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2.26.1</w:t>
      </w:r>
      <w:r>
        <w:rPr>
          <w:rFonts w:hint="eastAsia" w:ascii="宋体" w:hAnsi="宋体" w:eastAsia="宋体" w:cs="宋体"/>
          <w:b w:val="0"/>
          <w:bCs w:val="0"/>
          <w:sz w:val="24"/>
          <w:szCs w:val="24"/>
        </w:rPr>
        <w:t>输入：音频</w:t>
      </w:r>
      <w:r>
        <w:rPr>
          <w:rFonts w:hint="eastAsia" w:ascii="宋体" w:hAnsi="宋体" w:eastAsia="宋体" w:cs="宋体"/>
          <w:b w:val="0"/>
          <w:bCs w:val="0"/>
          <w:sz w:val="24"/>
          <w:szCs w:val="24"/>
          <w:lang w:eastAsia="zh-CN"/>
        </w:rPr>
        <w:t>。</w:t>
      </w:r>
    </w:p>
    <w:p>
      <w:pPr>
        <w:pStyle w:val="50"/>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2.26.2</w:t>
      </w:r>
      <w:r>
        <w:rPr>
          <w:rFonts w:hint="eastAsia" w:ascii="宋体" w:hAnsi="宋体" w:eastAsia="宋体" w:cs="宋体"/>
          <w:b w:val="0"/>
          <w:bCs w:val="0"/>
          <w:sz w:val="24"/>
          <w:szCs w:val="24"/>
        </w:rPr>
        <w:t>输出：DVI、音频</w:t>
      </w:r>
      <w:r>
        <w:rPr>
          <w:rFonts w:hint="eastAsia" w:ascii="宋体" w:hAnsi="宋体" w:eastAsia="宋体" w:cs="宋体"/>
          <w:b w:val="0"/>
          <w:bCs w:val="0"/>
          <w:sz w:val="24"/>
          <w:szCs w:val="24"/>
          <w:lang w:eastAsia="zh-CN"/>
        </w:rPr>
        <w:t>。</w:t>
      </w:r>
    </w:p>
    <w:p>
      <w:pPr>
        <w:pStyle w:val="50"/>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2.27</w:t>
      </w:r>
      <w:r>
        <w:rPr>
          <w:rFonts w:hint="eastAsia" w:ascii="宋体" w:hAnsi="宋体" w:eastAsia="宋体" w:cs="宋体"/>
          <w:b w:val="0"/>
          <w:bCs w:val="0"/>
          <w:sz w:val="24"/>
          <w:szCs w:val="24"/>
        </w:rPr>
        <w:t>连通性：AVI, VRD，可支持DICOM3.0，医学数字图像格式（DICOM可以作为中央服务器远程读取、调入、存储图像）。</w:t>
      </w:r>
    </w:p>
    <w:p>
      <w:pPr>
        <w:pStyle w:val="50"/>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2.28</w:t>
      </w:r>
      <w:r>
        <w:rPr>
          <w:rFonts w:hint="eastAsia" w:ascii="宋体" w:hAnsi="宋体" w:eastAsia="宋体" w:cs="宋体"/>
          <w:b w:val="0"/>
          <w:bCs w:val="0"/>
          <w:sz w:val="24"/>
          <w:szCs w:val="24"/>
        </w:rPr>
        <w:t>图像管理与记录装置：</w:t>
      </w:r>
    </w:p>
    <w:p>
      <w:pPr>
        <w:pStyle w:val="50"/>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2.28.1</w:t>
      </w:r>
      <w:r>
        <w:rPr>
          <w:rFonts w:hint="eastAsia" w:ascii="宋体" w:hAnsi="宋体" w:eastAsia="宋体" w:cs="宋体"/>
          <w:b w:val="0"/>
          <w:bCs w:val="0"/>
          <w:sz w:val="24"/>
          <w:szCs w:val="24"/>
        </w:rPr>
        <w:t>超声图像存档与病案管理系统</w:t>
      </w:r>
      <w:r>
        <w:rPr>
          <w:rFonts w:hint="eastAsia" w:ascii="宋体" w:hAnsi="宋体" w:eastAsia="宋体" w:cs="宋体"/>
          <w:b w:val="0"/>
          <w:bCs w:val="0"/>
          <w:sz w:val="24"/>
          <w:szCs w:val="24"/>
          <w:lang w:eastAsia="zh-CN"/>
        </w:rPr>
        <w:t>。</w:t>
      </w:r>
    </w:p>
    <w:p>
      <w:pPr>
        <w:pStyle w:val="50"/>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2.28.2</w:t>
      </w:r>
      <w:r>
        <w:rPr>
          <w:rFonts w:hint="eastAsia" w:ascii="宋体" w:hAnsi="宋体" w:eastAsia="宋体" w:cs="宋体"/>
          <w:b w:val="0"/>
          <w:bCs w:val="0"/>
          <w:sz w:val="24"/>
          <w:szCs w:val="24"/>
        </w:rPr>
        <w:t>硬盘≥120GB。</w:t>
      </w:r>
    </w:p>
    <w:p>
      <w:pPr>
        <w:pStyle w:val="50"/>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2.28.3</w:t>
      </w:r>
      <w:r>
        <w:rPr>
          <w:rFonts w:hint="eastAsia" w:ascii="宋体" w:hAnsi="宋体" w:eastAsia="宋体" w:cs="宋体"/>
          <w:b w:val="0"/>
          <w:bCs w:val="0"/>
          <w:sz w:val="24"/>
          <w:szCs w:val="24"/>
        </w:rPr>
        <w:t>一体化原始数据的简帖版可以存储和回放动态及静态图像以往图像与当前图像同屏对比显示</w:t>
      </w:r>
      <w:r>
        <w:rPr>
          <w:rFonts w:hint="eastAsia" w:ascii="宋体" w:hAnsi="宋体" w:eastAsia="宋体" w:cs="宋体"/>
          <w:b w:val="0"/>
          <w:bCs w:val="0"/>
          <w:sz w:val="24"/>
          <w:szCs w:val="24"/>
          <w:lang w:eastAsia="zh-CN"/>
        </w:rPr>
        <w:t>。</w:t>
      </w:r>
    </w:p>
    <w:p>
      <w:pPr>
        <w:pStyle w:val="50"/>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2.28.4</w:t>
      </w:r>
      <w:r>
        <w:rPr>
          <w:rFonts w:hint="eastAsia" w:ascii="宋体" w:hAnsi="宋体" w:eastAsia="宋体" w:cs="宋体"/>
          <w:b w:val="0"/>
          <w:bCs w:val="0"/>
          <w:sz w:val="24"/>
          <w:szCs w:val="24"/>
        </w:rPr>
        <w:t>DVD –RW</w:t>
      </w:r>
      <w:r>
        <w:rPr>
          <w:rFonts w:hint="eastAsia" w:ascii="宋体" w:hAnsi="宋体" w:eastAsia="宋体" w:cs="宋体"/>
          <w:b w:val="0"/>
          <w:bCs w:val="0"/>
          <w:sz w:val="24"/>
          <w:szCs w:val="24"/>
          <w:lang w:eastAsia="zh-CN"/>
        </w:rPr>
        <w:t>。</w:t>
      </w:r>
    </w:p>
    <w:p>
      <w:pPr>
        <w:pStyle w:val="50"/>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2.28.5</w:t>
      </w:r>
      <w:r>
        <w:rPr>
          <w:rFonts w:hint="eastAsia" w:ascii="宋体" w:hAnsi="宋体" w:eastAsia="宋体" w:cs="宋体"/>
          <w:b w:val="0"/>
          <w:bCs w:val="0"/>
          <w:kern w:val="0"/>
          <w:sz w:val="24"/>
          <w:szCs w:val="24"/>
          <w:lang w:val="en-US" w:eastAsia="zh-CN"/>
        </w:rPr>
        <w:t>≥</w:t>
      </w:r>
      <w:r>
        <w:rPr>
          <w:rFonts w:hint="eastAsia" w:ascii="宋体" w:hAnsi="宋体" w:eastAsia="宋体" w:cs="宋体"/>
          <w:b w:val="0"/>
          <w:bCs w:val="0"/>
          <w:sz w:val="24"/>
          <w:szCs w:val="24"/>
        </w:rPr>
        <w:t>2个USB接口，可一键快速将图象存储至USB、硬盘，无需其他格式转换操作，无需进入病人档案或系统设置。</w:t>
      </w:r>
    </w:p>
    <w:p>
      <w:pPr>
        <w:pStyle w:val="50"/>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kern w:val="2"/>
          <w:sz w:val="24"/>
          <w:szCs w:val="24"/>
          <w:lang w:val="en-US" w:eastAsia="zh-CN" w:bidi="ar-SA"/>
        </w:rPr>
        <w:t>2.28.6</w:t>
      </w:r>
      <w:r>
        <w:rPr>
          <w:rFonts w:hint="eastAsia" w:ascii="宋体" w:hAnsi="宋体" w:eastAsia="宋体" w:cs="宋体"/>
          <w:b w:val="0"/>
          <w:bCs w:val="0"/>
          <w:sz w:val="24"/>
          <w:szCs w:val="24"/>
        </w:rPr>
        <w:t>客户报告系统</w:t>
      </w:r>
      <w:r>
        <w:rPr>
          <w:rFonts w:hint="eastAsia" w:ascii="宋体" w:hAnsi="宋体" w:eastAsia="宋体" w:cs="宋体"/>
          <w:b w:val="0"/>
          <w:bCs w:val="0"/>
          <w:sz w:val="24"/>
          <w:szCs w:val="24"/>
          <w:lang w:eastAsia="zh-CN"/>
        </w:rPr>
        <w:t>。</w:t>
      </w:r>
    </w:p>
    <w:p>
      <w:pPr>
        <w:pStyle w:val="50"/>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三、</w:t>
      </w:r>
      <w:r>
        <w:rPr>
          <w:rFonts w:hint="eastAsia" w:ascii="宋体" w:hAnsi="宋体" w:eastAsia="宋体" w:cs="宋体"/>
          <w:b w:val="0"/>
          <w:bCs w:val="0"/>
          <w:sz w:val="24"/>
          <w:szCs w:val="24"/>
        </w:rPr>
        <w:t>技术参数及要求：</w:t>
      </w:r>
    </w:p>
    <w:p>
      <w:pPr>
        <w:pStyle w:val="50"/>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3.1</w:t>
      </w:r>
      <w:r>
        <w:rPr>
          <w:rFonts w:hint="eastAsia" w:ascii="宋体" w:hAnsi="宋体" w:eastAsia="宋体" w:cs="宋体"/>
          <w:b w:val="0"/>
          <w:bCs w:val="0"/>
          <w:sz w:val="24"/>
          <w:szCs w:val="24"/>
        </w:rPr>
        <w:t>系统通用功能：</w:t>
      </w:r>
    </w:p>
    <w:p>
      <w:pPr>
        <w:pStyle w:val="50"/>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3.1.1</w:t>
      </w:r>
      <w:r>
        <w:rPr>
          <w:rFonts w:hint="eastAsia" w:ascii="宋体" w:hAnsi="宋体" w:eastAsia="宋体" w:cs="宋体"/>
          <w:b w:val="0"/>
          <w:bCs w:val="0"/>
          <w:sz w:val="24"/>
          <w:szCs w:val="24"/>
        </w:rPr>
        <w:t>≥1</w:t>
      </w:r>
      <w:r>
        <w:rPr>
          <w:rFonts w:hint="eastAsia" w:ascii="宋体" w:hAnsi="宋体" w:eastAsia="宋体" w:cs="宋体"/>
          <w:b w:val="0"/>
          <w:bCs w:val="0"/>
          <w:sz w:val="24"/>
          <w:szCs w:val="24"/>
          <w:lang w:eastAsia="zh-CN"/>
        </w:rPr>
        <w:t>2</w:t>
      </w:r>
      <w:r>
        <w:rPr>
          <w:rFonts w:hint="eastAsia" w:ascii="宋体" w:hAnsi="宋体" w:eastAsia="宋体" w:cs="宋体"/>
          <w:b w:val="0"/>
          <w:bCs w:val="0"/>
          <w:sz w:val="24"/>
          <w:szCs w:val="24"/>
          <w:lang w:val="en-US" w:eastAsia="zh-CN"/>
        </w:rPr>
        <w:t>英寸</w:t>
      </w:r>
      <w:r>
        <w:rPr>
          <w:rFonts w:hint="eastAsia" w:ascii="宋体" w:hAnsi="宋体" w:eastAsia="宋体" w:cs="宋体"/>
          <w:b w:val="0"/>
          <w:bCs w:val="0"/>
          <w:sz w:val="24"/>
          <w:szCs w:val="24"/>
        </w:rPr>
        <w:t>高分辨率液晶监视器</w:t>
      </w:r>
      <w:r>
        <w:rPr>
          <w:rFonts w:hint="eastAsia" w:ascii="宋体" w:hAnsi="宋体" w:eastAsia="宋体" w:cs="宋体"/>
          <w:b w:val="0"/>
          <w:bCs w:val="0"/>
          <w:sz w:val="24"/>
          <w:szCs w:val="24"/>
          <w:lang w:eastAsia="zh-CN"/>
        </w:rPr>
        <w:t>。</w:t>
      </w:r>
    </w:p>
    <w:p>
      <w:pPr>
        <w:pStyle w:val="50"/>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3.1.2</w:t>
      </w:r>
      <w:r>
        <w:rPr>
          <w:rFonts w:hint="eastAsia" w:ascii="宋体" w:hAnsi="宋体" w:eastAsia="宋体" w:cs="宋体"/>
          <w:b w:val="0"/>
          <w:bCs w:val="0"/>
          <w:kern w:val="0"/>
          <w:sz w:val="24"/>
          <w:szCs w:val="24"/>
        </w:rPr>
        <w:t>★</w:t>
      </w:r>
      <w:r>
        <w:rPr>
          <w:rFonts w:hint="eastAsia" w:ascii="宋体" w:hAnsi="宋体" w:eastAsia="宋体" w:cs="宋体"/>
          <w:b w:val="0"/>
          <w:bCs w:val="0"/>
          <w:sz w:val="24"/>
          <w:szCs w:val="24"/>
          <w:lang w:val="en-US" w:eastAsia="zh-CN"/>
        </w:rPr>
        <w:t>≥8英寸</w:t>
      </w:r>
      <w:r>
        <w:rPr>
          <w:rFonts w:hint="eastAsia" w:ascii="宋体" w:hAnsi="宋体" w:eastAsia="宋体" w:cs="宋体"/>
          <w:b w:val="0"/>
          <w:bCs w:val="0"/>
          <w:sz w:val="24"/>
          <w:szCs w:val="24"/>
        </w:rPr>
        <w:t>电容操作触摸屏，并可在触摸屏上进行注释和体表图操作。</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请提供证明图片</w:t>
      </w:r>
      <w:r>
        <w:rPr>
          <w:rFonts w:hint="eastAsia" w:ascii="宋体" w:hAnsi="宋体" w:eastAsia="宋体" w:cs="宋体"/>
          <w:b w:val="0"/>
          <w:bCs w:val="0"/>
          <w:sz w:val="24"/>
          <w:szCs w:val="24"/>
          <w:lang w:eastAsia="zh-CN"/>
        </w:rPr>
        <w:t>）</w:t>
      </w:r>
    </w:p>
    <w:p>
      <w:pPr>
        <w:pStyle w:val="50"/>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3.1.3</w:t>
      </w:r>
      <w:r>
        <w:rPr>
          <w:rFonts w:hint="eastAsia" w:ascii="宋体" w:hAnsi="宋体" w:eastAsia="宋体" w:cs="宋体"/>
          <w:b w:val="0"/>
          <w:bCs w:val="0"/>
          <w:sz w:val="24"/>
          <w:szCs w:val="24"/>
        </w:rPr>
        <w:t>支持触摸屏参数、功能布局界面</w:t>
      </w:r>
      <w:r>
        <w:rPr>
          <w:rFonts w:hint="eastAsia" w:ascii="宋体" w:hAnsi="宋体" w:eastAsia="宋体" w:cs="宋体"/>
          <w:b w:val="0"/>
          <w:bCs w:val="0"/>
          <w:sz w:val="24"/>
          <w:szCs w:val="24"/>
          <w:lang w:val="en-US" w:eastAsia="zh-CN"/>
        </w:rPr>
        <w:t>任意移动，实现</w:t>
      </w:r>
      <w:r>
        <w:rPr>
          <w:rFonts w:hint="eastAsia" w:ascii="宋体" w:hAnsi="宋体" w:eastAsia="宋体" w:cs="宋体"/>
          <w:b w:val="0"/>
          <w:bCs w:val="0"/>
          <w:sz w:val="24"/>
          <w:szCs w:val="24"/>
        </w:rPr>
        <w:t>专属定制（提供布局调整前、后2张图片证明）</w:t>
      </w:r>
    </w:p>
    <w:p>
      <w:pPr>
        <w:pStyle w:val="50"/>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3.1.4</w:t>
      </w:r>
      <w:r>
        <w:rPr>
          <w:rFonts w:hint="eastAsia" w:ascii="宋体" w:hAnsi="宋体" w:eastAsia="宋体" w:cs="宋体"/>
          <w:b w:val="0"/>
          <w:bCs w:val="0"/>
          <w:sz w:val="24"/>
          <w:szCs w:val="24"/>
        </w:rPr>
        <w:t>触摸屏</w:t>
      </w:r>
      <w:r>
        <w:rPr>
          <w:rFonts w:hint="eastAsia" w:ascii="宋体" w:hAnsi="宋体" w:eastAsia="宋体" w:cs="宋体"/>
          <w:b w:val="0"/>
          <w:bCs w:val="0"/>
          <w:sz w:val="24"/>
          <w:szCs w:val="24"/>
          <w:lang w:val="en-US" w:eastAsia="zh-CN"/>
        </w:rPr>
        <w:t>可手写</w:t>
      </w:r>
      <w:r>
        <w:rPr>
          <w:rFonts w:hint="eastAsia" w:ascii="宋体" w:hAnsi="宋体" w:eastAsia="宋体" w:cs="宋体"/>
          <w:b w:val="0"/>
          <w:bCs w:val="0"/>
          <w:sz w:val="24"/>
          <w:szCs w:val="24"/>
        </w:rPr>
        <w:t>画图</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手写标记</w:t>
      </w:r>
      <w:r>
        <w:rPr>
          <w:rFonts w:hint="eastAsia" w:ascii="宋体" w:hAnsi="宋体" w:eastAsia="宋体" w:cs="宋体"/>
          <w:b w:val="0"/>
          <w:bCs w:val="0"/>
          <w:sz w:val="24"/>
          <w:szCs w:val="24"/>
        </w:rPr>
        <w:t>示教，方便远程诊断、学生带教等场景进行互动交流</w:t>
      </w:r>
    </w:p>
    <w:p>
      <w:pPr>
        <w:pStyle w:val="50"/>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3.1.5</w:t>
      </w:r>
      <w:r>
        <w:rPr>
          <w:rFonts w:hint="eastAsia" w:ascii="宋体" w:hAnsi="宋体" w:eastAsia="宋体" w:cs="宋体"/>
          <w:b w:val="0"/>
          <w:bCs w:val="0"/>
          <w:kern w:val="0"/>
          <w:sz w:val="24"/>
          <w:szCs w:val="24"/>
        </w:rPr>
        <w:t>★</w:t>
      </w:r>
      <w:r>
        <w:rPr>
          <w:rFonts w:hint="eastAsia" w:ascii="宋体" w:hAnsi="宋体" w:eastAsia="宋体" w:cs="宋体"/>
          <w:b w:val="0"/>
          <w:bCs w:val="0"/>
          <w:sz w:val="24"/>
          <w:szCs w:val="24"/>
        </w:rPr>
        <w:t>整机重量≤4Kg</w:t>
      </w:r>
      <w:r>
        <w:rPr>
          <w:rFonts w:hint="eastAsia" w:ascii="宋体" w:hAnsi="宋体" w:eastAsia="宋体" w:cs="宋体"/>
          <w:b w:val="0"/>
          <w:bCs w:val="0"/>
          <w:sz w:val="24"/>
          <w:szCs w:val="24"/>
          <w:lang w:eastAsia="zh-CN"/>
        </w:rPr>
        <w:t>。</w:t>
      </w:r>
    </w:p>
    <w:p>
      <w:pPr>
        <w:pStyle w:val="50"/>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3.2</w:t>
      </w:r>
      <w:r>
        <w:rPr>
          <w:rFonts w:hint="eastAsia" w:ascii="宋体" w:hAnsi="宋体" w:eastAsia="宋体" w:cs="宋体"/>
          <w:b w:val="0"/>
          <w:bCs w:val="0"/>
          <w:sz w:val="24"/>
          <w:szCs w:val="24"/>
        </w:rPr>
        <w:t>探头规格</w:t>
      </w:r>
      <w:r>
        <w:rPr>
          <w:rFonts w:hint="eastAsia" w:ascii="宋体" w:hAnsi="宋体" w:eastAsia="宋体" w:cs="宋体"/>
          <w:b w:val="0"/>
          <w:bCs w:val="0"/>
          <w:sz w:val="24"/>
          <w:szCs w:val="24"/>
          <w:lang w:val="en-US" w:eastAsia="zh-CN"/>
        </w:rPr>
        <w:t>及配置</w:t>
      </w:r>
      <w:r>
        <w:rPr>
          <w:rFonts w:hint="eastAsia" w:ascii="宋体" w:hAnsi="宋体" w:eastAsia="宋体" w:cs="宋体"/>
          <w:b w:val="0"/>
          <w:bCs w:val="0"/>
          <w:sz w:val="24"/>
          <w:szCs w:val="24"/>
          <w:lang w:eastAsia="zh-CN"/>
        </w:rPr>
        <w:t>：</w:t>
      </w:r>
    </w:p>
    <w:p>
      <w:pPr>
        <w:pStyle w:val="50"/>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3.2.1</w:t>
      </w:r>
      <w:r>
        <w:rPr>
          <w:rFonts w:hint="eastAsia" w:ascii="宋体" w:hAnsi="宋体" w:eastAsia="宋体" w:cs="宋体"/>
          <w:b w:val="0"/>
          <w:bCs w:val="0"/>
          <w:kern w:val="0"/>
          <w:sz w:val="24"/>
          <w:szCs w:val="24"/>
        </w:rPr>
        <w:t>★</w:t>
      </w:r>
      <w:r>
        <w:rPr>
          <w:rFonts w:hint="eastAsia" w:ascii="宋体" w:hAnsi="宋体" w:eastAsia="宋体" w:cs="宋体"/>
          <w:b w:val="0"/>
          <w:bCs w:val="0"/>
          <w:sz w:val="24"/>
          <w:szCs w:val="24"/>
        </w:rPr>
        <w:t>探头可与同品牌部分型号台式机通用。</w:t>
      </w:r>
    </w:p>
    <w:p>
      <w:pPr>
        <w:pStyle w:val="50"/>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3.2.2</w:t>
      </w:r>
      <w:r>
        <w:rPr>
          <w:rFonts w:hint="eastAsia" w:ascii="宋体" w:hAnsi="宋体" w:eastAsia="宋体" w:cs="宋体"/>
          <w:b w:val="0"/>
          <w:bCs w:val="0"/>
          <w:sz w:val="24"/>
          <w:szCs w:val="24"/>
        </w:rPr>
        <w:t>探头数量：</w:t>
      </w:r>
      <w:r>
        <w:rPr>
          <w:rFonts w:hint="eastAsia" w:ascii="宋体" w:hAnsi="宋体" w:eastAsia="宋体" w:cs="宋体"/>
          <w:b w:val="0"/>
          <w:bCs w:val="0"/>
          <w:sz w:val="24"/>
          <w:szCs w:val="24"/>
          <w:lang w:val="en-US"/>
        </w:rPr>
        <w:t>3</w:t>
      </w:r>
      <w:r>
        <w:rPr>
          <w:rFonts w:hint="eastAsia" w:ascii="宋体" w:hAnsi="宋体" w:eastAsia="宋体" w:cs="宋体"/>
          <w:b w:val="0"/>
          <w:bCs w:val="0"/>
          <w:sz w:val="24"/>
          <w:szCs w:val="24"/>
        </w:rPr>
        <w:t>个(线阵</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凸阵</w:t>
      </w:r>
      <w:r>
        <w:rPr>
          <w:rFonts w:hint="eastAsia" w:ascii="宋体" w:hAnsi="宋体" w:eastAsia="宋体" w:cs="宋体"/>
          <w:b w:val="0"/>
          <w:bCs w:val="0"/>
          <w:sz w:val="24"/>
          <w:szCs w:val="24"/>
          <w:lang w:val="en-US"/>
        </w:rPr>
        <w:t>.</w:t>
      </w:r>
      <w:r>
        <w:rPr>
          <w:rFonts w:hint="eastAsia" w:ascii="宋体" w:hAnsi="宋体" w:eastAsia="宋体" w:cs="宋体"/>
          <w:b w:val="0"/>
          <w:bCs w:val="0"/>
          <w:sz w:val="24"/>
          <w:szCs w:val="24"/>
          <w:lang w:val="en-US" w:eastAsia="zh-CN"/>
        </w:rPr>
        <w:t xml:space="preserve"> 相控阵</w:t>
      </w:r>
      <w:r>
        <w:rPr>
          <w:rFonts w:hint="eastAsia" w:ascii="宋体" w:hAnsi="宋体" w:eastAsia="宋体" w:cs="宋体"/>
          <w:b w:val="0"/>
          <w:bCs w:val="0"/>
          <w:sz w:val="24"/>
          <w:szCs w:val="24"/>
        </w:rPr>
        <w:t>)</w:t>
      </w:r>
      <w:r>
        <w:rPr>
          <w:rFonts w:hint="eastAsia" w:ascii="宋体" w:hAnsi="宋体" w:eastAsia="宋体" w:cs="宋体"/>
          <w:b w:val="0"/>
          <w:bCs w:val="0"/>
          <w:sz w:val="24"/>
          <w:szCs w:val="24"/>
          <w:lang w:eastAsia="zh-CN"/>
        </w:rPr>
        <w:t>。</w:t>
      </w:r>
    </w:p>
    <w:p>
      <w:pPr>
        <w:pStyle w:val="50"/>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zh-CN"/>
        </w:rPr>
      </w:pPr>
      <w:r>
        <w:rPr>
          <w:rFonts w:hint="eastAsia" w:ascii="宋体" w:hAnsi="宋体" w:eastAsia="宋体" w:cs="宋体"/>
          <w:b w:val="0"/>
          <w:bCs w:val="0"/>
          <w:kern w:val="2"/>
          <w:sz w:val="24"/>
          <w:szCs w:val="24"/>
          <w:lang w:val="zh-CN" w:eastAsia="zh-CN" w:bidi="ar-SA"/>
        </w:rPr>
        <w:t>3.2.3</w:t>
      </w:r>
      <w:r>
        <w:rPr>
          <w:rFonts w:hint="eastAsia" w:ascii="宋体" w:hAnsi="宋体" w:eastAsia="宋体" w:cs="宋体"/>
          <w:b w:val="0"/>
          <w:bCs w:val="0"/>
          <w:sz w:val="24"/>
          <w:szCs w:val="24"/>
        </w:rPr>
        <w:t>频率：宽频带或变频探头，所有探头及所有模式有明确的工作频率显示，实现二维、彩色、多普勒频率独立可调，基波中心频率可选择≥</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种，谐波频率可选≥</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种，多普勒可选不同频率≥</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种</w:t>
      </w:r>
      <w:r>
        <w:rPr>
          <w:rFonts w:hint="eastAsia" w:ascii="宋体" w:hAnsi="宋体" w:eastAsia="宋体" w:cs="宋体"/>
          <w:b w:val="0"/>
          <w:bCs w:val="0"/>
          <w:sz w:val="24"/>
          <w:szCs w:val="24"/>
          <w:lang w:eastAsia="zh-CN"/>
        </w:rPr>
        <w:t>。</w:t>
      </w:r>
    </w:p>
    <w:p>
      <w:pPr>
        <w:pStyle w:val="50"/>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zh-CN"/>
        </w:rPr>
      </w:pPr>
      <w:r>
        <w:rPr>
          <w:rFonts w:hint="eastAsia" w:ascii="宋体" w:hAnsi="宋体" w:eastAsia="宋体" w:cs="宋体"/>
          <w:b w:val="0"/>
          <w:bCs w:val="0"/>
          <w:kern w:val="2"/>
          <w:sz w:val="24"/>
          <w:szCs w:val="24"/>
          <w:lang w:val="zh-CN" w:eastAsia="zh-CN" w:bidi="ar-SA"/>
        </w:rPr>
        <w:t>3.2.4</w:t>
      </w:r>
      <w:r>
        <w:rPr>
          <w:rFonts w:hint="eastAsia" w:ascii="宋体" w:hAnsi="宋体" w:eastAsia="宋体" w:cs="宋体"/>
          <w:b w:val="0"/>
          <w:bCs w:val="0"/>
          <w:sz w:val="24"/>
          <w:szCs w:val="24"/>
          <w:lang w:val="zh-CN"/>
        </w:rPr>
        <w:t>探头频率</w:t>
      </w:r>
      <w:r>
        <w:rPr>
          <w:rFonts w:hint="eastAsia" w:ascii="宋体" w:hAnsi="宋体" w:eastAsia="宋体" w:cs="宋体"/>
          <w:b w:val="0"/>
          <w:bCs w:val="0"/>
          <w:sz w:val="24"/>
          <w:szCs w:val="24"/>
          <w:lang w:val="en-US" w:eastAsia="zh-CN"/>
        </w:rPr>
        <w:t>最高</w:t>
      </w:r>
      <w:r>
        <w:rPr>
          <w:rFonts w:hint="eastAsia" w:ascii="宋体" w:hAnsi="宋体" w:eastAsia="宋体" w:cs="宋体"/>
          <w:b w:val="0"/>
          <w:bCs w:val="0"/>
          <w:sz w:val="24"/>
          <w:szCs w:val="24"/>
          <w:lang w:val="zh-CN"/>
        </w:rPr>
        <w:t>可达13</w:t>
      </w:r>
      <w:r>
        <w:rPr>
          <w:rFonts w:hint="eastAsia" w:ascii="宋体" w:hAnsi="宋体" w:eastAsia="宋体" w:cs="宋体"/>
          <w:b w:val="0"/>
          <w:bCs w:val="0"/>
          <w:sz w:val="24"/>
          <w:szCs w:val="24"/>
        </w:rPr>
        <w:t>MHz</w:t>
      </w:r>
      <w:r>
        <w:rPr>
          <w:rFonts w:hint="eastAsia" w:ascii="宋体" w:hAnsi="宋体" w:eastAsia="宋体" w:cs="宋体"/>
          <w:b w:val="0"/>
          <w:bCs w:val="0"/>
          <w:sz w:val="24"/>
          <w:szCs w:val="24"/>
          <w:lang w:val="zh-CN"/>
        </w:rPr>
        <w:t>，可在屏幕上显示。（</w:t>
      </w:r>
      <w:r>
        <w:rPr>
          <w:rFonts w:hint="eastAsia" w:ascii="宋体" w:hAnsi="宋体" w:eastAsia="宋体" w:cs="宋体"/>
          <w:b w:val="0"/>
          <w:bCs w:val="0"/>
          <w:sz w:val="24"/>
          <w:szCs w:val="24"/>
          <w:lang w:val="en-US" w:eastAsia="zh-CN"/>
        </w:rPr>
        <w:t>请提供证明图片</w:t>
      </w:r>
      <w:r>
        <w:rPr>
          <w:rFonts w:hint="eastAsia" w:ascii="宋体" w:hAnsi="宋体" w:eastAsia="宋体" w:cs="宋体"/>
          <w:b w:val="0"/>
          <w:bCs w:val="0"/>
          <w:sz w:val="24"/>
          <w:szCs w:val="24"/>
          <w:lang w:val="zh-CN"/>
        </w:rPr>
        <w:t>）</w:t>
      </w:r>
    </w:p>
    <w:p>
      <w:pPr>
        <w:pStyle w:val="50"/>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3.2.5</w:t>
      </w:r>
      <w:r>
        <w:rPr>
          <w:rFonts w:hint="eastAsia" w:ascii="宋体" w:hAnsi="宋体" w:eastAsia="宋体" w:cs="宋体"/>
          <w:b w:val="0"/>
          <w:bCs w:val="0"/>
          <w:sz w:val="24"/>
          <w:szCs w:val="24"/>
        </w:rPr>
        <w:t>振子：凸阵探头有效振子数≥128振子</w:t>
      </w:r>
      <w:r>
        <w:rPr>
          <w:rFonts w:hint="eastAsia" w:ascii="宋体" w:hAnsi="宋体" w:eastAsia="宋体" w:cs="宋体"/>
          <w:b w:val="0"/>
          <w:bCs w:val="0"/>
          <w:sz w:val="24"/>
          <w:szCs w:val="24"/>
          <w:lang w:eastAsia="zh-CN"/>
        </w:rPr>
        <w:t>。</w:t>
      </w:r>
    </w:p>
    <w:p>
      <w:pPr>
        <w:pStyle w:val="50"/>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3.2.6</w:t>
      </w:r>
      <w:r>
        <w:rPr>
          <w:rFonts w:hint="eastAsia" w:ascii="宋体" w:hAnsi="宋体" w:eastAsia="宋体" w:cs="宋体"/>
          <w:b w:val="0"/>
          <w:bCs w:val="0"/>
          <w:sz w:val="24"/>
          <w:szCs w:val="24"/>
          <w:lang w:val="en-US" w:eastAsia="zh-CN"/>
        </w:rPr>
        <w:t>配置；配备专业台车、专用拉杆箱</w:t>
      </w:r>
    </w:p>
    <w:p>
      <w:pPr>
        <w:pStyle w:val="50"/>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3.3</w:t>
      </w:r>
      <w:r>
        <w:rPr>
          <w:rFonts w:hint="eastAsia" w:ascii="宋体" w:hAnsi="宋体" w:eastAsia="宋体" w:cs="宋体"/>
          <w:b w:val="0"/>
          <w:bCs w:val="0"/>
          <w:sz w:val="24"/>
          <w:szCs w:val="24"/>
        </w:rPr>
        <w:t>二维灰阶显像主要参数：</w:t>
      </w:r>
    </w:p>
    <w:p>
      <w:pPr>
        <w:pStyle w:val="50"/>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3.3.1</w:t>
      </w:r>
      <w:r>
        <w:rPr>
          <w:rFonts w:hint="eastAsia" w:ascii="宋体" w:hAnsi="宋体" w:eastAsia="宋体" w:cs="宋体"/>
          <w:b w:val="0"/>
          <w:bCs w:val="0"/>
          <w:sz w:val="24"/>
          <w:szCs w:val="24"/>
        </w:rPr>
        <w:t>扫描速率：凸阵探头，全视野，18cm深度时，帧速率≥30帧/秒</w:t>
      </w:r>
      <w:r>
        <w:rPr>
          <w:rFonts w:hint="eastAsia" w:ascii="宋体" w:hAnsi="宋体" w:eastAsia="宋体" w:cs="宋体"/>
          <w:b w:val="0"/>
          <w:bCs w:val="0"/>
          <w:sz w:val="24"/>
          <w:szCs w:val="24"/>
          <w:lang w:eastAsia="zh-CN"/>
        </w:rPr>
        <w:t>。</w:t>
      </w:r>
    </w:p>
    <w:p>
      <w:pPr>
        <w:pStyle w:val="50"/>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3.3.2</w:t>
      </w:r>
      <w:r>
        <w:rPr>
          <w:rFonts w:hint="eastAsia" w:ascii="宋体" w:hAnsi="宋体" w:eastAsia="宋体" w:cs="宋体"/>
          <w:b w:val="0"/>
          <w:bCs w:val="0"/>
          <w:sz w:val="24"/>
          <w:szCs w:val="24"/>
        </w:rPr>
        <w:t>扫描线：每帧线密度≥</w:t>
      </w:r>
      <w:r>
        <w:rPr>
          <w:rFonts w:hint="eastAsia" w:ascii="宋体" w:hAnsi="宋体" w:eastAsia="宋体" w:cs="宋体"/>
          <w:b w:val="0"/>
          <w:bCs w:val="0"/>
          <w:sz w:val="24"/>
          <w:szCs w:val="24"/>
          <w:lang w:eastAsia="zh-CN"/>
        </w:rPr>
        <w:t>2</w:t>
      </w:r>
      <w:r>
        <w:rPr>
          <w:rFonts w:hint="eastAsia" w:ascii="宋体" w:hAnsi="宋体" w:eastAsia="宋体" w:cs="宋体"/>
          <w:b w:val="0"/>
          <w:bCs w:val="0"/>
          <w:sz w:val="24"/>
          <w:szCs w:val="24"/>
        </w:rPr>
        <w:t>12超声线</w:t>
      </w:r>
      <w:r>
        <w:rPr>
          <w:rFonts w:hint="eastAsia" w:ascii="宋体" w:hAnsi="宋体" w:eastAsia="宋体" w:cs="宋体"/>
          <w:b w:val="0"/>
          <w:bCs w:val="0"/>
          <w:sz w:val="24"/>
          <w:szCs w:val="24"/>
          <w:lang w:eastAsia="zh-CN"/>
        </w:rPr>
        <w:t>。</w:t>
      </w:r>
    </w:p>
    <w:p>
      <w:pPr>
        <w:pStyle w:val="50"/>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3.3.3</w:t>
      </w:r>
      <w:r>
        <w:rPr>
          <w:rFonts w:hint="eastAsia" w:ascii="宋体" w:hAnsi="宋体" w:eastAsia="宋体" w:cs="宋体"/>
          <w:b w:val="0"/>
          <w:bCs w:val="0"/>
          <w:sz w:val="24"/>
          <w:szCs w:val="24"/>
        </w:rPr>
        <w:t>发射声束聚焦：连续聚焦</w:t>
      </w:r>
      <w:r>
        <w:rPr>
          <w:rFonts w:hint="eastAsia" w:ascii="宋体" w:hAnsi="宋体" w:eastAsia="宋体" w:cs="宋体"/>
          <w:b w:val="0"/>
          <w:bCs w:val="0"/>
          <w:sz w:val="24"/>
          <w:szCs w:val="24"/>
          <w:lang w:eastAsia="zh-CN"/>
        </w:rPr>
        <w:t>。</w:t>
      </w:r>
    </w:p>
    <w:p>
      <w:pPr>
        <w:pStyle w:val="50"/>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3.3.4</w:t>
      </w:r>
      <w:r>
        <w:rPr>
          <w:rFonts w:hint="eastAsia" w:ascii="宋体" w:hAnsi="宋体" w:eastAsia="宋体" w:cs="宋体"/>
          <w:b w:val="0"/>
          <w:bCs w:val="0"/>
          <w:sz w:val="24"/>
          <w:szCs w:val="24"/>
        </w:rPr>
        <w:t>接收方式：多倍信号并行处理</w:t>
      </w:r>
      <w:r>
        <w:rPr>
          <w:rFonts w:hint="eastAsia" w:ascii="宋体" w:hAnsi="宋体" w:eastAsia="宋体" w:cs="宋体"/>
          <w:b w:val="0"/>
          <w:bCs w:val="0"/>
          <w:sz w:val="24"/>
          <w:szCs w:val="24"/>
          <w:lang w:eastAsia="zh-CN"/>
        </w:rPr>
        <w:t>。</w:t>
      </w:r>
    </w:p>
    <w:p>
      <w:pPr>
        <w:pStyle w:val="50"/>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3.3.5</w:t>
      </w:r>
      <w:r>
        <w:rPr>
          <w:rFonts w:hint="eastAsia" w:ascii="宋体" w:hAnsi="宋体" w:eastAsia="宋体" w:cs="宋体"/>
          <w:b w:val="0"/>
          <w:bCs w:val="0"/>
          <w:sz w:val="24"/>
          <w:szCs w:val="24"/>
        </w:rPr>
        <w:t>数字式声束形成器：数字式全程动态连续聚焦，数字式可变孔径及动态变迹，A/D≥12bit</w:t>
      </w:r>
      <w:r>
        <w:rPr>
          <w:rFonts w:hint="eastAsia" w:ascii="宋体" w:hAnsi="宋体" w:eastAsia="宋体" w:cs="宋体"/>
          <w:b w:val="0"/>
          <w:bCs w:val="0"/>
          <w:sz w:val="24"/>
          <w:szCs w:val="24"/>
          <w:lang w:eastAsia="zh-CN"/>
        </w:rPr>
        <w:t>。</w:t>
      </w:r>
    </w:p>
    <w:p>
      <w:pPr>
        <w:pStyle w:val="50"/>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3.3.6</w:t>
      </w:r>
      <w:r>
        <w:rPr>
          <w:rFonts w:hint="eastAsia" w:ascii="宋体" w:hAnsi="宋体" w:eastAsia="宋体" w:cs="宋体"/>
          <w:b w:val="0"/>
          <w:bCs w:val="0"/>
          <w:sz w:val="24"/>
          <w:szCs w:val="24"/>
        </w:rPr>
        <w:t>回放重现：回放时间≥1000秒</w:t>
      </w:r>
      <w:r>
        <w:rPr>
          <w:rFonts w:hint="eastAsia" w:ascii="宋体" w:hAnsi="宋体" w:eastAsia="宋体" w:cs="宋体"/>
          <w:b w:val="0"/>
          <w:bCs w:val="0"/>
          <w:sz w:val="24"/>
          <w:szCs w:val="24"/>
          <w:lang w:eastAsia="zh-CN"/>
        </w:rPr>
        <w:t>。</w:t>
      </w:r>
    </w:p>
    <w:p>
      <w:pPr>
        <w:pStyle w:val="50"/>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3.3.7</w:t>
      </w:r>
      <w:r>
        <w:rPr>
          <w:rFonts w:hint="eastAsia" w:ascii="宋体" w:hAnsi="宋体" w:eastAsia="宋体" w:cs="宋体"/>
          <w:b w:val="0"/>
          <w:bCs w:val="0"/>
          <w:sz w:val="24"/>
          <w:szCs w:val="24"/>
        </w:rPr>
        <w:t>预设条件：针对不同的检查脏器，预置最佳化图像的检查条件，并可以图形化标志显示选择界面，减少操作时的调节，及常用所需的外部调节及组合调节。(</w:t>
      </w:r>
      <w:r>
        <w:rPr>
          <w:rFonts w:hint="eastAsia" w:ascii="宋体" w:hAnsi="宋体" w:eastAsia="宋体" w:cs="宋体"/>
          <w:b w:val="0"/>
          <w:bCs w:val="0"/>
          <w:sz w:val="24"/>
          <w:szCs w:val="24"/>
          <w:lang w:val="en-US" w:eastAsia="zh-CN"/>
        </w:rPr>
        <w:t>请</w:t>
      </w:r>
      <w:r>
        <w:rPr>
          <w:rFonts w:hint="eastAsia" w:ascii="宋体" w:hAnsi="宋体" w:eastAsia="宋体" w:cs="宋体"/>
          <w:b w:val="0"/>
          <w:bCs w:val="0"/>
          <w:sz w:val="24"/>
          <w:szCs w:val="24"/>
        </w:rPr>
        <w:t>提供</w:t>
      </w:r>
      <w:r>
        <w:rPr>
          <w:rFonts w:hint="eastAsia" w:ascii="宋体" w:hAnsi="宋体" w:eastAsia="宋体" w:cs="宋体"/>
          <w:b w:val="0"/>
          <w:bCs w:val="0"/>
          <w:sz w:val="24"/>
          <w:szCs w:val="24"/>
          <w:lang w:eastAsia="zh-CN"/>
        </w:rPr>
        <w:t>证明图片</w:t>
      </w:r>
      <w:r>
        <w:rPr>
          <w:rFonts w:hint="eastAsia" w:ascii="宋体" w:hAnsi="宋体" w:eastAsia="宋体" w:cs="宋体"/>
          <w:b w:val="0"/>
          <w:bCs w:val="0"/>
          <w:sz w:val="24"/>
          <w:szCs w:val="24"/>
        </w:rPr>
        <w:t>)</w:t>
      </w:r>
    </w:p>
    <w:p>
      <w:pPr>
        <w:pStyle w:val="50"/>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3.3.8</w:t>
      </w:r>
      <w:r>
        <w:rPr>
          <w:rFonts w:hint="eastAsia" w:ascii="宋体" w:hAnsi="宋体" w:eastAsia="宋体" w:cs="宋体"/>
          <w:b w:val="0"/>
          <w:bCs w:val="0"/>
          <w:sz w:val="24"/>
          <w:szCs w:val="24"/>
        </w:rPr>
        <w:t>增益调节：B/M可独立调节，TGC分段调节</w:t>
      </w:r>
      <w:r>
        <w:rPr>
          <w:rFonts w:hint="eastAsia" w:ascii="宋体" w:hAnsi="宋体" w:eastAsia="宋体" w:cs="宋体"/>
          <w:b w:val="0"/>
          <w:bCs w:val="0"/>
          <w:sz w:val="24"/>
          <w:szCs w:val="24"/>
          <w:lang w:eastAsia="zh-CN"/>
        </w:rPr>
        <w:t>。</w:t>
      </w:r>
    </w:p>
    <w:p>
      <w:pPr>
        <w:pStyle w:val="50"/>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3.3.9</w:t>
      </w:r>
      <w:r>
        <w:rPr>
          <w:rFonts w:hint="eastAsia" w:ascii="宋体" w:hAnsi="宋体" w:eastAsia="宋体" w:cs="宋体"/>
          <w:b w:val="0"/>
          <w:bCs w:val="0"/>
          <w:sz w:val="24"/>
          <w:szCs w:val="24"/>
        </w:rPr>
        <w:t>最大显示深度≥3</w:t>
      </w: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rPr>
        <w:t>cm</w:t>
      </w:r>
      <w:r>
        <w:rPr>
          <w:rFonts w:hint="eastAsia" w:ascii="宋体" w:hAnsi="宋体" w:eastAsia="宋体" w:cs="宋体"/>
          <w:b w:val="0"/>
          <w:bCs w:val="0"/>
          <w:sz w:val="24"/>
          <w:szCs w:val="24"/>
          <w:lang w:eastAsia="zh-CN"/>
        </w:rPr>
        <w:t>。</w:t>
      </w:r>
    </w:p>
    <w:p>
      <w:pPr>
        <w:pStyle w:val="50"/>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3.4</w:t>
      </w:r>
      <w:r>
        <w:rPr>
          <w:rFonts w:hint="eastAsia" w:ascii="宋体" w:hAnsi="宋体" w:eastAsia="宋体" w:cs="宋体"/>
          <w:b w:val="0"/>
          <w:bCs w:val="0"/>
          <w:sz w:val="24"/>
          <w:szCs w:val="24"/>
        </w:rPr>
        <w:t>频谱多普勒：</w:t>
      </w:r>
    </w:p>
    <w:p>
      <w:pPr>
        <w:pStyle w:val="50"/>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3.4.1</w:t>
      </w:r>
      <w:r>
        <w:rPr>
          <w:rFonts w:hint="eastAsia" w:ascii="宋体" w:hAnsi="宋体" w:eastAsia="宋体" w:cs="宋体"/>
          <w:b w:val="0"/>
          <w:bCs w:val="0"/>
          <w:sz w:val="24"/>
          <w:szCs w:val="24"/>
        </w:rPr>
        <w:t>方式：脉冲波多普勒：PWD</w:t>
      </w:r>
    </w:p>
    <w:p>
      <w:pPr>
        <w:pStyle w:val="50"/>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3.4.2</w:t>
      </w:r>
      <w:r>
        <w:rPr>
          <w:rFonts w:hint="eastAsia" w:ascii="宋体" w:hAnsi="宋体" w:eastAsia="宋体" w:cs="宋体"/>
          <w:b w:val="0"/>
          <w:bCs w:val="0"/>
          <w:sz w:val="24"/>
          <w:szCs w:val="24"/>
        </w:rPr>
        <w:t>PWD：</w:t>
      </w:r>
      <w:r>
        <w:rPr>
          <w:rFonts w:hint="eastAsia" w:ascii="宋体" w:hAnsi="宋体" w:eastAsia="宋体" w:cs="宋体"/>
          <w:b w:val="0"/>
          <w:bCs w:val="0"/>
          <w:sz w:val="24"/>
          <w:szCs w:val="24"/>
          <w:lang w:val="en-US" w:eastAsia="zh-CN"/>
        </w:rPr>
        <w:t>最高测量速度≥</w:t>
      </w:r>
      <w:r>
        <w:rPr>
          <w:rFonts w:hint="eastAsia" w:ascii="宋体" w:hAnsi="宋体" w:eastAsia="宋体" w:cs="宋体"/>
          <w:b w:val="0"/>
          <w:bCs w:val="0"/>
          <w:sz w:val="24"/>
          <w:szCs w:val="24"/>
        </w:rPr>
        <w:t>9m/s</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最低测量速度≤1mm/s(非噪声信号)</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请分别</w:t>
      </w:r>
      <w:r>
        <w:rPr>
          <w:rFonts w:hint="eastAsia" w:ascii="宋体" w:hAnsi="宋体" w:eastAsia="宋体" w:cs="宋体"/>
          <w:b w:val="0"/>
          <w:bCs w:val="0"/>
          <w:sz w:val="24"/>
          <w:szCs w:val="24"/>
        </w:rPr>
        <w:t>提供</w:t>
      </w:r>
      <w:r>
        <w:rPr>
          <w:rFonts w:hint="eastAsia" w:ascii="宋体" w:hAnsi="宋体" w:eastAsia="宋体" w:cs="宋体"/>
          <w:b w:val="0"/>
          <w:bCs w:val="0"/>
          <w:sz w:val="24"/>
          <w:szCs w:val="24"/>
          <w:lang w:eastAsia="zh-CN"/>
        </w:rPr>
        <w:t>证明图片</w:t>
      </w:r>
      <w:r>
        <w:rPr>
          <w:rFonts w:hint="eastAsia" w:ascii="宋体" w:hAnsi="宋体" w:eastAsia="宋体" w:cs="宋体"/>
          <w:b w:val="0"/>
          <w:bCs w:val="0"/>
          <w:sz w:val="24"/>
          <w:szCs w:val="24"/>
        </w:rPr>
        <w:t>)</w:t>
      </w:r>
    </w:p>
    <w:p>
      <w:pPr>
        <w:pStyle w:val="50"/>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3.4.3</w:t>
      </w:r>
      <w:r>
        <w:rPr>
          <w:rFonts w:hint="eastAsia" w:ascii="宋体" w:hAnsi="宋体" w:eastAsia="宋体" w:cs="宋体"/>
          <w:b w:val="0"/>
          <w:bCs w:val="0"/>
          <w:sz w:val="24"/>
          <w:szCs w:val="24"/>
        </w:rPr>
        <w:t>显示方式：B/PWD、B/CF+PWD</w:t>
      </w:r>
      <w:r>
        <w:rPr>
          <w:rFonts w:hint="eastAsia" w:ascii="宋体" w:hAnsi="宋体" w:eastAsia="宋体" w:cs="宋体"/>
          <w:b w:val="0"/>
          <w:bCs w:val="0"/>
          <w:sz w:val="24"/>
          <w:szCs w:val="24"/>
          <w:lang w:eastAsia="zh-CN"/>
        </w:rPr>
        <w:t>。</w:t>
      </w:r>
    </w:p>
    <w:p>
      <w:pPr>
        <w:pStyle w:val="50"/>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3.4.4</w:t>
      </w:r>
      <w:r>
        <w:rPr>
          <w:rFonts w:hint="eastAsia" w:ascii="宋体" w:hAnsi="宋体" w:eastAsia="宋体" w:cs="宋体"/>
          <w:b w:val="0"/>
          <w:bCs w:val="0"/>
          <w:sz w:val="24"/>
          <w:szCs w:val="24"/>
        </w:rPr>
        <w:t>取样宽度及位置范围：宽度</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mm至</w:t>
      </w:r>
      <w:r>
        <w:rPr>
          <w:rFonts w:hint="eastAsia" w:ascii="宋体" w:hAnsi="宋体" w:eastAsia="宋体" w:cs="宋体"/>
          <w:b w:val="0"/>
          <w:bCs w:val="0"/>
          <w:sz w:val="24"/>
          <w:szCs w:val="24"/>
          <w:lang w:val="en-US" w:eastAsia="zh-CN"/>
        </w:rPr>
        <w:t>30</w:t>
      </w:r>
      <w:r>
        <w:rPr>
          <w:rFonts w:hint="eastAsia" w:ascii="宋体" w:hAnsi="宋体" w:eastAsia="宋体" w:cs="宋体"/>
          <w:b w:val="0"/>
          <w:bCs w:val="0"/>
          <w:sz w:val="24"/>
          <w:szCs w:val="24"/>
        </w:rPr>
        <w:t>mm</w:t>
      </w:r>
      <w:r>
        <w:rPr>
          <w:rFonts w:hint="eastAsia" w:ascii="宋体" w:hAnsi="宋体" w:eastAsia="宋体" w:cs="宋体"/>
          <w:b w:val="0"/>
          <w:bCs w:val="0"/>
          <w:sz w:val="24"/>
          <w:szCs w:val="24"/>
          <w:lang w:eastAsia="zh-CN"/>
        </w:rPr>
        <w:t>。</w:t>
      </w:r>
    </w:p>
    <w:p>
      <w:pPr>
        <w:pStyle w:val="50"/>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3.4.5</w:t>
      </w:r>
      <w:r>
        <w:rPr>
          <w:rFonts w:hint="eastAsia" w:ascii="宋体" w:hAnsi="宋体" w:eastAsia="宋体" w:cs="宋体"/>
          <w:b w:val="0"/>
          <w:bCs w:val="0"/>
          <w:sz w:val="24"/>
          <w:szCs w:val="24"/>
        </w:rPr>
        <w:t>显示控制：反转显示(左/右；上/下)零移位</w:t>
      </w:r>
      <w:r>
        <w:rPr>
          <w:rFonts w:hint="eastAsia" w:ascii="宋体" w:hAnsi="宋体" w:eastAsia="宋体" w:cs="宋体"/>
          <w:b w:val="0"/>
          <w:bCs w:val="0"/>
          <w:sz w:val="24"/>
          <w:szCs w:val="24"/>
          <w:lang w:eastAsia="zh-CN"/>
        </w:rPr>
        <w:t>。</w:t>
      </w:r>
    </w:p>
    <w:p>
      <w:pPr>
        <w:pStyle w:val="50"/>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3.4.6</w:t>
      </w:r>
      <w:r>
        <w:rPr>
          <w:rFonts w:hint="eastAsia" w:ascii="宋体" w:hAnsi="宋体" w:eastAsia="宋体" w:cs="宋体"/>
          <w:b w:val="0"/>
          <w:bCs w:val="0"/>
          <w:sz w:val="24"/>
          <w:szCs w:val="24"/>
        </w:rPr>
        <w:t>频谱自动跟踪与测量</w:t>
      </w:r>
      <w:r>
        <w:rPr>
          <w:rFonts w:hint="eastAsia" w:ascii="宋体" w:hAnsi="宋体" w:eastAsia="宋体" w:cs="宋体"/>
          <w:b w:val="0"/>
          <w:bCs w:val="0"/>
          <w:sz w:val="24"/>
          <w:szCs w:val="24"/>
          <w:lang w:eastAsia="zh-CN"/>
        </w:rPr>
        <w:t>。</w:t>
      </w:r>
    </w:p>
    <w:p>
      <w:pPr>
        <w:pStyle w:val="50"/>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3.5</w:t>
      </w:r>
      <w:r>
        <w:rPr>
          <w:rFonts w:hint="eastAsia" w:ascii="宋体" w:hAnsi="宋体" w:eastAsia="宋体" w:cs="宋体"/>
          <w:b w:val="0"/>
          <w:bCs w:val="0"/>
          <w:sz w:val="24"/>
          <w:szCs w:val="24"/>
        </w:rPr>
        <w:t>彩色多普勒</w:t>
      </w:r>
      <w:r>
        <w:rPr>
          <w:rFonts w:hint="eastAsia" w:ascii="宋体" w:hAnsi="宋体" w:eastAsia="宋体" w:cs="宋体"/>
          <w:b w:val="0"/>
          <w:bCs w:val="0"/>
          <w:sz w:val="24"/>
          <w:szCs w:val="24"/>
          <w:lang w:eastAsia="zh-CN"/>
        </w:rPr>
        <w:t>：</w:t>
      </w:r>
    </w:p>
    <w:p>
      <w:pPr>
        <w:pStyle w:val="50"/>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3.5.1</w:t>
      </w:r>
      <w:r>
        <w:rPr>
          <w:rFonts w:hint="eastAsia" w:ascii="宋体" w:hAnsi="宋体" w:eastAsia="宋体" w:cs="宋体"/>
          <w:b w:val="0"/>
          <w:bCs w:val="0"/>
          <w:sz w:val="24"/>
          <w:szCs w:val="24"/>
        </w:rPr>
        <w:t>显示方式：速度方差显示、能量显示，速度显示、方差显示</w:t>
      </w:r>
      <w:r>
        <w:rPr>
          <w:rFonts w:hint="eastAsia" w:ascii="宋体" w:hAnsi="宋体" w:eastAsia="宋体" w:cs="宋体"/>
          <w:b w:val="0"/>
          <w:bCs w:val="0"/>
          <w:sz w:val="24"/>
          <w:szCs w:val="24"/>
          <w:lang w:eastAsia="zh-CN"/>
        </w:rPr>
        <w:t>。</w:t>
      </w:r>
    </w:p>
    <w:p>
      <w:pPr>
        <w:pStyle w:val="50"/>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3.5.2</w:t>
      </w:r>
      <w:r>
        <w:rPr>
          <w:rFonts w:hint="eastAsia" w:ascii="宋体" w:hAnsi="宋体" w:eastAsia="宋体" w:cs="宋体"/>
          <w:b w:val="0"/>
          <w:bCs w:val="0"/>
          <w:sz w:val="24"/>
          <w:szCs w:val="24"/>
        </w:rPr>
        <w:t>具有双同步 / 三同步显示(B/PW/CF、B/PW/PDI)</w:t>
      </w:r>
      <w:r>
        <w:rPr>
          <w:rFonts w:hint="eastAsia" w:ascii="宋体" w:hAnsi="宋体" w:eastAsia="宋体" w:cs="宋体"/>
          <w:b w:val="0"/>
          <w:bCs w:val="0"/>
          <w:sz w:val="24"/>
          <w:szCs w:val="24"/>
          <w:lang w:eastAsia="zh-CN"/>
        </w:rPr>
        <w:t>。</w:t>
      </w:r>
    </w:p>
    <w:p>
      <w:pPr>
        <w:pStyle w:val="50"/>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3.5.3</w:t>
      </w:r>
      <w:r>
        <w:rPr>
          <w:rFonts w:hint="eastAsia" w:ascii="宋体" w:hAnsi="宋体" w:eastAsia="宋体" w:cs="宋体"/>
          <w:b w:val="0"/>
          <w:bCs w:val="0"/>
          <w:sz w:val="24"/>
          <w:szCs w:val="24"/>
        </w:rPr>
        <w:t>★彩色模式下支持彩色立体血流显示功能（提供线阵探头临床图片证明）</w:t>
      </w:r>
    </w:p>
    <w:p>
      <w:pPr>
        <w:pStyle w:val="50"/>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kern w:val="2"/>
          <w:sz w:val="24"/>
          <w:szCs w:val="24"/>
          <w:lang w:val="en-US" w:eastAsia="zh-CN" w:bidi="ar-SA"/>
        </w:rPr>
        <w:t>3.5.4</w:t>
      </w:r>
      <w:r>
        <w:rPr>
          <w:rFonts w:hint="eastAsia" w:ascii="宋体" w:hAnsi="宋体" w:eastAsia="宋体" w:cs="宋体"/>
          <w:b w:val="0"/>
          <w:bCs w:val="0"/>
          <w:sz w:val="24"/>
          <w:szCs w:val="24"/>
        </w:rPr>
        <w:t>彩色显示帧频：凸阵探头、最大角度，18cm深时，彩色显示帧频≥</w:t>
      </w:r>
      <w:r>
        <w:rPr>
          <w:rFonts w:hint="eastAsia" w:ascii="宋体" w:hAnsi="宋体" w:eastAsia="宋体" w:cs="宋体"/>
          <w:b w:val="0"/>
          <w:bCs w:val="0"/>
          <w:sz w:val="24"/>
          <w:szCs w:val="24"/>
          <w:lang w:val="en-US" w:eastAsia="zh-CN"/>
        </w:rPr>
        <w:t>12</w:t>
      </w:r>
      <w:r>
        <w:rPr>
          <w:rFonts w:hint="eastAsia" w:ascii="宋体" w:hAnsi="宋体" w:eastAsia="宋体" w:cs="宋体"/>
          <w:b w:val="0"/>
          <w:bCs w:val="0"/>
          <w:sz w:val="24"/>
          <w:szCs w:val="24"/>
        </w:rPr>
        <w:t>帧/秒</w:t>
      </w:r>
      <w:r>
        <w:rPr>
          <w:rFonts w:hint="eastAsia" w:ascii="宋体" w:hAnsi="宋体" w:eastAsia="宋体" w:cs="宋体"/>
          <w:b w:val="0"/>
          <w:bCs w:val="0"/>
          <w:sz w:val="24"/>
          <w:szCs w:val="24"/>
          <w:lang w:eastAsia="zh-CN"/>
        </w:rPr>
        <w:t>。</w:t>
      </w:r>
    </w:p>
    <w:p>
      <w:pPr>
        <w:pStyle w:val="50"/>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3.5.5</w:t>
      </w:r>
      <w:r>
        <w:rPr>
          <w:rFonts w:hint="eastAsia" w:ascii="宋体" w:hAnsi="宋体" w:eastAsia="宋体" w:cs="宋体"/>
          <w:b w:val="0"/>
          <w:bCs w:val="0"/>
          <w:sz w:val="24"/>
          <w:szCs w:val="24"/>
        </w:rPr>
        <w:t>显示位置调整：线阵扫描感兴趣的图像范围：-20°～+20°</w:t>
      </w:r>
      <w:r>
        <w:rPr>
          <w:rFonts w:hint="eastAsia" w:ascii="宋体" w:hAnsi="宋体" w:eastAsia="宋体" w:cs="宋体"/>
          <w:b w:val="0"/>
          <w:bCs w:val="0"/>
          <w:sz w:val="24"/>
          <w:szCs w:val="24"/>
          <w:lang w:eastAsia="zh-CN"/>
        </w:rPr>
        <w:t>。</w:t>
      </w:r>
    </w:p>
    <w:p>
      <w:pPr>
        <w:pStyle w:val="50"/>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3.5.6</w:t>
      </w:r>
      <w:r>
        <w:rPr>
          <w:rFonts w:hint="eastAsia" w:ascii="宋体" w:hAnsi="宋体" w:eastAsia="宋体" w:cs="宋体"/>
          <w:b w:val="0"/>
          <w:bCs w:val="0"/>
          <w:sz w:val="24"/>
          <w:szCs w:val="24"/>
        </w:rPr>
        <w:t>显示控制：零位移动分12级、黑/白与彩色比较、彩色对比</w:t>
      </w:r>
      <w:r>
        <w:rPr>
          <w:rFonts w:hint="eastAsia" w:ascii="宋体" w:hAnsi="宋体" w:eastAsia="宋体" w:cs="宋体"/>
          <w:b w:val="0"/>
          <w:bCs w:val="0"/>
          <w:sz w:val="24"/>
          <w:szCs w:val="24"/>
          <w:lang w:eastAsia="zh-CN"/>
        </w:rPr>
        <w:t>。</w:t>
      </w:r>
    </w:p>
    <w:p>
      <w:pPr>
        <w:pStyle w:val="50"/>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3.5.7</w:t>
      </w:r>
      <w:r>
        <w:rPr>
          <w:rFonts w:hint="eastAsia" w:ascii="宋体" w:hAnsi="宋体" w:eastAsia="宋体" w:cs="宋体"/>
          <w:b w:val="0"/>
          <w:bCs w:val="0"/>
          <w:sz w:val="24"/>
          <w:szCs w:val="24"/>
        </w:rPr>
        <w:t>彩色多普勒能量图，彩色方向性能量图</w:t>
      </w:r>
      <w:r>
        <w:rPr>
          <w:rFonts w:hint="eastAsia" w:ascii="宋体" w:hAnsi="宋体" w:eastAsia="宋体" w:cs="宋体"/>
          <w:b w:val="0"/>
          <w:bCs w:val="0"/>
          <w:sz w:val="24"/>
          <w:szCs w:val="24"/>
          <w:lang w:eastAsia="zh-CN"/>
        </w:rPr>
        <w:t>。</w:t>
      </w:r>
    </w:p>
    <w:p>
      <w:pPr>
        <w:pStyle w:val="50"/>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3.5.8</w:t>
      </w:r>
      <w:r>
        <w:rPr>
          <w:rFonts w:hint="eastAsia" w:ascii="宋体" w:hAnsi="宋体" w:eastAsia="宋体" w:cs="宋体"/>
          <w:b w:val="0"/>
          <w:bCs w:val="0"/>
          <w:sz w:val="24"/>
          <w:szCs w:val="24"/>
        </w:rPr>
        <w:t>彩色显示速度：最低平均血流显示速度≤1cm/s（非噪声信号）</w:t>
      </w:r>
      <w:r>
        <w:rPr>
          <w:rFonts w:hint="eastAsia" w:ascii="宋体" w:hAnsi="宋体" w:eastAsia="宋体" w:cs="宋体"/>
          <w:b w:val="0"/>
          <w:bCs w:val="0"/>
          <w:sz w:val="24"/>
          <w:szCs w:val="24"/>
          <w:lang w:eastAsia="zh-CN"/>
        </w:rPr>
        <w:t>。</w:t>
      </w:r>
    </w:p>
    <w:p>
      <w:pPr>
        <w:pStyle w:val="5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四</w:t>
      </w:r>
      <w:r>
        <w:rPr>
          <w:rFonts w:hint="eastAsia" w:ascii="宋体" w:hAnsi="宋体" w:eastAsia="宋体" w:cs="宋体"/>
          <w:b w:val="0"/>
          <w:bCs w:val="0"/>
          <w:sz w:val="24"/>
          <w:szCs w:val="24"/>
        </w:rPr>
        <w:t>.备件、资料及其它</w:t>
      </w:r>
      <w:r>
        <w:rPr>
          <w:rFonts w:hint="eastAsia" w:ascii="宋体" w:hAnsi="宋体" w:eastAsia="宋体" w:cs="宋体"/>
          <w:b w:val="0"/>
          <w:bCs w:val="0"/>
          <w:sz w:val="24"/>
          <w:szCs w:val="24"/>
          <w:lang w:eastAsia="zh-CN"/>
        </w:rPr>
        <w:t>。</w:t>
      </w:r>
    </w:p>
    <w:p>
      <w:pPr>
        <w:pStyle w:val="50"/>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4.1</w:t>
      </w:r>
      <w:r>
        <w:rPr>
          <w:rFonts w:hint="eastAsia" w:ascii="宋体" w:hAnsi="宋体" w:eastAsia="宋体" w:cs="宋体"/>
          <w:b w:val="0"/>
          <w:bCs w:val="0"/>
          <w:sz w:val="24"/>
          <w:szCs w:val="24"/>
        </w:rPr>
        <w:t>备件：为保证设备正常运行，卖方存入所有必须的备件，并保证10年以上的供应期。</w:t>
      </w:r>
    </w:p>
    <w:p>
      <w:pPr>
        <w:pStyle w:val="50"/>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4.2</w:t>
      </w:r>
      <w:r>
        <w:rPr>
          <w:rFonts w:hint="eastAsia" w:ascii="宋体" w:hAnsi="宋体" w:eastAsia="宋体" w:cs="宋体"/>
          <w:b w:val="0"/>
          <w:bCs w:val="0"/>
          <w:sz w:val="24"/>
          <w:szCs w:val="24"/>
        </w:rPr>
        <w:t>资料</w:t>
      </w:r>
      <w:r>
        <w:rPr>
          <w:rFonts w:hint="eastAsia" w:ascii="宋体" w:hAnsi="宋体" w:eastAsia="宋体" w:cs="宋体"/>
          <w:b w:val="0"/>
          <w:bCs w:val="0"/>
          <w:sz w:val="24"/>
          <w:szCs w:val="24"/>
          <w:lang w:eastAsia="zh-CN"/>
        </w:rPr>
        <w:t>。</w:t>
      </w:r>
    </w:p>
    <w:p>
      <w:pPr>
        <w:pStyle w:val="50"/>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4.2.1</w:t>
      </w:r>
      <w:r>
        <w:rPr>
          <w:rFonts w:hint="eastAsia" w:ascii="宋体" w:hAnsi="宋体" w:eastAsia="宋体" w:cs="宋体"/>
          <w:b w:val="0"/>
          <w:bCs w:val="0"/>
          <w:sz w:val="24"/>
          <w:szCs w:val="24"/>
        </w:rPr>
        <w:t>卖方须向买方提供操作手册一套。</w:t>
      </w:r>
    </w:p>
    <w:p>
      <w:pPr>
        <w:pStyle w:val="50"/>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4.2.2</w:t>
      </w:r>
      <w:r>
        <w:rPr>
          <w:rFonts w:hint="eastAsia" w:ascii="宋体" w:hAnsi="宋体" w:eastAsia="宋体" w:cs="宋体"/>
          <w:b w:val="0"/>
          <w:bCs w:val="0"/>
          <w:sz w:val="24"/>
          <w:szCs w:val="24"/>
        </w:rPr>
        <w:t>卖方须向买方提供设备的运行、安装、使用环境要求。</w:t>
      </w:r>
    </w:p>
    <w:p>
      <w:pPr>
        <w:pStyle w:val="50"/>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4.3</w:t>
      </w:r>
      <w:r>
        <w:rPr>
          <w:rFonts w:hint="eastAsia" w:ascii="宋体" w:hAnsi="宋体" w:eastAsia="宋体" w:cs="宋体"/>
          <w:b w:val="0"/>
          <w:bCs w:val="0"/>
          <w:sz w:val="24"/>
          <w:szCs w:val="24"/>
        </w:rPr>
        <w:t>技术服务</w:t>
      </w:r>
      <w:r>
        <w:rPr>
          <w:rFonts w:hint="eastAsia" w:ascii="宋体" w:hAnsi="宋体" w:eastAsia="宋体" w:cs="宋体"/>
          <w:b w:val="0"/>
          <w:bCs w:val="0"/>
          <w:sz w:val="24"/>
          <w:szCs w:val="24"/>
          <w:lang w:eastAsia="zh-CN"/>
        </w:rPr>
        <w:t>。</w:t>
      </w:r>
    </w:p>
    <w:p>
      <w:pPr>
        <w:pStyle w:val="50"/>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4.3.1</w:t>
      </w:r>
      <w:r>
        <w:rPr>
          <w:rFonts w:hint="eastAsia" w:ascii="宋体" w:hAnsi="宋体" w:eastAsia="宋体" w:cs="宋体"/>
          <w:b w:val="0"/>
          <w:bCs w:val="0"/>
          <w:sz w:val="24"/>
          <w:szCs w:val="24"/>
        </w:rPr>
        <w:t>设备安装后，医院按国际和国家标准及厂方标准进行质量验收。买方有权委托中国有资格的单位对上述仪器进行精度校核。</w:t>
      </w:r>
    </w:p>
    <w:p>
      <w:pPr>
        <w:pStyle w:val="50"/>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4.3.2</w:t>
      </w:r>
      <w:r>
        <w:rPr>
          <w:rFonts w:hint="eastAsia" w:ascii="宋体" w:hAnsi="宋体" w:eastAsia="宋体" w:cs="宋体"/>
          <w:b w:val="0"/>
          <w:bCs w:val="0"/>
          <w:sz w:val="24"/>
          <w:szCs w:val="24"/>
        </w:rPr>
        <w:t>★</w:t>
      </w:r>
      <w:r>
        <w:rPr>
          <w:rFonts w:hint="eastAsia" w:ascii="宋体" w:hAnsi="宋体" w:eastAsia="宋体" w:cs="宋体"/>
          <w:b w:val="0"/>
          <w:bCs w:val="0"/>
          <w:kern w:val="0"/>
          <w:sz w:val="24"/>
          <w:szCs w:val="24"/>
        </w:rPr>
        <w:t>投标</w:t>
      </w:r>
      <w:r>
        <w:rPr>
          <w:rFonts w:hint="eastAsia" w:ascii="宋体" w:hAnsi="宋体" w:eastAsia="宋体" w:cs="宋体"/>
          <w:b w:val="0"/>
          <w:bCs w:val="0"/>
          <w:sz w:val="24"/>
          <w:szCs w:val="24"/>
        </w:rPr>
        <w:t>设备</w:t>
      </w:r>
      <w:r>
        <w:rPr>
          <w:rFonts w:hint="eastAsia" w:ascii="宋体" w:hAnsi="宋体" w:eastAsia="宋体" w:cs="宋体"/>
          <w:b w:val="0"/>
          <w:bCs w:val="0"/>
          <w:sz w:val="24"/>
          <w:szCs w:val="24"/>
          <w:lang w:val="en-US" w:eastAsia="zh-CN"/>
        </w:rPr>
        <w:t>具备</w:t>
      </w:r>
      <w:r>
        <w:rPr>
          <w:rFonts w:hint="eastAsia" w:ascii="宋体" w:hAnsi="宋体" w:eastAsia="宋体" w:cs="宋体"/>
          <w:b w:val="0"/>
          <w:bCs w:val="0"/>
          <w:sz w:val="24"/>
          <w:szCs w:val="24"/>
        </w:rPr>
        <w:t>远程会诊</w:t>
      </w:r>
      <w:r>
        <w:rPr>
          <w:rFonts w:hint="eastAsia" w:ascii="宋体" w:hAnsi="宋体" w:eastAsia="宋体" w:cs="宋体"/>
          <w:b w:val="0"/>
          <w:bCs w:val="0"/>
          <w:sz w:val="24"/>
          <w:szCs w:val="24"/>
          <w:lang w:val="en-US" w:eastAsia="zh-CN"/>
        </w:rPr>
        <w:t>功能，支持电脑PC端和手机APP终端，电脑PC端可完全还原测量和注释工具包；手机APP端可实现实时超声图像显示及在线语音交流功能。</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请分别提供图片证明</w:t>
      </w:r>
      <w:r>
        <w:rPr>
          <w:rFonts w:hint="eastAsia" w:ascii="宋体" w:hAnsi="宋体" w:eastAsia="宋体" w:cs="宋体"/>
          <w:b w:val="0"/>
          <w:bCs w:val="0"/>
          <w:sz w:val="24"/>
          <w:szCs w:val="24"/>
          <w:lang w:eastAsia="zh-CN"/>
        </w:rPr>
        <w:t>）。可进行远程维护等操作：远程系统软件更新、故障在线求助等功能，用户可在云端下载最新系统软件版本自动升级（提供证明</w:t>
      </w:r>
      <w:r>
        <w:rPr>
          <w:rFonts w:hint="eastAsia" w:ascii="宋体" w:hAnsi="宋体" w:eastAsia="宋体" w:cs="宋体"/>
          <w:b w:val="0"/>
          <w:bCs w:val="0"/>
          <w:sz w:val="24"/>
          <w:szCs w:val="24"/>
          <w:lang w:val="en-US" w:eastAsia="zh-CN"/>
        </w:rPr>
        <w:t>图片</w:t>
      </w:r>
      <w:r>
        <w:rPr>
          <w:rFonts w:hint="eastAsia" w:ascii="宋体" w:hAnsi="宋体" w:eastAsia="宋体" w:cs="宋体"/>
          <w:b w:val="0"/>
          <w:bCs w:val="0"/>
          <w:sz w:val="24"/>
          <w:szCs w:val="24"/>
          <w:lang w:eastAsia="zh-CN"/>
        </w:rPr>
        <w:t>）。患者</w:t>
      </w:r>
      <w:r>
        <w:rPr>
          <w:rFonts w:hint="eastAsia" w:ascii="宋体" w:hAnsi="宋体" w:eastAsia="宋体" w:cs="宋体"/>
          <w:b w:val="0"/>
          <w:bCs w:val="0"/>
          <w:sz w:val="24"/>
          <w:szCs w:val="24"/>
          <w:lang w:val="en-US" w:eastAsia="zh-CN"/>
        </w:rPr>
        <w:t>可通过</w:t>
      </w:r>
      <w:r>
        <w:rPr>
          <w:rFonts w:hint="eastAsia" w:ascii="宋体" w:hAnsi="宋体" w:eastAsia="宋体" w:cs="宋体"/>
          <w:b w:val="0"/>
          <w:bCs w:val="0"/>
          <w:sz w:val="24"/>
          <w:szCs w:val="24"/>
          <w:lang w:eastAsia="zh-CN"/>
        </w:rPr>
        <w:t>二维码，</w:t>
      </w:r>
      <w:r>
        <w:rPr>
          <w:rFonts w:hint="eastAsia" w:ascii="宋体" w:hAnsi="宋体" w:eastAsia="宋体" w:cs="宋体"/>
          <w:b w:val="0"/>
          <w:bCs w:val="0"/>
          <w:sz w:val="24"/>
          <w:szCs w:val="24"/>
          <w:lang w:val="en-US" w:eastAsia="zh-CN"/>
        </w:rPr>
        <w:t>随时翻阅网络上的</w:t>
      </w:r>
      <w:r>
        <w:rPr>
          <w:rFonts w:hint="eastAsia" w:ascii="宋体" w:hAnsi="宋体" w:eastAsia="宋体" w:cs="宋体"/>
          <w:b w:val="0"/>
          <w:bCs w:val="0"/>
          <w:sz w:val="24"/>
          <w:szCs w:val="24"/>
          <w:lang w:eastAsia="zh-CN"/>
        </w:rPr>
        <w:t>检查</w:t>
      </w:r>
      <w:r>
        <w:rPr>
          <w:rFonts w:hint="eastAsia" w:ascii="宋体" w:hAnsi="宋体" w:eastAsia="宋体" w:cs="宋体"/>
          <w:b w:val="0"/>
          <w:bCs w:val="0"/>
          <w:sz w:val="24"/>
          <w:szCs w:val="24"/>
          <w:lang w:val="en-US" w:eastAsia="zh-CN"/>
        </w:rPr>
        <w:t>超声</w:t>
      </w:r>
      <w:r>
        <w:rPr>
          <w:rFonts w:hint="eastAsia" w:ascii="宋体" w:hAnsi="宋体" w:eastAsia="宋体" w:cs="宋体"/>
          <w:b w:val="0"/>
          <w:bCs w:val="0"/>
          <w:sz w:val="24"/>
          <w:szCs w:val="24"/>
          <w:lang w:eastAsia="zh-CN"/>
        </w:rPr>
        <w:t>图像和诊断报告</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lang w:eastAsia="zh-CN"/>
        </w:rPr>
        <w:t>（提供二维码图片证明）</w:t>
      </w:r>
    </w:p>
    <w:p>
      <w:pPr>
        <w:pStyle w:val="50"/>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4.3.3</w:t>
      </w:r>
      <w:r>
        <w:rPr>
          <w:rFonts w:hint="eastAsia" w:ascii="宋体" w:hAnsi="宋体" w:eastAsia="宋体" w:cs="宋体"/>
          <w:b w:val="0"/>
          <w:bCs w:val="0"/>
          <w:sz w:val="24"/>
          <w:szCs w:val="24"/>
        </w:rPr>
        <w:t>★</w:t>
      </w:r>
      <w:r>
        <w:rPr>
          <w:rFonts w:hint="eastAsia" w:ascii="宋体" w:hAnsi="宋体" w:eastAsia="宋体" w:cs="宋体"/>
          <w:b w:val="0"/>
          <w:bCs w:val="0"/>
          <w:kern w:val="0"/>
          <w:sz w:val="24"/>
          <w:szCs w:val="24"/>
        </w:rPr>
        <w:t>投标</w:t>
      </w:r>
      <w:r>
        <w:rPr>
          <w:rFonts w:hint="eastAsia" w:ascii="宋体" w:hAnsi="宋体" w:eastAsia="宋体" w:cs="宋体"/>
          <w:b w:val="0"/>
          <w:bCs w:val="0"/>
          <w:sz w:val="24"/>
          <w:szCs w:val="24"/>
        </w:rPr>
        <w:t>设备</w:t>
      </w:r>
      <w:r>
        <w:rPr>
          <w:rFonts w:hint="eastAsia" w:ascii="宋体" w:hAnsi="宋体" w:eastAsia="宋体" w:cs="宋体"/>
          <w:b w:val="0"/>
          <w:bCs w:val="0"/>
          <w:sz w:val="24"/>
          <w:szCs w:val="24"/>
          <w:lang w:val="en-US" w:eastAsia="zh-CN"/>
        </w:rPr>
        <w:t>具备</w:t>
      </w:r>
      <w:r>
        <w:rPr>
          <w:rFonts w:hint="eastAsia" w:ascii="宋体" w:hAnsi="宋体" w:eastAsia="宋体" w:cs="宋体"/>
          <w:b w:val="0"/>
          <w:bCs w:val="0"/>
          <w:sz w:val="24"/>
          <w:szCs w:val="24"/>
        </w:rPr>
        <w:t>在线教学</w:t>
      </w:r>
      <w:r>
        <w:rPr>
          <w:rFonts w:hint="eastAsia" w:ascii="宋体" w:hAnsi="宋体" w:eastAsia="宋体" w:cs="宋体"/>
          <w:b w:val="0"/>
          <w:bCs w:val="0"/>
          <w:sz w:val="24"/>
          <w:szCs w:val="24"/>
          <w:lang w:val="en-US" w:eastAsia="zh-CN"/>
        </w:rPr>
        <w:t>功能，触摸屏及显示器可同步显示扫查示意图及超声声像图，另显示器所展示的教学画面可进行放大缩小调节</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请分别提供图片证明</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并</w:t>
      </w:r>
      <w:r>
        <w:rPr>
          <w:rFonts w:hint="eastAsia" w:ascii="宋体" w:hAnsi="宋体" w:eastAsia="宋体" w:cs="宋体"/>
          <w:b w:val="0"/>
          <w:bCs w:val="0"/>
          <w:sz w:val="24"/>
          <w:szCs w:val="24"/>
        </w:rPr>
        <w:t>具备持续升级能力，能满足开展新的临床应用需求</w:t>
      </w:r>
    </w:p>
    <w:p>
      <w:pPr>
        <w:rPr>
          <w:rFonts w:hint="eastAsia" w:ascii="宋体" w:hAnsi="宋体" w:eastAsia="宋体" w:cs="宋体"/>
          <w:color w:val="000000" w:themeColor="text1"/>
          <w:sz w:val="24"/>
          <w:szCs w:val="24"/>
          <w:lang w:val="en-US" w:eastAsia="zh-CN"/>
          <w14:textFill>
            <w14:solidFill>
              <w14:schemeClr w14:val="tx1"/>
            </w14:solidFill>
          </w14:textFill>
        </w:rPr>
      </w:pPr>
      <w:bookmarkStart w:id="44" w:name="_Toc19500"/>
      <w:r>
        <w:rPr>
          <w:rFonts w:hint="eastAsia" w:ascii="宋体" w:hAnsi="宋体" w:eastAsia="宋体" w:cs="宋体"/>
          <w:color w:val="000000" w:themeColor="text1"/>
          <w:sz w:val="24"/>
          <w:szCs w:val="24"/>
          <w:lang w:val="en-US" w:eastAsia="zh-CN"/>
          <w14:textFill>
            <w14:solidFill>
              <w14:schemeClr w14:val="tx1"/>
            </w14:solidFill>
          </w14:textFill>
        </w:rPr>
        <w:br w:type="page"/>
      </w:r>
    </w:p>
    <w:p>
      <w:pPr>
        <w:pStyle w:val="2"/>
        <w:pageBreakBefore w:val="0"/>
        <w:kinsoku/>
        <w:wordWrap/>
        <w:overflowPunct/>
        <w:topLinePunct w:val="0"/>
        <w:autoSpaceDE/>
        <w:autoSpaceDN/>
        <w:bidi w:val="0"/>
        <w:spacing w:line="360" w:lineRule="auto"/>
        <w:ind w:firstLine="482" w:firstLineChars="20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附件6：</w:t>
      </w:r>
      <w:bookmarkEnd w:id="44"/>
      <w:r>
        <w:rPr>
          <w:rFonts w:hint="eastAsia" w:ascii="宋体" w:hAnsi="宋体" w:eastAsia="宋体" w:cs="宋体"/>
          <w:color w:val="000000" w:themeColor="text1"/>
          <w:sz w:val="24"/>
          <w:szCs w:val="24"/>
          <w:lang w:val="en-US" w:eastAsia="zh-CN"/>
          <w14:textFill>
            <w14:solidFill>
              <w14:schemeClr w14:val="tx1"/>
            </w14:solidFill>
          </w14:textFill>
        </w:rPr>
        <w:t>台式彩色多普勒仪</w:t>
      </w:r>
    </w:p>
    <w:p>
      <w:pPr>
        <w:pStyle w:val="3"/>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用途：</w:t>
      </w:r>
      <w:bookmarkStart w:id="45" w:name="_Hlk111555523"/>
      <w:r>
        <w:rPr>
          <w:rFonts w:hint="eastAsia" w:ascii="宋体" w:hAnsi="宋体" w:eastAsia="宋体" w:cs="宋体"/>
          <w:b w:val="0"/>
          <w:bCs w:val="0"/>
          <w:color w:val="000000" w:themeColor="text1"/>
          <w:sz w:val="24"/>
          <w:szCs w:val="24"/>
          <w14:textFill>
            <w14:solidFill>
              <w14:schemeClr w14:val="tx1"/>
            </w14:solidFill>
          </w14:textFill>
        </w:rPr>
        <w:t>主要用于腹部、产科、妇科、心脏、小器官、血管、泌尿、儿科、神经、急症等方面的临床诊断工作</w:t>
      </w:r>
      <w:bookmarkEnd w:id="45"/>
      <w:r>
        <w:rPr>
          <w:rFonts w:hint="eastAsia" w:ascii="宋体" w:hAnsi="宋体" w:eastAsia="宋体" w:cs="宋体"/>
          <w:b w:val="0"/>
          <w:bCs w:val="0"/>
          <w:color w:val="000000" w:themeColor="text1"/>
          <w:sz w:val="24"/>
          <w:szCs w:val="24"/>
          <w14:textFill>
            <w14:solidFill>
              <w14:schemeClr w14:val="tx1"/>
            </w14:solidFill>
          </w14:textFill>
        </w:rPr>
        <w:t>，具备持续升级能力，能满足开展新的临床应用需求。</w:t>
      </w:r>
    </w:p>
    <w:p>
      <w:pPr>
        <w:pStyle w:val="3"/>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高分辨率液晶显示器≥21英寸，屏幕亮度和对比度数字可调，显示器亮度可根据环境光自动调节，可上下左右任意旋转，可前后折叠</w:t>
      </w:r>
    </w:p>
    <w:p>
      <w:pPr>
        <w:pStyle w:val="3"/>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操作面板具备防眩光彩色触摸屏≥13英寸。触摸屏可独立调节角度≥</w:t>
      </w:r>
      <w:r>
        <w:rPr>
          <w:rFonts w:hint="eastAsia" w:ascii="宋体" w:hAnsi="宋体" w:eastAsia="宋体" w:cs="宋体"/>
          <w:b w:val="0"/>
          <w:bCs w:val="0"/>
          <w:color w:val="000000" w:themeColor="text1"/>
          <w:sz w:val="24"/>
          <w:szCs w:val="24"/>
          <w:lang w:val="en-US" w:eastAsia="zh-CN"/>
          <w14:textFill>
            <w14:solidFill>
              <w14:schemeClr w14:val="tx1"/>
            </w14:solidFill>
          </w14:textFill>
        </w:rPr>
        <w:t>40</w:t>
      </w:r>
      <w:r>
        <w:rPr>
          <w:rFonts w:hint="eastAsia" w:ascii="宋体" w:hAnsi="宋体" w:eastAsia="宋体" w:cs="宋体"/>
          <w:b w:val="0"/>
          <w:bCs w:val="0"/>
          <w:color w:val="000000" w:themeColor="text1"/>
          <w:sz w:val="24"/>
          <w:szCs w:val="24"/>
          <w14:textFill>
            <w14:solidFill>
              <w14:schemeClr w14:val="tx1"/>
            </w14:solidFill>
          </w14:textFill>
        </w:rPr>
        <w:t>度</w:t>
      </w:r>
    </w:p>
    <w:p>
      <w:pPr>
        <w:pStyle w:val="3"/>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触摸屏支持手势控制，可自定义≥7个双指手势功能（如冻结、存图、打印等）</w:t>
      </w:r>
    </w:p>
    <w:p>
      <w:pPr>
        <w:pStyle w:val="3"/>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控制面板全空间悬浮式调节，可同时旋转和升降，前后拉升。旋转角度 ≥180度，上下移动≥30cm</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提供主机证明图片</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pStyle w:val="3"/>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多倍信号并行处理技术</w:t>
      </w:r>
    </w:p>
    <w:p>
      <w:pPr>
        <w:pStyle w:val="3"/>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数字化全程动态聚焦，数字化可变孔径及动态变迹，A/D≥12 bit</w:t>
      </w:r>
    </w:p>
    <w:p>
      <w:pPr>
        <w:pStyle w:val="3"/>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数字化二维灰阶成像及M型显像单元</w:t>
      </w:r>
    </w:p>
    <w:p>
      <w:pPr>
        <w:pStyle w:val="3"/>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解剖M型技术≥3条取样线，可360度任意旋转，可在实时和冻结的二维图像上获取解剖M图像。</w:t>
      </w:r>
    </w:p>
    <w:p>
      <w:pPr>
        <w:pStyle w:val="3"/>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曲线解剖M型技术</w:t>
      </w:r>
    </w:p>
    <w:p>
      <w:pPr>
        <w:pStyle w:val="3"/>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彩色多普勒成像技术</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彩色多普勒能量图技术</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方向性能量图技术</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数字化频谱多普勒显示和分析单元(包括PW、CW和HPRF)</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智能化一键图像优化技术，自动连续优化图像，具备独立按键。可支持对二维灰阶、彩色多普勒、频谱多普勒、及造影图像的优化。</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空间复合成像技术，支持彩色多普勒模式</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斑点噪声抑制技术，在二维图像，造影成像模式及三维成像下可支持≥7档调节。</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具备自动血流跟踪技术，可以实现ROI框位置和角度的自动优化，提供Color/Power模式下彩色血流/能量图像的实时动态优化</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穿刺针增强技术，凸阵和线阵探头均可支持，具有双屏实时对比显示（增强前后效果），并支持自适应校正角度</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提供证明图片</w:t>
      </w:r>
      <w:r>
        <w:rPr>
          <w:rFonts w:hint="eastAsia" w:ascii="宋体" w:hAnsi="宋体" w:eastAsia="宋体" w:cs="宋体"/>
          <w:color w:val="000000" w:themeColor="text1"/>
          <w:sz w:val="24"/>
          <w:szCs w:val="24"/>
          <w:lang w:eastAsia="zh-CN"/>
          <w14:textFill>
            <w14:solidFill>
              <w14:schemeClr w14:val="tx1"/>
            </w14:solidFill>
          </w14:textFill>
        </w:rPr>
        <w:t>）</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图像放大，支持高清放大和全局放大、局部放大，放大倍数≥16倍;支持≥2种放大全屏放大模式。</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支持线阵探头双B图像拼接</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声功率可调，可实时显示MI/TI（TIB，TIC，TIS）</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具备腹部、妇科、产科、浅表、心脏模式自动工作流协议，支持定制化模板，在检查过程中可按照协议自动注释，自动标记体位图，自动切换图像模式等</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支持语音注释，可将语音注释信息保存到电影文件中，支持在超声设备或是在PC端回放语音注释</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血管硬度分析，实时跟踪血管上下壁运动并显示血管壁的运动曲线，自动检测颈动脉弹性和血管硬度，通过射频数据计算血管直径的变化，计算脉搏波速度以评估血管弹性。</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提供技术白皮书及证明图片</w:t>
      </w:r>
      <w:r>
        <w:rPr>
          <w:rFonts w:hint="eastAsia" w:ascii="宋体" w:hAnsi="宋体" w:eastAsia="宋体" w:cs="宋体"/>
          <w:color w:val="000000" w:themeColor="text1"/>
          <w:sz w:val="24"/>
          <w:szCs w:val="24"/>
          <w:lang w:eastAsia="zh-CN"/>
          <w14:textFill>
            <w14:solidFill>
              <w14:schemeClr w14:val="tx1"/>
            </w14:solidFill>
          </w14:textFill>
        </w:rPr>
        <w:t>）</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支持内置电池，可在不接电源的情况下可进行正常的超声扫查。连续工作时间≥60分钟。（非外接UPS电源）</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支持超声远程会诊系统，该系统需具备单独远程超声会诊系统注册证及信息安全等级保护三级证书</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提供注册证明</w:t>
      </w:r>
      <w:r>
        <w:rPr>
          <w:rFonts w:hint="eastAsia" w:ascii="宋体" w:hAnsi="宋体" w:eastAsia="宋体" w:cs="宋体"/>
          <w:color w:val="000000" w:themeColor="text1"/>
          <w:sz w:val="24"/>
          <w:szCs w:val="24"/>
          <w:lang w:eastAsia="zh-CN"/>
          <w14:textFill>
            <w14:solidFill>
              <w14:schemeClr w14:val="tx1"/>
            </w14:solidFill>
          </w14:textFill>
        </w:rPr>
        <w:t>）</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要求所投机型为2022年及以后推出最新机型（以NMPA首次注册证书为准）并具备持续升级能力。</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提供注册文件</w:t>
      </w:r>
      <w:r>
        <w:rPr>
          <w:rFonts w:hint="eastAsia" w:ascii="宋体" w:hAnsi="宋体" w:eastAsia="宋体" w:cs="宋体"/>
          <w:color w:val="000000" w:themeColor="text1"/>
          <w:sz w:val="24"/>
          <w:szCs w:val="24"/>
          <w:lang w:eastAsia="zh-CN"/>
          <w14:textFill>
            <w14:solidFill>
              <w14:schemeClr w14:val="tx1"/>
            </w14:solidFill>
          </w14:textFill>
        </w:rPr>
        <w:t>）</w:t>
      </w:r>
    </w:p>
    <w:p>
      <w:pPr>
        <w:pStyle w:val="3"/>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先进成像技术：</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造影成像技术及造影定量分析功能</w:t>
      </w:r>
    </w:p>
    <w:p>
      <w:pPr>
        <w:pageBreakBefore w:val="0"/>
        <w:numPr>
          <w:ilvl w:val="0"/>
          <w:numId w:val="8"/>
        </w:numPr>
        <w:kinsoku/>
        <w:wordWrap/>
        <w:overflowPunct/>
        <w:topLinePunct w:val="0"/>
        <w:autoSpaceDE/>
        <w:autoSpaceDN/>
        <w:bidi w:val="0"/>
        <w:spacing w:line="360" w:lineRule="auto"/>
        <w:ind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可支持多种探头：凸阵探头、线阵探头，腔内探头，心脏探头</w:t>
      </w:r>
    </w:p>
    <w:p>
      <w:pPr>
        <w:pageBreakBefore w:val="0"/>
        <w:numPr>
          <w:ilvl w:val="0"/>
          <w:numId w:val="8"/>
        </w:numPr>
        <w:kinsoku/>
        <w:wordWrap/>
        <w:overflowPunct/>
        <w:topLinePunct w:val="0"/>
        <w:autoSpaceDE/>
        <w:autoSpaceDN/>
        <w:bidi w:val="0"/>
        <w:spacing w:line="360" w:lineRule="auto"/>
        <w:ind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支持微血管造影增强功能</w:t>
      </w:r>
    </w:p>
    <w:p>
      <w:pPr>
        <w:pageBreakBefore w:val="0"/>
        <w:numPr>
          <w:ilvl w:val="0"/>
          <w:numId w:val="8"/>
        </w:numPr>
        <w:kinsoku/>
        <w:wordWrap/>
        <w:overflowPunct/>
        <w:topLinePunct w:val="0"/>
        <w:autoSpaceDE/>
        <w:autoSpaceDN/>
        <w:bidi w:val="0"/>
        <w:spacing w:line="360" w:lineRule="auto"/>
        <w:ind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双计时器</w:t>
      </w:r>
    </w:p>
    <w:p>
      <w:pPr>
        <w:pageBreakBefore w:val="0"/>
        <w:numPr>
          <w:ilvl w:val="0"/>
          <w:numId w:val="8"/>
        </w:numPr>
        <w:kinsoku/>
        <w:wordWrap/>
        <w:overflowPunct/>
        <w:topLinePunct w:val="0"/>
        <w:autoSpaceDE/>
        <w:autoSpaceDN/>
        <w:bidi w:val="0"/>
        <w:spacing w:line="360" w:lineRule="auto"/>
        <w:ind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支持向后存储，≥6分钟电影；支持向前存储</w:t>
      </w:r>
    </w:p>
    <w:p>
      <w:pPr>
        <w:pageBreakBefore w:val="0"/>
        <w:numPr>
          <w:ilvl w:val="0"/>
          <w:numId w:val="8"/>
        </w:numPr>
        <w:kinsoku/>
        <w:wordWrap/>
        <w:overflowPunct/>
        <w:topLinePunct w:val="0"/>
        <w:autoSpaceDE/>
        <w:autoSpaceDN/>
        <w:bidi w:val="0"/>
        <w:spacing w:line="360" w:lineRule="auto"/>
        <w:ind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具备混合模式</w:t>
      </w:r>
    </w:p>
    <w:p>
      <w:pPr>
        <w:pageBreakBefore w:val="0"/>
        <w:numPr>
          <w:ilvl w:val="0"/>
          <w:numId w:val="8"/>
        </w:numPr>
        <w:kinsoku/>
        <w:wordWrap/>
        <w:overflowPunct/>
        <w:topLinePunct w:val="0"/>
        <w:autoSpaceDE/>
        <w:autoSpaceDN/>
        <w:bidi w:val="0"/>
        <w:spacing w:line="360" w:lineRule="auto"/>
        <w:ind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支持造影图像和组织图像位置互换</w:t>
      </w:r>
    </w:p>
    <w:p>
      <w:pPr>
        <w:pageBreakBefore w:val="0"/>
        <w:numPr>
          <w:ilvl w:val="0"/>
          <w:numId w:val="8"/>
        </w:numPr>
        <w:kinsoku/>
        <w:wordWrap/>
        <w:overflowPunct/>
        <w:topLinePunct w:val="0"/>
        <w:autoSpaceDE/>
        <w:autoSpaceDN/>
        <w:bidi w:val="0"/>
        <w:spacing w:line="360" w:lineRule="auto"/>
        <w:ind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造影定量分析：取样点可跟踪感兴趣区运动、提供TIC时间强度曲线分析、可选择原始曲线和拟合曲线、具有表格报告分析</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提供证明图片及技术白皮书</w:t>
      </w:r>
      <w:r>
        <w:rPr>
          <w:rFonts w:hint="eastAsia" w:ascii="宋体" w:hAnsi="宋体" w:eastAsia="宋体" w:cs="宋体"/>
          <w:color w:val="000000" w:themeColor="text1"/>
          <w:sz w:val="24"/>
          <w:szCs w:val="24"/>
          <w:lang w:eastAsia="zh-CN"/>
          <w14:textFill>
            <w14:solidFill>
              <w14:schemeClr w14:val="tx1"/>
            </w14:solidFill>
          </w14:textFill>
        </w:rPr>
        <w:t>）</w:t>
      </w:r>
    </w:p>
    <w:p>
      <w:pPr>
        <w:pageBreakBefore w:val="0"/>
        <w:numPr>
          <w:ilvl w:val="0"/>
          <w:numId w:val="8"/>
        </w:numPr>
        <w:kinsoku/>
        <w:wordWrap/>
        <w:overflowPunct/>
        <w:topLinePunct w:val="0"/>
        <w:autoSpaceDE/>
        <w:autoSpaceDN/>
        <w:bidi w:val="0"/>
        <w:spacing w:line="360" w:lineRule="auto"/>
        <w:ind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支持容积造影功能，可以支持3D/4D输卵管造影及妇科造影</w:t>
      </w:r>
    </w:p>
    <w:p>
      <w:pPr>
        <w:pageBreakBefore w:val="0"/>
        <w:numPr>
          <w:ilvl w:val="0"/>
          <w:numId w:val="8"/>
        </w:numPr>
        <w:kinsoku/>
        <w:wordWrap/>
        <w:overflowPunct/>
        <w:topLinePunct w:val="0"/>
        <w:autoSpaceDE/>
        <w:autoSpaceDN/>
        <w:bidi w:val="0"/>
        <w:spacing w:line="360" w:lineRule="auto"/>
        <w:ind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支持左心室造影</w:t>
      </w:r>
    </w:p>
    <w:p>
      <w:pPr>
        <w:pageBreakBefore w:val="0"/>
        <w:numPr>
          <w:ilvl w:val="0"/>
          <w:numId w:val="8"/>
        </w:numPr>
        <w:kinsoku/>
        <w:wordWrap/>
        <w:overflowPunct/>
        <w:topLinePunct w:val="0"/>
        <w:autoSpaceDE/>
        <w:autoSpaceDN/>
        <w:bidi w:val="0"/>
        <w:spacing w:line="360" w:lineRule="auto"/>
        <w:ind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支持心肌造影</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支持</w:t>
      </w:r>
      <w:r>
        <w:rPr>
          <w:rFonts w:hint="eastAsia" w:ascii="宋体" w:hAnsi="宋体" w:eastAsia="宋体" w:cs="宋体"/>
          <w:color w:val="000000" w:themeColor="text1"/>
          <w:sz w:val="24"/>
          <w:szCs w:val="24"/>
          <w14:textFill>
            <w14:solidFill>
              <w14:schemeClr w14:val="tx1"/>
            </w14:solidFill>
          </w14:textFill>
        </w:rPr>
        <w:t>3D/4D成像技术</w:t>
      </w:r>
    </w:p>
    <w:p>
      <w:pPr>
        <w:pageBreakBefore w:val="0"/>
        <w:numPr>
          <w:ilvl w:val="0"/>
          <w:numId w:val="9"/>
        </w:numPr>
        <w:kinsoku/>
        <w:wordWrap/>
        <w:overflowPunct/>
        <w:topLinePunct w:val="0"/>
        <w:autoSpaceDE/>
        <w:autoSpaceDN/>
        <w:bidi w:val="0"/>
        <w:spacing w:line="360" w:lineRule="auto"/>
        <w:ind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支持探头类型：腹部容积探头、腔内容积探头</w:t>
      </w:r>
    </w:p>
    <w:p>
      <w:pPr>
        <w:pageBreakBefore w:val="0"/>
        <w:numPr>
          <w:ilvl w:val="0"/>
          <w:numId w:val="9"/>
        </w:numPr>
        <w:kinsoku/>
        <w:wordWrap/>
        <w:overflowPunct/>
        <w:topLinePunct w:val="0"/>
        <w:autoSpaceDE/>
        <w:autoSpaceDN/>
        <w:bidi w:val="0"/>
        <w:spacing w:line="360" w:lineRule="auto"/>
        <w:ind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常规成像模式：表面模式、最大模式、最小模式、X-Ray模式</w:t>
      </w:r>
    </w:p>
    <w:p>
      <w:pPr>
        <w:pageBreakBefore w:val="0"/>
        <w:numPr>
          <w:ilvl w:val="0"/>
          <w:numId w:val="9"/>
        </w:numPr>
        <w:kinsoku/>
        <w:wordWrap/>
        <w:overflowPunct/>
        <w:topLinePunct w:val="0"/>
        <w:autoSpaceDE/>
        <w:autoSpaceDN/>
        <w:bidi w:val="0"/>
        <w:spacing w:line="360" w:lineRule="auto"/>
        <w:ind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容积光源渲染成像，支持多种虚拟光源：平行光，点光源，聚光灯等，可支持多种光源的自由组合。</w:t>
      </w:r>
    </w:p>
    <w:p>
      <w:pPr>
        <w:pageBreakBefore w:val="0"/>
        <w:numPr>
          <w:ilvl w:val="0"/>
          <w:numId w:val="9"/>
        </w:numPr>
        <w:kinsoku/>
        <w:wordWrap/>
        <w:overflowPunct/>
        <w:topLinePunct w:val="0"/>
        <w:autoSpaceDE/>
        <w:autoSpaceDN/>
        <w:bidi w:val="0"/>
        <w:spacing w:line="360" w:lineRule="auto"/>
        <w:ind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断层切片成像，同屏显示≥24幅不同深度图像，断层间距0.5mm-10.0mm可调。</w:t>
      </w:r>
    </w:p>
    <w:p>
      <w:pPr>
        <w:pageBreakBefore w:val="0"/>
        <w:numPr>
          <w:ilvl w:val="0"/>
          <w:numId w:val="9"/>
        </w:numPr>
        <w:kinsoku/>
        <w:wordWrap/>
        <w:overflowPunct/>
        <w:topLinePunct w:val="0"/>
        <w:autoSpaceDE/>
        <w:autoSpaceDN/>
        <w:bidi w:val="0"/>
        <w:spacing w:line="360" w:lineRule="auto"/>
        <w:ind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容积厚层成像，包括任意剖面成像</w:t>
      </w:r>
    </w:p>
    <w:p>
      <w:pPr>
        <w:pageBreakBefore w:val="0"/>
        <w:numPr>
          <w:ilvl w:val="0"/>
          <w:numId w:val="9"/>
        </w:numPr>
        <w:kinsoku/>
        <w:wordWrap/>
        <w:overflowPunct/>
        <w:topLinePunct w:val="0"/>
        <w:autoSpaceDE/>
        <w:autoSpaceDN/>
        <w:bidi w:val="0"/>
        <w:spacing w:line="360" w:lineRule="auto"/>
        <w:ind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STIC时空关联成像（支持彩色血流STIC）</w:t>
      </w:r>
    </w:p>
    <w:p>
      <w:pPr>
        <w:pageBreakBefore w:val="0"/>
        <w:numPr>
          <w:ilvl w:val="0"/>
          <w:numId w:val="9"/>
        </w:numPr>
        <w:kinsoku/>
        <w:wordWrap/>
        <w:overflowPunct/>
        <w:topLinePunct w:val="0"/>
        <w:autoSpaceDE/>
        <w:autoSpaceDN/>
        <w:bidi w:val="0"/>
        <w:spacing w:line="360" w:lineRule="auto"/>
        <w:ind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血管三维成像，要求彩色及能量模式均可用</w:t>
      </w:r>
    </w:p>
    <w:p>
      <w:pPr>
        <w:pageBreakBefore w:val="0"/>
        <w:numPr>
          <w:ilvl w:val="0"/>
          <w:numId w:val="9"/>
        </w:numPr>
        <w:kinsoku/>
        <w:wordWrap/>
        <w:overflowPunct/>
        <w:topLinePunct w:val="0"/>
        <w:autoSpaceDE/>
        <w:autoSpaceDN/>
        <w:bidi w:val="0"/>
        <w:spacing w:line="360" w:lineRule="auto"/>
        <w:ind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可将3D/4D图像的ABC三个剖面根据其相对的空间位置结合在一起显示</w:t>
      </w:r>
    </w:p>
    <w:p>
      <w:pPr>
        <w:pageBreakBefore w:val="0"/>
        <w:numPr>
          <w:ilvl w:val="0"/>
          <w:numId w:val="9"/>
        </w:numPr>
        <w:kinsoku/>
        <w:wordWrap/>
        <w:overflowPunct/>
        <w:topLinePunct w:val="0"/>
        <w:autoSpaceDE/>
        <w:autoSpaceDN/>
        <w:bidi w:val="0"/>
        <w:spacing w:line="360" w:lineRule="auto"/>
        <w:ind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支持3D/4D数据离线处理，对存储的数据再调节成像再存储</w:t>
      </w:r>
    </w:p>
    <w:p>
      <w:pPr>
        <w:pageBreakBefore w:val="0"/>
        <w:numPr>
          <w:ilvl w:val="0"/>
          <w:numId w:val="9"/>
        </w:numPr>
        <w:kinsoku/>
        <w:wordWrap/>
        <w:overflowPunct/>
        <w:topLinePunct w:val="0"/>
        <w:autoSpaceDE/>
        <w:autoSpaceDN/>
        <w:bidi w:val="0"/>
        <w:spacing w:line="360" w:lineRule="auto"/>
        <w:ind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胎儿中枢神经系统专业筛查软件，可以通过一键自动获取多个颅脑标准切面及 获取≥4项常用测量指标</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提供技术白皮书及证明图片</w:t>
      </w:r>
      <w:r>
        <w:rPr>
          <w:rFonts w:hint="eastAsia" w:ascii="宋体" w:hAnsi="宋体" w:eastAsia="宋体" w:cs="宋体"/>
          <w:color w:val="000000" w:themeColor="text1"/>
          <w:sz w:val="24"/>
          <w:szCs w:val="24"/>
          <w:lang w:eastAsia="zh-CN"/>
          <w14:textFill>
            <w14:solidFill>
              <w14:schemeClr w14:val="tx1"/>
            </w14:solidFill>
          </w14:textFill>
        </w:rPr>
        <w:t>）</w:t>
      </w:r>
    </w:p>
    <w:p>
      <w:pPr>
        <w:pageBreakBefore w:val="0"/>
        <w:numPr>
          <w:ilvl w:val="0"/>
          <w:numId w:val="9"/>
        </w:numPr>
        <w:kinsoku/>
        <w:wordWrap/>
        <w:overflowPunct/>
        <w:topLinePunct w:val="0"/>
        <w:autoSpaceDE/>
        <w:autoSpaceDN/>
        <w:bidi w:val="0"/>
        <w:spacing w:line="360" w:lineRule="auto"/>
        <w:ind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胎儿面部自动导航功能，可以自动的去除胎儿颜面部前面的遮挡物，使胎儿三维颜面部显示更清晰。</w:t>
      </w:r>
    </w:p>
    <w:p>
      <w:pPr>
        <w:pageBreakBefore w:val="0"/>
        <w:numPr>
          <w:ilvl w:val="0"/>
          <w:numId w:val="9"/>
        </w:numPr>
        <w:kinsoku/>
        <w:wordWrap/>
        <w:overflowPunct/>
        <w:topLinePunct w:val="0"/>
        <w:autoSpaceDE/>
        <w:autoSpaceDN/>
        <w:bidi w:val="0"/>
        <w:spacing w:line="360" w:lineRule="auto"/>
        <w:ind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二维/三维自动卵泡测量，一键自动分割无回声结构，以不同的颜色区分显示不同位置和大小的无回声结构。并自动测量卵泡直径、X轴长度、Y轴长度、Z轴长度、三个轴的平均值和体积。</w:t>
      </w:r>
    </w:p>
    <w:p>
      <w:pPr>
        <w:pageBreakBefore w:val="0"/>
        <w:numPr>
          <w:ilvl w:val="0"/>
          <w:numId w:val="9"/>
        </w:numPr>
        <w:kinsoku/>
        <w:wordWrap/>
        <w:overflowPunct/>
        <w:topLinePunct w:val="0"/>
        <w:autoSpaceDE/>
        <w:autoSpaceDN/>
        <w:bidi w:val="0"/>
        <w:spacing w:line="360" w:lineRule="auto"/>
        <w:ind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自动容积测量</w:t>
      </w:r>
    </w:p>
    <w:p>
      <w:pPr>
        <w:pageBreakBefore w:val="0"/>
        <w:numPr>
          <w:ilvl w:val="0"/>
          <w:numId w:val="9"/>
        </w:numPr>
        <w:kinsoku/>
        <w:wordWrap/>
        <w:overflowPunct/>
        <w:topLinePunct w:val="0"/>
        <w:autoSpaceDE/>
        <w:autoSpaceDN/>
        <w:bidi w:val="0"/>
        <w:spacing w:line="360" w:lineRule="auto"/>
        <w:ind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支持容积图像支持斑点噪声抑制</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应变式弹性成像技术</w:t>
      </w:r>
    </w:p>
    <w:p>
      <w:pPr>
        <w:pageBreakBefore w:val="0"/>
        <w:numPr>
          <w:ilvl w:val="0"/>
          <w:numId w:val="10"/>
        </w:numPr>
        <w:kinsoku/>
        <w:wordWrap/>
        <w:overflowPunct/>
        <w:topLinePunct w:val="0"/>
        <w:autoSpaceDE/>
        <w:autoSpaceDN/>
        <w:bidi w:val="0"/>
        <w:spacing w:line="360" w:lineRule="auto"/>
        <w:ind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支持探头：线阵探头、腔内探头</w:t>
      </w:r>
    </w:p>
    <w:p>
      <w:pPr>
        <w:pageBreakBefore w:val="0"/>
        <w:numPr>
          <w:ilvl w:val="0"/>
          <w:numId w:val="10"/>
        </w:numPr>
        <w:kinsoku/>
        <w:wordWrap/>
        <w:overflowPunct/>
        <w:topLinePunct w:val="0"/>
        <w:autoSpaceDE/>
        <w:autoSpaceDN/>
        <w:bidi w:val="0"/>
        <w:spacing w:line="360" w:lineRule="auto"/>
        <w:ind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具备组织硬度定量分析软件，支持应变、应变率和应变直方图的测量</w:t>
      </w:r>
    </w:p>
    <w:p>
      <w:pPr>
        <w:pageBreakBefore w:val="0"/>
        <w:numPr>
          <w:ilvl w:val="0"/>
          <w:numId w:val="10"/>
        </w:numPr>
        <w:kinsoku/>
        <w:wordWrap/>
        <w:overflowPunct/>
        <w:topLinePunct w:val="0"/>
        <w:autoSpaceDE/>
        <w:autoSpaceDN/>
        <w:bidi w:val="0"/>
        <w:spacing w:line="360" w:lineRule="auto"/>
        <w:ind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具备肿块周边组织弹性定量分析功能</w:t>
      </w:r>
    </w:p>
    <w:p>
      <w:pPr>
        <w:pageBreakBefore w:val="0"/>
        <w:numPr>
          <w:ilvl w:val="0"/>
          <w:numId w:val="10"/>
        </w:numPr>
        <w:kinsoku/>
        <w:wordWrap/>
        <w:overflowPunct/>
        <w:topLinePunct w:val="0"/>
        <w:autoSpaceDE/>
        <w:autoSpaceDN/>
        <w:bidi w:val="0"/>
        <w:spacing w:line="360" w:lineRule="auto"/>
        <w:ind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具备定量测量映射分析，即在组织图测量时弹性图同步测量</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TDI组织多普勒成像</w:t>
      </w:r>
    </w:p>
    <w:p>
      <w:pPr>
        <w:pageBreakBefore w:val="0"/>
        <w:numPr>
          <w:ilvl w:val="0"/>
          <w:numId w:val="11"/>
        </w:numPr>
        <w:kinsoku/>
        <w:wordWrap/>
        <w:overflowPunct/>
        <w:topLinePunct w:val="0"/>
        <w:autoSpaceDE/>
        <w:autoSpaceDN/>
        <w:bidi w:val="0"/>
        <w:spacing w:line="360" w:lineRule="auto"/>
        <w:ind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TDI成像模式：彩色速度模式图、能量模式图、频谱模式图、M型模式图</w:t>
      </w:r>
    </w:p>
    <w:p>
      <w:pPr>
        <w:pageBreakBefore w:val="0"/>
        <w:numPr>
          <w:ilvl w:val="0"/>
          <w:numId w:val="11"/>
        </w:numPr>
        <w:kinsoku/>
        <w:wordWrap/>
        <w:overflowPunct/>
        <w:topLinePunct w:val="0"/>
        <w:autoSpaceDE/>
        <w:autoSpaceDN/>
        <w:bidi w:val="0"/>
        <w:spacing w:line="360" w:lineRule="auto"/>
        <w:ind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支持</w:t>
      </w:r>
      <w:r>
        <w:rPr>
          <w:rFonts w:hint="eastAsia" w:ascii="宋体" w:hAnsi="宋体" w:eastAsia="宋体" w:cs="宋体"/>
          <w:color w:val="000000" w:themeColor="text1"/>
          <w:sz w:val="24"/>
          <w:szCs w:val="24"/>
          <w14:textFill>
            <w14:solidFill>
              <w14:schemeClr w14:val="tx1"/>
            </w14:solidFill>
          </w14:textFill>
        </w:rPr>
        <w:t>TDI组织多普勒定量分析软件：支持运动追踪功能；同步显示≥6段心肌组织运动速度曲线图</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提供证明图片</w:t>
      </w:r>
      <w:r>
        <w:rPr>
          <w:rFonts w:hint="eastAsia" w:ascii="宋体" w:hAnsi="宋体" w:eastAsia="宋体" w:cs="宋体"/>
          <w:color w:val="000000" w:themeColor="text1"/>
          <w:sz w:val="24"/>
          <w:szCs w:val="24"/>
          <w:lang w:eastAsia="zh-CN"/>
          <w14:textFill>
            <w14:solidFill>
              <w14:schemeClr w14:val="tx1"/>
            </w14:solidFill>
          </w14:textFill>
        </w:rPr>
        <w:t>）</w:t>
      </w:r>
    </w:p>
    <w:p>
      <w:pPr>
        <w:pageBreakBefore w:val="0"/>
        <w:numPr>
          <w:ilvl w:val="0"/>
          <w:numId w:val="11"/>
        </w:numPr>
        <w:kinsoku/>
        <w:wordWrap/>
        <w:overflowPunct/>
        <w:topLinePunct w:val="0"/>
        <w:autoSpaceDE/>
        <w:autoSpaceDN/>
        <w:bidi w:val="0"/>
        <w:spacing w:line="360" w:lineRule="auto"/>
        <w:ind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TDI曲线解剖M型模式：同步显示心肌组织节段运动同步性、运动时相对比</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支持</w:t>
      </w:r>
      <w:r>
        <w:rPr>
          <w:rFonts w:hint="eastAsia" w:ascii="宋体" w:hAnsi="宋体" w:eastAsia="宋体" w:cs="宋体"/>
          <w:color w:val="000000" w:themeColor="text1"/>
          <w:sz w:val="24"/>
          <w:szCs w:val="24"/>
          <w14:textFill>
            <w14:solidFill>
              <w14:schemeClr w14:val="tx1"/>
            </w14:solidFill>
          </w14:textFill>
        </w:rPr>
        <w:t>组织追踪成像定量分析</w:t>
      </w:r>
    </w:p>
    <w:p>
      <w:pPr>
        <w:pStyle w:val="4"/>
        <w:pageBreakBefore w:val="0"/>
        <w:numPr>
          <w:ilvl w:val="3"/>
          <w:numId w:val="12"/>
        </w:numPr>
        <w:kinsoku/>
        <w:wordWrap/>
        <w:overflowPunct/>
        <w:topLinePunct w:val="0"/>
        <w:autoSpaceDE/>
        <w:autoSpaceDN/>
        <w:bidi w:val="0"/>
        <w:spacing w:line="360" w:lineRule="auto"/>
        <w:ind w:firstLine="482" w:firstLineChars="200"/>
        <w:textAlignment w:val="auto"/>
        <w:rPr>
          <w:rFonts w:hint="eastAsia" w:ascii="宋体" w:hAnsi="宋体" w:eastAsia="宋体" w:cs="宋体"/>
          <w:bCs w:val="0"/>
          <w:color w:val="000000" w:themeColor="text1"/>
          <w:sz w:val="24"/>
          <w:szCs w:val="24"/>
          <w14:textFill>
            <w14:solidFill>
              <w14:schemeClr w14:val="tx1"/>
            </w14:solidFill>
          </w14:textFill>
        </w:rPr>
      </w:pPr>
      <w:r>
        <w:rPr>
          <w:rFonts w:hint="eastAsia" w:ascii="宋体" w:hAnsi="宋体" w:eastAsia="宋体" w:cs="宋体"/>
          <w:bCs w:val="0"/>
          <w:color w:val="000000" w:themeColor="text1"/>
          <w:sz w:val="24"/>
          <w:szCs w:val="24"/>
          <w:lang w:eastAsia="zh-CN"/>
          <w14:textFill>
            <w14:solidFill>
              <w14:schemeClr w14:val="tx1"/>
            </w14:solidFill>
          </w14:textFill>
        </w:rPr>
        <w:t>★</w:t>
      </w:r>
      <w:r>
        <w:rPr>
          <w:rFonts w:hint="eastAsia" w:ascii="宋体" w:hAnsi="宋体" w:eastAsia="宋体" w:cs="宋体"/>
          <w:bCs w:val="0"/>
          <w:color w:val="000000" w:themeColor="text1"/>
          <w:sz w:val="24"/>
          <w:szCs w:val="24"/>
          <w14:textFill>
            <w14:solidFill>
              <w14:schemeClr w14:val="tx1"/>
            </w14:solidFill>
          </w14:textFill>
        </w:rPr>
        <w:t>二维模式下追踪心肌运动，支持心内膜、心外膜、心肌层三组追踪轨迹</w:t>
      </w:r>
    </w:p>
    <w:p>
      <w:pPr>
        <w:pStyle w:val="4"/>
        <w:pageBreakBefore w:val="0"/>
        <w:numPr>
          <w:ilvl w:val="3"/>
          <w:numId w:val="12"/>
        </w:numPr>
        <w:kinsoku/>
        <w:wordWrap/>
        <w:overflowPunct/>
        <w:topLinePunct w:val="0"/>
        <w:autoSpaceDE/>
        <w:autoSpaceDN/>
        <w:bidi w:val="0"/>
        <w:spacing w:line="360" w:lineRule="auto"/>
        <w:ind w:firstLine="482" w:firstLineChars="200"/>
        <w:textAlignment w:val="auto"/>
        <w:rPr>
          <w:rFonts w:hint="eastAsia" w:ascii="宋体" w:hAnsi="宋体" w:eastAsia="宋体" w:cs="宋体"/>
          <w:bCs w:val="0"/>
          <w:color w:val="000000" w:themeColor="text1"/>
          <w:sz w:val="24"/>
          <w:szCs w:val="24"/>
          <w14:textFill>
            <w14:solidFill>
              <w14:schemeClr w14:val="tx1"/>
            </w14:solidFill>
          </w14:textFill>
        </w:rPr>
      </w:pPr>
      <w:r>
        <w:rPr>
          <w:rFonts w:hint="eastAsia" w:ascii="宋体" w:hAnsi="宋体" w:eastAsia="宋体" w:cs="宋体"/>
          <w:bCs w:val="0"/>
          <w:color w:val="000000" w:themeColor="text1"/>
          <w:sz w:val="24"/>
          <w:szCs w:val="24"/>
          <w14:textFill>
            <w14:solidFill>
              <w14:schemeClr w14:val="tx1"/>
            </w14:solidFill>
          </w14:textFill>
        </w:rPr>
        <w:t>具有组织向量图（箭头显示）和曲线图分析，数据包括速度、位移、应变及应变率</w:t>
      </w:r>
    </w:p>
    <w:p>
      <w:pPr>
        <w:pStyle w:val="4"/>
        <w:pageBreakBefore w:val="0"/>
        <w:numPr>
          <w:ilvl w:val="3"/>
          <w:numId w:val="12"/>
        </w:numPr>
        <w:kinsoku/>
        <w:wordWrap/>
        <w:overflowPunct/>
        <w:topLinePunct w:val="0"/>
        <w:autoSpaceDE/>
        <w:autoSpaceDN/>
        <w:bidi w:val="0"/>
        <w:spacing w:line="360" w:lineRule="auto"/>
        <w:ind w:firstLine="482" w:firstLineChars="200"/>
        <w:textAlignment w:val="auto"/>
        <w:rPr>
          <w:rFonts w:hint="eastAsia" w:ascii="宋体" w:hAnsi="宋体" w:eastAsia="宋体" w:cs="宋体"/>
          <w:bCs w:val="0"/>
          <w:color w:val="000000" w:themeColor="text1"/>
          <w:sz w:val="24"/>
          <w:szCs w:val="24"/>
          <w14:textFill>
            <w14:solidFill>
              <w14:schemeClr w14:val="tx1"/>
            </w14:solidFill>
          </w14:textFill>
        </w:rPr>
      </w:pPr>
      <w:r>
        <w:rPr>
          <w:rFonts w:hint="eastAsia" w:ascii="宋体" w:hAnsi="宋体" w:eastAsia="宋体" w:cs="宋体"/>
          <w:bCs w:val="0"/>
          <w:color w:val="000000" w:themeColor="text1"/>
          <w:sz w:val="24"/>
          <w:szCs w:val="24"/>
          <w:lang w:eastAsia="zh-CN"/>
          <w14:textFill>
            <w14:solidFill>
              <w14:schemeClr w14:val="tx1"/>
            </w14:solidFill>
          </w14:textFill>
        </w:rPr>
        <w:t>★</w:t>
      </w:r>
      <w:r>
        <w:rPr>
          <w:rFonts w:hint="eastAsia" w:ascii="宋体" w:hAnsi="宋体" w:eastAsia="宋体" w:cs="宋体"/>
          <w:bCs w:val="0"/>
          <w:color w:val="000000" w:themeColor="text1"/>
          <w:sz w:val="24"/>
          <w:szCs w:val="24"/>
          <w14:textFill>
            <w14:solidFill>
              <w14:schemeClr w14:val="tx1"/>
            </w14:solidFill>
          </w14:textFill>
        </w:rPr>
        <w:t>支持牛眼图显示和报告显示</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内置超声教学软件，提供解剖示意图、标准超声图像，包含腹部、心脏、乳腺、甲状腺、妇科、产科等切面。同时，支持腹部及心脏各≥5个标准切面的自动识别。</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支持</w:t>
      </w:r>
      <w:r>
        <w:rPr>
          <w:rFonts w:hint="eastAsia" w:ascii="宋体" w:hAnsi="宋体" w:eastAsia="宋体" w:cs="宋体"/>
          <w:color w:val="000000" w:themeColor="text1"/>
          <w:sz w:val="24"/>
          <w:szCs w:val="24"/>
          <w14:textFill>
            <w14:solidFill>
              <w14:schemeClr w14:val="tx1"/>
            </w14:solidFill>
          </w14:textFill>
        </w:rPr>
        <w:t>Stress Echo负荷成像单元</w:t>
      </w:r>
    </w:p>
    <w:p>
      <w:pPr>
        <w:pStyle w:val="3"/>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测量和分析：(B型、M型、D型、彩色模式)</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常规测量软件包</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基础测量包，2B模式下支持双幅跨幅测量</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定点测速功能，彩色多普勒模式下可同屏测量血管腔内≥7个任意位置的血流速度</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半自动面积及径线测量 自动描迹、测量和计算工具，可支持径、周长、面积、平均灰度、径1/ 径2、径2/ 径1 等测量结果</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全科测量包，自动生成报告：腹部、妇科、产科、心脏、泌尿、小器官、儿科、血管等。</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妇科测量软件包：支持二维卵泡自动测量，一键自动分割无回声结构，以不同的颜色区分显示不同位置和大小的无回声结构。</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具备专业卵泡评估报告，多项IVF评估指标及发育曲线分析（提供IVF发育曲线趋势分析证明图片）</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产科测量软件包：自动产科测量，要求自动测量≥</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项胎儿发育评估指标。</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自动NT测量</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支持</w:t>
      </w:r>
      <w:r>
        <w:rPr>
          <w:rFonts w:hint="eastAsia" w:ascii="宋体" w:hAnsi="宋体" w:eastAsia="宋体" w:cs="宋体"/>
          <w:color w:val="000000" w:themeColor="text1"/>
          <w:sz w:val="24"/>
          <w:szCs w:val="24"/>
          <w14:textFill>
            <w14:solidFill>
              <w14:schemeClr w14:val="tx1"/>
            </w14:solidFill>
          </w14:textFill>
        </w:rPr>
        <w:t>自动胎心率：在M模式下自动计算胎心率，在B模式下实时自动计算胎心率，方便实时监测心率变化</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心脏测量软件包：心功能自动测量软件,无需ECG可自动识别四腔心、两腔心切面，自动识别心肌边界，并进行自动描迹，无需手动选择切面和手动描记</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腹部测量软件包：支持膀胱自动测量</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自动肝肾比测量 一键自动肝肾器官识别，自动计算肾皮质及肝脏的灰阶比值，方便进行肝脏脂肪变的定量评估</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支持</w:t>
      </w:r>
      <w:r>
        <w:rPr>
          <w:rFonts w:hint="eastAsia" w:ascii="宋体" w:hAnsi="宋体" w:eastAsia="宋体" w:cs="宋体"/>
          <w:color w:val="000000" w:themeColor="text1"/>
          <w:sz w:val="24"/>
          <w:szCs w:val="24"/>
          <w14:textFill>
            <w14:solidFill>
              <w14:schemeClr w14:val="tx1"/>
            </w14:solidFill>
          </w14:textFill>
        </w:rPr>
        <w:t>肺水肿B线自动测量</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提供技术白皮书及证明图片</w:t>
      </w:r>
      <w:r>
        <w:rPr>
          <w:rFonts w:hint="eastAsia" w:ascii="宋体" w:hAnsi="宋体" w:eastAsia="宋体" w:cs="宋体"/>
          <w:color w:val="000000" w:themeColor="text1"/>
          <w:sz w:val="24"/>
          <w:szCs w:val="24"/>
          <w:lang w:eastAsia="zh-CN"/>
          <w14:textFill>
            <w14:solidFill>
              <w14:schemeClr w14:val="tx1"/>
            </w14:solidFill>
          </w14:textFill>
        </w:rPr>
        <w:t>）</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小器官测量软件包，包含乳腺测量包</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血管测量软件包：IMT血管内中膜自动测量，测量结果参数≥</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项，具备IMT评估曲线分析。（提供IMT内中膜评估分析曲线证明图片）</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支持颈动脉血管内中膜自动实时测量,自动获取6组IMT内膜厚度值,并实时更新</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提供技术白皮书及证明图片</w:t>
      </w:r>
      <w:r>
        <w:rPr>
          <w:rFonts w:hint="eastAsia" w:ascii="宋体" w:hAnsi="宋体" w:eastAsia="宋体" w:cs="宋体"/>
          <w:color w:val="000000" w:themeColor="text1"/>
          <w:sz w:val="24"/>
          <w:szCs w:val="24"/>
          <w:lang w:eastAsia="zh-CN"/>
          <w14:textFill>
            <w14:solidFill>
              <w14:schemeClr w14:val="tx1"/>
            </w14:solidFill>
          </w14:textFill>
        </w:rPr>
        <w:t>）</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支持血管体位图手动编辑功能，通过在触摸屏上手动描记体位图，直观显示病变的位置</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提供技术白皮书及证明图片</w:t>
      </w:r>
      <w:r>
        <w:rPr>
          <w:rFonts w:hint="eastAsia" w:ascii="宋体" w:hAnsi="宋体" w:eastAsia="宋体" w:cs="宋体"/>
          <w:color w:val="000000" w:themeColor="text1"/>
          <w:sz w:val="24"/>
          <w:szCs w:val="24"/>
          <w:lang w:eastAsia="zh-CN"/>
          <w14:textFill>
            <w14:solidFill>
              <w14:schemeClr w14:val="tx1"/>
            </w14:solidFill>
          </w14:textFill>
        </w:rPr>
        <w:t>）</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小儿髋关节自动测量功能，可一键自动计算α角,β角，自动进行临床分型</w:t>
      </w:r>
    </w:p>
    <w:p>
      <w:pPr>
        <w:pStyle w:val="3"/>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图像存储(电影)回放重显及病案管理单元</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硬盘≥</w:t>
      </w:r>
      <w:r>
        <w:rPr>
          <w:rFonts w:hint="eastAsia" w:ascii="宋体" w:hAnsi="宋体" w:eastAsia="宋体" w:cs="宋体"/>
          <w:color w:val="000000" w:themeColor="text1"/>
          <w:sz w:val="24"/>
          <w:szCs w:val="24"/>
          <w:lang w:val="en-US" w:eastAsia="zh-CN"/>
          <w14:textFill>
            <w14:solidFill>
              <w14:schemeClr w14:val="tx1"/>
            </w14:solidFill>
          </w14:textFill>
        </w:rPr>
        <w:t>950G</w:t>
      </w:r>
      <w:r>
        <w:rPr>
          <w:rFonts w:hint="eastAsia" w:ascii="宋体" w:hAnsi="宋体" w:eastAsia="宋体" w:cs="宋体"/>
          <w:color w:val="000000" w:themeColor="text1"/>
          <w:sz w:val="24"/>
          <w:szCs w:val="24"/>
          <w14:textFill>
            <w14:solidFill>
              <w14:schemeClr w14:val="tx1"/>
            </w14:solidFill>
          </w14:textFill>
        </w:rPr>
        <w:t>，图像存储，电影回放：≥150秒</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多种导出图像格式：动态图像、静态图像以PC格式直接导出。导出、备份图像数据资料同时，可进行实时检查，不影响检查操作</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支持向后存储和向前存储，时间长度可预置，向后存储≥6分钟的电影，对剪接和编辑的电影图像可多次存储和多次编辑；图像和电影均可以实时扫描、冻结状态下直接存储，并且具有独立的存储功能键</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原始数据处理，支持动、静态图像冻结后，最大可调节参数≥32项</w:t>
      </w:r>
    </w:p>
    <w:p>
      <w:pPr>
        <w:pStyle w:val="3"/>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连通性要求：</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支持网络连接，能开放DICOM 3.0接口满足任何厂家PACS联网传输，并可支持DICOM结构化报告</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可支持</w:t>
      </w:r>
      <w:r>
        <w:rPr>
          <w:rFonts w:hint="eastAsia" w:ascii="宋体" w:hAnsi="宋体" w:eastAsia="宋体" w:cs="宋体"/>
          <w:color w:val="000000" w:themeColor="text1"/>
          <w:sz w:val="24"/>
          <w:szCs w:val="24"/>
          <w14:textFill>
            <w14:solidFill>
              <w14:schemeClr w14:val="tx1"/>
            </w14:solidFill>
          </w14:textFill>
        </w:rPr>
        <w:t>直接通过控制面板上的按键存储静态/动态超声图像到工作站（无需外接其他手柄或脚踏开关）</w:t>
      </w:r>
    </w:p>
    <w:p>
      <w:pPr>
        <w:pStyle w:val="3"/>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支持移动设备无线传输，一键传输图片到智能手机终端或PC端。支持手机等移动终端APP远程操作设备</w:t>
      </w:r>
    </w:p>
    <w:p>
      <w:pPr>
        <w:pStyle w:val="3"/>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系统技术参数及要求：</w:t>
      </w:r>
    </w:p>
    <w:p>
      <w:pPr>
        <w:pStyle w:val="3"/>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系统通用功能：</w:t>
      </w:r>
    </w:p>
    <w:p>
      <w:pPr>
        <w:pStyle w:val="3"/>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主机探头接口≥5个，大小一致，全激活、相互通用。</w:t>
      </w:r>
    </w:p>
    <w:p>
      <w:pPr>
        <w:pStyle w:val="3"/>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预设条件：针对不同的检查脏器，预置最佳化图像的检查条件，减少操作时的调节。</w:t>
      </w:r>
    </w:p>
    <w:p>
      <w:pPr>
        <w:pStyle w:val="3"/>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探头规格</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频率：超宽频带或变频探头，所配探头均为宽频变频探头</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二维、谐波、彩色及频谱多普勒模式分别独立变频，≥3段；</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电子线阵探头阵元数≥192</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腹部凸阵探头（2.0-5.5MHz）</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血管/小器官线阵探头（3.0-13.0MHz）</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心脏相控阵探头（1.5-4.5MHz）</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可</w:t>
      </w:r>
      <w:r>
        <w:rPr>
          <w:rFonts w:hint="eastAsia" w:ascii="宋体" w:hAnsi="宋体" w:eastAsia="宋体" w:cs="宋体"/>
          <w:color w:val="000000" w:themeColor="text1"/>
          <w:sz w:val="24"/>
          <w:szCs w:val="24"/>
          <w:lang w:val="en-US" w:eastAsia="zh-CN"/>
          <w14:textFill>
            <w14:solidFill>
              <w14:schemeClr w14:val="tx1"/>
            </w14:solidFill>
          </w14:textFill>
        </w:rPr>
        <w:t>支持</w:t>
      </w:r>
      <w:r>
        <w:rPr>
          <w:rFonts w:hint="eastAsia" w:ascii="宋体" w:hAnsi="宋体" w:eastAsia="宋体" w:cs="宋体"/>
          <w:color w:val="000000" w:themeColor="text1"/>
          <w:sz w:val="24"/>
          <w:szCs w:val="24"/>
          <w14:textFill>
            <w14:solidFill>
              <w14:schemeClr w14:val="tx1"/>
            </w14:solidFill>
          </w14:textFill>
        </w:rPr>
        <w:t>腔内探头（3-11MHz），</w:t>
      </w:r>
      <w:r>
        <w:rPr>
          <w:rFonts w:hint="eastAsia" w:ascii="宋体" w:hAnsi="宋体" w:eastAsia="宋体" w:cs="宋体"/>
          <w:color w:val="000000" w:themeColor="text1"/>
          <w:sz w:val="24"/>
          <w:szCs w:val="24"/>
          <w:lang w:val="en-US" w:eastAsia="zh-CN"/>
          <w14:textFill>
            <w14:solidFill>
              <w14:schemeClr w14:val="tx1"/>
            </w14:solidFill>
          </w14:textFill>
        </w:rPr>
        <w:t>无扩展</w:t>
      </w:r>
      <w:r>
        <w:rPr>
          <w:rFonts w:hint="eastAsia" w:ascii="宋体" w:hAnsi="宋体" w:eastAsia="宋体" w:cs="宋体"/>
          <w:color w:val="000000" w:themeColor="text1"/>
          <w:sz w:val="24"/>
          <w:szCs w:val="24"/>
          <w14:textFill>
            <w14:solidFill>
              <w14:schemeClr w14:val="tx1"/>
            </w14:solidFill>
          </w14:textFill>
        </w:rPr>
        <w:t>扫描角度≥170°</w:t>
      </w:r>
    </w:p>
    <w:p>
      <w:pPr>
        <w:pStyle w:val="3"/>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二维显像主要参数：</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成像速度：相控阵探头，18CM深度时, 全视野，帧率≥5</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帧/秒；凸阵探头，18CM深度时, 全视野， 帧率≥3</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帧/秒</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增益调节：B/M/D分别独立可调，≥100，可视可调步进≥1。</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TGC: ≥8段，LGC: ≥8段</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显示深度≥38cm</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伪彩图谱: ≥8种</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最大帧率: ≥600 帧/秒</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动态范围：≥240，可视可调</w:t>
      </w:r>
    </w:p>
    <w:p>
      <w:pPr>
        <w:pStyle w:val="3"/>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频谱多普勒：</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显示模式：脉冲多普勒、高脉冲重复频率、连续多普勒</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最大测量速度：≥7.2m/s（连续多普勒速度: ≥35m/s）</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最低测量速度：≤13.1cm/s</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偏转角度: ≥±30° (线阵探头) ，并支持快速角度校正</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取样宽度及位置范围： 0.5-30mm </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零位移动：</w:t>
      </w:r>
      <w:r>
        <w:rPr>
          <w:rFonts w:hint="eastAsia" w:ascii="宋体" w:hAnsi="宋体" w:eastAsia="宋体" w:cs="宋体"/>
          <w:color w:val="000000" w:themeColor="text1"/>
          <w:sz w:val="24"/>
          <w:szCs w:val="24"/>
          <w14:textFill>
            <w14:solidFill>
              <w14:schemeClr w14:val="tx1"/>
            </w14:solidFill>
          </w14:textFill>
        </w:rPr>
        <w:sym w:font="Symbol" w:char="F0B3"/>
      </w:r>
      <w:r>
        <w:rPr>
          <w:rFonts w:hint="eastAsia" w:ascii="宋体" w:hAnsi="宋体" w:eastAsia="宋体" w:cs="宋体"/>
          <w:color w:val="000000" w:themeColor="text1"/>
          <w:sz w:val="24"/>
          <w:szCs w:val="24"/>
          <w14:textFill>
            <w14:solidFill>
              <w14:schemeClr w14:val="tx1"/>
            </w14:solidFill>
          </w14:textFill>
        </w:rPr>
        <w:t>8级</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实时自动包络频谱并完成频谱测量计算</w:t>
      </w:r>
    </w:p>
    <w:p>
      <w:pPr>
        <w:pStyle w:val="3"/>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彩色多普勒：</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显示方式：包括速度、速度方差、能量、方向能量显示等</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速度标识功能，标识不同血流速度边界，观察血流分布及速度梯度</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取样框偏转: ≥±30°，取样框可根据探头血流方向自动调节</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提供技术白皮书</w:t>
      </w:r>
      <w:r>
        <w:rPr>
          <w:rFonts w:hint="eastAsia" w:ascii="宋体" w:hAnsi="宋体" w:eastAsia="宋体" w:cs="宋体"/>
          <w:color w:val="000000" w:themeColor="text1"/>
          <w:sz w:val="24"/>
          <w:szCs w:val="24"/>
          <w:lang w:eastAsia="zh-CN"/>
          <w14:textFill>
            <w14:solidFill>
              <w14:schemeClr w14:val="tx1"/>
            </w14:solidFill>
          </w14:textFill>
        </w:rPr>
        <w:t>）</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最大帧率: ≥220 帧/秒</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彩色增强功能：彩色多普勒能量图(PDI);组织多普勒(TDI)</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彩色频谱自动反转：当调节彩色取样框从一侧偏转向另一侧时，系统可自动触发反转功能，保证偏转调节过程中，血管内血流颜色不变</w:t>
      </w:r>
    </w:p>
    <w:p>
      <w:pPr>
        <w:pStyle w:val="3"/>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记录装置：</w:t>
      </w:r>
    </w:p>
    <w:p>
      <w:pPr>
        <w:pStyle w:val="4"/>
        <w:pageBreakBefore w:val="0"/>
        <w:kinsoku/>
        <w:wordWrap/>
        <w:overflowPunct/>
        <w:topLinePunct w:val="0"/>
        <w:autoSpaceDE/>
        <w:autoSpaceDN/>
        <w:bidi w:val="0"/>
        <w:spacing w:line="360" w:lineRule="auto"/>
        <w:ind w:left="720" w:leftChars="300"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内置一体化超声工作站：数字化储存静态及动态图像，图像支持BMP、JPG、TIFF、DCM、 AVI、MP4格式直接导出。</w:t>
      </w:r>
    </w:p>
    <w:p>
      <w:pPr>
        <w:pStyle w:val="4"/>
        <w:pageBreakBefore w:val="0"/>
        <w:kinsoku/>
        <w:wordWrap/>
        <w:overflowPunct/>
        <w:topLinePunct w:val="0"/>
        <w:autoSpaceDE/>
        <w:autoSpaceDN/>
        <w:bidi w:val="0"/>
        <w:spacing w:line="360" w:lineRule="auto"/>
        <w:ind w:left="720" w:leftChars="300"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内置数字录像机可用于教学，存储时间≥60分钟</w:t>
      </w:r>
    </w:p>
    <w:p>
      <w:pPr>
        <w:pStyle w:val="4"/>
        <w:pageBreakBefore w:val="0"/>
        <w:kinsoku/>
        <w:wordWrap/>
        <w:overflowPunct/>
        <w:topLinePunct w:val="0"/>
        <w:autoSpaceDE/>
        <w:autoSpaceDN/>
        <w:bidi w:val="0"/>
        <w:spacing w:line="360" w:lineRule="auto"/>
        <w:ind w:left="720" w:leftChars="300"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内置USB接口≥6</w:t>
      </w:r>
    </w:p>
    <w:p>
      <w:pPr>
        <w:pStyle w:val="3"/>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外设和附件</w:t>
      </w:r>
    </w:p>
    <w:p>
      <w:pPr>
        <w:pStyle w:val="4"/>
        <w:pageBreakBefore w:val="0"/>
        <w:kinsoku/>
        <w:wordWrap/>
        <w:overflowPunct/>
        <w:topLinePunct w:val="0"/>
        <w:autoSpaceDE/>
        <w:autoSpaceDN/>
        <w:bidi w:val="0"/>
        <w:spacing w:line="360" w:lineRule="auto"/>
        <w:ind w:left="720" w:leftChars="300"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支持主机一体化耦合剂加热器，耦合剂温度三挡可调</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腔内探头放置架</w:t>
      </w:r>
    </w:p>
    <w:p>
      <w:pPr>
        <w:pStyle w:val="4"/>
        <w:pageBreakBefore w:val="0"/>
        <w:kinsoku/>
        <w:wordWrap/>
        <w:overflowPunct/>
        <w:topLinePunct w:val="0"/>
        <w:autoSpaceDE/>
        <w:autoSpaceDN/>
        <w:bidi w:val="0"/>
        <w:spacing w:line="360" w:lineRule="auto"/>
        <w:ind w:left="720" w:leftChars="300"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QWERTY背光小键盘</w:t>
      </w:r>
    </w:p>
    <w:p>
      <w:pPr>
        <w:pStyle w:val="4"/>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主机一体式LED照明灯，辅助暗室临床操作 </w:t>
      </w:r>
    </w:p>
    <w:p>
      <w:pPr>
        <w:pStyle w:val="4"/>
        <w:pageBreakBefore w:val="0"/>
        <w:kinsoku/>
        <w:wordWrap/>
        <w:overflowPunct/>
        <w:topLinePunct w:val="0"/>
        <w:autoSpaceDE/>
        <w:autoSpaceDN/>
        <w:bidi w:val="0"/>
        <w:spacing w:line="360" w:lineRule="auto"/>
        <w:ind w:left="720" w:leftChars="300"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支持脚踏开关</w:t>
      </w:r>
    </w:p>
    <w:p>
      <w:pPr>
        <w:pageBreakBefore w:val="0"/>
        <w:numPr>
          <w:ilvl w:val="0"/>
          <w:numId w:val="0"/>
        </w:numPr>
        <w:kinsoku/>
        <w:wordWrap/>
        <w:overflowPunct/>
        <w:topLinePunct w:val="0"/>
        <w:autoSpaceDE/>
        <w:autoSpaceDN/>
        <w:bidi w:val="0"/>
        <w:adjustRightInd w:val="0"/>
        <w:spacing w:line="360" w:lineRule="auto"/>
        <w:ind w:leftChars="0" w:firstLine="482" w:firstLineChars="200"/>
        <w:jc w:val="left"/>
        <w:textAlignment w:val="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1.27</w:t>
      </w:r>
      <w:r>
        <w:rPr>
          <w:rFonts w:hint="eastAsia" w:ascii="宋体" w:hAnsi="宋体" w:eastAsia="宋体" w:cs="宋体"/>
          <w:b/>
          <w:color w:val="000000" w:themeColor="text1"/>
          <w:sz w:val="24"/>
          <w:szCs w:val="24"/>
          <w14:textFill>
            <w14:solidFill>
              <w14:schemeClr w14:val="tx1"/>
            </w14:solidFill>
          </w14:textFill>
        </w:rPr>
        <w:t>配置要求：</w:t>
      </w:r>
      <w:r>
        <w:rPr>
          <w:rFonts w:hint="eastAsia" w:ascii="宋体" w:hAnsi="宋体" w:eastAsia="宋体" w:cs="宋体"/>
          <w:color w:val="000000" w:themeColor="text1"/>
          <w:sz w:val="24"/>
          <w:szCs w:val="24"/>
          <w14:textFill>
            <w14:solidFill>
              <w14:schemeClr w14:val="tx1"/>
            </w14:solidFill>
          </w14:textFill>
        </w:rPr>
        <w:t>全身应用彩色多普勒超声诊断仪主机1台</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配置探头：腹部探头1把、浅表探头1把、</w:t>
      </w:r>
      <w:r>
        <w:rPr>
          <w:rFonts w:hint="eastAsia" w:ascii="宋体" w:hAnsi="宋体" w:eastAsia="宋体" w:cs="宋体"/>
          <w:color w:val="000000" w:themeColor="text1"/>
          <w:sz w:val="24"/>
          <w:szCs w:val="24"/>
          <w:lang w:val="en-US" w:eastAsia="zh-CN"/>
          <w14:textFill>
            <w14:solidFill>
              <w14:schemeClr w14:val="tx1"/>
            </w14:solidFill>
          </w14:textFill>
        </w:rPr>
        <w:t>心脏</w:t>
      </w:r>
      <w:r>
        <w:rPr>
          <w:rFonts w:hint="eastAsia" w:ascii="宋体" w:hAnsi="宋体" w:eastAsia="宋体" w:cs="宋体"/>
          <w:color w:val="000000" w:themeColor="text1"/>
          <w:sz w:val="24"/>
          <w:szCs w:val="24"/>
          <w14:textFill>
            <w14:solidFill>
              <w14:schemeClr w14:val="tx1"/>
            </w14:solidFill>
          </w14:textFill>
        </w:rPr>
        <w:t>探头</w:t>
      </w:r>
      <w:r>
        <w:rPr>
          <w:rFonts w:hint="eastAsia" w:ascii="宋体" w:hAnsi="宋体" w:eastAsia="宋体" w:cs="宋体"/>
          <w:color w:val="000000" w:themeColor="text1"/>
          <w:sz w:val="24"/>
          <w:szCs w:val="24"/>
          <w:lang w:val="en-US" w:eastAsia="zh-CN"/>
          <w14:textFill>
            <w14:solidFill>
              <w14:schemeClr w14:val="tx1"/>
            </w14:solidFill>
          </w14:textFill>
        </w:rPr>
        <w:t>1把等</w:t>
      </w:r>
    </w:p>
    <w:p>
      <w:pPr>
        <w:pStyle w:val="2"/>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bookmarkStart w:id="46" w:name="_Toc4232"/>
    </w:p>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br w:type="page"/>
      </w:r>
    </w:p>
    <w:p>
      <w:pPr>
        <w:pStyle w:val="2"/>
        <w:pageBreakBefore w:val="0"/>
        <w:kinsoku/>
        <w:wordWrap/>
        <w:overflowPunct/>
        <w:topLinePunct w:val="0"/>
        <w:autoSpaceDE/>
        <w:autoSpaceDN/>
        <w:bidi w:val="0"/>
        <w:spacing w:line="360" w:lineRule="auto"/>
        <w:ind w:firstLine="482" w:firstLineChars="200"/>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附件7：</w:t>
      </w:r>
      <w:r>
        <w:rPr>
          <w:rFonts w:hint="eastAsia" w:ascii="宋体" w:hAnsi="宋体" w:eastAsia="宋体" w:cs="宋体"/>
          <w:color w:val="000000" w:themeColor="text1"/>
          <w:sz w:val="24"/>
          <w:szCs w:val="24"/>
          <w14:textFill>
            <w14:solidFill>
              <w14:schemeClr w14:val="tx1"/>
            </w14:solidFill>
          </w14:textFill>
        </w:rPr>
        <w:t>中医体质辨识系统</w:t>
      </w:r>
      <w:bookmarkEnd w:id="46"/>
    </w:p>
    <w:p>
      <w:pPr>
        <w:pStyle w:val="54"/>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一、主要功能</w:t>
      </w:r>
      <w:r>
        <w:rPr>
          <w:rFonts w:hint="eastAsia" w:ascii="宋体" w:hAnsi="宋体" w:eastAsia="宋体" w:cs="宋体"/>
          <w:color w:val="000000" w:themeColor="text1"/>
          <w:kern w:val="0"/>
          <w:sz w:val="24"/>
          <w:szCs w:val="24"/>
          <w14:textFill>
            <w14:solidFill>
              <w14:schemeClr w14:val="tx1"/>
            </w14:solidFill>
          </w14:textFill>
        </w:rPr>
        <w:t>：</w:t>
      </w:r>
    </w:p>
    <w:p>
      <w:pPr>
        <w:pStyle w:val="54"/>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1.配备网络接口，能与健康小屋信息管理系统对接处理数据信息；</w:t>
      </w:r>
    </w:p>
    <w:p>
      <w:pPr>
        <w:pStyle w:val="54"/>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2.中医健康档案客观化采集与数字化存储；</w:t>
      </w:r>
    </w:p>
    <w:p>
      <w:pPr>
        <w:pStyle w:val="54"/>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3.中医健康状态评价；</w:t>
      </w:r>
    </w:p>
    <w:p>
      <w:pPr>
        <w:pStyle w:val="54"/>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4.中医养生调理建议；</w:t>
      </w:r>
    </w:p>
    <w:p>
      <w:pPr>
        <w:pStyle w:val="54"/>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5.中医预防保健、亚健康检测、疗效评估、慢病管理；</w:t>
      </w:r>
    </w:p>
    <w:p>
      <w:pPr>
        <w:pStyle w:val="54"/>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6</w:t>
      </w:r>
      <w:r>
        <w:rPr>
          <w:rFonts w:hint="eastAsia" w:ascii="宋体" w:hAnsi="宋体" w:eastAsia="宋体" w:cs="宋体"/>
          <w:color w:val="000000" w:themeColor="text1"/>
          <w:kern w:val="0"/>
          <w:sz w:val="24"/>
          <w:szCs w:val="24"/>
          <w14:textFill>
            <w14:solidFill>
              <w14:schemeClr w14:val="tx1"/>
            </w14:solidFill>
          </w14:textFill>
        </w:rPr>
        <w:t>.体质辨识系统需经过国家食品药品监督管理局的软件检测并附检测报告。</w:t>
      </w:r>
    </w:p>
    <w:p>
      <w:pPr>
        <w:pStyle w:val="54"/>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二、技术参数：</w:t>
      </w:r>
    </w:p>
    <w:p>
      <w:pPr>
        <w:pStyle w:val="54"/>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w:t>
      </w:r>
      <w:r>
        <w:rPr>
          <w:rFonts w:hint="eastAsia" w:ascii="宋体" w:hAnsi="宋体" w:eastAsia="宋体" w:cs="宋体"/>
          <w:b/>
          <w:color w:val="000000" w:themeColor="text1"/>
          <w:kern w:val="0"/>
          <w:sz w:val="24"/>
          <w:szCs w:val="24"/>
          <w:lang w:val="en-US" w:eastAsia="zh-CN"/>
          <w14:textFill>
            <w14:solidFill>
              <w14:schemeClr w14:val="tx1"/>
            </w14:solidFill>
          </w14:textFill>
        </w:rPr>
        <w:t>一</w:t>
      </w:r>
      <w:r>
        <w:rPr>
          <w:rFonts w:hint="eastAsia" w:ascii="宋体" w:hAnsi="宋体" w:eastAsia="宋体" w:cs="宋体"/>
          <w:b/>
          <w:color w:val="000000" w:themeColor="text1"/>
          <w:kern w:val="0"/>
          <w:sz w:val="24"/>
          <w:szCs w:val="24"/>
          <w14:textFill>
            <w14:solidFill>
              <w14:schemeClr w14:val="tx1"/>
            </w14:solidFill>
          </w14:textFill>
        </w:rPr>
        <w:t>）、设备配置要求：</w:t>
      </w:r>
    </w:p>
    <w:p>
      <w:pPr>
        <w:pStyle w:val="54"/>
        <w:pageBreakBefore w:val="0"/>
        <w:kinsoku/>
        <w:wordWrap/>
        <w:overflowPunct/>
        <w:topLinePunct w:val="0"/>
        <w:autoSpaceDE/>
        <w:autoSpaceDN/>
        <w:bidi w:val="0"/>
        <w:adjustRightInd w:val="0"/>
        <w:snapToGrid w:val="0"/>
        <w:spacing w:line="360" w:lineRule="auto"/>
        <w:ind w:left="360"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1 、系统组成：体质辨识、老年人中医健康管理、高血压中医健康管理、II型糖尿病患者中医健康管理、0-12个月婴儿健康管理、1-3岁幼儿健康管理、4-6岁学龄前儿童健康管理、7-14岁学龄儿童健康管理、孕产妇健康管理。</w:t>
      </w:r>
    </w:p>
    <w:p>
      <w:pPr>
        <w:pStyle w:val="54"/>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2、个性化养生调理系统。</w:t>
      </w:r>
    </w:p>
    <w:p>
      <w:pPr>
        <w:pStyle w:val="54"/>
        <w:pageBreakBefore w:val="0"/>
        <w:kinsoku/>
        <w:wordWrap/>
        <w:overflowPunct/>
        <w:topLinePunct w:val="0"/>
        <w:autoSpaceDE/>
        <w:autoSpaceDN/>
        <w:bidi w:val="0"/>
        <w:adjustRightInd w:val="0"/>
        <w:snapToGrid w:val="0"/>
        <w:spacing w:line="360" w:lineRule="auto"/>
        <w:ind w:left="360"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3、立式高质感金属漆外壳，19寸触摸屏，热敏打印，仪器可自由移动，方便病人信息采集，符合人体工程学。</w:t>
      </w:r>
    </w:p>
    <w:p>
      <w:pPr>
        <w:pStyle w:val="54"/>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w:t>
      </w:r>
      <w:r>
        <w:rPr>
          <w:rFonts w:hint="eastAsia" w:ascii="宋体" w:hAnsi="宋体" w:eastAsia="宋体" w:cs="宋体"/>
          <w:b/>
          <w:color w:val="000000" w:themeColor="text1"/>
          <w:kern w:val="0"/>
          <w:sz w:val="24"/>
          <w:szCs w:val="24"/>
          <w:lang w:val="en-US" w:eastAsia="zh-CN"/>
          <w14:textFill>
            <w14:solidFill>
              <w14:schemeClr w14:val="tx1"/>
            </w14:solidFill>
          </w14:textFill>
        </w:rPr>
        <w:t>二</w:t>
      </w:r>
      <w:r>
        <w:rPr>
          <w:rFonts w:hint="eastAsia" w:ascii="宋体" w:hAnsi="宋体" w:eastAsia="宋体" w:cs="宋体"/>
          <w:b/>
          <w:color w:val="000000" w:themeColor="text1"/>
          <w:kern w:val="0"/>
          <w:sz w:val="24"/>
          <w:szCs w:val="24"/>
          <w14:textFill>
            <w14:solidFill>
              <w14:schemeClr w14:val="tx1"/>
            </w14:solidFill>
          </w14:textFill>
        </w:rPr>
        <w:t>）、功能参数要求：</w:t>
      </w:r>
    </w:p>
    <w:p>
      <w:pPr>
        <w:pStyle w:val="54"/>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1、中医体质辨识系统：</w:t>
      </w:r>
    </w:p>
    <w:p>
      <w:pPr>
        <w:pStyle w:val="54"/>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1.1、体质辨识量表依据中华中医药学会标准ZYYXH/T 157--2009《中医体质分类与判定》、《中医药健康管理服务技术规范》老年人中医药健康管理服务的要求制定。</w:t>
      </w:r>
    </w:p>
    <w:p>
      <w:pPr>
        <w:pStyle w:val="54"/>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 得出检测者的体质类型，体质特征，发病倾向，环境适应力等。</w:t>
      </w:r>
    </w:p>
    <w:p>
      <w:pPr>
        <w:pStyle w:val="54"/>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1.3、 对受试者体质进行自动判别； </w:t>
      </w:r>
    </w:p>
    <w:p>
      <w:pPr>
        <w:pStyle w:val="54"/>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 高血压病慢病人群中医养生指导方案：针对高血压慢病患者，系统提供中医饮食调养、中医起居养生、中医运动养生、中医情志养生；中医特色保健法及高血压病的科普知识问答篇等中医健康指导方案。</w:t>
      </w:r>
    </w:p>
    <w:p>
      <w:pPr>
        <w:pStyle w:val="54"/>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 Ⅱ型糖尿病慢病人群中医养生指导方案：针对Ⅱ型糖尿病慢病患者，系统提供中医饮食调养、中医起居养生、中医运动养生、中医情志养生、中医特色保健法及Ⅱ型糖尿病的科普知识问答篇等中医健康指导方案。</w:t>
      </w:r>
    </w:p>
    <w:p>
      <w:pPr>
        <w:pStyle w:val="54"/>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1.6、</w:t>
      </w:r>
      <w:r>
        <w:rPr>
          <w:rFonts w:hint="eastAsia" w:ascii="宋体" w:hAnsi="宋体" w:eastAsia="宋体" w:cs="宋体"/>
          <w:color w:val="000000" w:themeColor="text1"/>
          <w:kern w:val="0"/>
          <w:sz w:val="24"/>
          <w:szCs w:val="24"/>
          <w14:textFill>
            <w14:solidFill>
              <w14:schemeClr w14:val="tx1"/>
            </w14:solidFill>
          </w14:textFill>
        </w:rPr>
        <w:t>0-12个月婴儿健康管理、1-3岁幼儿健康管理、4-6岁学龄前儿童健康管理、7-14岁学龄儿童健康管理；及孕产妇健康管理。问诊、信息记录、进行健康指导，出具相应的调理报告。</w:t>
      </w:r>
    </w:p>
    <w:p>
      <w:pPr>
        <w:pStyle w:val="54"/>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 软件自动分析，给出直观量化的体质辨识分析结果。</w:t>
      </w:r>
    </w:p>
    <w:p>
      <w:pPr>
        <w:pStyle w:val="54"/>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2、个体化养生调理系统：</w:t>
      </w:r>
    </w:p>
    <w:p>
      <w:pPr>
        <w:pStyle w:val="54"/>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2.1、可提供体质成因解读，以及易发疾病的风险预警提示；</w:t>
      </w:r>
    </w:p>
    <w:p>
      <w:pPr>
        <w:pStyle w:val="54"/>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2.2、所提供的个体化养生调理方案，包含饮食调理、药物调理，运动调理，食疗食谱等内容，为被测试者提供个体化的健康养生指导建议；</w:t>
      </w:r>
    </w:p>
    <w:p>
      <w:pPr>
        <w:pStyle w:val="54"/>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2.3、可建立电子健康档案，进行长期中医健康管理服务。</w:t>
      </w:r>
    </w:p>
    <w:p>
      <w:pPr>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3、配置清单：</w:t>
      </w:r>
      <w:r>
        <w:rPr>
          <w:rFonts w:hint="eastAsia" w:ascii="宋体" w:hAnsi="宋体" w:eastAsia="宋体" w:cs="宋体"/>
          <w:color w:val="000000" w:themeColor="text1"/>
          <w:sz w:val="24"/>
          <w:szCs w:val="24"/>
          <w14:textFill>
            <w14:solidFill>
              <w14:schemeClr w14:val="tx1"/>
            </w14:solidFill>
          </w14:textFill>
        </w:rPr>
        <w:t>19英寸触摸屏一体机</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打印机</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电源线</w:t>
      </w:r>
      <w:r>
        <w:rPr>
          <w:rFonts w:hint="eastAsia" w:ascii="宋体" w:hAnsi="宋体" w:eastAsia="宋体" w:cs="宋体"/>
          <w:color w:val="000000" w:themeColor="text1"/>
          <w:sz w:val="24"/>
          <w:szCs w:val="24"/>
          <w:lang w:val="en-US" w:eastAsia="zh-CN"/>
          <w14:textFill>
            <w14:solidFill>
              <w14:schemeClr w14:val="tx1"/>
            </w14:solidFill>
          </w14:textFill>
        </w:rPr>
        <w:t>等</w:t>
      </w:r>
    </w:p>
    <w:p>
      <w:pPr>
        <w:pStyle w:val="54"/>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pStyle w:val="54"/>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rPr>
          <w:rFonts w:hint="eastAsia" w:ascii="宋体" w:hAnsi="宋体" w:eastAsia="宋体" w:cs="宋体"/>
          <w:color w:val="000000" w:themeColor="text1"/>
          <w:sz w:val="24"/>
          <w:szCs w:val="24"/>
          <w:lang w:val="en-US" w:eastAsia="zh-CN"/>
          <w14:textFill>
            <w14:solidFill>
              <w14:schemeClr w14:val="tx1"/>
            </w14:solidFill>
          </w14:textFill>
        </w:rPr>
      </w:pPr>
      <w:bookmarkStart w:id="47" w:name="_Toc29226"/>
      <w:r>
        <w:rPr>
          <w:rFonts w:hint="eastAsia" w:ascii="宋体" w:hAnsi="宋体" w:eastAsia="宋体" w:cs="宋体"/>
          <w:color w:val="000000" w:themeColor="text1"/>
          <w:sz w:val="24"/>
          <w:szCs w:val="24"/>
          <w:lang w:val="en-US" w:eastAsia="zh-CN"/>
          <w14:textFill>
            <w14:solidFill>
              <w14:schemeClr w14:val="tx1"/>
            </w14:solidFill>
          </w14:textFill>
        </w:rPr>
        <w:br w:type="page"/>
      </w:r>
    </w:p>
    <w:p>
      <w:pPr>
        <w:pStyle w:val="2"/>
        <w:pageBreakBefore w:val="0"/>
        <w:kinsoku/>
        <w:wordWrap/>
        <w:overflowPunct/>
        <w:topLinePunct w:val="0"/>
        <w:autoSpaceDE/>
        <w:autoSpaceDN/>
        <w:bidi w:val="0"/>
        <w:spacing w:line="360" w:lineRule="auto"/>
        <w:ind w:firstLine="482" w:firstLineChars="20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附件8：空气消毒机</w:t>
      </w:r>
      <w:bookmarkEnd w:id="47"/>
    </w:p>
    <w:p>
      <w:pPr>
        <w:pageBreakBefore w:val="0"/>
        <w:numPr>
          <w:ilvl w:val="0"/>
          <w:numId w:val="13"/>
        </w:numPr>
        <w:kinsoku/>
        <w:wordWrap/>
        <w:overflowPunct/>
        <w:topLinePunct w:val="0"/>
        <w:autoSpaceDE/>
        <w:autoSpaceDN/>
        <w:bidi w:val="0"/>
        <w:spacing w:line="360" w:lineRule="auto"/>
        <w:ind w:left="425"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壁挂</w:t>
      </w:r>
      <w:r>
        <w:rPr>
          <w:rFonts w:hint="eastAsia" w:ascii="宋体" w:hAnsi="宋体" w:eastAsia="宋体" w:cs="宋体"/>
          <w:color w:val="000000" w:themeColor="text1"/>
          <w:sz w:val="24"/>
          <w:szCs w:val="24"/>
          <w14:textFill>
            <w14:solidFill>
              <w14:schemeClr w14:val="tx1"/>
            </w14:solidFill>
          </w14:textFill>
        </w:rPr>
        <w:t>式</w:t>
      </w:r>
    </w:p>
    <w:p>
      <w:pPr>
        <w:pageBreakBefore w:val="0"/>
        <w:numPr>
          <w:ilvl w:val="0"/>
          <w:numId w:val="13"/>
        </w:numPr>
        <w:kinsoku/>
        <w:wordWrap/>
        <w:overflowPunct/>
        <w:topLinePunct w:val="0"/>
        <w:autoSpaceDE/>
        <w:autoSpaceDN/>
        <w:bidi w:val="0"/>
        <w:spacing w:line="360" w:lineRule="auto"/>
        <w:ind w:left="425" w:leftChars="0"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适用体积：≤</w:t>
      </w:r>
      <w:r>
        <w:rPr>
          <w:rFonts w:hint="eastAsia" w:ascii="宋体" w:hAnsi="宋体" w:eastAsia="宋体" w:cs="宋体"/>
          <w:color w:val="000000" w:themeColor="text1"/>
          <w:sz w:val="24"/>
          <w:szCs w:val="24"/>
          <w:lang w:val="en-US" w:eastAsia="zh-CN"/>
          <w14:textFill>
            <w14:solidFill>
              <w14:schemeClr w14:val="tx1"/>
            </w14:solidFill>
          </w14:textFill>
        </w:rPr>
        <w:t>100</w:t>
      </w:r>
      <w:r>
        <w:rPr>
          <w:rFonts w:hint="eastAsia" w:ascii="宋体" w:hAnsi="宋体" w:eastAsia="宋体" w:cs="宋体"/>
          <w:b w:val="0"/>
          <w:bCs/>
          <w:color w:val="000000" w:themeColor="text1"/>
          <w:sz w:val="24"/>
          <w:szCs w:val="24"/>
          <w:lang w:val="en-US" w:eastAsia="zh-CN"/>
          <w14:textFill>
            <w14:solidFill>
              <w14:schemeClr w14:val="tx1"/>
            </w14:solidFill>
          </w14:textFill>
        </w:rPr>
        <w:t>m³</w:t>
      </w:r>
      <w:r>
        <w:rPr>
          <w:rFonts w:hint="eastAsia" w:ascii="宋体" w:hAnsi="宋体" w:eastAsia="宋体" w:cs="宋体"/>
          <w:color w:val="000000" w:themeColor="text1"/>
          <w:sz w:val="24"/>
          <w:szCs w:val="24"/>
          <w:lang w:eastAsia="zh-CN"/>
          <w14:textFill>
            <w14:solidFill>
              <w14:schemeClr w14:val="tx1"/>
            </w14:solidFill>
          </w14:textFill>
        </w:rPr>
        <w:t>。</w:t>
      </w:r>
    </w:p>
    <w:p>
      <w:pPr>
        <w:pageBreakBefore w:val="0"/>
        <w:numPr>
          <w:ilvl w:val="0"/>
          <w:numId w:val="13"/>
        </w:numPr>
        <w:kinsoku/>
        <w:wordWrap/>
        <w:overflowPunct/>
        <w:topLinePunct w:val="0"/>
        <w:autoSpaceDE/>
        <w:autoSpaceDN/>
        <w:bidi w:val="0"/>
        <w:spacing w:line="360" w:lineRule="auto"/>
        <w:ind w:left="425" w:leftChars="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循环消毒风量：≥</w:t>
      </w:r>
      <w:r>
        <w:rPr>
          <w:rFonts w:hint="eastAsia" w:ascii="宋体" w:hAnsi="宋体" w:eastAsia="宋体" w:cs="宋体"/>
          <w:color w:val="000000" w:themeColor="text1"/>
          <w:sz w:val="24"/>
          <w:szCs w:val="24"/>
          <w:lang w:val="en-US" w:eastAsia="zh-CN"/>
          <w14:textFill>
            <w14:solidFill>
              <w14:schemeClr w14:val="tx1"/>
            </w14:solidFill>
          </w14:textFill>
        </w:rPr>
        <w:t>100</w:t>
      </w:r>
      <w:r>
        <w:rPr>
          <w:rFonts w:hint="eastAsia" w:ascii="宋体" w:hAnsi="宋体" w:eastAsia="宋体" w:cs="宋体"/>
          <w:color w:val="000000" w:themeColor="text1"/>
          <w:sz w:val="24"/>
          <w:szCs w:val="24"/>
          <w14:textFill>
            <w14:solidFill>
              <w14:schemeClr w14:val="tx1"/>
            </w14:solidFill>
          </w14:textFill>
        </w:rPr>
        <w:t>0</w:t>
      </w:r>
      <w:r>
        <w:rPr>
          <w:rFonts w:hint="eastAsia" w:ascii="宋体" w:hAnsi="宋体" w:eastAsia="宋体" w:cs="宋体"/>
          <w:b w:val="0"/>
          <w:bCs/>
          <w:color w:val="000000" w:themeColor="text1"/>
          <w:sz w:val="24"/>
          <w:szCs w:val="24"/>
          <w:lang w:val="en-US" w:eastAsia="zh-CN"/>
          <w14:textFill>
            <w14:solidFill>
              <w14:schemeClr w14:val="tx1"/>
            </w14:solidFill>
          </w14:textFill>
        </w:rPr>
        <w:t>m³</w:t>
      </w:r>
      <w:r>
        <w:rPr>
          <w:rFonts w:hint="eastAsia" w:ascii="宋体" w:hAnsi="宋体" w:eastAsia="宋体" w:cs="宋体"/>
          <w:color w:val="000000" w:themeColor="text1"/>
          <w:sz w:val="24"/>
          <w:szCs w:val="24"/>
          <w14:textFill>
            <w14:solidFill>
              <w14:schemeClr w14:val="tx1"/>
            </w14:solidFill>
          </w14:textFill>
        </w:rPr>
        <w:t>/h</w:t>
      </w:r>
      <w:r>
        <w:rPr>
          <w:rFonts w:hint="eastAsia" w:ascii="宋体" w:hAnsi="宋体" w:eastAsia="宋体" w:cs="宋体"/>
          <w:color w:val="000000" w:themeColor="text1"/>
          <w:sz w:val="24"/>
          <w:szCs w:val="24"/>
          <w:lang w:eastAsia="zh-CN"/>
          <w14:textFill>
            <w14:solidFill>
              <w14:schemeClr w14:val="tx1"/>
            </w14:solidFill>
          </w14:textFill>
        </w:rPr>
        <w:t>。</w:t>
      </w:r>
    </w:p>
    <w:p>
      <w:pPr>
        <w:pageBreakBefore w:val="0"/>
        <w:numPr>
          <w:ilvl w:val="0"/>
          <w:numId w:val="13"/>
        </w:numPr>
        <w:kinsoku/>
        <w:wordWrap/>
        <w:overflowPunct/>
        <w:topLinePunct w:val="0"/>
        <w:autoSpaceDE/>
        <w:autoSpaceDN/>
        <w:bidi w:val="0"/>
        <w:spacing w:line="360" w:lineRule="auto"/>
        <w:ind w:left="425" w:leftChars="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紫外线灯管使用寿命</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8000小时。</w:t>
      </w:r>
    </w:p>
    <w:p>
      <w:pPr>
        <w:pageBreakBefore w:val="0"/>
        <w:numPr>
          <w:ilvl w:val="0"/>
          <w:numId w:val="13"/>
        </w:numPr>
        <w:kinsoku/>
        <w:wordWrap/>
        <w:overflowPunct/>
        <w:topLinePunct w:val="0"/>
        <w:autoSpaceDE/>
        <w:autoSpaceDN/>
        <w:bidi w:val="0"/>
        <w:spacing w:line="360" w:lineRule="auto"/>
        <w:ind w:left="425"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细菌总量≤</w:t>
      </w:r>
      <w:r>
        <w:rPr>
          <w:rFonts w:hint="eastAsia" w:ascii="宋体" w:hAnsi="宋体" w:eastAsia="宋体" w:cs="宋体"/>
          <w:b w:val="0"/>
          <w:bCs w:val="0"/>
          <w:color w:val="000000" w:themeColor="text1"/>
          <w:sz w:val="24"/>
          <w:szCs w:val="24"/>
          <w:lang w:val="en-US" w:eastAsia="zh-CN"/>
          <w14:textFill>
            <w14:solidFill>
              <w14:schemeClr w14:val="tx1"/>
            </w14:solidFill>
          </w14:textFill>
        </w:rPr>
        <w:t>97</w:t>
      </w:r>
      <w:r>
        <w:rPr>
          <w:rFonts w:hint="eastAsia" w:ascii="宋体" w:hAnsi="宋体" w:eastAsia="宋体" w:cs="宋体"/>
          <w:b w:val="0"/>
          <w:bCs w:val="0"/>
          <w:color w:val="000000" w:themeColor="text1"/>
          <w:sz w:val="24"/>
          <w:szCs w:val="24"/>
          <w14:textFill>
            <w14:solidFill>
              <w14:schemeClr w14:val="tx1"/>
            </w14:solidFill>
          </w14:textFill>
        </w:rPr>
        <w:t>cfu/m</w:t>
      </w:r>
      <w:r>
        <w:rPr>
          <w:rFonts w:hint="eastAsia" w:ascii="宋体" w:hAnsi="宋体" w:eastAsia="宋体" w:cs="宋体"/>
          <w:b w:val="0"/>
          <w:bCs w:val="0"/>
          <w:color w:val="000000" w:themeColor="text1"/>
          <w:sz w:val="24"/>
          <w:szCs w:val="24"/>
          <w:vertAlign w:val="superscript"/>
          <w14:textFill>
            <w14:solidFill>
              <w14:schemeClr w14:val="tx1"/>
            </w14:solidFill>
          </w14:textFill>
        </w:rPr>
        <w:t>3</w:t>
      </w:r>
    </w:p>
    <w:p>
      <w:pPr>
        <w:pageBreakBefore w:val="0"/>
        <w:numPr>
          <w:ilvl w:val="0"/>
          <w:numId w:val="13"/>
        </w:numPr>
        <w:kinsoku/>
        <w:wordWrap/>
        <w:overflowPunct/>
        <w:topLinePunct w:val="0"/>
        <w:autoSpaceDE/>
        <w:autoSpaceDN/>
        <w:bidi w:val="0"/>
        <w:spacing w:line="360" w:lineRule="auto"/>
        <w:ind w:left="425"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消毒时空气中臭氧浓度：≤0.</w:t>
      </w:r>
      <w:r>
        <w:rPr>
          <w:rFonts w:hint="eastAsia" w:ascii="宋体" w:hAnsi="宋体" w:eastAsia="宋体" w:cs="宋体"/>
          <w:color w:val="000000" w:themeColor="text1"/>
          <w:sz w:val="24"/>
          <w:szCs w:val="24"/>
          <w:lang w:val="en-US" w:eastAsia="zh-CN"/>
          <w14:textFill>
            <w14:solidFill>
              <w14:schemeClr w14:val="tx1"/>
            </w14:solidFill>
          </w14:textFill>
        </w:rPr>
        <w:t>07</w:t>
      </w:r>
      <w:r>
        <w:rPr>
          <w:rFonts w:hint="eastAsia" w:ascii="宋体" w:hAnsi="宋体" w:eastAsia="宋体" w:cs="宋体"/>
          <w:color w:val="000000" w:themeColor="text1"/>
          <w:sz w:val="24"/>
          <w:szCs w:val="24"/>
          <w14:textFill>
            <w14:solidFill>
              <w14:schemeClr w14:val="tx1"/>
            </w14:solidFill>
          </w14:textFill>
        </w:rPr>
        <w:t>mg/</w:t>
      </w:r>
      <w:r>
        <w:rPr>
          <w:rFonts w:hint="eastAsia" w:ascii="宋体" w:hAnsi="宋体" w:eastAsia="宋体" w:cs="宋体"/>
          <w:b w:val="0"/>
          <w:bCs/>
          <w:color w:val="000000" w:themeColor="text1"/>
          <w:sz w:val="24"/>
          <w:szCs w:val="24"/>
          <w:lang w:val="en-US" w:eastAsia="zh-CN"/>
          <w14:textFill>
            <w14:solidFill>
              <w14:schemeClr w14:val="tx1"/>
            </w14:solidFill>
          </w14:textFill>
        </w:rPr>
        <w:t>m³</w:t>
      </w:r>
      <w:r>
        <w:rPr>
          <w:rFonts w:hint="eastAsia" w:ascii="宋体" w:hAnsi="宋体" w:eastAsia="宋体" w:cs="宋体"/>
          <w:color w:val="000000" w:themeColor="text1"/>
          <w:sz w:val="24"/>
          <w:szCs w:val="24"/>
          <w14:textFill>
            <w14:solidFill>
              <w14:schemeClr w14:val="tx1"/>
            </w14:solidFill>
          </w14:textFill>
        </w:rPr>
        <w:t>。</w:t>
      </w:r>
    </w:p>
    <w:p>
      <w:pPr>
        <w:pageBreakBefore w:val="0"/>
        <w:numPr>
          <w:ilvl w:val="0"/>
          <w:numId w:val="13"/>
        </w:numPr>
        <w:kinsoku/>
        <w:wordWrap/>
        <w:overflowPunct/>
        <w:topLinePunct w:val="0"/>
        <w:autoSpaceDE/>
        <w:autoSpaceDN/>
        <w:bidi w:val="0"/>
        <w:spacing w:line="360" w:lineRule="auto"/>
        <w:ind w:left="425" w:leftChars="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负离子发生量：≥8×10</w:t>
      </w:r>
      <w:r>
        <w:rPr>
          <w:rFonts w:hint="eastAsia" w:ascii="宋体" w:hAnsi="宋体" w:eastAsia="宋体" w:cs="宋体"/>
          <w:color w:val="000000" w:themeColor="text1"/>
          <w:sz w:val="24"/>
          <w:szCs w:val="24"/>
          <w:vertAlign w:val="superscript"/>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个/cm</w:t>
      </w:r>
      <w:r>
        <w:rPr>
          <w:rFonts w:hint="eastAsia" w:ascii="宋体" w:hAnsi="宋体" w:eastAsia="宋体" w:cs="宋体"/>
          <w:color w:val="000000" w:themeColor="text1"/>
          <w:sz w:val="24"/>
          <w:szCs w:val="24"/>
          <w:vertAlign w:val="superscript"/>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w:t>
      </w:r>
    </w:p>
    <w:p>
      <w:pPr>
        <w:pageBreakBefore w:val="0"/>
        <w:numPr>
          <w:ilvl w:val="0"/>
          <w:numId w:val="13"/>
        </w:numPr>
        <w:kinsoku/>
        <w:wordWrap/>
        <w:overflowPunct/>
        <w:topLinePunct w:val="0"/>
        <w:autoSpaceDE/>
        <w:autoSpaceDN/>
        <w:bidi w:val="0"/>
        <w:spacing w:line="360" w:lineRule="auto"/>
        <w:ind w:left="425" w:leftChars="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紫</w:t>
      </w:r>
      <w:r>
        <w:rPr>
          <w:rFonts w:hint="eastAsia" w:ascii="宋体" w:hAnsi="宋体" w:eastAsia="宋体" w:cs="宋体"/>
          <w:color w:val="000000" w:themeColor="text1"/>
          <w:sz w:val="24"/>
          <w:szCs w:val="24"/>
          <w:lang w:eastAsia="zh-CN"/>
          <w14:textFill>
            <w14:solidFill>
              <w14:schemeClr w14:val="tx1"/>
            </w14:solidFill>
          </w14:textFill>
        </w:rPr>
        <w:t>外</w:t>
      </w:r>
      <w:r>
        <w:rPr>
          <w:rFonts w:hint="eastAsia" w:ascii="宋体" w:hAnsi="宋体" w:eastAsia="宋体" w:cs="宋体"/>
          <w:color w:val="000000" w:themeColor="text1"/>
          <w:sz w:val="24"/>
          <w:szCs w:val="24"/>
          <w14:textFill>
            <w14:solidFill>
              <w14:schemeClr w14:val="tx1"/>
            </w14:solidFill>
          </w14:textFill>
        </w:rPr>
        <w:t>线辐射强度</w:t>
      </w:r>
      <w:r>
        <w:rPr>
          <w:rFonts w:hint="eastAsia" w:ascii="宋体" w:hAnsi="宋体" w:eastAsia="宋体" w:cs="宋体"/>
          <w:color w:val="000000" w:themeColor="text1"/>
          <w:sz w:val="24"/>
          <w:szCs w:val="24"/>
          <w:lang w:val="en-US" w:eastAsia="zh-CN"/>
          <w14:textFill>
            <w14:solidFill>
              <w14:schemeClr w14:val="tx1"/>
            </w14:solidFill>
          </w14:textFill>
        </w:rPr>
        <w:t>13269</w:t>
      </w:r>
      <w:r>
        <w:rPr>
          <w:rFonts w:hint="eastAsia" w:ascii="宋体" w:hAnsi="宋体" w:eastAsia="宋体" w:cs="宋体"/>
          <w:color w:val="000000" w:themeColor="text1"/>
          <w:sz w:val="24"/>
          <w:szCs w:val="24"/>
          <w14:textFill>
            <w14:solidFill>
              <w14:schemeClr w14:val="tx1"/>
            </w14:solidFill>
          </w14:textFill>
        </w:rPr>
        <w:t>µW/cm</w:t>
      </w:r>
      <w:r>
        <w:rPr>
          <w:rFonts w:hint="eastAsia" w:ascii="宋体" w:hAnsi="宋体" w:eastAsia="宋体" w:cs="宋体"/>
          <w:color w:val="000000" w:themeColor="text1"/>
          <w:sz w:val="24"/>
          <w:szCs w:val="24"/>
          <w:vertAlign w:val="superscript"/>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w:t>
      </w:r>
    </w:p>
    <w:p>
      <w:pPr>
        <w:pageBreakBefore w:val="0"/>
        <w:numPr>
          <w:ilvl w:val="0"/>
          <w:numId w:val="13"/>
        </w:numPr>
        <w:kinsoku/>
        <w:wordWrap/>
        <w:overflowPunct/>
        <w:topLinePunct w:val="0"/>
        <w:autoSpaceDE/>
        <w:autoSpaceDN/>
        <w:bidi w:val="0"/>
        <w:spacing w:line="360" w:lineRule="auto"/>
        <w:ind w:left="425" w:leftChars="0"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对空气中自然菌的</w:t>
      </w:r>
      <w:r>
        <w:rPr>
          <w:rFonts w:hint="eastAsia" w:ascii="宋体" w:hAnsi="宋体" w:eastAsia="宋体" w:cs="宋体"/>
          <w:color w:val="000000" w:themeColor="text1"/>
          <w:sz w:val="24"/>
          <w:szCs w:val="24"/>
          <w:lang w:eastAsia="zh-CN"/>
          <w14:textFill>
            <w14:solidFill>
              <w14:schemeClr w14:val="tx1"/>
            </w14:solidFill>
          </w14:textFill>
        </w:rPr>
        <w:t>平均</w:t>
      </w:r>
      <w:r>
        <w:rPr>
          <w:rFonts w:hint="eastAsia" w:ascii="宋体" w:hAnsi="宋体" w:eastAsia="宋体" w:cs="宋体"/>
          <w:color w:val="000000" w:themeColor="text1"/>
          <w:sz w:val="24"/>
          <w:szCs w:val="24"/>
          <w14:textFill>
            <w14:solidFill>
              <w14:schemeClr w14:val="tx1"/>
            </w14:solidFill>
          </w14:textFill>
        </w:rPr>
        <w:t>杀灭率</w:t>
      </w:r>
      <w:r>
        <w:rPr>
          <w:rFonts w:hint="eastAsia" w:ascii="宋体" w:hAnsi="宋体" w:eastAsia="宋体" w:cs="宋体"/>
          <w:color w:val="000000" w:themeColor="text1"/>
          <w:sz w:val="24"/>
          <w:szCs w:val="24"/>
          <w:lang w:val="en-US" w:eastAsia="zh-CN"/>
          <w14:textFill>
            <w14:solidFill>
              <w14:schemeClr w14:val="tx1"/>
            </w14:solidFill>
          </w14:textFill>
        </w:rPr>
        <w:t>92.39</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w:t>
      </w:r>
    </w:p>
    <w:p>
      <w:pPr>
        <w:pageBreakBefore w:val="0"/>
        <w:numPr>
          <w:ilvl w:val="0"/>
          <w:numId w:val="13"/>
        </w:numPr>
        <w:kinsoku/>
        <w:wordWrap/>
        <w:overflowPunct/>
        <w:topLinePunct w:val="0"/>
        <w:autoSpaceDE/>
        <w:autoSpaceDN/>
        <w:bidi w:val="0"/>
        <w:spacing w:line="360" w:lineRule="auto"/>
        <w:ind w:left="425" w:leftChars="0" w:firstLine="480" w:firstLineChars="200"/>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对空气中白葡萄球菌平均杀灭率99.99%</w:t>
      </w:r>
      <w:r>
        <w:rPr>
          <w:rFonts w:hint="eastAsia" w:ascii="宋体" w:hAnsi="宋体" w:eastAsia="宋体" w:cs="宋体"/>
          <w:color w:val="000000" w:themeColor="text1"/>
          <w:sz w:val="24"/>
          <w:szCs w:val="24"/>
          <w:lang w:eastAsia="zh-CN"/>
          <w14:textFill>
            <w14:solidFill>
              <w14:schemeClr w14:val="tx1"/>
            </w14:solidFill>
          </w14:textFill>
        </w:rPr>
        <w:t>。</w:t>
      </w:r>
    </w:p>
    <w:p>
      <w:pPr>
        <w:pageBreakBefore w:val="0"/>
        <w:numPr>
          <w:ilvl w:val="0"/>
          <w:numId w:val="13"/>
        </w:numPr>
        <w:kinsoku/>
        <w:wordWrap/>
        <w:overflowPunct/>
        <w:topLinePunct w:val="0"/>
        <w:autoSpaceDE/>
        <w:autoSpaceDN/>
        <w:bidi w:val="0"/>
        <w:spacing w:line="360" w:lineRule="auto"/>
        <w:ind w:left="425" w:leftChars="0" w:firstLine="480" w:firstLineChars="200"/>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乙型溶血性链球菌杀灭率＞</w:t>
      </w:r>
      <w:r>
        <w:rPr>
          <w:rFonts w:hint="eastAsia" w:ascii="宋体" w:hAnsi="宋体" w:eastAsia="宋体" w:cs="宋体"/>
          <w:color w:val="000000" w:themeColor="text1"/>
          <w:kern w:val="0"/>
          <w:sz w:val="24"/>
          <w:szCs w:val="24"/>
          <w:lang w:val="en-US" w:eastAsia="zh-CN"/>
          <w14:textFill>
            <w14:solidFill>
              <w14:schemeClr w14:val="tx1"/>
            </w14:solidFill>
          </w14:textFill>
        </w:rPr>
        <w:t>99.99%；</w:t>
      </w:r>
    </w:p>
    <w:p>
      <w:pPr>
        <w:pageBreakBefore w:val="0"/>
        <w:numPr>
          <w:ilvl w:val="0"/>
          <w:numId w:val="13"/>
        </w:numPr>
        <w:kinsoku/>
        <w:wordWrap/>
        <w:overflowPunct/>
        <w:topLinePunct w:val="0"/>
        <w:autoSpaceDE/>
        <w:autoSpaceDN/>
        <w:bidi w:val="0"/>
        <w:spacing w:line="360" w:lineRule="auto"/>
        <w:ind w:left="425" w:leftChars="0" w:firstLine="480" w:firstLineChars="200"/>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大肠杆菌</w:t>
      </w:r>
      <w:r>
        <w:rPr>
          <w:rFonts w:hint="eastAsia" w:ascii="宋体" w:hAnsi="宋体" w:eastAsia="宋体" w:cs="宋体"/>
          <w:color w:val="000000" w:themeColor="text1"/>
          <w:kern w:val="0"/>
          <w:sz w:val="24"/>
          <w:szCs w:val="24"/>
          <w:lang w:eastAsia="zh-CN"/>
          <w14:textFill>
            <w14:solidFill>
              <w14:schemeClr w14:val="tx1"/>
            </w14:solidFill>
          </w14:textFill>
        </w:rPr>
        <w:t>杀灭率＞</w:t>
      </w:r>
      <w:r>
        <w:rPr>
          <w:rFonts w:hint="eastAsia" w:ascii="宋体" w:hAnsi="宋体" w:eastAsia="宋体" w:cs="宋体"/>
          <w:color w:val="000000" w:themeColor="text1"/>
          <w:kern w:val="0"/>
          <w:sz w:val="24"/>
          <w:szCs w:val="24"/>
          <w:lang w:val="en-US" w:eastAsia="zh-CN"/>
          <w14:textFill>
            <w14:solidFill>
              <w14:schemeClr w14:val="tx1"/>
            </w14:solidFill>
          </w14:textFill>
        </w:rPr>
        <w:t>99.99%，</w:t>
      </w:r>
    </w:p>
    <w:p>
      <w:pPr>
        <w:pageBreakBefore w:val="0"/>
        <w:numPr>
          <w:ilvl w:val="0"/>
          <w:numId w:val="13"/>
        </w:numPr>
        <w:kinsoku/>
        <w:wordWrap/>
        <w:overflowPunct/>
        <w:topLinePunct w:val="0"/>
        <w:autoSpaceDE/>
        <w:autoSpaceDN/>
        <w:bidi w:val="0"/>
        <w:spacing w:line="360" w:lineRule="auto"/>
        <w:ind w:left="425" w:leftChars="0" w:firstLine="480" w:firstLineChars="200"/>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肺炎克雷伯氏菌杀灭率＞99.99%；</w:t>
      </w:r>
    </w:p>
    <w:p>
      <w:pPr>
        <w:pageBreakBefore w:val="0"/>
        <w:numPr>
          <w:ilvl w:val="0"/>
          <w:numId w:val="13"/>
        </w:numPr>
        <w:kinsoku/>
        <w:wordWrap/>
        <w:overflowPunct/>
        <w:topLinePunct w:val="0"/>
        <w:autoSpaceDE/>
        <w:autoSpaceDN/>
        <w:bidi w:val="0"/>
        <w:spacing w:line="360" w:lineRule="auto"/>
        <w:ind w:left="425" w:leftChars="0" w:firstLine="480" w:firstLineChars="200"/>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白色念珠菌杀灭率＞99.99%。</w:t>
      </w:r>
    </w:p>
    <w:p>
      <w:pPr>
        <w:pageBreakBefore w:val="0"/>
        <w:numPr>
          <w:ilvl w:val="0"/>
          <w:numId w:val="13"/>
        </w:numPr>
        <w:kinsoku/>
        <w:wordWrap/>
        <w:overflowPunct/>
        <w:topLinePunct w:val="0"/>
        <w:autoSpaceDE/>
        <w:autoSpaceDN/>
        <w:bidi w:val="0"/>
        <w:spacing w:line="360" w:lineRule="auto"/>
        <w:ind w:left="425" w:leftChars="0" w:firstLine="480" w:firstLineChars="200"/>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紫外线泄漏量＜</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µW/cm</w:t>
      </w:r>
      <w:r>
        <w:rPr>
          <w:rFonts w:hint="eastAsia" w:ascii="宋体" w:hAnsi="宋体" w:eastAsia="宋体" w:cs="宋体"/>
          <w:color w:val="000000" w:themeColor="text1"/>
          <w:sz w:val="24"/>
          <w:szCs w:val="24"/>
          <w:vertAlign w:val="superscript"/>
          <w14:textFill>
            <w14:solidFill>
              <w14:schemeClr w14:val="tx1"/>
            </w14:solidFill>
          </w14:textFill>
        </w:rPr>
        <w:t>2</w:t>
      </w:r>
    </w:p>
    <w:p>
      <w:pPr>
        <w:pageBreakBefore w:val="0"/>
        <w:numPr>
          <w:ilvl w:val="0"/>
          <w:numId w:val="13"/>
        </w:numPr>
        <w:kinsoku/>
        <w:wordWrap/>
        <w:overflowPunct/>
        <w:topLinePunct w:val="0"/>
        <w:autoSpaceDE/>
        <w:autoSpaceDN/>
        <w:bidi w:val="0"/>
        <w:spacing w:line="360" w:lineRule="auto"/>
        <w:ind w:left="425"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额定电压：AC 220V±22V，消毒功率：≤</w:t>
      </w:r>
      <w:r>
        <w:rPr>
          <w:rFonts w:hint="eastAsia" w:ascii="宋体" w:hAnsi="宋体" w:eastAsia="宋体" w:cs="宋体"/>
          <w:color w:val="000000" w:themeColor="text1"/>
          <w:sz w:val="24"/>
          <w:szCs w:val="24"/>
          <w:lang w:val="en-US" w:eastAsia="zh-CN"/>
          <w14:textFill>
            <w14:solidFill>
              <w14:schemeClr w14:val="tx1"/>
            </w14:solidFill>
          </w14:textFill>
        </w:rPr>
        <w:t>14</w:t>
      </w:r>
      <w:r>
        <w:rPr>
          <w:rFonts w:hint="eastAsia" w:ascii="宋体" w:hAnsi="宋体" w:eastAsia="宋体" w:cs="宋体"/>
          <w:color w:val="000000" w:themeColor="text1"/>
          <w:sz w:val="24"/>
          <w:szCs w:val="24"/>
          <w14:textFill>
            <w14:solidFill>
              <w14:schemeClr w14:val="tx1"/>
            </w14:solidFill>
          </w14:textFill>
        </w:rPr>
        <w:t>0W，额定频率：50Hz±1Hz</w:t>
      </w:r>
      <w:r>
        <w:rPr>
          <w:rFonts w:hint="eastAsia" w:ascii="宋体" w:hAnsi="宋体" w:eastAsia="宋体" w:cs="宋体"/>
          <w:color w:val="000000" w:themeColor="text1"/>
          <w:sz w:val="24"/>
          <w:szCs w:val="24"/>
          <w:lang w:eastAsia="zh-CN"/>
          <w14:textFill>
            <w14:solidFill>
              <w14:schemeClr w14:val="tx1"/>
            </w14:solidFill>
          </w14:textFill>
        </w:rPr>
        <w:t>。</w:t>
      </w:r>
    </w:p>
    <w:p>
      <w:pPr>
        <w:pageBreakBefore w:val="0"/>
        <w:numPr>
          <w:ilvl w:val="0"/>
          <w:numId w:val="13"/>
        </w:numPr>
        <w:kinsoku/>
        <w:wordWrap/>
        <w:overflowPunct/>
        <w:topLinePunct w:val="0"/>
        <w:autoSpaceDE/>
        <w:autoSpaceDN/>
        <w:bidi w:val="0"/>
        <w:spacing w:line="360" w:lineRule="auto"/>
        <w:ind w:left="425"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噪音：≤55d</w:t>
      </w:r>
      <w:r>
        <w:rPr>
          <w:rFonts w:hint="eastAsia" w:ascii="宋体" w:hAnsi="宋体" w:eastAsia="宋体" w:cs="宋体"/>
          <w:color w:val="000000" w:themeColor="text1"/>
          <w:sz w:val="24"/>
          <w:szCs w:val="24"/>
          <w:lang w:val="en-US" w:eastAsia="zh-CN"/>
          <w14:textFill>
            <w14:solidFill>
              <w14:schemeClr w14:val="tx1"/>
            </w14:solidFill>
          </w14:textFill>
        </w:rPr>
        <w:t>B。</w:t>
      </w:r>
    </w:p>
    <w:p>
      <w:pPr>
        <w:pageBreakBefore w:val="0"/>
        <w:numPr>
          <w:ilvl w:val="0"/>
          <w:numId w:val="13"/>
        </w:numPr>
        <w:kinsoku/>
        <w:wordWrap/>
        <w:overflowPunct/>
        <w:topLinePunct w:val="0"/>
        <w:autoSpaceDE/>
        <w:autoSpaceDN/>
        <w:bidi w:val="0"/>
        <w:spacing w:line="360" w:lineRule="auto"/>
        <w:ind w:left="425" w:leftChars="0"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微电脑程序控制，中文背光液晶显示屏</w:t>
      </w:r>
      <w:r>
        <w:rPr>
          <w:rFonts w:hint="eastAsia" w:ascii="宋体" w:hAnsi="宋体" w:eastAsia="宋体" w:cs="宋体"/>
          <w:color w:val="000000" w:themeColor="text1"/>
          <w:sz w:val="24"/>
          <w:szCs w:val="24"/>
          <w:lang w:eastAsia="zh-CN"/>
          <w14:textFill>
            <w14:solidFill>
              <w14:schemeClr w14:val="tx1"/>
            </w14:solidFill>
          </w14:textFill>
        </w:rPr>
        <w:t>。</w:t>
      </w:r>
    </w:p>
    <w:p>
      <w:pPr>
        <w:pageBreakBefore w:val="0"/>
        <w:numPr>
          <w:ilvl w:val="0"/>
          <w:numId w:val="13"/>
        </w:numPr>
        <w:kinsoku/>
        <w:wordWrap/>
        <w:overflowPunct/>
        <w:topLinePunct w:val="0"/>
        <w:autoSpaceDE/>
        <w:autoSpaceDN/>
        <w:bidi w:val="0"/>
        <w:spacing w:line="360" w:lineRule="auto"/>
        <w:ind w:left="425" w:leftChars="0"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紫外线灯管</w:t>
      </w:r>
      <w:r>
        <w:rPr>
          <w:rFonts w:hint="eastAsia" w:ascii="宋体" w:hAnsi="宋体" w:eastAsia="宋体" w:cs="宋体"/>
          <w:color w:val="000000" w:themeColor="text1"/>
          <w:sz w:val="24"/>
          <w:szCs w:val="24"/>
          <w14:textFill>
            <w14:solidFill>
              <w14:schemeClr w14:val="tx1"/>
            </w14:solidFill>
          </w14:textFill>
        </w:rPr>
        <w:t>、电机、负氧离子故障自动检测故障提示</w:t>
      </w:r>
      <w:r>
        <w:rPr>
          <w:rFonts w:hint="eastAsia" w:ascii="宋体" w:hAnsi="宋体" w:eastAsia="宋体" w:cs="宋体"/>
          <w:color w:val="000000" w:themeColor="text1"/>
          <w:sz w:val="24"/>
          <w:szCs w:val="24"/>
          <w:lang w:eastAsia="zh-CN"/>
          <w14:textFill>
            <w14:solidFill>
              <w14:schemeClr w14:val="tx1"/>
            </w14:solidFill>
          </w14:textFill>
        </w:rPr>
        <w:t>。</w:t>
      </w:r>
    </w:p>
    <w:p>
      <w:pPr>
        <w:pageBreakBefore w:val="0"/>
        <w:numPr>
          <w:ilvl w:val="0"/>
          <w:numId w:val="13"/>
        </w:numPr>
        <w:kinsoku/>
        <w:wordWrap/>
        <w:overflowPunct/>
        <w:topLinePunct w:val="0"/>
        <w:autoSpaceDE/>
        <w:autoSpaceDN/>
        <w:bidi w:val="0"/>
        <w:spacing w:line="360" w:lineRule="auto"/>
        <w:ind w:left="425" w:leftChars="0"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t>采用</w:t>
      </w: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H型</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石英紫外线灯</w:t>
      </w:r>
      <w:r>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t>消毒、杀菌。</w:t>
      </w:r>
    </w:p>
    <w:p>
      <w:pPr>
        <w:pageBreakBefore w:val="0"/>
        <w:numPr>
          <w:ilvl w:val="0"/>
          <w:numId w:val="13"/>
        </w:numPr>
        <w:kinsoku/>
        <w:wordWrap/>
        <w:overflowPunct/>
        <w:topLinePunct w:val="0"/>
        <w:autoSpaceDE/>
        <w:autoSpaceDN/>
        <w:bidi w:val="0"/>
        <w:spacing w:line="360" w:lineRule="auto"/>
        <w:ind w:left="425" w:leftChars="0"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具有消毒及风量</w:t>
      </w:r>
      <w:r>
        <w:rPr>
          <w:rFonts w:hint="eastAsia" w:ascii="宋体" w:hAnsi="宋体" w:eastAsia="宋体" w:cs="宋体"/>
          <w:color w:val="000000" w:themeColor="text1"/>
          <w:sz w:val="24"/>
          <w:szCs w:val="24"/>
          <w14:textFill>
            <w14:solidFill>
              <w14:schemeClr w14:val="tx1"/>
            </w14:solidFill>
          </w14:textFill>
        </w:rPr>
        <w:t>加强功能</w:t>
      </w:r>
      <w:r>
        <w:rPr>
          <w:rFonts w:hint="eastAsia" w:ascii="宋体" w:hAnsi="宋体" w:eastAsia="宋体" w:cs="宋体"/>
          <w:color w:val="000000" w:themeColor="text1"/>
          <w:sz w:val="24"/>
          <w:szCs w:val="24"/>
          <w:lang w:eastAsia="zh-CN"/>
          <w14:textFill>
            <w14:solidFill>
              <w14:schemeClr w14:val="tx1"/>
            </w14:solidFill>
          </w14:textFill>
        </w:rPr>
        <w:t>。</w:t>
      </w:r>
    </w:p>
    <w:p>
      <w:pPr>
        <w:pageBreakBefore w:val="0"/>
        <w:numPr>
          <w:ilvl w:val="0"/>
          <w:numId w:val="13"/>
        </w:numPr>
        <w:kinsoku/>
        <w:wordWrap/>
        <w:overflowPunct/>
        <w:topLinePunct w:val="0"/>
        <w:autoSpaceDE/>
        <w:autoSpaceDN/>
        <w:bidi w:val="0"/>
        <w:spacing w:line="360" w:lineRule="auto"/>
        <w:ind w:left="425" w:leftChars="0"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采用主控制芯片，附带时钟计时芯片，工作稳定可靠</w:t>
      </w:r>
      <w:r>
        <w:rPr>
          <w:rFonts w:hint="eastAsia" w:ascii="宋体" w:hAnsi="宋体" w:eastAsia="宋体" w:cs="宋体"/>
          <w:color w:val="000000" w:themeColor="text1"/>
          <w:sz w:val="24"/>
          <w:szCs w:val="24"/>
          <w:lang w:eastAsia="zh-CN"/>
          <w14:textFill>
            <w14:solidFill>
              <w14:schemeClr w14:val="tx1"/>
            </w14:solidFill>
          </w14:textFill>
        </w:rPr>
        <w:t>。</w:t>
      </w:r>
    </w:p>
    <w:p>
      <w:pPr>
        <w:pageBreakBefore w:val="0"/>
        <w:numPr>
          <w:ilvl w:val="0"/>
          <w:numId w:val="13"/>
        </w:numPr>
        <w:kinsoku/>
        <w:wordWrap/>
        <w:overflowPunct/>
        <w:topLinePunct w:val="0"/>
        <w:autoSpaceDE/>
        <w:autoSpaceDN/>
        <w:bidi w:val="0"/>
        <w:spacing w:line="360" w:lineRule="auto"/>
        <w:ind w:left="425" w:leftChars="0"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kern w:val="10"/>
          <w:position w:val="6"/>
          <w:sz w:val="24"/>
          <w:szCs w:val="24"/>
          <w14:textFill>
            <w14:solidFill>
              <w14:schemeClr w14:val="tx1"/>
            </w14:solidFill>
          </w14:textFill>
        </w:rPr>
        <w:t>具有</w:t>
      </w:r>
      <w:r>
        <w:rPr>
          <w:rFonts w:hint="eastAsia" w:ascii="宋体" w:hAnsi="宋体" w:eastAsia="宋体" w:cs="宋体"/>
          <w:color w:val="000000" w:themeColor="text1"/>
          <w:kern w:val="10"/>
          <w:position w:val="6"/>
          <w:sz w:val="24"/>
          <w:szCs w:val="24"/>
          <w:lang w:eastAsia="zh-CN"/>
          <w14:textFill>
            <w14:solidFill>
              <w14:schemeClr w14:val="tx1"/>
            </w14:solidFill>
          </w14:textFill>
        </w:rPr>
        <w:t>手动消毒和</w:t>
      </w:r>
      <w:r>
        <w:rPr>
          <w:rFonts w:hint="eastAsia" w:ascii="宋体" w:hAnsi="宋体" w:eastAsia="宋体" w:cs="宋体"/>
          <w:color w:val="000000" w:themeColor="text1"/>
          <w:kern w:val="10"/>
          <w:position w:val="6"/>
          <w:sz w:val="24"/>
          <w:szCs w:val="24"/>
          <w14:textFill>
            <w14:solidFill>
              <w14:schemeClr w14:val="tx1"/>
            </w14:solidFill>
          </w14:textFill>
        </w:rPr>
        <w:t>程控定时</w:t>
      </w:r>
      <w:r>
        <w:rPr>
          <w:rFonts w:hint="eastAsia" w:ascii="宋体" w:hAnsi="宋体" w:eastAsia="宋体" w:cs="宋体"/>
          <w:color w:val="000000" w:themeColor="text1"/>
          <w:kern w:val="10"/>
          <w:position w:val="6"/>
          <w:sz w:val="24"/>
          <w:szCs w:val="24"/>
          <w:lang w:eastAsia="zh-CN"/>
          <w14:textFill>
            <w14:solidFill>
              <w14:schemeClr w14:val="tx1"/>
            </w14:solidFill>
          </w14:textFill>
        </w:rPr>
        <w:t>消毒</w:t>
      </w:r>
      <w:r>
        <w:rPr>
          <w:rFonts w:hint="eastAsia" w:ascii="宋体" w:hAnsi="宋体" w:eastAsia="宋体" w:cs="宋体"/>
          <w:color w:val="000000" w:themeColor="text1"/>
          <w:kern w:val="10"/>
          <w:position w:val="6"/>
          <w:sz w:val="24"/>
          <w:szCs w:val="24"/>
          <w14:textFill>
            <w14:solidFill>
              <w14:schemeClr w14:val="tx1"/>
            </w14:solidFill>
          </w14:textFill>
        </w:rPr>
        <w:t>功能</w:t>
      </w:r>
      <w:r>
        <w:rPr>
          <w:rFonts w:hint="eastAsia" w:ascii="宋体" w:hAnsi="宋体" w:eastAsia="宋体" w:cs="宋体"/>
          <w:color w:val="000000" w:themeColor="text1"/>
          <w:kern w:val="10"/>
          <w:position w:val="6"/>
          <w:sz w:val="24"/>
          <w:szCs w:val="24"/>
          <w:lang w:eastAsia="zh-CN"/>
          <w14:textFill>
            <w14:solidFill>
              <w14:schemeClr w14:val="tx1"/>
            </w14:solidFill>
          </w14:textFill>
        </w:rPr>
        <w:t>。</w:t>
      </w:r>
    </w:p>
    <w:p>
      <w:pPr>
        <w:pageBreakBefore w:val="0"/>
        <w:numPr>
          <w:ilvl w:val="0"/>
          <w:numId w:val="13"/>
        </w:numPr>
        <w:kinsoku/>
        <w:wordWrap/>
        <w:overflowPunct/>
        <w:topLinePunct w:val="0"/>
        <w:autoSpaceDE/>
        <w:autoSpaceDN/>
        <w:bidi w:val="0"/>
        <w:spacing w:line="360" w:lineRule="auto"/>
        <w:ind w:left="425" w:leftChars="0"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kern w:val="10"/>
          <w:position w:val="6"/>
          <w:sz w:val="24"/>
          <w:szCs w:val="24"/>
          <w:lang w:eastAsia="zh-CN"/>
          <w14:textFill>
            <w14:solidFill>
              <w14:schemeClr w14:val="tx1"/>
            </w14:solidFill>
          </w14:textFill>
        </w:rPr>
        <w:t>消毒可设置六个时间段，时间可任意设置。</w:t>
      </w:r>
    </w:p>
    <w:p>
      <w:pPr>
        <w:pageBreakBefore w:val="0"/>
        <w:numPr>
          <w:ilvl w:val="0"/>
          <w:numId w:val="13"/>
        </w:numPr>
        <w:kinsoku/>
        <w:wordWrap/>
        <w:overflowPunct/>
        <w:topLinePunct w:val="0"/>
        <w:autoSpaceDE/>
        <w:autoSpaceDN/>
        <w:bidi w:val="0"/>
        <w:spacing w:line="360" w:lineRule="auto"/>
        <w:ind w:left="425" w:leftChars="0"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采用下进风，上出风</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避免吹凉病员，</w:t>
      </w:r>
      <w:r>
        <w:rPr>
          <w:rFonts w:hint="eastAsia" w:ascii="宋体" w:hAnsi="宋体" w:eastAsia="宋体" w:cs="宋体"/>
          <w:color w:val="000000" w:themeColor="text1"/>
          <w:sz w:val="24"/>
          <w:szCs w:val="24"/>
          <w14:textFill>
            <w14:solidFill>
              <w14:schemeClr w14:val="tx1"/>
            </w14:solidFill>
          </w14:textFill>
        </w:rPr>
        <w:t>循环风量大</w:t>
      </w:r>
      <w:r>
        <w:rPr>
          <w:rFonts w:hint="eastAsia" w:ascii="宋体" w:hAnsi="宋体" w:eastAsia="宋体" w:cs="宋体"/>
          <w:color w:val="000000" w:themeColor="text1"/>
          <w:sz w:val="24"/>
          <w:szCs w:val="24"/>
          <w:lang w:eastAsia="zh-CN"/>
          <w14:textFill>
            <w14:solidFill>
              <w14:schemeClr w14:val="tx1"/>
            </w14:solidFill>
          </w14:textFill>
        </w:rPr>
        <w:t>。</w:t>
      </w:r>
    </w:p>
    <w:p>
      <w:pPr>
        <w:pageBreakBefore w:val="0"/>
        <w:numPr>
          <w:ilvl w:val="0"/>
          <w:numId w:val="13"/>
        </w:numPr>
        <w:kinsoku/>
        <w:wordWrap/>
        <w:overflowPunct/>
        <w:topLinePunct w:val="0"/>
        <w:autoSpaceDE/>
        <w:autoSpaceDN/>
        <w:bidi w:val="0"/>
        <w:spacing w:line="360" w:lineRule="auto"/>
        <w:ind w:left="425" w:leftChars="0"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带多次使用初中效尘埃过滤网、活性炭网除臭</w:t>
      </w:r>
      <w:r>
        <w:rPr>
          <w:rFonts w:hint="eastAsia" w:ascii="宋体" w:hAnsi="宋体" w:eastAsia="宋体" w:cs="宋体"/>
          <w:color w:val="000000" w:themeColor="text1"/>
          <w:sz w:val="24"/>
          <w:szCs w:val="24"/>
          <w:lang w:eastAsia="zh-CN"/>
          <w14:textFill>
            <w14:solidFill>
              <w14:schemeClr w14:val="tx1"/>
            </w14:solidFill>
          </w14:textFill>
        </w:rPr>
        <w:t>、光触媒杀菌</w:t>
      </w:r>
      <w:r>
        <w:rPr>
          <w:rFonts w:hint="eastAsia" w:ascii="宋体" w:hAnsi="宋体" w:eastAsia="宋体" w:cs="宋体"/>
          <w:color w:val="000000" w:themeColor="text1"/>
          <w:sz w:val="24"/>
          <w:szCs w:val="24"/>
          <w14:textFill>
            <w14:solidFill>
              <w14:schemeClr w14:val="tx1"/>
            </w14:solidFill>
          </w14:textFill>
        </w:rPr>
        <w:t>等辅助消毒手段</w:t>
      </w:r>
      <w:r>
        <w:rPr>
          <w:rFonts w:hint="eastAsia" w:ascii="宋体" w:hAnsi="宋体" w:eastAsia="宋体" w:cs="宋体"/>
          <w:color w:val="000000" w:themeColor="text1"/>
          <w:sz w:val="24"/>
          <w:szCs w:val="24"/>
          <w:lang w:eastAsia="zh-CN"/>
          <w14:textFill>
            <w14:solidFill>
              <w14:schemeClr w14:val="tx1"/>
            </w14:solidFill>
          </w14:textFill>
        </w:rPr>
        <w:t>。</w:t>
      </w:r>
    </w:p>
    <w:p>
      <w:pPr>
        <w:pageBreakBefore w:val="0"/>
        <w:numPr>
          <w:ilvl w:val="0"/>
          <w:numId w:val="13"/>
        </w:numPr>
        <w:kinsoku/>
        <w:wordWrap/>
        <w:overflowPunct/>
        <w:topLinePunct w:val="0"/>
        <w:autoSpaceDE/>
        <w:autoSpaceDN/>
        <w:bidi w:val="0"/>
        <w:spacing w:line="360" w:lineRule="auto"/>
        <w:ind w:left="425" w:leftChars="0"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内置静态除臭因子，解决终末消毒</w:t>
      </w:r>
      <w:r>
        <w:rPr>
          <w:rFonts w:hint="eastAsia" w:ascii="宋体" w:hAnsi="宋体" w:eastAsia="宋体" w:cs="宋体"/>
          <w:color w:val="000000" w:themeColor="text1"/>
          <w:sz w:val="24"/>
          <w:szCs w:val="24"/>
          <w:lang w:eastAsia="zh-CN"/>
          <w14:textFill>
            <w14:solidFill>
              <w14:schemeClr w14:val="tx1"/>
            </w14:solidFill>
          </w14:textFill>
        </w:rPr>
        <w:t>。</w:t>
      </w:r>
    </w:p>
    <w:p>
      <w:pPr>
        <w:pageBreakBefore w:val="0"/>
        <w:numPr>
          <w:ilvl w:val="0"/>
          <w:numId w:val="13"/>
        </w:numPr>
        <w:kinsoku/>
        <w:wordWrap/>
        <w:overflowPunct/>
        <w:topLinePunct w:val="0"/>
        <w:autoSpaceDE/>
        <w:autoSpaceDN/>
        <w:bidi w:val="0"/>
        <w:spacing w:line="360" w:lineRule="auto"/>
        <w:ind w:left="425" w:leftChars="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手动设置消毒时间自动记忆</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具有工作时间累积计时功能</w:t>
      </w:r>
      <w:r>
        <w:rPr>
          <w:rFonts w:hint="eastAsia" w:ascii="宋体" w:hAnsi="宋体" w:eastAsia="宋体" w:cs="宋体"/>
          <w:color w:val="000000" w:themeColor="text1"/>
          <w:sz w:val="24"/>
          <w:szCs w:val="24"/>
          <w:lang w:val="en-US" w:eastAsia="zh-CN"/>
          <w14:textFill>
            <w14:solidFill>
              <w14:schemeClr w14:val="tx1"/>
            </w14:solidFill>
          </w14:textFill>
        </w:rPr>
        <w:t>。</w:t>
      </w:r>
    </w:p>
    <w:p>
      <w:pPr>
        <w:pageBreakBefore w:val="0"/>
        <w:numPr>
          <w:ilvl w:val="0"/>
          <w:numId w:val="13"/>
        </w:numPr>
        <w:kinsoku/>
        <w:wordWrap/>
        <w:overflowPunct/>
        <w:topLinePunct w:val="0"/>
        <w:autoSpaceDE/>
        <w:autoSpaceDN/>
        <w:bidi w:val="0"/>
        <w:spacing w:line="360" w:lineRule="auto"/>
        <w:ind w:left="425"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负离子清新空气，可净化、吸烟、除尘、祛除PM2.5等功能。</w:t>
      </w:r>
    </w:p>
    <w:p>
      <w:pPr>
        <w:pageBreakBefore w:val="0"/>
        <w:numPr>
          <w:ilvl w:val="0"/>
          <w:numId w:val="13"/>
        </w:numPr>
        <w:kinsoku/>
        <w:wordWrap/>
        <w:overflowPunct/>
        <w:topLinePunct w:val="0"/>
        <w:autoSpaceDE/>
        <w:autoSpaceDN/>
        <w:bidi w:val="0"/>
        <w:spacing w:line="360" w:lineRule="auto"/>
        <w:ind w:left="425" w:leftChars="0"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消毒后空气中细菌总数：部颁Ⅱ、Ⅲ类无菌环境标准，适用环境：人在动态环境及静态环境（医院病区）。</w:t>
      </w:r>
    </w:p>
    <w:p>
      <w:pPr>
        <w:pageBreakBefore w:val="0"/>
        <w:numPr>
          <w:ilvl w:val="0"/>
          <w:numId w:val="13"/>
        </w:numPr>
        <w:kinsoku/>
        <w:wordWrap/>
        <w:overflowPunct/>
        <w:topLinePunct w:val="0"/>
        <w:autoSpaceDE/>
        <w:autoSpaceDN/>
        <w:bidi w:val="0"/>
        <w:spacing w:line="360" w:lineRule="auto"/>
        <w:ind w:left="425" w:leftChars="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本产品通过了</w:t>
      </w:r>
      <w:r>
        <w:rPr>
          <w:rFonts w:hint="eastAsia" w:ascii="宋体" w:hAnsi="宋体" w:eastAsia="宋体" w:cs="宋体"/>
          <w:b w:val="0"/>
          <w:bCs w:val="0"/>
          <w:color w:val="000000" w:themeColor="text1"/>
          <w:sz w:val="24"/>
          <w:szCs w:val="24"/>
          <w:lang w:val="en-US" w:eastAsia="zh-CN"/>
          <w14:textFill>
            <w14:solidFill>
              <w14:schemeClr w14:val="tx1"/>
            </w14:solidFill>
          </w14:textFill>
        </w:rPr>
        <w:t>3A认证、IOS9001等证书.</w:t>
      </w:r>
    </w:p>
    <w:p>
      <w:pPr>
        <w:rPr>
          <w:rFonts w:hint="eastAsia" w:ascii="宋体" w:hAnsi="宋体" w:eastAsia="宋体" w:cs="宋体"/>
          <w:color w:val="000000" w:themeColor="text1"/>
          <w:sz w:val="24"/>
          <w:szCs w:val="24"/>
          <w:lang w:val="en-US" w:eastAsia="zh-CN"/>
          <w14:textFill>
            <w14:solidFill>
              <w14:schemeClr w14:val="tx1"/>
            </w14:solidFill>
          </w14:textFill>
        </w:rPr>
      </w:pPr>
      <w:bookmarkStart w:id="48" w:name="_Toc7121"/>
      <w:r>
        <w:rPr>
          <w:rFonts w:hint="eastAsia" w:ascii="宋体" w:hAnsi="宋体" w:eastAsia="宋体" w:cs="宋体"/>
          <w:color w:val="000000" w:themeColor="text1"/>
          <w:sz w:val="24"/>
          <w:szCs w:val="24"/>
          <w:lang w:val="en-US" w:eastAsia="zh-CN"/>
          <w14:textFill>
            <w14:solidFill>
              <w14:schemeClr w14:val="tx1"/>
            </w14:solidFill>
          </w14:textFill>
        </w:rPr>
        <w:br w:type="page"/>
      </w:r>
    </w:p>
    <w:p>
      <w:pPr>
        <w:pStyle w:val="2"/>
        <w:pageBreakBefore w:val="0"/>
        <w:numPr>
          <w:ilvl w:val="0"/>
          <w:numId w:val="0"/>
        </w:numPr>
        <w:kinsoku/>
        <w:wordWrap/>
        <w:overflowPunct/>
        <w:topLinePunct w:val="0"/>
        <w:autoSpaceDE/>
        <w:autoSpaceDN/>
        <w:bidi w:val="0"/>
        <w:spacing w:line="360" w:lineRule="auto"/>
        <w:ind w:firstLine="482" w:firstLineChars="20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附件9：急救室用多功能抢救车</w:t>
      </w:r>
      <w:bookmarkEnd w:id="48"/>
    </w:p>
    <w:p>
      <w:pPr>
        <w:pageBreakBefore w:val="0"/>
        <w:numPr>
          <w:ilvl w:val="0"/>
          <w:numId w:val="14"/>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材料：ABS材质。</w:t>
      </w:r>
    </w:p>
    <w:p>
      <w:pPr>
        <w:pageBreakBefore w:val="0"/>
        <w:numPr>
          <w:ilvl w:val="0"/>
          <w:numId w:val="14"/>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车的整体分为五层抽屉，配有中控锁</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钥匙。抽屉滑道采用三节式、高级静音滑道，活页采用排版式活页。第1、2层每层抽屉可分为36个小格（数量可调），抽屉屉高70 mm；第3、4层抽屉可分为25个小格（数量可调），抽屉屉高140 mm；第5层抽屉可分为16格（数量可调），抽屉屉高须满足放置500毫升液体。</w:t>
      </w:r>
    </w:p>
    <w:p>
      <w:pPr>
        <w:pageBreakBefore w:val="0"/>
        <w:numPr>
          <w:ilvl w:val="0"/>
          <w:numId w:val="14"/>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车体配有一块活动抽板，带围栏，车身配有污物桶、1只针头处理器、1只透明文件盒、1只氧气瓶挂架、1套电源插座、1个仪器支架、1套输液架；车体后面挂随车抢救板。</w:t>
      </w:r>
    </w:p>
    <w:p>
      <w:pPr>
        <w:pageBreakBefore w:val="0"/>
        <w:numPr>
          <w:ilvl w:val="0"/>
          <w:numId w:val="14"/>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轮子万向超静音刹车轮。</w:t>
      </w:r>
    </w:p>
    <w:p>
      <w:pPr>
        <w:pStyle w:val="2"/>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bookmarkStart w:id="49" w:name="_Toc25385"/>
    </w:p>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br w:type="page"/>
      </w:r>
    </w:p>
    <w:p>
      <w:pPr>
        <w:pStyle w:val="2"/>
        <w:pageBreakBefore w:val="0"/>
        <w:kinsoku/>
        <w:wordWrap/>
        <w:overflowPunct/>
        <w:topLinePunct w:val="0"/>
        <w:autoSpaceDE/>
        <w:autoSpaceDN/>
        <w:bidi w:val="0"/>
        <w:spacing w:line="360" w:lineRule="auto"/>
        <w:ind w:firstLine="482" w:firstLineChars="20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附件10：</w:t>
      </w:r>
      <w:bookmarkEnd w:id="49"/>
      <w:r>
        <w:rPr>
          <w:rFonts w:hint="eastAsia" w:ascii="宋体" w:hAnsi="宋体" w:eastAsia="宋体" w:cs="宋体"/>
          <w:color w:val="000000" w:themeColor="text1"/>
          <w:sz w:val="24"/>
          <w:szCs w:val="24"/>
          <w:lang w:val="en-US" w:eastAsia="zh-CN"/>
          <w14:textFill>
            <w14:solidFill>
              <w14:schemeClr w14:val="tx1"/>
            </w14:solidFill>
          </w14:textFill>
        </w:rPr>
        <w:t>微量输液泵</w:t>
      </w:r>
    </w:p>
    <w:p>
      <w:pPr>
        <w:pageBreakBefore w:val="0"/>
        <w:numPr>
          <w:ilvl w:val="0"/>
          <w:numId w:val="15"/>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大屏幕高清晰彩色LCD液晶显示，★数值显示有小数位防错设计</w:t>
      </w:r>
    </w:p>
    <w:p>
      <w:pPr>
        <w:pageBreakBefore w:val="0"/>
        <w:numPr>
          <w:ilvl w:val="0"/>
          <w:numId w:val="15"/>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输液器规格：标准PVC输液器，★六档位设计</w:t>
      </w:r>
    </w:p>
    <w:p>
      <w:pPr>
        <w:pageBreakBefore w:val="0"/>
        <w:numPr>
          <w:ilvl w:val="0"/>
          <w:numId w:val="15"/>
        </w:numPr>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输液流速：</w:t>
      </w:r>
      <w:r>
        <w:rPr>
          <w:rFonts w:hint="eastAsia" w:ascii="宋体" w:hAnsi="宋体" w:eastAsia="宋体" w:cs="宋体"/>
          <w:bCs/>
          <w:color w:val="000000" w:themeColor="text1"/>
          <w:sz w:val="24"/>
          <w:szCs w:val="24"/>
          <w14:textFill>
            <w14:solidFill>
              <w14:schemeClr w14:val="tx1"/>
            </w14:solidFill>
          </w14:textFill>
        </w:rPr>
        <w:t>1mL/h～1100mL/h，可按1mL/h递增或递减</w:t>
      </w:r>
    </w:p>
    <w:p>
      <w:pPr>
        <w:pageBreakBefore w:val="0"/>
        <w:numPr>
          <w:ilvl w:val="0"/>
          <w:numId w:val="15"/>
        </w:numPr>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输液量精度误差：±5%（普通输液器），★泵内恒温装置，确保低温环境和使用弹性差的输液器的情况下，输液精度达到±3%</w:t>
      </w:r>
    </w:p>
    <w:p>
      <w:pPr>
        <w:pageBreakBefore w:val="0"/>
        <w:numPr>
          <w:ilvl w:val="0"/>
          <w:numId w:val="15"/>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pacing w:val="15"/>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输液总量预置：1ml~9999ml，以1ml</w:t>
      </w:r>
      <w:r>
        <w:rPr>
          <w:rFonts w:hint="eastAsia" w:ascii="宋体" w:hAnsi="宋体" w:eastAsia="宋体" w:cs="宋体"/>
          <w:color w:val="000000" w:themeColor="text1"/>
          <w:spacing w:val="15"/>
          <w:sz w:val="24"/>
          <w:szCs w:val="24"/>
          <w14:textFill>
            <w14:solidFill>
              <w14:schemeClr w14:val="tx1"/>
            </w14:solidFill>
          </w14:textFill>
        </w:rPr>
        <w:t>递增或递减</w:t>
      </w:r>
    </w:p>
    <w:p>
      <w:pPr>
        <w:pageBreakBefore w:val="0"/>
        <w:numPr>
          <w:ilvl w:val="0"/>
          <w:numId w:val="15"/>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★阻塞灵敏度：高（0.06MPa～0.1MPa）中（0.1MPa～0.14MPa）低（0.14MPa～0.18MPa）</w:t>
      </w:r>
    </w:p>
    <w:p>
      <w:pPr>
        <w:pageBreakBefore w:val="0"/>
        <w:kinsoku/>
        <w:wordWrap/>
        <w:overflowPunct/>
        <w:topLinePunct w:val="0"/>
        <w:autoSpaceDE/>
        <w:autoSpaceDN/>
        <w:bidi w:val="0"/>
        <w:spacing w:line="360" w:lineRule="auto"/>
        <w:ind w:left="42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三档可选，</w:t>
      </w:r>
      <w:r>
        <w:rPr>
          <w:rFonts w:hint="eastAsia" w:ascii="宋体" w:hAnsi="宋体" w:eastAsia="宋体" w:cs="宋体"/>
          <w:color w:val="000000" w:themeColor="text1"/>
          <w:spacing w:val="15"/>
          <w:sz w:val="24"/>
          <w:szCs w:val="24"/>
          <w14:textFill>
            <w14:solidFill>
              <w14:schemeClr w14:val="tx1"/>
            </w14:solidFill>
          </w14:textFill>
        </w:rPr>
        <w:t>并动态实时阻塞压力指示（DPS）</w:t>
      </w:r>
    </w:p>
    <w:p>
      <w:pPr>
        <w:pageBreakBefore w:val="0"/>
        <w:numPr>
          <w:ilvl w:val="0"/>
          <w:numId w:val="15"/>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KVO：4ml/h，当输液速度大于KVO速度时，输液完成以KVO速度运行；当输液速度小于KVO速度时，输液完成只发出报警，输液速度不变。</w:t>
      </w:r>
    </w:p>
    <w:p>
      <w:pPr>
        <w:pageBreakBefore w:val="0"/>
        <w:numPr>
          <w:ilvl w:val="0"/>
          <w:numId w:val="15"/>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报警功能：气泡报警、阻塞报警、输完报警、开门报警、欠压报警、速度异常报警、遗忘操作报警</w:t>
      </w:r>
    </w:p>
    <w:p>
      <w:pPr>
        <w:pageBreakBefore w:val="0"/>
        <w:numPr>
          <w:ilvl w:val="0"/>
          <w:numId w:val="15"/>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其他功能：</w:t>
      </w:r>
    </w:p>
    <w:p>
      <w:pPr>
        <w:pageBreakBefore w:val="0"/>
        <w:numPr>
          <w:ilvl w:val="1"/>
          <w:numId w:val="15"/>
        </w:numPr>
        <w:tabs>
          <w:tab w:val="left" w:pos="798"/>
        </w:tabs>
        <w:kinsoku/>
        <w:wordWrap/>
        <w:overflowPunct/>
        <w:topLinePunct w:val="0"/>
        <w:autoSpaceDE/>
        <w:autoSpaceDN/>
        <w:bidi w:val="0"/>
        <w:spacing w:line="360" w:lineRule="auto"/>
        <w:ind w:firstLine="540" w:firstLineChars="200"/>
        <w:textAlignment w:val="auto"/>
        <w:rPr>
          <w:rFonts w:hint="eastAsia" w:ascii="宋体" w:hAnsi="宋体" w:eastAsia="宋体" w:cs="宋体"/>
          <w:color w:val="000000" w:themeColor="text1"/>
          <w:spacing w:val="15"/>
          <w:sz w:val="24"/>
          <w:szCs w:val="24"/>
          <w14:textFill>
            <w14:solidFill>
              <w14:schemeClr w14:val="tx1"/>
            </w14:solidFill>
          </w14:textFill>
        </w:rPr>
      </w:pPr>
      <w:r>
        <w:rPr>
          <w:rFonts w:hint="eastAsia" w:ascii="宋体" w:hAnsi="宋体" w:eastAsia="宋体" w:cs="宋体"/>
          <w:color w:val="000000" w:themeColor="text1"/>
          <w:spacing w:val="15"/>
          <w:sz w:val="24"/>
          <w:szCs w:val="24"/>
          <w14:textFill>
            <w14:solidFill>
              <w14:schemeClr w14:val="tx1"/>
            </w14:solidFill>
          </w14:textFill>
        </w:rPr>
        <w:t>具有输液累计量显示功能。</w:t>
      </w:r>
    </w:p>
    <w:p>
      <w:pPr>
        <w:pageBreakBefore w:val="0"/>
        <w:numPr>
          <w:ilvl w:val="1"/>
          <w:numId w:val="15"/>
        </w:numPr>
        <w:tabs>
          <w:tab w:val="left" w:pos="798"/>
        </w:tabs>
        <w:kinsoku/>
        <w:wordWrap/>
        <w:overflowPunct/>
        <w:topLinePunct w:val="0"/>
        <w:autoSpaceDE/>
        <w:autoSpaceDN/>
        <w:bidi w:val="0"/>
        <w:spacing w:line="360" w:lineRule="auto"/>
        <w:ind w:firstLine="540" w:firstLineChars="200"/>
        <w:textAlignment w:val="auto"/>
        <w:rPr>
          <w:rFonts w:hint="eastAsia" w:ascii="宋体" w:hAnsi="宋体" w:eastAsia="宋体" w:cs="宋体"/>
          <w:color w:val="000000" w:themeColor="text1"/>
          <w:spacing w:val="15"/>
          <w:sz w:val="24"/>
          <w:szCs w:val="24"/>
          <w14:textFill>
            <w14:solidFill>
              <w14:schemeClr w14:val="tx1"/>
            </w14:solidFill>
          </w14:textFill>
        </w:rPr>
      </w:pPr>
      <w:r>
        <w:rPr>
          <w:rFonts w:hint="eastAsia" w:ascii="宋体" w:hAnsi="宋体" w:eastAsia="宋体" w:cs="宋体"/>
          <w:color w:val="000000" w:themeColor="text1"/>
          <w:spacing w:val="15"/>
          <w:sz w:val="24"/>
          <w:szCs w:val="24"/>
          <w14:textFill>
            <w14:solidFill>
              <w14:schemeClr w14:val="tx1"/>
            </w14:solidFill>
          </w14:textFill>
        </w:rPr>
        <w:t>具有交流电停止自动切换机内电池，给电池充电功能。</w:t>
      </w:r>
    </w:p>
    <w:p>
      <w:pPr>
        <w:pageBreakBefore w:val="0"/>
        <w:numPr>
          <w:ilvl w:val="1"/>
          <w:numId w:val="15"/>
        </w:numPr>
        <w:tabs>
          <w:tab w:val="left" w:pos="798"/>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pacing w:val="15"/>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pacing w:val="15"/>
          <w:sz w:val="24"/>
          <w:szCs w:val="24"/>
          <w14:textFill>
            <w14:solidFill>
              <w14:schemeClr w14:val="tx1"/>
            </w14:solidFill>
          </w14:textFill>
        </w:rPr>
        <w:t>具有快排、快输功能：停止状态为快排，速度为700ml/h，用于排除管路中的气泡；启动状态为快输，速度为700ml/h，用于对患者的快速输液。</w:t>
      </w:r>
    </w:p>
    <w:p>
      <w:pPr>
        <w:pageBreakBefore w:val="0"/>
        <w:numPr>
          <w:ilvl w:val="1"/>
          <w:numId w:val="15"/>
        </w:numPr>
        <w:tabs>
          <w:tab w:val="left" w:pos="798"/>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pacing w:val="15"/>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pacing w:val="15"/>
          <w:sz w:val="24"/>
          <w:szCs w:val="24"/>
          <w14:textFill>
            <w14:solidFill>
              <w14:schemeClr w14:val="tx1"/>
            </w14:solidFill>
          </w14:textFill>
        </w:rPr>
        <w:t>具有“滴数/分”、“毫升/小时”与“时间-预置量”三种输液速度设置方式。</w:t>
      </w:r>
    </w:p>
    <w:p>
      <w:pPr>
        <w:pageBreakBefore w:val="0"/>
        <w:numPr>
          <w:ilvl w:val="1"/>
          <w:numId w:val="15"/>
        </w:numPr>
        <w:tabs>
          <w:tab w:val="left" w:pos="798"/>
        </w:tabs>
        <w:kinsoku/>
        <w:wordWrap/>
        <w:overflowPunct/>
        <w:topLinePunct w:val="0"/>
        <w:autoSpaceDE/>
        <w:autoSpaceDN/>
        <w:bidi w:val="0"/>
        <w:spacing w:line="360" w:lineRule="auto"/>
        <w:ind w:firstLine="540" w:firstLineChars="200"/>
        <w:textAlignment w:val="auto"/>
        <w:rPr>
          <w:rFonts w:hint="eastAsia" w:ascii="宋体" w:hAnsi="宋体" w:eastAsia="宋体" w:cs="宋体"/>
          <w:color w:val="000000" w:themeColor="text1"/>
          <w:spacing w:val="15"/>
          <w:sz w:val="24"/>
          <w:szCs w:val="24"/>
          <w14:textFill>
            <w14:solidFill>
              <w14:schemeClr w14:val="tx1"/>
            </w14:solidFill>
          </w14:textFill>
        </w:rPr>
      </w:pPr>
      <w:r>
        <w:rPr>
          <w:rFonts w:hint="eastAsia" w:ascii="宋体" w:hAnsi="宋体" w:eastAsia="宋体" w:cs="宋体"/>
          <w:color w:val="000000" w:themeColor="text1"/>
          <w:spacing w:val="15"/>
          <w:sz w:val="24"/>
          <w:szCs w:val="24"/>
          <w14:textFill>
            <w14:solidFill>
              <w14:schemeClr w14:val="tx1"/>
            </w14:solidFill>
          </w14:textFill>
        </w:rPr>
        <w:t>具有报警声消除功能，即静音功能。部分报警音在消除2分钟内再次启动。</w:t>
      </w:r>
    </w:p>
    <w:p>
      <w:pPr>
        <w:pageBreakBefore w:val="0"/>
        <w:numPr>
          <w:ilvl w:val="1"/>
          <w:numId w:val="15"/>
        </w:numPr>
        <w:tabs>
          <w:tab w:val="left" w:pos="798"/>
        </w:tabs>
        <w:kinsoku/>
        <w:wordWrap/>
        <w:overflowPunct/>
        <w:topLinePunct w:val="0"/>
        <w:autoSpaceDE/>
        <w:autoSpaceDN/>
        <w:bidi w:val="0"/>
        <w:spacing w:line="360" w:lineRule="auto"/>
        <w:ind w:firstLine="540" w:firstLineChars="200"/>
        <w:textAlignment w:val="auto"/>
        <w:rPr>
          <w:rFonts w:hint="eastAsia" w:ascii="宋体" w:hAnsi="宋体" w:eastAsia="宋体" w:cs="宋体"/>
          <w:color w:val="000000" w:themeColor="text1"/>
          <w:spacing w:val="15"/>
          <w:sz w:val="24"/>
          <w:szCs w:val="24"/>
          <w14:textFill>
            <w14:solidFill>
              <w14:schemeClr w14:val="tx1"/>
            </w14:solidFill>
          </w14:textFill>
        </w:rPr>
      </w:pPr>
      <w:r>
        <w:rPr>
          <w:rFonts w:hint="eastAsia" w:ascii="宋体" w:hAnsi="宋体" w:eastAsia="宋体" w:cs="宋体"/>
          <w:color w:val="000000" w:themeColor="text1"/>
          <w:spacing w:val="15"/>
          <w:sz w:val="24"/>
          <w:szCs w:val="24"/>
          <w14:textFill>
            <w14:solidFill>
              <w14:schemeClr w14:val="tx1"/>
            </w14:solidFill>
          </w14:textFill>
        </w:rPr>
        <w:t>具有开机自检功能：输液泵上电后，系统进行自检。</w:t>
      </w:r>
    </w:p>
    <w:p>
      <w:pPr>
        <w:pageBreakBefore w:val="0"/>
        <w:numPr>
          <w:ilvl w:val="1"/>
          <w:numId w:val="15"/>
        </w:numPr>
        <w:tabs>
          <w:tab w:val="left" w:pos="798"/>
        </w:tabs>
        <w:kinsoku/>
        <w:wordWrap/>
        <w:overflowPunct/>
        <w:topLinePunct w:val="0"/>
        <w:autoSpaceDE/>
        <w:autoSpaceDN/>
        <w:bidi w:val="0"/>
        <w:spacing w:line="360" w:lineRule="auto"/>
        <w:ind w:firstLine="540" w:firstLineChars="200"/>
        <w:textAlignment w:val="auto"/>
        <w:rPr>
          <w:rFonts w:hint="eastAsia" w:ascii="宋体" w:hAnsi="宋体" w:eastAsia="宋体" w:cs="宋体"/>
          <w:color w:val="000000" w:themeColor="text1"/>
          <w:spacing w:val="15"/>
          <w:sz w:val="24"/>
          <w:szCs w:val="24"/>
          <w14:textFill>
            <w14:solidFill>
              <w14:schemeClr w14:val="tx1"/>
            </w14:solidFill>
          </w14:textFill>
        </w:rPr>
      </w:pPr>
      <w:r>
        <w:rPr>
          <w:rFonts w:hint="eastAsia" w:ascii="宋体" w:hAnsi="宋体" w:eastAsia="宋体" w:cs="宋体"/>
          <w:color w:val="000000" w:themeColor="text1"/>
          <w:spacing w:val="15"/>
          <w:sz w:val="24"/>
          <w:szCs w:val="24"/>
          <w14:textFill>
            <w14:solidFill>
              <w14:schemeClr w14:val="tx1"/>
            </w14:solidFill>
          </w14:textFill>
        </w:rPr>
        <w:t>具有记忆功能：输液泵可对关机前最后一次正确输液参数进行记录，并可保留8年以上。</w:t>
      </w:r>
    </w:p>
    <w:p>
      <w:pPr>
        <w:pageBreakBefore w:val="0"/>
        <w:numPr>
          <w:ilvl w:val="0"/>
          <w:numId w:val="15"/>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电源电压：交流输入：AC220V/50Hz 内部电池：DC9.6 V~DC10.1V</w:t>
      </w:r>
    </w:p>
    <w:p>
      <w:pPr>
        <w:pageBreakBefore w:val="0"/>
        <w:numPr>
          <w:ilvl w:val="0"/>
          <w:numId w:val="15"/>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功耗：不大于20VA</w:t>
      </w:r>
    </w:p>
    <w:p>
      <w:pPr>
        <w:pageBreakBefore w:val="0"/>
        <w:numPr>
          <w:ilvl w:val="0"/>
          <w:numId w:val="15"/>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内置电池工作时间：电池连续充电时间不小于8小时，在30ml/h可连续工作3小时以上</w:t>
      </w:r>
    </w:p>
    <w:p>
      <w:pPr>
        <w:pageBreakBefore w:val="0"/>
        <w:numPr>
          <w:ilvl w:val="0"/>
          <w:numId w:val="15"/>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安全分类：I 类、带内部电源的BF型普通设备，防水等级：IPX1</w:t>
      </w:r>
    </w:p>
    <w:p>
      <w:pPr>
        <w:pageBreakBefore w:val="0"/>
        <w:numPr>
          <w:ilvl w:val="0"/>
          <w:numId w:val="15"/>
        </w:numPr>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工作环境：环境温度： 10℃~30℃，相对湿度：30%~75%，大气压力：860 hPa -1060hPa</w:t>
      </w:r>
    </w:p>
    <w:p>
      <w:pPr>
        <w:pageBreakBefore w:val="0"/>
        <w:numPr>
          <w:ilvl w:val="0"/>
          <w:numId w:val="15"/>
        </w:numPr>
        <w:kinsoku/>
        <w:wordWrap/>
        <w:overflowPunct/>
        <w:topLinePunct w:val="0"/>
        <w:autoSpaceDE/>
        <w:autoSpaceDN/>
        <w:bidi w:val="0"/>
        <w:spacing w:line="360" w:lineRule="auto"/>
        <w:ind w:firstLine="540" w:firstLineChars="200"/>
        <w:textAlignment w:val="auto"/>
        <w:rPr>
          <w:rFonts w:hint="eastAsia" w:ascii="宋体" w:hAnsi="宋体" w:eastAsia="宋体" w:cs="宋体"/>
          <w:color w:val="000000" w:themeColor="text1"/>
          <w:spacing w:val="15"/>
          <w:sz w:val="24"/>
          <w:szCs w:val="24"/>
          <w14:textFill>
            <w14:solidFill>
              <w14:schemeClr w14:val="tx1"/>
            </w14:solidFill>
          </w14:textFill>
        </w:rPr>
      </w:pPr>
      <w:r>
        <w:rPr>
          <w:rFonts w:hint="eastAsia" w:ascii="宋体" w:hAnsi="宋体" w:eastAsia="宋体" w:cs="宋体"/>
          <w:color w:val="000000" w:themeColor="text1"/>
          <w:spacing w:val="15"/>
          <w:sz w:val="24"/>
          <w:szCs w:val="24"/>
          <w14:textFill>
            <w14:solidFill>
              <w14:schemeClr w14:val="tx1"/>
            </w14:solidFill>
          </w14:textFill>
        </w:rPr>
        <w:t>输液泵应在无强冲击振动，水和其它流体不能侵入装置内部，周围无腐蚀性气体的环境中工作</w:t>
      </w:r>
    </w:p>
    <w:p>
      <w:pPr>
        <w:pageBreakBefore w:val="0"/>
        <w:numPr>
          <w:ilvl w:val="0"/>
          <w:numId w:val="0"/>
        </w:numPr>
        <w:kinsoku/>
        <w:wordWrap/>
        <w:overflowPunct/>
        <w:topLinePunct w:val="0"/>
        <w:autoSpaceDE/>
        <w:autoSpaceDN/>
        <w:bidi w:val="0"/>
        <w:spacing w:line="360" w:lineRule="auto"/>
        <w:ind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p>
    <w:p>
      <w:pPr>
        <w:rPr>
          <w:rFonts w:hint="eastAsia" w:ascii="宋体" w:hAnsi="宋体" w:eastAsia="宋体" w:cs="宋体"/>
          <w:color w:val="000000" w:themeColor="text1"/>
          <w:sz w:val="24"/>
          <w:szCs w:val="24"/>
          <w:lang w:val="en-US" w:eastAsia="zh-CN"/>
          <w14:textFill>
            <w14:solidFill>
              <w14:schemeClr w14:val="tx1"/>
            </w14:solidFill>
          </w14:textFill>
        </w:rPr>
      </w:pPr>
      <w:bookmarkStart w:id="50" w:name="_Toc28773"/>
      <w:r>
        <w:rPr>
          <w:rFonts w:hint="eastAsia" w:ascii="宋体" w:hAnsi="宋体" w:eastAsia="宋体" w:cs="宋体"/>
          <w:color w:val="000000" w:themeColor="text1"/>
          <w:sz w:val="24"/>
          <w:szCs w:val="24"/>
          <w:lang w:val="en-US" w:eastAsia="zh-CN"/>
          <w14:textFill>
            <w14:solidFill>
              <w14:schemeClr w14:val="tx1"/>
            </w14:solidFill>
          </w14:textFill>
        </w:rPr>
        <w:br w:type="page"/>
      </w:r>
    </w:p>
    <w:p>
      <w:pPr>
        <w:pStyle w:val="2"/>
        <w:pageBreakBefore w:val="0"/>
        <w:kinsoku/>
        <w:wordWrap/>
        <w:overflowPunct/>
        <w:topLinePunct w:val="0"/>
        <w:autoSpaceDE/>
        <w:autoSpaceDN/>
        <w:bidi w:val="0"/>
        <w:spacing w:line="360" w:lineRule="auto"/>
        <w:ind w:firstLine="482" w:firstLineChars="20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附件11：</w:t>
      </w:r>
      <w:r>
        <w:rPr>
          <w:rFonts w:hint="eastAsia" w:ascii="宋体" w:hAnsi="宋体" w:eastAsia="宋体" w:cs="宋体"/>
          <w:color w:val="000000" w:themeColor="text1"/>
          <w:sz w:val="24"/>
          <w:szCs w:val="24"/>
          <w14:textFill>
            <w14:solidFill>
              <w14:schemeClr w14:val="tx1"/>
            </w14:solidFill>
          </w14:textFill>
        </w:rPr>
        <w:t>分子筛制氧机</w:t>
      </w:r>
      <w:bookmarkEnd w:id="50"/>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pacing w:val="-2"/>
          <w:sz w:val="24"/>
          <w:szCs w:val="24"/>
          <w14:textFill>
            <w14:solidFill>
              <w14:schemeClr w14:val="tx1"/>
            </w14:solidFill>
          </w14:textFill>
        </w:rPr>
        <w:t>最大</w:t>
      </w:r>
      <w:r>
        <w:rPr>
          <w:rFonts w:hint="eastAsia" w:ascii="宋体" w:hAnsi="宋体" w:eastAsia="宋体" w:cs="宋体"/>
          <w:color w:val="000000" w:themeColor="text1"/>
          <w:spacing w:val="-1"/>
          <w:sz w:val="24"/>
          <w:szCs w:val="24"/>
          <w14:textFill>
            <w14:solidFill>
              <w14:schemeClr w14:val="tx1"/>
            </w14:solidFill>
          </w14:textFill>
        </w:rPr>
        <w:t>推荐流量</w:t>
      </w:r>
      <w:r>
        <w:rPr>
          <w:rFonts w:hint="eastAsia" w:ascii="宋体" w:hAnsi="宋体" w:eastAsia="宋体" w:cs="宋体"/>
          <w:color w:val="000000" w:themeColor="text1"/>
          <w:spacing w:val="36"/>
          <w:position w:val="1"/>
          <w:sz w:val="24"/>
          <w:szCs w:val="24"/>
          <w14:textFill>
            <w14:solidFill>
              <w14:schemeClr w14:val="tx1"/>
            </w14:solidFill>
          </w14:textFill>
        </w:rPr>
        <w:t>(</w:t>
      </w:r>
      <w:r>
        <w:rPr>
          <w:rFonts w:hint="eastAsia" w:ascii="宋体" w:hAnsi="宋体" w:eastAsia="宋体" w:cs="宋体"/>
          <w:b/>
          <w:bCs/>
          <w:color w:val="000000" w:themeColor="text1"/>
          <w:position w:val="1"/>
          <w:sz w:val="24"/>
          <w:szCs w:val="24"/>
          <w14:textFill>
            <w14:solidFill>
              <w14:schemeClr w14:val="tx1"/>
            </w14:solidFill>
          </w14:textFill>
        </w:rPr>
        <w:t>L</w:t>
      </w:r>
      <w:r>
        <w:rPr>
          <w:rFonts w:hint="eastAsia" w:ascii="宋体" w:hAnsi="宋体" w:eastAsia="宋体" w:cs="宋体"/>
          <w:b/>
          <w:bCs/>
          <w:color w:val="000000" w:themeColor="text1"/>
          <w:spacing w:val="36"/>
          <w:position w:val="1"/>
          <w:sz w:val="24"/>
          <w:szCs w:val="24"/>
          <w14:textFill>
            <w14:solidFill>
              <w14:schemeClr w14:val="tx1"/>
            </w14:solidFill>
          </w14:textFill>
        </w:rPr>
        <w:t>/</w:t>
      </w:r>
      <w:r>
        <w:rPr>
          <w:rFonts w:hint="eastAsia" w:ascii="宋体" w:hAnsi="宋体" w:eastAsia="宋体" w:cs="宋体"/>
          <w:b/>
          <w:bCs/>
          <w:color w:val="000000" w:themeColor="text1"/>
          <w:position w:val="1"/>
          <w:sz w:val="24"/>
          <w:szCs w:val="24"/>
          <w14:textFill>
            <w14:solidFill>
              <w14:schemeClr w14:val="tx1"/>
            </w14:solidFill>
          </w14:textFill>
        </w:rPr>
        <w:t>min</w:t>
      </w:r>
      <w:r>
        <w:rPr>
          <w:rFonts w:hint="eastAsia" w:ascii="宋体" w:hAnsi="宋体" w:eastAsia="宋体" w:cs="宋体"/>
          <w:color w:val="000000" w:themeColor="text1"/>
          <w:spacing w:val="35"/>
          <w:position w:val="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xml:space="preserve"> 5</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pacing w:val="-4"/>
          <w:sz w:val="24"/>
          <w:szCs w:val="24"/>
          <w14:textFill>
            <w14:solidFill>
              <w14:schemeClr w14:val="tx1"/>
            </w14:solidFill>
          </w14:textFill>
        </w:rPr>
        <w:t>氧</w:t>
      </w:r>
      <w:r>
        <w:rPr>
          <w:rFonts w:hint="eastAsia" w:ascii="宋体" w:hAnsi="宋体" w:eastAsia="宋体" w:cs="宋体"/>
          <w:color w:val="000000" w:themeColor="text1"/>
          <w:spacing w:val="-2"/>
          <w:sz w:val="24"/>
          <w:szCs w:val="24"/>
          <w14:textFill>
            <w14:solidFill>
              <w14:schemeClr w14:val="tx1"/>
            </w14:solidFill>
          </w14:textFill>
        </w:rPr>
        <w:t>浓度</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pacing w:val="30"/>
          <w:sz w:val="24"/>
          <w:szCs w:val="24"/>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V</w:t>
      </w:r>
      <w:r>
        <w:rPr>
          <w:rFonts w:hint="eastAsia" w:ascii="宋体" w:hAnsi="宋体" w:eastAsia="宋体" w:cs="宋体"/>
          <w:b/>
          <w:bCs/>
          <w:color w:val="000000" w:themeColor="text1"/>
          <w:spacing w:val="30"/>
          <w:sz w:val="24"/>
          <w:szCs w:val="24"/>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V</w:t>
      </w:r>
      <w:r>
        <w:rPr>
          <w:rFonts w:hint="eastAsia" w:ascii="宋体" w:hAnsi="宋体" w:eastAsia="宋体" w:cs="宋体"/>
          <w:color w:val="000000" w:themeColor="text1"/>
          <w:spacing w:val="30"/>
          <w:sz w:val="24"/>
          <w:szCs w:val="24"/>
          <w14:textFill>
            <w14:solidFill>
              <w14:schemeClr w14:val="tx1"/>
            </w14:solidFill>
          </w14:textFill>
        </w:rPr>
        <w:t>)：</w:t>
      </w:r>
      <w:r>
        <w:rPr>
          <w:rFonts w:hint="eastAsia" w:ascii="宋体" w:hAnsi="宋体" w:eastAsia="宋体" w:cs="宋体"/>
          <w:color w:val="000000" w:themeColor="text1"/>
          <w:spacing w:val="-2"/>
          <w:position w:val="2"/>
          <w:sz w:val="24"/>
          <w:szCs w:val="24"/>
          <w14:textFill>
            <w14:solidFill>
              <w14:schemeClr w14:val="tx1"/>
            </w14:solidFill>
          </w14:textFill>
        </w:rPr>
        <w:t>93%±3</w:t>
      </w:r>
      <w:r>
        <w:rPr>
          <w:rFonts w:hint="eastAsia" w:ascii="宋体" w:hAnsi="宋体" w:eastAsia="宋体" w:cs="宋体"/>
          <w:color w:val="000000" w:themeColor="text1"/>
          <w:spacing w:val="-1"/>
          <w:position w:val="2"/>
          <w:sz w:val="24"/>
          <w:szCs w:val="24"/>
          <w14:textFill>
            <w14:solidFill>
              <w14:schemeClr w14:val="tx1"/>
            </w14:solidFill>
          </w14:textFill>
        </w:rPr>
        <w:t>%</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pacing w:val="1"/>
          <w:position w:val="3"/>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pacing w:val="-7"/>
          <w:sz w:val="24"/>
          <w:szCs w:val="24"/>
          <w14:textFill>
            <w14:solidFill>
              <w14:schemeClr w14:val="tx1"/>
            </w14:solidFill>
          </w14:textFill>
        </w:rPr>
        <w:t xml:space="preserve"> 噪</w:t>
      </w:r>
      <w:r>
        <w:rPr>
          <w:rFonts w:hint="eastAsia" w:ascii="宋体" w:hAnsi="宋体" w:eastAsia="宋体" w:cs="宋体"/>
          <w:color w:val="000000" w:themeColor="text1"/>
          <w:spacing w:val="-6"/>
          <w:sz w:val="24"/>
          <w:szCs w:val="24"/>
          <w14:textFill>
            <w14:solidFill>
              <w14:schemeClr w14:val="tx1"/>
            </w14:solidFill>
          </w14:textFill>
        </w:rPr>
        <w:t>声值</w:t>
      </w:r>
      <w:r>
        <w:rPr>
          <w:rFonts w:hint="eastAsia" w:ascii="宋体" w:hAnsi="宋体" w:eastAsia="宋体" w:cs="宋体"/>
          <w:color w:val="000000" w:themeColor="text1"/>
          <w:spacing w:val="-6"/>
          <w:sz w:val="24"/>
          <w:szCs w:val="24"/>
          <w:lang w:eastAsia="zh-CN"/>
          <w14:textFill>
            <w14:solidFill>
              <w14:schemeClr w14:val="tx1"/>
            </w14:solidFill>
          </w14:textFill>
        </w:rPr>
        <w:t>：</w:t>
      </w:r>
      <w:r>
        <w:rPr>
          <w:rFonts w:hint="eastAsia" w:ascii="宋体" w:hAnsi="宋体" w:eastAsia="宋体" w:cs="宋体"/>
          <w:b/>
          <w:bCs/>
          <w:color w:val="000000" w:themeColor="text1"/>
          <w:spacing w:val="-2"/>
          <w:sz w:val="24"/>
          <w:szCs w:val="24"/>
          <w14:textFill>
            <w14:solidFill>
              <w14:schemeClr w14:val="tx1"/>
            </w14:solidFill>
          </w14:textFill>
        </w:rPr>
        <w:t>dB(</w:t>
      </w:r>
      <w:r>
        <w:rPr>
          <w:rFonts w:hint="eastAsia" w:ascii="宋体" w:hAnsi="宋体" w:eastAsia="宋体" w:cs="宋体"/>
          <w:b/>
          <w:bCs/>
          <w:color w:val="000000" w:themeColor="text1"/>
          <w:spacing w:val="-1"/>
          <w:sz w:val="24"/>
          <w:szCs w:val="24"/>
          <w14:textFill>
            <w14:solidFill>
              <w14:schemeClr w14:val="tx1"/>
            </w14:solidFill>
          </w14:textFill>
        </w:rPr>
        <w:t>A</w:t>
      </w:r>
      <w:r>
        <w:rPr>
          <w:rFonts w:hint="eastAsia" w:ascii="宋体" w:hAnsi="宋体" w:eastAsia="宋体" w:cs="宋体"/>
          <w:b/>
          <w:bCs/>
          <w:color w:val="000000" w:themeColor="text1"/>
          <w:spacing w:val="-2"/>
          <w:sz w:val="24"/>
          <w:szCs w:val="24"/>
          <w14:textFill>
            <w14:solidFill>
              <w14:schemeClr w14:val="tx1"/>
            </w14:solidFill>
          </w14:textFill>
        </w:rPr>
        <w:t>)</w:t>
      </w:r>
      <w:r>
        <w:rPr>
          <w:rFonts w:hint="eastAsia" w:ascii="宋体" w:hAnsi="宋体" w:eastAsia="宋体" w:cs="宋体"/>
          <w:color w:val="000000" w:themeColor="text1"/>
          <w:spacing w:val="1"/>
          <w:position w:val="3"/>
          <w:sz w:val="24"/>
          <w:szCs w:val="24"/>
          <w14:textFill>
            <w14:solidFill>
              <w14:schemeClr w14:val="tx1"/>
            </w14:solidFill>
          </w14:textFill>
        </w:rPr>
        <w:t xml:space="preserve"> ≤52</w:t>
      </w:r>
    </w:p>
    <w:p>
      <w:pPr>
        <w:pageBreakBefore w:val="0"/>
        <w:kinsoku/>
        <w:wordWrap/>
        <w:overflowPunct/>
        <w:topLinePunct w:val="0"/>
        <w:autoSpaceDE/>
        <w:autoSpaceDN/>
        <w:bidi w:val="0"/>
        <w:spacing w:line="360" w:lineRule="auto"/>
        <w:ind w:firstLine="484"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position w:val="3"/>
          <w:sz w:val="24"/>
          <w:szCs w:val="24"/>
          <w14:textFill>
            <w14:solidFill>
              <w14:schemeClr w14:val="tx1"/>
            </w14:solidFill>
          </w14:textFill>
        </w:rPr>
        <w:t>4.</w:t>
      </w:r>
      <w:r>
        <w:rPr>
          <w:rFonts w:hint="eastAsia" w:ascii="宋体" w:hAnsi="宋体" w:eastAsia="宋体" w:cs="宋体"/>
          <w:color w:val="000000" w:themeColor="text1"/>
          <w:spacing w:val="-2"/>
          <w:sz w:val="24"/>
          <w:szCs w:val="24"/>
          <w14:textFill>
            <w14:solidFill>
              <w14:schemeClr w14:val="tx1"/>
            </w14:solidFill>
          </w14:textFill>
        </w:rPr>
        <w:t xml:space="preserve"> 最大</w:t>
      </w:r>
      <w:r>
        <w:rPr>
          <w:rFonts w:hint="eastAsia" w:ascii="宋体" w:hAnsi="宋体" w:eastAsia="宋体" w:cs="宋体"/>
          <w:color w:val="000000" w:themeColor="text1"/>
          <w:spacing w:val="-1"/>
          <w:sz w:val="24"/>
          <w:szCs w:val="24"/>
          <w14:textFill>
            <w14:solidFill>
              <w14:schemeClr w14:val="tx1"/>
            </w14:solidFill>
          </w14:textFill>
        </w:rPr>
        <w:t>出口压力</w:t>
      </w:r>
      <w:r>
        <w:rPr>
          <w:rFonts w:hint="eastAsia" w:ascii="宋体" w:hAnsi="宋体" w:eastAsia="宋体" w:cs="宋体"/>
          <w:color w:val="000000" w:themeColor="text1"/>
          <w:spacing w:val="54"/>
          <w:position w:val="1"/>
          <w:sz w:val="24"/>
          <w:szCs w:val="24"/>
          <w14:textFill>
            <w14:solidFill>
              <w14:schemeClr w14:val="tx1"/>
            </w14:solidFill>
          </w14:textFill>
        </w:rPr>
        <w:t>(</w:t>
      </w:r>
      <w:r>
        <w:rPr>
          <w:rFonts w:hint="eastAsia" w:ascii="宋体" w:hAnsi="宋体" w:eastAsia="宋体" w:cs="宋体"/>
          <w:b/>
          <w:bCs/>
          <w:color w:val="000000" w:themeColor="text1"/>
          <w:position w:val="1"/>
          <w:sz w:val="24"/>
          <w:szCs w:val="24"/>
          <w14:textFill>
            <w14:solidFill>
              <w14:schemeClr w14:val="tx1"/>
            </w14:solidFill>
          </w14:textFill>
        </w:rPr>
        <w:t>kPa</w:t>
      </w:r>
      <w:r>
        <w:rPr>
          <w:rFonts w:hint="eastAsia" w:ascii="宋体" w:hAnsi="宋体" w:eastAsia="宋体" w:cs="宋体"/>
          <w:color w:val="000000" w:themeColor="text1"/>
          <w:spacing w:val="53"/>
          <w:position w:val="1"/>
          <w:sz w:val="24"/>
          <w:szCs w:val="24"/>
          <w14:textFill>
            <w14:solidFill>
              <w14:schemeClr w14:val="tx1"/>
            </w14:solidFill>
          </w14:textFill>
        </w:rPr>
        <w:t>)</w:t>
      </w:r>
      <w:r>
        <w:rPr>
          <w:rFonts w:hint="eastAsia" w:ascii="宋体" w:hAnsi="宋体" w:eastAsia="宋体" w:cs="宋体"/>
          <w:color w:val="000000" w:themeColor="text1"/>
          <w:spacing w:val="53"/>
          <w:position w:val="1"/>
          <w:sz w:val="24"/>
          <w:szCs w:val="24"/>
          <w:lang w:eastAsia="zh-CN"/>
          <w14:textFill>
            <w14:solidFill>
              <w14:schemeClr w14:val="tx1"/>
            </w14:solidFill>
          </w14:textFill>
        </w:rPr>
        <w:t>：</w:t>
      </w:r>
      <w:r>
        <w:rPr>
          <w:rFonts w:hint="eastAsia" w:ascii="宋体" w:hAnsi="宋体" w:eastAsia="宋体" w:cs="宋体"/>
          <w:color w:val="000000" w:themeColor="text1"/>
          <w:spacing w:val="-2"/>
          <w:sz w:val="24"/>
          <w:szCs w:val="24"/>
          <w14:textFill>
            <w14:solidFill>
              <w14:schemeClr w14:val="tx1"/>
            </w14:solidFill>
          </w14:textFill>
        </w:rPr>
        <w:t>2</w:t>
      </w:r>
      <w:r>
        <w:rPr>
          <w:rFonts w:hint="eastAsia" w:ascii="宋体" w:hAnsi="宋体" w:eastAsia="宋体" w:cs="宋体"/>
          <w:color w:val="000000" w:themeColor="text1"/>
          <w:spacing w:val="-1"/>
          <w:sz w:val="24"/>
          <w:szCs w:val="24"/>
          <w14:textFill>
            <w14:solidFill>
              <w14:schemeClr w14:val="tx1"/>
            </w14:solidFill>
          </w14:textFill>
        </w:rPr>
        <w:t>0</w:t>
      </w:r>
    </w:p>
    <w:p>
      <w:pPr>
        <w:pageBreakBefore w:val="0"/>
        <w:kinsoku/>
        <w:wordWrap/>
        <w:overflowPunct/>
        <w:topLinePunct w:val="0"/>
        <w:autoSpaceDE/>
        <w:autoSpaceDN/>
        <w:bidi w:val="0"/>
        <w:spacing w:line="360" w:lineRule="auto"/>
        <w:ind w:firstLine="484"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position w:val="3"/>
          <w:sz w:val="24"/>
          <w:szCs w:val="24"/>
          <w14:textFill>
            <w14:solidFill>
              <w14:schemeClr w14:val="tx1"/>
            </w14:solidFill>
          </w14:textFill>
        </w:rPr>
        <w:t>5.</w:t>
      </w:r>
      <w:r>
        <w:rPr>
          <w:rFonts w:hint="eastAsia" w:ascii="宋体" w:hAnsi="宋体" w:eastAsia="宋体" w:cs="宋体"/>
          <w:color w:val="000000" w:themeColor="text1"/>
          <w:spacing w:val="-2"/>
          <w:sz w:val="24"/>
          <w:szCs w:val="24"/>
          <w14:textFill>
            <w14:solidFill>
              <w14:schemeClr w14:val="tx1"/>
            </w14:solidFill>
          </w14:textFill>
        </w:rPr>
        <w:t xml:space="preserve"> 雾化功</w:t>
      </w:r>
      <w:r>
        <w:rPr>
          <w:rFonts w:hint="eastAsia" w:ascii="宋体" w:hAnsi="宋体" w:eastAsia="宋体" w:cs="宋体"/>
          <w:color w:val="000000" w:themeColor="text1"/>
          <w:spacing w:val="-1"/>
          <w:sz w:val="24"/>
          <w:szCs w:val="24"/>
          <w14:textFill>
            <w14:solidFill>
              <w14:schemeClr w14:val="tx1"/>
            </w14:solidFill>
          </w14:textFill>
        </w:rPr>
        <w:t>能</w:t>
      </w:r>
      <w:r>
        <w:rPr>
          <w:rFonts w:hint="eastAsia" w:ascii="宋体" w:hAnsi="宋体" w:eastAsia="宋体" w:cs="宋体"/>
          <w:color w:val="000000" w:themeColor="text1"/>
          <w:sz w:val="24"/>
          <w:szCs w:val="24"/>
          <w14:textFill>
            <w14:solidFill>
              <w14:schemeClr w14:val="tx1"/>
            </w14:solidFill>
          </w14:textFill>
        </w:rPr>
        <w:t>：有</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pacing w:val="-8"/>
          <w:position w:val="3"/>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r>
        <w:rPr>
          <w:rFonts w:hint="eastAsia" w:ascii="宋体" w:hAnsi="宋体" w:eastAsia="宋体" w:cs="宋体"/>
          <w:color w:val="000000" w:themeColor="text1"/>
          <w:spacing w:val="-3"/>
          <w:sz w:val="24"/>
          <w:szCs w:val="24"/>
          <w14:textFill>
            <w14:solidFill>
              <w14:schemeClr w14:val="tx1"/>
            </w14:solidFill>
          </w14:textFill>
        </w:rPr>
        <w:t xml:space="preserve"> 雾化率</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pacing w:val="31"/>
          <w:sz w:val="24"/>
          <w:szCs w:val="24"/>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ml</w:t>
      </w:r>
      <w:r>
        <w:rPr>
          <w:rFonts w:hint="eastAsia" w:ascii="宋体" w:hAnsi="宋体" w:eastAsia="宋体" w:cs="宋体"/>
          <w:b/>
          <w:bCs/>
          <w:color w:val="000000" w:themeColor="text1"/>
          <w:spacing w:val="29"/>
          <w:sz w:val="24"/>
          <w:szCs w:val="24"/>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min</w:t>
      </w:r>
      <w:r>
        <w:rPr>
          <w:rFonts w:hint="eastAsia" w:ascii="宋体" w:hAnsi="宋体" w:eastAsia="宋体" w:cs="宋体"/>
          <w:color w:val="000000" w:themeColor="text1"/>
          <w:spacing w:val="29"/>
          <w:sz w:val="24"/>
          <w:szCs w:val="24"/>
          <w14:textFill>
            <w14:solidFill>
              <w14:schemeClr w14:val="tx1"/>
            </w14:solidFill>
          </w14:textFill>
        </w:rPr>
        <w:t>)：</w:t>
      </w:r>
      <w:r>
        <w:rPr>
          <w:rFonts w:hint="eastAsia" w:ascii="宋体" w:hAnsi="宋体" w:eastAsia="宋体" w:cs="宋体"/>
          <w:color w:val="000000" w:themeColor="text1"/>
          <w:spacing w:val="-9"/>
          <w:position w:val="3"/>
          <w:sz w:val="24"/>
          <w:szCs w:val="24"/>
          <w14:textFill>
            <w14:solidFill>
              <w14:schemeClr w14:val="tx1"/>
            </w14:solidFill>
          </w14:textFill>
        </w:rPr>
        <w:t>≥</w:t>
      </w:r>
      <w:r>
        <w:rPr>
          <w:rFonts w:hint="eastAsia" w:ascii="宋体" w:hAnsi="宋体" w:eastAsia="宋体" w:cs="宋体"/>
          <w:color w:val="000000" w:themeColor="text1"/>
          <w:spacing w:val="-8"/>
          <w:position w:val="3"/>
          <w:sz w:val="24"/>
          <w:szCs w:val="24"/>
          <w14:textFill>
            <w14:solidFill>
              <w14:schemeClr w14:val="tx1"/>
            </w14:solidFill>
          </w14:textFill>
        </w:rPr>
        <w:t>0. 15</w:t>
      </w:r>
    </w:p>
    <w:p>
      <w:pPr>
        <w:pageBreakBefore w:val="0"/>
        <w:kinsoku/>
        <w:wordWrap/>
        <w:overflowPunct/>
        <w:topLinePunct w:val="0"/>
        <w:autoSpaceDE/>
        <w:autoSpaceDN/>
        <w:bidi w:val="0"/>
        <w:spacing w:line="360" w:lineRule="auto"/>
        <w:ind w:firstLine="448"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8"/>
          <w:position w:val="3"/>
          <w:sz w:val="24"/>
          <w:szCs w:val="24"/>
          <w14:textFill>
            <w14:solidFill>
              <w14:schemeClr w14:val="tx1"/>
            </w14:solidFill>
          </w14:textFill>
        </w:rPr>
        <w:t>7.</w:t>
      </w:r>
      <w:r>
        <w:rPr>
          <w:rFonts w:hint="eastAsia" w:ascii="宋体" w:hAnsi="宋体" w:eastAsia="宋体" w:cs="宋体"/>
          <w:color w:val="000000" w:themeColor="text1"/>
          <w:spacing w:val="-10"/>
          <w:sz w:val="24"/>
          <w:szCs w:val="24"/>
          <w14:textFill>
            <w14:solidFill>
              <w14:schemeClr w14:val="tx1"/>
            </w14:solidFill>
          </w14:textFill>
        </w:rPr>
        <w:t xml:space="preserve"> 电</w:t>
      </w:r>
      <w:r>
        <w:rPr>
          <w:rFonts w:hint="eastAsia" w:ascii="宋体" w:hAnsi="宋体" w:eastAsia="宋体" w:cs="宋体"/>
          <w:color w:val="000000" w:themeColor="text1"/>
          <w:spacing w:val="-8"/>
          <w:sz w:val="24"/>
          <w:szCs w:val="24"/>
          <w14:textFill>
            <w14:solidFill>
              <w14:schemeClr w14:val="tx1"/>
            </w14:solidFill>
          </w14:textFill>
        </w:rPr>
        <w:t>源：</w:t>
      </w:r>
      <w:r>
        <w:rPr>
          <w:rFonts w:hint="eastAsia" w:ascii="宋体" w:hAnsi="宋体" w:eastAsia="宋体" w:cs="宋体"/>
          <w:color w:val="000000" w:themeColor="text1"/>
          <w:sz w:val="24"/>
          <w:szCs w:val="24"/>
          <w14:textFill>
            <w14:solidFill>
              <w14:schemeClr w14:val="tx1"/>
            </w14:solidFill>
          </w14:textFill>
        </w:rPr>
        <w:t>AC</w:t>
      </w:r>
      <w:r>
        <w:rPr>
          <w:rFonts w:hint="eastAsia" w:ascii="宋体" w:hAnsi="宋体" w:eastAsia="宋体" w:cs="宋体"/>
          <w:color w:val="000000" w:themeColor="text1"/>
          <w:spacing w:val="-1"/>
          <w:sz w:val="24"/>
          <w:szCs w:val="24"/>
          <w14:textFill>
            <w14:solidFill>
              <w14:schemeClr w14:val="tx1"/>
            </w14:solidFill>
          </w14:textFill>
        </w:rPr>
        <w:t>22</w:t>
      </w:r>
      <w:r>
        <w:rPr>
          <w:rFonts w:hint="eastAsia" w:ascii="宋体" w:hAnsi="宋体" w:eastAsia="宋体" w:cs="宋体"/>
          <w:color w:val="000000" w:themeColor="text1"/>
          <w:sz w:val="24"/>
          <w:szCs w:val="24"/>
          <w14:textFill>
            <w14:solidFill>
              <w14:schemeClr w14:val="tx1"/>
            </w14:solidFill>
          </w14:textFill>
        </w:rPr>
        <w:t xml:space="preserve">0V±22V </w:t>
      </w:r>
      <w:r>
        <w:rPr>
          <w:rFonts w:hint="eastAsia" w:ascii="宋体" w:hAnsi="宋体" w:eastAsia="宋体" w:cs="宋体"/>
          <w:color w:val="000000" w:themeColor="text1"/>
          <w:spacing w:val="-2"/>
          <w:sz w:val="24"/>
          <w:szCs w:val="24"/>
          <w14:textFill>
            <w14:solidFill>
              <w14:schemeClr w14:val="tx1"/>
            </w14:solidFill>
          </w14:textFill>
        </w:rPr>
        <w:t>50H</w:t>
      </w:r>
      <w:r>
        <w:rPr>
          <w:rFonts w:hint="eastAsia" w:ascii="宋体" w:hAnsi="宋体" w:eastAsia="宋体" w:cs="宋体"/>
          <w:color w:val="000000" w:themeColor="text1"/>
          <w:spacing w:val="-1"/>
          <w:sz w:val="24"/>
          <w:szCs w:val="24"/>
          <w14:textFill>
            <w14:solidFill>
              <w14:schemeClr w14:val="tx1"/>
            </w14:solidFill>
          </w14:textFill>
        </w:rPr>
        <w:t>z</w:t>
      </w:r>
      <w:r>
        <w:rPr>
          <w:rFonts w:hint="eastAsia" w:ascii="宋体" w:hAnsi="宋体" w:eastAsia="宋体" w:cs="宋体"/>
          <w:color w:val="000000" w:themeColor="text1"/>
          <w:spacing w:val="-2"/>
          <w:sz w:val="24"/>
          <w:szCs w:val="24"/>
          <w14:textFill>
            <w14:solidFill>
              <w14:schemeClr w14:val="tx1"/>
            </w14:solidFill>
          </w14:textFill>
        </w:rPr>
        <w:t>±1</w:t>
      </w:r>
      <w:r>
        <w:rPr>
          <w:rFonts w:hint="eastAsia" w:ascii="宋体" w:hAnsi="宋体" w:eastAsia="宋体" w:cs="宋体"/>
          <w:color w:val="000000" w:themeColor="text1"/>
          <w:spacing w:val="-1"/>
          <w:sz w:val="24"/>
          <w:szCs w:val="24"/>
          <w14:textFill>
            <w14:solidFill>
              <w14:schemeClr w14:val="tx1"/>
            </w14:solidFill>
          </w14:textFill>
        </w:rPr>
        <w:t>Hz</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pacing w:val="-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r>
        <w:rPr>
          <w:rFonts w:hint="eastAsia" w:ascii="宋体" w:hAnsi="宋体" w:eastAsia="宋体" w:cs="宋体"/>
          <w:color w:val="000000" w:themeColor="text1"/>
          <w:spacing w:val="-6"/>
          <w:sz w:val="24"/>
          <w:szCs w:val="24"/>
          <w14:textFill>
            <w14:solidFill>
              <w14:schemeClr w14:val="tx1"/>
            </w14:solidFill>
          </w14:textFill>
        </w:rPr>
        <w:t xml:space="preserve"> 功</w:t>
      </w:r>
      <w:r>
        <w:rPr>
          <w:rFonts w:hint="eastAsia" w:ascii="宋体" w:hAnsi="宋体" w:eastAsia="宋体" w:cs="宋体"/>
          <w:color w:val="000000" w:themeColor="text1"/>
          <w:spacing w:val="-5"/>
          <w:sz w:val="24"/>
          <w:szCs w:val="24"/>
          <w14:textFill>
            <w14:solidFill>
              <w14:schemeClr w14:val="tx1"/>
            </w14:solidFill>
          </w14:textFill>
        </w:rPr>
        <w:t>率</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pacing w:val="29"/>
          <w:sz w:val="24"/>
          <w:szCs w:val="24"/>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VA</w:t>
      </w:r>
      <w:r>
        <w:rPr>
          <w:rFonts w:hint="eastAsia" w:ascii="宋体" w:hAnsi="宋体" w:eastAsia="宋体" w:cs="宋体"/>
          <w:color w:val="000000" w:themeColor="text1"/>
          <w:spacing w:val="29"/>
          <w:sz w:val="24"/>
          <w:szCs w:val="24"/>
          <w14:textFill>
            <w14:solidFill>
              <w14:schemeClr w14:val="tx1"/>
            </w14:solidFill>
          </w14:textFill>
        </w:rPr>
        <w:t>)</w:t>
      </w:r>
      <w:r>
        <w:rPr>
          <w:rFonts w:hint="eastAsia" w:ascii="宋体" w:hAnsi="宋体" w:eastAsia="宋体" w:cs="宋体"/>
          <w:color w:val="000000" w:themeColor="text1"/>
          <w:spacing w:val="-1"/>
          <w:sz w:val="24"/>
          <w:szCs w:val="24"/>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w:t>
      </w:r>
      <w:r>
        <w:rPr>
          <w:rFonts w:hint="eastAsia" w:ascii="宋体" w:hAnsi="宋体" w:eastAsia="宋体" w:cs="宋体"/>
          <w:color w:val="000000" w:themeColor="text1"/>
          <w:spacing w:val="-1"/>
          <w:sz w:val="24"/>
          <w:szCs w:val="24"/>
          <w14:textFill>
            <w14:solidFill>
              <w14:schemeClr w14:val="tx1"/>
            </w14:solidFill>
          </w14:textFill>
        </w:rPr>
        <w:t>450</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 高清触控式大屏</w:t>
      </w:r>
    </w:p>
    <w:p>
      <w:pPr>
        <w:pageBreakBefore w:val="0"/>
        <w:kinsoku/>
        <w:wordWrap/>
        <w:overflowPunct/>
        <w:topLinePunct w:val="0"/>
        <w:autoSpaceDE/>
        <w:autoSpaceDN/>
        <w:bidi w:val="0"/>
        <w:spacing w:line="360" w:lineRule="auto"/>
        <w:ind w:firstLine="484" w:firstLineChars="200"/>
        <w:textAlignment w:val="auto"/>
        <w:rPr>
          <w:rFonts w:hint="eastAsia" w:ascii="宋体" w:hAnsi="宋体" w:eastAsia="宋体" w:cs="宋体"/>
          <w:color w:val="000000" w:themeColor="text1"/>
          <w:spacing w:val="1"/>
          <w:position w:val="3"/>
          <w:sz w:val="24"/>
          <w:szCs w:val="24"/>
          <w14:textFill>
            <w14:solidFill>
              <w14:schemeClr w14:val="tx1"/>
            </w14:solidFill>
          </w14:textFill>
        </w:rPr>
      </w:pPr>
      <w:r>
        <w:rPr>
          <w:rFonts w:hint="eastAsia" w:ascii="宋体" w:hAnsi="宋体" w:eastAsia="宋体" w:cs="宋体"/>
          <w:color w:val="000000" w:themeColor="text1"/>
          <w:spacing w:val="1"/>
          <w:position w:val="3"/>
          <w:sz w:val="24"/>
          <w:szCs w:val="24"/>
          <w14:textFill>
            <w14:solidFill>
              <w14:schemeClr w14:val="tx1"/>
            </w14:solidFill>
          </w14:textFill>
        </w:rPr>
        <w:t>1</w:t>
      </w:r>
      <w:r>
        <w:rPr>
          <w:rFonts w:hint="eastAsia" w:ascii="宋体" w:hAnsi="宋体" w:eastAsia="宋体" w:cs="宋体"/>
          <w:color w:val="000000" w:themeColor="text1"/>
          <w:spacing w:val="1"/>
          <w:position w:val="3"/>
          <w:sz w:val="24"/>
          <w:szCs w:val="24"/>
          <w:lang w:val="en-US" w:eastAsia="zh-CN"/>
          <w14:textFill>
            <w14:solidFill>
              <w14:schemeClr w14:val="tx1"/>
            </w14:solidFill>
          </w14:textFill>
        </w:rPr>
        <w:t>0</w:t>
      </w:r>
      <w:r>
        <w:rPr>
          <w:rFonts w:hint="eastAsia" w:ascii="宋体" w:hAnsi="宋体" w:eastAsia="宋体" w:cs="宋体"/>
          <w:color w:val="000000" w:themeColor="text1"/>
          <w:spacing w:val="1"/>
          <w:position w:val="3"/>
          <w:sz w:val="24"/>
          <w:szCs w:val="24"/>
          <w14:textFill>
            <w14:solidFill>
              <w14:schemeClr w14:val="tx1"/>
            </w14:solidFill>
          </w14:textFill>
        </w:rPr>
        <w:t>. 高效锂分子筛</w:t>
      </w:r>
    </w:p>
    <w:p>
      <w:pPr>
        <w:pageBreakBefore w:val="0"/>
        <w:kinsoku/>
        <w:wordWrap/>
        <w:overflowPunct/>
        <w:topLinePunct w:val="0"/>
        <w:autoSpaceDE/>
        <w:autoSpaceDN/>
        <w:bidi w:val="0"/>
        <w:spacing w:line="360" w:lineRule="auto"/>
        <w:ind w:firstLine="484" w:firstLineChars="200"/>
        <w:textAlignment w:val="auto"/>
        <w:rPr>
          <w:rFonts w:hint="eastAsia" w:ascii="宋体" w:hAnsi="宋体" w:eastAsia="宋体" w:cs="宋体"/>
          <w:color w:val="000000" w:themeColor="text1"/>
          <w:spacing w:val="1"/>
          <w:position w:val="3"/>
          <w:sz w:val="24"/>
          <w:szCs w:val="24"/>
          <w14:textFill>
            <w14:solidFill>
              <w14:schemeClr w14:val="tx1"/>
            </w14:solidFill>
          </w14:textFill>
        </w:rPr>
      </w:pPr>
      <w:r>
        <w:rPr>
          <w:rFonts w:hint="eastAsia" w:ascii="宋体" w:hAnsi="宋体" w:eastAsia="宋体" w:cs="宋体"/>
          <w:color w:val="000000" w:themeColor="text1"/>
          <w:spacing w:val="1"/>
          <w:position w:val="3"/>
          <w:sz w:val="24"/>
          <w:szCs w:val="24"/>
          <w14:textFill>
            <w14:solidFill>
              <w14:schemeClr w14:val="tx1"/>
            </w14:solidFill>
          </w14:textFill>
        </w:rPr>
        <w:t>1</w:t>
      </w:r>
      <w:r>
        <w:rPr>
          <w:rFonts w:hint="eastAsia" w:ascii="宋体" w:hAnsi="宋体" w:eastAsia="宋体" w:cs="宋体"/>
          <w:color w:val="000000" w:themeColor="text1"/>
          <w:spacing w:val="1"/>
          <w:position w:val="3"/>
          <w:sz w:val="24"/>
          <w:szCs w:val="24"/>
          <w:lang w:val="en-US" w:eastAsia="zh-CN"/>
          <w14:textFill>
            <w14:solidFill>
              <w14:schemeClr w14:val="tx1"/>
            </w14:solidFill>
          </w14:textFill>
        </w:rPr>
        <w:t>1</w:t>
      </w:r>
      <w:r>
        <w:rPr>
          <w:rFonts w:hint="eastAsia" w:ascii="宋体" w:hAnsi="宋体" w:eastAsia="宋体" w:cs="宋体"/>
          <w:color w:val="000000" w:themeColor="text1"/>
          <w:spacing w:val="1"/>
          <w:position w:val="3"/>
          <w:sz w:val="24"/>
          <w:szCs w:val="24"/>
          <w14:textFill>
            <w14:solidFill>
              <w14:schemeClr w14:val="tx1"/>
            </w14:solidFill>
          </w14:textFill>
        </w:rPr>
        <w:t>. 制氧+雾化，一键切换</w:t>
      </w:r>
    </w:p>
    <w:p>
      <w:pPr>
        <w:pStyle w:val="2"/>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bookmarkStart w:id="51" w:name="_Toc20051"/>
    </w:p>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br w:type="page"/>
      </w:r>
    </w:p>
    <w:p>
      <w:pPr>
        <w:pStyle w:val="2"/>
        <w:pageBreakBefore w:val="0"/>
        <w:kinsoku/>
        <w:wordWrap/>
        <w:overflowPunct/>
        <w:topLinePunct w:val="0"/>
        <w:autoSpaceDE/>
        <w:autoSpaceDN/>
        <w:bidi w:val="0"/>
        <w:spacing w:line="360" w:lineRule="auto"/>
        <w:ind w:firstLine="482" w:firstLineChars="20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附件12：医用臭氧治疗仪</w:t>
      </w:r>
      <w:bookmarkEnd w:id="51"/>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52" w:name="_Toc21848"/>
      <w:r>
        <w:rPr>
          <w:rFonts w:hint="eastAsia" w:ascii="宋体" w:hAnsi="宋体" w:eastAsia="宋体" w:cs="宋体"/>
          <w:color w:val="000000" w:themeColor="text1"/>
          <w:sz w:val="24"/>
          <w:szCs w:val="24"/>
          <w14:textFill>
            <w14:solidFill>
              <w14:schemeClr w14:val="tx1"/>
            </w14:solidFill>
          </w14:textFill>
        </w:rPr>
        <w:t>一、性能要求</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一体化设计，双液晶屏显示，内置加热，自动恒温；具备以空气源来制造臭氧功能，设备具有臭氧水冲洗、臭氧气和超声波臭氧雾化治疗三合一功能；具有臭氧气治疗和超声波臭氧雾化治疗一键自动切换功能。</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2、冲洗液可选择手动加水，也可选择自动进水，配备净水装置。冲洗液加热保护采用继电器加可控硅双重控制</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储水桶在缺水时，控制面板有报警闪烁和报警蜂鸣响，加温不冲洗，冲洗不加温，安全可靠。</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3、冲洗部分和治疗部分采用单独的液晶显示屏显示，并可以自动记录冲洗及治疗的次数，同时，冲洗部分和治疗部分可单独使用也可以同时使用，节能环保。</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4、冲洗系统配有脚踏开关，与控制面板冲洗开关并联控制，冲洗过程无需长按按钮。</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二</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技术要求</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1.臭氧气体浓度：</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mg/L。</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2.臭氧</w:t>
      </w:r>
      <w:r>
        <w:rPr>
          <w:rFonts w:hint="eastAsia" w:ascii="宋体" w:hAnsi="宋体" w:eastAsia="宋体" w:cs="宋体"/>
          <w:color w:val="000000" w:themeColor="text1"/>
          <w:sz w:val="24"/>
          <w:szCs w:val="24"/>
          <w:lang w:eastAsia="zh-CN"/>
          <w14:textFill>
            <w14:solidFill>
              <w14:schemeClr w14:val="tx1"/>
            </w14:solidFill>
          </w14:textFill>
        </w:rPr>
        <w:t>水</w:t>
      </w:r>
      <w:r>
        <w:rPr>
          <w:rFonts w:hint="eastAsia" w:ascii="宋体" w:hAnsi="宋体" w:eastAsia="宋体" w:cs="宋体"/>
          <w:color w:val="000000" w:themeColor="text1"/>
          <w:sz w:val="24"/>
          <w:szCs w:val="24"/>
          <w14:textFill>
            <w14:solidFill>
              <w14:schemeClr w14:val="tx1"/>
            </w14:solidFill>
          </w14:textFill>
        </w:rPr>
        <w:t>浓度：</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0.75</w:t>
      </w:r>
      <w:r>
        <w:rPr>
          <w:rFonts w:hint="eastAsia" w:ascii="宋体" w:hAnsi="宋体" w:eastAsia="宋体" w:cs="宋体"/>
          <w:color w:val="000000" w:themeColor="text1"/>
          <w:sz w:val="24"/>
          <w:szCs w:val="24"/>
          <w14:textFill>
            <w14:solidFill>
              <w14:schemeClr w14:val="tx1"/>
            </w14:solidFill>
          </w14:textFill>
        </w:rPr>
        <w:t>mg/L。</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3.臭氧产量：</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00mg/h。</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.雾化率</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ml/min</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.多功能工作模式：气、雾、水三种工作模式</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.冲洗流量：</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0.5</w:t>
      </w:r>
      <w:r>
        <w:rPr>
          <w:rFonts w:hint="eastAsia" w:ascii="宋体" w:hAnsi="宋体" w:eastAsia="宋体" w:cs="宋体"/>
          <w:color w:val="000000" w:themeColor="text1"/>
          <w:sz w:val="24"/>
          <w:szCs w:val="24"/>
          <w14:textFill>
            <w14:solidFill>
              <w14:schemeClr w14:val="tx1"/>
            </w14:solidFill>
          </w14:textFill>
        </w:rPr>
        <w:t>L/min</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.冲洗液加热温度范围：18-40℃可调。</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.冲洗出水压力：</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11</w:t>
      </w:r>
      <w:r>
        <w:rPr>
          <w:rFonts w:hint="eastAsia" w:ascii="宋体" w:hAnsi="宋体" w:eastAsia="宋体" w:cs="宋体"/>
          <w:color w:val="000000" w:themeColor="text1"/>
          <w:sz w:val="24"/>
          <w:szCs w:val="24"/>
          <w14:textFill>
            <w14:solidFill>
              <w14:schemeClr w14:val="tx1"/>
            </w14:solidFill>
          </w14:textFill>
        </w:rPr>
        <w:t>Kpa</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治疗定时：5min、10min、15min</w:t>
      </w:r>
      <w:r>
        <w:rPr>
          <w:rFonts w:hint="eastAsia" w:ascii="宋体" w:hAnsi="宋体" w:eastAsia="宋体" w:cs="宋体"/>
          <w:color w:val="000000" w:themeColor="text1"/>
          <w:sz w:val="24"/>
          <w:szCs w:val="24"/>
          <w:lang w:eastAsia="zh-CN"/>
          <w14:textFill>
            <w14:solidFill>
              <w14:schemeClr w14:val="tx1"/>
            </w14:solidFill>
          </w14:textFill>
        </w:rPr>
        <w:t>三</w:t>
      </w:r>
      <w:r>
        <w:rPr>
          <w:rFonts w:hint="eastAsia" w:ascii="宋体" w:hAnsi="宋体" w:eastAsia="宋体" w:cs="宋体"/>
          <w:color w:val="000000" w:themeColor="text1"/>
          <w:sz w:val="24"/>
          <w:szCs w:val="24"/>
          <w14:textFill>
            <w14:solidFill>
              <w14:schemeClr w14:val="tx1"/>
            </w14:solidFill>
          </w14:textFill>
        </w:rPr>
        <w:t>档。</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.臭氧雾化治疗和臭氧气体治疗可自动切换</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w:t>
      </w:r>
      <w:r>
        <w:rPr>
          <w:rFonts w:hint="eastAsia" w:ascii="宋体" w:hAnsi="宋体" w:eastAsia="宋体" w:cs="宋体"/>
          <w:color w:val="000000" w:themeColor="text1"/>
          <w:sz w:val="24"/>
          <w:szCs w:val="24"/>
          <w14:textFill>
            <w14:solidFill>
              <w14:schemeClr w14:val="tx1"/>
            </w14:solidFill>
          </w14:textFill>
        </w:rPr>
        <w:t>.治疗仪正常工作时臭氧气体</w:t>
      </w:r>
      <w:r>
        <w:rPr>
          <w:rFonts w:hint="eastAsia" w:ascii="宋体" w:hAnsi="宋体" w:eastAsia="宋体" w:cs="宋体"/>
          <w:color w:val="000000" w:themeColor="text1"/>
          <w:sz w:val="24"/>
          <w:szCs w:val="24"/>
          <w:lang w:eastAsia="zh-CN"/>
          <w14:textFill>
            <w14:solidFill>
              <w14:schemeClr w14:val="tx1"/>
            </w14:solidFill>
          </w14:textFill>
        </w:rPr>
        <w:t>泄露量≤</w:t>
      </w:r>
      <w:r>
        <w:rPr>
          <w:rFonts w:hint="eastAsia" w:ascii="宋体" w:hAnsi="宋体" w:eastAsia="宋体" w:cs="宋体"/>
          <w:color w:val="000000" w:themeColor="text1"/>
          <w:sz w:val="24"/>
          <w:szCs w:val="24"/>
          <w14:textFill>
            <w14:solidFill>
              <w14:schemeClr w14:val="tx1"/>
            </w14:solidFill>
          </w14:textFill>
        </w:rPr>
        <w:t>0.</w:t>
      </w:r>
      <w:r>
        <w:rPr>
          <w:rFonts w:hint="eastAsia" w:ascii="宋体" w:hAnsi="宋体" w:eastAsia="宋体" w:cs="宋体"/>
          <w:color w:val="000000" w:themeColor="text1"/>
          <w:sz w:val="24"/>
          <w:szCs w:val="24"/>
          <w:lang w:val="en-US" w:eastAsia="zh-CN"/>
          <w14:textFill>
            <w14:solidFill>
              <w14:schemeClr w14:val="tx1"/>
            </w14:solidFill>
          </w14:textFill>
        </w:rPr>
        <w:t>03</w:t>
      </w:r>
      <w:r>
        <w:rPr>
          <w:rFonts w:hint="eastAsia" w:ascii="宋体" w:hAnsi="宋体" w:eastAsia="宋体" w:cs="宋体"/>
          <w:color w:val="000000" w:themeColor="text1"/>
          <w:sz w:val="24"/>
          <w:szCs w:val="24"/>
          <w14:textFill>
            <w14:solidFill>
              <w14:schemeClr w14:val="tx1"/>
            </w14:solidFill>
          </w14:textFill>
        </w:rPr>
        <w:t>mg</w:t>
      </w:r>
      <w:r>
        <w:rPr>
          <w:rFonts w:hint="eastAsia" w:ascii="宋体" w:hAnsi="宋体" w:eastAsia="宋体" w:cs="宋体"/>
          <w:color w:val="000000" w:themeColor="text1"/>
          <w:sz w:val="24"/>
          <w:szCs w:val="24"/>
          <w:lang w:val="en-US" w:eastAsia="zh-CN"/>
          <w14:textFill>
            <w14:solidFill>
              <w14:schemeClr w14:val="tx1"/>
            </w14:solidFill>
          </w14:textFill>
        </w:rPr>
        <w:t>/m³</w:t>
      </w:r>
    </w:p>
    <w:p>
      <w:pPr>
        <w:pStyle w:val="2"/>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br w:type="page"/>
      </w:r>
    </w:p>
    <w:p>
      <w:pPr>
        <w:pStyle w:val="2"/>
        <w:pageBreakBefore w:val="0"/>
        <w:kinsoku/>
        <w:wordWrap/>
        <w:overflowPunct/>
        <w:topLinePunct w:val="0"/>
        <w:autoSpaceDE/>
        <w:autoSpaceDN/>
        <w:bidi w:val="0"/>
        <w:spacing w:line="360" w:lineRule="auto"/>
        <w:ind w:firstLine="482" w:firstLineChars="20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附件13：</w:t>
      </w:r>
      <w:r>
        <w:rPr>
          <w:rFonts w:hint="eastAsia" w:ascii="宋体" w:hAnsi="宋体" w:eastAsia="宋体" w:cs="宋体"/>
          <w:color w:val="000000" w:themeColor="text1"/>
          <w:sz w:val="24"/>
          <w:szCs w:val="24"/>
          <w14:textFill>
            <w14:solidFill>
              <w14:schemeClr w14:val="tx1"/>
            </w14:solidFill>
          </w14:textFill>
        </w:rPr>
        <w:t>电子显微镜</w:t>
      </w:r>
      <w:bookmarkEnd w:id="52"/>
    </w:p>
    <w:p>
      <w:pPr>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1、</w:t>
      </w:r>
      <w:r>
        <w:rPr>
          <w:rFonts w:hint="eastAsia" w:ascii="宋体" w:hAnsi="宋体" w:eastAsia="宋体" w:cs="宋体"/>
          <w:b/>
          <w:color w:val="000000" w:themeColor="text1"/>
          <w:sz w:val="24"/>
          <w:szCs w:val="24"/>
          <w14:textFill>
            <w14:solidFill>
              <w14:schemeClr w14:val="tx1"/>
            </w14:solidFill>
          </w14:textFill>
        </w:rPr>
        <w:t>用途：</w:t>
      </w:r>
      <w:r>
        <w:rPr>
          <w:rFonts w:hint="eastAsia" w:ascii="宋体" w:hAnsi="宋体" w:eastAsia="宋体" w:cs="宋体"/>
          <w:bCs/>
          <w:color w:val="000000" w:themeColor="text1"/>
          <w:sz w:val="24"/>
          <w:szCs w:val="24"/>
          <w14:textFill>
            <w14:solidFill>
              <w14:schemeClr w14:val="tx1"/>
            </w14:solidFill>
          </w14:textFill>
        </w:rPr>
        <w:t>可用于普通染色的切片观察，以及临床、科研常规显微检验工作。</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2、</w:t>
      </w:r>
      <w:r>
        <w:rPr>
          <w:rFonts w:hint="eastAsia" w:ascii="宋体" w:hAnsi="宋体" w:eastAsia="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 xml:space="preserve">  光学系统：无限远光学矫正系统，齐焦距离必须为国际标准45mm。</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3、</w:t>
      </w:r>
      <w:r>
        <w:rPr>
          <w:rFonts w:hint="eastAsia" w:ascii="宋体" w:hAnsi="宋体" w:eastAsia="宋体" w:cs="宋体"/>
          <w:bCs/>
          <w:color w:val="000000" w:themeColor="text1"/>
          <w:sz w:val="24"/>
          <w:szCs w:val="24"/>
          <w14:textFill>
            <w14:solidFill>
              <w14:schemeClr w14:val="tx1"/>
            </w14:solidFill>
          </w14:textFill>
        </w:rPr>
        <w:t>载物台：钢丝传动，无齿条结构</w:t>
      </w:r>
      <w:r>
        <w:rPr>
          <w:rFonts w:hint="eastAsia" w:ascii="宋体" w:hAnsi="宋体" w:eastAsia="宋体" w:cs="宋体"/>
          <w:bCs/>
          <w:color w:val="000000" w:themeColor="text1"/>
          <w:sz w:val="24"/>
          <w:szCs w:val="24"/>
          <w:lang w:val="en-US"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载物台高度：140mm</w:t>
      </w:r>
      <w:r>
        <w:rPr>
          <w:rFonts w:hint="eastAsia" w:ascii="宋体" w:hAnsi="宋体" w:eastAsia="宋体" w:cs="宋体"/>
          <w:bCs/>
          <w:color w:val="000000" w:themeColor="text1"/>
          <w:sz w:val="24"/>
          <w:szCs w:val="24"/>
          <w:lang w:val="en-US"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机械固定载物台, (W × D): 211 mm × 154 mm</w:t>
      </w:r>
      <w:r>
        <w:rPr>
          <w:rFonts w:hint="eastAsia" w:ascii="宋体" w:hAnsi="宋体" w:eastAsia="宋体" w:cs="宋体"/>
          <w:bCs/>
          <w:color w:val="000000" w:themeColor="text1"/>
          <w:sz w:val="24"/>
          <w:szCs w:val="24"/>
          <w:lang w:val="en-US"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移动范围 (X × Y): 76 mm × 52 mm</w:t>
      </w:r>
      <w:r>
        <w:rPr>
          <w:rFonts w:hint="eastAsia" w:ascii="宋体" w:hAnsi="宋体" w:eastAsia="宋体" w:cs="宋体"/>
          <w:bCs/>
          <w:color w:val="000000" w:themeColor="text1"/>
          <w:sz w:val="24"/>
          <w:szCs w:val="24"/>
          <w:lang w:val="en-US"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载物台XY 移动可锁定</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4、</w:t>
      </w:r>
      <w:r>
        <w:rPr>
          <w:rFonts w:hint="eastAsia" w:ascii="宋体" w:hAnsi="宋体" w:eastAsia="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调焦机构：载物台高度调节 ( 粗调: 15 mm )，可以进行张力调节</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有粗调限位，</w:t>
      </w:r>
      <w:r>
        <w:rPr>
          <w:rFonts w:hint="eastAsia" w:ascii="宋体" w:hAnsi="宋体" w:eastAsia="宋体" w:cs="宋体"/>
          <w:color w:val="000000" w:themeColor="text1"/>
          <w:sz w:val="24"/>
          <w:szCs w:val="24"/>
          <w14:textFill>
            <w14:solidFill>
              <w14:schemeClr w14:val="tx1"/>
            </w14:solidFill>
          </w14:textFill>
        </w:rPr>
        <w:t xml:space="preserve"> 避免标本或物镜的损伤；</w:t>
      </w:r>
      <w:r>
        <w:rPr>
          <w:rFonts w:hint="eastAsia" w:ascii="宋体" w:hAnsi="宋体" w:eastAsia="宋体" w:cs="宋体"/>
          <w:bCs/>
          <w:color w:val="000000" w:themeColor="text1"/>
          <w:sz w:val="24"/>
          <w:szCs w:val="24"/>
          <w14:textFill>
            <w14:solidFill>
              <w14:schemeClr w14:val="tx1"/>
            </w14:solidFill>
          </w14:textFill>
        </w:rPr>
        <w:t>细调焦旋钮最小调节幅度: 2.5 μm。</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5、</w:t>
      </w:r>
      <w:r>
        <w:rPr>
          <w:rFonts w:hint="eastAsia" w:ascii="宋体" w:hAnsi="宋体" w:eastAsia="宋体" w:cs="宋体"/>
          <w:bCs/>
          <w:color w:val="000000" w:themeColor="text1"/>
          <w:sz w:val="24"/>
          <w:szCs w:val="24"/>
          <w14:textFill>
            <w14:solidFill>
              <w14:schemeClr w14:val="tx1"/>
            </w14:solidFill>
          </w14:textFill>
        </w:rPr>
        <w:t>聚光镜：内置孔径光阑；阿贝聚光镜 NA 1.25（ 油浸时）；2孔位：明场/暗场。</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6、</w:t>
      </w:r>
      <w:r>
        <w:rPr>
          <w:rFonts w:hint="eastAsia" w:ascii="宋体" w:hAnsi="宋体" w:eastAsia="宋体" w:cs="宋体"/>
          <w:bCs/>
          <w:color w:val="000000" w:themeColor="text1"/>
          <w:sz w:val="24"/>
          <w:szCs w:val="24"/>
          <w14:textFill>
            <w14:solidFill>
              <w14:schemeClr w14:val="tx1"/>
            </w14:solidFill>
          </w14:textFill>
        </w:rPr>
        <w:t>照明系统：内置</w:t>
      </w:r>
      <w:r>
        <w:rPr>
          <w:rFonts w:hint="eastAsia" w:ascii="宋体" w:hAnsi="宋体" w:eastAsia="宋体" w:cs="宋体"/>
          <w:bCs/>
          <w:color w:val="000000" w:themeColor="text1"/>
          <w:sz w:val="24"/>
          <w:szCs w:val="24"/>
          <w:lang w:eastAsia="zh-CN"/>
          <w14:textFill>
            <w14:solidFill>
              <w14:schemeClr w14:val="tx1"/>
            </w14:solidFill>
          </w14:textFill>
        </w:rPr>
        <w:t>长寿命</w:t>
      </w:r>
      <w:r>
        <w:rPr>
          <w:rFonts w:hint="eastAsia" w:ascii="宋体" w:hAnsi="宋体" w:eastAsia="宋体" w:cs="宋体"/>
          <w:bCs/>
          <w:color w:val="000000" w:themeColor="text1"/>
          <w:sz w:val="24"/>
          <w:szCs w:val="24"/>
          <w14:textFill>
            <w14:solidFill>
              <w14:schemeClr w14:val="tx1"/>
            </w14:solidFill>
          </w14:textFill>
        </w:rPr>
        <w:t>LED透射光照明系统；</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7、</w:t>
      </w:r>
      <w:r>
        <w:rPr>
          <w:rFonts w:hint="eastAsia" w:ascii="宋体" w:hAnsi="宋体" w:eastAsia="宋体" w:cs="宋体"/>
          <w:bCs/>
          <w:color w:val="000000" w:themeColor="text1"/>
          <w:sz w:val="24"/>
          <w:szCs w:val="24"/>
          <w14:textFill>
            <w14:solidFill>
              <w14:schemeClr w14:val="tx1"/>
            </w14:solidFill>
          </w14:textFill>
        </w:rPr>
        <w:t xml:space="preserve"> 三目观察筒：瞳距调整范围48-75mm，倾斜角度30°；目镜：10X，视场数≥20；分光：100/0或0/100。</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8、</w:t>
      </w:r>
      <w:r>
        <w:rPr>
          <w:rFonts w:hint="eastAsia" w:ascii="宋体" w:hAnsi="宋体" w:eastAsia="宋体" w:cs="宋体"/>
          <w:bCs/>
          <w:color w:val="000000" w:themeColor="text1"/>
          <w:sz w:val="24"/>
          <w:szCs w:val="24"/>
          <w14:textFill>
            <w14:solidFill>
              <w14:schemeClr w14:val="tx1"/>
            </w14:solidFill>
          </w14:textFill>
        </w:rPr>
        <w:t>物镜转盘：与显微镜机身固定的内旋式4孔物镜转盘</w:t>
      </w:r>
      <w:r>
        <w:rPr>
          <w:rFonts w:hint="eastAsia" w:ascii="宋体" w:hAnsi="宋体" w:eastAsia="宋体" w:cs="宋体"/>
          <w:color w:val="000000" w:themeColor="text1"/>
          <w:sz w:val="24"/>
          <w:szCs w:val="24"/>
          <w14:textFill>
            <w14:solidFill>
              <w14:schemeClr w14:val="tx1"/>
            </w14:solidFill>
          </w14:textFill>
        </w:rPr>
        <w:t>，便于放置标本。</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9、</w:t>
      </w:r>
      <w:r>
        <w:rPr>
          <w:rFonts w:hint="eastAsia" w:ascii="宋体" w:hAnsi="宋体" w:eastAsia="宋体" w:cs="宋体"/>
          <w:bCs/>
          <w:color w:val="000000" w:themeColor="text1"/>
          <w:sz w:val="24"/>
          <w:szCs w:val="24"/>
          <w14:textFill>
            <w14:solidFill>
              <w14:schemeClr w14:val="tx1"/>
            </w14:solidFill>
          </w14:textFill>
        </w:rPr>
        <w:t>物镜：平场消色差物镜4X（N.A.≥0.1 W.D≥27.8mm）、10X（N.A.≥0.25 W.D≥8.0mm）、40X（N.A.≥0.65 W.D≥0.6mm）、100XO（N.A.≥1.25 W.D≥0.13mm）</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10、</w:t>
      </w:r>
      <w:r>
        <w:rPr>
          <w:rFonts w:hint="eastAsia" w:ascii="宋体" w:hAnsi="宋体" w:eastAsia="宋体" w:cs="宋体"/>
          <w:bCs/>
          <w:color w:val="000000" w:themeColor="text1"/>
          <w:sz w:val="24"/>
          <w:szCs w:val="24"/>
          <w14:textFill>
            <w14:solidFill>
              <w14:schemeClr w14:val="tx1"/>
            </w14:solidFill>
          </w14:textFill>
        </w:rPr>
        <w:t>防霉装置：在三目观察筒、目镜、物镜都做了抗菌、防霉处理</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11、</w:t>
      </w:r>
      <w:r>
        <w:rPr>
          <w:rFonts w:hint="eastAsia" w:ascii="宋体" w:hAnsi="宋体" w:eastAsia="宋体" w:cs="宋体"/>
          <w:bCs/>
          <w:color w:val="000000" w:themeColor="text1"/>
          <w:sz w:val="24"/>
          <w:szCs w:val="24"/>
          <w:lang w:eastAsia="zh-CN"/>
          <w14:textFill>
            <w14:solidFill>
              <w14:schemeClr w14:val="tx1"/>
            </w14:solidFill>
          </w14:textFill>
        </w:rPr>
        <w:t>背部设有收纳箱，方便装载电源线。内置的锁槽可配防盗电线锁使用。</w:t>
      </w:r>
    </w:p>
    <w:p>
      <w:pPr>
        <w:rPr>
          <w:rFonts w:hint="eastAsia" w:ascii="宋体" w:hAnsi="宋体" w:eastAsia="宋体" w:cs="宋体"/>
          <w:color w:val="000000" w:themeColor="text1"/>
          <w:sz w:val="24"/>
          <w:szCs w:val="24"/>
          <w:lang w:val="en-US" w:eastAsia="zh-CN"/>
          <w14:textFill>
            <w14:solidFill>
              <w14:schemeClr w14:val="tx1"/>
            </w14:solidFill>
          </w14:textFill>
        </w:rPr>
      </w:pPr>
      <w:bookmarkStart w:id="53" w:name="_Toc2254"/>
      <w:r>
        <w:rPr>
          <w:rFonts w:hint="eastAsia" w:ascii="宋体" w:hAnsi="宋体" w:eastAsia="宋体" w:cs="宋体"/>
          <w:color w:val="000000" w:themeColor="text1"/>
          <w:sz w:val="24"/>
          <w:szCs w:val="24"/>
          <w:lang w:val="en-US" w:eastAsia="zh-CN"/>
          <w14:textFill>
            <w14:solidFill>
              <w14:schemeClr w14:val="tx1"/>
            </w14:solidFill>
          </w14:textFill>
        </w:rPr>
        <w:br w:type="page"/>
      </w:r>
    </w:p>
    <w:p>
      <w:pPr>
        <w:pStyle w:val="2"/>
        <w:pageBreakBefore w:val="0"/>
        <w:kinsoku/>
        <w:wordWrap/>
        <w:overflowPunct/>
        <w:topLinePunct w:val="0"/>
        <w:autoSpaceDE/>
        <w:autoSpaceDN/>
        <w:bidi w:val="0"/>
        <w:spacing w:line="360" w:lineRule="auto"/>
        <w:ind w:firstLine="482" w:firstLineChars="20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附件14:</w:t>
      </w:r>
      <w:r>
        <w:rPr>
          <w:rFonts w:hint="eastAsia" w:ascii="宋体" w:hAnsi="宋体" w:eastAsia="宋体" w:cs="宋体"/>
          <w:color w:val="000000" w:themeColor="text1"/>
          <w:sz w:val="24"/>
          <w:szCs w:val="24"/>
          <w14:textFill>
            <w14:solidFill>
              <w14:schemeClr w14:val="tx1"/>
            </w14:solidFill>
          </w14:textFill>
        </w:rPr>
        <w:t>经皮黄疸测定仪</w:t>
      </w:r>
      <w:bookmarkEnd w:id="53"/>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1、网电源供电时，设备的额定电压和频率：AC220V/50Hz；</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2、网电源供电时，设备输入功率：30VA；</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3、内部电源供电时，主机电源类型：额定电压7.4V </w:t>
      </w:r>
      <w:r>
        <w:rPr>
          <w:rFonts w:hint="eastAsia" w:ascii="宋体" w:hAnsi="宋体" w:eastAsia="宋体" w:cs="宋体"/>
          <w:color w:val="000000" w:themeColor="text1"/>
          <w:sz w:val="24"/>
          <w:szCs w:val="24"/>
          <w14:textFill>
            <w14:solidFill>
              <w14:schemeClr w14:val="tx1"/>
            </w14:solidFill>
          </w14:textFill>
        </w:rPr>
        <w:drawing>
          <wp:inline distT="0" distB="0" distL="114300" distR="114300">
            <wp:extent cx="168910" cy="107950"/>
            <wp:effectExtent l="0" t="0" r="2540" b="6350"/>
            <wp:docPr id="33" name="图片 8" descr="直流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8" descr="直流电"/>
                    <pic:cNvPicPr>
                      <a:picLocks noChangeAspect="1"/>
                    </pic:cNvPicPr>
                  </pic:nvPicPr>
                  <pic:blipFill>
                    <a:blip r:embed="rId13" cstate="print"/>
                    <a:stretch>
                      <a:fillRect/>
                    </a:stretch>
                  </pic:blipFill>
                  <pic:spPr>
                    <a:xfrm>
                      <a:off x="0" y="0"/>
                      <a:ext cx="168910" cy="107950"/>
                    </a:xfrm>
                    <a:prstGeom prst="rect">
                      <a:avLst/>
                    </a:prstGeom>
                    <a:noFill/>
                    <a:ln>
                      <a:noFill/>
                    </a:ln>
                  </pic:spPr>
                </pic:pic>
              </a:graphicData>
            </a:graphic>
          </wp:inline>
        </w:drawing>
      </w:r>
      <w:r>
        <w:rPr>
          <w:rFonts w:hint="eastAsia" w:ascii="宋体" w:hAnsi="宋体" w:eastAsia="宋体" w:cs="宋体"/>
          <w:color w:val="000000" w:themeColor="text1"/>
          <w:sz w:val="24"/>
          <w:szCs w:val="24"/>
          <w14:textFill>
            <w14:solidFill>
              <w14:schemeClr w14:val="tx1"/>
            </w14:solidFill>
          </w14:textFill>
        </w:rPr>
        <w:t>(锂电池)；</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4、底座输出：8.4V/1A；</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5、光源: 氙闪光灯；</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★6、光源寿命：不低于150000次；</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7、其他：底座内置检查屏；</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8、最大显示值：≥25.0 mg/dL (425μmol/L)；</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9、准确度：± 1.5 mg/dL （±25.5μmol/L）；</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10、重复性：≤3%；</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11、信息提示：低电压提示；</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12、检查屏(波长为550nm和461nm光谱的透过率之比为)：预定值为“0”的检查屏为1±0.1，</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预定值为“20”的检查屏为5±0.5；</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★13、平均测量功能：可设置1～5次平均测量方式；</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14、时间设置：可实现时间日期的修改；</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15、声音设置：触摸屏按键音可设置为开/关；</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★16、亮度调节：屏幕亮度5级调节；</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17、测量单位：测量单位可在mg/dL和μmol/L间切换；</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★18、屏幕保护：屏幕保护时间可设置为1分钟或5分钟；</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19、历史数据保存：可保存护士ID号、婴儿ID号、测量结果、测量时间、测量是进行优先权，蓝光完成标志的标记。</w:t>
      </w:r>
    </w:p>
    <w:p>
      <w:pPr>
        <w:rPr>
          <w:rFonts w:hint="eastAsia" w:ascii="宋体" w:hAnsi="宋体" w:eastAsia="宋体" w:cs="宋体"/>
          <w:color w:val="000000" w:themeColor="text1"/>
          <w:sz w:val="24"/>
          <w:szCs w:val="24"/>
          <w:lang w:val="en-US" w:eastAsia="zh-CN"/>
          <w14:textFill>
            <w14:solidFill>
              <w14:schemeClr w14:val="tx1"/>
            </w14:solidFill>
          </w14:textFill>
        </w:rPr>
      </w:pPr>
      <w:bookmarkStart w:id="54" w:name="_Toc21515"/>
      <w:r>
        <w:rPr>
          <w:rFonts w:hint="eastAsia" w:ascii="宋体" w:hAnsi="宋体" w:eastAsia="宋体" w:cs="宋体"/>
          <w:color w:val="000000" w:themeColor="text1"/>
          <w:sz w:val="24"/>
          <w:szCs w:val="24"/>
          <w:lang w:val="en-US" w:eastAsia="zh-CN"/>
          <w14:textFill>
            <w14:solidFill>
              <w14:schemeClr w14:val="tx1"/>
            </w14:solidFill>
          </w14:textFill>
        </w:rPr>
        <w:br w:type="page"/>
      </w:r>
    </w:p>
    <w:p>
      <w:pPr>
        <w:pStyle w:val="2"/>
        <w:pageBreakBefore w:val="0"/>
        <w:kinsoku/>
        <w:wordWrap/>
        <w:overflowPunct/>
        <w:topLinePunct w:val="0"/>
        <w:autoSpaceDE/>
        <w:autoSpaceDN/>
        <w:bidi w:val="0"/>
        <w:spacing w:line="360" w:lineRule="auto"/>
        <w:ind w:firstLine="482" w:firstLineChars="20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附件15：胎心监护仪</w:t>
      </w:r>
      <w:bookmarkEnd w:id="54"/>
    </w:p>
    <w:p>
      <w:pPr>
        <w:pageBreakBefore w:val="0"/>
        <w:numPr>
          <w:ilvl w:val="0"/>
          <w:numId w:val="16"/>
        </w:numPr>
        <w:kinsoku/>
        <w:wordWrap/>
        <w:overflowPunct/>
        <w:topLinePunct w:val="0"/>
        <w:autoSpaceDE/>
        <w:autoSpaceDN/>
        <w:bidi w:val="0"/>
        <w:spacing w:before="156" w:before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监护参数：胎心率（FHR），宫缩压力（TOCO），胎动（FM）；</w:t>
      </w:r>
    </w:p>
    <w:p>
      <w:pPr>
        <w:pageBreakBefore w:val="0"/>
        <w:numPr>
          <w:ilvl w:val="0"/>
          <w:numId w:val="16"/>
        </w:numPr>
        <w:kinsoku/>
        <w:wordWrap/>
        <w:overflowPunct/>
        <w:topLinePunct w:val="0"/>
        <w:autoSpaceDE/>
        <w:autoSpaceDN/>
        <w:bidi w:val="0"/>
        <w:spacing w:before="156" w:before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晶片1MHz超声胎心探头，超声波束声强：</w:t>
      </w:r>
      <w:r>
        <w:rPr>
          <w:rFonts w:hint="eastAsia" w:ascii="宋体" w:hAnsi="宋体" w:eastAsia="宋体" w:cs="宋体"/>
          <w:color w:val="000000" w:themeColor="text1"/>
          <w:kern w:val="0"/>
          <w:sz w:val="24"/>
          <w:szCs w:val="24"/>
          <w14:textFill>
            <w14:solidFill>
              <w14:schemeClr w14:val="tx1"/>
            </w14:solidFill>
          </w14:textFill>
        </w:rPr>
        <w:t>I</w:t>
      </w:r>
      <w:r>
        <w:rPr>
          <w:rFonts w:hint="eastAsia" w:ascii="宋体" w:hAnsi="宋体" w:eastAsia="宋体" w:cs="宋体"/>
          <w:color w:val="000000" w:themeColor="text1"/>
          <w:kern w:val="0"/>
          <w:sz w:val="24"/>
          <w:szCs w:val="24"/>
          <w:vertAlign w:val="subscript"/>
          <w14:textFill>
            <w14:solidFill>
              <w14:schemeClr w14:val="tx1"/>
            </w14:solidFill>
          </w14:textFill>
        </w:rPr>
        <w:t>ob</w:t>
      </w:r>
      <w:r>
        <w:rPr>
          <w:rFonts w:hint="eastAsia" w:ascii="宋体" w:hAnsi="宋体" w:eastAsia="宋体" w:cs="宋体"/>
          <w:color w:val="000000" w:themeColor="text1"/>
          <w:kern w:val="0"/>
          <w:sz w:val="24"/>
          <w:szCs w:val="24"/>
          <w14:textFill>
            <w14:solidFill>
              <w14:schemeClr w14:val="tx1"/>
            </w14:solidFill>
          </w14:textFill>
        </w:rPr>
        <w:t>&lt;3.</w:t>
      </w:r>
      <w:r>
        <w:rPr>
          <w:rFonts w:hint="eastAsia" w:ascii="宋体" w:hAnsi="宋体" w:eastAsia="宋体" w:cs="宋体"/>
          <w:color w:val="000000" w:themeColor="text1"/>
          <w:kern w:val="0"/>
          <w:sz w:val="24"/>
          <w:szCs w:val="24"/>
          <w:lang w:val="en-US" w:eastAsia="zh-CN"/>
          <w14:textFill>
            <w14:solidFill>
              <w14:schemeClr w14:val="tx1"/>
            </w14:solidFill>
          </w14:textFill>
        </w:rPr>
        <w:t>6</w:t>
      </w:r>
      <w:r>
        <w:rPr>
          <w:rFonts w:hint="eastAsia" w:ascii="宋体" w:hAnsi="宋体" w:eastAsia="宋体" w:cs="宋体"/>
          <w:color w:val="000000" w:themeColor="text1"/>
          <w:kern w:val="0"/>
          <w:sz w:val="24"/>
          <w:szCs w:val="24"/>
          <w14:textFill>
            <w14:solidFill>
              <w14:schemeClr w14:val="tx1"/>
            </w14:solidFill>
          </w14:textFill>
        </w:rPr>
        <w:t>mW/cm</w:t>
      </w:r>
      <w:r>
        <w:rPr>
          <w:rFonts w:hint="eastAsia" w:ascii="宋体" w:hAnsi="宋体" w:eastAsia="宋体" w:cs="宋体"/>
          <w:color w:val="000000" w:themeColor="text1"/>
          <w:kern w:val="0"/>
          <w:sz w:val="24"/>
          <w:szCs w:val="24"/>
          <w:vertAlign w:val="superscript"/>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（需提供产品说明书）；</w:t>
      </w:r>
    </w:p>
    <w:p>
      <w:pPr>
        <w:pageBreakBefore w:val="0"/>
        <w:numPr>
          <w:ilvl w:val="0"/>
          <w:numId w:val="16"/>
        </w:numPr>
        <w:kinsoku/>
        <w:wordWrap/>
        <w:overflowPunct/>
        <w:topLinePunct w:val="0"/>
        <w:autoSpaceDE/>
        <w:autoSpaceDN/>
        <w:bidi w:val="0"/>
        <w:spacing w:before="156" w:before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胎动：手动/自动胎动检测，显示并打印胎儿活动图；</w:t>
      </w:r>
    </w:p>
    <w:p>
      <w:pPr>
        <w:pageBreakBefore w:val="0"/>
        <w:numPr>
          <w:ilvl w:val="0"/>
          <w:numId w:val="16"/>
        </w:numPr>
        <w:kinsoku/>
        <w:wordWrap/>
        <w:overflowPunct/>
        <w:topLinePunct w:val="0"/>
        <w:autoSpaceDE/>
        <w:autoSpaceDN/>
        <w:bidi w:val="0"/>
        <w:spacing w:before="156" w:before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英寸高清晰TFT触摸屏设计，1920</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1080P高清分辨率呈现（需提供产品说明书证明）；</w:t>
      </w:r>
    </w:p>
    <w:p>
      <w:pPr>
        <w:pageBreakBefore w:val="0"/>
        <w:numPr>
          <w:ilvl w:val="0"/>
          <w:numId w:val="16"/>
        </w:numPr>
        <w:kinsoku/>
        <w:wordWrap/>
        <w:overflowPunct/>
        <w:topLinePunct w:val="0"/>
        <w:autoSpaceDE/>
        <w:autoSpaceDN/>
        <w:bidi w:val="0"/>
        <w:spacing w:before="156" w:before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支持波形储存时长≥3000小时；</w:t>
      </w:r>
    </w:p>
    <w:p>
      <w:pPr>
        <w:pageBreakBefore w:val="0"/>
        <w:numPr>
          <w:ilvl w:val="0"/>
          <w:numId w:val="16"/>
        </w:numPr>
        <w:kinsoku/>
        <w:wordWrap/>
        <w:overflowPunct/>
        <w:topLinePunct w:val="0"/>
        <w:autoSpaceDE/>
        <w:autoSpaceDN/>
        <w:bidi w:val="0"/>
        <w:spacing w:before="156" w:before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支持全键盘中文孕妇信息输入，支持USB接口</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支持接入扫码枪</w:t>
      </w:r>
      <w:r>
        <w:rPr>
          <w:rFonts w:hint="eastAsia" w:ascii="宋体" w:hAnsi="宋体" w:eastAsia="宋体" w:cs="宋体"/>
          <w:color w:val="000000" w:themeColor="text1"/>
          <w:sz w:val="24"/>
          <w:szCs w:val="24"/>
          <w14:textFill>
            <w14:solidFill>
              <w14:schemeClr w14:val="tx1"/>
            </w14:solidFill>
          </w14:textFill>
        </w:rPr>
        <w:t>；</w:t>
      </w:r>
    </w:p>
    <w:p>
      <w:pPr>
        <w:pageBreakBefore w:val="0"/>
        <w:numPr>
          <w:ilvl w:val="0"/>
          <w:numId w:val="16"/>
        </w:numPr>
        <w:kinsoku/>
        <w:wordWrap/>
        <w:overflowPunct/>
        <w:topLinePunct w:val="0"/>
        <w:autoSpaceDE/>
        <w:autoSpaceDN/>
        <w:bidi w:val="0"/>
        <w:spacing w:before="156" w:before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w:t>
      </w:r>
      <w:r>
        <w:rPr>
          <w:rFonts w:hint="eastAsia" w:ascii="宋体" w:hAnsi="宋体" w:eastAsia="宋体" w:cs="宋体"/>
          <w:color w:val="000000" w:themeColor="text1"/>
          <w:sz w:val="24"/>
          <w:szCs w:val="24"/>
          <w:lang w:val="en-US" w:eastAsia="zh-CN"/>
          <w14:textFill>
            <w14:solidFill>
              <w14:schemeClr w14:val="tx1"/>
            </w14:solidFill>
          </w14:textFill>
        </w:rPr>
        <w:t>升级双/</w:t>
      </w:r>
      <w:r>
        <w:rPr>
          <w:rFonts w:hint="eastAsia" w:ascii="宋体" w:hAnsi="宋体" w:eastAsia="宋体" w:cs="宋体"/>
          <w:color w:val="000000" w:themeColor="text1"/>
          <w:sz w:val="24"/>
          <w:szCs w:val="24"/>
          <w14:textFill>
            <w14:solidFill>
              <w14:schemeClr w14:val="tx1"/>
            </w14:solidFill>
          </w14:textFill>
        </w:rPr>
        <w:t>三胎监测，支持多胎胎心率重合报警(SOV)</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需提供产品说明书证明）；</w:t>
      </w:r>
    </w:p>
    <w:p>
      <w:pPr>
        <w:pageBreakBefore w:val="0"/>
        <w:numPr>
          <w:ilvl w:val="0"/>
          <w:numId w:val="16"/>
        </w:numPr>
        <w:kinsoku/>
        <w:wordWrap/>
        <w:overflowPunct/>
        <w:topLinePunct w:val="0"/>
        <w:autoSpaceDE/>
        <w:autoSpaceDN/>
        <w:bidi w:val="0"/>
        <w:spacing w:before="156" w:before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胎心率报警范围可调，当胎心率过缓或过速时自动报警，报警内容中文显示，报警持续时间可调；</w:t>
      </w:r>
    </w:p>
    <w:p>
      <w:pPr>
        <w:pageBreakBefore w:val="0"/>
        <w:numPr>
          <w:ilvl w:val="0"/>
          <w:numId w:val="16"/>
        </w:numPr>
        <w:kinsoku/>
        <w:wordWrap/>
        <w:overflowPunct/>
        <w:topLinePunct w:val="0"/>
        <w:autoSpaceDE/>
        <w:autoSpaceDN/>
        <w:bidi w:val="0"/>
        <w:spacing w:before="156" w:before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具有超声传感器信号质量指示功能，以得到准确和稳定的胎心参数值和曲线；</w:t>
      </w:r>
    </w:p>
    <w:p>
      <w:pPr>
        <w:pageBreakBefore w:val="0"/>
        <w:numPr>
          <w:ilvl w:val="0"/>
          <w:numId w:val="16"/>
        </w:numPr>
        <w:kinsoku/>
        <w:wordWrap/>
        <w:overflowPunct/>
        <w:topLinePunct w:val="0"/>
        <w:autoSpaceDE/>
        <w:autoSpaceDN/>
        <w:bidi w:val="0"/>
        <w:spacing w:before="156" w:before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有线探头任意插拔，US、TOCO探头任意插拔，用户接入操作更便捷，机器智能分配探头号；</w:t>
      </w:r>
    </w:p>
    <w:p>
      <w:pPr>
        <w:pageBreakBefore w:val="0"/>
        <w:numPr>
          <w:ilvl w:val="0"/>
          <w:numId w:val="16"/>
        </w:numPr>
        <w:kinsoku/>
        <w:wordWrap/>
        <w:overflowPunct/>
        <w:topLinePunct w:val="0"/>
        <w:autoSpaceDE/>
        <w:autoSpaceDN/>
        <w:bidi w:val="0"/>
        <w:spacing w:before="156" w:before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★内置四种以上胎监报告自动评分/分析方法（需提供对应的软件界面证明）；</w:t>
      </w:r>
    </w:p>
    <w:p>
      <w:pPr>
        <w:pageBreakBefore w:val="0"/>
        <w:numPr>
          <w:ilvl w:val="0"/>
          <w:numId w:val="16"/>
        </w:numPr>
        <w:kinsoku/>
        <w:wordWrap/>
        <w:overflowPunct/>
        <w:topLinePunct w:val="0"/>
        <w:autoSpaceDE/>
        <w:autoSpaceDN/>
        <w:bidi w:val="0"/>
        <w:spacing w:before="156" w:before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内置式152mm（或150mm）宽行打印，符合国际标准，连续准确记录胎心率、宫缩压曲线及胎儿活动曲线；</w:t>
      </w:r>
    </w:p>
    <w:p>
      <w:pPr>
        <w:pageBreakBefore w:val="0"/>
        <w:numPr>
          <w:ilvl w:val="0"/>
          <w:numId w:val="16"/>
        </w:numPr>
        <w:kinsoku/>
        <w:wordWrap/>
        <w:overflowPunct/>
        <w:topLinePunct w:val="0"/>
        <w:autoSpaceDE/>
        <w:autoSpaceDN/>
        <w:bidi w:val="0"/>
        <w:spacing w:before="156" w:before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打印机走纸速度1、2、3cm/min可调；</w:t>
      </w:r>
    </w:p>
    <w:p>
      <w:pPr>
        <w:pageBreakBefore w:val="0"/>
        <w:numPr>
          <w:ilvl w:val="0"/>
          <w:numId w:val="16"/>
        </w:numPr>
        <w:kinsoku/>
        <w:wordWrap/>
        <w:overflowPunct/>
        <w:topLinePunct w:val="0"/>
        <w:autoSpaceDE/>
        <w:autoSpaceDN/>
        <w:bidi w:val="0"/>
        <w:spacing w:before="156" w:before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中英文操作界面；</w:t>
      </w:r>
    </w:p>
    <w:p>
      <w:pPr>
        <w:pageBreakBefore w:val="0"/>
        <w:numPr>
          <w:ilvl w:val="0"/>
          <w:numId w:val="16"/>
        </w:numPr>
        <w:kinsoku/>
        <w:wordWrap/>
        <w:overflowPunct/>
        <w:topLinePunct w:val="0"/>
        <w:autoSpaceDE/>
        <w:autoSpaceDN/>
        <w:bidi w:val="0"/>
        <w:spacing w:before="156" w:before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主机防护等级IPX2，探头防护等级IP68；</w:t>
      </w:r>
    </w:p>
    <w:p>
      <w:pPr>
        <w:pageBreakBefore w:val="0"/>
        <w:numPr>
          <w:ilvl w:val="0"/>
          <w:numId w:val="16"/>
        </w:numPr>
        <w:kinsoku/>
        <w:wordWrap/>
        <w:overflowPunct/>
        <w:topLinePunct w:val="0"/>
        <w:autoSpaceDE/>
        <w:autoSpaceDN/>
        <w:bidi w:val="0"/>
        <w:spacing w:before="156" w:before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可外接胎儿刺激器，刺激标识与胎心宫缩曲线同步显示并描记打印；</w:t>
      </w:r>
    </w:p>
    <w:p>
      <w:pPr>
        <w:pageBreakBefore w:val="0"/>
        <w:numPr>
          <w:ilvl w:val="0"/>
          <w:numId w:val="16"/>
        </w:numPr>
        <w:kinsoku/>
        <w:wordWrap/>
        <w:overflowPunct/>
        <w:topLinePunct w:val="0"/>
        <w:autoSpaceDE/>
        <w:autoSpaceDN/>
        <w:bidi w:val="0"/>
        <w:spacing w:before="156" w:before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内置通讯接口，支持多种方式接入中央站组成网络系统</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内置485、内置</w:t>
      </w:r>
      <w:r>
        <w:rPr>
          <w:rFonts w:hint="eastAsia" w:ascii="宋体" w:hAnsi="宋体" w:eastAsia="宋体" w:cs="宋体"/>
          <w:color w:val="000000" w:themeColor="text1"/>
          <w:sz w:val="24"/>
          <w:szCs w:val="24"/>
          <w:lang w:eastAsia="zh-CN"/>
          <w14:textFill>
            <w14:solidFill>
              <w14:schemeClr w14:val="tx1"/>
            </w14:solidFill>
          </w14:textFill>
        </w:rPr>
        <w:t>WiFi</w:t>
      </w:r>
      <w:r>
        <w:rPr>
          <w:rFonts w:hint="eastAsia" w:ascii="宋体" w:hAnsi="宋体" w:eastAsia="宋体" w:cs="宋体"/>
          <w:color w:val="000000" w:themeColor="text1"/>
          <w:sz w:val="24"/>
          <w:szCs w:val="24"/>
          <w:lang w:val="en-US" w:eastAsia="zh-CN"/>
          <w14:textFill>
            <w14:solidFill>
              <w14:schemeClr w14:val="tx1"/>
            </w14:solidFill>
          </w14:textFill>
        </w:rPr>
        <w:t>等</w:t>
      </w:r>
      <w:r>
        <w:rPr>
          <w:rFonts w:hint="eastAsia" w:ascii="宋体" w:hAnsi="宋体" w:eastAsia="宋体" w:cs="宋体"/>
          <w:color w:val="000000" w:themeColor="text1"/>
          <w:sz w:val="24"/>
          <w:szCs w:val="24"/>
          <w14:textFill>
            <w14:solidFill>
              <w14:schemeClr w14:val="tx1"/>
            </w14:solidFill>
          </w14:textFill>
        </w:rPr>
        <w:t>；</w:t>
      </w:r>
    </w:p>
    <w:p>
      <w:pPr>
        <w:rPr>
          <w:rFonts w:hint="eastAsia" w:ascii="宋体" w:hAnsi="宋体" w:eastAsia="宋体" w:cs="宋体"/>
          <w:color w:val="000000" w:themeColor="text1"/>
          <w:sz w:val="24"/>
          <w:szCs w:val="24"/>
          <w:lang w:val="en-US" w:eastAsia="zh-CN"/>
          <w14:textFill>
            <w14:solidFill>
              <w14:schemeClr w14:val="tx1"/>
            </w14:solidFill>
          </w14:textFill>
        </w:rPr>
      </w:pPr>
      <w:bookmarkStart w:id="55" w:name="_Toc17387"/>
      <w:r>
        <w:rPr>
          <w:rFonts w:hint="eastAsia" w:ascii="宋体" w:hAnsi="宋体" w:eastAsia="宋体" w:cs="宋体"/>
          <w:color w:val="000000" w:themeColor="text1"/>
          <w:sz w:val="24"/>
          <w:szCs w:val="24"/>
          <w:lang w:val="en-US" w:eastAsia="zh-CN"/>
          <w14:textFill>
            <w14:solidFill>
              <w14:schemeClr w14:val="tx1"/>
            </w14:solidFill>
          </w14:textFill>
        </w:rPr>
        <w:br w:type="page"/>
      </w:r>
    </w:p>
    <w:p>
      <w:pPr>
        <w:pStyle w:val="2"/>
        <w:pageBreakBefore w:val="0"/>
        <w:kinsoku/>
        <w:wordWrap/>
        <w:overflowPunct/>
        <w:topLinePunct w:val="0"/>
        <w:autoSpaceDE/>
        <w:autoSpaceDN/>
        <w:bidi w:val="0"/>
        <w:spacing w:line="360" w:lineRule="auto"/>
        <w:ind w:firstLine="482" w:firstLineChars="20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附件16：</w:t>
      </w:r>
      <w:r>
        <w:rPr>
          <w:rFonts w:hint="eastAsia" w:ascii="宋体" w:hAnsi="宋体" w:eastAsia="宋体" w:cs="宋体"/>
          <w:color w:val="000000" w:themeColor="text1"/>
          <w:sz w:val="24"/>
          <w:szCs w:val="24"/>
          <w:lang w:eastAsia="zh-CN"/>
          <w14:textFill>
            <w14:solidFill>
              <w14:schemeClr w14:val="tx1"/>
            </w14:solidFill>
          </w14:textFill>
        </w:rPr>
        <w:t>孕酮血HCg一体机</w:t>
      </w:r>
      <w:bookmarkEnd w:id="55"/>
    </w:p>
    <w:p>
      <w:pPr>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bookmarkStart w:id="56" w:name="_Toc14391"/>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全自动免疫分析</w:t>
      </w:r>
      <w:r>
        <w:rPr>
          <w:rFonts w:hint="eastAsia" w:ascii="宋体" w:hAnsi="宋体" w:eastAsia="宋体" w:cs="宋体"/>
          <w:b w:val="0"/>
          <w:bCs w:val="0"/>
          <w:color w:val="000000" w:themeColor="text1"/>
          <w:sz w:val="24"/>
          <w:szCs w:val="24"/>
          <w:lang w:eastAsia="zh-CN"/>
          <w14:textFill>
            <w14:solidFill>
              <w14:schemeClr w14:val="tx1"/>
            </w14:solidFill>
          </w14:textFill>
        </w:rPr>
        <w:t>仪</w:t>
      </w:r>
      <w:r>
        <w:rPr>
          <w:rFonts w:hint="eastAsia" w:ascii="宋体" w:hAnsi="宋体" w:eastAsia="宋体" w:cs="宋体"/>
          <w:b w:val="0"/>
          <w:bCs w:val="0"/>
          <w:color w:val="000000" w:themeColor="text1"/>
          <w:sz w:val="24"/>
          <w:szCs w:val="24"/>
          <w14:textFill>
            <w14:solidFill>
              <w14:schemeClr w14:val="tx1"/>
            </w14:solidFill>
          </w14:textFill>
        </w:rPr>
        <w:t>，支持原始管上机；</w:t>
      </w:r>
    </w:p>
    <w:p>
      <w:pPr>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t>、检测原理：</w:t>
      </w:r>
      <w:r>
        <w:rPr>
          <w:rFonts w:hint="eastAsia" w:ascii="宋体" w:hAnsi="宋体" w:eastAsia="宋体" w:cs="宋体"/>
          <w:b w:val="0"/>
          <w:bCs w:val="0"/>
          <w:color w:val="000000" w:themeColor="text1"/>
          <w:sz w:val="24"/>
          <w:szCs w:val="24"/>
          <w:u w:val="none"/>
          <w14:textFill>
            <w14:solidFill>
              <w14:schemeClr w14:val="tx1"/>
            </w14:solidFill>
          </w14:textFill>
        </w:rPr>
        <w:t>循环增强免疫荧光法</w:t>
      </w:r>
      <w:r>
        <w:rPr>
          <w:rFonts w:hint="eastAsia" w:ascii="宋体" w:hAnsi="宋体" w:eastAsia="宋体" w:cs="宋体"/>
          <w:b w:val="0"/>
          <w:bCs w:val="0"/>
          <w:color w:val="000000" w:themeColor="text1"/>
          <w:sz w:val="24"/>
          <w:szCs w:val="24"/>
          <w14:textFill>
            <w14:solidFill>
              <w14:schemeClr w14:val="tx1"/>
            </w14:solidFill>
          </w14:textFill>
        </w:rPr>
        <w:t>；</w:t>
      </w:r>
    </w:p>
    <w:p>
      <w:pPr>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、检测速度：≥</w:t>
      </w:r>
      <w:r>
        <w:rPr>
          <w:rFonts w:hint="eastAsia" w:ascii="宋体" w:hAnsi="宋体" w:eastAsia="宋体" w:cs="宋体"/>
          <w:b w:val="0"/>
          <w:bCs w:val="0"/>
          <w:color w:val="000000" w:themeColor="text1"/>
          <w:sz w:val="24"/>
          <w:szCs w:val="24"/>
          <w:lang w:val="en-US" w:eastAsia="zh-CN"/>
          <w14:textFill>
            <w14:solidFill>
              <w14:schemeClr w14:val="tx1"/>
            </w14:solidFill>
          </w14:textFill>
        </w:rPr>
        <w:t>60</w:t>
      </w:r>
      <w:r>
        <w:rPr>
          <w:rFonts w:hint="eastAsia" w:ascii="宋体" w:hAnsi="宋体" w:eastAsia="宋体" w:cs="宋体"/>
          <w:b w:val="0"/>
          <w:bCs w:val="0"/>
          <w:color w:val="000000" w:themeColor="text1"/>
          <w:sz w:val="24"/>
          <w:szCs w:val="24"/>
          <w14:textFill>
            <w14:solidFill>
              <w14:schemeClr w14:val="tx1"/>
            </w14:solidFill>
          </w14:textFill>
        </w:rPr>
        <w:t>测试/小时；</w:t>
      </w:r>
    </w:p>
    <w:p>
      <w:pPr>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w:t>
      </w:r>
      <w:r>
        <w:rPr>
          <w:rFonts w:hint="eastAsia" w:ascii="宋体" w:hAnsi="宋体" w:eastAsia="宋体" w:cs="宋体"/>
          <w:b w:val="0"/>
          <w:bCs w:val="0"/>
          <w:color w:val="000000" w:themeColor="text1"/>
          <w:sz w:val="24"/>
          <w:szCs w:val="24"/>
          <w14:textFill>
            <w14:solidFill>
              <w14:schemeClr w14:val="tx1"/>
            </w14:solidFill>
          </w14:textFill>
        </w:rPr>
        <w:t>、试剂位：≥</w:t>
      </w:r>
      <w:r>
        <w:rPr>
          <w:rFonts w:hint="eastAsia" w:ascii="宋体" w:hAnsi="宋体" w:eastAsia="宋体" w:cs="宋体"/>
          <w:b w:val="0"/>
          <w:bCs w:val="0"/>
          <w:color w:val="000000" w:themeColor="text1"/>
          <w:sz w:val="24"/>
          <w:szCs w:val="24"/>
          <w:lang w:val="en-US" w:eastAsia="zh-CN"/>
          <w14:textFill>
            <w14:solidFill>
              <w14:schemeClr w14:val="tx1"/>
            </w14:solidFill>
          </w14:textFill>
        </w:rPr>
        <w:t>20</w:t>
      </w:r>
      <w:r>
        <w:rPr>
          <w:rFonts w:hint="eastAsia" w:ascii="宋体" w:hAnsi="宋体" w:eastAsia="宋体" w:cs="宋体"/>
          <w:b w:val="0"/>
          <w:bCs w:val="0"/>
          <w:color w:val="000000" w:themeColor="text1"/>
          <w:sz w:val="24"/>
          <w:szCs w:val="24"/>
          <w14:textFill>
            <w14:solidFill>
              <w14:schemeClr w14:val="tx1"/>
            </w14:solidFill>
          </w14:textFill>
        </w:rPr>
        <w:t>个；</w:t>
      </w:r>
    </w:p>
    <w:p>
      <w:pPr>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w:t>
      </w:r>
      <w:r>
        <w:rPr>
          <w:rFonts w:hint="eastAsia" w:ascii="宋体" w:hAnsi="宋体" w:eastAsia="宋体" w:cs="宋体"/>
          <w:b w:val="0"/>
          <w:bCs w:val="0"/>
          <w:color w:val="000000" w:themeColor="text1"/>
          <w:sz w:val="24"/>
          <w:szCs w:val="24"/>
          <w14:textFill>
            <w14:solidFill>
              <w14:schemeClr w14:val="tx1"/>
            </w14:solidFill>
          </w14:textFill>
        </w:rPr>
        <w:t>、样本位：≥</w:t>
      </w:r>
      <w:r>
        <w:rPr>
          <w:rFonts w:hint="eastAsia" w:ascii="宋体" w:hAnsi="宋体" w:eastAsia="宋体" w:cs="宋体"/>
          <w:b w:val="0"/>
          <w:bCs w:val="0"/>
          <w:color w:val="000000" w:themeColor="text1"/>
          <w:sz w:val="24"/>
          <w:szCs w:val="24"/>
          <w:lang w:val="en-US" w:eastAsia="zh-CN"/>
          <w14:textFill>
            <w14:solidFill>
              <w14:schemeClr w14:val="tx1"/>
            </w14:solidFill>
          </w14:textFill>
        </w:rPr>
        <w:t>20</w:t>
      </w:r>
      <w:r>
        <w:rPr>
          <w:rFonts w:hint="eastAsia" w:ascii="宋体" w:hAnsi="宋体" w:eastAsia="宋体" w:cs="宋体"/>
          <w:b w:val="0"/>
          <w:bCs w:val="0"/>
          <w:color w:val="000000" w:themeColor="text1"/>
          <w:sz w:val="24"/>
          <w:szCs w:val="24"/>
          <w14:textFill>
            <w14:solidFill>
              <w14:schemeClr w14:val="tx1"/>
            </w14:solidFill>
          </w14:textFill>
        </w:rPr>
        <w:t>个；</w:t>
      </w:r>
    </w:p>
    <w:p>
      <w:pPr>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6</w:t>
      </w:r>
      <w:r>
        <w:rPr>
          <w:rFonts w:hint="eastAsia" w:ascii="宋体" w:hAnsi="宋体" w:eastAsia="宋体" w:cs="宋体"/>
          <w:b w:val="0"/>
          <w:bCs w:val="0"/>
          <w:color w:val="000000" w:themeColor="text1"/>
          <w:sz w:val="24"/>
          <w:szCs w:val="24"/>
          <w14:textFill>
            <w14:solidFill>
              <w14:schemeClr w14:val="tx1"/>
            </w14:solidFill>
          </w14:textFill>
        </w:rPr>
        <w:t>β-HCG</w:t>
      </w:r>
      <w:r>
        <w:rPr>
          <w:rFonts w:hint="eastAsia" w:ascii="宋体" w:hAnsi="宋体" w:eastAsia="宋体" w:cs="宋体"/>
          <w:b w:val="0"/>
          <w:bCs w:val="0"/>
          <w:color w:val="000000" w:themeColor="text1"/>
          <w:sz w:val="24"/>
          <w:szCs w:val="24"/>
          <w:lang w:val="en-US" w:eastAsia="zh-CN"/>
          <w14:textFill>
            <w14:solidFill>
              <w14:schemeClr w14:val="tx1"/>
            </w14:solidFill>
          </w14:textFill>
        </w:rPr>
        <w:t>≥250,000IU/L(25万IU/L)</w:t>
      </w:r>
    </w:p>
    <w:p>
      <w:pPr>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7</w:t>
      </w:r>
      <w:r>
        <w:rPr>
          <w:rFonts w:hint="eastAsia" w:ascii="宋体" w:hAnsi="宋体" w:eastAsia="宋体" w:cs="宋体"/>
          <w:b w:val="0"/>
          <w:bCs w:val="0"/>
          <w:color w:val="000000" w:themeColor="text1"/>
          <w:sz w:val="24"/>
          <w:szCs w:val="24"/>
          <w14:textFill>
            <w14:solidFill>
              <w14:schemeClr w14:val="tx1"/>
            </w14:solidFill>
          </w14:textFill>
        </w:rPr>
        <w:t>、检测模式：支持批量及急诊模式；</w:t>
      </w:r>
    </w:p>
    <w:p>
      <w:pPr>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8</w:t>
      </w:r>
      <w:r>
        <w:rPr>
          <w:rFonts w:hint="eastAsia" w:ascii="宋体" w:hAnsi="宋体" w:eastAsia="宋体" w:cs="宋体"/>
          <w:b w:val="0"/>
          <w:bCs w:val="0"/>
          <w:color w:val="000000" w:themeColor="text1"/>
          <w:sz w:val="24"/>
          <w:szCs w:val="24"/>
          <w14:textFill>
            <w14:solidFill>
              <w14:schemeClr w14:val="tx1"/>
            </w14:solidFill>
          </w14:textFill>
        </w:rPr>
        <w:t>试剂包装：单人份液体试剂，随开随用，避免浪费；</w:t>
      </w:r>
    </w:p>
    <w:p>
      <w:pPr>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9</w:t>
      </w:r>
      <w:r>
        <w:rPr>
          <w:rFonts w:hint="eastAsia" w:ascii="宋体" w:hAnsi="宋体" w:eastAsia="宋体" w:cs="宋体"/>
          <w:b w:val="0"/>
          <w:bCs w:val="0"/>
          <w:color w:val="000000" w:themeColor="text1"/>
          <w:sz w:val="24"/>
          <w:szCs w:val="24"/>
          <w14:textFill>
            <w14:solidFill>
              <w14:schemeClr w14:val="tx1"/>
            </w14:solidFill>
          </w14:textFill>
        </w:rPr>
        <w:t>、工作/待机要求：24小时待机，标本随到随做；无液路系统；</w:t>
      </w:r>
    </w:p>
    <w:p>
      <w:pPr>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10</w:t>
      </w:r>
      <w:r>
        <w:rPr>
          <w:rFonts w:hint="eastAsia" w:ascii="宋体" w:hAnsi="宋体" w:eastAsia="宋体" w:cs="宋体"/>
          <w:b w:val="0"/>
          <w:bCs w:val="0"/>
          <w:color w:val="000000" w:themeColor="text1"/>
          <w:sz w:val="24"/>
          <w:szCs w:val="24"/>
          <w14:textFill>
            <w14:solidFill>
              <w14:schemeClr w14:val="tx1"/>
            </w14:solidFill>
          </w14:textFill>
        </w:rPr>
        <w:t>、首次报告时间：≤9分钟；</w:t>
      </w:r>
    </w:p>
    <w:p>
      <w:pPr>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11</w:t>
      </w:r>
      <w:r>
        <w:rPr>
          <w:rFonts w:hint="eastAsia" w:ascii="宋体" w:hAnsi="宋体" w:eastAsia="宋体" w:cs="宋体"/>
          <w:b w:val="0"/>
          <w:bCs w:val="0"/>
          <w:color w:val="000000" w:themeColor="text1"/>
          <w:sz w:val="24"/>
          <w:szCs w:val="24"/>
          <w14:textFill>
            <w14:solidFill>
              <w14:schemeClr w14:val="tx1"/>
            </w14:solidFill>
          </w14:textFill>
        </w:rPr>
        <w:t>、质控/校准：试剂盒自带校准品及质控品，2点定标校正；</w:t>
      </w:r>
    </w:p>
    <w:p>
      <w:pPr>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12</w:t>
      </w:r>
      <w:r>
        <w:rPr>
          <w:rFonts w:hint="eastAsia" w:ascii="宋体" w:hAnsi="宋体" w:eastAsia="宋体" w:cs="宋体"/>
          <w:b w:val="0"/>
          <w:bCs w:val="0"/>
          <w:color w:val="000000" w:themeColor="text1"/>
          <w:sz w:val="24"/>
          <w:szCs w:val="24"/>
          <w14:textFill>
            <w14:solidFill>
              <w14:schemeClr w14:val="tx1"/>
            </w14:solidFill>
          </w14:textFill>
        </w:rPr>
        <w:t>、支持样本类型：全血、血清、血浆、末梢血；</w:t>
      </w:r>
    </w:p>
    <w:p>
      <w:pPr>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13</w:t>
      </w:r>
      <w:r>
        <w:rPr>
          <w:rFonts w:hint="eastAsia" w:ascii="宋体" w:hAnsi="宋体" w:eastAsia="宋体" w:cs="宋体"/>
          <w:b w:val="0"/>
          <w:bCs w:val="0"/>
          <w:color w:val="000000" w:themeColor="text1"/>
          <w:sz w:val="24"/>
          <w:szCs w:val="24"/>
          <w14:textFill>
            <w14:solidFill>
              <w14:schemeClr w14:val="tx1"/>
            </w14:solidFill>
          </w14:textFill>
        </w:rPr>
        <w:t>、样本量范围：15-40ul，最小样本需求量15ul；</w:t>
      </w:r>
    </w:p>
    <w:p>
      <w:pPr>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t>1</w:t>
      </w:r>
      <w:r>
        <w:rPr>
          <w:rFonts w:hint="eastAsia" w:ascii="宋体" w:hAnsi="宋体" w:eastAsia="宋体" w:cs="宋体"/>
          <w:b w:val="0"/>
          <w:bCs w:val="0"/>
          <w:color w:val="000000" w:themeColor="text1"/>
          <w:sz w:val="24"/>
          <w:szCs w:val="24"/>
          <w:lang w:val="en-US" w:eastAsia="zh-CN"/>
          <w14:textFill>
            <w14:solidFill>
              <w14:schemeClr w14:val="tx1"/>
            </w14:solidFill>
          </w14:textFill>
        </w:rPr>
        <w:t>4</w:t>
      </w:r>
      <w:r>
        <w:rPr>
          <w:rFonts w:hint="eastAsia" w:ascii="宋体" w:hAnsi="宋体" w:eastAsia="宋体" w:cs="宋体"/>
          <w:b w:val="0"/>
          <w:bCs w:val="0"/>
          <w:color w:val="000000" w:themeColor="text1"/>
          <w:sz w:val="24"/>
          <w:szCs w:val="24"/>
          <w14:textFill>
            <w14:solidFill>
              <w14:schemeClr w14:val="tx1"/>
            </w14:solidFill>
          </w14:textFill>
        </w:rPr>
        <w:t>、加样方式：一次性tip头加样；</w:t>
      </w:r>
    </w:p>
    <w:p>
      <w:pPr>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t>1</w:t>
      </w:r>
      <w:r>
        <w:rPr>
          <w:rFonts w:hint="eastAsia" w:ascii="宋体" w:hAnsi="宋体" w:eastAsia="宋体" w:cs="宋体"/>
          <w:b w:val="0"/>
          <w:bCs w:val="0"/>
          <w:color w:val="000000" w:themeColor="text1"/>
          <w:sz w:val="24"/>
          <w:szCs w:val="24"/>
          <w:lang w:val="en-US" w:eastAsia="zh-CN"/>
          <w14:textFill>
            <w14:solidFill>
              <w14:schemeClr w14:val="tx1"/>
            </w14:solidFill>
          </w14:textFill>
        </w:rPr>
        <w:t>5</w:t>
      </w:r>
      <w:r>
        <w:rPr>
          <w:rFonts w:hint="eastAsia" w:ascii="宋体" w:hAnsi="宋体" w:eastAsia="宋体" w:cs="宋体"/>
          <w:b w:val="0"/>
          <w:bCs w:val="0"/>
          <w:color w:val="000000" w:themeColor="text1"/>
          <w:sz w:val="24"/>
          <w:szCs w:val="24"/>
          <w14:textFill>
            <w14:solidFill>
              <w14:schemeClr w14:val="tx1"/>
            </w14:solidFill>
          </w14:textFill>
        </w:rPr>
        <w:t>、云服务/联网功能：支持双向LIS/HIS功能、支持远程诊断、支持远程参数下载</w:t>
      </w:r>
      <w:r>
        <w:rPr>
          <w:rFonts w:hint="eastAsia" w:ascii="宋体" w:hAnsi="宋体" w:eastAsia="宋体" w:cs="宋体"/>
          <w:color w:val="000000" w:themeColor="text1"/>
          <w:sz w:val="24"/>
          <w:szCs w:val="24"/>
          <w14:textFill>
            <w14:solidFill>
              <w14:schemeClr w14:val="tx1"/>
            </w14:solidFill>
          </w14:textFill>
        </w:rPr>
        <w:t>；</w:t>
      </w:r>
    </w:p>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br w:type="page"/>
      </w:r>
    </w:p>
    <w:p>
      <w:pPr>
        <w:pStyle w:val="2"/>
        <w:pageBreakBefore w:val="0"/>
        <w:kinsoku/>
        <w:wordWrap/>
        <w:overflowPunct/>
        <w:topLinePunct w:val="0"/>
        <w:autoSpaceDE/>
        <w:autoSpaceDN/>
        <w:bidi w:val="0"/>
        <w:spacing w:line="360" w:lineRule="auto"/>
        <w:ind w:firstLine="482" w:firstLineChars="200"/>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附件17：</w:t>
      </w:r>
      <w:r>
        <w:rPr>
          <w:rFonts w:hint="eastAsia" w:ascii="宋体" w:hAnsi="宋体" w:eastAsia="宋体" w:cs="宋体"/>
          <w:color w:val="000000" w:themeColor="text1"/>
          <w:sz w:val="24"/>
          <w:szCs w:val="24"/>
          <w:lang w:eastAsia="zh-CN"/>
          <w14:textFill>
            <w14:solidFill>
              <w14:schemeClr w14:val="tx1"/>
            </w14:solidFill>
          </w14:textFill>
        </w:rPr>
        <w:t>心肺复苏模拟人</w:t>
      </w:r>
      <w:bookmarkEnd w:id="56"/>
    </w:p>
    <w:p>
      <w:pPr>
        <w:pStyle w:val="19"/>
        <w:keepNext w:val="0"/>
        <w:keepLines w:val="0"/>
        <w:pageBreakBefore w:val="0"/>
        <w:widowControl/>
        <w:suppressLineNumbers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Style w:val="22"/>
          <w:rFonts w:hint="eastAsia" w:ascii="宋体" w:hAnsi="宋体" w:eastAsia="宋体" w:cs="宋体"/>
          <w:i w:val="0"/>
          <w:caps w:val="0"/>
          <w:color w:val="000000" w:themeColor="text1"/>
          <w:spacing w:val="0"/>
          <w:sz w:val="24"/>
          <w:szCs w:val="24"/>
          <w:lang w:val="en-US" w:eastAsia="zh-CN"/>
          <w14:textFill>
            <w14:solidFill>
              <w14:schemeClr w14:val="tx1"/>
            </w14:solidFill>
          </w14:textFill>
        </w:rPr>
        <w:t>1、</w:t>
      </w:r>
      <w:r>
        <w:rPr>
          <w:rStyle w:val="22"/>
          <w:rFonts w:hint="eastAsia" w:ascii="宋体" w:hAnsi="宋体" w:eastAsia="宋体" w:cs="宋体"/>
          <w:i w:val="0"/>
          <w:caps w:val="0"/>
          <w:color w:val="000000" w:themeColor="text1"/>
          <w:spacing w:val="0"/>
          <w:sz w:val="24"/>
          <w:szCs w:val="24"/>
          <w14:textFill>
            <w14:solidFill>
              <w14:schemeClr w14:val="tx1"/>
            </w14:solidFill>
          </w14:textFill>
        </w:rPr>
        <w:t>执行标准：美国心脏学会(AHA)2015国际心肺复苏(CPR)＆心血管急救(ECC)指南标准</w:t>
      </w:r>
    </w:p>
    <w:p>
      <w:pPr>
        <w:pStyle w:val="19"/>
        <w:keepNext w:val="0"/>
        <w:keepLines w:val="0"/>
        <w:pageBreakBefore w:val="0"/>
        <w:widowControl/>
        <w:suppressLineNumbers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i w:val="0"/>
          <w:caps w:val="0"/>
          <w:color w:val="000000" w:themeColor="text1"/>
          <w:spacing w:val="0"/>
          <w:sz w:val="24"/>
          <w:szCs w:val="24"/>
          <w:lang w:eastAsia="zh-CN"/>
          <w14:textFill>
            <w14:solidFill>
              <w14:schemeClr w14:val="tx1"/>
            </w14:solidFill>
          </w14:textFill>
        </w:rPr>
      </w:pPr>
      <w:r>
        <w:rPr>
          <w:rFonts w:hint="eastAsia" w:ascii="宋体" w:hAnsi="宋体" w:eastAsia="宋体" w:cs="宋体"/>
          <w:i w:val="0"/>
          <w:caps w:val="0"/>
          <w:color w:val="000000" w:themeColor="text1"/>
          <w:spacing w:val="0"/>
          <w:sz w:val="24"/>
          <w:szCs w:val="24"/>
          <w:lang w:val="en-US" w:eastAsia="zh-CN"/>
          <w14:textFill>
            <w14:solidFill>
              <w14:schemeClr w14:val="tx1"/>
            </w14:solidFill>
          </w14:textFill>
        </w:rPr>
        <w:t>2、</w:t>
      </w:r>
      <w:r>
        <w:rPr>
          <w:rFonts w:hint="eastAsia" w:ascii="宋体" w:hAnsi="宋体" w:eastAsia="宋体" w:cs="宋体"/>
          <w:i w:val="0"/>
          <w:caps w:val="0"/>
          <w:color w:val="000000" w:themeColor="text1"/>
          <w:spacing w:val="0"/>
          <w:sz w:val="24"/>
          <w:szCs w:val="24"/>
          <w14:textFill>
            <w14:solidFill>
              <w14:schemeClr w14:val="tx1"/>
            </w14:solidFill>
          </w14:textFill>
        </w:rPr>
        <w:t>采用8英寸彩屏显示：模拟心脏搏动显示、模拟心电图显示、钜形图表数据统计、CPR操作动画显示，使用说明中文文字显示。</w:t>
      </w:r>
    </w:p>
    <w:p>
      <w:pPr>
        <w:pStyle w:val="19"/>
        <w:keepNext w:val="0"/>
        <w:keepLines w:val="0"/>
        <w:pageBreakBefore w:val="0"/>
        <w:widowControl/>
        <w:suppressLineNumbers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i w:val="0"/>
          <w:caps w:val="0"/>
          <w:color w:val="000000" w:themeColor="text1"/>
          <w:spacing w:val="0"/>
          <w:sz w:val="24"/>
          <w:szCs w:val="24"/>
          <w:lang w:eastAsia="zh-CN"/>
          <w14:textFill>
            <w14:solidFill>
              <w14:schemeClr w14:val="tx1"/>
            </w14:solidFill>
          </w14:textFill>
        </w:rPr>
      </w:pPr>
      <w:r>
        <w:rPr>
          <w:rFonts w:hint="eastAsia" w:ascii="宋体" w:hAnsi="宋体" w:eastAsia="宋体" w:cs="宋体"/>
          <w:i w:val="0"/>
          <w:caps w:val="0"/>
          <w:color w:val="000000" w:themeColor="text1"/>
          <w:spacing w:val="0"/>
          <w:sz w:val="24"/>
          <w:szCs w:val="24"/>
          <w:lang w:val="en-US" w:eastAsia="zh-CN"/>
          <w14:textFill>
            <w14:solidFill>
              <w14:schemeClr w14:val="tx1"/>
            </w14:solidFill>
          </w14:textFill>
        </w:rPr>
        <w:t>3、</w:t>
      </w:r>
      <w:r>
        <w:rPr>
          <w:rFonts w:hint="eastAsia" w:ascii="宋体" w:hAnsi="宋体" w:eastAsia="宋体" w:cs="宋体"/>
          <w:i w:val="0"/>
          <w:caps w:val="0"/>
          <w:color w:val="000000" w:themeColor="text1"/>
          <w:spacing w:val="0"/>
          <w:sz w:val="24"/>
          <w:szCs w:val="24"/>
          <w14:textFill>
            <w14:solidFill>
              <w14:schemeClr w14:val="tx1"/>
            </w14:solidFill>
          </w14:textFill>
        </w:rPr>
        <w:t>模拟人解剖特征明显，手感真实，肤色统一，形态逼真，外形美观。</w:t>
      </w:r>
    </w:p>
    <w:p>
      <w:pPr>
        <w:pStyle w:val="19"/>
        <w:keepNext w:val="0"/>
        <w:keepLines w:val="0"/>
        <w:pageBreakBefore w:val="0"/>
        <w:widowControl/>
        <w:suppressLineNumbers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i w:val="0"/>
          <w:caps w:val="0"/>
          <w:color w:val="000000" w:themeColor="text1"/>
          <w:spacing w:val="0"/>
          <w:sz w:val="24"/>
          <w:szCs w:val="24"/>
          <w:lang w:eastAsia="zh-CN"/>
          <w14:textFill>
            <w14:solidFill>
              <w14:schemeClr w14:val="tx1"/>
            </w14:solidFill>
          </w14:textFill>
        </w:rPr>
      </w:pPr>
      <w:r>
        <w:rPr>
          <w:rFonts w:hint="eastAsia" w:ascii="宋体" w:hAnsi="宋体" w:eastAsia="宋体" w:cs="宋体"/>
          <w:i w:val="0"/>
          <w:caps w:val="0"/>
          <w:color w:val="000000" w:themeColor="text1"/>
          <w:spacing w:val="0"/>
          <w:sz w:val="24"/>
          <w:szCs w:val="24"/>
          <w:lang w:val="en-US" w:eastAsia="zh-CN"/>
          <w14:textFill>
            <w14:solidFill>
              <w14:schemeClr w14:val="tx1"/>
            </w14:solidFill>
          </w14:textFill>
        </w:rPr>
        <w:t>4、</w:t>
      </w:r>
      <w:r>
        <w:rPr>
          <w:rFonts w:hint="eastAsia" w:ascii="宋体" w:hAnsi="宋体" w:eastAsia="宋体" w:cs="宋体"/>
          <w:i w:val="0"/>
          <w:caps w:val="0"/>
          <w:color w:val="000000" w:themeColor="text1"/>
          <w:spacing w:val="0"/>
          <w:sz w:val="24"/>
          <w:szCs w:val="24"/>
          <w14:textFill>
            <w14:solidFill>
              <w14:schemeClr w14:val="tx1"/>
            </w14:solidFill>
          </w14:textFill>
        </w:rPr>
        <w:t>模拟生命体征：初始状态时，模拟人液晶瞳孔散大，颈动脉无搏动。按压过程中，模拟人颈动脉被动搏动，搏动频率与按压频率一致。抢救成功后，模拟人液晶瞳孔恢复正常，颈动脉自主搏动。液晶瞳孔缩放和颈动脉搏动由开关可开启和关闭。</w:t>
      </w:r>
    </w:p>
    <w:p>
      <w:pPr>
        <w:pStyle w:val="19"/>
        <w:keepNext w:val="0"/>
        <w:keepLines w:val="0"/>
        <w:pageBreakBefore w:val="0"/>
        <w:widowControl/>
        <w:suppressLineNumbers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i w:val="0"/>
          <w:caps w:val="0"/>
          <w:color w:val="000000" w:themeColor="text1"/>
          <w:spacing w:val="0"/>
          <w:sz w:val="24"/>
          <w:szCs w:val="24"/>
          <w:lang w:eastAsia="zh-CN"/>
          <w14:textFill>
            <w14:solidFill>
              <w14:schemeClr w14:val="tx1"/>
            </w14:solidFill>
          </w14:textFill>
        </w:rPr>
      </w:pPr>
      <w:r>
        <w:rPr>
          <w:rFonts w:hint="eastAsia" w:ascii="宋体" w:hAnsi="宋体" w:eastAsia="宋体" w:cs="宋体"/>
          <w:i w:val="0"/>
          <w:caps w:val="0"/>
          <w:color w:val="000000" w:themeColor="text1"/>
          <w:spacing w:val="0"/>
          <w:sz w:val="24"/>
          <w:szCs w:val="24"/>
          <w:lang w:val="en-US" w:eastAsia="zh-CN"/>
          <w14:textFill>
            <w14:solidFill>
              <w14:schemeClr w14:val="tx1"/>
            </w14:solidFill>
          </w14:textFill>
        </w:rPr>
        <w:t>5、</w:t>
      </w:r>
      <w:r>
        <w:rPr>
          <w:rFonts w:hint="eastAsia" w:ascii="宋体" w:hAnsi="宋体" w:eastAsia="宋体" w:cs="宋体"/>
          <w:i w:val="0"/>
          <w:caps w:val="0"/>
          <w:color w:val="000000" w:themeColor="text1"/>
          <w:spacing w:val="0"/>
          <w:sz w:val="24"/>
          <w:szCs w:val="24"/>
          <w14:textFill>
            <w14:solidFill>
              <w14:schemeClr w14:val="tx1"/>
            </w14:solidFill>
          </w14:textFill>
        </w:rPr>
        <w:t>可进行人工呼吸和心外按压。可进行标准气道开放，气道指示灯变亮。</w:t>
      </w:r>
    </w:p>
    <w:p>
      <w:pPr>
        <w:pStyle w:val="19"/>
        <w:keepNext w:val="0"/>
        <w:keepLines w:val="0"/>
        <w:pageBreakBefore w:val="0"/>
        <w:widowControl/>
        <w:suppressLineNumbers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lang w:val="en-US" w:eastAsia="zh-CN"/>
          <w14:textFill>
            <w14:solidFill>
              <w14:schemeClr w14:val="tx1"/>
            </w14:solidFill>
          </w14:textFill>
        </w:rPr>
        <w:t>6、</w:t>
      </w:r>
      <w:r>
        <w:rPr>
          <w:rFonts w:hint="eastAsia" w:ascii="宋体" w:hAnsi="宋体" w:eastAsia="宋体" w:cs="宋体"/>
          <w:i w:val="0"/>
          <w:caps w:val="0"/>
          <w:color w:val="000000" w:themeColor="text1"/>
          <w:spacing w:val="0"/>
          <w:sz w:val="24"/>
          <w:szCs w:val="24"/>
          <w14:textFill>
            <w14:solidFill>
              <w14:schemeClr w14:val="tx1"/>
            </w14:solidFill>
          </w14:textFill>
        </w:rPr>
        <w:t>三种操作方式：可进行CPR训练、模式考核和实战考核。方式一：CPR训练，可进行按压和吹气训练。方式二：模式考核，在设定的时间内，根据2015国际心肺复苏标准，正确按压和吹气数30：2的比例，完成5个循环操作。方式三：实战考核，老师可自行设定操作时间范围、操作标准、循环次数、操作频率、按压和吹气的比例。</w:t>
      </w:r>
    </w:p>
    <w:p>
      <w:pPr>
        <w:pStyle w:val="19"/>
        <w:keepNext w:val="0"/>
        <w:keepLines w:val="0"/>
        <w:pageBreakBefore w:val="0"/>
        <w:widowControl/>
        <w:suppressLineNumbers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i w:val="0"/>
          <w:caps w:val="0"/>
          <w:color w:val="000000" w:themeColor="text1"/>
          <w:spacing w:val="0"/>
          <w:sz w:val="24"/>
          <w:szCs w:val="24"/>
          <w:lang w:eastAsia="zh-CN"/>
          <w14:textFill>
            <w14:solidFill>
              <w14:schemeClr w14:val="tx1"/>
            </w14:solidFill>
          </w14:textFill>
        </w:rPr>
      </w:pPr>
      <w:r>
        <w:rPr>
          <w:rFonts w:hint="eastAsia" w:ascii="宋体" w:hAnsi="宋体" w:eastAsia="宋体" w:cs="宋体"/>
          <w:i w:val="0"/>
          <w:caps w:val="0"/>
          <w:color w:val="000000" w:themeColor="text1"/>
          <w:spacing w:val="0"/>
          <w:sz w:val="24"/>
          <w:szCs w:val="24"/>
          <w:lang w:val="en-US" w:eastAsia="zh-CN"/>
          <w14:textFill>
            <w14:solidFill>
              <w14:schemeClr w14:val="tx1"/>
            </w14:solidFill>
          </w14:textFill>
        </w:rPr>
        <w:t>7、</w:t>
      </w:r>
      <w:r>
        <w:rPr>
          <w:rFonts w:hint="eastAsia" w:ascii="宋体" w:hAnsi="宋体" w:eastAsia="宋体" w:cs="宋体"/>
          <w:i w:val="0"/>
          <w:caps w:val="0"/>
          <w:color w:val="000000" w:themeColor="text1"/>
          <w:spacing w:val="0"/>
          <w:sz w:val="24"/>
          <w:szCs w:val="24"/>
          <w14:textFill>
            <w14:solidFill>
              <w14:schemeClr w14:val="tx1"/>
            </w14:solidFill>
          </w14:textFill>
        </w:rPr>
        <w:t>电子监测：电子指示灯显示监测气道开放和按压部位。人工呼吸和胸外按压的正确次数计数和错误次数计数。</w:t>
      </w:r>
    </w:p>
    <w:p>
      <w:pPr>
        <w:pStyle w:val="19"/>
        <w:keepNext w:val="0"/>
        <w:keepLines w:val="0"/>
        <w:pageBreakBefore w:val="0"/>
        <w:widowControl/>
        <w:suppressLineNumbers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i w:val="0"/>
          <w:caps w:val="0"/>
          <w:color w:val="000000" w:themeColor="text1"/>
          <w:spacing w:val="0"/>
          <w:sz w:val="24"/>
          <w:szCs w:val="24"/>
          <w:lang w:eastAsia="zh-CN"/>
          <w14:textFill>
            <w14:solidFill>
              <w14:schemeClr w14:val="tx1"/>
            </w14:solidFill>
          </w14:textFill>
        </w:rPr>
      </w:pPr>
      <w:r>
        <w:rPr>
          <w:rFonts w:hint="eastAsia" w:ascii="宋体" w:hAnsi="宋体" w:eastAsia="宋体" w:cs="宋体"/>
          <w:i w:val="0"/>
          <w:caps w:val="0"/>
          <w:color w:val="000000" w:themeColor="text1"/>
          <w:spacing w:val="0"/>
          <w:sz w:val="24"/>
          <w:szCs w:val="24"/>
          <w:lang w:val="en-US" w:eastAsia="zh-CN"/>
          <w14:textFill>
            <w14:solidFill>
              <w14:schemeClr w14:val="tx1"/>
            </w14:solidFill>
          </w14:textFill>
        </w:rPr>
        <w:t>8、</w:t>
      </w:r>
      <w:r>
        <w:rPr>
          <w:rFonts w:hint="eastAsia" w:ascii="宋体" w:hAnsi="宋体" w:eastAsia="宋体" w:cs="宋体"/>
          <w:i w:val="0"/>
          <w:caps w:val="0"/>
          <w:color w:val="000000" w:themeColor="text1"/>
          <w:spacing w:val="0"/>
          <w:sz w:val="24"/>
          <w:szCs w:val="24"/>
          <w14:textFill>
            <w14:solidFill>
              <w14:schemeClr w14:val="tx1"/>
            </w14:solidFill>
          </w14:textFill>
        </w:rPr>
        <w:t>语音提示：训练和考核中全程中文语音提示，可开启和关闭语音，调节音量。</w:t>
      </w:r>
    </w:p>
    <w:p>
      <w:pPr>
        <w:pStyle w:val="19"/>
        <w:keepNext w:val="0"/>
        <w:keepLines w:val="0"/>
        <w:pageBreakBefore w:val="0"/>
        <w:widowControl/>
        <w:suppressLineNumbers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i w:val="0"/>
          <w:caps w:val="0"/>
          <w:color w:val="000000" w:themeColor="text1"/>
          <w:spacing w:val="0"/>
          <w:sz w:val="24"/>
          <w:szCs w:val="24"/>
          <w:lang w:eastAsia="zh-CN"/>
          <w14:textFill>
            <w14:solidFill>
              <w14:schemeClr w14:val="tx1"/>
            </w14:solidFill>
          </w14:textFill>
        </w:rPr>
      </w:pPr>
      <w:r>
        <w:rPr>
          <w:rFonts w:hint="eastAsia" w:ascii="宋体" w:hAnsi="宋体" w:eastAsia="宋体" w:cs="宋体"/>
          <w:i w:val="0"/>
          <w:caps w:val="0"/>
          <w:color w:val="000000" w:themeColor="text1"/>
          <w:spacing w:val="0"/>
          <w:sz w:val="24"/>
          <w:szCs w:val="24"/>
          <w:lang w:val="en-US" w:eastAsia="zh-CN"/>
          <w14:textFill>
            <w14:solidFill>
              <w14:schemeClr w14:val="tx1"/>
            </w14:solidFill>
          </w14:textFill>
        </w:rPr>
        <w:t>9、</w:t>
      </w:r>
      <w:r>
        <w:rPr>
          <w:rFonts w:hint="eastAsia" w:ascii="宋体" w:hAnsi="宋体" w:eastAsia="宋体" w:cs="宋体"/>
          <w:i w:val="0"/>
          <w:caps w:val="0"/>
          <w:color w:val="000000" w:themeColor="text1"/>
          <w:spacing w:val="0"/>
          <w:sz w:val="24"/>
          <w:szCs w:val="24"/>
          <w14:textFill>
            <w14:solidFill>
              <w14:schemeClr w14:val="tx1"/>
            </w14:solidFill>
          </w14:textFill>
        </w:rPr>
        <w:t>文字提示：训练和考核中全程中文文字提示。</w:t>
      </w:r>
    </w:p>
    <w:p>
      <w:pPr>
        <w:pStyle w:val="19"/>
        <w:keepNext w:val="0"/>
        <w:keepLines w:val="0"/>
        <w:pageBreakBefore w:val="0"/>
        <w:widowControl/>
        <w:suppressLineNumbers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i w:val="0"/>
          <w:caps w:val="0"/>
          <w:color w:val="000000" w:themeColor="text1"/>
          <w:spacing w:val="0"/>
          <w:sz w:val="24"/>
          <w:szCs w:val="24"/>
          <w:lang w:eastAsia="zh-CN"/>
          <w14:textFill>
            <w14:solidFill>
              <w14:schemeClr w14:val="tx1"/>
            </w14:solidFill>
          </w14:textFill>
        </w:rPr>
      </w:pPr>
      <w:r>
        <w:rPr>
          <w:rFonts w:hint="eastAsia" w:ascii="宋体" w:hAnsi="宋体" w:eastAsia="宋体" w:cs="宋体"/>
          <w:i w:val="0"/>
          <w:caps w:val="0"/>
          <w:color w:val="000000" w:themeColor="text1"/>
          <w:spacing w:val="0"/>
          <w:sz w:val="24"/>
          <w:szCs w:val="24"/>
          <w:lang w:val="en-US" w:eastAsia="zh-CN"/>
          <w14:textFill>
            <w14:solidFill>
              <w14:schemeClr w14:val="tx1"/>
            </w14:solidFill>
          </w14:textFill>
        </w:rPr>
        <w:t>10、</w:t>
      </w:r>
      <w:r>
        <w:rPr>
          <w:rFonts w:hint="eastAsia" w:ascii="宋体" w:hAnsi="宋体" w:eastAsia="宋体" w:cs="宋体"/>
          <w:i w:val="0"/>
          <w:caps w:val="0"/>
          <w:color w:val="000000" w:themeColor="text1"/>
          <w:spacing w:val="0"/>
          <w:sz w:val="24"/>
          <w:szCs w:val="24"/>
          <w14:textFill>
            <w14:solidFill>
              <w14:schemeClr w14:val="tx1"/>
            </w14:solidFill>
          </w14:textFill>
        </w:rPr>
        <w:t>条形码显示吹气量：正确的吹气量为500~600ml-1000ml：吹气量过少时，条形码为黄色。吹气量合适时，条形码为绿色。吹气量过大时，条形码为红色。吹入的潮气量过快或超大，造成气体进入胃部指示灯显示；数码计数显示；错误语言提示；</w:t>
      </w:r>
    </w:p>
    <w:p>
      <w:pPr>
        <w:pStyle w:val="19"/>
        <w:keepNext w:val="0"/>
        <w:keepLines w:val="0"/>
        <w:pageBreakBefore w:val="0"/>
        <w:widowControl/>
        <w:suppressLineNumbers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i w:val="0"/>
          <w:caps w:val="0"/>
          <w:color w:val="000000" w:themeColor="text1"/>
          <w:spacing w:val="0"/>
          <w:sz w:val="24"/>
          <w:szCs w:val="24"/>
          <w:lang w:eastAsia="zh-CN"/>
          <w14:textFill>
            <w14:solidFill>
              <w14:schemeClr w14:val="tx1"/>
            </w14:solidFill>
          </w14:textFill>
        </w:rPr>
      </w:pPr>
      <w:r>
        <w:rPr>
          <w:rFonts w:hint="eastAsia" w:ascii="宋体" w:hAnsi="宋体" w:eastAsia="宋体" w:cs="宋体"/>
          <w:i w:val="0"/>
          <w:caps w:val="0"/>
          <w:color w:val="000000" w:themeColor="text1"/>
          <w:spacing w:val="0"/>
          <w:sz w:val="24"/>
          <w:szCs w:val="24"/>
          <w:lang w:val="en-US" w:eastAsia="zh-CN"/>
          <w14:textFill>
            <w14:solidFill>
              <w14:schemeClr w14:val="tx1"/>
            </w14:solidFill>
          </w14:textFill>
        </w:rPr>
        <w:t>11、</w:t>
      </w:r>
      <w:r>
        <w:rPr>
          <w:rFonts w:hint="eastAsia" w:ascii="宋体" w:hAnsi="宋体" w:eastAsia="宋体" w:cs="宋体"/>
          <w:i w:val="0"/>
          <w:caps w:val="0"/>
          <w:color w:val="000000" w:themeColor="text1"/>
          <w:spacing w:val="0"/>
          <w:sz w:val="24"/>
          <w:szCs w:val="24"/>
          <w14:textFill>
            <w14:solidFill>
              <w14:schemeClr w14:val="tx1"/>
            </w14:solidFill>
          </w14:textFill>
        </w:rPr>
        <w:t>条形码显示按压深度，正确的按压深度5-6cm：按压深度过少时，条形码为黄色。按压深度合适时，条形码为绿色。按压深度过大时，条形码为红色。</w:t>
      </w:r>
    </w:p>
    <w:p>
      <w:pPr>
        <w:pStyle w:val="19"/>
        <w:keepNext w:val="0"/>
        <w:keepLines w:val="0"/>
        <w:pageBreakBefore w:val="0"/>
        <w:widowControl/>
        <w:suppressLineNumbers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i w:val="0"/>
          <w:caps w:val="0"/>
          <w:color w:val="000000" w:themeColor="text1"/>
          <w:spacing w:val="0"/>
          <w:sz w:val="24"/>
          <w:szCs w:val="24"/>
          <w:lang w:eastAsia="zh-CN"/>
          <w14:textFill>
            <w14:solidFill>
              <w14:schemeClr w14:val="tx1"/>
            </w14:solidFill>
          </w14:textFill>
        </w:rPr>
      </w:pPr>
      <w:r>
        <w:rPr>
          <w:rFonts w:hint="eastAsia" w:ascii="宋体" w:hAnsi="宋体" w:eastAsia="宋体" w:cs="宋体"/>
          <w:i w:val="0"/>
          <w:caps w:val="0"/>
          <w:color w:val="000000" w:themeColor="text1"/>
          <w:spacing w:val="0"/>
          <w:sz w:val="24"/>
          <w:szCs w:val="24"/>
          <w:lang w:val="en-US" w:eastAsia="zh-CN"/>
          <w14:textFill>
            <w14:solidFill>
              <w14:schemeClr w14:val="tx1"/>
            </w14:solidFill>
          </w14:textFill>
        </w:rPr>
        <w:t>12、</w:t>
      </w:r>
      <w:r>
        <w:rPr>
          <w:rFonts w:hint="eastAsia" w:ascii="宋体" w:hAnsi="宋体" w:eastAsia="宋体" w:cs="宋体"/>
          <w:i w:val="0"/>
          <w:caps w:val="0"/>
          <w:color w:val="000000" w:themeColor="text1"/>
          <w:spacing w:val="0"/>
          <w:sz w:val="24"/>
          <w:szCs w:val="24"/>
          <w14:textFill>
            <w14:solidFill>
              <w14:schemeClr w14:val="tx1"/>
            </w14:solidFill>
          </w14:textFill>
        </w:rPr>
        <w:t>可自行设定操作正确率。</w:t>
      </w:r>
    </w:p>
    <w:p>
      <w:pPr>
        <w:pStyle w:val="19"/>
        <w:keepNext w:val="0"/>
        <w:keepLines w:val="0"/>
        <w:pageBreakBefore w:val="0"/>
        <w:widowControl/>
        <w:suppressLineNumbers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i w:val="0"/>
          <w:caps w:val="0"/>
          <w:color w:val="000000" w:themeColor="text1"/>
          <w:spacing w:val="0"/>
          <w:sz w:val="24"/>
          <w:szCs w:val="24"/>
          <w:lang w:eastAsia="zh-CN"/>
          <w14:textFill>
            <w14:solidFill>
              <w14:schemeClr w14:val="tx1"/>
            </w14:solidFill>
          </w14:textFill>
        </w:rPr>
      </w:pPr>
      <w:r>
        <w:rPr>
          <w:rFonts w:hint="eastAsia" w:ascii="宋体" w:hAnsi="宋体" w:eastAsia="宋体" w:cs="宋体"/>
          <w:i w:val="0"/>
          <w:caps w:val="0"/>
          <w:color w:val="000000" w:themeColor="text1"/>
          <w:spacing w:val="0"/>
          <w:sz w:val="24"/>
          <w:szCs w:val="24"/>
          <w:lang w:val="en-US" w:eastAsia="zh-CN"/>
          <w14:textFill>
            <w14:solidFill>
              <w14:schemeClr w14:val="tx1"/>
            </w14:solidFill>
          </w14:textFill>
        </w:rPr>
        <w:t>13、</w:t>
      </w:r>
      <w:r>
        <w:rPr>
          <w:rFonts w:hint="eastAsia" w:ascii="宋体" w:hAnsi="宋体" w:eastAsia="宋体" w:cs="宋体"/>
          <w:i w:val="0"/>
          <w:caps w:val="0"/>
          <w:color w:val="000000" w:themeColor="text1"/>
          <w:spacing w:val="0"/>
          <w:sz w:val="24"/>
          <w:szCs w:val="24"/>
          <w14:textFill>
            <w14:solidFill>
              <w14:schemeClr w14:val="tx1"/>
            </w14:solidFill>
          </w14:textFill>
        </w:rPr>
        <w:t>可自行设定操作时间，以秒为单位。</w:t>
      </w:r>
    </w:p>
    <w:p>
      <w:pPr>
        <w:pStyle w:val="19"/>
        <w:keepNext w:val="0"/>
        <w:keepLines w:val="0"/>
        <w:pageBreakBefore w:val="0"/>
        <w:widowControl/>
        <w:suppressLineNumbers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i w:val="0"/>
          <w:caps w:val="0"/>
          <w:color w:val="000000" w:themeColor="text1"/>
          <w:spacing w:val="0"/>
          <w:sz w:val="24"/>
          <w:szCs w:val="24"/>
          <w:lang w:eastAsia="zh-CN"/>
          <w14:textFill>
            <w14:solidFill>
              <w14:schemeClr w14:val="tx1"/>
            </w14:solidFill>
          </w14:textFill>
        </w:rPr>
      </w:pPr>
      <w:r>
        <w:rPr>
          <w:rFonts w:hint="eastAsia" w:ascii="宋体" w:hAnsi="宋体" w:eastAsia="宋体" w:cs="宋体"/>
          <w:i w:val="0"/>
          <w:caps w:val="0"/>
          <w:color w:val="000000" w:themeColor="text1"/>
          <w:spacing w:val="0"/>
          <w:sz w:val="24"/>
          <w:szCs w:val="24"/>
          <w:lang w:val="en-US" w:eastAsia="zh-CN"/>
          <w14:textFill>
            <w14:solidFill>
              <w14:schemeClr w14:val="tx1"/>
            </w14:solidFill>
          </w14:textFill>
        </w:rPr>
        <w:t>14、</w:t>
      </w:r>
      <w:r>
        <w:rPr>
          <w:rFonts w:hint="eastAsia" w:ascii="宋体" w:hAnsi="宋体" w:eastAsia="宋体" w:cs="宋体"/>
          <w:i w:val="0"/>
          <w:caps w:val="0"/>
          <w:color w:val="000000" w:themeColor="text1"/>
          <w:spacing w:val="0"/>
          <w:sz w:val="24"/>
          <w:szCs w:val="24"/>
          <w14:textFill>
            <w14:solidFill>
              <w14:schemeClr w14:val="tx1"/>
            </w14:solidFill>
          </w14:textFill>
        </w:rPr>
        <w:t>操作频率：2015标准100-120次/分，也可自行设定数值。</w:t>
      </w:r>
    </w:p>
    <w:p>
      <w:pPr>
        <w:pStyle w:val="19"/>
        <w:keepNext w:val="0"/>
        <w:keepLines w:val="0"/>
        <w:pageBreakBefore w:val="0"/>
        <w:widowControl/>
        <w:suppressLineNumbers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lang w:val="en-US" w:eastAsia="zh-CN"/>
          <w14:textFill>
            <w14:solidFill>
              <w14:schemeClr w14:val="tx1"/>
            </w14:solidFill>
          </w14:textFill>
        </w:rPr>
        <w:t>15、</w:t>
      </w:r>
      <w:r>
        <w:rPr>
          <w:rFonts w:hint="eastAsia" w:ascii="宋体" w:hAnsi="宋体" w:eastAsia="宋体" w:cs="宋体"/>
          <w:i w:val="0"/>
          <w:caps w:val="0"/>
          <w:color w:val="000000" w:themeColor="text1"/>
          <w:spacing w:val="0"/>
          <w:sz w:val="24"/>
          <w:szCs w:val="24"/>
          <w14:textFill>
            <w14:solidFill>
              <w14:schemeClr w14:val="tx1"/>
            </w14:solidFill>
          </w14:textFill>
        </w:rPr>
        <w:t>电源状态：采用220V电源，经过稳压器稳压后输出电源12V。（可选加装锂电池，适用于无外接电源的情况下直接使用。）</w:t>
      </w:r>
    </w:p>
    <w:p>
      <w:pPr>
        <w:pStyle w:val="19"/>
        <w:keepNext w:val="0"/>
        <w:keepLines w:val="0"/>
        <w:pageBreakBefore w:val="0"/>
        <w:widowControl/>
        <w:suppressLineNumbers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i w:val="0"/>
          <w:caps w:val="0"/>
          <w:color w:val="000000" w:themeColor="text1"/>
          <w:spacing w:val="0"/>
          <w:sz w:val="24"/>
          <w:szCs w:val="24"/>
          <w:lang w:eastAsia="zh-CN"/>
          <w14:textFill>
            <w14:solidFill>
              <w14:schemeClr w14:val="tx1"/>
            </w14:solidFill>
          </w14:textFill>
        </w:rPr>
      </w:pPr>
      <w:r>
        <w:rPr>
          <w:rFonts w:hint="eastAsia" w:ascii="宋体" w:hAnsi="宋体" w:eastAsia="宋体" w:cs="宋体"/>
          <w:i w:val="0"/>
          <w:caps w:val="0"/>
          <w:color w:val="000000" w:themeColor="text1"/>
          <w:spacing w:val="0"/>
          <w:sz w:val="24"/>
          <w:szCs w:val="24"/>
          <w:lang w:val="en-US" w:eastAsia="zh-CN"/>
          <w14:textFill>
            <w14:solidFill>
              <w14:schemeClr w14:val="tx1"/>
            </w14:solidFill>
          </w14:textFill>
        </w:rPr>
        <w:t>16、</w:t>
      </w:r>
      <w:r>
        <w:rPr>
          <w:rFonts w:hint="eastAsia" w:ascii="宋体" w:hAnsi="宋体" w:eastAsia="宋体" w:cs="宋体"/>
          <w:i w:val="0"/>
          <w:caps w:val="0"/>
          <w:color w:val="000000" w:themeColor="text1"/>
          <w:spacing w:val="0"/>
          <w:sz w:val="24"/>
          <w:szCs w:val="24"/>
          <w14:textFill>
            <w14:solidFill>
              <w14:schemeClr w14:val="tx1"/>
            </w14:solidFill>
          </w14:textFill>
        </w:rPr>
        <w:t>打印机功能：操作结束后打印操作过程。</w:t>
      </w:r>
    </w:p>
    <w:p>
      <w:pPr>
        <w:pStyle w:val="19"/>
        <w:keepNext w:val="0"/>
        <w:keepLines w:val="0"/>
        <w:pageBreakBefore w:val="0"/>
        <w:widowControl/>
        <w:suppressLineNumbers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lang w:val="en-US" w:eastAsia="zh-CN"/>
          <w14:textFill>
            <w14:solidFill>
              <w14:schemeClr w14:val="tx1"/>
            </w14:solidFill>
          </w14:textFill>
        </w:rPr>
        <w:t>17、</w:t>
      </w:r>
      <w:r>
        <w:rPr>
          <w:rFonts w:hint="eastAsia" w:ascii="宋体" w:hAnsi="宋体" w:eastAsia="宋体" w:cs="宋体"/>
          <w:i w:val="0"/>
          <w:caps w:val="0"/>
          <w:color w:val="000000" w:themeColor="text1"/>
          <w:spacing w:val="0"/>
          <w:sz w:val="24"/>
          <w:szCs w:val="24"/>
          <w14:textFill>
            <w14:solidFill>
              <w14:schemeClr w14:val="tx1"/>
            </w14:solidFill>
          </w14:textFill>
        </w:rPr>
        <w:t>成绩单内容涵盖操作方式、意识判断、急救呼吸、脉搏检查、检查呼吸、清除异物、操作频率、按压与吹气比例、循环次数、每个循环操作中按压和吹气的次数、按压正确/错误次数、按压错误的原因和次数、吹气正确/错误的原因和次数、吹气错误的原因、设定时间、操作时间和考核评定。</w:t>
      </w:r>
    </w:p>
    <w:p>
      <w:pPr>
        <w:pStyle w:val="19"/>
        <w:keepNext w:val="0"/>
        <w:keepLines w:val="0"/>
        <w:pageBreakBefore w:val="0"/>
        <w:widowControl/>
        <w:suppressLineNumbers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lang w:val="en-US" w:eastAsia="zh-CN"/>
          <w14:textFill>
            <w14:solidFill>
              <w14:schemeClr w14:val="tx1"/>
            </w14:solidFill>
          </w14:textFill>
        </w:rPr>
        <w:t>18、</w:t>
      </w:r>
      <w:r>
        <w:rPr>
          <w:rFonts w:hint="eastAsia" w:ascii="宋体" w:hAnsi="宋体" w:eastAsia="宋体" w:cs="宋体"/>
          <w:i w:val="0"/>
          <w:caps w:val="0"/>
          <w:color w:val="000000" w:themeColor="text1"/>
          <w:spacing w:val="0"/>
          <w:sz w:val="24"/>
          <w:szCs w:val="24"/>
          <w14:textFill>
            <w14:solidFill>
              <w14:schemeClr w14:val="tx1"/>
            </w14:solidFill>
          </w14:textFill>
        </w:rPr>
        <w:t>材料特点： 面皮肤、颈皮肤、胸皮肤、头发，采用进口热塑弹性体混合胶材料，由不锈钢模具、经注塑机高温注压而成，具有解剖标志准确、手感真实、肤色统一、形态逼真、外形美观、经久耐用、消毒清洗不变形，拆装更换方便等特点，其材料达到国外同等水平。</w:t>
      </w:r>
    </w:p>
    <w:p>
      <w:pPr>
        <w:pStyle w:val="19"/>
        <w:keepNext w:val="0"/>
        <w:keepLines w:val="0"/>
        <w:pageBreakBefore w:val="0"/>
        <w:widowControl/>
        <w:suppressLineNumbers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lang w:val="en-US" w:eastAsia="zh-CN"/>
          <w14:textFill>
            <w14:solidFill>
              <w14:schemeClr w14:val="tx1"/>
            </w14:solidFill>
          </w14:textFill>
        </w:rPr>
        <w:t>19、</w:t>
      </w:r>
      <w:r>
        <w:rPr>
          <w:rFonts w:hint="eastAsia" w:ascii="宋体" w:hAnsi="宋体" w:eastAsia="宋体" w:cs="宋体"/>
          <w:i w:val="0"/>
          <w:caps w:val="0"/>
          <w:color w:val="000000" w:themeColor="text1"/>
          <w:spacing w:val="0"/>
          <w:sz w:val="24"/>
          <w:szCs w:val="24"/>
          <w14:textFill>
            <w14:solidFill>
              <w14:schemeClr w14:val="tx1"/>
            </w14:solidFill>
          </w14:textFill>
        </w:rPr>
        <w:t>标准套配置：高级复苏全身人体模型</w:t>
      </w:r>
      <w:r>
        <w:rPr>
          <w:rFonts w:hint="eastAsia" w:ascii="宋体" w:hAnsi="宋体" w:eastAsia="宋体" w:cs="宋体"/>
          <w:i w:val="0"/>
          <w:caps w:val="0"/>
          <w:color w:val="000000" w:themeColor="text1"/>
          <w:spacing w:val="0"/>
          <w:sz w:val="24"/>
          <w:szCs w:val="24"/>
          <w:lang w:eastAsia="zh-CN"/>
          <w14:textFill>
            <w14:solidFill>
              <w14:schemeClr w14:val="tx1"/>
            </w14:solidFill>
          </w14:textFill>
        </w:rPr>
        <w:t>；</w:t>
      </w:r>
      <w:r>
        <w:rPr>
          <w:rFonts w:hint="eastAsia" w:ascii="宋体" w:hAnsi="宋体" w:eastAsia="宋体" w:cs="宋体"/>
          <w:i w:val="0"/>
          <w:caps w:val="0"/>
          <w:color w:val="000000" w:themeColor="text1"/>
          <w:spacing w:val="0"/>
          <w:sz w:val="24"/>
          <w:szCs w:val="24"/>
          <w14:textFill>
            <w14:solidFill>
              <w14:schemeClr w14:val="tx1"/>
            </w14:solidFill>
          </w14:textFill>
        </w:rPr>
        <w:t>高级显示控制器；豪华手拉推式人体硬塑箱</w:t>
      </w:r>
      <w:r>
        <w:rPr>
          <w:rFonts w:hint="eastAsia" w:ascii="宋体" w:hAnsi="宋体" w:eastAsia="宋体" w:cs="宋体"/>
          <w:i w:val="0"/>
          <w:caps w:val="0"/>
          <w:color w:val="000000" w:themeColor="text1"/>
          <w:spacing w:val="0"/>
          <w:sz w:val="24"/>
          <w:szCs w:val="24"/>
          <w:lang w:val="en-US" w:eastAsia="zh-CN"/>
          <w14:textFill>
            <w14:solidFill>
              <w14:schemeClr w14:val="tx1"/>
            </w14:solidFill>
          </w14:textFill>
        </w:rPr>
        <w:t>等</w:t>
      </w:r>
    </w:p>
    <w:p>
      <w:pPr>
        <w:rPr>
          <w:rFonts w:hint="eastAsia" w:ascii="宋体" w:hAnsi="宋体" w:eastAsia="宋体" w:cs="宋体"/>
          <w:color w:val="000000" w:themeColor="text1"/>
          <w:sz w:val="24"/>
          <w:szCs w:val="24"/>
          <w:lang w:val="en-US" w:eastAsia="zh-CN"/>
          <w14:textFill>
            <w14:solidFill>
              <w14:schemeClr w14:val="tx1"/>
            </w14:solidFill>
          </w14:textFill>
        </w:rPr>
      </w:pPr>
      <w:bookmarkStart w:id="57" w:name="_Toc9597"/>
      <w:r>
        <w:rPr>
          <w:rFonts w:hint="eastAsia" w:ascii="宋体" w:hAnsi="宋体" w:eastAsia="宋体" w:cs="宋体"/>
          <w:color w:val="000000" w:themeColor="text1"/>
          <w:sz w:val="24"/>
          <w:szCs w:val="24"/>
          <w:lang w:val="en-US" w:eastAsia="zh-CN"/>
          <w14:textFill>
            <w14:solidFill>
              <w14:schemeClr w14:val="tx1"/>
            </w14:solidFill>
          </w14:textFill>
        </w:rPr>
        <w:br w:type="page"/>
      </w:r>
    </w:p>
    <w:p>
      <w:pPr>
        <w:pStyle w:val="2"/>
        <w:pageBreakBefore w:val="0"/>
        <w:kinsoku/>
        <w:wordWrap/>
        <w:overflowPunct/>
        <w:topLinePunct w:val="0"/>
        <w:autoSpaceDE/>
        <w:autoSpaceDN/>
        <w:bidi w:val="0"/>
        <w:spacing w:line="360" w:lineRule="auto"/>
        <w:ind w:firstLine="482" w:firstLineChars="20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附件18：医用冷藏柜</w:t>
      </w:r>
      <w:bookmarkEnd w:id="57"/>
    </w:p>
    <w:p>
      <w:pPr>
        <w:pageBreakBefore w:val="0"/>
        <w:numPr>
          <w:ilvl w:val="0"/>
          <w:numId w:val="0"/>
        </w:numPr>
        <w:kinsoku/>
        <w:wordWrap/>
        <w:overflowPunct/>
        <w:topLinePunct w:val="0"/>
        <w:autoSpaceDE/>
        <w:autoSpaceDN/>
        <w:bidi w:val="0"/>
        <w:spacing w:line="360" w:lineRule="auto"/>
        <w:ind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温度范围(</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阴凉(8-20)冷藏(2-8)</w:t>
      </w:r>
    </w:p>
    <w:p>
      <w:pPr>
        <w:pageBreakBefore w:val="0"/>
        <w:numPr>
          <w:ilvl w:val="0"/>
          <w:numId w:val="0"/>
        </w:numPr>
        <w:kinsoku/>
        <w:wordWrap/>
        <w:overflowPunct/>
        <w:topLinePunct w:val="0"/>
        <w:autoSpaceDE/>
        <w:autoSpaceDN/>
        <w:bidi w:val="0"/>
        <w:spacing w:line="360" w:lineRule="auto"/>
        <w:ind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湿度范围(RH)</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35%-75%</w:t>
      </w:r>
    </w:p>
    <w:p>
      <w:pPr>
        <w:pageBreakBefore w:val="0"/>
        <w:numPr>
          <w:ilvl w:val="0"/>
          <w:numId w:val="0"/>
        </w:numPr>
        <w:kinsoku/>
        <w:wordWrap/>
        <w:overflowPunct/>
        <w:topLinePunct w:val="0"/>
        <w:autoSpaceDE/>
        <w:autoSpaceDN/>
        <w:bidi w:val="0"/>
        <w:spacing w:line="360" w:lineRule="auto"/>
        <w:ind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额定电压</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220V/50HZ</w:t>
      </w:r>
    </w:p>
    <w:p>
      <w:pPr>
        <w:pageBreakBefore w:val="0"/>
        <w:numPr>
          <w:ilvl w:val="0"/>
          <w:numId w:val="0"/>
        </w:numPr>
        <w:kinsoku/>
        <w:wordWrap/>
        <w:overflowPunct/>
        <w:topLinePunct w:val="0"/>
        <w:autoSpaceDE/>
        <w:autoSpaceDN/>
        <w:bidi w:val="0"/>
        <w:spacing w:line="360" w:lineRule="auto"/>
        <w:ind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整机功率(w)</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180</w:t>
      </w:r>
    </w:p>
    <w:p>
      <w:pPr>
        <w:pageBreakBefore w:val="0"/>
        <w:numPr>
          <w:ilvl w:val="0"/>
          <w:numId w:val="0"/>
        </w:numPr>
        <w:kinsoku/>
        <w:wordWrap/>
        <w:overflowPunct/>
        <w:topLinePunct w:val="0"/>
        <w:autoSpaceDE/>
        <w:autoSpaceDN/>
        <w:bidi w:val="0"/>
        <w:spacing w:line="360" w:lineRule="auto"/>
        <w:ind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有效容积(L)</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150</w:t>
      </w:r>
    </w:p>
    <w:p>
      <w:pPr>
        <w:pageBreakBefore w:val="0"/>
        <w:numPr>
          <w:ilvl w:val="0"/>
          <w:numId w:val="0"/>
        </w:numPr>
        <w:kinsoku/>
        <w:wordWrap/>
        <w:overflowPunct/>
        <w:topLinePunct w:val="0"/>
        <w:autoSpaceDE/>
        <w:autoSpaceDN/>
        <w:bidi w:val="0"/>
        <w:spacing w:line="360" w:lineRule="auto"/>
        <w:ind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制冷剂</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R600a</w:t>
      </w:r>
    </w:p>
    <w:p>
      <w:pPr>
        <w:rPr>
          <w:rFonts w:hint="eastAsia" w:ascii="宋体" w:hAnsi="宋体" w:eastAsia="宋体" w:cs="宋体"/>
          <w:color w:val="000000" w:themeColor="text1"/>
          <w:sz w:val="24"/>
          <w:szCs w:val="24"/>
          <w:lang w:val="en-US" w:eastAsia="zh-CN"/>
          <w14:textFill>
            <w14:solidFill>
              <w14:schemeClr w14:val="tx1"/>
            </w14:solidFill>
          </w14:textFill>
        </w:rPr>
      </w:pPr>
      <w:bookmarkStart w:id="58" w:name="_Toc32094"/>
      <w:r>
        <w:rPr>
          <w:rFonts w:hint="eastAsia" w:ascii="宋体" w:hAnsi="宋体" w:eastAsia="宋体" w:cs="宋体"/>
          <w:color w:val="000000" w:themeColor="text1"/>
          <w:sz w:val="24"/>
          <w:szCs w:val="24"/>
          <w:lang w:val="en-US" w:eastAsia="zh-CN"/>
          <w14:textFill>
            <w14:solidFill>
              <w14:schemeClr w14:val="tx1"/>
            </w14:solidFill>
          </w14:textFill>
        </w:rPr>
        <w:br w:type="page"/>
      </w:r>
    </w:p>
    <w:p>
      <w:pPr>
        <w:pStyle w:val="2"/>
        <w:pageBreakBefore w:val="0"/>
        <w:kinsoku/>
        <w:wordWrap/>
        <w:overflowPunct/>
        <w:topLinePunct w:val="0"/>
        <w:autoSpaceDE/>
        <w:autoSpaceDN/>
        <w:bidi w:val="0"/>
        <w:spacing w:line="360" w:lineRule="auto"/>
        <w:ind w:firstLine="482" w:firstLineChars="20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附件19：病床</w:t>
      </w:r>
      <w:bookmarkEnd w:id="58"/>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1、规格</w:t>
      </w:r>
      <w:r>
        <w:rPr>
          <w:rFonts w:hint="eastAsia" w:ascii="宋体" w:hAnsi="宋体" w:eastAsia="宋体" w:cs="宋体"/>
          <w:b w:val="0"/>
          <w:bCs w:val="0"/>
          <w:color w:val="000000" w:themeColor="text1"/>
          <w:sz w:val="24"/>
          <w:szCs w:val="24"/>
          <w:lang w:val="en-US" w:eastAsia="zh-CN"/>
          <w14:textFill>
            <w14:solidFill>
              <w14:schemeClr w14:val="tx1"/>
            </w14:solidFill>
          </w14:textFill>
        </w:rPr>
        <w:t>≤2200*900*500mm</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2、床框：采用</w:t>
      </w:r>
      <w:r>
        <w:rPr>
          <w:rFonts w:hint="eastAsia" w:ascii="宋体" w:hAnsi="宋体" w:eastAsia="宋体" w:cs="宋体"/>
          <w:b w:val="0"/>
          <w:bCs w:val="0"/>
          <w:color w:val="000000" w:themeColor="text1"/>
          <w:sz w:val="24"/>
          <w:szCs w:val="24"/>
          <w:lang w:val="en-US" w:eastAsia="zh-CN"/>
          <w14:textFill>
            <w14:solidFill>
              <w14:schemeClr w14:val="tx1"/>
            </w14:solidFill>
          </w14:textFill>
        </w:rPr>
        <w:t>40</w:t>
      </w: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80</w:t>
      </w:r>
      <w:r>
        <w:rPr>
          <w:rFonts w:hint="eastAsia" w:ascii="宋体" w:hAnsi="宋体" w:eastAsia="宋体" w:cs="宋体"/>
          <w:b w:val="0"/>
          <w:bCs w:val="0"/>
          <w:color w:val="000000" w:themeColor="text1"/>
          <w:sz w:val="24"/>
          <w:szCs w:val="24"/>
          <w14:textFill>
            <w14:solidFill>
              <w14:schemeClr w14:val="tx1"/>
            </w14:solidFill>
          </w14:textFill>
        </w:rPr>
        <w:t>×1.</w:t>
      </w: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t>mm矩形管焊接，表面平整，无焊缝痕迹；</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3、床面板：采用大型钢厂冷轧钢板，模压一次</w:t>
      </w:r>
      <w:r>
        <w:rPr>
          <w:rFonts w:hint="eastAsia" w:ascii="宋体" w:hAnsi="宋体" w:eastAsia="宋体" w:cs="宋体"/>
          <w:b w:val="0"/>
          <w:bCs w:val="0"/>
          <w:color w:val="000000" w:themeColor="text1"/>
          <w:sz w:val="24"/>
          <w:szCs w:val="24"/>
          <w:lang w:eastAsia="zh-CN"/>
          <w14:textFill>
            <w14:solidFill>
              <w14:schemeClr w14:val="tx1"/>
            </w14:solidFill>
          </w14:textFill>
        </w:rPr>
        <w:t>冲压成型</w:t>
      </w:r>
      <w:r>
        <w:rPr>
          <w:rFonts w:hint="eastAsia" w:ascii="宋体" w:hAnsi="宋体" w:eastAsia="宋体" w:cs="宋体"/>
          <w:b w:val="0"/>
          <w:bCs w:val="0"/>
          <w:color w:val="000000" w:themeColor="text1"/>
          <w:sz w:val="24"/>
          <w:szCs w:val="24"/>
          <w14:textFill>
            <w14:solidFill>
              <w14:schemeClr w14:val="tx1"/>
            </w14:solidFill>
          </w14:textFill>
        </w:rPr>
        <w:t>，多气孔设计，便于透气并具有防滑功能；床面板上带有凹槽设计，视觉美观坚固，床面板厚度≥1.2㎜，</w:t>
      </w:r>
      <w:r>
        <w:rPr>
          <w:rFonts w:hint="eastAsia" w:ascii="宋体" w:hAnsi="宋体" w:eastAsia="宋体" w:cs="宋体"/>
          <w:b w:val="0"/>
          <w:bCs w:val="0"/>
          <w:color w:val="000000" w:themeColor="text1"/>
          <w:sz w:val="24"/>
          <w:szCs w:val="24"/>
          <w:lang w:eastAsia="zh-CN"/>
          <w14:textFill>
            <w14:solidFill>
              <w14:schemeClr w14:val="tx1"/>
            </w14:solidFill>
          </w14:textFill>
        </w:rPr>
        <w:t>采</w:t>
      </w:r>
      <w:r>
        <w:rPr>
          <w:rFonts w:hint="eastAsia" w:ascii="宋体" w:hAnsi="宋体" w:eastAsia="宋体" w:cs="宋体"/>
          <w:b w:val="0"/>
          <w:bCs w:val="0"/>
          <w:color w:val="000000" w:themeColor="text1"/>
          <w:sz w:val="24"/>
          <w:szCs w:val="24"/>
          <w14:textFill>
            <w14:solidFill>
              <w14:schemeClr w14:val="tx1"/>
            </w14:solidFill>
          </w14:textFill>
        </w:rPr>
        <w:t xml:space="preserve">用铰链连接，床面板带有床垫格挡，防止床垫滑动；床面板下有加强筋，在病员上床、翻身及床面板升降过程中床面板无响声，坚固牢靠；背部板四周增加钢管加固，采用长弯型架+双支撑卸力结构； </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4、床体可载重≥240kg，采用大型钢厂冷轧钢板</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双层稳固结构，工艺质量优良，坚固牢实，耐用；床体外侧或四角装有防撞角；</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vertAlign w:val="baseline"/>
          <w:lang w:eastAsia="zh-CN"/>
          <w14:textFill>
            <w14:solidFill>
              <w14:schemeClr w14:val="tx1"/>
            </w14:solidFill>
          </w14:textFill>
        </w:rPr>
        <w:t>背部折叠</w:t>
      </w: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vertAlign w:val="baseline"/>
          <w:lang w:val="en-US" w:eastAsia="zh-CN"/>
          <w14:textFill>
            <w14:solidFill>
              <w14:schemeClr w14:val="tx1"/>
            </w14:solidFill>
          </w14:textFill>
        </w:rPr>
        <w:t>0-75°，腿部折叠</w:t>
      </w: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vertAlign w:val="baseline"/>
          <w:lang w:val="en-US" w:eastAsia="zh-CN"/>
          <w14:textFill>
            <w14:solidFill>
              <w14:schemeClr w14:val="tx1"/>
            </w14:solidFill>
          </w14:textFill>
        </w:rPr>
        <w:t>0-35°</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6、ABS床头尾板，弧线形流畅设计，美观大方，有暗藏锁定装置，稳定可靠，拆卸方便，尾板外侧有病人信息卡插槽；</w:t>
      </w:r>
    </w:p>
    <w:p>
      <w:pPr>
        <w:keepNext w:val="0"/>
        <w:keepLines w:val="0"/>
        <w:pageBreakBefore w:val="0"/>
        <w:kinsoku/>
        <w:wordWrap/>
        <w:overflowPunct/>
        <w:topLinePunct w:val="0"/>
        <w:autoSpaceDE/>
        <w:autoSpaceDN/>
        <w:bidi w:val="0"/>
        <w:adjustRightInd/>
        <w:snapToGrid/>
        <w:spacing w:line="360" w:lineRule="auto"/>
        <w:ind w:right="0" w:rightChars="0" w:firstLine="482" w:firstLineChars="200"/>
        <w:jc w:val="lef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7、内藏式曲柄摇把，配置ABS叠式手摇把，丝杆采用45#钢，由专用滚丝机滚挤压成型，丝口圆滑，操作轻松，母丝采用球墨铁制作，丝杆具有双向空挡保护装置，</w:t>
      </w:r>
      <w:r>
        <w:rPr>
          <w:rFonts w:hint="eastAsia" w:ascii="宋体" w:hAnsi="宋体" w:eastAsia="宋体" w:cs="宋体"/>
          <w:color w:val="000000" w:themeColor="text1"/>
          <w:sz w:val="24"/>
          <w:szCs w:val="24"/>
          <w:lang w:eastAsia="zh-CN"/>
          <w14:textFill>
            <w14:solidFill>
              <w14:schemeClr w14:val="tx1"/>
            </w14:solidFill>
          </w14:textFill>
        </w:rPr>
        <w:t>提供摇杆装置专利证明</w:t>
      </w:r>
      <w:r>
        <w:rPr>
          <w:rFonts w:hint="eastAsia" w:ascii="宋体" w:hAnsi="宋体" w:eastAsia="宋体" w:cs="宋体"/>
          <w:b w:val="0"/>
          <w:bCs w:val="0"/>
          <w:color w:val="000000" w:themeColor="text1"/>
          <w:sz w:val="24"/>
          <w:szCs w:val="24"/>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360" w:lineRule="auto"/>
        <w:ind w:right="0" w:rightChars="0" w:firstLine="482" w:firstLineChars="200"/>
        <w:jc w:val="lef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8、</w:t>
      </w:r>
      <w:r>
        <w:rPr>
          <w:rFonts w:hint="eastAsia" w:ascii="宋体" w:hAnsi="宋体" w:eastAsia="宋体" w:cs="宋体"/>
          <w:b w:val="0"/>
          <w:bCs w:val="0"/>
          <w:color w:val="000000" w:themeColor="text1"/>
          <w:sz w:val="24"/>
          <w:szCs w:val="24"/>
          <w14:textFill>
            <w14:solidFill>
              <w14:schemeClr w14:val="tx1"/>
            </w14:solidFill>
          </w14:textFill>
        </w:rPr>
        <w:t>Φ125</w:t>
      </w:r>
      <w:r>
        <w:rPr>
          <w:rFonts w:hint="eastAsia" w:ascii="宋体" w:hAnsi="宋体" w:eastAsia="宋体" w:cs="宋体"/>
          <w:b w:val="0"/>
          <w:bCs w:val="0"/>
          <w:color w:val="000000" w:themeColor="text1"/>
          <w:sz w:val="24"/>
          <w:szCs w:val="24"/>
          <w:lang w:eastAsia="zh-CN"/>
          <w14:textFill>
            <w14:solidFill>
              <w14:schemeClr w14:val="tx1"/>
            </w14:solidFill>
          </w14:textFill>
        </w:rPr>
        <w:t>高级聚氨酯进口万向轮，双面包裹，防缠绕，使用灵活，无噪音，稳定性更好，四角刹车；</w:t>
      </w:r>
    </w:p>
    <w:p>
      <w:pPr>
        <w:keepNext w:val="0"/>
        <w:keepLines w:val="0"/>
        <w:pageBreakBefore w:val="0"/>
        <w:kinsoku/>
        <w:wordWrap/>
        <w:overflowPunct/>
        <w:topLinePunct w:val="0"/>
        <w:autoSpaceDE/>
        <w:autoSpaceDN/>
        <w:bidi w:val="0"/>
        <w:adjustRightInd/>
        <w:snapToGrid/>
        <w:spacing w:line="360" w:lineRule="auto"/>
        <w:ind w:right="0" w:rightChars="0" w:firstLine="482" w:firstLineChars="200"/>
        <w:jc w:val="lef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9、护栏：</w:t>
      </w:r>
      <w:r>
        <w:rPr>
          <w:rFonts w:hint="eastAsia" w:ascii="宋体" w:hAnsi="宋体" w:eastAsia="宋体" w:cs="宋体"/>
          <w:b w:val="0"/>
          <w:bCs w:val="0"/>
          <w:color w:val="000000" w:themeColor="text1"/>
          <w:sz w:val="24"/>
          <w:szCs w:val="24"/>
          <w:lang w:eastAsia="zh-CN"/>
          <w14:textFill>
            <w14:solidFill>
              <w14:schemeClr w14:val="tx1"/>
            </w14:solidFill>
          </w14:textFill>
        </w:rPr>
        <w:t>全覆式铝合金折叠护栏采用加厚铝合金材质，收放升降自如，经久耐用，不易变形，光滑美观易清洁,护栏为六档；</w:t>
      </w:r>
    </w:p>
    <w:p>
      <w:pPr>
        <w:pStyle w:val="1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10、</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餐桌：ABS伸缩餐板，可伸缩骑跨在护栏上，不用时挂于床尾。</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11、四个输液架插孔（左、右各2个），便于推出检查使用，床框内侧两边各带有一个引流挂钩，床底配有杂物架；</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12、床材质：床框、床板、螺杆、摇把、床腿等要求表面光滑，坚固耐用；</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13、</w:t>
      </w:r>
      <w:r>
        <w:rPr>
          <w:rFonts w:hint="eastAsia" w:ascii="宋体" w:hAnsi="宋体" w:eastAsia="宋体" w:cs="宋体"/>
          <w:b w:val="0"/>
          <w:bCs w:val="0"/>
          <w:color w:val="000000" w:themeColor="text1"/>
          <w:sz w:val="24"/>
          <w:szCs w:val="24"/>
          <w14:textFill>
            <w14:solidFill>
              <w14:schemeClr w14:val="tx1"/>
            </w14:solidFill>
          </w14:textFill>
        </w:rPr>
        <w:t>床垫规格：与病床配套</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8mm厚</w:t>
      </w:r>
      <w:r>
        <w:rPr>
          <w:rFonts w:hint="eastAsia" w:ascii="宋体" w:hAnsi="宋体" w:eastAsia="宋体" w:cs="宋体"/>
          <w:b w:val="0"/>
          <w:bCs w:val="0"/>
          <w:color w:val="000000" w:themeColor="text1"/>
          <w:sz w:val="24"/>
          <w:szCs w:val="24"/>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14、</w:t>
      </w:r>
      <w:r>
        <w:rPr>
          <w:rFonts w:hint="eastAsia" w:ascii="宋体" w:hAnsi="宋体" w:eastAsia="宋体" w:cs="宋体"/>
          <w:b w:val="0"/>
          <w:bCs w:val="0"/>
          <w:color w:val="000000" w:themeColor="text1"/>
          <w:sz w:val="24"/>
          <w:szCs w:val="24"/>
          <w14:textFill>
            <w14:solidFill>
              <w14:schemeClr w14:val="tx1"/>
            </w14:solidFill>
          </w14:textFill>
        </w:rPr>
        <w:t>床垫材质：1、4公分海棉、4公分棕，高密度棕片，经高温高压处理，高密度弹性海绵，经防虫处理，防止变形,具透气、透湿、防霉、耐磨作用，带拉链可灵活拆卸；</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15、床垫</w:t>
      </w:r>
      <w:r>
        <w:rPr>
          <w:rFonts w:hint="eastAsia" w:ascii="宋体" w:hAnsi="宋体" w:eastAsia="宋体" w:cs="宋体"/>
          <w:b w:val="0"/>
          <w:bCs w:val="0"/>
          <w:color w:val="000000" w:themeColor="text1"/>
          <w:sz w:val="24"/>
          <w:szCs w:val="24"/>
          <w14:textFill>
            <w14:solidFill>
              <w14:schemeClr w14:val="tx1"/>
            </w14:solidFill>
          </w14:textFill>
        </w:rPr>
        <w:t>外包优质防水布，液体不渗透表层，易擦拭，有透气性；</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16、床垫</w:t>
      </w:r>
      <w:r>
        <w:rPr>
          <w:rFonts w:hint="eastAsia" w:ascii="宋体" w:hAnsi="宋体" w:eastAsia="宋体" w:cs="宋体"/>
          <w:b w:val="0"/>
          <w:bCs w:val="0"/>
          <w:color w:val="000000" w:themeColor="text1"/>
          <w:sz w:val="24"/>
          <w:szCs w:val="24"/>
          <w14:textFill>
            <w14:solidFill>
              <w14:schemeClr w14:val="tx1"/>
            </w14:solidFill>
          </w14:textFill>
        </w:rPr>
        <w:t>可根据床的背部、脚部、腿部升降而弯曲；</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17、配：面底不锈钢床头柜 </w:t>
      </w:r>
    </w:p>
    <w:p>
      <w:pPr>
        <w:rPr>
          <w:rFonts w:hint="eastAsia" w:ascii="宋体" w:hAnsi="宋体" w:eastAsia="宋体" w:cs="宋体"/>
          <w:color w:val="000000" w:themeColor="text1"/>
          <w:sz w:val="24"/>
          <w:szCs w:val="24"/>
          <w:lang w:val="en-US" w:eastAsia="zh-CN"/>
          <w14:textFill>
            <w14:solidFill>
              <w14:schemeClr w14:val="tx1"/>
            </w14:solidFill>
          </w14:textFill>
        </w:rPr>
      </w:pPr>
      <w:bookmarkStart w:id="59" w:name="_Toc23570"/>
      <w:r>
        <w:rPr>
          <w:rFonts w:hint="eastAsia" w:ascii="宋体" w:hAnsi="宋体" w:eastAsia="宋体" w:cs="宋体"/>
          <w:color w:val="000000" w:themeColor="text1"/>
          <w:sz w:val="24"/>
          <w:szCs w:val="24"/>
          <w:lang w:val="en-US" w:eastAsia="zh-CN"/>
          <w14:textFill>
            <w14:solidFill>
              <w14:schemeClr w14:val="tx1"/>
            </w14:solidFill>
          </w14:textFill>
        </w:rPr>
        <w:br w:type="page"/>
      </w:r>
    </w:p>
    <w:p>
      <w:pPr>
        <w:pStyle w:val="2"/>
        <w:pageBreakBefore w:val="0"/>
        <w:kinsoku/>
        <w:wordWrap/>
        <w:overflowPunct/>
        <w:topLinePunct w:val="0"/>
        <w:autoSpaceDE/>
        <w:autoSpaceDN/>
        <w:bidi w:val="0"/>
        <w:spacing w:line="360" w:lineRule="auto"/>
        <w:ind w:firstLine="482" w:firstLineChars="200"/>
        <w:jc w:val="center"/>
        <w:textAlignment w:val="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附件20：</w:t>
      </w:r>
      <w:r>
        <w:rPr>
          <w:rFonts w:hint="eastAsia" w:ascii="宋体" w:hAnsi="宋体" w:eastAsia="宋体" w:cs="宋体"/>
          <w:color w:val="000000" w:themeColor="text1"/>
          <w:sz w:val="24"/>
          <w:szCs w:val="24"/>
          <w:lang w:val="en-US"/>
          <w14:textFill>
            <w14:solidFill>
              <w14:schemeClr w14:val="tx1"/>
            </w14:solidFill>
          </w14:textFill>
        </w:rPr>
        <w:t>熏蒸床</w:t>
      </w:r>
      <w:bookmarkEnd w:id="59"/>
    </w:p>
    <w:p>
      <w:pPr>
        <w:pageBreakBefore w:val="0"/>
        <w:kinsoku/>
        <w:wordWrap/>
        <w:overflowPunct/>
        <w:topLinePunct w:val="0"/>
        <w:autoSpaceDE/>
        <w:autoSpaceDN/>
        <w:bidi w:val="0"/>
        <w:spacing w:line="360" w:lineRule="auto"/>
        <w:ind w:left="-480" w:leftChars="-200" w:firstLine="480" w:firstLineChars="200"/>
        <w:textAlignment w:val="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1、电源：AV220V±22V  50Hz±1Hz</w:t>
      </w:r>
      <w:r>
        <w:rPr>
          <w:rFonts w:hint="eastAsia" w:ascii="宋体" w:hAnsi="宋体" w:eastAsia="宋体" w:cs="宋体"/>
          <w:color w:val="000000" w:themeColor="text1"/>
          <w:sz w:val="24"/>
          <w:szCs w:val="24"/>
          <w:lang w:val="en-US" w:eastAsia="zh-CN"/>
          <w14:textFill>
            <w14:solidFill>
              <w14:schemeClr w14:val="tx1"/>
            </w14:solidFill>
          </w14:textFill>
        </w:rPr>
        <w:t>；</w:t>
      </w:r>
    </w:p>
    <w:p>
      <w:pPr>
        <w:pageBreakBefore w:val="0"/>
        <w:kinsoku/>
        <w:wordWrap/>
        <w:overflowPunct/>
        <w:topLinePunct w:val="0"/>
        <w:autoSpaceDE/>
        <w:autoSpaceDN/>
        <w:bidi w:val="0"/>
        <w:spacing w:line="360" w:lineRule="auto"/>
        <w:ind w:left="-480" w:leftChars="-200" w:firstLine="480" w:firstLineChars="200"/>
        <w:textAlignment w:val="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2、额定输入功率：3000W</w:t>
      </w:r>
      <w:r>
        <w:rPr>
          <w:rFonts w:hint="eastAsia" w:ascii="宋体" w:hAnsi="宋体" w:eastAsia="宋体" w:cs="宋体"/>
          <w:color w:val="000000" w:themeColor="text1"/>
          <w:sz w:val="24"/>
          <w:szCs w:val="24"/>
          <w:lang w:val="en-US" w:eastAsia="zh-CN"/>
          <w14:textFill>
            <w14:solidFill>
              <w14:schemeClr w14:val="tx1"/>
            </w14:solidFill>
          </w14:textFill>
        </w:rPr>
        <w:t>；</w:t>
      </w:r>
    </w:p>
    <w:p>
      <w:pPr>
        <w:pageBreakBefore w:val="0"/>
        <w:kinsoku/>
        <w:wordWrap/>
        <w:overflowPunct/>
        <w:topLinePunct w:val="0"/>
        <w:autoSpaceDE/>
        <w:autoSpaceDN/>
        <w:bidi w:val="0"/>
        <w:spacing w:line="360" w:lineRule="auto"/>
        <w:ind w:left="-480" w:leftChars="-200" w:firstLine="480" w:firstLineChars="200"/>
        <w:textAlignment w:val="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3、熏蒸温度：0～99℃可调（60～99℃为煎药温度）；</w:t>
      </w:r>
    </w:p>
    <w:p>
      <w:pPr>
        <w:pageBreakBefore w:val="0"/>
        <w:kinsoku/>
        <w:wordWrap/>
        <w:overflowPunct/>
        <w:topLinePunct w:val="0"/>
        <w:autoSpaceDE/>
        <w:autoSpaceDN/>
        <w:bidi w:val="0"/>
        <w:spacing w:line="360" w:lineRule="auto"/>
        <w:ind w:left="-480" w:leftChars="-200" w:firstLine="480" w:firstLineChars="200"/>
        <w:textAlignment w:val="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4、时间：0～60min可调；</w:t>
      </w:r>
    </w:p>
    <w:p>
      <w:pPr>
        <w:pageBreakBefore w:val="0"/>
        <w:kinsoku/>
        <w:wordWrap/>
        <w:overflowPunct/>
        <w:topLinePunct w:val="0"/>
        <w:autoSpaceDE/>
        <w:autoSpaceDN/>
        <w:bidi w:val="0"/>
        <w:spacing w:line="360" w:lineRule="auto"/>
        <w:ind w:left="-480" w:leftChars="-200" w:firstLine="480" w:firstLineChars="200"/>
        <w:textAlignment w:val="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5、负载：&gt;150kg</w:t>
      </w:r>
      <w:r>
        <w:rPr>
          <w:rFonts w:hint="eastAsia" w:ascii="宋体" w:hAnsi="宋体" w:eastAsia="宋体" w:cs="宋体"/>
          <w:color w:val="000000" w:themeColor="text1"/>
          <w:sz w:val="24"/>
          <w:szCs w:val="24"/>
          <w:lang w:val="en-US" w:eastAsia="zh-CN"/>
          <w14:textFill>
            <w14:solidFill>
              <w14:schemeClr w14:val="tx1"/>
            </w14:solidFill>
          </w14:textFill>
        </w:rPr>
        <w:t>；</w:t>
      </w:r>
    </w:p>
    <w:p>
      <w:pPr>
        <w:pageBreakBefore w:val="0"/>
        <w:kinsoku/>
        <w:wordWrap/>
        <w:overflowPunct/>
        <w:topLinePunct w:val="0"/>
        <w:autoSpaceDE/>
        <w:autoSpaceDN/>
        <w:bidi w:val="0"/>
        <w:spacing w:line="360" w:lineRule="auto"/>
        <w:ind w:left="-480" w:leftChars="-200" w:firstLine="480" w:firstLineChars="200"/>
        <w:textAlignment w:val="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6、单区最大加液量：4.5L</w:t>
      </w:r>
      <w:r>
        <w:rPr>
          <w:rFonts w:hint="eastAsia" w:ascii="宋体" w:hAnsi="宋体" w:eastAsia="宋体" w:cs="宋体"/>
          <w:color w:val="000000" w:themeColor="text1"/>
          <w:sz w:val="24"/>
          <w:szCs w:val="24"/>
          <w:lang w:val="en-US" w:eastAsia="zh-CN"/>
          <w14:textFill>
            <w14:solidFill>
              <w14:schemeClr w14:val="tx1"/>
            </w14:solidFill>
          </w14:textFill>
        </w:rPr>
        <w:t>；</w:t>
      </w:r>
    </w:p>
    <w:p>
      <w:pPr>
        <w:pageBreakBefore w:val="0"/>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color w:val="000000" w:themeColor="text1"/>
          <w:sz w:val="24"/>
          <w:szCs w:val="24"/>
          <w:lang w:val="en-US" w:eastAsia="zh-CN"/>
          <w14:textFill>
            <w14:solidFill>
              <w14:schemeClr w14:val="tx1"/>
            </w14:solidFill>
          </w14:textFill>
        </w:rPr>
      </w:pPr>
    </w:p>
    <w:p>
      <w:pPr>
        <w:rPr>
          <w:rFonts w:hint="eastAsia" w:ascii="宋体" w:hAnsi="宋体" w:eastAsia="宋体" w:cs="宋体"/>
          <w:color w:val="000000" w:themeColor="text1"/>
          <w:sz w:val="24"/>
          <w:szCs w:val="24"/>
          <w:lang w:val="en-US" w:eastAsia="zh-CN"/>
          <w14:textFill>
            <w14:solidFill>
              <w14:schemeClr w14:val="tx1"/>
            </w14:solidFill>
          </w14:textFill>
        </w:rPr>
      </w:pPr>
      <w:bookmarkStart w:id="60" w:name="_Toc31902"/>
      <w:r>
        <w:rPr>
          <w:rFonts w:hint="eastAsia" w:ascii="宋体" w:hAnsi="宋体" w:eastAsia="宋体" w:cs="宋体"/>
          <w:color w:val="000000" w:themeColor="text1"/>
          <w:sz w:val="24"/>
          <w:szCs w:val="24"/>
          <w:lang w:val="en-US" w:eastAsia="zh-CN"/>
          <w14:textFill>
            <w14:solidFill>
              <w14:schemeClr w14:val="tx1"/>
            </w14:solidFill>
          </w14:textFill>
        </w:rPr>
        <w:br w:type="page"/>
      </w:r>
    </w:p>
    <w:p>
      <w:pPr>
        <w:pStyle w:val="2"/>
        <w:pageBreakBefore w:val="0"/>
        <w:kinsoku/>
        <w:wordWrap/>
        <w:overflowPunct/>
        <w:topLinePunct w:val="0"/>
        <w:autoSpaceDE/>
        <w:autoSpaceDN/>
        <w:bidi w:val="0"/>
        <w:spacing w:line="360" w:lineRule="auto"/>
        <w:ind w:firstLine="482" w:firstLineChars="200"/>
        <w:jc w:val="center"/>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附件21：</w:t>
      </w:r>
      <w:r>
        <w:rPr>
          <w:rFonts w:hint="eastAsia" w:ascii="宋体" w:hAnsi="宋体" w:eastAsia="宋体" w:cs="宋体"/>
          <w:color w:val="000000" w:themeColor="text1"/>
          <w:sz w:val="24"/>
          <w:szCs w:val="24"/>
          <w:lang w:val="en-US"/>
          <w14:textFill>
            <w14:solidFill>
              <w14:schemeClr w14:val="tx1"/>
            </w14:solidFill>
          </w14:textFill>
        </w:rPr>
        <w:t>熏蒸床</w:t>
      </w:r>
      <w:bookmarkEnd w:id="60"/>
    </w:p>
    <w:p>
      <w:pPr>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1、电源电压：AV220V±22V  50Hz±1Hz；</w:t>
      </w:r>
    </w:p>
    <w:p>
      <w:pPr>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2、额定输入功率：2400W；</w:t>
      </w:r>
    </w:p>
    <w:p>
      <w:pPr>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3、舱温：0~99℃可调（60~99℃为煎药温度）；</w:t>
      </w:r>
    </w:p>
    <w:p>
      <w:pPr>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4、时间：0-99min可调；</w:t>
      </w:r>
    </w:p>
    <w:p>
      <w:pPr>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5、最大加液量：15L；</w:t>
      </w:r>
    </w:p>
    <w:p>
      <w:pPr>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6、全电脑控制、自动恒温、自动定时、自动报警；</w:t>
      </w:r>
    </w:p>
    <w:p>
      <w:pPr>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7、整机采用不锈钢制作，永久防腐；</w:t>
      </w:r>
    </w:p>
    <w:p>
      <w:pPr>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8、具备自动控制送中药蒸汽功能，可增加疗效；</w:t>
      </w:r>
    </w:p>
    <w:p>
      <w:pPr>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9、自动防止干烧；</w:t>
      </w:r>
    </w:p>
    <w:p>
      <w:pPr>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10、自动漏电保护；</w:t>
      </w:r>
    </w:p>
    <w:p>
      <w:pPr>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11、采用数码屏显示视窗；</w:t>
      </w:r>
    </w:p>
    <w:p>
      <w:pPr>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12、既可局部熏蒸，也可全身熏蒸。</w:t>
      </w:r>
    </w:p>
    <w:p>
      <w:pPr>
        <w:rPr>
          <w:rFonts w:hint="eastAsia" w:ascii="宋体" w:hAnsi="宋体" w:eastAsia="宋体" w:cs="宋体"/>
          <w:color w:val="000000" w:themeColor="text1"/>
          <w:sz w:val="24"/>
          <w:szCs w:val="24"/>
          <w:lang w:val="en-US" w:eastAsia="zh-CN"/>
          <w14:textFill>
            <w14:solidFill>
              <w14:schemeClr w14:val="tx1"/>
            </w14:solidFill>
          </w14:textFill>
        </w:rPr>
      </w:pPr>
      <w:bookmarkStart w:id="61" w:name="_Toc22002"/>
      <w:r>
        <w:rPr>
          <w:rFonts w:hint="eastAsia" w:ascii="宋体" w:hAnsi="宋体" w:eastAsia="宋体" w:cs="宋体"/>
          <w:color w:val="000000" w:themeColor="text1"/>
          <w:sz w:val="24"/>
          <w:szCs w:val="24"/>
          <w:lang w:val="en-US" w:eastAsia="zh-CN"/>
          <w14:textFill>
            <w14:solidFill>
              <w14:schemeClr w14:val="tx1"/>
            </w14:solidFill>
          </w14:textFill>
        </w:rPr>
        <w:br w:type="page"/>
      </w:r>
    </w:p>
    <w:p>
      <w:pPr>
        <w:pStyle w:val="2"/>
        <w:pageBreakBefore w:val="0"/>
        <w:kinsoku/>
        <w:wordWrap/>
        <w:overflowPunct/>
        <w:topLinePunct w:val="0"/>
        <w:autoSpaceDE/>
        <w:autoSpaceDN/>
        <w:bidi w:val="0"/>
        <w:spacing w:line="360" w:lineRule="auto"/>
        <w:ind w:firstLine="482" w:firstLineChars="20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附件22：</w:t>
      </w:r>
      <w:r>
        <w:rPr>
          <w:rFonts w:hint="eastAsia" w:ascii="宋体" w:hAnsi="宋体" w:eastAsia="宋体" w:cs="宋体"/>
          <w:color w:val="000000" w:themeColor="text1"/>
          <w:sz w:val="24"/>
          <w:szCs w:val="24"/>
          <w14:textFill>
            <w14:solidFill>
              <w14:schemeClr w14:val="tx1"/>
            </w14:solidFill>
          </w14:textFill>
        </w:rPr>
        <w:t>无烟艾灸床</w:t>
      </w:r>
      <w:bookmarkEnd w:id="61"/>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lang w:val="en-US" w:eastAsia="zh-CN"/>
          <w14:textFill>
            <w14:solidFill>
              <w14:schemeClr w14:val="tx1"/>
            </w14:solidFill>
          </w14:textFill>
        </w:rPr>
        <w:t>1、</w:t>
      </w:r>
      <w:r>
        <w:rPr>
          <w:rFonts w:hint="eastAsia" w:ascii="宋体" w:hAnsi="宋体" w:eastAsia="宋体" w:cs="宋体"/>
          <w:b w:val="0"/>
          <w:color w:val="000000" w:themeColor="text1"/>
          <w:sz w:val="24"/>
          <w:szCs w:val="24"/>
          <w14:textFill>
            <w14:solidFill>
              <w14:schemeClr w14:val="tx1"/>
            </w14:solidFill>
          </w14:textFill>
        </w:rPr>
        <w:t>机身体积</w:t>
      </w:r>
      <w:r>
        <w:rPr>
          <w:rFonts w:hint="eastAsia" w:ascii="宋体" w:hAnsi="宋体" w:eastAsia="宋体" w:cs="宋体"/>
          <w:b w:val="0"/>
          <w:color w:val="000000" w:themeColor="text1"/>
          <w:sz w:val="24"/>
          <w:szCs w:val="24"/>
          <w:lang w:val="en-US" w:eastAsia="zh-CN"/>
          <w14:textFill>
            <w14:solidFill>
              <w14:schemeClr w14:val="tx1"/>
            </w14:solidFill>
          </w14:textFill>
        </w:rPr>
        <w:t>约</w:t>
      </w:r>
      <w:r>
        <w:rPr>
          <w:rFonts w:hint="eastAsia" w:ascii="宋体" w:hAnsi="宋体" w:eastAsia="宋体" w:cs="宋体"/>
          <w:b w:val="0"/>
          <w:color w:val="000000" w:themeColor="text1"/>
          <w:sz w:val="24"/>
          <w:szCs w:val="24"/>
          <w14:textFill>
            <w14:solidFill>
              <w14:schemeClr w14:val="tx1"/>
            </w14:solidFill>
          </w14:textFill>
        </w:rPr>
        <w:t>：200×72×62cm</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lang w:val="en-US" w:eastAsia="zh-CN"/>
          <w14:textFill>
            <w14:solidFill>
              <w14:schemeClr w14:val="tx1"/>
            </w14:solidFill>
          </w14:textFill>
        </w:rPr>
        <w:t>2、</w:t>
      </w:r>
      <w:r>
        <w:rPr>
          <w:rFonts w:hint="eastAsia" w:ascii="宋体" w:hAnsi="宋体" w:eastAsia="宋体" w:cs="宋体"/>
          <w:b w:val="0"/>
          <w:color w:val="000000" w:themeColor="text1"/>
          <w:sz w:val="24"/>
          <w:szCs w:val="24"/>
          <w14:textFill>
            <w14:solidFill>
              <w14:schemeClr w14:val="tx1"/>
            </w14:solidFill>
          </w14:textFill>
        </w:rPr>
        <w:t>电源输入：AC220V(50HZ)</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lang w:val="en-US" w:eastAsia="zh-CN"/>
          <w14:textFill>
            <w14:solidFill>
              <w14:schemeClr w14:val="tx1"/>
            </w14:solidFill>
          </w14:textFill>
        </w:rPr>
        <w:t>3、</w:t>
      </w:r>
      <w:r>
        <w:rPr>
          <w:rFonts w:hint="eastAsia" w:ascii="宋体" w:hAnsi="宋体" w:eastAsia="宋体" w:cs="宋体"/>
          <w:b w:val="0"/>
          <w:color w:val="000000" w:themeColor="text1"/>
          <w:sz w:val="24"/>
          <w:szCs w:val="24"/>
          <w14:textFill>
            <w14:solidFill>
              <w14:schemeClr w14:val="tx1"/>
            </w14:solidFill>
          </w14:textFill>
        </w:rPr>
        <w:t>净烟功率：1500W</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lang w:val="en-US" w:eastAsia="zh-CN"/>
          <w14:textFill>
            <w14:solidFill>
              <w14:schemeClr w14:val="tx1"/>
            </w14:solidFill>
          </w14:textFill>
        </w:rPr>
        <w:t>4、</w:t>
      </w:r>
      <w:r>
        <w:rPr>
          <w:rFonts w:hint="eastAsia" w:ascii="宋体" w:hAnsi="宋体" w:eastAsia="宋体" w:cs="宋体"/>
          <w:b w:val="0"/>
          <w:color w:val="000000" w:themeColor="text1"/>
          <w:sz w:val="24"/>
          <w:szCs w:val="24"/>
          <w14:textFill>
            <w14:solidFill>
              <w14:schemeClr w14:val="tx1"/>
            </w14:solidFill>
          </w14:textFill>
        </w:rPr>
        <w:t>点火功率：1200W</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lang w:val="en-US" w:eastAsia="zh-CN"/>
          <w14:textFill>
            <w14:solidFill>
              <w14:schemeClr w14:val="tx1"/>
            </w14:solidFill>
          </w14:textFill>
        </w:rPr>
        <w:t>5、</w:t>
      </w:r>
      <w:r>
        <w:rPr>
          <w:rFonts w:hint="eastAsia" w:ascii="宋体" w:hAnsi="宋体" w:eastAsia="宋体" w:cs="宋体"/>
          <w:b w:val="0"/>
          <w:color w:val="000000" w:themeColor="text1"/>
          <w:sz w:val="24"/>
          <w:szCs w:val="24"/>
          <w14:textFill>
            <w14:solidFill>
              <w14:schemeClr w14:val="tx1"/>
            </w14:solidFill>
          </w14:textFill>
        </w:rPr>
        <w:t>● 液晶触摸屏控制</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lang w:val="en-US" w:eastAsia="zh-CN"/>
          <w14:textFill>
            <w14:solidFill>
              <w14:schemeClr w14:val="tx1"/>
            </w14:solidFill>
          </w14:textFill>
        </w:rPr>
        <w:t>6、</w:t>
      </w:r>
      <w:r>
        <w:rPr>
          <w:rFonts w:hint="eastAsia" w:ascii="宋体" w:hAnsi="宋体" w:eastAsia="宋体" w:cs="宋体"/>
          <w:b w:val="0"/>
          <w:color w:val="000000" w:themeColor="text1"/>
          <w:sz w:val="24"/>
          <w:szCs w:val="24"/>
          <w14:textFill>
            <w14:solidFill>
              <w14:schemeClr w14:val="tx1"/>
            </w14:solidFill>
          </w14:textFill>
        </w:rPr>
        <w:t>● 自动摇摆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lang w:val="en-US" w:eastAsia="zh-CN"/>
          <w14:textFill>
            <w14:solidFill>
              <w14:schemeClr w14:val="tx1"/>
            </w14:solidFill>
          </w14:textFill>
        </w:rPr>
        <w:t>7、</w:t>
      </w:r>
      <w:r>
        <w:rPr>
          <w:rFonts w:hint="eastAsia" w:ascii="宋体" w:hAnsi="宋体" w:eastAsia="宋体" w:cs="宋体"/>
          <w:b w:val="0"/>
          <w:color w:val="000000" w:themeColor="text1"/>
          <w:sz w:val="24"/>
          <w:szCs w:val="24"/>
          <w14:textFill>
            <w14:solidFill>
              <w14:schemeClr w14:val="tx1"/>
            </w14:solidFill>
          </w14:textFill>
        </w:rPr>
        <w:t>● 自动点火</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lang w:val="en-US" w:eastAsia="zh-CN"/>
          <w14:textFill>
            <w14:solidFill>
              <w14:schemeClr w14:val="tx1"/>
            </w14:solidFill>
          </w14:textFill>
        </w:rPr>
        <w:t>8、</w:t>
      </w:r>
      <w:r>
        <w:rPr>
          <w:rFonts w:hint="eastAsia" w:ascii="宋体" w:hAnsi="宋体" w:eastAsia="宋体" w:cs="宋体"/>
          <w:b w:val="0"/>
          <w:color w:val="000000" w:themeColor="text1"/>
          <w:sz w:val="24"/>
          <w:szCs w:val="24"/>
          <w14:textFill>
            <w14:solidFill>
              <w14:schemeClr w14:val="tx1"/>
            </w14:solidFill>
          </w14:textFill>
        </w:rPr>
        <w:t>● 升降遥控</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lang w:val="en-US" w:eastAsia="zh-CN"/>
          <w14:textFill>
            <w14:solidFill>
              <w14:schemeClr w14:val="tx1"/>
            </w14:solidFill>
          </w14:textFill>
        </w:rPr>
        <w:t>9、</w:t>
      </w:r>
      <w:r>
        <w:rPr>
          <w:rFonts w:hint="eastAsia" w:ascii="宋体" w:hAnsi="宋体" w:eastAsia="宋体" w:cs="宋体"/>
          <w:b w:val="0"/>
          <w:color w:val="000000" w:themeColor="text1"/>
          <w:sz w:val="24"/>
          <w:szCs w:val="24"/>
          <w14:textFill>
            <w14:solidFill>
              <w14:schemeClr w14:val="tx1"/>
            </w14:solidFill>
          </w14:textFill>
        </w:rPr>
        <w:t>● 自动雀啄灸、回旋灸</w:t>
      </w:r>
    </w:p>
    <w:p>
      <w:pPr>
        <w:pageBreakBefore w:val="0"/>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color w:val="000000" w:themeColor="text1"/>
          <w:sz w:val="24"/>
          <w:szCs w:val="24"/>
          <w:lang w:val="en-US" w:eastAsia="zh-CN"/>
          <w14:textFill>
            <w14:solidFill>
              <w14:schemeClr w14:val="tx1"/>
            </w14:solidFill>
          </w14:textFill>
        </w:rPr>
      </w:pPr>
    </w:p>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br w:type="page"/>
      </w:r>
    </w:p>
    <w:p>
      <w:pPr>
        <w:pStyle w:val="2"/>
        <w:pageBreakBefore w:val="0"/>
        <w:kinsoku/>
        <w:wordWrap/>
        <w:overflowPunct/>
        <w:topLinePunct w:val="0"/>
        <w:autoSpaceDE/>
        <w:autoSpaceDN/>
        <w:bidi w:val="0"/>
        <w:spacing w:line="360" w:lineRule="auto"/>
        <w:ind w:firstLine="482" w:firstLineChars="20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附件23：沙疗床</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1.规格尺寸：≤2.2m*1.2m*0.6m</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2.使用物质：矿物沙</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3.质保期</w:t>
      </w:r>
      <w:r>
        <w:rPr>
          <w:rFonts w:hint="eastAsia" w:ascii="宋体" w:hAnsi="宋体" w:eastAsia="宋体" w:cs="宋体"/>
          <w:color w:val="000000" w:themeColor="text1"/>
          <w:sz w:val="24"/>
          <w:szCs w:val="24"/>
          <w:lang w:val="en-US" w:eastAsia="zh-CN"/>
          <w14:textFill>
            <w14:solidFill>
              <w14:schemeClr w14:val="tx1"/>
            </w14:solidFill>
          </w14:textFill>
        </w:rPr>
        <w:tab/>
      </w:r>
      <w:r>
        <w:rPr>
          <w:rFonts w:hint="eastAsia" w:ascii="宋体" w:hAnsi="宋体" w:eastAsia="宋体" w:cs="宋体"/>
          <w:color w:val="000000" w:themeColor="text1"/>
          <w:sz w:val="24"/>
          <w:szCs w:val="24"/>
          <w:lang w:val="en-US" w:eastAsia="zh-CN"/>
          <w14:textFill>
            <w14:solidFill>
              <w14:schemeClr w14:val="tx1"/>
            </w14:solidFill>
          </w14:textFill>
        </w:rPr>
        <w:t>：整体质保1年</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4.电源：交流220v/50HZ</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5.功率：1800W 双温双控</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6.沙疗床温度调节范围</w:t>
      </w:r>
      <w:r>
        <w:rPr>
          <w:rFonts w:hint="eastAsia" w:ascii="宋体" w:hAnsi="宋体" w:eastAsia="宋体" w:cs="宋体"/>
          <w:color w:val="000000" w:themeColor="text1"/>
          <w:sz w:val="24"/>
          <w:szCs w:val="24"/>
          <w:lang w:val="en-US" w:eastAsia="zh-CN"/>
          <w14:textFill>
            <w14:solidFill>
              <w14:schemeClr w14:val="tx1"/>
            </w14:solidFill>
          </w14:textFill>
        </w:rPr>
        <w:tab/>
      </w:r>
      <w:r>
        <w:rPr>
          <w:rFonts w:hint="eastAsia" w:ascii="宋体" w:hAnsi="宋体" w:eastAsia="宋体" w:cs="宋体"/>
          <w:color w:val="000000" w:themeColor="text1"/>
          <w:sz w:val="24"/>
          <w:szCs w:val="24"/>
          <w:lang w:val="en-US" w:eastAsia="zh-CN"/>
          <w14:textFill>
            <w14:solidFill>
              <w14:schemeClr w14:val="tx1"/>
            </w14:solidFill>
          </w14:textFill>
        </w:rPr>
        <w:t>：30℃～65℃，允差±1℃</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7.温度保护：当加热系统温度超过工作温度设定值时，第一路保护装置动作，切断输出，当温度降低到设定值以下后可以恢复输出，床体整体温度到达设定值后进入恒温状态。</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功能：沙子中含有钙、镁、钾、钠、硒、锌、锶等微量元素及丰富的磁铁矿物质。磁铁矿物质经过发热，产生磁场作用于人体，与微量元素协同作用，成为集磁疗、热疗、光疗和按摩于一体的综合疗法，因此能治疗疲劳、肢体酸困、慢性腰腿痛、坐骨神经痛、脉管炎、慢性消化道疾病、肩周炎、软组织损伤、高血压等，尤其是沙子中的微量元素对治疗风湿性疾病起到了关键的作用。</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9.重量：约1.1吨（含矿物沙）</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10.配套产品：石墨烯远红外频谱加热板；智能温度调节器；能量矿物沙 1 吨(包含黄土球25公斤、电气石球25公斤、负离子球25公斤）；沙浴服；沙疗瓢等</w:t>
      </w:r>
    </w:p>
    <w:p>
      <w:pPr>
        <w:pStyle w:val="2"/>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bookmarkStart w:id="62" w:name="_Toc14602"/>
    </w:p>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br w:type="page"/>
      </w:r>
    </w:p>
    <w:p>
      <w:pPr>
        <w:pStyle w:val="2"/>
        <w:pageBreakBefore w:val="0"/>
        <w:kinsoku/>
        <w:wordWrap/>
        <w:overflowPunct/>
        <w:topLinePunct w:val="0"/>
        <w:autoSpaceDE/>
        <w:autoSpaceDN/>
        <w:bidi w:val="0"/>
        <w:spacing w:line="360" w:lineRule="auto"/>
        <w:ind w:firstLine="482" w:firstLineChars="20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附件24：盐疗床</w:t>
      </w:r>
      <w:bookmarkEnd w:id="62"/>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1.规格尺寸：≤2.2m*1.2m*0.6m</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2.使用物质：矿物盐</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3.质保期：</w:t>
      </w:r>
      <w:r>
        <w:rPr>
          <w:rFonts w:hint="eastAsia" w:ascii="宋体" w:hAnsi="宋体" w:eastAsia="宋体" w:cs="宋体"/>
          <w:color w:val="000000" w:themeColor="text1"/>
          <w:sz w:val="24"/>
          <w:szCs w:val="24"/>
          <w:lang w:val="en-US" w:eastAsia="zh-CN"/>
          <w14:textFill>
            <w14:solidFill>
              <w14:schemeClr w14:val="tx1"/>
            </w14:solidFill>
          </w14:textFill>
        </w:rPr>
        <w:tab/>
      </w:r>
      <w:r>
        <w:rPr>
          <w:rFonts w:hint="eastAsia" w:ascii="宋体" w:hAnsi="宋体" w:eastAsia="宋体" w:cs="宋体"/>
          <w:color w:val="000000" w:themeColor="text1"/>
          <w:sz w:val="24"/>
          <w:szCs w:val="24"/>
          <w:lang w:val="en-US" w:eastAsia="zh-CN"/>
          <w14:textFill>
            <w14:solidFill>
              <w14:schemeClr w14:val="tx1"/>
            </w14:solidFill>
          </w14:textFill>
        </w:rPr>
        <w:t>整体质保1年</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4.电源：交流220v/50HZ</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5.功率：1800W 双温双控</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6.盐疗床温度调节范围</w:t>
      </w:r>
      <w:r>
        <w:rPr>
          <w:rFonts w:hint="eastAsia" w:ascii="宋体" w:hAnsi="宋体" w:eastAsia="宋体" w:cs="宋体"/>
          <w:color w:val="000000" w:themeColor="text1"/>
          <w:sz w:val="24"/>
          <w:szCs w:val="24"/>
          <w:lang w:val="en-US" w:eastAsia="zh-CN"/>
          <w14:textFill>
            <w14:solidFill>
              <w14:schemeClr w14:val="tx1"/>
            </w14:solidFill>
          </w14:textFill>
        </w:rPr>
        <w:tab/>
      </w:r>
      <w:r>
        <w:rPr>
          <w:rFonts w:hint="eastAsia" w:ascii="宋体" w:hAnsi="宋体" w:eastAsia="宋体" w:cs="宋体"/>
          <w:color w:val="000000" w:themeColor="text1"/>
          <w:sz w:val="24"/>
          <w:szCs w:val="24"/>
          <w:lang w:val="en-US" w:eastAsia="zh-CN"/>
          <w14:textFill>
            <w14:solidFill>
              <w14:schemeClr w14:val="tx1"/>
            </w14:solidFill>
          </w14:textFill>
        </w:rPr>
        <w:t>：30℃～65℃，允差±1℃</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7.温度保护：当加热系统温度超过工作温度设定值时，第一路保护装置动作，切断输出，当温度降低到设定值以下后可以恢复输出，床体整体温度到达设定值后进入恒温状态。</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功效：经加热的矿物盐对人体有极大的益处，可以有效改善室内空气质量，带给我们洁净的空气和将康的呼吸，能有效改善哮喘等呼吸系统疾病，改善情绪波动、抑郁情绪、慢性疲劳，缓解精神紧张状况等。通过埋盐、盐袋热敷来软化皮肤角质层，深层清洁肌肤，祛除多余油脂和老化的角质层，促进皮肤新陈代谢。盐疗还可以对皮肤起到消炎、杀菌、快速治愈小伤口的作用，令肌肤柔滑细嫩。对于风湿性关节炎病患者，可使其血液中硒、锌的浓度有所降低，减少疼痛，缓解病情。</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9.重量：约1.1吨（含矿物盐）</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10.配套产品：石墨烯远红外频谱加热板；智能温度调节器；能量矿物盐 1 吨；盐疗服；盐疗瓢等</w:t>
      </w:r>
    </w:p>
    <w:p>
      <w:pPr>
        <w:pStyle w:val="2"/>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bookmarkStart w:id="63" w:name="_Toc11350"/>
    </w:p>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br w:type="page"/>
      </w:r>
    </w:p>
    <w:p>
      <w:pPr>
        <w:pStyle w:val="2"/>
        <w:pageBreakBefore w:val="0"/>
        <w:kinsoku/>
        <w:wordWrap/>
        <w:overflowPunct/>
        <w:topLinePunct w:val="0"/>
        <w:autoSpaceDE/>
        <w:autoSpaceDN/>
        <w:bidi w:val="0"/>
        <w:spacing w:line="360" w:lineRule="auto"/>
        <w:ind w:firstLine="482" w:firstLineChars="20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附件25：玉石疗床</w:t>
      </w:r>
      <w:bookmarkEnd w:id="63"/>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1.规格尺寸：≤2.2m*1.2m*0.6m</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2.使用物质：玉石粒</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3.质保期：</w:t>
      </w:r>
      <w:r>
        <w:rPr>
          <w:rFonts w:hint="eastAsia" w:ascii="宋体" w:hAnsi="宋体" w:eastAsia="宋体" w:cs="宋体"/>
          <w:color w:val="000000" w:themeColor="text1"/>
          <w:sz w:val="24"/>
          <w:szCs w:val="24"/>
          <w:lang w:val="en-US" w:eastAsia="zh-CN"/>
          <w14:textFill>
            <w14:solidFill>
              <w14:schemeClr w14:val="tx1"/>
            </w14:solidFill>
          </w14:textFill>
        </w:rPr>
        <w:tab/>
      </w:r>
      <w:r>
        <w:rPr>
          <w:rFonts w:hint="eastAsia" w:ascii="宋体" w:hAnsi="宋体" w:eastAsia="宋体" w:cs="宋体"/>
          <w:color w:val="000000" w:themeColor="text1"/>
          <w:sz w:val="24"/>
          <w:szCs w:val="24"/>
          <w:lang w:val="en-US" w:eastAsia="zh-CN"/>
          <w14:textFill>
            <w14:solidFill>
              <w14:schemeClr w14:val="tx1"/>
            </w14:solidFill>
          </w14:textFill>
        </w:rPr>
        <w:t>整体质保1年</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4.电源：交流220v/50HZ</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5.功率：1800W 双温双控</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6.玉疗床温度调节范围</w:t>
      </w:r>
      <w:r>
        <w:rPr>
          <w:rFonts w:hint="eastAsia" w:ascii="宋体" w:hAnsi="宋体" w:eastAsia="宋体" w:cs="宋体"/>
          <w:color w:val="000000" w:themeColor="text1"/>
          <w:sz w:val="24"/>
          <w:szCs w:val="24"/>
          <w:lang w:val="en-US" w:eastAsia="zh-CN"/>
          <w14:textFill>
            <w14:solidFill>
              <w14:schemeClr w14:val="tx1"/>
            </w14:solidFill>
          </w14:textFill>
        </w:rPr>
        <w:tab/>
      </w:r>
      <w:r>
        <w:rPr>
          <w:rFonts w:hint="eastAsia" w:ascii="宋体" w:hAnsi="宋体" w:eastAsia="宋体" w:cs="宋体"/>
          <w:color w:val="000000" w:themeColor="text1"/>
          <w:sz w:val="24"/>
          <w:szCs w:val="24"/>
          <w:lang w:val="en-US" w:eastAsia="zh-CN"/>
          <w14:textFill>
            <w14:solidFill>
              <w14:schemeClr w14:val="tx1"/>
            </w14:solidFill>
          </w14:textFill>
        </w:rPr>
        <w:t>：30℃～65℃，允差±1℃</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7.温度保护：当加热系统温度超过工作温度设定值时，第一路保护装置动作，切断输出，当温度降低到设定值以下后可以恢复输出，床体整体温度到达设定值后进入恒温状态。</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8.功能：玉疗能给人体补充包括铁、钙、镁、钾、铝、锌、镓、硅等等数十种人体所需矿物质，加速新陈代谢并促进细胞活性，使免疫力得到提升。</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阳虚体质的改善；癌症的预防；缓解便秘；改善失眠；低血压、更年期障碍及精神紧张的消除与减缓。</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玉石富含微量元素以及丰富磁铁矿物质，具有超强养身功能。且能降噪降火，安神舒缓，调养补益身心，净化心灵，提高磁场，改善人际关系等。</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9.重量：约1.1吨（含玉石粒）</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10.配套产品：石墨烯远红外频谱加热板；智能温度调节器；玉石粒1吨；玉疗服；玉疗瓢等</w:t>
      </w:r>
    </w:p>
    <w:p>
      <w:pPr>
        <w:pageBreakBefore w:val="0"/>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color w:val="000000" w:themeColor="text1"/>
          <w:sz w:val="24"/>
          <w:szCs w:val="24"/>
          <w:lang w:val="en-US" w:eastAsia="zh-CN"/>
          <w14:textFill>
            <w14:solidFill>
              <w14:schemeClr w14:val="tx1"/>
            </w14:solidFill>
          </w14:textFill>
        </w:rPr>
      </w:pPr>
    </w:p>
    <w:p>
      <w:pPr>
        <w:pageBreakBefore w:val="0"/>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color w:val="000000" w:themeColor="text1"/>
          <w:sz w:val="24"/>
          <w:szCs w:val="24"/>
          <w:lang w:val="en-US" w:eastAsia="zh-CN"/>
          <w14:textFill>
            <w14:solidFill>
              <w14:schemeClr w14:val="tx1"/>
            </w14:solidFill>
          </w14:textFill>
        </w:rPr>
      </w:pPr>
    </w:p>
    <w:p>
      <w:pPr>
        <w:pageBreakBefore w:val="0"/>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color w:val="000000" w:themeColor="text1"/>
          <w:sz w:val="24"/>
          <w:szCs w:val="24"/>
          <w:lang w:val="en-US" w:eastAsia="zh-CN"/>
          <w14:textFill>
            <w14:solidFill>
              <w14:schemeClr w14:val="tx1"/>
            </w14:solidFill>
          </w14:textFill>
        </w:rPr>
      </w:pPr>
    </w:p>
    <w:p>
      <w:pPr>
        <w:rPr>
          <w:rFonts w:hint="eastAsia" w:ascii="宋体" w:hAnsi="宋体" w:eastAsia="宋体" w:cs="宋体"/>
          <w:color w:val="000000" w:themeColor="text1"/>
          <w:sz w:val="24"/>
          <w:szCs w:val="24"/>
          <w:lang w:val="en-US" w:eastAsia="zh-CN"/>
          <w14:textFill>
            <w14:solidFill>
              <w14:schemeClr w14:val="tx1"/>
            </w14:solidFill>
          </w14:textFill>
        </w:rPr>
      </w:pPr>
      <w:bookmarkStart w:id="64" w:name="_Toc27433"/>
      <w:r>
        <w:rPr>
          <w:rFonts w:hint="eastAsia" w:ascii="宋体" w:hAnsi="宋体" w:eastAsia="宋体" w:cs="宋体"/>
          <w:color w:val="000000" w:themeColor="text1"/>
          <w:sz w:val="24"/>
          <w:szCs w:val="24"/>
          <w:lang w:val="en-US" w:eastAsia="zh-CN"/>
          <w14:textFill>
            <w14:solidFill>
              <w14:schemeClr w14:val="tx1"/>
            </w14:solidFill>
          </w14:textFill>
        </w:rPr>
        <w:br w:type="page"/>
      </w:r>
    </w:p>
    <w:p>
      <w:pPr>
        <w:pStyle w:val="2"/>
        <w:pageBreakBefore w:val="0"/>
        <w:kinsoku/>
        <w:wordWrap/>
        <w:overflowPunct/>
        <w:topLinePunct w:val="0"/>
        <w:autoSpaceDE/>
        <w:autoSpaceDN/>
        <w:bidi w:val="0"/>
        <w:spacing w:line="360" w:lineRule="auto"/>
        <w:ind w:firstLine="482" w:firstLineChars="20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附件26：推拿床</w:t>
      </w:r>
      <w:bookmarkEnd w:id="64"/>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p>
    <w:p>
      <w:pPr>
        <w:pageBreakBefore w:val="0"/>
        <w:tabs>
          <w:tab w:val="left" w:pos="2840"/>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1、规格（mm）≤2000×600×650；</w:t>
      </w:r>
    </w:p>
    <w:p>
      <w:pPr>
        <w:pageBreakBefore w:val="0"/>
        <w:tabs>
          <w:tab w:val="left" w:pos="2840"/>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2、人性化设计的按摩治疗设备，人性化设计具有肩孔和扶手；</w:t>
      </w:r>
    </w:p>
    <w:p>
      <w:pPr>
        <w:pageBreakBefore w:val="0"/>
        <w:tabs>
          <w:tab w:val="left" w:pos="2840"/>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3、方便医生针对病患进行针灸、推拿康复使用；</w:t>
      </w:r>
    </w:p>
    <w:p>
      <w:pPr>
        <w:pageBreakBefore w:val="0"/>
        <w:tabs>
          <w:tab w:val="left" w:pos="2840"/>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4、配有患者呼吸孔。</w:t>
      </w:r>
    </w:p>
    <w:p>
      <w:pPr>
        <w:pStyle w:val="2"/>
        <w:pageBreakBefore w:val="0"/>
        <w:kinsoku/>
        <w:wordWrap/>
        <w:overflowPunct/>
        <w:topLinePunct w:val="0"/>
        <w:autoSpaceDE/>
        <w:autoSpaceDN/>
        <w:bidi w:val="0"/>
        <w:spacing w:line="360" w:lineRule="auto"/>
        <w:ind w:firstLine="482" w:firstLineChars="200"/>
        <w:jc w:val="center"/>
        <w:textAlignment w:val="auto"/>
        <w:rPr>
          <w:rFonts w:hint="eastAsia" w:ascii="宋体" w:hAnsi="宋体" w:eastAsia="宋体" w:cs="宋体"/>
          <w:color w:val="000000" w:themeColor="text1"/>
          <w:sz w:val="24"/>
          <w:szCs w:val="24"/>
          <w14:textFill>
            <w14:solidFill>
              <w14:schemeClr w14:val="tx1"/>
            </w14:solidFill>
          </w14:textFill>
        </w:rPr>
      </w:pPr>
      <w:bookmarkStart w:id="65" w:name="_Toc28862"/>
      <w:r>
        <w:rPr>
          <w:rFonts w:hint="eastAsia" w:ascii="宋体" w:hAnsi="宋体" w:eastAsia="宋体" w:cs="宋体"/>
          <w:color w:val="000000" w:themeColor="text1"/>
          <w:sz w:val="24"/>
          <w:szCs w:val="24"/>
          <w:lang w:val="en-US" w:eastAsia="zh-CN"/>
          <w14:textFill>
            <w14:solidFill>
              <w14:schemeClr w14:val="tx1"/>
            </w14:solidFill>
          </w14:textFill>
        </w:rPr>
        <w:t>附件27：</w:t>
      </w:r>
      <w:r>
        <w:rPr>
          <w:rFonts w:hint="eastAsia" w:ascii="宋体" w:hAnsi="宋体" w:eastAsia="宋体" w:cs="宋体"/>
          <w:color w:val="000000" w:themeColor="text1"/>
          <w:sz w:val="24"/>
          <w:szCs w:val="24"/>
          <w14:textFill>
            <w14:solidFill>
              <w14:schemeClr w14:val="tx1"/>
            </w14:solidFill>
          </w14:textFill>
        </w:rPr>
        <w:t>足浴桶</w:t>
      </w:r>
      <w:bookmarkEnd w:id="65"/>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桶身高度：50CM</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重量：7kg内</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材质：橡胶木</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足底学位，点对按摩，天然保温实木桶</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配带移动万向轮可刹车固定</w:t>
      </w:r>
    </w:p>
    <w:p>
      <w:pPr>
        <w:pStyle w:val="2"/>
        <w:pageBreakBefore w:val="0"/>
        <w:kinsoku/>
        <w:wordWrap/>
        <w:overflowPunct/>
        <w:topLinePunct w:val="0"/>
        <w:autoSpaceDE/>
        <w:autoSpaceDN/>
        <w:bidi w:val="0"/>
        <w:spacing w:line="360" w:lineRule="auto"/>
        <w:ind w:firstLine="482" w:firstLineChars="200"/>
        <w:jc w:val="center"/>
        <w:textAlignment w:val="auto"/>
        <w:rPr>
          <w:rFonts w:hint="eastAsia" w:ascii="宋体" w:hAnsi="宋体" w:eastAsia="宋体" w:cs="宋体"/>
          <w:color w:val="000000" w:themeColor="text1"/>
          <w:sz w:val="24"/>
          <w:szCs w:val="24"/>
          <w14:textFill>
            <w14:solidFill>
              <w14:schemeClr w14:val="tx1"/>
            </w14:solidFill>
          </w14:textFill>
        </w:rPr>
      </w:pPr>
      <w:bookmarkStart w:id="66" w:name="_Toc13631"/>
      <w:r>
        <w:rPr>
          <w:rFonts w:hint="eastAsia" w:ascii="宋体" w:hAnsi="宋体" w:eastAsia="宋体" w:cs="宋体"/>
          <w:color w:val="000000" w:themeColor="text1"/>
          <w:sz w:val="24"/>
          <w:szCs w:val="24"/>
          <w:lang w:val="en-US" w:eastAsia="zh-CN"/>
          <w14:textFill>
            <w14:solidFill>
              <w14:schemeClr w14:val="tx1"/>
            </w14:solidFill>
          </w14:textFill>
        </w:rPr>
        <w:t>附件28：</w:t>
      </w:r>
      <w:r>
        <w:rPr>
          <w:rFonts w:hint="eastAsia" w:ascii="宋体" w:hAnsi="宋体" w:eastAsia="宋体" w:cs="宋体"/>
          <w:color w:val="000000" w:themeColor="text1"/>
          <w:sz w:val="24"/>
          <w:szCs w:val="24"/>
          <w14:textFill>
            <w14:solidFill>
              <w14:schemeClr w14:val="tx1"/>
            </w14:solidFill>
          </w14:textFill>
        </w:rPr>
        <w:t>推拿软凳</w:t>
      </w:r>
      <w:bookmarkEnd w:id="66"/>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高度：50CM</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凳面内部高密度海绵，不易变形</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凳面外部加厚防水皮凳，耐腐蚀</w:t>
      </w:r>
    </w:p>
    <w:p>
      <w:pPr>
        <w:pStyle w:val="2"/>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bookmarkStart w:id="67" w:name="_Toc21934"/>
    </w:p>
    <w:p>
      <w:pPr>
        <w:pStyle w:val="2"/>
        <w:pageBreakBefore w:val="0"/>
        <w:kinsoku/>
        <w:wordWrap/>
        <w:overflowPunct/>
        <w:topLinePunct w:val="0"/>
        <w:autoSpaceDE/>
        <w:autoSpaceDN/>
        <w:bidi w:val="0"/>
        <w:spacing w:line="360" w:lineRule="auto"/>
        <w:ind w:firstLine="482" w:firstLineChars="20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附件29：</w:t>
      </w:r>
      <w:r>
        <w:rPr>
          <w:rFonts w:hint="eastAsia" w:ascii="宋体" w:hAnsi="宋体" w:eastAsia="宋体" w:cs="宋体"/>
          <w:color w:val="000000" w:themeColor="text1"/>
          <w:sz w:val="24"/>
          <w:szCs w:val="24"/>
          <w14:textFill>
            <w14:solidFill>
              <w14:schemeClr w14:val="tx1"/>
            </w14:solidFill>
          </w14:textFill>
        </w:rPr>
        <w:t>消毒柜</w:t>
      </w:r>
      <w:bookmarkEnd w:id="67"/>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内部尺寸(mm)：</w:t>
      </w:r>
      <w:r>
        <w:rPr>
          <w:rFonts w:hint="eastAsia" w:ascii="宋体" w:hAnsi="宋体" w:eastAsia="宋体" w:cs="宋体"/>
          <w:color w:val="000000" w:themeColor="text1"/>
          <w:sz w:val="24"/>
          <w:szCs w:val="24"/>
          <w:lang w:val="en-US" w:eastAsia="zh-CN"/>
          <w14:textFill>
            <w14:solidFill>
              <w14:schemeClr w14:val="tx1"/>
            </w14:solidFill>
          </w14:textFill>
        </w:rPr>
        <w:t>≤400*500*</w:t>
      </w:r>
      <w:r>
        <w:rPr>
          <w:rFonts w:hint="eastAsia" w:ascii="宋体" w:hAnsi="宋体" w:eastAsia="宋体" w:cs="宋体"/>
          <w:color w:val="000000" w:themeColor="text1"/>
          <w:sz w:val="24"/>
          <w:szCs w:val="24"/>
          <w14:textFill>
            <w14:solidFill>
              <w14:schemeClr w14:val="tx1"/>
            </w14:solidFill>
          </w14:textFill>
        </w:rPr>
        <w:t>452</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额定频率：50Hz/60Hz</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额定电压：220V(200V-240V间皆可稳定使用)</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消毒方式：臭氧</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隔板：可调位置，可放多层</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工作区材质：304不锈钢，箱体国标1.0mm厚</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臭氧浓度：&gt;60mg/m3</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臭氧泄漏量：&lt;0.16mg/m3</w:t>
      </w:r>
    </w:p>
    <w:p>
      <w:pPr>
        <w:pStyle w:val="2"/>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bookmarkStart w:id="68" w:name="_Toc8572"/>
    </w:p>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br w:type="page"/>
      </w:r>
    </w:p>
    <w:p>
      <w:pPr>
        <w:pStyle w:val="2"/>
        <w:pageBreakBefore w:val="0"/>
        <w:kinsoku/>
        <w:wordWrap/>
        <w:overflowPunct/>
        <w:topLinePunct w:val="0"/>
        <w:autoSpaceDE/>
        <w:autoSpaceDN/>
        <w:bidi w:val="0"/>
        <w:spacing w:line="360" w:lineRule="auto"/>
        <w:ind w:firstLine="482" w:firstLineChars="20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附件30：烟雾净化器</w:t>
      </w:r>
      <w:bookmarkEnd w:id="68"/>
    </w:p>
    <w:p>
      <w:pPr>
        <w:pageBreakBefore w:val="0"/>
        <w:tabs>
          <w:tab w:val="left" w:pos="2840"/>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1.液晶面版，清晰显示工作状态</w:t>
      </w:r>
    </w:p>
    <w:p>
      <w:pPr>
        <w:pageBreakBefore w:val="0"/>
        <w:tabs>
          <w:tab w:val="left" w:pos="2840"/>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2.可遥控操作</w:t>
      </w:r>
    </w:p>
    <w:p>
      <w:pPr>
        <w:pageBreakBefore w:val="0"/>
        <w:tabs>
          <w:tab w:val="left" w:pos="2840"/>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3.滤芯堵塞可自动报警 </w:t>
      </w:r>
    </w:p>
    <w:p>
      <w:pPr>
        <w:pageBreakBefore w:val="0"/>
        <w:tabs>
          <w:tab w:val="left" w:pos="2840"/>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4.万向竹节管，自带支撑随心调整方向</w:t>
      </w:r>
    </w:p>
    <w:p>
      <w:pPr>
        <w:pageBreakBefore w:val="0"/>
        <w:tabs>
          <w:tab w:val="left" w:pos="2840"/>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5.配置脚轮，方便移动 </w:t>
      </w:r>
    </w:p>
    <w:p>
      <w:pPr>
        <w:pStyle w:val="2"/>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bookmarkStart w:id="69" w:name="_Toc4587"/>
    </w:p>
    <w:p>
      <w:pPr>
        <w:pStyle w:val="2"/>
        <w:pageBreakBefore w:val="0"/>
        <w:kinsoku/>
        <w:wordWrap/>
        <w:overflowPunct/>
        <w:topLinePunct w:val="0"/>
        <w:autoSpaceDE/>
        <w:autoSpaceDN/>
        <w:bidi w:val="0"/>
        <w:spacing w:line="360" w:lineRule="auto"/>
        <w:ind w:firstLine="482" w:firstLineChars="20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附件31：</w:t>
      </w:r>
      <w:bookmarkEnd w:id="69"/>
      <w:r>
        <w:rPr>
          <w:rFonts w:hint="eastAsia" w:ascii="宋体" w:hAnsi="宋体" w:eastAsia="宋体" w:cs="宋体"/>
          <w:color w:val="000000" w:themeColor="text1"/>
          <w:sz w:val="24"/>
          <w:szCs w:val="24"/>
          <w14:textFill>
            <w14:solidFill>
              <w14:schemeClr w14:val="tx1"/>
            </w14:solidFill>
          </w14:textFill>
        </w:rPr>
        <w:t>肺功能检测仪</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1、10英寸LCD真彩液晶屏。</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2、分辨率：800×480。</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3、采用最新航空材料，双向压差式技术，精度高，稳定性和重复性好，防震动，易于清洗消毒。</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4、气体容量检测精度：±2%或±0.050L， 取其大者。</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5、气体流量检测精度：±5%或±0.3L/s， 取其大者。</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6、内置高速热敏打印机。</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7、全中文操作界面，具备操作步骤提示。</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8、完整的肺功能检测项目：用力肺活量测试曲线（FVC-T）；流速容量曲线（F-V）；肺活量曲线（VC）；最大通气量测试曲线（MVV-T）；用药前后及气道反应性试验。</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以上检测项目可单独或组合进行测试，并实现自动诊断、报告预览、存储、查询与打印等功能。</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9、标配大容量SD卡存储芯片，存储不少于1万人次的测量数据与曲线，并可重复使用。</w:t>
      </w:r>
    </w:p>
    <w:p>
      <w:pPr>
        <w:rPr>
          <w:rFonts w:hint="eastAsia" w:ascii="宋体" w:hAnsi="宋体" w:eastAsia="宋体" w:cs="宋体"/>
          <w:color w:val="000000" w:themeColor="text1"/>
          <w:sz w:val="24"/>
          <w:szCs w:val="24"/>
          <w:lang w:val="en-US" w:eastAsia="zh-CN"/>
          <w14:textFill>
            <w14:solidFill>
              <w14:schemeClr w14:val="tx1"/>
            </w14:solidFill>
          </w14:textFill>
        </w:rPr>
      </w:pPr>
      <w:bookmarkStart w:id="70" w:name="_Toc29572"/>
      <w:r>
        <w:rPr>
          <w:rFonts w:hint="eastAsia" w:ascii="宋体" w:hAnsi="宋体" w:eastAsia="宋体" w:cs="宋体"/>
          <w:color w:val="000000" w:themeColor="text1"/>
          <w:sz w:val="24"/>
          <w:szCs w:val="24"/>
          <w:lang w:val="en-US" w:eastAsia="zh-CN"/>
          <w14:textFill>
            <w14:solidFill>
              <w14:schemeClr w14:val="tx1"/>
            </w14:solidFill>
          </w14:textFill>
        </w:rPr>
        <w:br w:type="page"/>
      </w:r>
    </w:p>
    <w:p>
      <w:pPr>
        <w:pStyle w:val="2"/>
        <w:pageBreakBefore w:val="0"/>
        <w:kinsoku/>
        <w:wordWrap/>
        <w:overflowPunct/>
        <w:topLinePunct w:val="0"/>
        <w:autoSpaceDE/>
        <w:autoSpaceDN/>
        <w:bidi w:val="0"/>
        <w:spacing w:line="360" w:lineRule="auto"/>
        <w:ind w:firstLine="482" w:firstLineChars="20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附件32：</w:t>
      </w:r>
      <w:bookmarkEnd w:id="70"/>
      <w:r>
        <w:rPr>
          <w:rFonts w:hint="eastAsia" w:ascii="宋体" w:hAnsi="宋体" w:eastAsia="宋体" w:cs="宋体"/>
          <w:color w:val="000000" w:themeColor="text1"/>
          <w:sz w:val="24"/>
          <w:szCs w:val="24"/>
          <w14:textFill>
            <w14:solidFill>
              <w14:schemeClr w14:val="tx1"/>
            </w14:solidFill>
          </w14:textFill>
        </w:rPr>
        <w:t>数字心电图机</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1.导联模式：Wilson体系;</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2.输入电路：浮地输入、具有除颤保护电路;</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3.采集方式：12导联同步采集;</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4.灵敏度（增益）：5mm/mV、10mm/mV、20mm/mV,误差不超过±5%;</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5.走纸速度：12.5mm／s、25mm/s、50mm/s，误差不超过±5%;</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6.耐极化电压：≧±300mV;</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7.共模抑制比：≧100dB;</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8.滤波：无、标准、增强、标准（低通150）；</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9.频率响应：0.05Hz~150Hz，适用于成人、儿童；</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10.屏幕显示内容：心电波形显示、心率、导联名称、走纸速度、增益、滤波器状态、</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系统时间、患者信息、电池电量。</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11.采样率：4000Hz，时间偏移：98μs，幅度量化：0.04μV/LSB。</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12.数据传输：WLAN功能  IEEE 802.11 a/b/g/n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以太网 10M/100M Base-T端口全双工/半双工自适应；</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蓝牙4.0双模、3.0、2.1+EDR；</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13.设备端口：</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1个USB接口（可存储数据、连接扫描枪）；</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1个SD卡插槽（可存储数据）；</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1个LAN网络接口；</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预留1个专用接口；</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预留1个HDMI专用接口；</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14.可充电锂电池：DC 22.2V/2.6AH；</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15.打印模式：激光A4纸打印;</w:t>
      </w:r>
    </w:p>
    <w:p>
      <w:pPr>
        <w:rPr>
          <w:rFonts w:hint="eastAsia" w:ascii="宋体" w:hAnsi="宋体" w:eastAsia="宋体" w:cs="宋体"/>
          <w:color w:val="000000" w:themeColor="text1"/>
          <w:sz w:val="24"/>
          <w:szCs w:val="24"/>
          <w:lang w:val="en-US" w:eastAsia="zh-CN"/>
          <w14:textFill>
            <w14:solidFill>
              <w14:schemeClr w14:val="tx1"/>
            </w14:solidFill>
          </w14:textFill>
        </w:rPr>
      </w:pPr>
      <w:bookmarkStart w:id="71" w:name="_Toc27321"/>
      <w:r>
        <w:rPr>
          <w:rFonts w:hint="eastAsia" w:ascii="宋体" w:hAnsi="宋体" w:eastAsia="宋体" w:cs="宋体"/>
          <w:color w:val="000000" w:themeColor="text1"/>
          <w:sz w:val="24"/>
          <w:szCs w:val="24"/>
          <w:lang w:val="en-US" w:eastAsia="zh-CN"/>
          <w14:textFill>
            <w14:solidFill>
              <w14:schemeClr w14:val="tx1"/>
            </w14:solidFill>
          </w14:textFill>
        </w:rPr>
        <w:br w:type="page"/>
      </w:r>
    </w:p>
    <w:p>
      <w:pPr>
        <w:pStyle w:val="2"/>
        <w:pageBreakBefore w:val="0"/>
        <w:kinsoku/>
        <w:wordWrap/>
        <w:overflowPunct/>
        <w:topLinePunct w:val="0"/>
        <w:autoSpaceDE/>
        <w:autoSpaceDN/>
        <w:bidi w:val="0"/>
        <w:spacing w:line="360" w:lineRule="auto"/>
        <w:ind w:firstLine="482" w:firstLineChars="20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附件33：</w:t>
      </w:r>
      <w:r>
        <w:rPr>
          <w:rFonts w:hint="eastAsia" w:ascii="宋体" w:hAnsi="宋体" w:eastAsia="宋体" w:cs="宋体"/>
          <w:color w:val="000000" w:themeColor="text1"/>
          <w:sz w:val="24"/>
          <w:szCs w:val="24"/>
          <w14:textFill>
            <w14:solidFill>
              <w14:schemeClr w14:val="tx1"/>
            </w14:solidFill>
          </w14:textFill>
        </w:rPr>
        <w:t>便携式心电图机</w:t>
      </w:r>
      <w:bookmarkEnd w:id="71"/>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1.设备小巧轻便,主机重量＜1kg，标配可移动台车，适应于出诊、床旁移动心电采集等多种临床应用场景；</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2.支持12/15/16/18导同步采集、同屏显示；</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3.具备WORKLIST功能，可从HIS一键提取待检查患者详细信息，减少手工录入；</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4.具备大于120分钟心电图记录功能，可用于发现偶发的心律失常，或对持续性心律失常、心肌缺血等情况进行监测；</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5.显示屏≥9英寸，屏幕亮度可调，支持背景网格显示，支持多点触控操作；</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采集器支持蓝牙移动网络技术，方便临床使用；3.1具备标准触控软件盘，支持拼音输入法，方便医生进行信息输入；</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6.具备先采集后补录患者信息，支持手工录入或从HIS提取；</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7.具备心电采集前患者信息核查功能，防止信息录入错误或信息与实际患者不匹配；</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8.具备扫码功能，可快速录入患者信息；4.1支持快速心电功能，适用于急诊及紧急情况下，快速完成心电图的采集；</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9.具备波形预采功能，可用于捕捉偶发、一过性的心律失常事件，预采集时间可进行设置；</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10.具备心电波形重采集功能，无需再次输入患者信息，即可快速完成波形的重新采集；</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11.具备心电加做模式，在完成标准12导心电采集后，可加做右胸与后壁心电采集；</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12.支持起搏心电采集功能；</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13.标准配置：平板电脑1台、心电放大器1个、蓝牙背夹1个、导联线1条、肢电极4个、胸电极6个、移动台车1台、充电线1根；</w:t>
      </w:r>
    </w:p>
    <w:p>
      <w:pPr>
        <w:rPr>
          <w:rFonts w:hint="eastAsia" w:ascii="宋体" w:hAnsi="宋体" w:eastAsia="宋体" w:cs="宋体"/>
          <w:color w:val="000000" w:themeColor="text1"/>
          <w:sz w:val="24"/>
          <w:szCs w:val="24"/>
          <w:lang w:val="en-US" w:eastAsia="zh-CN"/>
          <w14:textFill>
            <w14:solidFill>
              <w14:schemeClr w14:val="tx1"/>
            </w14:solidFill>
          </w14:textFill>
        </w:rPr>
      </w:pPr>
      <w:bookmarkStart w:id="72" w:name="_Toc21261"/>
      <w:r>
        <w:rPr>
          <w:rFonts w:hint="eastAsia" w:ascii="宋体" w:hAnsi="宋体" w:eastAsia="宋体" w:cs="宋体"/>
          <w:color w:val="000000" w:themeColor="text1"/>
          <w:sz w:val="24"/>
          <w:szCs w:val="24"/>
          <w:lang w:val="en-US" w:eastAsia="zh-CN"/>
          <w14:textFill>
            <w14:solidFill>
              <w14:schemeClr w14:val="tx1"/>
            </w14:solidFill>
          </w14:textFill>
        </w:rPr>
        <w:br w:type="page"/>
      </w:r>
    </w:p>
    <w:p>
      <w:pPr>
        <w:pStyle w:val="2"/>
        <w:pageBreakBefore w:val="0"/>
        <w:kinsoku/>
        <w:wordWrap/>
        <w:overflowPunct/>
        <w:topLinePunct w:val="0"/>
        <w:autoSpaceDE/>
        <w:autoSpaceDN/>
        <w:bidi w:val="0"/>
        <w:spacing w:line="360" w:lineRule="auto"/>
        <w:ind w:firstLine="482" w:firstLineChars="20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附件34：</w:t>
      </w:r>
      <w:r>
        <w:rPr>
          <w:rFonts w:hint="eastAsia" w:ascii="宋体" w:hAnsi="宋体" w:eastAsia="宋体" w:cs="宋体"/>
          <w:color w:val="000000" w:themeColor="text1"/>
          <w:sz w:val="24"/>
          <w:szCs w:val="24"/>
          <w14:textFill>
            <w14:solidFill>
              <w14:schemeClr w14:val="tx1"/>
            </w14:solidFill>
          </w14:textFill>
        </w:rPr>
        <w:t>血气分析仪</w:t>
      </w:r>
      <w:bookmarkEnd w:id="72"/>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1.运输存储：血气生化试剂盒效期常温：效期可达210天，温度在2-25°C时可达270天，冷藏效期可达360天</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2.操作界面：≥6英寸彩色触摸屏操作,中英文语言自由切换，内置多媒体操作教程</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3.内置高容量充电电池，断电后仍可待机时间24h可连续测量样本数＞48个</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4.小巧便携，重量&lt; 4.7Kg(含电池)</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5.仪器内置热敏打印机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6.数据接口：串口、网络接口、USB口，有线、无线网络链接，可直接连接LIS、HIS以及产网、中央监护站和手麻系统连接，规范和管理医院网络信息</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7.数据管理：仪器可自动存储＞9850个病人结果，连接数据管理系统</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8.仪器升级：系统自动升级软件，无需增加模块</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9.使用环境要求：10-31℃</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.获得FDA认证和CE认证</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.试剂盒种类＞40种，试剂包上机效期：使用温度在10-25°C时可达60天</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.为了方便临床标本量的选择，可提供5人份/盒、10人份/盒、25人份/盒、50人份/盒与100人份/盒的试剂包装</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 试剂盒种类：至少可提供测试血气3、4、5、6、7、8、9、10项参数的试剂盒进行临床任意选择（提供注册证明文件）</w:t>
      </w:r>
    </w:p>
    <w:p>
      <w:pPr>
        <w:rPr>
          <w:rFonts w:hint="eastAsia" w:ascii="宋体" w:hAnsi="宋体" w:eastAsia="宋体" w:cs="宋体"/>
          <w:color w:val="000000" w:themeColor="text1"/>
          <w:sz w:val="24"/>
          <w:szCs w:val="24"/>
          <w:lang w:val="en-US" w:eastAsia="zh-CN"/>
          <w14:textFill>
            <w14:solidFill>
              <w14:schemeClr w14:val="tx1"/>
            </w14:solidFill>
          </w14:textFill>
        </w:rPr>
      </w:pPr>
      <w:bookmarkStart w:id="73" w:name="_Toc2670"/>
      <w:r>
        <w:rPr>
          <w:rFonts w:hint="eastAsia" w:ascii="宋体" w:hAnsi="宋体" w:eastAsia="宋体" w:cs="宋体"/>
          <w:color w:val="000000" w:themeColor="text1"/>
          <w:sz w:val="24"/>
          <w:szCs w:val="24"/>
          <w:lang w:val="en-US" w:eastAsia="zh-CN"/>
          <w14:textFill>
            <w14:solidFill>
              <w14:schemeClr w14:val="tx1"/>
            </w14:solidFill>
          </w14:textFill>
        </w:rPr>
        <w:br w:type="page"/>
      </w:r>
    </w:p>
    <w:p>
      <w:pPr>
        <w:pStyle w:val="2"/>
        <w:pageBreakBefore w:val="0"/>
        <w:kinsoku/>
        <w:wordWrap/>
        <w:overflowPunct/>
        <w:topLinePunct w:val="0"/>
        <w:autoSpaceDE/>
        <w:autoSpaceDN/>
        <w:bidi w:val="0"/>
        <w:spacing w:line="360" w:lineRule="auto"/>
        <w:ind w:firstLine="482" w:firstLineChars="20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附件35：</w:t>
      </w:r>
      <w:bookmarkEnd w:id="73"/>
      <w:r>
        <w:rPr>
          <w:rFonts w:hint="eastAsia" w:ascii="宋体" w:hAnsi="宋体" w:eastAsia="宋体" w:cs="宋体"/>
          <w:color w:val="000000" w:themeColor="text1"/>
          <w:sz w:val="24"/>
          <w:szCs w:val="24"/>
          <w14:textFill>
            <w14:solidFill>
              <w14:schemeClr w14:val="tx1"/>
            </w14:solidFill>
          </w14:textFill>
        </w:rPr>
        <w:t>体外除颤监护仪</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1.抗冲击/跌落性能：具备优异的抗冲击/跌落性能，裸机六面均可承受≥0.75m跌落冲击</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 除颤监护仪内置常用操作互动学习指南，提供说明书或机器截图等证明材料</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 可通过扫描设备机身二维码查看设备培训维护视频，提供彩页等证明材料</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 电池工作时间：连续监护时间不小于6小时；不少于300次200J充放电；不少于200次360J充放电</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 开机速度快，设备的休眠唤醒开机时间小于2s，提供说明书等证明材料</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 除颤后基线恢复时间小于2.5s，提供说明书等证明材料</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7.支持3导心电监护，HR范围：成人15-300bpm，小儿/新生儿：15-350bpm</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8.自动打印报告：充放电、标记事件、自检、报警</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9.走纸速度：6.25, 12.5, 25, 50mm/s，误差±5%，提供说明书等证明材料</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 定期关机自检应覆盖全面，检测项应至少包含以下内容：治疗模块、电池、放电，其中充放电检测应覆盖最大能量，提供说明书等证明材料</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 查看自检报告方便快捷，操作步骤不超过2步；自检报告显示的检测项支持用户自定义。提供说明书等证明材料</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 自检失败时，提供图文故障排除提示，提供说明书等证明材料</w:t>
      </w:r>
    </w:p>
    <w:p>
      <w:pPr>
        <w:rPr>
          <w:rFonts w:hint="eastAsia" w:ascii="宋体" w:hAnsi="宋体" w:eastAsia="宋体" w:cs="宋体"/>
          <w:color w:val="000000" w:themeColor="text1"/>
          <w:sz w:val="24"/>
          <w:szCs w:val="24"/>
          <w:lang w:val="en-US" w:eastAsia="zh-CN"/>
          <w14:textFill>
            <w14:solidFill>
              <w14:schemeClr w14:val="tx1"/>
            </w14:solidFill>
          </w14:textFill>
        </w:rPr>
      </w:pPr>
      <w:bookmarkStart w:id="74" w:name="_Toc17568"/>
      <w:r>
        <w:rPr>
          <w:rFonts w:hint="eastAsia" w:ascii="宋体" w:hAnsi="宋体" w:eastAsia="宋体" w:cs="宋体"/>
          <w:color w:val="000000" w:themeColor="text1"/>
          <w:sz w:val="24"/>
          <w:szCs w:val="24"/>
          <w:lang w:val="en-US" w:eastAsia="zh-CN"/>
          <w14:textFill>
            <w14:solidFill>
              <w14:schemeClr w14:val="tx1"/>
            </w14:solidFill>
          </w14:textFill>
        </w:rPr>
        <w:br w:type="page"/>
      </w:r>
    </w:p>
    <w:p>
      <w:pPr>
        <w:pStyle w:val="2"/>
        <w:pageBreakBefore w:val="0"/>
        <w:kinsoku/>
        <w:wordWrap/>
        <w:overflowPunct/>
        <w:topLinePunct w:val="0"/>
        <w:autoSpaceDE/>
        <w:autoSpaceDN/>
        <w:bidi w:val="0"/>
        <w:spacing w:line="360" w:lineRule="auto"/>
        <w:ind w:firstLine="482" w:firstLineChars="20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附件36：</w:t>
      </w:r>
      <w:r>
        <w:rPr>
          <w:rFonts w:hint="eastAsia" w:ascii="宋体" w:hAnsi="宋体" w:eastAsia="宋体" w:cs="宋体"/>
          <w:color w:val="000000" w:themeColor="text1"/>
          <w:sz w:val="24"/>
          <w:szCs w:val="24"/>
          <w14:textFill>
            <w14:solidFill>
              <w14:schemeClr w14:val="tx1"/>
            </w14:solidFill>
          </w14:textFill>
        </w:rPr>
        <w:t>心电监护仪</w:t>
      </w:r>
      <w:bookmarkEnd w:id="74"/>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模块化插件式床边监护仪，主机、显示屏和插件槽一体化设计，主机插槽数≥5个。监护仪主机每个槽位均具备插件模块红外通讯接口以及金属硬件通讯接口（非供电接口），保证模块通讯速率及稳定性，提供监护仪主机插槽图片证明</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2.★≥15英寸彩色电容触摸屏，支持多点触摸操作，高分辨率达1920 x 1080像素，支持≥8通道波形显示，监护仪可根据环境光强度自动调节屏幕亮度。</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3.工作海拔高度4550米，满足高原地区使用</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4.工作温度0 ~40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5.整机采用无风扇设计，降低院感风险</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基本功能模块支持升级为转运模块，从监护仪拔出后作为一个独立的监护仪支持病人的无缝转移，具有显示屏，屏幕尺寸≥5英寸，内置锂电池供电≥4小时，无风扇设计，支持心电，呼吸，心率，无创血压，血氧饱和度，脉搏，双通道体温和双通道有创血压的同时监测</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7.支持3/5导心电监测,支持升级12导心电测量，并在监护仪上完成12导静息分析，并提供监护截图证明材料</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8.支持房颤心律失常分析功能，支持≥26种实时心律失常分析。</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9.★配置指套式血氧探头，支持浸泡清洁与消毒，防水等级IPx7</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10.标配双通道有创压IBP监测，支持升级多达8通道有创压监测</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11.提供中心静脉压（CVP）、肺动脉锲压（PAWP）的监测和PPV参数监测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12.支持多达4道IBP波形叠加显示，满足临床对比查看和节约显示空间的需求</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13.支持升级EtCO2监测模块，采用旁流技术，水槽易用快速更换，CO2波形提供填充和线条两种方式显示，满足不同临床使用习惯，CO2波形最小走速为3mm/s,满足同屏查看更多呼吸周期</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14.★具有图形化报警指示功能，看报警信息更容易</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15.所有参数报警限自动设置</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16.能够设置护理组，一个护理组能够设置6-12个病人。这些病人之间能够互相进行它床观察。</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17.标配具备血液动力学，药物计算，氧合计算，通气计算和肾功能计算功能，并提供截图证明材料</w:t>
      </w:r>
    </w:p>
    <w:p>
      <w:pPr>
        <w:rPr>
          <w:rFonts w:hint="eastAsia" w:ascii="宋体" w:hAnsi="宋体" w:eastAsia="宋体" w:cs="宋体"/>
          <w:color w:val="000000" w:themeColor="text1"/>
          <w:sz w:val="24"/>
          <w:szCs w:val="24"/>
          <w:lang w:val="en-US" w:eastAsia="zh-CN"/>
          <w14:textFill>
            <w14:solidFill>
              <w14:schemeClr w14:val="tx1"/>
            </w14:solidFill>
          </w14:textFill>
        </w:rPr>
      </w:pPr>
      <w:bookmarkStart w:id="75" w:name="_Toc8374"/>
      <w:r>
        <w:rPr>
          <w:rFonts w:hint="eastAsia" w:ascii="宋体" w:hAnsi="宋体" w:eastAsia="宋体" w:cs="宋体"/>
          <w:color w:val="000000" w:themeColor="text1"/>
          <w:sz w:val="24"/>
          <w:szCs w:val="24"/>
          <w:lang w:val="en-US" w:eastAsia="zh-CN"/>
          <w14:textFill>
            <w14:solidFill>
              <w14:schemeClr w14:val="tx1"/>
            </w14:solidFill>
          </w14:textFill>
        </w:rPr>
        <w:br w:type="page"/>
      </w:r>
    </w:p>
    <w:p>
      <w:pPr>
        <w:pStyle w:val="2"/>
        <w:pageBreakBefore w:val="0"/>
        <w:kinsoku/>
        <w:wordWrap/>
        <w:overflowPunct/>
        <w:topLinePunct w:val="0"/>
        <w:autoSpaceDE/>
        <w:autoSpaceDN/>
        <w:bidi w:val="0"/>
        <w:spacing w:line="360" w:lineRule="auto"/>
        <w:ind w:firstLine="482" w:firstLineChars="20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附件37：</w:t>
      </w:r>
      <w:r>
        <w:rPr>
          <w:rFonts w:hint="eastAsia" w:ascii="宋体" w:hAnsi="宋体" w:eastAsia="宋体" w:cs="宋体"/>
          <w:color w:val="000000" w:themeColor="text1"/>
          <w:sz w:val="24"/>
          <w:szCs w:val="24"/>
          <w14:textFill>
            <w14:solidFill>
              <w14:schemeClr w14:val="tx1"/>
            </w14:solidFill>
          </w14:textFill>
        </w:rPr>
        <w:t>转运监护仪</w:t>
      </w:r>
      <w:bookmarkEnd w:id="75"/>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1.★适用于成人、小儿、新生儿的监测；</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2.工作大气压力57.0 ~107.4 kPa，满足高原地区的使用；</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3.转运监护仪，满足救护车，直升飞机和固定翼飞机,通过相关转运标准，并提供相关证明材料；</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4.≥5英寸彩色触摸显示屏，小巧便携；</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5.★整机IP44防尘防水，易清洁和适用医院内外不同临床救治环境，并提供相关证明材料；</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6.坚固耐用，抗1.2米6面跌落，满足转运过程中的复杂临床救治环境，并提供相关证明材料；</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7.转运监护仪支持插入床旁监护仪插槽作为参数模块使用，即插即用。</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8.具有多导心电监护算法 ，同步分析至少2通道心电波形，能够良好抗干扰，并提供相关证明材料。</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9.心率测量范围：成人15 – 300 bpm，小儿/新生儿15 - 350 bpm。</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10.波速提供50mm/s，25 mm/s、12.5 mm/s、6.25 mm/s可选。</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11.滤波模式提供诊断模式（0.05 -150Hz），监护模式（0.5 -40Hz），ST模式（0.05 - 40Hz），手术模式（1-20Hz）。</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12.提供≥25种心律失常事件的分析，并提供相关证明材料。</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13.提供ST段分析，提供显示和存储ST值和每个ST的模板。</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14.具有QT/QTc测量功能，提供QT，QTc和ΔQTc参数值。</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15.可显示弱灌注指数（PI）。</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16.提供双通道体温测量，提供两通道体温测量差值显示。</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17.提供手动、自动间隔、连续、序列四种无创血压测量模式。</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18.★配置指套式血氧探头，防水等级为IPx7，支持浸泡消毒</w:t>
      </w:r>
    </w:p>
    <w:p>
      <w:pPr>
        <w:rPr>
          <w:rFonts w:hint="eastAsia" w:ascii="宋体" w:hAnsi="宋体" w:eastAsia="宋体" w:cs="宋体"/>
          <w:color w:val="000000" w:themeColor="text1"/>
          <w:sz w:val="24"/>
          <w:szCs w:val="24"/>
          <w:lang w:val="en-US" w:eastAsia="zh-CN"/>
          <w14:textFill>
            <w14:solidFill>
              <w14:schemeClr w14:val="tx1"/>
            </w14:solidFill>
          </w14:textFill>
        </w:rPr>
      </w:pPr>
      <w:bookmarkStart w:id="76" w:name="_Toc10595"/>
      <w:r>
        <w:rPr>
          <w:rFonts w:hint="eastAsia" w:ascii="宋体" w:hAnsi="宋体" w:eastAsia="宋体" w:cs="宋体"/>
          <w:color w:val="000000" w:themeColor="text1"/>
          <w:sz w:val="24"/>
          <w:szCs w:val="24"/>
          <w:lang w:val="en-US" w:eastAsia="zh-CN"/>
          <w14:textFill>
            <w14:solidFill>
              <w14:schemeClr w14:val="tx1"/>
            </w14:solidFill>
          </w14:textFill>
        </w:rPr>
        <w:br w:type="page"/>
      </w:r>
    </w:p>
    <w:p>
      <w:pPr>
        <w:pStyle w:val="2"/>
        <w:pageBreakBefore w:val="0"/>
        <w:kinsoku/>
        <w:wordWrap/>
        <w:overflowPunct/>
        <w:topLinePunct w:val="0"/>
        <w:autoSpaceDE/>
        <w:autoSpaceDN/>
        <w:bidi w:val="0"/>
        <w:spacing w:line="360" w:lineRule="auto"/>
        <w:ind w:firstLine="482" w:firstLineChars="20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附件38：</w:t>
      </w:r>
      <w:r>
        <w:rPr>
          <w:rFonts w:hint="eastAsia" w:ascii="宋体" w:hAnsi="宋体" w:eastAsia="宋体" w:cs="宋体"/>
          <w:color w:val="000000" w:themeColor="text1"/>
          <w:sz w:val="24"/>
          <w:szCs w:val="24"/>
          <w14:textFill>
            <w14:solidFill>
              <w14:schemeClr w14:val="tx1"/>
            </w14:solidFill>
          </w14:textFill>
        </w:rPr>
        <w:t>气管插管设备</w:t>
      </w:r>
      <w:bookmarkEnd w:id="76"/>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1.★显示屏：LCD3.5寸全视角无眩光"，分辨率640</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480，</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2.★视频宽高比4:3，屏幕可前后旋转≥120°、左右≥120°；</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3.摄像头：像素200万，镜头分辨率600LW/PH,视场角≥60°，光照度≥400lX；</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4.电池：3200mAh锂离子可充电池，电压3.7V，充电时间4H，持续工作时间≥200min</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5.电源：MicroUSB充电接口，充电器输入100-240V/50/60HZ,充电器输出DC5V,2A</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6.充电器数据传输接口：MicroUSB；</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.整机重量：≤350g</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.防雾功能：无需预热，开机即可防雾；</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.拍照摄像：一键快速拍照，可连续摄像；数据可输出，可外接带有HD接口的显示器；</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.喉镜片为一次性塑胶镜片；</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.手柄：人体工学设计，手感舒适、抑菌、轻便、便携，镜片支架连接件为SUS303材质，手柄材质为PC加内包铝受力强度大，无折断折弯的风险；</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.通过相关认证：CFDA、ISO13485</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.售后服务：质保期限2年，故障响应时间24小时；</w:t>
      </w:r>
    </w:p>
    <w:p>
      <w:pPr>
        <w:rPr>
          <w:rFonts w:hint="eastAsia" w:ascii="宋体" w:hAnsi="宋体" w:eastAsia="宋体" w:cs="宋体"/>
          <w:color w:val="000000" w:themeColor="text1"/>
          <w:sz w:val="24"/>
          <w:szCs w:val="24"/>
          <w:lang w:val="en-US" w:eastAsia="zh-CN"/>
          <w14:textFill>
            <w14:solidFill>
              <w14:schemeClr w14:val="tx1"/>
            </w14:solidFill>
          </w14:textFill>
        </w:rPr>
      </w:pPr>
      <w:bookmarkStart w:id="77" w:name="_Toc16827"/>
      <w:r>
        <w:rPr>
          <w:rFonts w:hint="eastAsia" w:ascii="宋体" w:hAnsi="宋体" w:eastAsia="宋体" w:cs="宋体"/>
          <w:color w:val="000000" w:themeColor="text1"/>
          <w:sz w:val="24"/>
          <w:szCs w:val="24"/>
          <w:lang w:val="en-US" w:eastAsia="zh-CN"/>
          <w14:textFill>
            <w14:solidFill>
              <w14:schemeClr w14:val="tx1"/>
            </w14:solidFill>
          </w14:textFill>
        </w:rPr>
        <w:br w:type="page"/>
      </w:r>
    </w:p>
    <w:p>
      <w:pPr>
        <w:pStyle w:val="2"/>
        <w:pageBreakBefore w:val="0"/>
        <w:kinsoku/>
        <w:wordWrap/>
        <w:overflowPunct/>
        <w:topLinePunct w:val="0"/>
        <w:autoSpaceDE/>
        <w:autoSpaceDN/>
        <w:bidi w:val="0"/>
        <w:spacing w:line="360" w:lineRule="auto"/>
        <w:ind w:firstLine="482" w:firstLineChars="20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附件39：</w:t>
      </w:r>
      <w:r>
        <w:rPr>
          <w:rFonts w:hint="eastAsia" w:ascii="宋体" w:hAnsi="宋体" w:eastAsia="宋体" w:cs="宋体"/>
          <w:color w:val="000000" w:themeColor="text1"/>
          <w:sz w:val="24"/>
          <w:szCs w:val="24"/>
          <w14:textFill>
            <w14:solidFill>
              <w14:schemeClr w14:val="tx1"/>
            </w14:solidFill>
          </w14:textFill>
        </w:rPr>
        <w:t>注射泵</w:t>
      </w:r>
      <w:bookmarkEnd w:id="77"/>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1.注射器规格：可自动识别5 mL 、10mL、20mL、30mL、50mL的注射器</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★内置29种注射器品牌，自定义一种，满足多科室需要</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2.输注量范围：0ml～9999ml，＜1000ml以0.1ml步进，＞1000ml以1ml步进</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3.★流速范围：</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5ml注射器： 0.1 mL/h～100mL/h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10mL注射器：0.1 mL/h～300mL/h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20mL注射器：0.1 mL/h～600mL/h；</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30mL注射器：0.1 mL/h～900mL/h；</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50mL注射器：0.1 mL/h～1300mL/h，</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可按0.1mL/h递增或递减</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4.流速误差：±2%</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5.快速输注：</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5ml注射器：100 ml/h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10ml注射器:100 ml/h ~300ml/h</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20ml注射器:100 ml/h ~600 ml/h</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30ml注射器:100 ml/h ~900 ml/h</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50/60ml注射器:100 ml/h ~1300 ml/h</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6.注射模式：简易模式、速度模式、时间容量模式、体重模式</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7.运行界面显示：速度、累积量、注射器规格和品牌、运行状态、剩余时间、预制量、阻塞等级</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8.保持静脉开放（KVO）速度：0.1-1ml/h，速度可调</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9.报警功能：外接电源掉电报警、电量不足报警、电机异常、电池耗尽、备用电池欠压报警、注射泵管道阻塞报警、接近注射完成报警、注射器脱落报警、注射完成报警、速度异常、操作遗忘、安装错误</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10.其他功能：</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注射器自动识别功能</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★各个通道可拆可分，并自带卡槽，无需任何辅助性条件组合成多道注射泵</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11.内置电池工作时间：电池充足电的情况下，30ml/h注射流速，可连续工作约5小时</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12.阻塞压力范围：高中低档可选，分别为：0.02Mpa-0.07 Mpa，0.05Mpa-0.10 Mpa，0.08Mpa-0.14Mpa</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13.功耗：≤18VA</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p>
    <w:p>
      <w:pPr>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p>
    <w:p>
      <w:pPr>
        <w:rPr>
          <w:rFonts w:hint="default"/>
          <w:color w:val="auto"/>
          <w:lang w:val="en-US" w:eastAsia="zh-CN"/>
        </w:rPr>
      </w:pPr>
    </w:p>
    <w:p>
      <w:pPr>
        <w:rPr>
          <w:rFonts w:hint="eastAsia" w:ascii="宋体" w:hAnsi="宋体"/>
          <w:color w:val="auto"/>
          <w:spacing w:val="20"/>
          <w:sz w:val="21"/>
          <w:szCs w:val="24"/>
          <w:lang w:val="en-US" w:eastAsia="zh-CN"/>
        </w:rPr>
      </w:pPr>
    </w:p>
    <w:p>
      <w:pPr>
        <w:rPr>
          <w:rFonts w:hint="eastAsia" w:eastAsia="黑体"/>
          <w:b/>
          <w:bCs/>
          <w:color w:val="auto"/>
          <w:spacing w:val="20"/>
          <w:sz w:val="30"/>
        </w:rPr>
      </w:pPr>
    </w:p>
    <w:p>
      <w:pPr>
        <w:rPr>
          <w:rFonts w:hint="eastAsia" w:eastAsia="黑体"/>
          <w:b/>
          <w:bCs/>
          <w:color w:val="auto"/>
          <w:spacing w:val="20"/>
          <w:sz w:val="30"/>
        </w:rPr>
      </w:pPr>
      <w:r>
        <w:rPr>
          <w:rFonts w:hint="eastAsia" w:eastAsia="黑体"/>
          <w:b/>
          <w:bCs/>
          <w:color w:val="auto"/>
          <w:spacing w:val="20"/>
          <w:sz w:val="30"/>
        </w:rPr>
        <w:br w:type="page"/>
      </w:r>
    </w:p>
    <w:p>
      <w:pPr>
        <w:spacing w:line="400" w:lineRule="exact"/>
        <w:jc w:val="center"/>
        <w:rPr>
          <w:rFonts w:hint="eastAsia" w:eastAsia="黑体"/>
          <w:b/>
          <w:bCs/>
          <w:color w:val="auto"/>
          <w:spacing w:val="20"/>
          <w:sz w:val="30"/>
        </w:rPr>
      </w:pPr>
      <w:r>
        <w:rPr>
          <w:rFonts w:hint="eastAsia" w:eastAsia="黑体"/>
          <w:b/>
          <w:bCs/>
          <w:color w:val="auto"/>
          <w:spacing w:val="20"/>
          <w:sz w:val="30"/>
        </w:rPr>
        <w:t>第四部分：评分标准</w:t>
      </w:r>
    </w:p>
    <w:p>
      <w:pPr>
        <w:spacing w:line="400" w:lineRule="exact"/>
        <w:ind w:firstLine="420" w:firstLineChars="200"/>
        <w:rPr>
          <w:rFonts w:hint="eastAsia"/>
          <w:color w:val="auto"/>
          <w:sz w:val="21"/>
        </w:rPr>
      </w:pPr>
    </w:p>
    <w:p>
      <w:pPr>
        <w:spacing w:line="440" w:lineRule="exact"/>
        <w:ind w:firstLine="480" w:firstLineChars="200"/>
        <w:rPr>
          <w:rFonts w:ascii="Times New Roman" w:hAnsi="Times New Roman"/>
          <w:color w:val="auto"/>
          <w:sz w:val="24"/>
          <w:szCs w:val="24"/>
        </w:rPr>
      </w:pPr>
      <w:r>
        <w:rPr>
          <w:rFonts w:hint="eastAsia" w:ascii="Times New Roman" w:hAnsi="Times New Roman"/>
          <w:color w:val="auto"/>
          <w:sz w:val="24"/>
          <w:szCs w:val="24"/>
        </w:rPr>
        <w:t>一、评审方法</w:t>
      </w:r>
    </w:p>
    <w:p>
      <w:pPr>
        <w:spacing w:line="440" w:lineRule="exact"/>
        <w:ind w:firstLine="480" w:firstLineChars="200"/>
        <w:rPr>
          <w:rFonts w:ascii="Times New Roman" w:hAnsi="Times New Roman"/>
          <w:color w:val="auto"/>
          <w:sz w:val="24"/>
          <w:szCs w:val="24"/>
        </w:rPr>
      </w:pPr>
      <w:r>
        <w:rPr>
          <w:rFonts w:hint="eastAsia" w:ascii="Times New Roman" w:hAnsi="Times New Roman"/>
          <w:color w:val="auto"/>
          <w:sz w:val="24"/>
          <w:szCs w:val="24"/>
        </w:rPr>
        <w:t>本次评审采用综合评分法。</w:t>
      </w:r>
    </w:p>
    <w:p>
      <w:pPr>
        <w:spacing w:line="440" w:lineRule="exact"/>
        <w:ind w:firstLine="480" w:firstLineChars="200"/>
        <w:rPr>
          <w:rFonts w:ascii="Times New Roman" w:hAnsi="Times New Roman"/>
          <w:color w:val="auto"/>
          <w:sz w:val="24"/>
          <w:szCs w:val="24"/>
        </w:rPr>
      </w:pPr>
      <w:r>
        <w:rPr>
          <w:rFonts w:hint="eastAsia" w:ascii="Times New Roman" w:hAnsi="Times New Roman"/>
          <w:color w:val="auto"/>
          <w:sz w:val="24"/>
          <w:szCs w:val="24"/>
        </w:rPr>
        <w:t>二、评审步骤</w:t>
      </w:r>
    </w:p>
    <w:p>
      <w:pPr>
        <w:spacing w:line="440" w:lineRule="exact"/>
        <w:ind w:firstLine="480" w:firstLineChars="200"/>
        <w:rPr>
          <w:rFonts w:ascii="Times New Roman" w:hAnsi="Times New Roman"/>
          <w:color w:val="auto"/>
          <w:sz w:val="24"/>
          <w:szCs w:val="24"/>
        </w:rPr>
      </w:pPr>
      <w:r>
        <w:rPr>
          <w:rFonts w:hint="eastAsia" w:ascii="Times New Roman" w:hAnsi="Times New Roman"/>
          <w:color w:val="auto"/>
          <w:sz w:val="24"/>
          <w:szCs w:val="24"/>
        </w:rPr>
        <w:t>评审小组对</w:t>
      </w:r>
      <w:r>
        <w:rPr>
          <w:rFonts w:hint="eastAsia" w:ascii="Times New Roman" w:hAnsi="Times New Roman"/>
          <w:color w:val="auto"/>
          <w:sz w:val="24"/>
          <w:szCs w:val="24"/>
          <w:lang w:eastAsia="zh-CN"/>
        </w:rPr>
        <w:t>投标文件</w:t>
      </w:r>
      <w:r>
        <w:rPr>
          <w:rFonts w:hint="eastAsia" w:ascii="Times New Roman" w:hAnsi="Times New Roman"/>
          <w:color w:val="auto"/>
          <w:sz w:val="24"/>
          <w:szCs w:val="24"/>
        </w:rPr>
        <w:t>的评审分为资格性符合性检查、商务服务评议、技术评议和价格评议；</w:t>
      </w:r>
    </w:p>
    <w:p>
      <w:pPr>
        <w:spacing w:line="440" w:lineRule="exact"/>
        <w:ind w:firstLine="480" w:firstLineChars="200"/>
        <w:rPr>
          <w:rFonts w:ascii="Times New Roman" w:hAnsi="Times New Roman"/>
          <w:color w:val="auto"/>
          <w:sz w:val="24"/>
          <w:szCs w:val="24"/>
        </w:rPr>
      </w:pPr>
      <w:r>
        <w:rPr>
          <w:rFonts w:hint="eastAsia" w:ascii="Times New Roman" w:hAnsi="Times New Roman"/>
          <w:color w:val="auto"/>
          <w:sz w:val="24"/>
          <w:szCs w:val="24"/>
        </w:rPr>
        <w:t>（一）资格性符合性检查表</w:t>
      </w:r>
    </w:p>
    <w:p>
      <w:pPr>
        <w:spacing w:line="440" w:lineRule="exact"/>
        <w:ind w:firstLine="480" w:firstLineChars="200"/>
        <w:rPr>
          <w:rFonts w:ascii="Times New Roman" w:hAnsi="Times New Roman"/>
          <w:color w:val="auto"/>
          <w:sz w:val="24"/>
          <w:szCs w:val="24"/>
        </w:rPr>
      </w:pPr>
      <w:r>
        <w:rPr>
          <w:rFonts w:hint="eastAsia" w:ascii="Times New Roman" w:hAnsi="Times New Roman"/>
          <w:bCs/>
          <w:color w:val="auto"/>
          <w:sz w:val="24"/>
          <w:szCs w:val="24"/>
        </w:rPr>
        <w:t>评审小组验证各供应商资格审查</w:t>
      </w:r>
      <w:r>
        <w:rPr>
          <w:rFonts w:hint="eastAsia" w:ascii="Times New Roman" w:hAnsi="Times New Roman"/>
          <w:bCs/>
          <w:color w:val="auto"/>
          <w:sz w:val="24"/>
          <w:szCs w:val="24"/>
          <w:lang w:eastAsia="zh-CN"/>
        </w:rPr>
        <w:t>、符合性审查</w:t>
      </w:r>
      <w:r>
        <w:rPr>
          <w:rFonts w:hint="eastAsia" w:ascii="Times New Roman" w:hAnsi="Times New Roman"/>
          <w:bCs/>
          <w:color w:val="auto"/>
          <w:sz w:val="24"/>
          <w:szCs w:val="24"/>
        </w:rPr>
        <w:t>。</w:t>
      </w:r>
    </w:p>
    <w:p>
      <w:pPr>
        <w:spacing w:line="440" w:lineRule="exact"/>
        <w:ind w:firstLine="480" w:firstLineChars="200"/>
        <w:rPr>
          <w:rFonts w:ascii="Times New Roman" w:hAnsi="Times New Roman"/>
          <w:color w:val="auto"/>
          <w:sz w:val="24"/>
          <w:szCs w:val="24"/>
        </w:rPr>
      </w:pPr>
      <w:r>
        <w:rPr>
          <w:rFonts w:hint="eastAsia" w:ascii="Times New Roman" w:hAnsi="Times New Roman"/>
          <w:color w:val="auto"/>
          <w:sz w:val="24"/>
          <w:szCs w:val="24"/>
        </w:rPr>
        <w:t>（二）商务服务评议</w:t>
      </w:r>
    </w:p>
    <w:p>
      <w:pPr>
        <w:spacing w:line="440" w:lineRule="exact"/>
        <w:ind w:firstLine="480" w:firstLineChars="200"/>
        <w:rPr>
          <w:rFonts w:ascii="Times New Roman" w:hAnsi="Times New Roman"/>
          <w:color w:val="auto"/>
          <w:sz w:val="24"/>
          <w:szCs w:val="24"/>
        </w:rPr>
      </w:pPr>
      <w:r>
        <w:rPr>
          <w:rFonts w:hint="eastAsia" w:ascii="Times New Roman" w:hAnsi="Times New Roman"/>
          <w:color w:val="auto"/>
          <w:sz w:val="24"/>
          <w:szCs w:val="24"/>
        </w:rPr>
        <w:t>评审小组依据</w:t>
      </w:r>
      <w:r>
        <w:rPr>
          <w:rFonts w:ascii="Times New Roman" w:hAnsi="Times New Roman"/>
          <w:color w:val="auto"/>
          <w:sz w:val="24"/>
          <w:szCs w:val="24"/>
        </w:rPr>
        <w:t>“</w:t>
      </w:r>
      <w:r>
        <w:rPr>
          <w:rFonts w:hint="eastAsia" w:ascii="Times New Roman" w:hAnsi="Times New Roman"/>
          <w:color w:val="auto"/>
          <w:sz w:val="24"/>
          <w:szCs w:val="24"/>
        </w:rPr>
        <w:t>商务服务评分表</w:t>
      </w:r>
      <w:r>
        <w:rPr>
          <w:rFonts w:ascii="Times New Roman" w:hAnsi="Times New Roman"/>
          <w:color w:val="auto"/>
          <w:sz w:val="24"/>
          <w:szCs w:val="24"/>
        </w:rPr>
        <w:t>”</w:t>
      </w:r>
      <w:r>
        <w:rPr>
          <w:rFonts w:hint="eastAsia" w:ascii="Times New Roman" w:hAnsi="Times New Roman"/>
          <w:color w:val="auto"/>
          <w:sz w:val="24"/>
          <w:szCs w:val="24"/>
        </w:rPr>
        <w:t>中的分值及标准进行评分。</w:t>
      </w:r>
    </w:p>
    <w:p>
      <w:pPr>
        <w:spacing w:line="440" w:lineRule="exact"/>
        <w:ind w:firstLine="480" w:firstLineChars="200"/>
        <w:rPr>
          <w:rFonts w:ascii="Times New Roman" w:hAnsi="Times New Roman"/>
          <w:color w:val="auto"/>
          <w:sz w:val="24"/>
          <w:szCs w:val="24"/>
        </w:rPr>
      </w:pPr>
      <w:r>
        <w:rPr>
          <w:rFonts w:hint="eastAsia" w:ascii="Times New Roman" w:hAnsi="Times New Roman"/>
          <w:color w:val="auto"/>
          <w:sz w:val="24"/>
          <w:szCs w:val="24"/>
        </w:rPr>
        <w:t>（三）技术评议</w:t>
      </w:r>
    </w:p>
    <w:p>
      <w:pPr>
        <w:spacing w:line="440" w:lineRule="exact"/>
        <w:ind w:firstLine="480" w:firstLineChars="200"/>
        <w:rPr>
          <w:rFonts w:ascii="Times New Roman" w:hAnsi="Times New Roman"/>
          <w:color w:val="auto"/>
          <w:sz w:val="24"/>
          <w:szCs w:val="24"/>
        </w:rPr>
      </w:pPr>
      <w:r>
        <w:rPr>
          <w:rFonts w:hint="eastAsia" w:ascii="Times New Roman" w:hAnsi="Times New Roman"/>
          <w:color w:val="auto"/>
          <w:sz w:val="24"/>
          <w:szCs w:val="24"/>
        </w:rPr>
        <w:t>评审小组依据</w:t>
      </w:r>
      <w:r>
        <w:rPr>
          <w:rFonts w:ascii="Times New Roman" w:hAnsi="Times New Roman"/>
          <w:color w:val="auto"/>
          <w:sz w:val="24"/>
          <w:szCs w:val="24"/>
        </w:rPr>
        <w:t>“</w:t>
      </w:r>
      <w:r>
        <w:rPr>
          <w:rFonts w:hint="eastAsia" w:ascii="Times New Roman" w:hAnsi="Times New Roman"/>
          <w:color w:val="auto"/>
          <w:sz w:val="24"/>
          <w:szCs w:val="24"/>
        </w:rPr>
        <w:t>技术评分表</w:t>
      </w:r>
      <w:r>
        <w:rPr>
          <w:rFonts w:ascii="Times New Roman" w:hAnsi="Times New Roman"/>
          <w:color w:val="auto"/>
          <w:sz w:val="24"/>
          <w:szCs w:val="24"/>
        </w:rPr>
        <w:t>”</w:t>
      </w:r>
      <w:r>
        <w:rPr>
          <w:rFonts w:hint="eastAsia" w:ascii="Times New Roman" w:hAnsi="Times New Roman"/>
          <w:color w:val="auto"/>
          <w:sz w:val="24"/>
          <w:szCs w:val="24"/>
        </w:rPr>
        <w:t>中的分值及标准进行评分。</w:t>
      </w:r>
    </w:p>
    <w:p>
      <w:pPr>
        <w:spacing w:line="440" w:lineRule="exact"/>
        <w:ind w:firstLine="480" w:firstLineChars="200"/>
        <w:rPr>
          <w:rFonts w:ascii="Times New Roman" w:hAnsi="Times New Roman"/>
          <w:color w:val="auto"/>
          <w:sz w:val="24"/>
          <w:szCs w:val="24"/>
        </w:rPr>
      </w:pPr>
      <w:r>
        <w:rPr>
          <w:rFonts w:hint="eastAsia" w:ascii="Times New Roman" w:hAnsi="Times New Roman"/>
          <w:color w:val="auto"/>
          <w:sz w:val="24"/>
          <w:szCs w:val="24"/>
        </w:rPr>
        <w:t>（四）价格评议</w:t>
      </w:r>
    </w:p>
    <w:p>
      <w:pPr>
        <w:spacing w:line="440" w:lineRule="exact"/>
        <w:ind w:firstLine="480" w:firstLineChars="200"/>
        <w:rPr>
          <w:rFonts w:ascii="Times New Roman" w:hAnsi="Times New Roman"/>
          <w:color w:val="auto"/>
          <w:sz w:val="24"/>
          <w:szCs w:val="24"/>
        </w:rPr>
      </w:pPr>
      <w:r>
        <w:rPr>
          <w:rFonts w:hint="eastAsia" w:ascii="Times New Roman" w:hAnsi="Times New Roman"/>
          <w:color w:val="auto"/>
          <w:sz w:val="24"/>
          <w:szCs w:val="24"/>
        </w:rPr>
        <w:t>价格分采用低价优先法计算，即满足招标文件要求且最后报价最低的供应商的价格为</w:t>
      </w:r>
      <w:r>
        <w:rPr>
          <w:rFonts w:hint="eastAsia"/>
          <w:color w:val="auto"/>
          <w:sz w:val="24"/>
          <w:szCs w:val="24"/>
          <w:lang w:eastAsia="zh-CN"/>
        </w:rPr>
        <w:t>招标</w:t>
      </w:r>
      <w:r>
        <w:rPr>
          <w:rFonts w:hint="eastAsia" w:ascii="Times New Roman" w:hAnsi="Times New Roman"/>
          <w:color w:val="auto"/>
          <w:sz w:val="24"/>
          <w:szCs w:val="24"/>
        </w:rPr>
        <w:t>基准价，其价格分为满分。其他供应商的价格分统一按照下列公式计算：</w:t>
      </w:r>
    </w:p>
    <w:p>
      <w:pPr>
        <w:spacing w:line="440" w:lineRule="exact"/>
        <w:ind w:firstLine="480" w:firstLineChars="200"/>
        <w:rPr>
          <w:rFonts w:hint="eastAsia" w:ascii="Times New Roman" w:hAnsi="Times New Roman"/>
          <w:color w:val="auto"/>
          <w:sz w:val="24"/>
          <w:szCs w:val="24"/>
        </w:rPr>
      </w:pPr>
      <w:r>
        <w:rPr>
          <w:rFonts w:hint="eastAsia" w:ascii="Times New Roman" w:hAnsi="Times New Roman"/>
          <w:color w:val="auto"/>
          <w:sz w:val="24"/>
          <w:szCs w:val="24"/>
        </w:rPr>
        <w:t>投标报价得分</w:t>
      </w:r>
      <w:r>
        <w:rPr>
          <w:rFonts w:ascii="Times New Roman" w:hAnsi="Times New Roman"/>
          <w:color w:val="auto"/>
          <w:sz w:val="24"/>
          <w:szCs w:val="24"/>
        </w:rPr>
        <w:t>=</w:t>
      </w:r>
      <w:r>
        <w:rPr>
          <w:rFonts w:hint="eastAsia" w:ascii="Times New Roman" w:hAnsi="Times New Roman"/>
          <w:color w:val="auto"/>
          <w:sz w:val="24"/>
          <w:szCs w:val="24"/>
        </w:rPr>
        <w:t>（投标基准价</w:t>
      </w:r>
      <w:r>
        <w:rPr>
          <w:rFonts w:ascii="Times New Roman" w:hAnsi="Times New Roman"/>
          <w:color w:val="auto"/>
          <w:sz w:val="24"/>
          <w:szCs w:val="24"/>
        </w:rPr>
        <w:t>/</w:t>
      </w:r>
      <w:r>
        <w:rPr>
          <w:rFonts w:hint="eastAsia" w:ascii="Times New Roman" w:hAnsi="Times New Roman"/>
          <w:color w:val="auto"/>
          <w:sz w:val="24"/>
          <w:szCs w:val="24"/>
        </w:rPr>
        <w:t>投标报价）</w:t>
      </w:r>
      <w:r>
        <w:rPr>
          <w:rFonts w:ascii="Times New Roman" w:hAnsi="Times New Roman"/>
          <w:color w:val="auto"/>
          <w:sz w:val="24"/>
          <w:szCs w:val="24"/>
        </w:rPr>
        <w:t>×</w:t>
      </w:r>
      <w:r>
        <w:rPr>
          <w:rFonts w:hint="eastAsia" w:ascii="Times New Roman" w:hAnsi="Times New Roman"/>
          <w:color w:val="auto"/>
          <w:sz w:val="24"/>
          <w:szCs w:val="24"/>
        </w:rPr>
        <w:t>价格分</w:t>
      </w:r>
    </w:p>
    <w:p>
      <w:pPr>
        <w:spacing w:line="440" w:lineRule="exact"/>
        <w:ind w:firstLine="480" w:firstLineChars="200"/>
        <w:rPr>
          <w:rFonts w:hint="eastAsia"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 xml:space="preserve">注：本项目1、产品符合促进中小企业（监狱企业、残疾人福利性单位）发展政策的，对小型和微型企业（监狱企业、残疾人福利性单位）产品的价格给予10%的扣除，用扣除后的价格参与评审打分。 </w:t>
      </w:r>
    </w:p>
    <w:p>
      <w:pPr>
        <w:spacing w:line="440" w:lineRule="exact"/>
        <w:ind w:firstLine="480" w:firstLineChars="200"/>
        <w:rPr>
          <w:rFonts w:hint="eastAsia"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 xml:space="preserve">2、若投标人和小微企业的产品/服务制造商有一个符合小微企业条件，并且提供了《中小企业声明函》，则其评标价=投标人报价中属于小型和微型企业产品/服务的价格部分×（100%-10%）+投标人报价中不属于小型和微型企业产品/服务的价格部分；否则，其评标价=投标人报价。  </w:t>
      </w:r>
    </w:p>
    <w:p>
      <w:pPr>
        <w:spacing w:line="440" w:lineRule="exact"/>
        <w:ind w:firstLine="480" w:firstLineChars="200"/>
        <w:rPr>
          <w:rFonts w:hint="eastAsia"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3、</w:t>
      </w:r>
      <w:r>
        <w:rPr>
          <w:rFonts w:hint="eastAsia"/>
          <w:color w:val="auto"/>
          <w:sz w:val="24"/>
          <w:szCs w:val="24"/>
          <w:highlight w:val="none"/>
          <w:lang w:val="en-US" w:eastAsia="zh-CN"/>
        </w:rPr>
        <w:t>中型、</w:t>
      </w:r>
      <w:r>
        <w:rPr>
          <w:rFonts w:hint="eastAsia" w:ascii="Times New Roman" w:hAnsi="Times New Roman"/>
          <w:color w:val="auto"/>
          <w:sz w:val="24"/>
          <w:szCs w:val="24"/>
          <w:highlight w:val="none"/>
          <w:lang w:val="en-US" w:eastAsia="zh-CN"/>
        </w:rPr>
        <w:t>小型、微型企业提供大型企业制造的货物的，视同为大型企业，不享受本项优惠。</w:t>
      </w:r>
    </w:p>
    <w:p>
      <w:pPr>
        <w:spacing w:line="440" w:lineRule="exact"/>
        <w:ind w:firstLine="480" w:firstLineChars="200"/>
        <w:rPr>
          <w:rFonts w:hint="eastAsia" w:ascii="Times New Roman" w:hAnsi="Times New Roman"/>
          <w:color w:val="auto"/>
          <w:sz w:val="24"/>
          <w:szCs w:val="24"/>
          <w:highlight w:val="yellow"/>
        </w:rPr>
      </w:pPr>
      <w:r>
        <w:rPr>
          <w:rFonts w:hint="eastAsia" w:ascii="Times New Roman" w:hAnsi="Times New Roman"/>
          <w:color w:val="auto"/>
          <w:sz w:val="24"/>
          <w:szCs w:val="24"/>
          <w:highlight w:val="none"/>
          <w:lang w:val="en-US" w:eastAsia="zh-CN"/>
        </w:rPr>
        <w:t>4、投标供应商须提供中小企业申明函。中小企业参加政府采购活动，应当出具本办法规定的《中小企业声明函》，否则不得享受相关中小企业扶持政策。</w:t>
      </w:r>
    </w:p>
    <w:p>
      <w:pPr>
        <w:spacing w:line="440" w:lineRule="exact"/>
        <w:ind w:firstLine="480" w:firstLineChars="200"/>
        <w:rPr>
          <w:rFonts w:ascii="Times New Roman" w:hAnsi="Times New Roman"/>
          <w:color w:val="auto"/>
          <w:sz w:val="24"/>
          <w:szCs w:val="24"/>
        </w:rPr>
      </w:pPr>
      <w:r>
        <w:rPr>
          <w:rFonts w:hint="eastAsia" w:ascii="Times New Roman" w:hAnsi="Times New Roman"/>
          <w:color w:val="auto"/>
          <w:sz w:val="24"/>
          <w:szCs w:val="24"/>
        </w:rPr>
        <w:t>（五）推荐成交候选供应商</w:t>
      </w:r>
    </w:p>
    <w:p>
      <w:pPr>
        <w:spacing w:line="440" w:lineRule="exact"/>
        <w:ind w:firstLine="480" w:firstLineChars="200"/>
        <w:rPr>
          <w:rFonts w:ascii="Times New Roman" w:hAnsi="Times New Roman"/>
          <w:color w:val="auto"/>
          <w:sz w:val="24"/>
          <w:szCs w:val="24"/>
        </w:rPr>
      </w:pPr>
      <w:r>
        <w:rPr>
          <w:rFonts w:hint="eastAsia" w:ascii="Times New Roman" w:hAnsi="Times New Roman"/>
          <w:color w:val="auto"/>
          <w:sz w:val="24"/>
          <w:szCs w:val="24"/>
        </w:rPr>
        <w:t>评审小组应当根据综合评分情况，按照评审得分由高到低顺序推荐</w:t>
      </w:r>
      <w:r>
        <w:rPr>
          <w:rFonts w:ascii="Times New Roman" w:hAnsi="Times New Roman"/>
          <w:color w:val="auto"/>
          <w:sz w:val="24"/>
          <w:szCs w:val="24"/>
        </w:rPr>
        <w:t>3</w:t>
      </w:r>
      <w:r>
        <w:rPr>
          <w:rFonts w:hint="eastAsia" w:ascii="Times New Roman" w:hAnsi="Times New Roman"/>
          <w:color w:val="auto"/>
          <w:sz w:val="24"/>
          <w:szCs w:val="24"/>
        </w:rPr>
        <w:t>名以上成交候选供应商，并编写评审报告。评审得分相同的，按照最后报价由低到高的顺序推荐。评审得分且最后报价相同的，按照技术指标优劣顺序推荐。</w:t>
      </w:r>
    </w:p>
    <w:p>
      <w:pPr>
        <w:rPr>
          <w:rFonts w:ascii="仿宋" w:hAnsi="仿宋" w:eastAsia="仿宋" w:cs="仿宋"/>
          <w:color w:val="auto"/>
          <w:spacing w:val="-9"/>
          <w:sz w:val="28"/>
          <w:szCs w:val="28"/>
          <w14:textOutline w14:w="5103" w14:cap="sq" w14:cmpd="sng">
            <w14:solidFill>
              <w14:srgbClr w14:val="000000"/>
            </w14:solidFill>
            <w14:prstDash w14:val="solid"/>
            <w14:bevel/>
          </w14:textOutline>
        </w:rPr>
      </w:pPr>
      <w:r>
        <w:rPr>
          <w:rFonts w:ascii="仿宋" w:hAnsi="仿宋" w:eastAsia="仿宋" w:cs="仿宋"/>
          <w:color w:val="auto"/>
          <w:spacing w:val="-9"/>
          <w:sz w:val="28"/>
          <w:szCs w:val="28"/>
          <w14:textOutline w14:w="5103" w14:cap="sq" w14:cmpd="sng">
            <w14:solidFill>
              <w14:srgbClr w14:val="000000"/>
            </w14:solidFill>
            <w14:prstDash w14:val="solid"/>
            <w14:bevel/>
          </w14:textOutline>
        </w:rPr>
        <w:br w:type="page"/>
      </w:r>
    </w:p>
    <w:p>
      <w:pPr>
        <w:rPr>
          <w:rFonts w:ascii="仿宋" w:hAnsi="仿宋" w:eastAsia="仿宋" w:cs="仿宋"/>
          <w:color w:val="auto"/>
          <w:sz w:val="28"/>
          <w:szCs w:val="28"/>
        </w:rPr>
      </w:pPr>
      <w:r>
        <w:rPr>
          <w:rFonts w:ascii="仿宋" w:hAnsi="仿宋" w:eastAsia="仿宋" w:cs="仿宋"/>
          <w:color w:val="auto"/>
          <w:spacing w:val="-9"/>
          <w:sz w:val="28"/>
          <w:szCs w:val="28"/>
          <w14:textOutline w14:w="5103" w14:cap="sq" w14:cmpd="sng">
            <w14:solidFill>
              <w14:srgbClr w14:val="000000"/>
            </w14:solidFill>
            <w14:prstDash w14:val="solid"/>
            <w14:bevel/>
          </w14:textOutline>
        </w:rPr>
        <w:t>资</w:t>
      </w:r>
      <w:r>
        <w:rPr>
          <w:rFonts w:ascii="仿宋" w:hAnsi="仿宋" w:eastAsia="仿宋" w:cs="仿宋"/>
          <w:color w:val="auto"/>
          <w:spacing w:val="-5"/>
          <w:sz w:val="28"/>
          <w:szCs w:val="28"/>
          <w14:textOutline w14:w="5103" w14:cap="sq" w14:cmpd="sng">
            <w14:solidFill>
              <w14:srgbClr w14:val="000000"/>
            </w14:solidFill>
            <w14:prstDash w14:val="solid"/>
            <w14:bevel/>
          </w14:textOutline>
        </w:rPr>
        <w:t>格审查表</w:t>
      </w:r>
    </w:p>
    <w:p>
      <w:pPr>
        <w:rPr>
          <w:color w:val="auto"/>
        </w:rPr>
      </w:pPr>
    </w:p>
    <w:tbl>
      <w:tblPr>
        <w:tblStyle w:val="30"/>
        <w:tblpPr w:leftFromText="180" w:rightFromText="180" w:vertAnchor="text" w:horzAnchor="page" w:tblpX="1197" w:tblpY="106"/>
        <w:tblOverlap w:val="never"/>
        <w:tblW w:w="917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2"/>
        <w:gridCol w:w="83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82" w:type="dxa"/>
            <w:textDirection w:val="tbRlV"/>
            <w:vAlign w:val="top"/>
          </w:tcPr>
          <w:p>
            <w:pPr>
              <w:spacing w:before="249" w:line="202" w:lineRule="auto"/>
              <w:ind w:left="47"/>
              <w:rPr>
                <w:rFonts w:ascii="仿宋" w:hAnsi="仿宋" w:eastAsia="仿宋" w:cs="仿宋"/>
                <w:color w:val="auto"/>
                <w:sz w:val="28"/>
                <w:szCs w:val="28"/>
              </w:rPr>
            </w:pPr>
            <w:r>
              <w:rPr>
                <w:rFonts w:ascii="仿宋" w:hAnsi="仿宋" w:eastAsia="仿宋" w:cs="仿宋"/>
                <w:color w:val="auto"/>
                <w:spacing w:val="-19"/>
                <w:sz w:val="28"/>
                <w:szCs w:val="28"/>
                <w14:textOutline w14:w="5103" w14:cap="sq" w14:cmpd="sng">
                  <w14:solidFill>
                    <w14:srgbClr w14:val="000000"/>
                  </w14:solidFill>
                  <w14:prstDash w14:val="solid"/>
                  <w14:bevel/>
                </w14:textOutline>
              </w:rPr>
              <w:t>序</w:t>
            </w:r>
            <w:r>
              <w:rPr>
                <w:rFonts w:ascii="仿宋" w:hAnsi="仿宋" w:eastAsia="仿宋" w:cs="仿宋"/>
                <w:color w:val="auto"/>
                <w:spacing w:val="-16"/>
                <w:sz w:val="28"/>
                <w:szCs w:val="28"/>
                <w14:textOutline w14:w="5103" w14:cap="sq" w14:cmpd="sng">
                  <w14:solidFill>
                    <w14:srgbClr w14:val="000000"/>
                  </w14:solidFill>
                  <w14:prstDash w14:val="solid"/>
                  <w14:bevel/>
                </w14:textOutline>
              </w:rPr>
              <w:t>号</w:t>
            </w:r>
          </w:p>
        </w:tc>
        <w:tc>
          <w:tcPr>
            <w:tcW w:w="8395" w:type="dxa"/>
            <w:vAlign w:val="top"/>
          </w:tcPr>
          <w:p>
            <w:pPr>
              <w:spacing w:before="227" w:line="223" w:lineRule="auto"/>
              <w:ind w:left="3102"/>
              <w:rPr>
                <w:rFonts w:ascii="仿宋" w:hAnsi="仿宋" w:eastAsia="仿宋" w:cs="仿宋"/>
                <w:color w:val="auto"/>
                <w:sz w:val="28"/>
                <w:szCs w:val="28"/>
              </w:rPr>
            </w:pPr>
            <w:r>
              <w:rPr>
                <w:rFonts w:ascii="仿宋" w:hAnsi="仿宋" w:eastAsia="仿宋" w:cs="仿宋"/>
                <w:color w:val="auto"/>
                <w:spacing w:val="-3"/>
                <w:sz w:val="28"/>
                <w:szCs w:val="28"/>
                <w14:textOutline w14:w="5103" w14:cap="sq" w14:cmpd="sng">
                  <w14:solidFill>
                    <w14:srgbClr w14:val="000000"/>
                  </w14:solidFill>
                  <w14:prstDash w14:val="solid"/>
                  <w14:bevel/>
                </w14:textOutline>
              </w:rPr>
              <w:t>资格审查响应内容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82" w:type="dxa"/>
            <w:vAlign w:val="top"/>
          </w:tcPr>
          <w:p>
            <w:pPr>
              <w:spacing w:before="128" w:line="181" w:lineRule="auto"/>
              <w:ind w:left="349"/>
              <w:rPr>
                <w:rFonts w:ascii="仿宋" w:hAnsi="仿宋" w:eastAsia="仿宋" w:cs="仿宋"/>
                <w:color w:val="auto"/>
                <w:sz w:val="28"/>
                <w:szCs w:val="28"/>
              </w:rPr>
            </w:pPr>
            <w:r>
              <w:rPr>
                <w:rFonts w:ascii="仿宋" w:hAnsi="仿宋" w:eastAsia="仿宋" w:cs="仿宋"/>
                <w:color w:val="auto"/>
                <w:sz w:val="28"/>
                <w:szCs w:val="28"/>
              </w:rPr>
              <w:t>1</w:t>
            </w:r>
          </w:p>
        </w:tc>
        <w:tc>
          <w:tcPr>
            <w:tcW w:w="8395" w:type="dxa"/>
            <w:vAlign w:val="top"/>
          </w:tcPr>
          <w:p>
            <w:pPr>
              <w:spacing w:before="80" w:line="214" w:lineRule="auto"/>
              <w:ind w:left="118"/>
              <w:rPr>
                <w:rFonts w:ascii="仿宋" w:hAnsi="仿宋" w:eastAsia="仿宋" w:cs="仿宋"/>
                <w:color w:val="auto"/>
                <w:sz w:val="28"/>
                <w:szCs w:val="28"/>
              </w:rPr>
            </w:pPr>
            <w:r>
              <w:rPr>
                <w:rFonts w:ascii="仿宋" w:hAnsi="仿宋" w:eastAsia="仿宋" w:cs="仿宋"/>
                <w:color w:val="auto"/>
                <w:spacing w:val="-2"/>
                <w:sz w:val="28"/>
                <w:szCs w:val="28"/>
              </w:rPr>
              <w:t>有效期内营业</w:t>
            </w:r>
            <w:r>
              <w:rPr>
                <w:rFonts w:ascii="仿宋" w:hAnsi="仿宋" w:eastAsia="仿宋" w:cs="仿宋"/>
                <w:color w:val="auto"/>
                <w:spacing w:val="-1"/>
                <w:sz w:val="28"/>
                <w:szCs w:val="28"/>
              </w:rPr>
              <w:t>执照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782" w:type="dxa"/>
            <w:vAlign w:val="top"/>
          </w:tcPr>
          <w:p>
            <w:pPr>
              <w:spacing w:before="130" w:line="181" w:lineRule="auto"/>
              <w:ind w:left="332"/>
              <w:rPr>
                <w:rFonts w:ascii="仿宋" w:hAnsi="仿宋" w:eastAsia="仿宋" w:cs="仿宋"/>
                <w:color w:val="auto"/>
                <w:sz w:val="28"/>
                <w:szCs w:val="28"/>
              </w:rPr>
            </w:pPr>
            <w:r>
              <w:rPr>
                <w:rFonts w:ascii="仿宋" w:hAnsi="仿宋" w:eastAsia="仿宋" w:cs="仿宋"/>
                <w:color w:val="auto"/>
                <w:sz w:val="28"/>
                <w:szCs w:val="28"/>
              </w:rPr>
              <w:t>2</w:t>
            </w:r>
          </w:p>
        </w:tc>
        <w:tc>
          <w:tcPr>
            <w:tcW w:w="8395" w:type="dxa"/>
            <w:vAlign w:val="top"/>
          </w:tcPr>
          <w:p>
            <w:pPr>
              <w:spacing w:before="82" w:line="216" w:lineRule="auto"/>
              <w:ind w:left="124"/>
              <w:rPr>
                <w:rFonts w:ascii="仿宋" w:hAnsi="仿宋" w:eastAsia="仿宋" w:cs="仿宋"/>
                <w:color w:val="auto"/>
                <w:sz w:val="28"/>
                <w:szCs w:val="28"/>
              </w:rPr>
            </w:pPr>
            <w:r>
              <w:rPr>
                <w:rFonts w:hint="eastAsia" w:ascii="仿宋" w:hAnsi="仿宋" w:eastAsia="仿宋" w:cs="仿宋"/>
                <w:color w:val="auto"/>
                <w:spacing w:val="-2"/>
                <w:sz w:val="28"/>
                <w:szCs w:val="28"/>
              </w:rPr>
              <w:t>提供银行出具的近1年内资信证明或上一年度经审计的财务报告</w:t>
            </w:r>
            <w:r>
              <w:rPr>
                <w:rFonts w:ascii="仿宋" w:hAnsi="仿宋" w:eastAsia="仿宋" w:cs="仿宋"/>
                <w:color w:val="auto"/>
                <w:spacing w:val="-6"/>
                <w:sz w:val="28"/>
                <w:szCs w:val="28"/>
              </w:rPr>
              <w:t>，新成立企业可不提</w:t>
            </w:r>
            <w:r>
              <w:rPr>
                <w:rFonts w:ascii="仿宋" w:hAnsi="仿宋" w:eastAsia="仿宋" w:cs="仿宋"/>
                <w:color w:val="auto"/>
                <w:spacing w:val="-4"/>
                <w:sz w:val="28"/>
                <w:szCs w:val="28"/>
              </w:rPr>
              <w:t>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82" w:type="dxa"/>
            <w:vAlign w:val="top"/>
          </w:tcPr>
          <w:p>
            <w:pPr>
              <w:spacing w:before="150" w:line="181" w:lineRule="auto"/>
              <w:ind w:left="334"/>
              <w:rPr>
                <w:rFonts w:ascii="仿宋" w:hAnsi="仿宋" w:eastAsia="仿宋" w:cs="仿宋"/>
                <w:color w:val="auto"/>
                <w:sz w:val="28"/>
                <w:szCs w:val="28"/>
              </w:rPr>
            </w:pPr>
            <w:r>
              <w:rPr>
                <w:rFonts w:ascii="仿宋" w:hAnsi="仿宋" w:eastAsia="仿宋" w:cs="仿宋"/>
                <w:color w:val="auto"/>
                <w:sz w:val="28"/>
                <w:szCs w:val="28"/>
              </w:rPr>
              <w:t>3</w:t>
            </w:r>
          </w:p>
        </w:tc>
        <w:tc>
          <w:tcPr>
            <w:tcW w:w="8395" w:type="dxa"/>
            <w:vAlign w:val="top"/>
          </w:tcPr>
          <w:p>
            <w:pPr>
              <w:spacing w:before="101" w:line="224" w:lineRule="auto"/>
              <w:ind w:left="121"/>
              <w:rPr>
                <w:rFonts w:ascii="仿宋" w:hAnsi="仿宋" w:eastAsia="仿宋" w:cs="仿宋"/>
                <w:color w:val="auto"/>
                <w:sz w:val="28"/>
                <w:szCs w:val="28"/>
              </w:rPr>
            </w:pPr>
            <w:r>
              <w:rPr>
                <w:rFonts w:hint="eastAsia" w:ascii="仿宋" w:hAnsi="仿宋" w:eastAsia="仿宋" w:cs="仿宋"/>
                <w:color w:val="auto"/>
                <w:sz w:val="28"/>
                <w:szCs w:val="28"/>
                <w:lang w:val="zh-CN" w:eastAsia="zh-CN"/>
              </w:rPr>
              <w:t>所投产品属于第二类医疗器械的，须提供有效的行政主管部门颁发的医器械经营备案凭证，医疗器械生产许可证或医疗器械经营许可证或其他医疗器械生产经营许可证明文件；所投产品属于第三类医疗器械的，须提供有效的行政主管部门颁发的医疗器械生产许可证或医疗器械经营许可证或其他医疗器械生产经营许可证明文件。</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复印件加盖公章</w:t>
            </w:r>
            <w:r>
              <w:rPr>
                <w:rFonts w:hint="eastAsia" w:ascii="仿宋" w:hAnsi="仿宋" w:eastAsia="仿宋" w:cs="仿宋"/>
                <w:color w:val="auto"/>
                <w:sz w:val="28"/>
                <w:szCs w:val="28"/>
                <w:lang w:val="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782" w:type="dxa"/>
            <w:vAlign w:val="top"/>
          </w:tcPr>
          <w:p>
            <w:pPr>
              <w:spacing w:line="255" w:lineRule="auto"/>
              <w:rPr>
                <w:rFonts w:ascii="Arial"/>
                <w:color w:val="auto"/>
                <w:sz w:val="21"/>
              </w:rPr>
            </w:pPr>
          </w:p>
          <w:p>
            <w:pPr>
              <w:spacing w:before="91" w:line="179" w:lineRule="auto"/>
              <w:ind w:left="334"/>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4</w:t>
            </w:r>
          </w:p>
        </w:tc>
        <w:tc>
          <w:tcPr>
            <w:tcW w:w="8395" w:type="dxa"/>
            <w:vAlign w:val="top"/>
          </w:tcPr>
          <w:p>
            <w:pPr>
              <w:spacing w:before="96" w:line="243" w:lineRule="auto"/>
              <w:ind w:left="127" w:right="104" w:hanging="1"/>
              <w:rPr>
                <w:rFonts w:ascii="仿宋" w:hAnsi="仿宋" w:eastAsia="仿宋" w:cs="仿宋"/>
                <w:color w:val="auto"/>
                <w:sz w:val="28"/>
                <w:szCs w:val="28"/>
              </w:rPr>
            </w:pPr>
            <w:r>
              <w:rPr>
                <w:rFonts w:ascii="仿宋" w:hAnsi="仿宋" w:eastAsia="仿宋" w:cs="仿宋"/>
                <w:color w:val="auto"/>
                <w:spacing w:val="6"/>
                <w:sz w:val="28"/>
                <w:szCs w:val="28"/>
              </w:rPr>
              <w:t>参加政府采购活动前 3 年内在经营活动中没有重大违法记录的</w:t>
            </w:r>
            <w:r>
              <w:rPr>
                <w:rFonts w:ascii="仿宋" w:hAnsi="仿宋" w:eastAsia="仿宋" w:cs="仿宋"/>
                <w:color w:val="auto"/>
                <w:spacing w:val="4"/>
                <w:sz w:val="28"/>
                <w:szCs w:val="28"/>
              </w:rPr>
              <w:t>书</w:t>
            </w:r>
            <w:r>
              <w:rPr>
                <w:rFonts w:ascii="仿宋" w:hAnsi="仿宋" w:eastAsia="仿宋" w:cs="仿宋"/>
                <w:color w:val="auto"/>
                <w:sz w:val="28"/>
                <w:szCs w:val="28"/>
              </w:rPr>
              <w:t xml:space="preserve"> </w:t>
            </w:r>
            <w:r>
              <w:rPr>
                <w:rFonts w:ascii="仿宋" w:hAnsi="仿宋" w:eastAsia="仿宋" w:cs="仿宋"/>
                <w:color w:val="auto"/>
                <w:spacing w:val="-2"/>
                <w:sz w:val="28"/>
                <w:szCs w:val="28"/>
              </w:rPr>
              <w:t>面声明 (格式见</w:t>
            </w:r>
            <w:r>
              <w:rPr>
                <w:rFonts w:hint="eastAsia" w:ascii="仿宋" w:hAnsi="仿宋" w:eastAsia="仿宋" w:cs="仿宋"/>
                <w:color w:val="auto"/>
                <w:spacing w:val="-2"/>
                <w:sz w:val="28"/>
                <w:szCs w:val="28"/>
                <w:lang w:eastAsia="zh-CN"/>
              </w:rPr>
              <w:t>招标文件</w:t>
            </w:r>
            <w:r>
              <w:rPr>
                <w:rFonts w:ascii="仿宋" w:hAnsi="仿宋" w:eastAsia="仿宋" w:cs="仿宋"/>
                <w:color w:val="auto"/>
                <w:spacing w:val="-1"/>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782" w:type="dxa"/>
            <w:vAlign w:val="top"/>
          </w:tcPr>
          <w:p>
            <w:pPr>
              <w:spacing w:line="436" w:lineRule="auto"/>
              <w:rPr>
                <w:rFonts w:ascii="Arial"/>
                <w:color w:val="auto"/>
                <w:sz w:val="21"/>
              </w:rPr>
            </w:pPr>
          </w:p>
          <w:p>
            <w:pPr>
              <w:spacing w:before="91" w:line="181" w:lineRule="auto"/>
              <w:ind w:left="331"/>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5</w:t>
            </w:r>
          </w:p>
        </w:tc>
        <w:tc>
          <w:tcPr>
            <w:tcW w:w="8395" w:type="dxa"/>
            <w:vAlign w:val="top"/>
          </w:tcPr>
          <w:p>
            <w:pPr>
              <w:spacing w:before="84" w:line="246" w:lineRule="auto"/>
              <w:ind w:left="123" w:right="107" w:firstLine="1"/>
              <w:rPr>
                <w:rFonts w:ascii="仿宋" w:hAnsi="仿宋" w:eastAsia="仿宋" w:cs="仿宋"/>
                <w:color w:val="auto"/>
                <w:sz w:val="28"/>
                <w:szCs w:val="28"/>
              </w:rPr>
            </w:pPr>
            <w:r>
              <w:rPr>
                <w:rFonts w:ascii="仿宋" w:hAnsi="仿宋" w:eastAsia="仿宋" w:cs="仿宋"/>
                <w:color w:val="auto"/>
                <w:spacing w:val="2"/>
                <w:sz w:val="28"/>
                <w:szCs w:val="28"/>
              </w:rPr>
              <w:t>未被“信用中国”网站 (</w:t>
            </w:r>
            <w:r>
              <w:rPr>
                <w:rFonts w:ascii="仿宋" w:hAnsi="仿宋" w:eastAsia="仿宋" w:cs="仿宋"/>
                <w:color w:val="auto"/>
                <w:sz w:val="28"/>
                <w:szCs w:val="28"/>
              </w:rPr>
              <w:t>www</w:t>
            </w:r>
            <w:r>
              <w:rPr>
                <w:rFonts w:ascii="仿宋" w:hAnsi="仿宋" w:eastAsia="仿宋" w:cs="仿宋"/>
                <w:color w:val="auto"/>
                <w:spacing w:val="2"/>
                <w:sz w:val="28"/>
                <w:szCs w:val="28"/>
              </w:rPr>
              <w:t>.</w:t>
            </w:r>
            <w:r>
              <w:rPr>
                <w:rFonts w:ascii="仿宋" w:hAnsi="仿宋" w:eastAsia="仿宋" w:cs="仿宋"/>
                <w:color w:val="auto"/>
                <w:sz w:val="28"/>
                <w:szCs w:val="28"/>
              </w:rPr>
              <w:t>creditchina</w:t>
            </w:r>
            <w:r>
              <w:rPr>
                <w:rFonts w:ascii="仿宋" w:hAnsi="仿宋" w:eastAsia="仿宋" w:cs="仿宋"/>
                <w:color w:val="auto"/>
                <w:spacing w:val="2"/>
                <w:sz w:val="28"/>
                <w:szCs w:val="28"/>
              </w:rPr>
              <w:t>.</w:t>
            </w:r>
            <w:r>
              <w:rPr>
                <w:rFonts w:ascii="仿宋" w:hAnsi="仿宋" w:eastAsia="仿宋" w:cs="仿宋"/>
                <w:color w:val="auto"/>
                <w:sz w:val="28"/>
                <w:szCs w:val="28"/>
              </w:rPr>
              <w:t>gov</w:t>
            </w:r>
            <w:r>
              <w:rPr>
                <w:rFonts w:ascii="仿宋" w:hAnsi="仿宋" w:eastAsia="仿宋" w:cs="仿宋"/>
                <w:color w:val="auto"/>
                <w:spacing w:val="2"/>
                <w:sz w:val="28"/>
                <w:szCs w:val="28"/>
              </w:rPr>
              <w:t>.</w:t>
            </w:r>
            <w:r>
              <w:rPr>
                <w:rFonts w:ascii="仿宋" w:hAnsi="仿宋" w:eastAsia="仿宋" w:cs="仿宋"/>
                <w:color w:val="auto"/>
                <w:sz w:val="28"/>
                <w:szCs w:val="28"/>
              </w:rPr>
              <w:t>cn</w:t>
            </w:r>
            <w:r>
              <w:rPr>
                <w:rFonts w:ascii="仿宋" w:hAnsi="仿宋" w:eastAsia="仿宋" w:cs="仿宋"/>
                <w:color w:val="auto"/>
                <w:spacing w:val="1"/>
                <w:sz w:val="28"/>
                <w:szCs w:val="28"/>
              </w:rPr>
              <w:t>) 列入失信被执</w:t>
            </w:r>
            <w:r>
              <w:rPr>
                <w:rFonts w:ascii="仿宋" w:hAnsi="仿宋" w:eastAsia="仿宋" w:cs="仿宋"/>
                <w:color w:val="auto"/>
                <w:sz w:val="28"/>
                <w:szCs w:val="28"/>
              </w:rPr>
              <w:t xml:space="preserve"> </w:t>
            </w:r>
            <w:r>
              <w:rPr>
                <w:rFonts w:ascii="仿宋" w:hAnsi="仿宋" w:eastAsia="仿宋" w:cs="仿宋"/>
                <w:color w:val="auto"/>
                <w:spacing w:val="2"/>
                <w:sz w:val="28"/>
                <w:szCs w:val="28"/>
              </w:rPr>
              <w:t>行人、重大税收违法案</w:t>
            </w:r>
            <w:r>
              <w:rPr>
                <w:rFonts w:ascii="仿宋" w:hAnsi="仿宋" w:eastAsia="仿宋" w:cs="仿宋"/>
                <w:color w:val="auto"/>
                <w:spacing w:val="1"/>
                <w:sz w:val="28"/>
                <w:szCs w:val="28"/>
              </w:rPr>
              <w:t>件当事人名单、政府采购严重失信行为记录</w:t>
            </w:r>
            <w:r>
              <w:rPr>
                <w:rFonts w:ascii="仿宋" w:hAnsi="仿宋" w:eastAsia="仿宋" w:cs="仿宋"/>
                <w:color w:val="auto"/>
                <w:sz w:val="28"/>
                <w:szCs w:val="28"/>
              </w:rPr>
              <w:t xml:space="preserve"> </w:t>
            </w:r>
            <w:r>
              <w:rPr>
                <w:rFonts w:ascii="仿宋" w:hAnsi="仿宋" w:eastAsia="仿宋" w:cs="仿宋"/>
                <w:color w:val="auto"/>
                <w:spacing w:val="-2"/>
                <w:sz w:val="28"/>
                <w:szCs w:val="28"/>
              </w:rPr>
              <w:t>名单 (提供网页截</w:t>
            </w:r>
            <w:r>
              <w:rPr>
                <w:rFonts w:ascii="仿宋" w:hAnsi="仿宋" w:eastAsia="仿宋" w:cs="仿宋"/>
                <w:color w:val="auto"/>
                <w:spacing w:val="-1"/>
                <w:sz w:val="28"/>
                <w:szCs w:val="28"/>
              </w:rPr>
              <w:t>图)</w:t>
            </w:r>
            <w:r>
              <w:rPr>
                <w:rFonts w:hint="eastAsia" w:ascii="仿宋" w:hAnsi="仿宋" w:eastAsia="仿宋" w:cs="仿宋"/>
                <w:color w:val="auto"/>
                <w:spacing w:val="-1"/>
                <w:sz w:val="28"/>
                <w:szCs w:val="28"/>
              </w:rPr>
              <w:t>（查询结果截图日期必须在发布公告日期之后）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782" w:type="dxa"/>
            <w:vAlign w:val="top"/>
          </w:tcPr>
          <w:p>
            <w:pPr>
              <w:spacing w:before="140" w:line="181" w:lineRule="auto"/>
              <w:ind w:left="329"/>
              <w:rPr>
                <w:rFonts w:ascii="仿宋" w:hAnsi="仿宋" w:eastAsia="仿宋" w:cs="仿宋"/>
                <w:color w:val="auto"/>
                <w:sz w:val="28"/>
                <w:szCs w:val="28"/>
              </w:rPr>
            </w:pPr>
            <w:r>
              <w:rPr>
                <w:rFonts w:hint="eastAsia" w:ascii="仿宋" w:hAnsi="仿宋" w:eastAsia="仿宋" w:cs="仿宋"/>
                <w:color w:val="auto"/>
                <w:sz w:val="28"/>
                <w:szCs w:val="28"/>
                <w:lang w:val="en-US" w:eastAsia="zh-CN"/>
              </w:rPr>
              <w:t>6</w:t>
            </w:r>
          </w:p>
        </w:tc>
        <w:tc>
          <w:tcPr>
            <w:tcW w:w="8395" w:type="dxa"/>
            <w:vAlign w:val="top"/>
          </w:tcPr>
          <w:p>
            <w:pPr>
              <w:spacing w:before="92" w:line="216" w:lineRule="auto"/>
              <w:ind w:left="130"/>
              <w:rPr>
                <w:rFonts w:ascii="仿宋" w:hAnsi="仿宋" w:eastAsia="仿宋" w:cs="仿宋"/>
                <w:color w:val="auto"/>
                <w:sz w:val="28"/>
                <w:szCs w:val="28"/>
              </w:rPr>
            </w:pPr>
            <w:r>
              <w:rPr>
                <w:rFonts w:ascii="仿宋" w:hAnsi="仿宋" w:eastAsia="仿宋" w:cs="仿宋"/>
                <w:color w:val="auto"/>
                <w:spacing w:val="-2"/>
                <w:sz w:val="28"/>
                <w:szCs w:val="28"/>
              </w:rPr>
              <w:t>法人授权书或法人</w:t>
            </w:r>
            <w:r>
              <w:rPr>
                <w:rFonts w:ascii="仿宋" w:hAnsi="仿宋" w:eastAsia="仿宋" w:cs="仿宋"/>
                <w:color w:val="auto"/>
                <w:spacing w:val="-1"/>
                <w:sz w:val="28"/>
                <w:szCs w:val="28"/>
              </w:rPr>
              <w:t>证书 (格式见</w:t>
            </w:r>
            <w:r>
              <w:rPr>
                <w:rFonts w:hint="eastAsia" w:ascii="仿宋" w:hAnsi="仿宋" w:eastAsia="仿宋" w:cs="仿宋"/>
                <w:color w:val="auto"/>
                <w:spacing w:val="-1"/>
                <w:sz w:val="28"/>
                <w:szCs w:val="28"/>
                <w:lang w:eastAsia="zh-CN"/>
              </w:rPr>
              <w:t>招标文件</w:t>
            </w:r>
            <w:r>
              <w:rPr>
                <w:rFonts w:ascii="仿宋" w:hAnsi="仿宋" w:eastAsia="仿宋" w:cs="仿宋"/>
                <w:color w:val="auto"/>
                <w:spacing w:val="-1"/>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782" w:type="dxa"/>
            <w:vAlign w:val="top"/>
          </w:tcPr>
          <w:p>
            <w:pPr>
              <w:spacing w:before="140" w:line="181" w:lineRule="auto"/>
              <w:ind w:left="32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p>
        </w:tc>
        <w:tc>
          <w:tcPr>
            <w:tcW w:w="8395" w:type="dxa"/>
            <w:vAlign w:val="top"/>
          </w:tcPr>
          <w:p>
            <w:pPr>
              <w:spacing w:before="92" w:line="216" w:lineRule="auto"/>
              <w:ind w:left="130"/>
              <w:rPr>
                <w:rFonts w:ascii="仿宋" w:hAnsi="仿宋" w:eastAsia="仿宋" w:cs="仿宋"/>
                <w:color w:val="auto"/>
                <w:spacing w:val="-2"/>
                <w:sz w:val="28"/>
                <w:szCs w:val="28"/>
              </w:rPr>
            </w:pPr>
            <w:r>
              <w:rPr>
                <w:rFonts w:hint="eastAsia" w:ascii="仿宋" w:hAnsi="仿宋" w:eastAsia="仿宋" w:cs="仿宋"/>
                <w:color w:val="auto"/>
                <w:spacing w:val="-2"/>
                <w:sz w:val="28"/>
                <w:szCs w:val="28"/>
              </w:rPr>
              <w:t>供应商为</w:t>
            </w:r>
            <w:r>
              <w:rPr>
                <w:rFonts w:hint="eastAsia" w:ascii="仿宋" w:hAnsi="仿宋" w:eastAsia="仿宋" w:cs="仿宋"/>
                <w:color w:val="auto"/>
                <w:spacing w:val="-2"/>
                <w:sz w:val="28"/>
                <w:szCs w:val="28"/>
                <w:lang w:eastAsia="zh-CN"/>
              </w:rPr>
              <w:t>中小微</w:t>
            </w:r>
            <w:r>
              <w:rPr>
                <w:rFonts w:hint="eastAsia" w:ascii="仿宋" w:hAnsi="仿宋" w:eastAsia="仿宋" w:cs="仿宋"/>
                <w:color w:val="auto"/>
                <w:spacing w:val="-2"/>
                <w:sz w:val="28"/>
                <w:szCs w:val="28"/>
              </w:rPr>
              <w:t>企业</w:t>
            </w:r>
            <w:r>
              <w:rPr>
                <w:rFonts w:hint="eastAsia" w:ascii="仿宋" w:hAnsi="仿宋" w:eastAsia="仿宋" w:cs="仿宋"/>
                <w:color w:val="auto"/>
                <w:spacing w:val="-2"/>
                <w:sz w:val="28"/>
                <w:szCs w:val="28"/>
                <w:lang w:eastAsia="zh-CN"/>
              </w:rPr>
              <w:t>。供应商为大型企业的，须将采购项目中的40%分包给一家或者多家中小企业（其中的</w:t>
            </w:r>
            <w:bookmarkStart w:id="80" w:name="_GoBack"/>
            <w:bookmarkEnd w:id="80"/>
            <w:r>
              <w:rPr>
                <w:rFonts w:hint="eastAsia" w:ascii="仿宋" w:hAnsi="仿宋" w:eastAsia="仿宋" w:cs="仿宋"/>
                <w:color w:val="auto"/>
                <w:spacing w:val="-2"/>
                <w:sz w:val="28"/>
                <w:szCs w:val="28"/>
                <w:lang w:val="en-US" w:eastAsia="zh-CN"/>
              </w:rPr>
              <w:t>7</w:t>
            </w:r>
            <w:r>
              <w:rPr>
                <w:rFonts w:hint="eastAsia" w:ascii="仿宋" w:hAnsi="仿宋" w:eastAsia="仿宋" w:cs="仿宋"/>
                <w:color w:val="auto"/>
                <w:spacing w:val="-2"/>
                <w:sz w:val="28"/>
                <w:szCs w:val="28"/>
                <w:lang w:eastAsia="zh-CN"/>
              </w:rPr>
              <w:t>0%预留给小微企业采购），供应商为大型企业的须提供《分包意向协议》（格式自拟）及分包供应商《中小企业声明函》</w:t>
            </w:r>
            <w:r>
              <w:rPr>
                <w:rFonts w:hint="eastAsia" w:ascii="仿宋" w:hAnsi="仿宋" w:eastAsia="仿宋" w:cs="仿宋"/>
                <w:color w:val="auto"/>
                <w:spacing w:val="-2"/>
                <w:sz w:val="28"/>
                <w:szCs w:val="28"/>
              </w:rPr>
              <w:t>(格式见</w:t>
            </w:r>
            <w:r>
              <w:rPr>
                <w:rFonts w:hint="eastAsia" w:ascii="仿宋" w:hAnsi="仿宋" w:eastAsia="仿宋" w:cs="仿宋"/>
                <w:color w:val="auto"/>
                <w:spacing w:val="-2"/>
                <w:sz w:val="28"/>
                <w:szCs w:val="28"/>
                <w:lang w:eastAsia="zh-CN"/>
              </w:rPr>
              <w:t>招标文件</w:t>
            </w:r>
            <w:r>
              <w:rPr>
                <w:rFonts w:hint="eastAsia" w:ascii="仿宋" w:hAnsi="仿宋" w:eastAsia="仿宋" w:cs="仿宋"/>
                <w:color w:val="auto"/>
                <w:spacing w:val="-2"/>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782" w:type="dxa"/>
            <w:vAlign w:val="top"/>
          </w:tcPr>
          <w:p>
            <w:pPr>
              <w:spacing w:before="140" w:line="181" w:lineRule="auto"/>
              <w:ind w:left="329"/>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w:t>
            </w:r>
          </w:p>
        </w:tc>
        <w:tc>
          <w:tcPr>
            <w:tcW w:w="8395" w:type="dxa"/>
            <w:vAlign w:val="top"/>
          </w:tcPr>
          <w:p>
            <w:pPr>
              <w:spacing w:before="92" w:line="216" w:lineRule="auto"/>
              <w:ind w:left="130"/>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rPr>
              <w:t>有依法缴纳税收和社会保障资金的良好纪录 ； 提供近 12 个月内（任意 1 个月） 已依法缴纳税收的凭据</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rPr>
              <w:t>提供近 6 个月内（</w:t>
            </w:r>
            <w:r>
              <w:rPr>
                <w:rFonts w:hint="eastAsia" w:ascii="仿宋" w:hAnsi="仿宋" w:eastAsia="仿宋" w:cs="仿宋"/>
                <w:color w:val="auto"/>
                <w:spacing w:val="-2"/>
                <w:sz w:val="28"/>
                <w:szCs w:val="28"/>
                <w:lang w:val="en-US" w:eastAsia="zh-CN"/>
              </w:rPr>
              <w:t>2023年5月至10月连续</w:t>
            </w:r>
            <w:r>
              <w:rPr>
                <w:rFonts w:hint="eastAsia" w:ascii="仿宋" w:hAnsi="仿宋" w:eastAsia="仿宋" w:cs="仿宋"/>
                <w:color w:val="auto"/>
                <w:spacing w:val="-2"/>
                <w:sz w:val="28"/>
                <w:szCs w:val="28"/>
              </w:rPr>
              <w:t xml:space="preserve"> </w:t>
            </w:r>
            <w:r>
              <w:rPr>
                <w:rFonts w:hint="eastAsia" w:ascii="仿宋" w:hAnsi="仿宋" w:eastAsia="仿宋" w:cs="仿宋"/>
                <w:color w:val="auto"/>
                <w:spacing w:val="-2"/>
                <w:sz w:val="28"/>
                <w:szCs w:val="28"/>
                <w:lang w:val="en-US" w:eastAsia="zh-CN"/>
              </w:rPr>
              <w:t>6</w:t>
            </w:r>
            <w:r>
              <w:rPr>
                <w:rFonts w:hint="eastAsia" w:ascii="仿宋" w:hAnsi="仿宋" w:eastAsia="仿宋" w:cs="仿宋"/>
                <w:color w:val="auto"/>
                <w:spacing w:val="-2"/>
                <w:sz w:val="28"/>
                <w:szCs w:val="28"/>
              </w:rPr>
              <w:t>个月） 已依法缴纳社会保险的凭据；依法免税或不需要缴纳社会保障资金的供应商，应提供相应证明文件</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lang w:val="en-US" w:eastAsia="zh-CN"/>
              </w:rPr>
              <w:t>新成立企业根据成立时间提供至10月份，当月成立企业可不提供</w:t>
            </w:r>
            <w:r>
              <w:rPr>
                <w:rFonts w:hint="eastAsia" w:ascii="仿宋" w:hAnsi="仿宋" w:eastAsia="仿宋" w:cs="仿宋"/>
                <w:color w:val="auto"/>
                <w:spacing w:val="-2"/>
                <w:sz w:val="28"/>
                <w:szCs w:val="28"/>
                <w:lang w:eastAsia="zh-CN"/>
              </w:rPr>
              <w:t>）。</w:t>
            </w:r>
          </w:p>
        </w:tc>
      </w:tr>
    </w:tbl>
    <w:p>
      <w:pPr>
        <w:spacing w:line="213" w:lineRule="exact"/>
        <w:rPr>
          <w:color w:val="auto"/>
        </w:rPr>
      </w:pPr>
    </w:p>
    <w:p>
      <w:pPr>
        <w:rPr>
          <w:rFonts w:ascii="仿宋" w:hAnsi="仿宋" w:eastAsia="仿宋" w:cs="仿宋"/>
          <w:color w:val="auto"/>
          <w:spacing w:val="-3"/>
          <w:sz w:val="28"/>
          <w:szCs w:val="28"/>
          <w14:textOutline w14:w="5103" w14:cap="sq" w14:cmpd="sng">
            <w14:solidFill>
              <w14:srgbClr w14:val="000000"/>
            </w14:solidFill>
            <w14:prstDash w14:val="solid"/>
            <w14:bevel/>
          </w14:textOutline>
        </w:rPr>
      </w:pPr>
      <w:r>
        <w:rPr>
          <w:rFonts w:ascii="仿宋" w:hAnsi="仿宋" w:eastAsia="仿宋" w:cs="仿宋"/>
          <w:color w:val="auto"/>
          <w:spacing w:val="-3"/>
          <w:sz w:val="28"/>
          <w:szCs w:val="28"/>
          <w14:textOutline w14:w="5103" w14:cap="sq" w14:cmpd="sng">
            <w14:solidFill>
              <w14:srgbClr w14:val="000000"/>
            </w14:solidFill>
            <w14:prstDash w14:val="solid"/>
            <w14:bevel/>
          </w14:textOutline>
        </w:rPr>
        <w:br w:type="page"/>
      </w:r>
    </w:p>
    <w:p>
      <w:pPr>
        <w:spacing w:line="320" w:lineRule="auto"/>
        <w:rPr>
          <w:rFonts w:ascii="仿宋" w:hAnsi="仿宋" w:eastAsia="仿宋" w:cs="仿宋"/>
          <w:color w:val="auto"/>
          <w:sz w:val="28"/>
          <w:szCs w:val="28"/>
        </w:rPr>
      </w:pPr>
      <w:r>
        <w:rPr>
          <w:rFonts w:ascii="仿宋" w:hAnsi="仿宋" w:eastAsia="仿宋" w:cs="仿宋"/>
          <w:color w:val="auto"/>
          <w:spacing w:val="-3"/>
          <w:sz w:val="28"/>
          <w:szCs w:val="28"/>
          <w14:textOutline w14:w="5103" w14:cap="sq" w14:cmpd="sng">
            <w14:solidFill>
              <w14:srgbClr w14:val="000000"/>
            </w14:solidFill>
            <w14:prstDash w14:val="solid"/>
            <w14:bevel/>
          </w14:textOutline>
        </w:rPr>
        <w:t>符合性审查表</w:t>
      </w:r>
    </w:p>
    <w:tbl>
      <w:tblPr>
        <w:tblStyle w:val="30"/>
        <w:tblpPr w:leftFromText="180" w:rightFromText="180" w:vertAnchor="text" w:horzAnchor="page" w:tblpX="1226" w:tblpY="92"/>
        <w:tblOverlap w:val="never"/>
        <w:tblW w:w="857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8"/>
        <w:gridCol w:w="78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18" w:type="dxa"/>
            <w:vAlign w:val="top"/>
          </w:tcPr>
          <w:p>
            <w:pPr>
              <w:spacing w:before="47" w:line="223" w:lineRule="auto"/>
              <w:ind w:left="94"/>
              <w:rPr>
                <w:rFonts w:ascii="仿宋" w:hAnsi="仿宋" w:eastAsia="仿宋" w:cs="仿宋"/>
                <w:color w:val="auto"/>
                <w:sz w:val="28"/>
                <w:szCs w:val="28"/>
              </w:rPr>
            </w:pPr>
            <w:r>
              <w:rPr>
                <w:rFonts w:ascii="仿宋" w:hAnsi="仿宋" w:eastAsia="仿宋" w:cs="仿宋"/>
                <w:color w:val="auto"/>
                <w:spacing w:val="-9"/>
                <w:sz w:val="28"/>
                <w:szCs w:val="28"/>
                <w14:textOutline w14:w="5103" w14:cap="sq" w14:cmpd="sng">
                  <w14:solidFill>
                    <w14:srgbClr w14:val="000000"/>
                  </w14:solidFill>
                  <w14:prstDash w14:val="solid"/>
                  <w14:bevel/>
                </w14:textOutline>
              </w:rPr>
              <w:t>序</w:t>
            </w:r>
            <w:r>
              <w:rPr>
                <w:rFonts w:ascii="仿宋" w:hAnsi="仿宋" w:eastAsia="仿宋" w:cs="仿宋"/>
                <w:color w:val="auto"/>
                <w:spacing w:val="-8"/>
                <w:sz w:val="28"/>
                <w:szCs w:val="28"/>
                <w14:textOutline w14:w="5103" w14:cap="sq" w14:cmpd="sng">
                  <w14:solidFill>
                    <w14:srgbClr w14:val="000000"/>
                  </w14:solidFill>
                  <w14:prstDash w14:val="solid"/>
                  <w14:bevel/>
                </w14:textOutline>
              </w:rPr>
              <w:t>号</w:t>
            </w:r>
          </w:p>
        </w:tc>
        <w:tc>
          <w:tcPr>
            <w:tcW w:w="7857" w:type="dxa"/>
            <w:vAlign w:val="top"/>
          </w:tcPr>
          <w:p>
            <w:pPr>
              <w:spacing w:before="47" w:line="223" w:lineRule="auto"/>
              <w:ind w:left="3380"/>
              <w:rPr>
                <w:rFonts w:ascii="仿宋" w:hAnsi="仿宋" w:eastAsia="仿宋" w:cs="仿宋"/>
                <w:color w:val="auto"/>
                <w:sz w:val="28"/>
                <w:szCs w:val="28"/>
              </w:rPr>
            </w:pPr>
            <w:r>
              <w:rPr>
                <w:rFonts w:ascii="仿宋" w:hAnsi="仿宋" w:eastAsia="仿宋" w:cs="仿宋"/>
                <w:color w:val="auto"/>
                <w:spacing w:val="-5"/>
                <w:sz w:val="28"/>
                <w:szCs w:val="28"/>
                <w14:textOutline w14:w="5103" w14:cap="sq" w14:cmpd="sng">
                  <w14:solidFill>
                    <w14:srgbClr w14:val="000000"/>
                  </w14:solidFill>
                  <w14:prstDash w14:val="solid"/>
                  <w14:bevel/>
                </w14:textOutline>
              </w:rPr>
              <w:t>评</w:t>
            </w:r>
            <w:r>
              <w:rPr>
                <w:rFonts w:ascii="仿宋" w:hAnsi="仿宋" w:eastAsia="仿宋" w:cs="仿宋"/>
                <w:color w:val="auto"/>
                <w:spacing w:val="-4"/>
                <w:sz w:val="28"/>
                <w:szCs w:val="28"/>
                <w14:textOutline w14:w="5103" w14:cap="sq" w14:cmpd="sng">
                  <w14:solidFill>
                    <w14:srgbClr w14:val="000000"/>
                  </w14:solidFill>
                  <w14:prstDash w14:val="solid"/>
                  <w14:bevel/>
                </w14:textOutline>
              </w:rPr>
              <w:t>审内容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18" w:type="dxa"/>
            <w:vAlign w:val="top"/>
          </w:tcPr>
          <w:p>
            <w:pPr>
              <w:spacing w:before="197" w:line="181" w:lineRule="auto"/>
              <w:ind w:left="322"/>
              <w:rPr>
                <w:rFonts w:ascii="仿宋" w:hAnsi="仿宋" w:eastAsia="仿宋" w:cs="仿宋"/>
                <w:color w:val="auto"/>
                <w:sz w:val="28"/>
                <w:szCs w:val="28"/>
              </w:rPr>
            </w:pPr>
            <w:r>
              <w:rPr>
                <w:rFonts w:ascii="仿宋" w:hAnsi="仿宋" w:eastAsia="仿宋" w:cs="仿宋"/>
                <w:color w:val="auto"/>
                <w:sz w:val="28"/>
                <w:szCs w:val="28"/>
              </w:rPr>
              <w:t>1</w:t>
            </w:r>
          </w:p>
        </w:tc>
        <w:tc>
          <w:tcPr>
            <w:tcW w:w="7857" w:type="dxa"/>
            <w:vAlign w:val="top"/>
          </w:tcPr>
          <w:p>
            <w:pPr>
              <w:spacing w:before="81" w:line="223" w:lineRule="auto"/>
              <w:ind w:left="28"/>
              <w:rPr>
                <w:rFonts w:ascii="仿宋" w:hAnsi="仿宋" w:eastAsia="仿宋" w:cs="仿宋"/>
                <w:color w:val="auto"/>
                <w:sz w:val="28"/>
                <w:szCs w:val="28"/>
              </w:rPr>
            </w:pPr>
            <w:r>
              <w:rPr>
                <w:rFonts w:hint="eastAsia" w:ascii="仿宋" w:hAnsi="仿宋" w:eastAsia="仿宋" w:cs="仿宋"/>
                <w:color w:val="auto"/>
                <w:spacing w:val="-1"/>
                <w:sz w:val="28"/>
                <w:szCs w:val="28"/>
              </w:rPr>
              <w:t>未按照招标文件规定要求签署、盖章的；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8" w:type="dxa"/>
            <w:vAlign w:val="top"/>
          </w:tcPr>
          <w:p>
            <w:pPr>
              <w:spacing w:before="197" w:line="181" w:lineRule="auto"/>
              <w:ind w:left="305"/>
              <w:rPr>
                <w:rFonts w:ascii="仿宋" w:hAnsi="仿宋" w:eastAsia="仿宋" w:cs="仿宋"/>
                <w:color w:val="auto"/>
                <w:sz w:val="28"/>
                <w:szCs w:val="28"/>
              </w:rPr>
            </w:pPr>
            <w:r>
              <w:rPr>
                <w:rFonts w:ascii="仿宋" w:hAnsi="仿宋" w:eastAsia="仿宋" w:cs="仿宋"/>
                <w:color w:val="auto"/>
                <w:sz w:val="28"/>
                <w:szCs w:val="28"/>
              </w:rPr>
              <w:t>2</w:t>
            </w:r>
          </w:p>
        </w:tc>
        <w:tc>
          <w:tcPr>
            <w:tcW w:w="7857" w:type="dxa"/>
            <w:vAlign w:val="top"/>
          </w:tcPr>
          <w:p>
            <w:pPr>
              <w:spacing w:before="81" w:line="223" w:lineRule="auto"/>
              <w:ind w:left="28"/>
              <w:rPr>
                <w:rFonts w:ascii="仿宋" w:hAnsi="仿宋" w:eastAsia="仿宋" w:cs="仿宋"/>
                <w:color w:val="auto"/>
                <w:sz w:val="28"/>
                <w:szCs w:val="28"/>
              </w:rPr>
            </w:pPr>
            <w:r>
              <w:rPr>
                <w:rFonts w:hint="eastAsia" w:ascii="仿宋" w:hAnsi="仿宋" w:eastAsia="仿宋" w:cs="仿宋"/>
                <w:color w:val="auto"/>
                <w:spacing w:val="-1"/>
                <w:sz w:val="28"/>
                <w:szCs w:val="28"/>
              </w:rPr>
              <w:t>不具备招标文件中规定资格要求的；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718" w:type="dxa"/>
            <w:vAlign w:val="top"/>
          </w:tcPr>
          <w:p>
            <w:pPr>
              <w:spacing w:before="199" w:line="181" w:lineRule="auto"/>
              <w:ind w:left="307"/>
              <w:rPr>
                <w:rFonts w:ascii="仿宋" w:hAnsi="仿宋" w:eastAsia="仿宋" w:cs="仿宋"/>
                <w:color w:val="auto"/>
                <w:sz w:val="28"/>
                <w:szCs w:val="28"/>
              </w:rPr>
            </w:pPr>
            <w:r>
              <w:rPr>
                <w:rFonts w:ascii="仿宋" w:hAnsi="仿宋" w:eastAsia="仿宋" w:cs="仿宋"/>
                <w:color w:val="auto"/>
                <w:sz w:val="28"/>
                <w:szCs w:val="28"/>
              </w:rPr>
              <w:t>3</w:t>
            </w:r>
          </w:p>
        </w:tc>
        <w:tc>
          <w:tcPr>
            <w:tcW w:w="7857" w:type="dxa"/>
            <w:vAlign w:val="top"/>
          </w:tcPr>
          <w:p>
            <w:pPr>
              <w:spacing w:before="81" w:line="222" w:lineRule="auto"/>
              <w:ind w:left="28"/>
              <w:rPr>
                <w:rFonts w:ascii="仿宋" w:hAnsi="仿宋" w:eastAsia="仿宋" w:cs="仿宋"/>
                <w:color w:val="auto"/>
                <w:sz w:val="28"/>
                <w:szCs w:val="28"/>
              </w:rPr>
            </w:pPr>
            <w:r>
              <w:rPr>
                <w:rFonts w:hint="eastAsia" w:ascii="仿宋" w:hAnsi="仿宋" w:eastAsia="仿宋" w:cs="仿宋"/>
                <w:color w:val="auto"/>
                <w:spacing w:val="-1"/>
                <w:sz w:val="28"/>
                <w:szCs w:val="28"/>
              </w:rPr>
              <w:t>未注明投标产品的品牌、型号、生产厂家等信息的；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718" w:type="dxa"/>
            <w:vAlign w:val="top"/>
          </w:tcPr>
          <w:p>
            <w:pPr>
              <w:spacing w:before="199" w:line="181" w:lineRule="auto"/>
              <w:ind w:left="307"/>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w:t>
            </w:r>
          </w:p>
        </w:tc>
        <w:tc>
          <w:tcPr>
            <w:tcW w:w="7857" w:type="dxa"/>
            <w:vAlign w:val="top"/>
          </w:tcPr>
          <w:p>
            <w:pPr>
              <w:spacing w:before="81" w:line="222" w:lineRule="auto"/>
              <w:ind w:left="28"/>
              <w:rPr>
                <w:rFonts w:hint="default" w:ascii="仿宋" w:hAnsi="仿宋" w:eastAsia="仿宋" w:cs="仿宋"/>
                <w:color w:val="auto"/>
                <w:spacing w:val="-2"/>
                <w:sz w:val="28"/>
                <w:szCs w:val="28"/>
                <w:lang w:val="en-US" w:eastAsia="zh-CN"/>
              </w:rPr>
            </w:pPr>
            <w:r>
              <w:rPr>
                <w:rFonts w:hint="eastAsia" w:ascii="仿宋" w:hAnsi="仿宋" w:eastAsia="仿宋" w:cs="仿宋"/>
                <w:color w:val="auto"/>
                <w:spacing w:val="-1"/>
                <w:sz w:val="28"/>
                <w:szCs w:val="28"/>
              </w:rPr>
              <w:t>其它在招标文件中已明确为无效标的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718" w:type="dxa"/>
            <w:vAlign w:val="top"/>
          </w:tcPr>
          <w:p>
            <w:pPr>
              <w:spacing w:before="199" w:line="181" w:lineRule="auto"/>
              <w:ind w:left="307"/>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w:t>
            </w:r>
          </w:p>
        </w:tc>
        <w:tc>
          <w:tcPr>
            <w:tcW w:w="7857" w:type="dxa"/>
            <w:vAlign w:val="top"/>
          </w:tcPr>
          <w:p>
            <w:pPr>
              <w:spacing w:before="81" w:line="222" w:lineRule="auto"/>
              <w:ind w:left="28"/>
              <w:rPr>
                <w:rFonts w:hint="default" w:ascii="仿宋" w:hAnsi="仿宋" w:eastAsia="仿宋" w:cs="仿宋"/>
                <w:color w:val="auto"/>
                <w:spacing w:val="-1"/>
                <w:sz w:val="28"/>
                <w:szCs w:val="28"/>
                <w:lang w:val="en-US" w:eastAsia="zh-CN"/>
              </w:rPr>
            </w:pPr>
            <w:r>
              <w:rPr>
                <w:rFonts w:hint="eastAsia" w:ascii="仿宋" w:hAnsi="仿宋" w:eastAsia="仿宋" w:cs="仿宋"/>
                <w:color w:val="auto"/>
                <w:spacing w:val="-1"/>
                <w:sz w:val="28"/>
                <w:szCs w:val="28"/>
              </w:rPr>
              <w:t>投标有效期不满足招标文件要求。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718" w:type="dxa"/>
            <w:vAlign w:val="top"/>
          </w:tcPr>
          <w:p>
            <w:pPr>
              <w:spacing w:before="197" w:line="181" w:lineRule="auto"/>
              <w:ind w:left="3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6</w:t>
            </w:r>
          </w:p>
        </w:tc>
        <w:tc>
          <w:tcPr>
            <w:tcW w:w="7857" w:type="dxa"/>
            <w:vAlign w:val="top"/>
          </w:tcPr>
          <w:p>
            <w:pPr>
              <w:spacing w:before="82" w:line="220" w:lineRule="auto"/>
              <w:ind w:left="28" w:leftChars="0"/>
              <w:rPr>
                <w:rFonts w:ascii="仿宋" w:hAnsi="仿宋" w:eastAsia="仿宋" w:cs="仿宋"/>
                <w:color w:val="auto"/>
                <w:sz w:val="28"/>
                <w:szCs w:val="28"/>
              </w:rPr>
            </w:pPr>
            <w:r>
              <w:rPr>
                <w:rFonts w:hint="eastAsia" w:ascii="仿宋" w:hAnsi="仿宋" w:eastAsia="仿宋" w:cs="仿宋"/>
                <w:color w:val="auto"/>
                <w:spacing w:val="-1"/>
                <w:sz w:val="28"/>
                <w:szCs w:val="28"/>
                <w:lang w:val="en-US" w:eastAsia="zh-CN"/>
              </w:rPr>
              <w:t>供货期</w:t>
            </w:r>
            <w:r>
              <w:rPr>
                <w:rFonts w:hint="eastAsia" w:ascii="仿宋" w:hAnsi="仿宋" w:eastAsia="仿宋" w:cs="仿宋"/>
                <w:color w:val="auto"/>
                <w:spacing w:val="-1"/>
                <w:sz w:val="28"/>
                <w:szCs w:val="28"/>
              </w:rPr>
              <w:t>不满足招标文件要求的。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718" w:type="dxa"/>
            <w:vAlign w:val="top"/>
          </w:tcPr>
          <w:p>
            <w:pPr>
              <w:spacing w:before="211" w:line="178" w:lineRule="auto"/>
              <w:ind w:left="307"/>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7</w:t>
            </w:r>
          </w:p>
        </w:tc>
        <w:tc>
          <w:tcPr>
            <w:tcW w:w="7857" w:type="dxa"/>
            <w:vAlign w:val="top"/>
          </w:tcPr>
          <w:p>
            <w:pPr>
              <w:spacing w:before="91" w:line="224" w:lineRule="auto"/>
              <w:rPr>
                <w:rFonts w:ascii="仿宋" w:hAnsi="仿宋" w:eastAsia="仿宋" w:cs="仿宋"/>
                <w:color w:val="auto"/>
                <w:sz w:val="28"/>
                <w:szCs w:val="28"/>
              </w:rPr>
            </w:pPr>
            <w:r>
              <w:rPr>
                <w:rFonts w:hint="eastAsia" w:ascii="仿宋" w:hAnsi="仿宋" w:eastAsia="仿宋" w:cs="仿宋"/>
                <w:color w:val="auto"/>
                <w:spacing w:val="-1"/>
                <w:sz w:val="28"/>
                <w:szCs w:val="28"/>
              </w:rPr>
              <w:t>投标报价超过招标控制价的。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8" w:type="dxa"/>
            <w:vAlign w:val="top"/>
          </w:tcPr>
          <w:p>
            <w:pPr>
              <w:spacing w:before="211" w:line="178" w:lineRule="auto"/>
              <w:ind w:left="307"/>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w:t>
            </w:r>
          </w:p>
        </w:tc>
        <w:tc>
          <w:tcPr>
            <w:tcW w:w="7857" w:type="dxa"/>
            <w:vAlign w:val="top"/>
          </w:tcPr>
          <w:p>
            <w:pPr>
              <w:spacing w:before="91" w:line="224" w:lineRule="auto"/>
              <w:rPr>
                <w:rFonts w:hint="eastAsia" w:ascii="仿宋" w:hAnsi="仿宋" w:eastAsia="仿宋" w:cs="仿宋"/>
                <w:color w:val="auto"/>
                <w:spacing w:val="-1"/>
                <w:sz w:val="28"/>
                <w:szCs w:val="28"/>
              </w:rPr>
            </w:pPr>
            <w:r>
              <w:rPr>
                <w:rFonts w:hint="eastAsia" w:ascii="仿宋" w:hAnsi="仿宋" w:eastAsia="仿宋" w:cs="仿宋"/>
                <w:color w:val="auto"/>
                <w:spacing w:val="-1"/>
                <w:sz w:val="28"/>
                <w:szCs w:val="28"/>
              </w:rPr>
              <w:t>不符合法律、法规和招标文件中规定的其他实质性要求的；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575" w:type="dxa"/>
            <w:gridSpan w:val="2"/>
            <w:vAlign w:val="top"/>
          </w:tcPr>
          <w:p>
            <w:pPr>
              <w:spacing w:before="139" w:line="224" w:lineRule="auto"/>
              <w:ind w:left="131"/>
              <w:rPr>
                <w:rFonts w:ascii="仿宋" w:hAnsi="仿宋" w:eastAsia="仿宋" w:cs="仿宋"/>
                <w:color w:val="auto"/>
                <w:sz w:val="28"/>
                <w:szCs w:val="28"/>
              </w:rPr>
            </w:pPr>
            <w:r>
              <w:rPr>
                <w:rFonts w:ascii="仿宋" w:hAnsi="仿宋" w:eastAsia="仿宋" w:cs="仿宋"/>
                <w:color w:val="auto"/>
                <w:spacing w:val="2"/>
                <w:sz w:val="28"/>
                <w:szCs w:val="28"/>
                <w14:textOutline w14:w="5103" w14:cap="sq" w14:cmpd="sng">
                  <w14:solidFill>
                    <w14:srgbClr w14:val="000000"/>
                  </w14:solidFill>
                  <w14:prstDash w14:val="solid"/>
                  <w14:bevel/>
                </w14:textOutline>
              </w:rPr>
              <w:t>说明：</w:t>
            </w:r>
            <w:r>
              <w:rPr>
                <w:rFonts w:ascii="仿宋" w:hAnsi="仿宋" w:eastAsia="仿宋" w:cs="仿宋"/>
                <w:color w:val="auto"/>
                <w:spacing w:val="1"/>
                <w:sz w:val="28"/>
                <w:szCs w:val="28"/>
                <w14:textOutline w14:w="5103" w14:cap="sq" w14:cmpd="sng">
                  <w14:solidFill>
                    <w14:srgbClr w14:val="000000"/>
                  </w14:solidFill>
                  <w14:prstDash w14:val="solid"/>
                  <w14:bevel/>
                </w14:textOutline>
              </w:rPr>
              <w:t>供应商必须满足符合性审查表内所有条款，否则被认定为无效</w:t>
            </w:r>
          </w:p>
          <w:p>
            <w:pPr>
              <w:spacing w:before="81" w:line="223" w:lineRule="auto"/>
              <w:ind w:left="28"/>
              <w:rPr>
                <w:rFonts w:hint="eastAsia" w:ascii="仿宋" w:hAnsi="仿宋" w:eastAsia="仿宋" w:cs="仿宋"/>
                <w:color w:val="auto"/>
                <w:spacing w:val="-1"/>
                <w:sz w:val="28"/>
                <w:szCs w:val="28"/>
              </w:rPr>
            </w:pPr>
            <w:r>
              <w:rPr>
                <w:rFonts w:ascii="仿宋" w:hAnsi="仿宋" w:eastAsia="仿宋" w:cs="仿宋"/>
                <w:color w:val="auto"/>
                <w:spacing w:val="-10"/>
                <w:sz w:val="28"/>
                <w:szCs w:val="28"/>
                <w14:textOutline w14:w="5103" w14:cap="sq" w14:cmpd="sng">
                  <w14:solidFill>
                    <w14:srgbClr w14:val="000000"/>
                  </w14:solidFill>
                  <w14:prstDash w14:val="solid"/>
                  <w14:bevel/>
                </w14:textOutline>
              </w:rPr>
              <w:t>响</w:t>
            </w:r>
            <w:r>
              <w:rPr>
                <w:rFonts w:ascii="仿宋" w:hAnsi="仿宋" w:eastAsia="仿宋" w:cs="仿宋"/>
                <w:color w:val="auto"/>
                <w:spacing w:val="-8"/>
                <w:sz w:val="28"/>
                <w:szCs w:val="28"/>
                <w14:textOutline w14:w="5103" w14:cap="sq" w14:cmpd="sng">
                  <w14:solidFill>
                    <w14:srgbClr w14:val="000000"/>
                  </w14:solidFill>
                  <w14:prstDash w14:val="solid"/>
                  <w14:bevel/>
                </w14:textOutline>
              </w:rPr>
              <w:t>应。</w:t>
            </w:r>
          </w:p>
          <w:p>
            <w:pPr>
              <w:spacing w:before="91" w:line="224" w:lineRule="auto"/>
              <w:ind w:left="139"/>
              <w:rPr>
                <w:rFonts w:hint="eastAsia" w:ascii="仿宋" w:hAnsi="仿宋" w:eastAsia="仿宋" w:cs="仿宋"/>
                <w:color w:val="auto"/>
                <w:spacing w:val="-1"/>
                <w:sz w:val="28"/>
                <w:szCs w:val="28"/>
              </w:rPr>
            </w:pPr>
          </w:p>
        </w:tc>
      </w:tr>
    </w:tbl>
    <w:p>
      <w:pPr>
        <w:spacing w:line="224" w:lineRule="exact"/>
        <w:rPr>
          <w:color w:val="auto"/>
        </w:rPr>
      </w:pPr>
    </w:p>
    <w:p>
      <w:pPr>
        <w:rPr>
          <w:rFonts w:hint="eastAsia"/>
          <w:color w:val="auto"/>
          <w:spacing w:val="20"/>
          <w:sz w:val="21"/>
        </w:rPr>
      </w:pPr>
      <w:r>
        <w:rPr>
          <w:rFonts w:hint="eastAsia"/>
          <w:color w:val="auto"/>
          <w:spacing w:val="20"/>
          <w:sz w:val="21"/>
        </w:rPr>
        <w:br w:type="page"/>
      </w:r>
    </w:p>
    <w:p>
      <w:pPr>
        <w:ind w:firstLine="826" w:firstLineChars="343"/>
        <w:jc w:val="center"/>
        <w:rPr>
          <w:rFonts w:hint="eastAsia" w:ascii="宋体" w:hAnsi="宋体" w:cs="宋体"/>
          <w:b/>
          <w:bCs/>
          <w:color w:val="auto"/>
          <w:szCs w:val="21"/>
        </w:rPr>
      </w:pPr>
    </w:p>
    <w:p>
      <w:pPr>
        <w:ind w:firstLine="826" w:firstLineChars="343"/>
        <w:jc w:val="center"/>
        <w:rPr>
          <w:rFonts w:hint="eastAsia" w:ascii="宋体" w:hAnsi="宋体" w:cs="宋体"/>
          <w:b/>
          <w:bCs/>
          <w:color w:val="auto"/>
          <w:szCs w:val="21"/>
        </w:rPr>
      </w:pPr>
    </w:p>
    <w:p>
      <w:pPr>
        <w:ind w:firstLine="826" w:firstLineChars="343"/>
        <w:jc w:val="center"/>
        <w:rPr>
          <w:rFonts w:hint="eastAsia" w:ascii="宋体" w:hAnsi="宋体" w:cs="宋体"/>
          <w:b/>
          <w:bCs/>
          <w:color w:val="auto"/>
          <w:szCs w:val="21"/>
        </w:rPr>
      </w:pPr>
      <w:r>
        <w:rPr>
          <w:rFonts w:hint="eastAsia" w:ascii="宋体" w:hAnsi="宋体" w:cs="宋体"/>
          <w:b/>
          <w:bCs/>
          <w:color w:val="auto"/>
          <w:szCs w:val="21"/>
        </w:rPr>
        <w:t>综合评标（分）明细表</w:t>
      </w:r>
    </w:p>
    <w:tbl>
      <w:tblPr>
        <w:tblStyle w:val="20"/>
        <w:tblpPr w:leftFromText="180" w:rightFromText="180" w:vertAnchor="text" w:horzAnchor="page" w:tblpX="1381" w:tblpY="355"/>
        <w:tblOverlap w:val="never"/>
        <w:tblW w:w="9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953"/>
        <w:gridCol w:w="523"/>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858" w:type="dxa"/>
            <w:noWrap w:val="0"/>
            <w:vAlign w:val="center"/>
          </w:tcPr>
          <w:p>
            <w:pPr>
              <w:jc w:val="center"/>
              <w:rPr>
                <w:rFonts w:hint="eastAsia" w:ascii="宋体" w:hAnsi="宋体" w:cs="宋体"/>
                <w:b/>
                <w:bCs/>
                <w:color w:val="auto"/>
                <w:sz w:val="24"/>
                <w:szCs w:val="24"/>
              </w:rPr>
            </w:pPr>
            <w:r>
              <w:rPr>
                <w:rFonts w:hint="eastAsia" w:ascii="宋体" w:hAnsi="宋体" w:eastAsia="宋体" w:cs="宋体"/>
                <w:color w:val="auto"/>
                <w:sz w:val="24"/>
                <w:szCs w:val="24"/>
              </w:rPr>
              <w:t>评分因素</w:t>
            </w:r>
          </w:p>
        </w:tc>
        <w:tc>
          <w:tcPr>
            <w:tcW w:w="953" w:type="dxa"/>
            <w:noWrap w:val="0"/>
            <w:vAlign w:val="center"/>
          </w:tcPr>
          <w:p>
            <w:pPr>
              <w:jc w:val="center"/>
              <w:rPr>
                <w:rFonts w:ascii="宋体" w:hAnsi="宋体" w:cs="宋体"/>
                <w:b/>
                <w:bCs/>
                <w:color w:val="auto"/>
                <w:sz w:val="24"/>
                <w:szCs w:val="24"/>
              </w:rPr>
            </w:pPr>
            <w:r>
              <w:rPr>
                <w:rFonts w:hint="eastAsia" w:ascii="宋体" w:hAnsi="宋体" w:cs="宋体"/>
                <w:b/>
                <w:bCs/>
                <w:color w:val="auto"/>
                <w:sz w:val="24"/>
                <w:szCs w:val="24"/>
              </w:rPr>
              <w:t>评分项目</w:t>
            </w:r>
          </w:p>
        </w:tc>
        <w:tc>
          <w:tcPr>
            <w:tcW w:w="523" w:type="dxa"/>
            <w:noWrap w:val="0"/>
            <w:vAlign w:val="center"/>
          </w:tcPr>
          <w:p>
            <w:pPr>
              <w:jc w:val="center"/>
              <w:rPr>
                <w:rFonts w:ascii="宋体" w:hAnsi="宋体" w:cs="宋体"/>
                <w:b/>
                <w:bCs/>
                <w:color w:val="auto"/>
                <w:sz w:val="24"/>
                <w:szCs w:val="24"/>
              </w:rPr>
            </w:pPr>
            <w:r>
              <w:rPr>
                <w:rFonts w:hint="eastAsia" w:ascii="宋体" w:hAnsi="宋体" w:cs="宋体"/>
                <w:b/>
                <w:bCs/>
                <w:color w:val="auto"/>
                <w:sz w:val="24"/>
                <w:szCs w:val="24"/>
              </w:rPr>
              <w:t>分值</w:t>
            </w:r>
          </w:p>
        </w:tc>
        <w:tc>
          <w:tcPr>
            <w:tcW w:w="6942" w:type="dxa"/>
            <w:noWrap w:val="0"/>
            <w:vAlign w:val="center"/>
          </w:tcPr>
          <w:p>
            <w:pPr>
              <w:jc w:val="center"/>
              <w:rPr>
                <w:rFonts w:ascii="宋体" w:hAnsi="宋体" w:cs="宋体"/>
                <w:b/>
                <w:bCs/>
                <w:color w:val="auto"/>
                <w:sz w:val="24"/>
                <w:szCs w:val="24"/>
              </w:rPr>
            </w:pPr>
            <w:r>
              <w:rPr>
                <w:rFonts w:hint="eastAsia" w:ascii="宋体" w:hAnsi="宋体" w:cs="宋体"/>
                <w:b/>
                <w:bCs/>
                <w:color w:val="auto"/>
                <w:sz w:val="24"/>
                <w:szCs w:val="24"/>
              </w:rPr>
              <w:t xml:space="preserve">评分标准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trPr>
        <w:tc>
          <w:tcPr>
            <w:tcW w:w="858"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价格评审</w:t>
            </w:r>
          </w:p>
        </w:tc>
        <w:tc>
          <w:tcPr>
            <w:tcW w:w="953" w:type="dxa"/>
            <w:noWrap w:val="0"/>
            <w:vAlign w:val="center"/>
          </w:tcPr>
          <w:p>
            <w:pPr>
              <w:jc w:val="center"/>
              <w:rPr>
                <w:rFonts w:hint="eastAsia" w:ascii="宋体" w:hAnsi="宋体" w:cs="宋体"/>
                <w:b/>
                <w:bCs/>
                <w:color w:val="auto"/>
                <w:sz w:val="24"/>
                <w:szCs w:val="24"/>
              </w:rPr>
            </w:pPr>
            <w:r>
              <w:rPr>
                <w:rFonts w:hint="eastAsia" w:ascii="宋体" w:hAnsi="宋体" w:eastAsia="宋体" w:cs="宋体"/>
                <w:color w:val="auto"/>
                <w:sz w:val="24"/>
                <w:szCs w:val="24"/>
              </w:rPr>
              <w:t>投标报价</w:t>
            </w:r>
          </w:p>
        </w:tc>
        <w:tc>
          <w:tcPr>
            <w:tcW w:w="523" w:type="dxa"/>
            <w:noWrap w:val="0"/>
            <w:vAlign w:val="center"/>
          </w:tcPr>
          <w:p>
            <w:pPr>
              <w:jc w:val="center"/>
              <w:rPr>
                <w:rFonts w:hint="eastAsia" w:ascii="宋体" w:hAnsi="宋体" w:cs="宋体"/>
                <w:b/>
                <w:bCs/>
                <w:color w:val="auto"/>
                <w:sz w:val="24"/>
                <w:szCs w:val="24"/>
              </w:rPr>
            </w:pPr>
            <w:r>
              <w:rPr>
                <w:rFonts w:hint="eastAsia" w:ascii="宋体" w:hAnsi="宋体" w:eastAsia="宋体" w:cs="宋体"/>
                <w:color w:val="auto"/>
                <w:sz w:val="24"/>
                <w:szCs w:val="24"/>
              </w:rPr>
              <w:t>30分</w:t>
            </w:r>
          </w:p>
        </w:tc>
        <w:tc>
          <w:tcPr>
            <w:tcW w:w="6942" w:type="dxa"/>
            <w:noWrap w:val="0"/>
            <w:vAlign w:val="center"/>
          </w:tcPr>
          <w:p>
            <w:pPr>
              <w:jc w:val="left"/>
              <w:rPr>
                <w:rFonts w:hint="eastAsia"/>
                <w:color w:val="auto"/>
              </w:rPr>
            </w:pPr>
            <w:r>
              <w:rPr>
                <w:rFonts w:hint="eastAsia" w:ascii="宋体" w:hAnsi="宋体" w:eastAsia="宋体" w:cs="宋体"/>
                <w:color w:val="auto"/>
                <w:sz w:val="24"/>
                <w:szCs w:val="24"/>
              </w:rPr>
              <w:t>评标基准价=有效投标报价的最</w:t>
            </w:r>
            <w:r>
              <w:rPr>
                <w:rFonts w:hint="eastAsia" w:ascii="宋体" w:hAnsi="宋体" w:eastAsia="宋体" w:cs="宋体"/>
                <w:color w:val="auto"/>
                <w:sz w:val="24"/>
                <w:szCs w:val="24"/>
                <w:lang w:eastAsia="zh-CN"/>
              </w:rPr>
              <w:t>高</w:t>
            </w:r>
            <w:r>
              <w:rPr>
                <w:rFonts w:hint="eastAsia" w:ascii="宋体" w:hAnsi="宋体" w:eastAsia="宋体" w:cs="宋体"/>
                <w:color w:val="auto"/>
                <w:sz w:val="24"/>
                <w:szCs w:val="24"/>
              </w:rPr>
              <w:t>值，有效投标报价等于基准值的得满分，投标报价得分= （投标报价/评标基准价）×价格权重×100。有效投标报价为通过初步审查的供应商报价</w:t>
            </w:r>
          </w:p>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注：本项目1、产品符合促进中小企业（监狱企业、残疾人福利性单位）发展政策的，对小型和微型企业（监狱企业、残疾人福利性单位）产品的价格给予10%的扣除，用扣除后的价格参与评审打分。 </w:t>
            </w:r>
          </w:p>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若投标人和小微企业的产品/服务制造商有一个符合小微企业条件，并且提供了《中小企业声明函》，则其评标价=投标人报价中属于小型和微型企业产品/服务的价格部分×（100%-10%）+投标人报价中不属于小型和微型企业产品/服务的价格部分；否则，其评标价=投标人报价。  </w:t>
            </w:r>
          </w:p>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3、小型、微型企业提供大型企业制造的货物的，视同为大型企业，不享受本项优惠。</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4、投标供应商须提供中小企业申明函。中小企业参加政府采购活动，应当出具本办法规定的《中小企业声明函》，否则不得享受相关中小企业扶持政策。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858" w:type="dxa"/>
            <w:vMerge w:val="restart"/>
            <w:noWrap w:val="0"/>
            <w:vAlign w:val="center"/>
          </w:tcPr>
          <w:p>
            <w:pPr>
              <w:jc w:val="center"/>
              <w:rPr>
                <w:rFonts w:hint="eastAsia" w:ascii="宋体" w:hAnsi="宋体" w:eastAsia="宋体" w:cs="宋体"/>
                <w:color w:val="auto"/>
                <w:sz w:val="24"/>
                <w:szCs w:val="24"/>
                <w:lang w:eastAsia="zh-TW"/>
              </w:rPr>
            </w:pPr>
            <w:r>
              <w:rPr>
                <w:rFonts w:hint="eastAsia" w:ascii="宋体" w:hAnsi="宋体" w:eastAsia="宋体" w:cs="宋体"/>
                <w:color w:val="auto"/>
                <w:sz w:val="24"/>
                <w:szCs w:val="24"/>
              </w:rPr>
              <w:t>商务标评审（</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分）</w:t>
            </w:r>
          </w:p>
        </w:tc>
        <w:tc>
          <w:tcPr>
            <w:tcW w:w="953" w:type="dxa"/>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业绩评分</w:t>
            </w:r>
          </w:p>
        </w:tc>
        <w:tc>
          <w:tcPr>
            <w:tcW w:w="523" w:type="dxa"/>
            <w:noWrap w:val="0"/>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3分</w:t>
            </w:r>
          </w:p>
        </w:tc>
        <w:tc>
          <w:tcPr>
            <w:tcW w:w="6942" w:type="dxa"/>
            <w:noWrap w:val="0"/>
            <w:vAlign w:val="center"/>
          </w:tcPr>
          <w:p>
            <w:pPr>
              <w:jc w:val="left"/>
              <w:rPr>
                <w:rFonts w:hint="eastAsia" w:ascii="宋体" w:hAnsi="宋体" w:eastAsia="宋体" w:cs="宋体"/>
                <w:color w:val="auto"/>
                <w:sz w:val="24"/>
                <w:szCs w:val="24"/>
                <w:lang w:val="en-US" w:eastAsia="zh-CN"/>
              </w:rPr>
            </w:pPr>
            <w:r>
              <w:rPr>
                <w:rFonts w:hint="eastAsia" w:ascii="宋体" w:hAnsi="宋体" w:cs="宋体"/>
                <w:color w:val="auto"/>
                <w:sz w:val="24"/>
                <w:szCs w:val="24"/>
              </w:rPr>
              <w:t>供应商提供清晰可辨的自2020年1月1日起至开标之日内的业绩材料</w:t>
            </w:r>
            <w:r>
              <w:rPr>
                <w:rFonts w:hint="eastAsia" w:ascii="宋体" w:hAnsi="宋体" w:cs="宋体"/>
                <w:color w:val="auto"/>
                <w:sz w:val="24"/>
                <w:szCs w:val="24"/>
                <w:lang w:eastAsia="zh-CN"/>
              </w:rPr>
              <w:t>，</w:t>
            </w:r>
            <w:r>
              <w:rPr>
                <w:rFonts w:hint="eastAsia" w:ascii="宋体" w:hAnsi="宋体" w:cs="宋体"/>
                <w:color w:val="auto"/>
                <w:sz w:val="24"/>
                <w:szCs w:val="24"/>
              </w:rPr>
              <w:t>时间以合同签订日期为准。业绩证明以供应商实际提供的中标通知书</w:t>
            </w:r>
            <w:r>
              <w:rPr>
                <w:rFonts w:hint="eastAsia" w:ascii="宋体" w:hAnsi="宋体" w:cs="宋体"/>
                <w:color w:val="auto"/>
                <w:sz w:val="24"/>
                <w:szCs w:val="24"/>
                <w:lang w:val="en-US" w:eastAsia="zh-CN"/>
              </w:rPr>
              <w:t>和合同扫描件为准</w:t>
            </w:r>
            <w:r>
              <w:rPr>
                <w:rFonts w:hint="eastAsia" w:ascii="宋体" w:hAnsi="宋体" w:cs="宋体"/>
                <w:color w:val="auto"/>
                <w:sz w:val="24"/>
                <w:szCs w:val="24"/>
              </w:rPr>
              <w:t>。不符合要求的业绩不得分。每提供一份合格的采购项目业绩证明材料得1分。业绩分满分为</w:t>
            </w:r>
            <w:r>
              <w:rPr>
                <w:rFonts w:hint="eastAsia" w:ascii="宋体" w:hAnsi="宋体" w:cs="宋体"/>
                <w:color w:val="auto"/>
                <w:sz w:val="24"/>
                <w:szCs w:val="24"/>
                <w:lang w:val="en-US" w:eastAsia="zh-CN"/>
              </w:rPr>
              <w:t>3</w:t>
            </w:r>
            <w:r>
              <w:rPr>
                <w:rFonts w:hint="eastAsia" w:ascii="宋体" w:hAnsi="宋体" w:cs="宋体"/>
                <w:color w:val="auto"/>
                <w:sz w:val="24"/>
                <w:szCs w:val="24"/>
              </w:rPr>
              <w:t>分，最低分为0分。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858" w:type="dxa"/>
            <w:vMerge w:val="continue"/>
            <w:noWrap w:val="0"/>
            <w:vAlign w:val="center"/>
          </w:tcPr>
          <w:p>
            <w:pPr>
              <w:jc w:val="center"/>
              <w:rPr>
                <w:rFonts w:hint="eastAsia" w:ascii="宋体" w:hAnsi="宋体" w:eastAsia="宋体" w:cs="宋体"/>
                <w:color w:val="auto"/>
                <w:sz w:val="24"/>
                <w:szCs w:val="24"/>
              </w:rPr>
            </w:pPr>
          </w:p>
        </w:tc>
        <w:tc>
          <w:tcPr>
            <w:tcW w:w="953" w:type="dxa"/>
            <w:noWrap w:val="0"/>
            <w:vAlign w:val="center"/>
          </w:tcPr>
          <w:p>
            <w:pPr>
              <w:jc w:val="center"/>
              <w:rPr>
                <w:rFonts w:hint="eastAsia" w:ascii="宋体" w:hAnsi="宋体" w:cs="宋体"/>
                <w:color w:val="auto"/>
                <w:sz w:val="24"/>
                <w:szCs w:val="24"/>
              </w:rPr>
            </w:pPr>
            <w:r>
              <w:rPr>
                <w:rFonts w:hint="eastAsia" w:ascii="宋体" w:hAnsi="宋体" w:eastAsia="宋体" w:cs="宋体"/>
                <w:color w:val="auto"/>
                <w:sz w:val="24"/>
                <w:szCs w:val="24"/>
              </w:rPr>
              <w:t>团队人员配置</w:t>
            </w:r>
          </w:p>
        </w:tc>
        <w:tc>
          <w:tcPr>
            <w:tcW w:w="523" w:type="dxa"/>
            <w:noWrap w:val="0"/>
            <w:vAlign w:val="center"/>
          </w:tcPr>
          <w:p>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4分</w:t>
            </w:r>
          </w:p>
        </w:tc>
        <w:tc>
          <w:tcPr>
            <w:tcW w:w="6942" w:type="dxa"/>
            <w:noWrap w:val="0"/>
            <w:vAlign w:val="center"/>
          </w:tcPr>
          <w:p>
            <w:pPr>
              <w:jc w:val="left"/>
              <w:rPr>
                <w:rFonts w:hint="eastAsia" w:ascii="宋体" w:hAnsi="宋体" w:cs="宋体"/>
                <w:color w:val="auto"/>
                <w:sz w:val="24"/>
                <w:szCs w:val="24"/>
              </w:rPr>
            </w:pPr>
            <w:r>
              <w:rPr>
                <w:rFonts w:hint="eastAsia" w:ascii="宋体" w:hAnsi="宋体" w:cs="宋体"/>
                <w:color w:val="auto"/>
                <w:sz w:val="24"/>
                <w:szCs w:val="24"/>
              </w:rPr>
              <w:t>提供投入</w:t>
            </w:r>
            <w:r>
              <w:rPr>
                <w:rFonts w:hint="eastAsia" w:ascii="宋体" w:hAnsi="宋体" w:cs="宋体"/>
                <w:color w:val="auto"/>
                <w:sz w:val="24"/>
                <w:szCs w:val="24"/>
                <w:lang w:val="en-US" w:eastAsia="zh-CN"/>
              </w:rPr>
              <w:t>工程师</w:t>
            </w:r>
            <w:r>
              <w:rPr>
                <w:rFonts w:hint="eastAsia" w:ascii="宋体" w:hAnsi="宋体" w:cs="宋体"/>
                <w:color w:val="auto"/>
                <w:sz w:val="24"/>
                <w:szCs w:val="24"/>
              </w:rPr>
              <w:t>人员名单，同时提供相应的专业能力证明材料</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每提供一人得1分，满分4分</w:t>
            </w:r>
            <w:r>
              <w:rPr>
                <w:rFonts w:hint="eastAsia" w:ascii="宋体" w:hAnsi="宋体" w:cs="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858" w:type="dxa"/>
            <w:vMerge w:val="continue"/>
            <w:noWrap w:val="0"/>
            <w:vAlign w:val="center"/>
          </w:tcPr>
          <w:p>
            <w:pPr>
              <w:jc w:val="center"/>
              <w:rPr>
                <w:rFonts w:hint="eastAsia" w:ascii="宋体" w:hAnsi="宋体" w:eastAsia="宋体" w:cs="宋体"/>
                <w:color w:val="auto"/>
                <w:sz w:val="24"/>
                <w:szCs w:val="24"/>
              </w:rPr>
            </w:pPr>
          </w:p>
        </w:tc>
        <w:tc>
          <w:tcPr>
            <w:tcW w:w="953" w:type="dxa"/>
            <w:noWrap w:val="0"/>
            <w:vAlign w:val="top"/>
          </w:tcPr>
          <w:p>
            <w:pPr>
              <w:jc w:val="center"/>
              <w:rPr>
                <w:rFonts w:hint="eastAsia" w:ascii="宋体" w:hAnsi="宋体" w:eastAsia="宋体" w:cs="宋体"/>
                <w:color w:val="auto"/>
                <w:sz w:val="24"/>
                <w:szCs w:val="24"/>
                <w:lang w:val="en-US" w:eastAsia="zh-CN"/>
              </w:rPr>
            </w:pPr>
          </w:p>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质保期</w:t>
            </w:r>
          </w:p>
        </w:tc>
        <w:tc>
          <w:tcPr>
            <w:tcW w:w="523" w:type="dxa"/>
            <w:noWrap w:val="0"/>
            <w:vAlign w:val="top"/>
          </w:tcPr>
          <w:p>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分</w:t>
            </w:r>
          </w:p>
        </w:tc>
        <w:tc>
          <w:tcPr>
            <w:tcW w:w="6942" w:type="dxa"/>
            <w:noWrap w:val="0"/>
            <w:vAlign w:val="top"/>
          </w:tcPr>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满足招标文件质保期得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分，每超过招标文件要求质保期一年，加</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分，满分</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trPr>
        <w:tc>
          <w:tcPr>
            <w:tcW w:w="858" w:type="dxa"/>
            <w:vMerge w:val="restart"/>
            <w:noWrap w:val="0"/>
            <w:vAlign w:val="center"/>
          </w:tcPr>
          <w:p>
            <w:pPr>
              <w:jc w:val="center"/>
              <w:rPr>
                <w:rFonts w:hint="eastAsia" w:ascii="宋体" w:hAnsi="宋体" w:cs="宋体"/>
                <w:color w:val="auto"/>
                <w:sz w:val="24"/>
                <w:szCs w:val="24"/>
                <w:lang w:eastAsia="zh-CN"/>
              </w:rPr>
            </w:pPr>
            <w:r>
              <w:rPr>
                <w:rFonts w:hint="eastAsia" w:ascii="宋体" w:hAnsi="宋体" w:cs="宋体"/>
                <w:color w:val="auto"/>
                <w:sz w:val="24"/>
                <w:szCs w:val="24"/>
                <w:lang w:eastAsia="zh-CN"/>
              </w:rPr>
              <w:t>技术分 (6</w:t>
            </w:r>
            <w:r>
              <w:rPr>
                <w:rFonts w:hint="eastAsia" w:ascii="宋体" w:hAnsi="宋体" w:cs="宋体"/>
                <w:color w:val="auto"/>
                <w:sz w:val="24"/>
                <w:szCs w:val="24"/>
                <w:lang w:val="en-US" w:eastAsia="zh-CN"/>
              </w:rPr>
              <w:t>0</w:t>
            </w:r>
            <w:r>
              <w:rPr>
                <w:rFonts w:hint="eastAsia" w:ascii="宋体" w:hAnsi="宋体" w:cs="宋体"/>
                <w:color w:val="auto"/>
                <w:sz w:val="24"/>
                <w:szCs w:val="24"/>
                <w:lang w:eastAsia="zh-CN"/>
              </w:rPr>
              <w:t xml:space="preserve"> 分)</w:t>
            </w:r>
          </w:p>
        </w:tc>
        <w:tc>
          <w:tcPr>
            <w:tcW w:w="953" w:type="dxa"/>
            <w:noWrap w:val="0"/>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技术参数响应</w:t>
            </w:r>
          </w:p>
        </w:tc>
        <w:tc>
          <w:tcPr>
            <w:tcW w:w="523" w:type="dxa"/>
            <w:noWrap w:val="0"/>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28</w:t>
            </w:r>
          </w:p>
        </w:tc>
        <w:tc>
          <w:tcPr>
            <w:tcW w:w="6942" w:type="dxa"/>
            <w:noWrap w:val="0"/>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供应商须在《技术规格偏离表》中对第四章《采购需求》所有条款逐条说明响应内容及是否存在偏离等情况</w:t>
            </w:r>
            <w:r>
              <w:rPr>
                <w:rFonts w:hint="eastAsia" w:ascii="宋体" w:hAnsi="宋体" w:eastAsia="宋体" w:cs="宋体"/>
                <w:color w:val="auto"/>
                <w:sz w:val="24"/>
                <w:szCs w:val="24"/>
                <w:lang w:eastAsia="zh-CN"/>
              </w:rPr>
              <w:t>，评标专家参照</w:t>
            </w:r>
            <w:r>
              <w:rPr>
                <w:rFonts w:hint="eastAsia" w:ascii="宋体" w:hAnsi="宋体" w:eastAsia="宋体" w:cs="宋体"/>
                <w:color w:val="auto"/>
                <w:sz w:val="24"/>
                <w:szCs w:val="24"/>
                <w:lang w:val="en-US" w:eastAsia="zh-CN"/>
              </w:rPr>
              <w:t>投标人提供的产品技术白皮书、检验报告、说明书等进行评审：</w:t>
            </w:r>
          </w:p>
          <w:p>
            <w:pPr>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投标供应商提供的产品/设备技术规格和配置完全符合招标文件要求，完全满足得</w:t>
            </w:r>
            <w:r>
              <w:rPr>
                <w:rFonts w:hint="eastAsia" w:ascii="宋体" w:hAnsi="宋体" w:cs="宋体"/>
                <w:color w:val="auto"/>
                <w:sz w:val="24"/>
                <w:szCs w:val="24"/>
                <w:lang w:val="en-US" w:eastAsia="zh-CN"/>
              </w:rPr>
              <w:t>28</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带</w:t>
            </w:r>
            <w:r>
              <w:rPr>
                <w:rFonts w:hint="default" w:ascii="仿宋" w:hAnsi="仿宋" w:eastAsia="仿宋" w:cs="仿宋"/>
                <w:color w:val="auto"/>
                <w:sz w:val="28"/>
                <w:szCs w:val="28"/>
                <w:lang w:val="en-US" w:eastAsia="zh-CN"/>
              </w:rPr>
              <w:t>★</w:t>
            </w:r>
            <w:r>
              <w:rPr>
                <w:rFonts w:hint="eastAsia" w:ascii="仿宋" w:hAnsi="仿宋" w:eastAsia="仿宋" w:cs="仿宋"/>
                <w:color w:val="auto"/>
                <w:sz w:val="28"/>
                <w:szCs w:val="28"/>
                <w:lang w:val="en-US" w:eastAsia="zh-CN"/>
              </w:rPr>
              <w:t>的参数</w:t>
            </w:r>
            <w:r>
              <w:rPr>
                <w:rFonts w:hint="eastAsia" w:ascii="宋体" w:hAnsi="宋体" w:eastAsia="宋体" w:cs="宋体"/>
                <w:color w:val="auto"/>
                <w:sz w:val="24"/>
                <w:szCs w:val="24"/>
              </w:rPr>
              <w:t>有一项</w:t>
            </w:r>
            <w:r>
              <w:rPr>
                <w:rFonts w:hint="eastAsia" w:ascii="宋体" w:hAnsi="宋体" w:cs="宋体"/>
                <w:color w:val="auto"/>
                <w:sz w:val="24"/>
                <w:szCs w:val="24"/>
                <w:lang w:eastAsia="zh-CN"/>
              </w:rPr>
              <w:t>负偏离</w:t>
            </w:r>
            <w:r>
              <w:rPr>
                <w:rFonts w:hint="eastAsia" w:ascii="宋体" w:hAnsi="宋体" w:eastAsia="宋体" w:cs="宋体"/>
                <w:color w:val="auto"/>
                <w:sz w:val="24"/>
                <w:szCs w:val="24"/>
              </w:rPr>
              <w:t>扣</w:t>
            </w:r>
            <w:r>
              <w:rPr>
                <w:rFonts w:hint="eastAsia" w:ascii="宋体" w:hAnsi="宋体" w:cs="宋体"/>
                <w:color w:val="auto"/>
                <w:sz w:val="24"/>
                <w:szCs w:val="24"/>
                <w:lang w:val="en-US" w:eastAsia="zh-CN"/>
              </w:rPr>
              <w:t>0.5</w:t>
            </w:r>
            <w:r>
              <w:rPr>
                <w:rFonts w:hint="eastAsia" w:ascii="宋体" w:hAnsi="宋体" w:eastAsia="宋体" w:cs="宋体"/>
                <w:color w:val="auto"/>
                <w:sz w:val="24"/>
                <w:szCs w:val="24"/>
              </w:rPr>
              <w:t>分，</w:t>
            </w:r>
            <w:r>
              <w:rPr>
                <w:rFonts w:hint="eastAsia" w:ascii="宋体" w:hAnsi="宋体" w:cs="宋体"/>
                <w:color w:val="auto"/>
                <w:sz w:val="24"/>
                <w:szCs w:val="24"/>
                <w:lang w:val="en-US" w:eastAsia="zh-CN"/>
              </w:rPr>
              <w:t>其余参数有一项</w:t>
            </w:r>
            <w:r>
              <w:rPr>
                <w:rFonts w:hint="eastAsia" w:ascii="宋体" w:hAnsi="宋体" w:cs="宋体"/>
                <w:color w:val="auto"/>
                <w:sz w:val="24"/>
                <w:szCs w:val="24"/>
                <w:lang w:eastAsia="zh-CN"/>
              </w:rPr>
              <w:t>负偏离</w:t>
            </w:r>
            <w:r>
              <w:rPr>
                <w:rFonts w:hint="eastAsia" w:ascii="宋体" w:hAnsi="宋体" w:cs="宋体"/>
                <w:color w:val="auto"/>
                <w:sz w:val="24"/>
                <w:szCs w:val="24"/>
                <w:lang w:val="en-US" w:eastAsia="zh-CN"/>
              </w:rPr>
              <w:t>扣0.25分</w:t>
            </w:r>
            <w:r>
              <w:rPr>
                <w:rFonts w:hint="eastAsia" w:ascii="宋体" w:hAnsi="宋体" w:eastAsia="宋体" w:cs="宋体"/>
                <w:color w:val="auto"/>
                <w:sz w:val="24"/>
                <w:szCs w:val="24"/>
              </w:rPr>
              <w:t>直至本项分值扣完为止。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858" w:type="dxa"/>
            <w:vMerge w:val="continue"/>
            <w:noWrap w:val="0"/>
            <w:vAlign w:val="center"/>
          </w:tcPr>
          <w:p>
            <w:pPr>
              <w:jc w:val="center"/>
              <w:rPr>
                <w:rFonts w:hint="eastAsia" w:ascii="宋体" w:hAnsi="宋体" w:cs="宋体"/>
                <w:color w:val="auto"/>
                <w:sz w:val="24"/>
                <w:szCs w:val="24"/>
                <w:lang w:eastAsia="zh-CN"/>
              </w:rPr>
            </w:pPr>
          </w:p>
        </w:tc>
        <w:tc>
          <w:tcPr>
            <w:tcW w:w="953" w:type="dxa"/>
            <w:noWrap w:val="0"/>
            <w:vAlign w:val="center"/>
          </w:tcPr>
          <w:p>
            <w:pPr>
              <w:jc w:val="center"/>
              <w:rPr>
                <w:rFonts w:hint="eastAsia" w:ascii="宋体" w:hAnsi="宋体" w:cs="宋体"/>
                <w:color w:val="auto"/>
                <w:sz w:val="24"/>
                <w:szCs w:val="24"/>
              </w:rPr>
            </w:pPr>
            <w:r>
              <w:rPr>
                <w:color w:val="auto"/>
                <w:sz w:val="24"/>
                <w:szCs w:val="24"/>
              </w:rPr>
              <w:t>项目实施方案</w:t>
            </w:r>
          </w:p>
        </w:tc>
        <w:tc>
          <w:tcPr>
            <w:tcW w:w="523" w:type="dxa"/>
            <w:noWrap w:val="0"/>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20分</w:t>
            </w:r>
          </w:p>
        </w:tc>
        <w:tc>
          <w:tcPr>
            <w:tcW w:w="6942" w:type="dxa"/>
            <w:noWrap w:val="0"/>
            <w:vAlign w:val="center"/>
          </w:tcPr>
          <w:p>
            <w:pPr>
              <w:jc w:val="left"/>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投标人针对本项目制定的详细实施方案，需包括以下内容： （1）项目现状分析； （2）重难点分析及解决办法； （3）工期与供货总体进度安排； （4）货源组织及产品供货质量保障措施； （5）运输方案； （6）</w:t>
            </w:r>
            <w:r>
              <w:rPr>
                <w:rFonts w:hint="eastAsia" w:ascii="宋体" w:hAnsi="宋体" w:eastAsia="宋体" w:cs="宋体"/>
                <w:color w:val="auto"/>
                <w:sz w:val="24"/>
                <w:szCs w:val="24"/>
                <w:lang w:val="en-US" w:eastAsia="zh-CN"/>
              </w:rPr>
              <w:t>设备安装</w:t>
            </w:r>
            <w:r>
              <w:rPr>
                <w:rFonts w:hint="default" w:ascii="宋体" w:hAnsi="宋体" w:eastAsia="宋体" w:cs="宋体"/>
                <w:color w:val="auto"/>
                <w:sz w:val="24"/>
                <w:szCs w:val="24"/>
                <w:lang w:val="en-US" w:eastAsia="zh-CN"/>
              </w:rPr>
              <w:t>方案； （7）合理化建议； （8）应急处理措施； （9）货物备品备件； （10）项目机构设置 。 上述</w:t>
            </w:r>
            <w:r>
              <w:rPr>
                <w:rFonts w:hint="eastAsia" w:ascii="宋体" w:hAnsi="宋体" w:eastAsia="宋体" w:cs="宋体"/>
                <w:color w:val="auto"/>
                <w:sz w:val="24"/>
                <w:szCs w:val="24"/>
                <w:lang w:val="en-US" w:eastAsia="zh-CN"/>
              </w:rPr>
              <w:t>10</w:t>
            </w:r>
            <w:r>
              <w:rPr>
                <w:rFonts w:hint="default" w:ascii="宋体" w:hAnsi="宋体" w:eastAsia="宋体" w:cs="宋体"/>
                <w:color w:val="auto"/>
                <w:sz w:val="24"/>
                <w:szCs w:val="24"/>
                <w:lang w:val="en-US" w:eastAsia="zh-CN"/>
              </w:rPr>
              <w:t>项内容，描述详细明确完全符合项目需求的得</w:t>
            </w:r>
            <w:r>
              <w:rPr>
                <w:rFonts w:hint="eastAsia" w:ascii="宋体" w:hAnsi="宋体" w:cs="宋体"/>
                <w:color w:val="auto"/>
                <w:sz w:val="24"/>
                <w:szCs w:val="24"/>
                <w:lang w:val="en-US" w:eastAsia="zh-CN"/>
              </w:rPr>
              <w:t>20</w:t>
            </w:r>
            <w:r>
              <w:rPr>
                <w:rFonts w:hint="default" w:ascii="宋体" w:hAnsi="宋体" w:eastAsia="宋体" w:cs="宋体"/>
                <w:color w:val="auto"/>
                <w:sz w:val="24"/>
                <w:szCs w:val="24"/>
                <w:lang w:val="en-US" w:eastAsia="zh-CN"/>
              </w:rPr>
              <w:t>分，每缺一项的扣</w:t>
            </w:r>
            <w:r>
              <w:rPr>
                <w:rFonts w:hint="eastAsia" w:ascii="宋体" w:hAnsi="宋体" w:cs="宋体"/>
                <w:color w:val="auto"/>
                <w:sz w:val="24"/>
                <w:szCs w:val="24"/>
                <w:lang w:val="en-US" w:eastAsia="zh-CN"/>
              </w:rPr>
              <w:t>2</w:t>
            </w:r>
            <w:r>
              <w:rPr>
                <w:rFonts w:hint="default" w:ascii="宋体" w:hAnsi="宋体" w:eastAsia="宋体" w:cs="宋体"/>
                <w:color w:val="auto"/>
                <w:sz w:val="24"/>
                <w:szCs w:val="24"/>
                <w:lang w:val="en-US" w:eastAsia="zh-CN"/>
              </w:rPr>
              <w:t>分，每有一项内容有缺陷或不符合项目需求的扣</w:t>
            </w:r>
            <w:r>
              <w:rPr>
                <w:rFonts w:hint="eastAsia" w:ascii="宋体" w:hAnsi="宋体" w:cs="宋体"/>
                <w:color w:val="auto"/>
                <w:sz w:val="24"/>
                <w:szCs w:val="24"/>
                <w:lang w:val="en-US" w:eastAsia="zh-CN"/>
              </w:rPr>
              <w:t>1</w:t>
            </w:r>
            <w:r>
              <w:rPr>
                <w:rFonts w:hint="default" w:ascii="宋体" w:hAnsi="宋体" w:eastAsia="宋体" w:cs="宋体"/>
                <w:color w:val="auto"/>
                <w:sz w:val="24"/>
                <w:szCs w:val="24"/>
                <w:lang w:val="en-US" w:eastAsia="zh-CN"/>
              </w:rPr>
              <w:t>分，直至扣完为止。 注：有缺陷是指：（缺陷是指：内容不够完善、条理不清晰、描述过于简单、与项目特点不匹配、凭空编造、不可能实现的夸大情形、逻辑漏洞、存在不适用项目实际情况的情形等）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8" w:type="dxa"/>
            <w:vMerge w:val="continue"/>
            <w:noWrap w:val="0"/>
            <w:vAlign w:val="center"/>
          </w:tcPr>
          <w:p>
            <w:pPr>
              <w:jc w:val="center"/>
              <w:rPr>
                <w:rFonts w:hint="eastAsia" w:ascii="宋体" w:hAnsi="宋体" w:cs="宋体"/>
                <w:color w:val="auto"/>
                <w:sz w:val="24"/>
                <w:szCs w:val="24"/>
                <w:lang w:eastAsia="zh-CN"/>
              </w:rPr>
            </w:pPr>
          </w:p>
        </w:tc>
        <w:tc>
          <w:tcPr>
            <w:tcW w:w="953" w:type="dxa"/>
            <w:noWrap w:val="0"/>
            <w:vAlign w:val="center"/>
          </w:tcPr>
          <w:p>
            <w:pPr>
              <w:jc w:val="center"/>
              <w:rPr>
                <w:color w:val="auto"/>
                <w:sz w:val="24"/>
                <w:szCs w:val="24"/>
              </w:rPr>
            </w:pPr>
            <w:r>
              <w:rPr>
                <w:color w:val="auto"/>
                <w:sz w:val="24"/>
                <w:szCs w:val="24"/>
              </w:rPr>
              <w:t>售后服务方案</w:t>
            </w:r>
          </w:p>
        </w:tc>
        <w:tc>
          <w:tcPr>
            <w:tcW w:w="523" w:type="dxa"/>
            <w:noWrap w:val="0"/>
            <w:vAlign w:val="center"/>
          </w:tcPr>
          <w:p>
            <w:pPr>
              <w:jc w:val="center"/>
              <w:rPr>
                <w:rFonts w:hint="default"/>
                <w:color w:val="auto"/>
                <w:sz w:val="24"/>
                <w:szCs w:val="24"/>
                <w:lang w:val="en-US"/>
              </w:rPr>
            </w:pPr>
            <w:r>
              <w:rPr>
                <w:rFonts w:hint="eastAsia" w:ascii="宋体" w:hAnsi="宋体" w:cs="宋体"/>
                <w:color w:val="auto"/>
                <w:sz w:val="24"/>
                <w:szCs w:val="24"/>
                <w:lang w:val="en-US" w:eastAsia="zh-CN"/>
              </w:rPr>
              <w:t>12分</w:t>
            </w:r>
          </w:p>
        </w:tc>
        <w:tc>
          <w:tcPr>
            <w:tcW w:w="6942" w:type="dxa"/>
            <w:noWrap w:val="0"/>
            <w:vAlign w:val="center"/>
          </w:tcPr>
          <w:p>
            <w:pPr>
              <w:jc w:val="left"/>
              <w:rPr>
                <w:rFonts w:hint="eastAsia" w:ascii="宋体" w:hAnsi="宋体" w:cs="宋体"/>
                <w:color w:val="auto"/>
                <w:sz w:val="24"/>
                <w:szCs w:val="24"/>
              </w:rPr>
            </w:pPr>
            <w:r>
              <w:rPr>
                <w:rFonts w:hint="eastAsia" w:ascii="宋体" w:hAnsi="宋体" w:cs="宋体"/>
                <w:color w:val="auto"/>
                <w:sz w:val="24"/>
                <w:szCs w:val="24"/>
              </w:rPr>
              <w:t>投标人针对本项目制定的详细售后服务方案，需包括以下内容： （1）售后服务承诺和保障措施；； （</w:t>
            </w:r>
            <w:r>
              <w:rPr>
                <w:rFonts w:hint="eastAsia" w:ascii="宋体" w:hAnsi="宋体" w:cs="宋体"/>
                <w:color w:val="auto"/>
                <w:sz w:val="24"/>
                <w:szCs w:val="24"/>
                <w:lang w:val="en-US" w:eastAsia="zh-CN"/>
              </w:rPr>
              <w:t>2</w:t>
            </w:r>
            <w:r>
              <w:rPr>
                <w:rFonts w:hint="eastAsia" w:ascii="宋体" w:hAnsi="宋体" w:cs="宋体"/>
                <w:color w:val="auto"/>
                <w:sz w:val="24"/>
                <w:szCs w:val="24"/>
              </w:rPr>
              <w:t>）</w:t>
            </w:r>
            <w:r>
              <w:rPr>
                <w:rFonts w:hint="eastAsia" w:ascii="宋体" w:hAnsi="宋体" w:cs="宋体"/>
                <w:color w:val="auto"/>
                <w:sz w:val="24"/>
                <w:szCs w:val="24"/>
                <w:lang w:val="en-US" w:eastAsia="zh-CN"/>
              </w:rPr>
              <w:t>设备保养</w:t>
            </w:r>
            <w:r>
              <w:rPr>
                <w:rFonts w:hint="eastAsia" w:ascii="宋体" w:hAnsi="宋体" w:cs="宋体"/>
                <w:color w:val="auto"/>
                <w:sz w:val="24"/>
                <w:szCs w:val="24"/>
              </w:rPr>
              <w:t>服务方案； （</w:t>
            </w:r>
            <w:r>
              <w:rPr>
                <w:rFonts w:hint="eastAsia" w:ascii="宋体" w:hAnsi="宋体" w:cs="宋体"/>
                <w:color w:val="auto"/>
                <w:sz w:val="24"/>
                <w:szCs w:val="24"/>
                <w:lang w:val="en-US" w:eastAsia="zh-CN"/>
              </w:rPr>
              <w:t>3</w:t>
            </w:r>
            <w:r>
              <w:rPr>
                <w:rFonts w:hint="eastAsia" w:ascii="宋体" w:hAnsi="宋体" w:cs="宋体"/>
                <w:color w:val="auto"/>
                <w:sz w:val="24"/>
                <w:szCs w:val="24"/>
              </w:rPr>
              <w:t>）售后人员安排、响应时间； （</w:t>
            </w:r>
            <w:r>
              <w:rPr>
                <w:rFonts w:hint="eastAsia" w:ascii="宋体" w:hAnsi="宋体" w:cs="宋体"/>
                <w:color w:val="auto"/>
                <w:sz w:val="24"/>
                <w:szCs w:val="24"/>
                <w:lang w:val="en-US" w:eastAsia="zh-CN"/>
              </w:rPr>
              <w:t>4</w:t>
            </w:r>
            <w:r>
              <w:rPr>
                <w:rFonts w:hint="eastAsia" w:ascii="宋体" w:hAnsi="宋体" w:cs="宋体"/>
                <w:color w:val="auto"/>
                <w:sz w:val="24"/>
                <w:szCs w:val="24"/>
              </w:rPr>
              <w:t>）售后服务体系； （</w:t>
            </w:r>
            <w:r>
              <w:rPr>
                <w:rFonts w:hint="eastAsia" w:ascii="宋体" w:hAnsi="宋体" w:cs="宋体"/>
                <w:color w:val="auto"/>
                <w:sz w:val="24"/>
                <w:szCs w:val="24"/>
                <w:lang w:val="en-US" w:eastAsia="zh-CN"/>
              </w:rPr>
              <w:t>5</w:t>
            </w:r>
            <w:r>
              <w:rPr>
                <w:rFonts w:hint="eastAsia" w:ascii="宋体" w:hAnsi="宋体" w:cs="宋体"/>
                <w:color w:val="auto"/>
                <w:sz w:val="24"/>
                <w:szCs w:val="24"/>
              </w:rPr>
              <w:t>）售后服务网点； （</w:t>
            </w:r>
            <w:r>
              <w:rPr>
                <w:rFonts w:hint="eastAsia" w:ascii="宋体" w:hAnsi="宋体" w:cs="宋体"/>
                <w:color w:val="auto"/>
                <w:sz w:val="24"/>
                <w:szCs w:val="24"/>
                <w:lang w:val="en-US" w:eastAsia="zh-CN"/>
              </w:rPr>
              <w:t>6</w:t>
            </w:r>
            <w:r>
              <w:rPr>
                <w:rFonts w:hint="eastAsia" w:ascii="宋体" w:hAnsi="宋体" w:cs="宋体"/>
                <w:color w:val="auto"/>
                <w:sz w:val="24"/>
                <w:szCs w:val="24"/>
              </w:rPr>
              <w:t>）技术培训方案。 上述</w:t>
            </w:r>
            <w:r>
              <w:rPr>
                <w:rFonts w:hint="eastAsia" w:ascii="宋体" w:hAnsi="宋体" w:cs="宋体"/>
                <w:color w:val="auto"/>
                <w:sz w:val="24"/>
                <w:szCs w:val="24"/>
                <w:lang w:val="en-US" w:eastAsia="zh-CN"/>
              </w:rPr>
              <w:t>6</w:t>
            </w:r>
            <w:r>
              <w:rPr>
                <w:rFonts w:hint="eastAsia" w:ascii="宋体" w:hAnsi="宋体" w:cs="宋体"/>
                <w:color w:val="auto"/>
                <w:sz w:val="24"/>
                <w:szCs w:val="24"/>
              </w:rPr>
              <w:t>项内容，描述详细明确完全符合项目需求的得</w:t>
            </w:r>
            <w:r>
              <w:rPr>
                <w:rFonts w:hint="eastAsia" w:ascii="宋体" w:hAnsi="宋体" w:cs="宋体"/>
                <w:color w:val="auto"/>
                <w:sz w:val="24"/>
                <w:szCs w:val="24"/>
                <w:lang w:val="en-US" w:eastAsia="zh-CN"/>
              </w:rPr>
              <w:t>12</w:t>
            </w:r>
            <w:r>
              <w:rPr>
                <w:rFonts w:hint="eastAsia" w:ascii="宋体" w:hAnsi="宋体" w:cs="宋体"/>
                <w:color w:val="auto"/>
                <w:sz w:val="24"/>
                <w:szCs w:val="24"/>
              </w:rPr>
              <w:t>分，每缺一项的扣</w:t>
            </w:r>
            <w:r>
              <w:rPr>
                <w:rFonts w:hint="eastAsia" w:ascii="宋体" w:hAnsi="宋体" w:cs="宋体"/>
                <w:color w:val="auto"/>
                <w:sz w:val="24"/>
                <w:szCs w:val="24"/>
                <w:lang w:val="en-US" w:eastAsia="zh-CN"/>
              </w:rPr>
              <w:t>2</w:t>
            </w:r>
            <w:r>
              <w:rPr>
                <w:rFonts w:hint="eastAsia" w:ascii="宋体" w:hAnsi="宋体" w:cs="宋体"/>
                <w:color w:val="auto"/>
                <w:sz w:val="24"/>
                <w:szCs w:val="24"/>
              </w:rPr>
              <w:t>分，每有一项内容有缺陷或不符合项目需求的扣</w:t>
            </w:r>
            <w:r>
              <w:rPr>
                <w:rFonts w:hint="eastAsia" w:ascii="宋体" w:hAnsi="宋体" w:cs="宋体"/>
                <w:color w:val="auto"/>
                <w:sz w:val="24"/>
                <w:szCs w:val="24"/>
                <w:lang w:val="en-US" w:eastAsia="zh-CN"/>
              </w:rPr>
              <w:t>1</w:t>
            </w:r>
            <w:r>
              <w:rPr>
                <w:rFonts w:hint="eastAsia" w:ascii="宋体" w:hAnsi="宋体" w:cs="宋体"/>
                <w:color w:val="auto"/>
                <w:sz w:val="24"/>
                <w:szCs w:val="24"/>
              </w:rPr>
              <w:t>分，直至扣完为止。 注：有缺陷是指：（缺陷是指：内容不够完善、条理不清晰、描述过于简单、与项目特点不匹配、凭空编造、不可能实现的夸大情形、逻辑漏洞、存在不适用项目实际情况的情形等）</w:t>
            </w:r>
          </w:p>
        </w:tc>
      </w:tr>
    </w:tbl>
    <w:p>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jc w:val="left"/>
        <w:textAlignment w:val="auto"/>
        <w:outlineLvl w:val="9"/>
        <w:rPr>
          <w:rFonts w:hint="eastAsia" w:ascii="宋体" w:hAnsi="宋体" w:eastAsia="宋体" w:cs="宋体"/>
          <w:bCs/>
          <w:color w:val="auto"/>
          <w:sz w:val="21"/>
          <w:szCs w:val="21"/>
          <w:lang w:val="zh-CN"/>
        </w:rPr>
      </w:pPr>
    </w:p>
    <w:p>
      <w:pPr>
        <w:rPr>
          <w:rFonts w:hint="eastAsia" w:eastAsia="黑体"/>
          <w:b/>
          <w:bCs/>
          <w:color w:val="auto"/>
          <w:spacing w:val="20"/>
          <w:sz w:val="30"/>
        </w:rPr>
      </w:pPr>
      <w:r>
        <w:rPr>
          <w:rFonts w:hint="eastAsia" w:eastAsia="黑体"/>
          <w:b/>
          <w:bCs/>
          <w:color w:val="auto"/>
          <w:spacing w:val="20"/>
          <w:sz w:val="30"/>
        </w:rPr>
        <w:br w:type="page"/>
      </w:r>
    </w:p>
    <w:p>
      <w:pPr>
        <w:spacing w:line="400" w:lineRule="exact"/>
        <w:jc w:val="center"/>
        <w:rPr>
          <w:rFonts w:hint="eastAsia" w:eastAsia="黑体"/>
          <w:b/>
          <w:bCs/>
          <w:color w:val="auto"/>
          <w:spacing w:val="20"/>
          <w:sz w:val="30"/>
        </w:rPr>
      </w:pPr>
      <w:r>
        <w:rPr>
          <w:rFonts w:hint="eastAsia" w:eastAsia="黑体"/>
          <w:b/>
          <w:bCs/>
          <w:color w:val="auto"/>
          <w:spacing w:val="20"/>
          <w:sz w:val="30"/>
        </w:rPr>
        <w:t>第五部分</w:t>
      </w:r>
      <w:r>
        <w:rPr>
          <w:rFonts w:hint="eastAsia" w:eastAsia="黑体"/>
          <w:b/>
          <w:bCs/>
          <w:color w:val="auto"/>
          <w:spacing w:val="20"/>
          <w:sz w:val="30"/>
          <w:lang w:val="en-US" w:eastAsia="zh-CN"/>
        </w:rPr>
        <w:t>投标文件及</w:t>
      </w:r>
      <w:r>
        <w:rPr>
          <w:rFonts w:hint="eastAsia" w:eastAsia="黑体"/>
          <w:b/>
          <w:bCs/>
          <w:color w:val="auto"/>
          <w:spacing w:val="20"/>
          <w:sz w:val="30"/>
        </w:rPr>
        <w:t>附件格式</w:t>
      </w:r>
    </w:p>
    <w:p>
      <w:pPr>
        <w:pStyle w:val="7"/>
        <w:rPr>
          <w:rFonts w:hint="eastAsia" w:eastAsia="黑体"/>
          <w:b/>
          <w:bCs/>
          <w:color w:val="auto"/>
          <w:spacing w:val="20"/>
          <w:sz w:val="30"/>
          <w:u w:val="single"/>
          <w:lang w:val="en-US" w:eastAsia="zh-CN"/>
        </w:rPr>
      </w:pPr>
    </w:p>
    <w:p>
      <w:pPr>
        <w:pStyle w:val="8"/>
        <w:ind w:left="0" w:leftChars="0" w:firstLine="0" w:firstLineChars="0"/>
        <w:rPr>
          <w:rFonts w:hint="eastAsia"/>
          <w:color w:val="auto"/>
          <w:lang w:val="en-US" w:eastAsia="zh-CN"/>
        </w:rPr>
      </w:pPr>
    </w:p>
    <w:p>
      <w:pPr>
        <w:pStyle w:val="8"/>
        <w:ind w:left="0" w:leftChars="0" w:firstLine="0" w:firstLineChars="0"/>
        <w:rPr>
          <w:rFonts w:hint="eastAsia" w:eastAsia="黑体"/>
          <w:b w:val="0"/>
          <w:bCs w:val="0"/>
          <w:color w:val="auto"/>
          <w:spacing w:val="20"/>
          <w:sz w:val="30"/>
          <w:u w:val="none"/>
          <w:lang w:val="en-US" w:eastAsia="zh-CN"/>
        </w:rPr>
      </w:pPr>
      <w:r>
        <w:rPr>
          <w:rFonts w:hint="eastAsia" w:eastAsia="黑体"/>
          <w:b w:val="0"/>
          <w:bCs w:val="0"/>
          <w:color w:val="auto"/>
          <w:spacing w:val="20"/>
          <w:sz w:val="30"/>
          <w:u w:val="none"/>
          <w:lang w:val="en-US" w:eastAsia="zh-CN"/>
        </w:rPr>
        <w:t>项目编码：</w:t>
      </w:r>
    </w:p>
    <w:p>
      <w:pPr>
        <w:rPr>
          <w:rFonts w:hint="eastAsia" w:eastAsia="黑体"/>
          <w:b/>
          <w:bCs/>
          <w:color w:val="auto"/>
          <w:spacing w:val="20"/>
          <w:sz w:val="72"/>
          <w:szCs w:val="72"/>
          <w:u w:val="none"/>
          <w:lang w:val="en-US" w:eastAsia="zh-CN"/>
        </w:rPr>
      </w:pPr>
    </w:p>
    <w:p>
      <w:pPr>
        <w:pStyle w:val="7"/>
        <w:rPr>
          <w:rFonts w:hint="eastAsia"/>
          <w:color w:val="auto"/>
          <w:lang w:val="en-US" w:eastAsia="zh-CN"/>
        </w:rPr>
      </w:pPr>
    </w:p>
    <w:p>
      <w:pPr>
        <w:rPr>
          <w:rFonts w:hint="eastAsia" w:eastAsia="黑体"/>
          <w:b/>
          <w:bCs/>
          <w:color w:val="auto"/>
          <w:spacing w:val="20"/>
          <w:sz w:val="72"/>
          <w:szCs w:val="72"/>
          <w:u w:val="none"/>
          <w:lang w:val="en-US" w:eastAsia="zh-CN"/>
        </w:rPr>
      </w:pPr>
    </w:p>
    <w:p>
      <w:pPr>
        <w:jc w:val="center"/>
        <w:rPr>
          <w:rFonts w:hint="eastAsia" w:eastAsia="黑体"/>
          <w:b/>
          <w:bCs/>
          <w:color w:val="auto"/>
          <w:spacing w:val="20"/>
          <w:sz w:val="72"/>
          <w:szCs w:val="72"/>
          <w:u w:val="none"/>
          <w:lang w:val="en-US" w:eastAsia="zh-CN"/>
        </w:rPr>
      </w:pPr>
      <w:r>
        <w:rPr>
          <w:rFonts w:hint="eastAsia" w:eastAsia="黑体"/>
          <w:b/>
          <w:bCs/>
          <w:color w:val="auto"/>
          <w:spacing w:val="20"/>
          <w:sz w:val="72"/>
          <w:szCs w:val="72"/>
          <w:u w:val="none"/>
          <w:lang w:val="en-US" w:eastAsia="zh-CN"/>
        </w:rPr>
        <w:t>投 标 文 件</w:t>
      </w:r>
    </w:p>
    <w:p>
      <w:pPr>
        <w:pStyle w:val="7"/>
        <w:rPr>
          <w:rFonts w:hint="eastAsia" w:eastAsia="黑体"/>
          <w:b/>
          <w:bCs/>
          <w:color w:val="auto"/>
          <w:spacing w:val="20"/>
          <w:sz w:val="30"/>
          <w:u w:val="single"/>
          <w:lang w:val="en-US" w:eastAsia="zh-CN"/>
        </w:rPr>
      </w:pPr>
    </w:p>
    <w:p>
      <w:pPr>
        <w:pStyle w:val="8"/>
        <w:rPr>
          <w:rFonts w:hint="eastAsia" w:eastAsia="黑体"/>
          <w:b/>
          <w:bCs/>
          <w:color w:val="auto"/>
          <w:spacing w:val="20"/>
          <w:sz w:val="30"/>
          <w:u w:val="single"/>
          <w:lang w:val="en-US" w:eastAsia="zh-CN"/>
        </w:rPr>
      </w:pPr>
    </w:p>
    <w:p>
      <w:pPr>
        <w:rPr>
          <w:rFonts w:hint="eastAsia" w:eastAsia="黑体"/>
          <w:b/>
          <w:bCs/>
          <w:color w:val="auto"/>
          <w:spacing w:val="20"/>
          <w:sz w:val="30"/>
          <w:u w:val="single"/>
          <w:lang w:val="en-US" w:eastAsia="zh-CN"/>
        </w:rPr>
      </w:pPr>
    </w:p>
    <w:p>
      <w:pPr>
        <w:pStyle w:val="7"/>
        <w:rPr>
          <w:rFonts w:hint="eastAsia" w:eastAsia="黑体"/>
          <w:b/>
          <w:bCs/>
          <w:color w:val="auto"/>
          <w:spacing w:val="20"/>
          <w:sz w:val="30"/>
          <w:u w:val="single"/>
          <w:lang w:val="en-US" w:eastAsia="zh-CN"/>
        </w:rPr>
      </w:pPr>
    </w:p>
    <w:p>
      <w:pPr>
        <w:pStyle w:val="8"/>
        <w:rPr>
          <w:rFonts w:hint="eastAsia"/>
          <w:color w:val="auto"/>
          <w:lang w:val="en-US" w:eastAsia="zh-CN"/>
        </w:rPr>
      </w:pPr>
    </w:p>
    <w:p>
      <w:pPr>
        <w:pStyle w:val="7"/>
        <w:rPr>
          <w:rFonts w:hint="eastAsia" w:eastAsia="黑体"/>
          <w:b/>
          <w:bCs/>
          <w:color w:val="auto"/>
          <w:spacing w:val="20"/>
          <w:sz w:val="30"/>
          <w:u w:val="single"/>
          <w:lang w:val="en-US" w:eastAsia="zh-CN"/>
        </w:rPr>
      </w:pPr>
    </w:p>
    <w:p>
      <w:pPr>
        <w:pStyle w:val="7"/>
        <w:rPr>
          <w:rFonts w:hint="eastAsia" w:eastAsia="黑体"/>
          <w:b w:val="0"/>
          <w:bCs w:val="0"/>
          <w:color w:val="auto"/>
          <w:spacing w:val="20"/>
          <w:sz w:val="30"/>
          <w:u w:val="single"/>
          <w:lang w:val="en-US" w:eastAsia="zh-CN"/>
        </w:rPr>
      </w:pPr>
      <w:r>
        <w:rPr>
          <w:rFonts w:hint="eastAsia" w:eastAsia="黑体"/>
          <w:b w:val="0"/>
          <w:bCs w:val="0"/>
          <w:color w:val="auto"/>
          <w:spacing w:val="20"/>
          <w:sz w:val="30"/>
          <w:u w:val="single"/>
          <w:lang w:val="en-US" w:eastAsia="zh-CN"/>
        </w:rPr>
        <w:t>项目名称：</w:t>
      </w:r>
    </w:p>
    <w:p>
      <w:pPr>
        <w:rPr>
          <w:rFonts w:hint="eastAsia" w:eastAsia="黑体"/>
          <w:b w:val="0"/>
          <w:bCs w:val="0"/>
          <w:color w:val="auto"/>
          <w:spacing w:val="20"/>
          <w:sz w:val="30"/>
          <w:u w:val="single"/>
          <w:lang w:val="en-US" w:eastAsia="zh-CN"/>
        </w:rPr>
      </w:pPr>
      <w:r>
        <w:rPr>
          <w:rFonts w:hint="eastAsia" w:eastAsia="黑体"/>
          <w:b w:val="0"/>
          <w:bCs w:val="0"/>
          <w:color w:val="auto"/>
          <w:spacing w:val="20"/>
          <w:sz w:val="30"/>
          <w:u w:val="single"/>
          <w:lang w:val="en-US" w:eastAsia="zh-CN"/>
        </w:rPr>
        <w:t>投标单位（盖章）：</w:t>
      </w:r>
    </w:p>
    <w:p>
      <w:pPr>
        <w:rPr>
          <w:rFonts w:hint="eastAsia" w:eastAsia="黑体"/>
          <w:b w:val="0"/>
          <w:bCs w:val="0"/>
          <w:color w:val="auto"/>
          <w:spacing w:val="20"/>
          <w:sz w:val="30"/>
          <w:u w:val="single"/>
          <w:lang w:val="en-US" w:eastAsia="zh-CN"/>
        </w:rPr>
      </w:pPr>
    </w:p>
    <w:p>
      <w:pPr>
        <w:rPr>
          <w:rFonts w:hint="eastAsia" w:eastAsia="黑体"/>
          <w:b w:val="0"/>
          <w:bCs w:val="0"/>
          <w:color w:val="auto"/>
          <w:spacing w:val="20"/>
          <w:sz w:val="30"/>
          <w:u w:val="single"/>
          <w:lang w:val="en-US" w:eastAsia="zh-CN"/>
        </w:rPr>
      </w:pPr>
      <w:r>
        <w:rPr>
          <w:rFonts w:hint="eastAsia" w:eastAsia="黑体"/>
          <w:b w:val="0"/>
          <w:bCs w:val="0"/>
          <w:color w:val="auto"/>
          <w:spacing w:val="20"/>
          <w:sz w:val="30"/>
          <w:u w:val="single"/>
          <w:lang w:val="en-US" w:eastAsia="zh-CN"/>
        </w:rPr>
        <w:t>法定代表人（签字盖章）：</w:t>
      </w:r>
    </w:p>
    <w:p>
      <w:pPr>
        <w:rPr>
          <w:rFonts w:hint="eastAsia" w:eastAsia="黑体"/>
          <w:b w:val="0"/>
          <w:bCs w:val="0"/>
          <w:color w:val="auto"/>
          <w:spacing w:val="20"/>
          <w:sz w:val="30"/>
          <w:u w:val="single"/>
          <w:lang w:val="en-US" w:eastAsia="zh-CN"/>
        </w:rPr>
      </w:pPr>
    </w:p>
    <w:p>
      <w:pPr>
        <w:rPr>
          <w:rFonts w:hint="eastAsia" w:eastAsia="黑体"/>
          <w:b w:val="0"/>
          <w:bCs w:val="0"/>
          <w:color w:val="auto"/>
          <w:spacing w:val="20"/>
          <w:sz w:val="30"/>
          <w:u w:val="single"/>
          <w:lang w:val="en-US" w:eastAsia="zh-CN"/>
        </w:rPr>
      </w:pPr>
      <w:r>
        <w:rPr>
          <w:rFonts w:hint="eastAsia" w:eastAsia="黑体"/>
          <w:b w:val="0"/>
          <w:bCs w:val="0"/>
          <w:color w:val="auto"/>
          <w:spacing w:val="20"/>
          <w:sz w:val="30"/>
          <w:u w:val="single"/>
          <w:lang w:val="en-US" w:eastAsia="zh-CN"/>
        </w:rPr>
        <w:t>地址：</w:t>
      </w:r>
    </w:p>
    <w:p>
      <w:pPr>
        <w:pStyle w:val="7"/>
        <w:rPr>
          <w:rFonts w:hint="eastAsia" w:eastAsia="黑体"/>
          <w:b w:val="0"/>
          <w:bCs w:val="0"/>
          <w:color w:val="auto"/>
          <w:spacing w:val="20"/>
          <w:sz w:val="30"/>
          <w:u w:val="single"/>
          <w:lang w:val="en-US" w:eastAsia="zh-CN"/>
        </w:rPr>
      </w:pPr>
    </w:p>
    <w:p>
      <w:pPr>
        <w:pStyle w:val="7"/>
        <w:rPr>
          <w:rFonts w:hint="default"/>
          <w:b w:val="0"/>
          <w:bCs w:val="0"/>
          <w:color w:val="auto"/>
          <w:lang w:val="en-US" w:eastAsia="zh-CN"/>
        </w:rPr>
      </w:pPr>
      <w:r>
        <w:rPr>
          <w:rFonts w:hint="eastAsia" w:eastAsia="黑体"/>
          <w:b w:val="0"/>
          <w:bCs w:val="0"/>
          <w:color w:val="auto"/>
          <w:spacing w:val="20"/>
          <w:sz w:val="30"/>
          <w:u w:val="single"/>
          <w:lang w:val="en-US" w:eastAsia="zh-CN"/>
        </w:rPr>
        <w:t>联系人：</w:t>
      </w:r>
    </w:p>
    <w:p>
      <w:pPr>
        <w:rPr>
          <w:rFonts w:hint="eastAsia" w:eastAsia="黑体"/>
          <w:b w:val="0"/>
          <w:bCs w:val="0"/>
          <w:color w:val="auto"/>
          <w:spacing w:val="20"/>
          <w:sz w:val="30"/>
          <w:u w:val="single"/>
          <w:lang w:val="en-US" w:eastAsia="zh-CN"/>
        </w:rPr>
      </w:pPr>
    </w:p>
    <w:p>
      <w:pPr>
        <w:rPr>
          <w:rFonts w:hint="eastAsia" w:eastAsia="黑体"/>
          <w:b w:val="0"/>
          <w:bCs w:val="0"/>
          <w:color w:val="auto"/>
          <w:spacing w:val="20"/>
          <w:sz w:val="30"/>
          <w:u w:val="single"/>
          <w:lang w:val="en-US" w:eastAsia="zh-CN"/>
        </w:rPr>
      </w:pPr>
      <w:r>
        <w:rPr>
          <w:rFonts w:hint="eastAsia" w:eastAsia="黑体"/>
          <w:b w:val="0"/>
          <w:bCs w:val="0"/>
          <w:color w:val="auto"/>
          <w:spacing w:val="20"/>
          <w:sz w:val="30"/>
          <w:u w:val="single"/>
          <w:lang w:val="en-US" w:eastAsia="zh-CN"/>
        </w:rPr>
        <w:t>联系电话：</w:t>
      </w:r>
    </w:p>
    <w:p>
      <w:pPr>
        <w:pStyle w:val="7"/>
        <w:rPr>
          <w:rFonts w:hint="eastAsia" w:eastAsia="黑体"/>
          <w:b w:val="0"/>
          <w:bCs w:val="0"/>
          <w:color w:val="auto"/>
          <w:spacing w:val="20"/>
          <w:sz w:val="30"/>
          <w:u w:val="single"/>
          <w:lang w:val="en-US" w:eastAsia="zh-CN"/>
        </w:rPr>
      </w:pPr>
    </w:p>
    <w:p>
      <w:pPr>
        <w:pStyle w:val="7"/>
        <w:rPr>
          <w:rFonts w:hint="default"/>
          <w:b w:val="0"/>
          <w:bCs w:val="0"/>
          <w:color w:val="auto"/>
          <w:lang w:val="en-US" w:eastAsia="zh-CN"/>
        </w:rPr>
      </w:pPr>
      <w:r>
        <w:rPr>
          <w:rFonts w:hint="eastAsia" w:eastAsia="黑体"/>
          <w:b w:val="0"/>
          <w:bCs w:val="0"/>
          <w:color w:val="auto"/>
          <w:spacing w:val="20"/>
          <w:sz w:val="30"/>
          <w:u w:val="single"/>
          <w:lang w:val="en-US" w:eastAsia="zh-CN"/>
        </w:rPr>
        <w:t xml:space="preserve">日期：  年  月  日 </w:t>
      </w:r>
    </w:p>
    <w:p>
      <w:pPr>
        <w:pStyle w:val="7"/>
        <w:rPr>
          <w:rFonts w:hint="default"/>
          <w:color w:val="auto"/>
          <w:lang w:val="en-US" w:eastAsia="zh-CN"/>
        </w:rPr>
      </w:pPr>
    </w:p>
    <w:p>
      <w:pPr>
        <w:rPr>
          <w:rFonts w:hint="default"/>
          <w:color w:val="auto"/>
          <w:lang w:val="en-US" w:eastAsia="zh-CN"/>
        </w:rPr>
      </w:pPr>
    </w:p>
    <w:p>
      <w:pPr>
        <w:pStyle w:val="7"/>
        <w:rPr>
          <w:rFonts w:hint="default"/>
          <w:color w:val="auto"/>
          <w:lang w:val="en-US" w:eastAsia="zh-CN"/>
        </w:rPr>
      </w:pPr>
    </w:p>
    <w:p>
      <w:pPr>
        <w:pStyle w:val="8"/>
        <w:rPr>
          <w:rFonts w:hint="default"/>
          <w:color w:val="auto"/>
          <w:lang w:val="en-US" w:eastAsia="zh-CN"/>
        </w:rPr>
      </w:pPr>
    </w:p>
    <w:p>
      <w:pPr>
        <w:rPr>
          <w:rFonts w:hint="default"/>
          <w:color w:val="auto"/>
          <w:lang w:val="en-US" w:eastAsia="zh-CN"/>
        </w:rPr>
      </w:pPr>
      <w:r>
        <w:rPr>
          <w:rFonts w:hint="eastAsia"/>
          <w:color w:val="auto"/>
          <w:lang w:val="en-US" w:eastAsia="zh-CN"/>
        </w:rPr>
        <w:t>目录：（自拟）</w:t>
      </w:r>
    </w:p>
    <w:p>
      <w:pPr>
        <w:spacing w:line="400" w:lineRule="exact"/>
        <w:ind w:firstLine="420" w:firstLineChars="200"/>
        <w:rPr>
          <w:rFonts w:hint="eastAsia"/>
          <w:color w:val="auto"/>
          <w:sz w:val="21"/>
        </w:rPr>
      </w:pPr>
    </w:p>
    <w:p>
      <w:pPr>
        <w:spacing w:line="400" w:lineRule="exact"/>
        <w:ind w:firstLine="420" w:firstLineChars="200"/>
        <w:rPr>
          <w:rFonts w:hint="eastAsia"/>
          <w:color w:val="auto"/>
          <w:sz w:val="21"/>
        </w:rPr>
      </w:pPr>
    </w:p>
    <w:p>
      <w:pPr>
        <w:spacing w:line="400" w:lineRule="exact"/>
        <w:ind w:firstLine="420" w:firstLineChars="200"/>
        <w:rPr>
          <w:rFonts w:hint="eastAsia"/>
          <w:color w:val="auto"/>
          <w:sz w:val="21"/>
        </w:rPr>
      </w:pPr>
    </w:p>
    <w:p>
      <w:pPr>
        <w:spacing w:line="400" w:lineRule="exact"/>
        <w:ind w:firstLine="420" w:firstLineChars="200"/>
        <w:rPr>
          <w:rFonts w:hint="eastAsia"/>
          <w:color w:val="auto"/>
          <w:sz w:val="21"/>
        </w:rPr>
      </w:pPr>
    </w:p>
    <w:p>
      <w:pPr>
        <w:spacing w:line="400" w:lineRule="exact"/>
        <w:ind w:firstLine="420" w:firstLineChars="200"/>
        <w:rPr>
          <w:rFonts w:hint="eastAsia"/>
          <w:color w:val="auto"/>
          <w:sz w:val="21"/>
        </w:rPr>
      </w:pPr>
    </w:p>
    <w:p>
      <w:pPr>
        <w:spacing w:line="400" w:lineRule="exact"/>
        <w:ind w:firstLine="420" w:firstLineChars="200"/>
        <w:rPr>
          <w:rFonts w:hint="eastAsia"/>
          <w:color w:val="auto"/>
          <w:sz w:val="21"/>
        </w:rPr>
      </w:pPr>
    </w:p>
    <w:p>
      <w:pPr>
        <w:spacing w:line="400" w:lineRule="exact"/>
        <w:ind w:firstLine="420" w:firstLineChars="200"/>
        <w:rPr>
          <w:rFonts w:hint="eastAsia"/>
          <w:color w:val="auto"/>
          <w:sz w:val="21"/>
        </w:rPr>
      </w:pPr>
    </w:p>
    <w:p>
      <w:pPr>
        <w:spacing w:line="400" w:lineRule="exact"/>
        <w:ind w:firstLine="420" w:firstLineChars="200"/>
        <w:rPr>
          <w:rFonts w:hint="eastAsia"/>
          <w:color w:val="auto"/>
          <w:sz w:val="21"/>
        </w:rPr>
      </w:pPr>
    </w:p>
    <w:p>
      <w:pPr>
        <w:spacing w:line="400" w:lineRule="exact"/>
        <w:ind w:firstLine="420" w:firstLineChars="200"/>
        <w:rPr>
          <w:rFonts w:hint="eastAsia"/>
          <w:color w:val="auto"/>
          <w:sz w:val="21"/>
        </w:rPr>
      </w:pPr>
    </w:p>
    <w:p>
      <w:pPr>
        <w:spacing w:line="400" w:lineRule="exact"/>
        <w:ind w:firstLine="420" w:firstLineChars="200"/>
        <w:rPr>
          <w:rFonts w:hint="eastAsia"/>
          <w:color w:val="auto"/>
          <w:sz w:val="21"/>
        </w:rPr>
      </w:pPr>
    </w:p>
    <w:p>
      <w:pPr>
        <w:spacing w:line="400" w:lineRule="exact"/>
        <w:ind w:firstLine="420" w:firstLineChars="200"/>
        <w:rPr>
          <w:rFonts w:hint="eastAsia"/>
          <w:color w:val="auto"/>
          <w:sz w:val="21"/>
        </w:rPr>
      </w:pPr>
    </w:p>
    <w:p>
      <w:pPr>
        <w:spacing w:line="400" w:lineRule="exact"/>
        <w:ind w:firstLine="420" w:firstLineChars="200"/>
        <w:rPr>
          <w:rFonts w:hint="eastAsia"/>
          <w:color w:val="auto"/>
          <w:sz w:val="21"/>
        </w:rPr>
      </w:pPr>
    </w:p>
    <w:p>
      <w:pPr>
        <w:spacing w:line="400" w:lineRule="exact"/>
        <w:ind w:firstLine="420" w:firstLineChars="200"/>
        <w:rPr>
          <w:rFonts w:hint="eastAsia"/>
          <w:color w:val="auto"/>
          <w:sz w:val="21"/>
        </w:rPr>
      </w:pPr>
    </w:p>
    <w:p>
      <w:pPr>
        <w:spacing w:line="400" w:lineRule="exact"/>
        <w:ind w:firstLine="420" w:firstLineChars="200"/>
        <w:rPr>
          <w:rFonts w:hint="eastAsia"/>
          <w:color w:val="auto"/>
          <w:sz w:val="21"/>
        </w:rPr>
      </w:pPr>
    </w:p>
    <w:p>
      <w:pPr>
        <w:spacing w:line="400" w:lineRule="exact"/>
        <w:ind w:firstLine="420" w:firstLineChars="200"/>
        <w:rPr>
          <w:rFonts w:hint="eastAsia"/>
          <w:color w:val="auto"/>
          <w:sz w:val="21"/>
        </w:rPr>
      </w:pPr>
    </w:p>
    <w:p>
      <w:pPr>
        <w:spacing w:line="400" w:lineRule="exact"/>
        <w:ind w:firstLine="420" w:firstLineChars="200"/>
        <w:rPr>
          <w:rFonts w:hint="eastAsia"/>
          <w:color w:val="auto"/>
          <w:sz w:val="21"/>
        </w:rPr>
      </w:pPr>
    </w:p>
    <w:p>
      <w:pPr>
        <w:spacing w:line="400" w:lineRule="exact"/>
        <w:ind w:firstLine="420" w:firstLineChars="200"/>
        <w:rPr>
          <w:rFonts w:hint="eastAsia"/>
          <w:color w:val="auto"/>
          <w:sz w:val="21"/>
        </w:rPr>
      </w:pPr>
    </w:p>
    <w:p>
      <w:pPr>
        <w:spacing w:line="400" w:lineRule="exact"/>
        <w:ind w:firstLine="420" w:firstLineChars="200"/>
        <w:rPr>
          <w:rFonts w:hint="eastAsia"/>
          <w:color w:val="auto"/>
          <w:sz w:val="21"/>
        </w:rPr>
      </w:pPr>
    </w:p>
    <w:p>
      <w:pPr>
        <w:spacing w:line="400" w:lineRule="exact"/>
        <w:ind w:firstLine="420" w:firstLineChars="200"/>
        <w:rPr>
          <w:rFonts w:hint="eastAsia"/>
          <w:color w:val="auto"/>
          <w:sz w:val="21"/>
        </w:rPr>
      </w:pPr>
    </w:p>
    <w:p>
      <w:pPr>
        <w:spacing w:line="400" w:lineRule="exact"/>
        <w:ind w:firstLine="420" w:firstLineChars="200"/>
        <w:rPr>
          <w:rFonts w:hint="eastAsia"/>
          <w:color w:val="auto"/>
          <w:sz w:val="21"/>
        </w:rPr>
      </w:pPr>
    </w:p>
    <w:p>
      <w:pPr>
        <w:spacing w:line="400" w:lineRule="exact"/>
        <w:ind w:firstLine="420" w:firstLineChars="200"/>
        <w:rPr>
          <w:rFonts w:hint="eastAsia"/>
          <w:color w:val="auto"/>
          <w:sz w:val="21"/>
        </w:rPr>
      </w:pPr>
    </w:p>
    <w:p>
      <w:pPr>
        <w:spacing w:line="400" w:lineRule="exact"/>
        <w:ind w:firstLine="420" w:firstLineChars="200"/>
        <w:rPr>
          <w:rFonts w:hint="eastAsia"/>
          <w:color w:val="auto"/>
          <w:sz w:val="21"/>
        </w:rPr>
      </w:pPr>
    </w:p>
    <w:p>
      <w:pPr>
        <w:spacing w:line="400" w:lineRule="exact"/>
        <w:ind w:firstLine="420" w:firstLineChars="200"/>
        <w:rPr>
          <w:rFonts w:hint="eastAsia"/>
          <w:color w:val="auto"/>
          <w:sz w:val="21"/>
        </w:rPr>
      </w:pPr>
    </w:p>
    <w:p>
      <w:pPr>
        <w:spacing w:line="400" w:lineRule="exact"/>
        <w:ind w:firstLine="420" w:firstLineChars="200"/>
        <w:rPr>
          <w:rFonts w:hint="eastAsia"/>
          <w:color w:val="auto"/>
          <w:sz w:val="21"/>
        </w:rPr>
      </w:pPr>
    </w:p>
    <w:p>
      <w:pPr>
        <w:spacing w:line="400" w:lineRule="exact"/>
        <w:ind w:firstLine="420" w:firstLineChars="200"/>
        <w:rPr>
          <w:rFonts w:hint="eastAsia"/>
          <w:color w:val="auto"/>
          <w:sz w:val="21"/>
        </w:rPr>
      </w:pPr>
    </w:p>
    <w:p>
      <w:pPr>
        <w:spacing w:line="400" w:lineRule="exact"/>
        <w:ind w:firstLine="420" w:firstLineChars="200"/>
        <w:rPr>
          <w:rFonts w:hint="eastAsia"/>
          <w:color w:val="auto"/>
          <w:sz w:val="21"/>
        </w:rPr>
      </w:pPr>
    </w:p>
    <w:p>
      <w:pPr>
        <w:spacing w:line="400" w:lineRule="exact"/>
        <w:ind w:firstLine="420" w:firstLineChars="200"/>
        <w:rPr>
          <w:rFonts w:hint="eastAsia"/>
          <w:color w:val="auto"/>
          <w:sz w:val="21"/>
        </w:rPr>
      </w:pPr>
    </w:p>
    <w:p>
      <w:pPr>
        <w:spacing w:line="400" w:lineRule="exact"/>
        <w:ind w:firstLine="420" w:firstLineChars="200"/>
        <w:rPr>
          <w:rFonts w:hint="eastAsia"/>
          <w:color w:val="auto"/>
          <w:sz w:val="21"/>
        </w:rPr>
      </w:pPr>
    </w:p>
    <w:p>
      <w:pPr>
        <w:spacing w:line="400" w:lineRule="exact"/>
        <w:ind w:firstLine="420" w:firstLineChars="200"/>
        <w:rPr>
          <w:rFonts w:hint="eastAsia"/>
          <w:color w:val="auto"/>
          <w:sz w:val="21"/>
        </w:rPr>
      </w:pPr>
    </w:p>
    <w:p>
      <w:pPr>
        <w:spacing w:line="400" w:lineRule="exact"/>
        <w:ind w:firstLine="420" w:firstLineChars="200"/>
        <w:rPr>
          <w:rFonts w:hint="eastAsia"/>
          <w:color w:val="auto"/>
          <w:sz w:val="21"/>
        </w:rPr>
      </w:pPr>
    </w:p>
    <w:p>
      <w:pPr>
        <w:spacing w:line="400" w:lineRule="exact"/>
        <w:ind w:firstLine="420" w:firstLineChars="200"/>
        <w:rPr>
          <w:rFonts w:hint="eastAsia"/>
          <w:color w:val="auto"/>
          <w:sz w:val="21"/>
        </w:rPr>
      </w:pPr>
    </w:p>
    <w:p>
      <w:pPr>
        <w:spacing w:line="400" w:lineRule="exact"/>
        <w:ind w:firstLine="420" w:firstLineChars="200"/>
        <w:rPr>
          <w:rFonts w:hint="eastAsia"/>
          <w:color w:val="auto"/>
          <w:sz w:val="21"/>
        </w:rPr>
      </w:pPr>
    </w:p>
    <w:p>
      <w:pPr>
        <w:spacing w:line="400" w:lineRule="exact"/>
        <w:ind w:firstLine="420" w:firstLineChars="200"/>
        <w:rPr>
          <w:rFonts w:hint="eastAsia"/>
          <w:color w:val="auto"/>
          <w:sz w:val="21"/>
        </w:rPr>
      </w:pPr>
    </w:p>
    <w:p>
      <w:pPr>
        <w:spacing w:line="400" w:lineRule="exact"/>
        <w:ind w:firstLine="420" w:firstLineChars="200"/>
        <w:rPr>
          <w:rFonts w:hint="eastAsia"/>
          <w:color w:val="auto"/>
          <w:sz w:val="21"/>
        </w:rPr>
      </w:pPr>
    </w:p>
    <w:p>
      <w:pPr>
        <w:spacing w:line="400" w:lineRule="exact"/>
        <w:ind w:firstLine="420" w:firstLineChars="200"/>
        <w:rPr>
          <w:rFonts w:hint="eastAsia"/>
          <w:color w:val="auto"/>
          <w:sz w:val="21"/>
        </w:rPr>
      </w:pPr>
    </w:p>
    <w:p>
      <w:pPr>
        <w:spacing w:line="400" w:lineRule="exact"/>
        <w:ind w:firstLine="420" w:firstLineChars="200"/>
        <w:rPr>
          <w:rFonts w:hint="eastAsia"/>
          <w:color w:val="auto"/>
          <w:sz w:val="21"/>
        </w:rPr>
      </w:pPr>
    </w:p>
    <w:p>
      <w:pPr>
        <w:spacing w:line="400" w:lineRule="exact"/>
        <w:ind w:firstLine="420" w:firstLineChars="200"/>
        <w:rPr>
          <w:rFonts w:hint="eastAsia"/>
          <w:color w:val="auto"/>
          <w:sz w:val="21"/>
        </w:rPr>
      </w:pPr>
      <w:r>
        <w:rPr>
          <w:rFonts w:hint="eastAsia"/>
          <w:color w:val="auto"/>
          <w:sz w:val="21"/>
        </w:rPr>
        <w:t>附件格式如下：</w:t>
      </w:r>
    </w:p>
    <w:p>
      <w:pPr>
        <w:spacing w:line="400" w:lineRule="exact"/>
        <w:rPr>
          <w:rFonts w:hint="eastAsia"/>
          <w:color w:val="auto"/>
          <w:sz w:val="18"/>
        </w:rPr>
      </w:pPr>
      <w:r>
        <w:rPr>
          <w:rFonts w:hint="eastAsia"/>
          <w:b/>
          <w:color w:val="auto"/>
          <w:sz w:val="18"/>
        </w:rPr>
        <w:t>附件1</w:t>
      </w:r>
    </w:p>
    <w:p>
      <w:pPr>
        <w:pStyle w:val="3"/>
        <w:spacing w:line="400" w:lineRule="exact"/>
        <w:jc w:val="center"/>
        <w:rPr>
          <w:rFonts w:hint="eastAsia" w:ascii="宋体" w:hAnsi="宋体" w:cs="宋体"/>
          <w:color w:val="auto"/>
          <w:szCs w:val="28"/>
        </w:rPr>
      </w:pPr>
      <w:bookmarkStart w:id="78" w:name="_Toc217446082"/>
      <w:r>
        <w:rPr>
          <w:rFonts w:hint="eastAsia" w:ascii="宋体" w:hAnsi="宋体" w:cs="宋体"/>
          <w:color w:val="auto"/>
          <w:szCs w:val="28"/>
        </w:rPr>
        <w:t>投 标 函</w:t>
      </w:r>
      <w:bookmarkEnd w:id="78"/>
    </w:p>
    <w:p>
      <w:pPr>
        <w:pStyle w:val="11"/>
        <w:rPr>
          <w:rFonts w:hint="eastAsia" w:cs="宋体"/>
          <w:bCs/>
          <w:color w:val="auto"/>
          <w:sz w:val="24"/>
        </w:rPr>
      </w:pPr>
      <w:r>
        <w:rPr>
          <w:rFonts w:hint="eastAsia" w:cs="宋体"/>
          <w:bCs/>
          <w:color w:val="auto"/>
          <w:sz w:val="24"/>
        </w:rPr>
        <w:t>__________________（采购代理机构名称）：</w:t>
      </w:r>
    </w:p>
    <w:p>
      <w:pPr>
        <w:pStyle w:val="11"/>
        <w:ind w:firstLine="480" w:firstLineChars="200"/>
        <w:rPr>
          <w:rFonts w:hint="eastAsia" w:cs="宋体"/>
          <w:bCs/>
          <w:color w:val="auto"/>
          <w:sz w:val="24"/>
        </w:rPr>
      </w:pPr>
      <w:r>
        <w:rPr>
          <w:rFonts w:hint="eastAsia" w:cs="宋体"/>
          <w:bCs/>
          <w:color w:val="auto"/>
          <w:sz w:val="24"/>
        </w:rPr>
        <w:t>我方全面研究了 “</w:t>
      </w:r>
      <w:r>
        <w:rPr>
          <w:rFonts w:hint="eastAsia" w:cs="宋体"/>
          <w:bCs/>
          <w:color w:val="auto"/>
          <w:sz w:val="24"/>
          <w:u w:val="single"/>
        </w:rPr>
        <w:t xml:space="preserve">         </w:t>
      </w:r>
      <w:r>
        <w:rPr>
          <w:rFonts w:hint="eastAsia" w:cs="宋体"/>
          <w:bCs/>
          <w:color w:val="auto"/>
          <w:sz w:val="24"/>
        </w:rPr>
        <w:t>（项目名称、招标编号）”项目招标文件，决定参加贵单位组织的本项目投标。我方授权</w:t>
      </w:r>
      <w:r>
        <w:rPr>
          <w:rFonts w:hint="eastAsia" w:cs="宋体"/>
          <w:bCs/>
          <w:color w:val="auto"/>
          <w:sz w:val="24"/>
          <w:u w:val="single"/>
        </w:rPr>
        <w:t xml:space="preserve">    </w:t>
      </w:r>
      <w:r>
        <w:rPr>
          <w:rFonts w:hint="eastAsia" w:cs="宋体"/>
          <w:bCs/>
          <w:color w:val="auto"/>
          <w:sz w:val="24"/>
        </w:rPr>
        <w:t>（姓名、职务）代表我方</w:t>
      </w:r>
      <w:r>
        <w:rPr>
          <w:rFonts w:hint="eastAsia" w:cs="宋体"/>
          <w:bCs/>
          <w:color w:val="auto"/>
          <w:sz w:val="24"/>
          <w:u w:val="single"/>
        </w:rPr>
        <w:t xml:space="preserve">        </w:t>
      </w:r>
      <w:r>
        <w:rPr>
          <w:rFonts w:hint="eastAsia" w:cs="宋体"/>
          <w:bCs/>
          <w:color w:val="auto"/>
          <w:sz w:val="24"/>
        </w:rPr>
        <w:t>（投标单位的名称）全权处理本项目投标的有关事宜。</w:t>
      </w:r>
    </w:p>
    <w:p>
      <w:pPr>
        <w:pStyle w:val="11"/>
        <w:ind w:firstLine="480" w:firstLineChars="200"/>
        <w:rPr>
          <w:rFonts w:hint="eastAsia" w:cs="宋体"/>
          <w:bCs/>
          <w:color w:val="auto"/>
          <w:sz w:val="24"/>
        </w:rPr>
      </w:pPr>
      <w:r>
        <w:rPr>
          <w:rFonts w:hint="eastAsia" w:cs="宋体"/>
          <w:bCs/>
          <w:color w:val="auto"/>
          <w:sz w:val="24"/>
        </w:rPr>
        <w:t>1、我方自愿按照招标文件规定的各项要求向采购人提供所需服务，总投标价为人民币</w:t>
      </w:r>
      <w:r>
        <w:rPr>
          <w:rFonts w:hint="eastAsia" w:cs="宋体"/>
          <w:bCs/>
          <w:color w:val="auto"/>
          <w:sz w:val="24"/>
          <w:u w:val="single"/>
        </w:rPr>
        <w:t xml:space="preserve">            </w:t>
      </w:r>
      <w:r>
        <w:rPr>
          <w:rFonts w:hint="eastAsia" w:cs="宋体"/>
          <w:bCs/>
          <w:color w:val="auto"/>
          <w:sz w:val="24"/>
        </w:rPr>
        <w:t>万元（大写：</w:t>
      </w:r>
      <w:r>
        <w:rPr>
          <w:rFonts w:hint="eastAsia" w:cs="宋体"/>
          <w:bCs/>
          <w:color w:val="auto"/>
          <w:sz w:val="24"/>
          <w:u w:val="single"/>
        </w:rPr>
        <w:t xml:space="preserve">                           </w:t>
      </w:r>
      <w:r>
        <w:rPr>
          <w:rFonts w:hint="eastAsia" w:cs="宋体"/>
          <w:bCs/>
          <w:color w:val="auto"/>
          <w:sz w:val="24"/>
        </w:rPr>
        <w:t>），投标有效期</w:t>
      </w:r>
      <w:r>
        <w:rPr>
          <w:rFonts w:hint="eastAsia" w:cs="宋体"/>
          <w:bCs/>
          <w:color w:val="auto"/>
          <w:sz w:val="24"/>
          <w:u w:val="single"/>
        </w:rPr>
        <w:t xml:space="preserve">      </w:t>
      </w:r>
      <w:r>
        <w:rPr>
          <w:rFonts w:hint="eastAsia" w:cs="宋体"/>
          <w:bCs/>
          <w:color w:val="auto"/>
          <w:sz w:val="24"/>
        </w:rPr>
        <w:t>日历天。</w:t>
      </w:r>
    </w:p>
    <w:p>
      <w:pPr>
        <w:pStyle w:val="11"/>
        <w:ind w:firstLine="480" w:firstLineChars="200"/>
        <w:rPr>
          <w:rFonts w:hint="eastAsia" w:cs="宋体"/>
          <w:bCs/>
          <w:color w:val="auto"/>
          <w:sz w:val="24"/>
        </w:rPr>
      </w:pPr>
      <w:r>
        <w:rPr>
          <w:rFonts w:hint="eastAsia" w:cs="宋体"/>
          <w:bCs/>
          <w:color w:val="auto"/>
          <w:sz w:val="24"/>
        </w:rPr>
        <w:t>2、一旦我方中标，我方将严格履行合同规定的责任和义务，保证于合同签字生效后</w:t>
      </w:r>
      <w:r>
        <w:rPr>
          <w:rFonts w:hint="eastAsia" w:cs="宋体"/>
          <w:bCs/>
          <w:color w:val="auto"/>
          <w:sz w:val="24"/>
          <w:u w:val="single"/>
        </w:rPr>
        <w:t xml:space="preserve">     </w:t>
      </w:r>
      <w:r>
        <w:rPr>
          <w:rFonts w:hint="eastAsia" w:cs="宋体"/>
          <w:bCs/>
          <w:color w:val="auto"/>
          <w:sz w:val="24"/>
        </w:rPr>
        <w:t>日内完成应尽义务，并交付采购人验收、使用。</w:t>
      </w:r>
    </w:p>
    <w:p>
      <w:pPr>
        <w:pStyle w:val="11"/>
        <w:ind w:firstLine="480" w:firstLineChars="200"/>
        <w:rPr>
          <w:rFonts w:hint="eastAsia" w:cs="宋体"/>
          <w:bCs/>
          <w:color w:val="auto"/>
          <w:sz w:val="24"/>
        </w:rPr>
      </w:pPr>
      <w:r>
        <w:rPr>
          <w:rFonts w:hint="eastAsia" w:cs="宋体"/>
          <w:bCs/>
          <w:color w:val="auto"/>
          <w:sz w:val="24"/>
        </w:rPr>
        <w:t>3、我方同意按照招标文件的要求，向贵单位交纳人民币</w:t>
      </w:r>
      <w:r>
        <w:rPr>
          <w:rFonts w:hint="eastAsia" w:cs="宋体"/>
          <w:bCs/>
          <w:color w:val="auto"/>
          <w:sz w:val="24"/>
          <w:u w:val="single"/>
        </w:rPr>
        <w:t xml:space="preserve">        </w:t>
      </w:r>
      <w:r>
        <w:rPr>
          <w:rFonts w:hint="eastAsia" w:cs="宋体"/>
          <w:bCs/>
          <w:color w:val="auto"/>
          <w:sz w:val="24"/>
        </w:rPr>
        <w:t>万元（大写：</w:t>
      </w:r>
      <w:r>
        <w:rPr>
          <w:rFonts w:hint="eastAsia" w:cs="宋体"/>
          <w:bCs/>
          <w:color w:val="auto"/>
          <w:sz w:val="24"/>
          <w:u w:val="single"/>
        </w:rPr>
        <w:t xml:space="preserve">            </w:t>
      </w:r>
      <w:r>
        <w:rPr>
          <w:rFonts w:hint="eastAsia" w:cs="宋体"/>
          <w:bCs/>
          <w:color w:val="auto"/>
          <w:sz w:val="24"/>
        </w:rPr>
        <w:t>）的投标保证金。并承诺：下列任何情况发生时，我方将不要求退还投标保证金：</w:t>
      </w:r>
    </w:p>
    <w:p>
      <w:pPr>
        <w:pStyle w:val="11"/>
        <w:ind w:firstLine="480" w:firstLineChars="200"/>
        <w:rPr>
          <w:rFonts w:hint="eastAsia" w:cs="宋体"/>
          <w:bCs/>
          <w:color w:val="auto"/>
          <w:sz w:val="24"/>
        </w:rPr>
      </w:pPr>
      <w:r>
        <w:rPr>
          <w:rFonts w:hint="eastAsia" w:cs="宋体"/>
          <w:bCs/>
          <w:color w:val="auto"/>
          <w:sz w:val="24"/>
        </w:rPr>
        <w:t>（1）如果我方在投标有效期内撤回投标；</w:t>
      </w:r>
    </w:p>
    <w:p>
      <w:pPr>
        <w:pStyle w:val="11"/>
        <w:ind w:firstLine="480" w:firstLineChars="200"/>
        <w:rPr>
          <w:rFonts w:hint="eastAsia" w:cs="宋体"/>
          <w:bCs/>
          <w:color w:val="auto"/>
          <w:sz w:val="24"/>
        </w:rPr>
      </w:pPr>
      <w:r>
        <w:rPr>
          <w:rFonts w:hint="eastAsia" w:cs="宋体"/>
          <w:bCs/>
          <w:color w:val="auto"/>
          <w:sz w:val="24"/>
        </w:rPr>
        <w:t>（2）我方提供了虚假响应招标文件的投标文件；</w:t>
      </w:r>
    </w:p>
    <w:p>
      <w:pPr>
        <w:pStyle w:val="11"/>
        <w:ind w:firstLine="480" w:firstLineChars="200"/>
        <w:rPr>
          <w:rFonts w:hint="eastAsia" w:cs="宋体"/>
          <w:bCs/>
          <w:color w:val="auto"/>
          <w:sz w:val="24"/>
        </w:rPr>
      </w:pPr>
      <w:r>
        <w:rPr>
          <w:rFonts w:hint="eastAsia" w:cs="宋体"/>
          <w:bCs/>
          <w:color w:val="auto"/>
          <w:sz w:val="24"/>
        </w:rPr>
        <w:t>（3）在投标过程中有违规违纪行为；</w:t>
      </w:r>
    </w:p>
    <w:p>
      <w:pPr>
        <w:pStyle w:val="11"/>
        <w:ind w:firstLine="480" w:firstLineChars="200"/>
        <w:rPr>
          <w:rFonts w:hint="eastAsia" w:cs="宋体"/>
          <w:bCs/>
          <w:color w:val="auto"/>
          <w:sz w:val="24"/>
        </w:rPr>
      </w:pPr>
      <w:r>
        <w:rPr>
          <w:rFonts w:hint="eastAsia" w:cs="宋体"/>
          <w:bCs/>
          <w:color w:val="auto"/>
          <w:sz w:val="24"/>
        </w:rPr>
        <w:t>（4）我方在投标有效期内收到中标通知书后，由于我方原因未能按照招标文件要求提交履约保证金或与采购人签订并履行合同。</w:t>
      </w:r>
    </w:p>
    <w:p>
      <w:pPr>
        <w:pStyle w:val="11"/>
        <w:ind w:firstLine="480" w:firstLineChars="200"/>
        <w:rPr>
          <w:rFonts w:hint="eastAsia" w:cs="宋体"/>
          <w:bCs/>
          <w:color w:val="auto"/>
          <w:sz w:val="24"/>
        </w:rPr>
      </w:pPr>
      <w:r>
        <w:rPr>
          <w:rFonts w:hint="eastAsia" w:cs="宋体"/>
          <w:bCs/>
          <w:color w:val="auto"/>
          <w:sz w:val="24"/>
        </w:rPr>
        <w:t>4、我方为本项目提交的投标文件满足招标文件投标人须知前附表要求。</w:t>
      </w:r>
    </w:p>
    <w:p>
      <w:pPr>
        <w:pStyle w:val="11"/>
        <w:ind w:firstLine="480" w:firstLineChars="200"/>
        <w:rPr>
          <w:rFonts w:hint="eastAsia" w:cs="宋体"/>
          <w:bCs/>
          <w:color w:val="auto"/>
          <w:sz w:val="24"/>
        </w:rPr>
      </w:pPr>
      <w:r>
        <w:rPr>
          <w:rFonts w:hint="eastAsia" w:cs="宋体"/>
          <w:bCs/>
          <w:color w:val="auto"/>
          <w:sz w:val="24"/>
        </w:rPr>
        <w:t>5、我方愿意提供采购人可能另外要求的，与投标有关的文件资料，并保证我方已提供和将要提供的文件资料是真实、准确的。</w:t>
      </w:r>
    </w:p>
    <w:p>
      <w:pPr>
        <w:pStyle w:val="11"/>
        <w:ind w:firstLine="480" w:firstLineChars="200"/>
        <w:rPr>
          <w:rFonts w:hint="eastAsia" w:cs="宋体"/>
          <w:bCs/>
          <w:color w:val="auto"/>
          <w:sz w:val="24"/>
        </w:rPr>
      </w:pPr>
      <w:r>
        <w:rPr>
          <w:rFonts w:hint="eastAsia" w:cs="宋体"/>
          <w:bCs/>
          <w:color w:val="auto"/>
          <w:sz w:val="24"/>
        </w:rPr>
        <w:t>6、我方完全理解采购人不一定将合同授予最低报价的投标人的行为。</w:t>
      </w:r>
    </w:p>
    <w:p>
      <w:pPr>
        <w:pStyle w:val="11"/>
        <w:ind w:firstLine="480" w:firstLineChars="200"/>
        <w:rPr>
          <w:rFonts w:hint="eastAsia" w:cs="宋体"/>
          <w:bCs/>
          <w:color w:val="auto"/>
          <w:sz w:val="24"/>
        </w:rPr>
      </w:pPr>
      <w:r>
        <w:rPr>
          <w:rFonts w:hint="eastAsia" w:cs="宋体"/>
          <w:bCs/>
          <w:color w:val="auto"/>
          <w:sz w:val="24"/>
        </w:rPr>
        <w:t>投标人名称：        （盖章）</w:t>
      </w:r>
    </w:p>
    <w:p>
      <w:pPr>
        <w:pStyle w:val="11"/>
        <w:ind w:firstLine="480" w:firstLineChars="200"/>
        <w:rPr>
          <w:rFonts w:hint="eastAsia" w:cs="宋体"/>
          <w:bCs/>
          <w:color w:val="auto"/>
          <w:sz w:val="24"/>
        </w:rPr>
      </w:pPr>
      <w:r>
        <w:rPr>
          <w:rFonts w:hint="eastAsia" w:cs="宋体"/>
          <w:bCs/>
          <w:color w:val="auto"/>
          <w:sz w:val="24"/>
        </w:rPr>
        <w:t>法定代表人或授权代表（签字）：</w:t>
      </w:r>
    </w:p>
    <w:p>
      <w:pPr>
        <w:pStyle w:val="11"/>
        <w:ind w:firstLine="480" w:firstLineChars="200"/>
        <w:rPr>
          <w:rFonts w:hint="eastAsia" w:cs="宋体"/>
          <w:bCs/>
          <w:color w:val="auto"/>
          <w:sz w:val="24"/>
        </w:rPr>
      </w:pPr>
      <w:r>
        <w:rPr>
          <w:rFonts w:hint="eastAsia" w:cs="宋体"/>
          <w:bCs/>
          <w:color w:val="auto"/>
          <w:sz w:val="24"/>
        </w:rPr>
        <w:t>通讯地址：</w:t>
      </w:r>
    </w:p>
    <w:p>
      <w:pPr>
        <w:pStyle w:val="11"/>
        <w:ind w:firstLine="480" w:firstLineChars="200"/>
        <w:rPr>
          <w:rFonts w:hint="eastAsia" w:cs="宋体"/>
          <w:bCs/>
          <w:color w:val="auto"/>
          <w:sz w:val="24"/>
        </w:rPr>
      </w:pPr>
      <w:r>
        <w:rPr>
          <w:rFonts w:hint="eastAsia" w:cs="宋体"/>
          <w:bCs/>
          <w:color w:val="auto"/>
          <w:sz w:val="24"/>
        </w:rPr>
        <w:t>联系电话：</w:t>
      </w:r>
    </w:p>
    <w:p>
      <w:pPr>
        <w:spacing w:line="400" w:lineRule="exact"/>
        <w:ind w:firstLine="480" w:firstLineChars="200"/>
        <w:rPr>
          <w:rFonts w:hint="eastAsia"/>
          <w:color w:val="auto"/>
          <w:sz w:val="21"/>
        </w:rPr>
      </w:pPr>
      <w:r>
        <w:rPr>
          <w:rFonts w:hint="eastAsia" w:cs="宋体"/>
          <w:bCs/>
          <w:color w:val="auto"/>
          <w:sz w:val="24"/>
        </w:rPr>
        <w:t>日    期：</w:t>
      </w:r>
    </w:p>
    <w:p>
      <w:pPr>
        <w:spacing w:line="400" w:lineRule="exact"/>
        <w:rPr>
          <w:rFonts w:hint="eastAsia"/>
          <w:b/>
          <w:bCs/>
          <w:color w:val="auto"/>
          <w:sz w:val="18"/>
        </w:rPr>
      </w:pPr>
    </w:p>
    <w:p>
      <w:pPr>
        <w:rPr>
          <w:rFonts w:hint="eastAsia"/>
          <w:b/>
          <w:bCs/>
          <w:color w:val="auto"/>
          <w:sz w:val="18"/>
        </w:rPr>
      </w:pPr>
      <w:r>
        <w:rPr>
          <w:rFonts w:hint="eastAsia"/>
          <w:b/>
          <w:bCs/>
          <w:color w:val="auto"/>
          <w:sz w:val="18"/>
        </w:rPr>
        <w:br w:type="page"/>
      </w:r>
    </w:p>
    <w:p>
      <w:pPr>
        <w:spacing w:line="400" w:lineRule="exact"/>
        <w:rPr>
          <w:rFonts w:hint="eastAsia"/>
          <w:color w:val="auto"/>
          <w:sz w:val="18"/>
        </w:rPr>
      </w:pPr>
      <w:r>
        <w:rPr>
          <w:rFonts w:hint="eastAsia"/>
          <w:b/>
          <w:bCs/>
          <w:color w:val="auto"/>
          <w:sz w:val="18"/>
        </w:rPr>
        <w:t>附件2：</w:t>
      </w:r>
    </w:p>
    <w:p>
      <w:pPr>
        <w:spacing w:line="400" w:lineRule="exact"/>
        <w:jc w:val="center"/>
        <w:rPr>
          <w:rFonts w:eastAsia="黑体"/>
          <w:b/>
          <w:bCs/>
          <w:color w:val="auto"/>
          <w:spacing w:val="20"/>
          <w:sz w:val="30"/>
        </w:rPr>
      </w:pPr>
      <w:r>
        <w:rPr>
          <w:rFonts w:hint="eastAsia" w:eastAsia="黑体"/>
          <w:b/>
          <w:bCs/>
          <w:color w:val="auto"/>
          <w:spacing w:val="20"/>
          <w:sz w:val="30"/>
        </w:rPr>
        <w:t>投标人法定代表人授权书</w:t>
      </w:r>
    </w:p>
    <w:p>
      <w:pPr>
        <w:spacing w:before="91" w:line="365" w:lineRule="auto"/>
        <w:ind w:left="1170" w:right="305" w:hanging="844"/>
        <w:rPr>
          <w:rFonts w:ascii="仿宋" w:hAnsi="仿宋" w:eastAsia="仿宋" w:cs="仿宋"/>
          <w:color w:val="auto"/>
          <w:sz w:val="28"/>
          <w:szCs w:val="28"/>
        </w:rPr>
      </w:pPr>
      <w:r>
        <w:rPr>
          <w:rFonts w:ascii="仿宋" w:hAnsi="仿宋" w:eastAsia="仿宋" w:cs="仿宋"/>
          <w:color w:val="auto"/>
          <w:spacing w:val="-8"/>
          <w:sz w:val="28"/>
          <w:szCs w:val="28"/>
        </w:rPr>
        <w:t>致</w:t>
      </w:r>
      <w:r>
        <w:rPr>
          <w:rFonts w:ascii="仿宋" w:hAnsi="仿宋" w:eastAsia="仿宋" w:cs="仿宋"/>
          <w:color w:val="auto"/>
          <w:spacing w:val="-7"/>
          <w:sz w:val="28"/>
          <w:szCs w:val="28"/>
        </w:rPr>
        <w:t>：</w:t>
      </w:r>
      <w:r>
        <w:rPr>
          <w:rFonts w:ascii="仿宋" w:hAnsi="仿宋" w:eastAsia="仿宋" w:cs="仿宋"/>
          <w:color w:val="auto"/>
          <w:spacing w:val="-7"/>
          <w:sz w:val="28"/>
          <w:szCs w:val="28"/>
          <w:u w:val="single" w:color="auto"/>
        </w:rPr>
        <w:t xml:space="preserve">                     </w:t>
      </w:r>
      <w:r>
        <w:rPr>
          <w:rFonts w:ascii="仿宋" w:hAnsi="仿宋" w:eastAsia="仿宋" w:cs="仿宋"/>
          <w:color w:val="auto"/>
          <w:sz w:val="28"/>
          <w:szCs w:val="28"/>
        </w:rPr>
        <w:t xml:space="preserve">                                        </w:t>
      </w:r>
      <w:r>
        <w:rPr>
          <w:rFonts w:ascii="仿宋" w:hAnsi="仿宋" w:eastAsia="仿宋" w:cs="仿宋"/>
          <w:color w:val="auto"/>
          <w:spacing w:val="4"/>
          <w:sz w:val="28"/>
          <w:szCs w:val="28"/>
          <w:u w:val="single" w:color="auto"/>
        </w:rPr>
        <w:t>注册于 (工商行政</w:t>
      </w:r>
      <w:r>
        <w:rPr>
          <w:rFonts w:ascii="仿宋" w:hAnsi="仿宋" w:eastAsia="仿宋" w:cs="仿宋"/>
          <w:color w:val="auto"/>
          <w:spacing w:val="3"/>
          <w:sz w:val="28"/>
          <w:szCs w:val="28"/>
          <w:u w:val="single" w:color="auto"/>
        </w:rPr>
        <w:t>管</w:t>
      </w:r>
      <w:r>
        <w:rPr>
          <w:rFonts w:ascii="仿宋" w:hAnsi="仿宋" w:eastAsia="仿宋" w:cs="仿宋"/>
          <w:color w:val="auto"/>
          <w:spacing w:val="2"/>
          <w:sz w:val="28"/>
          <w:szCs w:val="28"/>
          <w:u w:val="single" w:color="auto"/>
        </w:rPr>
        <w:t>理局名称) 之 (投标单位全称)  (法人代表人</w:t>
      </w:r>
    </w:p>
    <w:p>
      <w:pPr>
        <w:spacing w:before="161" w:line="479" w:lineRule="auto"/>
        <w:ind w:left="323" w:right="305"/>
        <w:rPr>
          <w:rFonts w:ascii="仿宋" w:hAnsi="仿宋" w:eastAsia="仿宋" w:cs="仿宋"/>
          <w:color w:val="auto"/>
          <w:sz w:val="28"/>
          <w:szCs w:val="28"/>
        </w:rPr>
      </w:pPr>
      <w:r>
        <w:rPr>
          <w:rFonts w:ascii="仿宋" w:hAnsi="仿宋" w:eastAsia="仿宋" w:cs="仿宋"/>
          <w:color w:val="auto"/>
          <w:spacing w:val="4"/>
          <w:sz w:val="28"/>
          <w:szCs w:val="28"/>
          <w:u w:val="single" w:color="auto"/>
        </w:rPr>
        <w:t>姓名、职务)</w:t>
      </w:r>
      <w:r>
        <w:rPr>
          <w:rFonts w:ascii="仿宋" w:hAnsi="仿宋" w:eastAsia="仿宋" w:cs="仿宋"/>
          <w:color w:val="auto"/>
          <w:spacing w:val="2"/>
          <w:sz w:val="28"/>
          <w:szCs w:val="28"/>
          <w:u w:val="single" w:color="auto"/>
        </w:rPr>
        <w:t xml:space="preserve"> </w:t>
      </w:r>
      <w:r>
        <w:rPr>
          <w:rFonts w:ascii="仿宋" w:hAnsi="仿宋" w:eastAsia="仿宋" w:cs="仿宋"/>
          <w:color w:val="auto"/>
          <w:spacing w:val="2"/>
          <w:sz w:val="28"/>
          <w:szCs w:val="28"/>
        </w:rPr>
        <w:t>授权</w:t>
      </w:r>
      <w:r>
        <w:rPr>
          <w:rFonts w:ascii="仿宋" w:hAnsi="仿宋" w:eastAsia="仿宋" w:cs="仿宋"/>
          <w:color w:val="auto"/>
          <w:spacing w:val="2"/>
          <w:sz w:val="28"/>
          <w:szCs w:val="28"/>
          <w:u w:val="single" w:color="auto"/>
        </w:rPr>
        <w:t xml:space="preserve">               </w:t>
      </w:r>
      <w:r>
        <w:rPr>
          <w:rFonts w:ascii="仿宋" w:hAnsi="仿宋" w:eastAsia="仿宋" w:cs="仿宋"/>
          <w:color w:val="auto"/>
          <w:spacing w:val="2"/>
          <w:sz w:val="28"/>
          <w:szCs w:val="28"/>
        </w:rPr>
        <w:t>(被授权人姓名、职务) 为全权代表，</w:t>
      </w:r>
      <w:r>
        <w:rPr>
          <w:rFonts w:ascii="仿宋" w:hAnsi="仿宋" w:eastAsia="仿宋" w:cs="仿宋"/>
          <w:color w:val="auto"/>
          <w:sz w:val="28"/>
          <w:szCs w:val="28"/>
        </w:rPr>
        <w:t xml:space="preserve"> </w:t>
      </w:r>
      <w:r>
        <w:rPr>
          <w:rFonts w:ascii="仿宋" w:hAnsi="仿宋" w:eastAsia="仿宋" w:cs="仿宋"/>
          <w:color w:val="auto"/>
          <w:spacing w:val="-8"/>
          <w:sz w:val="28"/>
          <w:szCs w:val="28"/>
        </w:rPr>
        <w:t>参加</w:t>
      </w:r>
      <w:r>
        <w:rPr>
          <w:rFonts w:ascii="仿宋" w:hAnsi="仿宋" w:eastAsia="仿宋" w:cs="仿宋"/>
          <w:color w:val="auto"/>
          <w:spacing w:val="-4"/>
          <w:sz w:val="28"/>
          <w:szCs w:val="28"/>
          <w:u w:val="single" w:color="auto"/>
        </w:rPr>
        <w:t xml:space="preserve">       </w:t>
      </w:r>
      <w:r>
        <w:rPr>
          <w:rFonts w:ascii="仿宋" w:hAnsi="仿宋" w:eastAsia="仿宋" w:cs="仿宋"/>
          <w:color w:val="auto"/>
          <w:spacing w:val="-4"/>
          <w:sz w:val="28"/>
          <w:szCs w:val="28"/>
        </w:rPr>
        <w:t xml:space="preserve"> 招标 (采购) 活动，全权处理招标 (采</w:t>
      </w:r>
      <w:r>
        <w:rPr>
          <w:rFonts w:ascii="仿宋" w:hAnsi="仿宋" w:eastAsia="仿宋" w:cs="仿宋"/>
          <w:color w:val="auto"/>
          <w:sz w:val="28"/>
          <w:szCs w:val="28"/>
        </w:rPr>
        <w:t xml:space="preserve"> </w:t>
      </w:r>
      <w:r>
        <w:rPr>
          <w:rFonts w:ascii="仿宋" w:hAnsi="仿宋" w:eastAsia="仿宋" w:cs="仿宋"/>
          <w:color w:val="auto"/>
          <w:spacing w:val="-2"/>
          <w:sz w:val="28"/>
          <w:szCs w:val="28"/>
        </w:rPr>
        <w:t>购) 活动中</w:t>
      </w:r>
      <w:r>
        <w:rPr>
          <w:rFonts w:ascii="仿宋" w:hAnsi="仿宋" w:eastAsia="仿宋" w:cs="仿宋"/>
          <w:color w:val="auto"/>
          <w:spacing w:val="-1"/>
          <w:sz w:val="28"/>
          <w:szCs w:val="28"/>
        </w:rPr>
        <w:t>的一切事宜。</w:t>
      </w:r>
    </w:p>
    <w:p>
      <w:pPr>
        <w:spacing w:before="1" w:line="222" w:lineRule="auto"/>
        <w:ind w:left="333"/>
        <w:rPr>
          <w:rFonts w:ascii="仿宋" w:hAnsi="仿宋" w:eastAsia="仿宋" w:cs="仿宋"/>
          <w:color w:val="auto"/>
          <w:sz w:val="28"/>
          <w:szCs w:val="28"/>
        </w:rPr>
      </w:pPr>
      <w:r>
        <w:rPr>
          <w:rFonts w:ascii="仿宋" w:hAnsi="仿宋" w:eastAsia="仿宋" w:cs="仿宋"/>
          <w:color w:val="auto"/>
          <w:spacing w:val="-2"/>
          <w:sz w:val="28"/>
          <w:szCs w:val="28"/>
        </w:rPr>
        <w:t>我公司对被授权人的签名</w:t>
      </w:r>
      <w:r>
        <w:rPr>
          <w:rFonts w:ascii="仿宋" w:hAnsi="仿宋" w:eastAsia="仿宋" w:cs="仿宋"/>
          <w:color w:val="auto"/>
          <w:spacing w:val="-1"/>
          <w:sz w:val="28"/>
          <w:szCs w:val="28"/>
        </w:rPr>
        <w:t>负全部责任。</w:t>
      </w:r>
    </w:p>
    <w:p>
      <w:pPr>
        <w:rPr>
          <w:color w:val="auto"/>
        </w:rPr>
      </w:pPr>
    </w:p>
    <w:p>
      <w:pPr>
        <w:spacing w:line="90" w:lineRule="exact"/>
        <w:rPr>
          <w:color w:val="auto"/>
        </w:rPr>
      </w:pPr>
    </w:p>
    <w:p>
      <w:pPr>
        <w:rPr>
          <w:color w:val="auto"/>
        </w:rPr>
        <w:sectPr>
          <w:footerReference r:id="rId4" w:type="default"/>
          <w:pgSz w:w="11907" w:h="16840"/>
          <w:pgMar w:top="400" w:right="1111" w:bottom="1463" w:left="1111" w:header="0" w:footer="1249" w:gutter="0"/>
          <w:pgNumType w:fmt="decimal" w:start="1"/>
          <w:cols w:equalWidth="0" w:num="1">
            <w:col w:w="9685"/>
          </w:cols>
        </w:sectPr>
      </w:pPr>
    </w:p>
    <w:p>
      <w:pPr>
        <w:spacing w:before="58" w:line="223" w:lineRule="auto"/>
        <w:ind w:left="743"/>
        <w:rPr>
          <w:rFonts w:ascii="仿宋" w:hAnsi="仿宋" w:eastAsia="仿宋" w:cs="仿宋"/>
          <w:color w:val="auto"/>
          <w:sz w:val="28"/>
          <w:szCs w:val="28"/>
        </w:rPr>
      </w:pPr>
      <w:r>
        <w:rPr>
          <w:rFonts w:ascii="仿宋" w:hAnsi="仿宋" w:eastAsia="仿宋" w:cs="仿宋"/>
          <w:color w:val="auto"/>
          <w:spacing w:val="-7"/>
          <w:sz w:val="28"/>
          <w:szCs w:val="28"/>
        </w:rPr>
        <w:t>授权期限：      年    月    日</w:t>
      </w:r>
      <w:r>
        <w:rPr>
          <w:rFonts w:ascii="仿宋" w:hAnsi="仿宋" w:eastAsia="仿宋" w:cs="仿宋"/>
          <w:color w:val="auto"/>
          <w:spacing w:val="-3"/>
          <w:sz w:val="28"/>
          <w:szCs w:val="28"/>
        </w:rPr>
        <w:t>至</w:t>
      </w:r>
    </w:p>
    <w:p>
      <w:pPr>
        <w:spacing w:before="204" w:line="224" w:lineRule="auto"/>
        <w:ind w:left="752"/>
        <w:outlineLvl w:val="0"/>
        <w:rPr>
          <w:rFonts w:ascii="仿宋" w:hAnsi="仿宋" w:eastAsia="仿宋" w:cs="仿宋"/>
          <w:color w:val="auto"/>
          <w:sz w:val="28"/>
          <w:szCs w:val="28"/>
        </w:rPr>
      </w:pPr>
      <w:r>
        <w:rPr>
          <w:rFonts w:ascii="仿宋" w:hAnsi="仿宋" w:eastAsia="仿宋" w:cs="仿宋"/>
          <w:color w:val="auto"/>
          <w:spacing w:val="-6"/>
          <w:sz w:val="28"/>
          <w:szCs w:val="28"/>
        </w:rPr>
        <w:t>法</w:t>
      </w:r>
      <w:r>
        <w:rPr>
          <w:rFonts w:ascii="仿宋" w:hAnsi="仿宋" w:eastAsia="仿宋" w:cs="仿宋"/>
          <w:color w:val="auto"/>
          <w:spacing w:val="-3"/>
          <w:sz w:val="28"/>
          <w:szCs w:val="28"/>
        </w:rPr>
        <w:t>定代表人签名：</w:t>
      </w:r>
    </w:p>
    <w:p>
      <w:pPr>
        <w:spacing w:before="205" w:line="224" w:lineRule="auto"/>
        <w:ind w:left="742"/>
        <w:outlineLvl w:val="0"/>
        <w:rPr>
          <w:rFonts w:ascii="仿宋" w:hAnsi="仿宋" w:eastAsia="仿宋" w:cs="仿宋"/>
          <w:color w:val="auto"/>
          <w:sz w:val="28"/>
          <w:szCs w:val="28"/>
        </w:rPr>
      </w:pPr>
      <w:r>
        <w:rPr>
          <w:rFonts w:ascii="仿宋" w:hAnsi="仿宋" w:eastAsia="仿宋" w:cs="仿宋"/>
          <w:color w:val="auto"/>
          <w:spacing w:val="-2"/>
          <w:sz w:val="28"/>
          <w:szCs w:val="28"/>
        </w:rPr>
        <w:t xml:space="preserve">职   </w:t>
      </w:r>
      <w:r>
        <w:rPr>
          <w:rFonts w:ascii="仿宋" w:hAnsi="仿宋" w:eastAsia="仿宋" w:cs="仿宋"/>
          <w:color w:val="auto"/>
          <w:spacing w:val="-1"/>
          <w:sz w:val="28"/>
          <w:szCs w:val="28"/>
        </w:rPr>
        <w:t xml:space="preserve">       务：</w:t>
      </w:r>
    </w:p>
    <w:p>
      <w:pPr>
        <w:spacing w:before="205" w:line="223" w:lineRule="auto"/>
        <w:ind w:left="743"/>
        <w:outlineLvl w:val="0"/>
        <w:rPr>
          <w:rFonts w:ascii="仿宋" w:hAnsi="仿宋" w:eastAsia="仿宋" w:cs="仿宋"/>
          <w:color w:val="auto"/>
          <w:sz w:val="28"/>
          <w:szCs w:val="28"/>
        </w:rPr>
      </w:pPr>
      <w:r>
        <w:rPr>
          <w:rFonts w:ascii="仿宋" w:hAnsi="仿宋" w:eastAsia="仿宋" w:cs="仿宋"/>
          <w:color w:val="auto"/>
          <w:spacing w:val="-2"/>
          <w:sz w:val="28"/>
          <w:szCs w:val="28"/>
        </w:rPr>
        <w:t>身  份  证</w:t>
      </w:r>
      <w:r>
        <w:rPr>
          <w:rFonts w:ascii="仿宋" w:hAnsi="仿宋" w:eastAsia="仿宋" w:cs="仿宋"/>
          <w:color w:val="auto"/>
          <w:spacing w:val="-1"/>
          <w:sz w:val="28"/>
          <w:szCs w:val="28"/>
        </w:rPr>
        <w:t xml:space="preserve">  号：</w:t>
      </w:r>
    </w:p>
    <w:p>
      <w:pPr>
        <w:spacing w:before="207" w:line="224" w:lineRule="auto"/>
        <w:ind w:left="477"/>
        <w:outlineLvl w:val="0"/>
        <w:rPr>
          <w:rFonts w:ascii="仿宋" w:hAnsi="仿宋" w:eastAsia="仿宋" w:cs="仿宋"/>
          <w:color w:val="auto"/>
          <w:sz w:val="28"/>
          <w:szCs w:val="28"/>
        </w:rPr>
      </w:pPr>
      <w:r>
        <w:rPr>
          <w:rFonts w:ascii="仿宋" w:hAnsi="仿宋" w:eastAsia="仿宋" w:cs="仿宋"/>
          <w:color w:val="auto"/>
          <w:spacing w:val="-4"/>
          <w:sz w:val="28"/>
          <w:szCs w:val="28"/>
        </w:rPr>
        <w:t>附：</w:t>
      </w:r>
      <w:r>
        <w:rPr>
          <w:rFonts w:ascii="仿宋" w:hAnsi="仿宋" w:eastAsia="仿宋" w:cs="仿宋"/>
          <w:color w:val="auto"/>
          <w:spacing w:val="-3"/>
          <w:sz w:val="28"/>
          <w:szCs w:val="28"/>
        </w:rPr>
        <w:t>法</w:t>
      </w:r>
      <w:r>
        <w:rPr>
          <w:rFonts w:ascii="仿宋" w:hAnsi="仿宋" w:eastAsia="仿宋" w:cs="仿宋"/>
          <w:color w:val="auto"/>
          <w:spacing w:val="-2"/>
          <w:sz w:val="28"/>
          <w:szCs w:val="28"/>
        </w:rPr>
        <w:t>定代表人、被授权人身份证复印件。</w:t>
      </w:r>
    </w:p>
    <w:p>
      <w:pPr>
        <w:spacing w:before="204" w:line="190" w:lineRule="auto"/>
        <w:ind w:left="336"/>
        <w:rPr>
          <w:rFonts w:ascii="仿宋" w:hAnsi="仿宋" w:eastAsia="仿宋" w:cs="仿宋"/>
          <w:color w:val="auto"/>
          <w:sz w:val="28"/>
          <w:szCs w:val="28"/>
        </w:rPr>
      </w:pPr>
      <w:r>
        <w:rPr>
          <w:rFonts w:ascii="仿宋" w:hAnsi="仿宋" w:eastAsia="仿宋" w:cs="仿宋"/>
          <w:color w:val="auto"/>
          <w:spacing w:val="-10"/>
          <w:sz w:val="28"/>
          <w:szCs w:val="28"/>
        </w:rPr>
        <w:t>复印)</w:t>
      </w:r>
    </w:p>
    <w:p>
      <w:pPr>
        <w:spacing w:line="14" w:lineRule="auto"/>
        <w:rPr>
          <w:rFonts w:ascii="Arial"/>
          <w:color w:val="auto"/>
          <w:sz w:val="2"/>
        </w:rPr>
      </w:pPr>
      <w:r>
        <w:rPr>
          <w:rFonts w:ascii="Arial" w:hAnsi="Arial" w:eastAsia="Arial" w:cs="Arial"/>
          <w:color w:val="auto"/>
          <w:sz w:val="2"/>
          <w:szCs w:val="2"/>
        </w:rPr>
        <w:br w:type="column"/>
      </w:r>
    </w:p>
    <w:p>
      <w:pPr>
        <w:spacing w:before="56" w:line="223" w:lineRule="auto"/>
        <w:ind w:left="28"/>
        <w:rPr>
          <w:rFonts w:ascii="仿宋" w:hAnsi="仿宋" w:eastAsia="仿宋" w:cs="仿宋"/>
          <w:color w:val="auto"/>
          <w:sz w:val="28"/>
          <w:szCs w:val="28"/>
        </w:rPr>
      </w:pPr>
      <w:r>
        <w:rPr>
          <w:rFonts w:ascii="仿宋" w:hAnsi="仿宋" w:eastAsia="仿宋" w:cs="仿宋"/>
          <w:color w:val="auto"/>
          <w:spacing w:val="-2"/>
          <w:sz w:val="28"/>
          <w:szCs w:val="28"/>
        </w:rPr>
        <w:t>年    月    日。</w:t>
      </w:r>
    </w:p>
    <w:p>
      <w:pPr>
        <w:spacing w:before="205" w:line="544" w:lineRule="exact"/>
        <w:ind w:left="442"/>
        <w:rPr>
          <w:rFonts w:ascii="仿宋" w:hAnsi="仿宋" w:eastAsia="仿宋" w:cs="仿宋"/>
          <w:color w:val="auto"/>
          <w:sz w:val="28"/>
          <w:szCs w:val="28"/>
        </w:rPr>
      </w:pPr>
      <w:r>
        <w:rPr>
          <w:rFonts w:ascii="仿宋" w:hAnsi="仿宋" w:eastAsia="仿宋" w:cs="仿宋"/>
          <w:color w:val="auto"/>
          <w:spacing w:val="-4"/>
          <w:position w:val="19"/>
          <w:sz w:val="28"/>
          <w:szCs w:val="28"/>
        </w:rPr>
        <w:t>被授</w:t>
      </w:r>
      <w:r>
        <w:rPr>
          <w:rFonts w:ascii="仿宋" w:hAnsi="仿宋" w:eastAsia="仿宋" w:cs="仿宋"/>
          <w:color w:val="auto"/>
          <w:spacing w:val="-3"/>
          <w:position w:val="19"/>
          <w:sz w:val="28"/>
          <w:szCs w:val="28"/>
        </w:rPr>
        <w:t>权</w:t>
      </w:r>
      <w:r>
        <w:rPr>
          <w:rFonts w:ascii="仿宋" w:hAnsi="仿宋" w:eastAsia="仿宋" w:cs="仿宋"/>
          <w:color w:val="auto"/>
          <w:spacing w:val="-2"/>
          <w:position w:val="19"/>
          <w:sz w:val="28"/>
          <w:szCs w:val="28"/>
        </w:rPr>
        <w:t>人签名：</w:t>
      </w:r>
    </w:p>
    <w:p>
      <w:pPr>
        <w:spacing w:before="1" w:line="223" w:lineRule="auto"/>
        <w:ind w:left="441"/>
        <w:rPr>
          <w:rFonts w:ascii="仿宋" w:hAnsi="仿宋" w:eastAsia="仿宋" w:cs="仿宋"/>
          <w:color w:val="auto"/>
          <w:sz w:val="28"/>
          <w:szCs w:val="28"/>
        </w:rPr>
      </w:pPr>
      <w:r>
        <w:rPr>
          <w:rFonts w:ascii="仿宋" w:hAnsi="仿宋" w:eastAsia="仿宋" w:cs="仿宋"/>
          <w:color w:val="auto"/>
          <w:spacing w:val="-2"/>
          <w:sz w:val="28"/>
          <w:szCs w:val="28"/>
        </w:rPr>
        <w:t xml:space="preserve">职      </w:t>
      </w:r>
      <w:r>
        <w:rPr>
          <w:rFonts w:ascii="仿宋" w:hAnsi="仿宋" w:eastAsia="仿宋" w:cs="仿宋"/>
          <w:color w:val="auto"/>
          <w:spacing w:val="-1"/>
          <w:sz w:val="28"/>
          <w:szCs w:val="28"/>
        </w:rPr>
        <w:t xml:space="preserve">  务：</w:t>
      </w:r>
    </w:p>
    <w:p>
      <w:pPr>
        <w:spacing w:before="206" w:line="223" w:lineRule="auto"/>
        <w:ind w:left="442"/>
        <w:rPr>
          <w:rFonts w:ascii="仿宋" w:hAnsi="仿宋" w:eastAsia="仿宋" w:cs="仿宋"/>
          <w:color w:val="auto"/>
          <w:sz w:val="28"/>
          <w:szCs w:val="28"/>
        </w:rPr>
      </w:pPr>
      <w:r>
        <w:rPr>
          <w:rFonts w:ascii="仿宋" w:hAnsi="仿宋" w:eastAsia="仿宋" w:cs="仿宋"/>
          <w:color w:val="auto"/>
          <w:spacing w:val="-2"/>
          <w:sz w:val="28"/>
          <w:szCs w:val="28"/>
        </w:rPr>
        <w:t>身 份 证  号 ：</w:t>
      </w:r>
    </w:p>
    <w:p>
      <w:pPr>
        <w:spacing w:before="207" w:line="230" w:lineRule="auto"/>
        <w:rPr>
          <w:rFonts w:ascii="仿宋" w:hAnsi="仿宋" w:eastAsia="仿宋" w:cs="仿宋"/>
          <w:color w:val="auto"/>
          <w:sz w:val="27"/>
          <w:szCs w:val="27"/>
        </w:rPr>
      </w:pPr>
      <w:r>
        <w:rPr>
          <w:rFonts w:ascii="仿宋" w:hAnsi="仿宋" w:eastAsia="仿宋" w:cs="仿宋"/>
          <w:color w:val="auto"/>
          <w:spacing w:val="8"/>
          <w:sz w:val="27"/>
          <w:szCs w:val="27"/>
        </w:rPr>
        <w:t>(二代身份证正、反两面都</w:t>
      </w:r>
      <w:r>
        <w:rPr>
          <w:rFonts w:ascii="仿宋" w:hAnsi="仿宋" w:eastAsia="仿宋" w:cs="仿宋"/>
          <w:color w:val="auto"/>
          <w:spacing w:val="6"/>
          <w:sz w:val="27"/>
          <w:szCs w:val="27"/>
        </w:rPr>
        <w:t>需</w:t>
      </w:r>
    </w:p>
    <w:p>
      <w:pPr>
        <w:rPr>
          <w:color w:val="auto"/>
        </w:rPr>
        <w:sectPr>
          <w:type w:val="continuous"/>
          <w:pgSz w:w="11907" w:h="16840"/>
          <w:pgMar w:top="400" w:right="1111" w:bottom="1463" w:left="1111" w:header="0" w:footer="1249" w:gutter="0"/>
          <w:pgNumType w:fmt="decimal"/>
          <w:cols w:equalWidth="0" w:num="2">
            <w:col w:w="5803" w:space="100"/>
            <w:col w:w="3783"/>
          </w:cols>
        </w:sectPr>
      </w:pPr>
    </w:p>
    <w:p>
      <w:pPr>
        <w:spacing w:line="217" w:lineRule="exact"/>
        <w:rPr>
          <w:color w:val="auto"/>
        </w:rPr>
      </w:pPr>
    </w:p>
    <w:tbl>
      <w:tblPr>
        <w:tblStyle w:val="30"/>
        <w:tblW w:w="96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39"/>
        <w:gridCol w:w="48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8" w:hRule="atLeast"/>
        </w:trPr>
        <w:tc>
          <w:tcPr>
            <w:tcW w:w="4839" w:type="dxa"/>
            <w:vAlign w:val="top"/>
          </w:tcPr>
          <w:p>
            <w:pPr>
              <w:spacing w:line="458" w:lineRule="auto"/>
              <w:rPr>
                <w:rFonts w:ascii="Arial"/>
                <w:color w:val="auto"/>
                <w:sz w:val="21"/>
              </w:rPr>
            </w:pPr>
          </w:p>
          <w:p>
            <w:pPr>
              <w:spacing w:before="91" w:line="222" w:lineRule="auto"/>
              <w:ind w:left="905"/>
              <w:outlineLvl w:val="0"/>
              <w:rPr>
                <w:rFonts w:ascii="仿宋" w:hAnsi="仿宋" w:eastAsia="仿宋" w:cs="仿宋"/>
                <w:color w:val="auto"/>
                <w:sz w:val="28"/>
                <w:szCs w:val="28"/>
              </w:rPr>
            </w:pPr>
            <w:r>
              <w:rPr>
                <w:rFonts w:ascii="仿宋" w:hAnsi="仿宋" w:eastAsia="仿宋" w:cs="仿宋"/>
                <w:color w:val="auto"/>
                <w:spacing w:val="-4"/>
                <w:sz w:val="28"/>
                <w:szCs w:val="28"/>
              </w:rPr>
              <w:t>法定</w:t>
            </w:r>
            <w:r>
              <w:rPr>
                <w:rFonts w:ascii="仿宋" w:hAnsi="仿宋" w:eastAsia="仿宋" w:cs="仿宋"/>
                <w:color w:val="auto"/>
                <w:spacing w:val="-2"/>
                <w:sz w:val="28"/>
                <w:szCs w:val="28"/>
              </w:rPr>
              <w:t>代表人身份证复印件</w:t>
            </w:r>
          </w:p>
          <w:p>
            <w:pPr>
              <w:spacing w:before="208" w:line="224" w:lineRule="auto"/>
              <w:ind w:left="1876"/>
              <w:outlineLvl w:val="0"/>
              <w:rPr>
                <w:rFonts w:ascii="仿宋" w:hAnsi="仿宋" w:eastAsia="仿宋" w:cs="仿宋"/>
                <w:color w:val="auto"/>
                <w:sz w:val="28"/>
                <w:szCs w:val="28"/>
              </w:rPr>
            </w:pPr>
            <w:r>
              <w:rPr>
                <w:rFonts w:ascii="仿宋" w:hAnsi="仿宋" w:eastAsia="仿宋" w:cs="仿宋"/>
                <w:color w:val="auto"/>
                <w:spacing w:val="31"/>
                <w:sz w:val="28"/>
                <w:szCs w:val="28"/>
              </w:rPr>
              <w:t>(</w:t>
            </w:r>
            <w:r>
              <w:rPr>
                <w:rFonts w:ascii="仿宋" w:hAnsi="仿宋" w:eastAsia="仿宋" w:cs="仿宋"/>
                <w:color w:val="auto"/>
                <w:spacing w:val="30"/>
                <w:sz w:val="28"/>
                <w:szCs w:val="28"/>
              </w:rPr>
              <w:t>正面)</w:t>
            </w:r>
          </w:p>
        </w:tc>
        <w:tc>
          <w:tcPr>
            <w:tcW w:w="4840" w:type="dxa"/>
            <w:vAlign w:val="top"/>
          </w:tcPr>
          <w:p>
            <w:pPr>
              <w:spacing w:line="458" w:lineRule="auto"/>
              <w:rPr>
                <w:rFonts w:ascii="Arial"/>
                <w:color w:val="auto"/>
                <w:sz w:val="21"/>
              </w:rPr>
            </w:pPr>
          </w:p>
          <w:p>
            <w:pPr>
              <w:spacing w:before="91" w:line="222" w:lineRule="auto"/>
              <w:ind w:left="1035"/>
              <w:outlineLvl w:val="0"/>
              <w:rPr>
                <w:rFonts w:ascii="仿宋" w:hAnsi="仿宋" w:eastAsia="仿宋" w:cs="仿宋"/>
                <w:color w:val="auto"/>
                <w:sz w:val="28"/>
                <w:szCs w:val="28"/>
              </w:rPr>
            </w:pPr>
            <w:r>
              <w:rPr>
                <w:rFonts w:ascii="仿宋" w:hAnsi="仿宋" w:eastAsia="仿宋" w:cs="仿宋"/>
                <w:color w:val="auto"/>
                <w:spacing w:val="-2"/>
                <w:sz w:val="28"/>
                <w:szCs w:val="28"/>
              </w:rPr>
              <w:t>被授权人身份证复</w:t>
            </w:r>
            <w:r>
              <w:rPr>
                <w:rFonts w:ascii="仿宋" w:hAnsi="仿宋" w:eastAsia="仿宋" w:cs="仿宋"/>
                <w:color w:val="auto"/>
                <w:spacing w:val="-1"/>
                <w:sz w:val="28"/>
                <w:szCs w:val="28"/>
              </w:rPr>
              <w:t>印件</w:t>
            </w:r>
          </w:p>
          <w:p>
            <w:pPr>
              <w:spacing w:before="208" w:line="224" w:lineRule="auto"/>
              <w:ind w:left="1875"/>
              <w:outlineLvl w:val="0"/>
              <w:rPr>
                <w:rFonts w:ascii="仿宋" w:hAnsi="仿宋" w:eastAsia="仿宋" w:cs="仿宋"/>
                <w:color w:val="auto"/>
                <w:sz w:val="28"/>
                <w:szCs w:val="28"/>
              </w:rPr>
            </w:pPr>
            <w:r>
              <w:rPr>
                <w:rFonts w:ascii="仿宋" w:hAnsi="仿宋" w:eastAsia="仿宋" w:cs="仿宋"/>
                <w:color w:val="auto"/>
                <w:spacing w:val="31"/>
                <w:sz w:val="28"/>
                <w:szCs w:val="28"/>
              </w:rPr>
              <w:t>(</w:t>
            </w:r>
            <w:r>
              <w:rPr>
                <w:rFonts w:ascii="仿宋" w:hAnsi="仿宋" w:eastAsia="仿宋" w:cs="仿宋"/>
                <w:color w:val="auto"/>
                <w:spacing w:val="30"/>
                <w:sz w:val="28"/>
                <w:szCs w:val="28"/>
              </w:rPr>
              <w:t>正面)</w:t>
            </w:r>
          </w:p>
        </w:tc>
      </w:tr>
    </w:tbl>
    <w:tbl>
      <w:tblPr>
        <w:tblStyle w:val="30"/>
        <w:tblpPr w:leftFromText="180" w:rightFromText="180" w:vertAnchor="page" w:horzAnchor="page" w:tblpX="1128" w:tblpY="10189"/>
        <w:tblOverlap w:val="never"/>
        <w:tblW w:w="967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39"/>
        <w:gridCol w:w="48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1" w:hRule="atLeast"/>
        </w:trPr>
        <w:tc>
          <w:tcPr>
            <w:tcW w:w="4839" w:type="dxa"/>
            <w:vAlign w:val="top"/>
          </w:tcPr>
          <w:p>
            <w:pPr>
              <w:spacing w:line="458" w:lineRule="auto"/>
              <w:rPr>
                <w:rFonts w:ascii="Arial"/>
                <w:color w:val="auto"/>
                <w:sz w:val="21"/>
              </w:rPr>
            </w:pPr>
          </w:p>
          <w:p>
            <w:pPr>
              <w:spacing w:before="91" w:line="222" w:lineRule="auto"/>
              <w:ind w:left="905"/>
              <w:outlineLvl w:val="0"/>
              <w:rPr>
                <w:rFonts w:ascii="仿宋" w:hAnsi="仿宋" w:eastAsia="仿宋" w:cs="仿宋"/>
                <w:color w:val="auto"/>
                <w:sz w:val="28"/>
                <w:szCs w:val="28"/>
              </w:rPr>
            </w:pPr>
            <w:r>
              <w:rPr>
                <w:rFonts w:ascii="仿宋" w:hAnsi="仿宋" w:eastAsia="仿宋" w:cs="仿宋"/>
                <w:color w:val="auto"/>
                <w:spacing w:val="-4"/>
                <w:sz w:val="28"/>
                <w:szCs w:val="28"/>
              </w:rPr>
              <w:t>法定</w:t>
            </w:r>
            <w:r>
              <w:rPr>
                <w:rFonts w:ascii="仿宋" w:hAnsi="仿宋" w:eastAsia="仿宋" w:cs="仿宋"/>
                <w:color w:val="auto"/>
                <w:spacing w:val="-2"/>
                <w:sz w:val="28"/>
                <w:szCs w:val="28"/>
              </w:rPr>
              <w:t>代表人身份证复印件</w:t>
            </w:r>
          </w:p>
          <w:p>
            <w:pPr>
              <w:spacing w:before="208" w:line="224" w:lineRule="auto"/>
              <w:ind w:left="1876"/>
              <w:outlineLvl w:val="0"/>
              <w:rPr>
                <w:rFonts w:ascii="仿宋" w:hAnsi="仿宋" w:eastAsia="仿宋" w:cs="仿宋"/>
                <w:color w:val="auto"/>
                <w:sz w:val="28"/>
                <w:szCs w:val="28"/>
              </w:rPr>
            </w:pPr>
            <w:r>
              <w:rPr>
                <w:rFonts w:ascii="仿宋" w:hAnsi="仿宋" w:eastAsia="仿宋" w:cs="仿宋"/>
                <w:color w:val="auto"/>
                <w:spacing w:val="31"/>
                <w:sz w:val="28"/>
                <w:szCs w:val="28"/>
              </w:rPr>
              <w:t>(</w:t>
            </w:r>
            <w:r>
              <w:rPr>
                <w:rFonts w:ascii="仿宋" w:hAnsi="仿宋" w:eastAsia="仿宋" w:cs="仿宋"/>
                <w:color w:val="auto"/>
                <w:spacing w:val="30"/>
                <w:sz w:val="28"/>
                <w:szCs w:val="28"/>
              </w:rPr>
              <w:t>反面)</w:t>
            </w:r>
          </w:p>
        </w:tc>
        <w:tc>
          <w:tcPr>
            <w:tcW w:w="4840" w:type="dxa"/>
            <w:vAlign w:val="top"/>
          </w:tcPr>
          <w:p>
            <w:pPr>
              <w:spacing w:line="458" w:lineRule="auto"/>
              <w:rPr>
                <w:rFonts w:ascii="Arial"/>
                <w:color w:val="auto"/>
                <w:sz w:val="21"/>
              </w:rPr>
            </w:pPr>
          </w:p>
          <w:p>
            <w:pPr>
              <w:spacing w:before="91" w:line="222" w:lineRule="auto"/>
              <w:ind w:left="1035"/>
              <w:outlineLvl w:val="0"/>
              <w:rPr>
                <w:rFonts w:ascii="仿宋" w:hAnsi="仿宋" w:eastAsia="仿宋" w:cs="仿宋"/>
                <w:color w:val="auto"/>
                <w:sz w:val="28"/>
                <w:szCs w:val="28"/>
              </w:rPr>
            </w:pPr>
            <w:r>
              <w:rPr>
                <w:rFonts w:ascii="仿宋" w:hAnsi="仿宋" w:eastAsia="仿宋" w:cs="仿宋"/>
                <w:color w:val="auto"/>
                <w:spacing w:val="-2"/>
                <w:sz w:val="28"/>
                <w:szCs w:val="28"/>
              </w:rPr>
              <w:t>被授权人身份证复</w:t>
            </w:r>
            <w:r>
              <w:rPr>
                <w:rFonts w:ascii="仿宋" w:hAnsi="仿宋" w:eastAsia="仿宋" w:cs="仿宋"/>
                <w:color w:val="auto"/>
                <w:spacing w:val="-1"/>
                <w:sz w:val="28"/>
                <w:szCs w:val="28"/>
              </w:rPr>
              <w:t>印件</w:t>
            </w:r>
          </w:p>
          <w:p>
            <w:pPr>
              <w:spacing w:before="208" w:line="224" w:lineRule="auto"/>
              <w:ind w:left="1875"/>
              <w:outlineLvl w:val="0"/>
              <w:rPr>
                <w:rFonts w:ascii="仿宋" w:hAnsi="仿宋" w:eastAsia="仿宋" w:cs="仿宋"/>
                <w:color w:val="auto"/>
                <w:sz w:val="28"/>
                <w:szCs w:val="28"/>
              </w:rPr>
            </w:pPr>
            <w:r>
              <w:rPr>
                <w:rFonts w:ascii="仿宋" w:hAnsi="仿宋" w:eastAsia="仿宋" w:cs="仿宋"/>
                <w:color w:val="auto"/>
                <w:spacing w:val="31"/>
                <w:sz w:val="28"/>
                <w:szCs w:val="28"/>
              </w:rPr>
              <w:t>(</w:t>
            </w:r>
            <w:r>
              <w:rPr>
                <w:rFonts w:ascii="仿宋" w:hAnsi="仿宋" w:eastAsia="仿宋" w:cs="仿宋"/>
                <w:color w:val="auto"/>
                <w:spacing w:val="30"/>
                <w:sz w:val="28"/>
                <w:szCs w:val="28"/>
              </w:rPr>
              <w:t>反面)</w:t>
            </w:r>
          </w:p>
        </w:tc>
      </w:tr>
    </w:tbl>
    <w:p>
      <w:pPr>
        <w:spacing w:before="91" w:line="222" w:lineRule="auto"/>
        <w:rPr>
          <w:rFonts w:ascii="仿宋" w:hAnsi="仿宋" w:eastAsia="仿宋" w:cs="仿宋"/>
          <w:color w:val="auto"/>
          <w:spacing w:val="-2"/>
          <w:sz w:val="28"/>
          <w:szCs w:val="28"/>
        </w:rPr>
      </w:pPr>
    </w:p>
    <w:p>
      <w:pPr>
        <w:spacing w:before="91" w:line="222" w:lineRule="auto"/>
        <w:rPr>
          <w:rFonts w:ascii="仿宋" w:hAnsi="仿宋" w:eastAsia="仿宋" w:cs="仿宋"/>
          <w:color w:val="auto"/>
          <w:sz w:val="28"/>
          <w:szCs w:val="28"/>
        </w:rPr>
      </w:pPr>
      <w:r>
        <w:rPr>
          <w:rFonts w:ascii="仿宋" w:hAnsi="仿宋" w:eastAsia="仿宋" w:cs="仿宋"/>
          <w:color w:val="auto"/>
          <w:spacing w:val="-2"/>
          <w:sz w:val="28"/>
          <w:szCs w:val="28"/>
        </w:rPr>
        <w:t>供应商名称 (公</w:t>
      </w:r>
      <w:r>
        <w:rPr>
          <w:rFonts w:ascii="仿宋" w:hAnsi="仿宋" w:eastAsia="仿宋" w:cs="仿宋"/>
          <w:color w:val="auto"/>
          <w:spacing w:val="-1"/>
          <w:sz w:val="28"/>
          <w:szCs w:val="28"/>
        </w:rPr>
        <w:t>章) ：</w:t>
      </w:r>
      <w:r>
        <w:rPr>
          <w:rFonts w:ascii="仿宋" w:hAnsi="仿宋" w:eastAsia="仿宋" w:cs="仿宋"/>
          <w:color w:val="auto"/>
          <w:sz w:val="28"/>
          <w:szCs w:val="28"/>
          <w:u w:val="single" w:color="auto"/>
        </w:rPr>
        <w:t xml:space="preserve">                      </w:t>
      </w:r>
    </w:p>
    <w:p>
      <w:pPr>
        <w:spacing w:line="477" w:lineRule="auto"/>
        <w:rPr>
          <w:rFonts w:ascii="Arial"/>
          <w:color w:val="auto"/>
          <w:sz w:val="21"/>
        </w:rPr>
      </w:pPr>
    </w:p>
    <w:p>
      <w:pPr>
        <w:spacing w:before="91" w:line="223" w:lineRule="auto"/>
        <w:ind w:left="382"/>
        <w:rPr>
          <w:rFonts w:ascii="仿宋" w:hAnsi="仿宋" w:eastAsia="仿宋" w:cs="仿宋"/>
          <w:color w:val="auto"/>
          <w:sz w:val="28"/>
          <w:szCs w:val="28"/>
        </w:rPr>
      </w:pPr>
      <w:r>
        <w:rPr>
          <w:rFonts w:ascii="仿宋" w:hAnsi="仿宋" w:eastAsia="仿宋" w:cs="仿宋"/>
          <w:color w:val="auto"/>
          <w:spacing w:val="-10"/>
          <w:sz w:val="28"/>
          <w:szCs w:val="28"/>
        </w:rPr>
        <w:t>日期</w:t>
      </w:r>
      <w:r>
        <w:rPr>
          <w:rFonts w:ascii="仿宋" w:hAnsi="仿宋" w:eastAsia="仿宋" w:cs="仿宋"/>
          <w:color w:val="auto"/>
          <w:spacing w:val="-9"/>
          <w:sz w:val="28"/>
          <w:szCs w:val="28"/>
        </w:rPr>
        <w:t>：</w:t>
      </w:r>
      <w:r>
        <w:rPr>
          <w:rFonts w:ascii="仿宋" w:hAnsi="仿宋" w:eastAsia="仿宋" w:cs="仿宋"/>
          <w:color w:val="auto"/>
          <w:spacing w:val="-5"/>
          <w:sz w:val="28"/>
          <w:szCs w:val="28"/>
          <w:u w:val="single" w:color="auto"/>
        </w:rPr>
        <w:t xml:space="preserve">       </w:t>
      </w:r>
      <w:r>
        <w:rPr>
          <w:rFonts w:ascii="仿宋" w:hAnsi="仿宋" w:eastAsia="仿宋" w:cs="仿宋"/>
          <w:color w:val="auto"/>
          <w:spacing w:val="-5"/>
          <w:sz w:val="28"/>
          <w:szCs w:val="28"/>
        </w:rPr>
        <w:t>年</w:t>
      </w:r>
      <w:r>
        <w:rPr>
          <w:rFonts w:ascii="仿宋" w:hAnsi="仿宋" w:eastAsia="仿宋" w:cs="仿宋"/>
          <w:color w:val="auto"/>
          <w:spacing w:val="-5"/>
          <w:sz w:val="28"/>
          <w:szCs w:val="28"/>
          <w:u w:val="single" w:color="auto"/>
        </w:rPr>
        <w:t xml:space="preserve">     </w:t>
      </w:r>
      <w:r>
        <w:rPr>
          <w:rFonts w:ascii="仿宋" w:hAnsi="仿宋" w:eastAsia="仿宋" w:cs="仿宋"/>
          <w:color w:val="auto"/>
          <w:spacing w:val="-5"/>
          <w:sz w:val="28"/>
          <w:szCs w:val="28"/>
        </w:rPr>
        <w:t xml:space="preserve"> 月</w:t>
      </w:r>
      <w:r>
        <w:rPr>
          <w:rFonts w:ascii="仿宋" w:hAnsi="仿宋" w:eastAsia="仿宋" w:cs="仿宋"/>
          <w:color w:val="auto"/>
          <w:spacing w:val="-5"/>
          <w:sz w:val="28"/>
          <w:szCs w:val="28"/>
          <w:u w:val="single" w:color="auto"/>
        </w:rPr>
        <w:t xml:space="preserve">      日</w:t>
      </w:r>
    </w:p>
    <w:p>
      <w:pPr>
        <w:rPr>
          <w:color w:val="auto"/>
        </w:rPr>
        <w:sectPr>
          <w:type w:val="continuous"/>
          <w:pgSz w:w="11907" w:h="16840"/>
          <w:pgMar w:top="400" w:right="1111" w:bottom="1463" w:left="1111" w:header="0" w:footer="1249" w:gutter="0"/>
          <w:pgNumType w:fmt="decimal"/>
          <w:cols w:equalWidth="0" w:num="1">
            <w:col w:w="9685"/>
          </w:cols>
        </w:sectPr>
      </w:pPr>
    </w:p>
    <w:p>
      <w:pPr>
        <w:spacing w:line="400" w:lineRule="exact"/>
        <w:rPr>
          <w:rFonts w:hint="eastAsia"/>
          <w:b/>
          <w:color w:val="auto"/>
          <w:spacing w:val="20"/>
          <w:sz w:val="18"/>
        </w:rPr>
      </w:pPr>
      <w:r>
        <w:rPr>
          <w:rFonts w:hint="eastAsia"/>
          <w:b/>
          <w:bCs/>
          <w:color w:val="auto"/>
          <w:sz w:val="18"/>
        </w:rPr>
        <w:t>附件3：</w:t>
      </w:r>
      <w:r>
        <w:rPr>
          <w:rFonts w:hint="eastAsia"/>
          <w:b/>
          <w:color w:val="auto"/>
          <w:spacing w:val="20"/>
          <w:sz w:val="18"/>
        </w:rPr>
        <w:t xml:space="preserve"> </w:t>
      </w:r>
    </w:p>
    <w:p>
      <w:pPr>
        <w:spacing w:line="400" w:lineRule="exact"/>
        <w:jc w:val="center"/>
        <w:rPr>
          <w:rFonts w:hint="eastAsia" w:eastAsia="黑体"/>
          <w:b/>
          <w:color w:val="auto"/>
          <w:spacing w:val="20"/>
          <w:sz w:val="30"/>
        </w:rPr>
      </w:pPr>
      <w:r>
        <w:rPr>
          <w:rFonts w:hint="eastAsia" w:eastAsia="黑体"/>
          <w:b/>
          <w:color w:val="auto"/>
          <w:spacing w:val="20"/>
          <w:sz w:val="30"/>
        </w:rPr>
        <w:t>开标一览表</w:t>
      </w:r>
    </w:p>
    <w:p>
      <w:pPr>
        <w:spacing w:line="400" w:lineRule="exact"/>
        <w:jc w:val="center"/>
        <w:rPr>
          <w:color w:val="auto"/>
          <w:spacing w:val="20"/>
          <w:sz w:val="21"/>
          <w:szCs w:val="21"/>
        </w:rPr>
      </w:pPr>
      <w:r>
        <w:rPr>
          <w:rFonts w:hint="eastAsia"/>
          <w:color w:val="auto"/>
          <w:spacing w:val="20"/>
          <w:sz w:val="21"/>
          <w:szCs w:val="21"/>
        </w:rPr>
        <w:t>（格式）</w:t>
      </w:r>
    </w:p>
    <w:p>
      <w:pPr>
        <w:spacing w:line="400" w:lineRule="exact"/>
        <w:rPr>
          <w:rFonts w:hint="eastAsia"/>
          <w:color w:val="auto"/>
          <w:sz w:val="21"/>
          <w:szCs w:val="21"/>
        </w:rPr>
      </w:pPr>
      <w:r>
        <w:rPr>
          <w:rFonts w:hint="eastAsia"/>
          <w:color w:val="auto"/>
          <w:spacing w:val="20"/>
          <w:sz w:val="21"/>
          <w:szCs w:val="21"/>
        </w:rPr>
        <w:t>投标人（盖章）：</w:t>
      </w:r>
      <w:r>
        <w:rPr>
          <w:color w:val="auto"/>
          <w:spacing w:val="20"/>
          <w:sz w:val="21"/>
          <w:szCs w:val="21"/>
        </w:rPr>
        <w:t xml:space="preserve">                </w:t>
      </w:r>
      <w:r>
        <w:rPr>
          <w:rFonts w:hint="eastAsia"/>
          <w:color w:val="auto"/>
          <w:spacing w:val="20"/>
          <w:sz w:val="21"/>
          <w:szCs w:val="21"/>
        </w:rPr>
        <w:t xml:space="preserve">                                      投标编号：</w:t>
      </w:r>
    </w:p>
    <w:tbl>
      <w:tblPr>
        <w:tblStyle w:val="20"/>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030"/>
        <w:gridCol w:w="1215"/>
        <w:gridCol w:w="1155"/>
        <w:gridCol w:w="735"/>
        <w:gridCol w:w="855"/>
        <w:gridCol w:w="900"/>
        <w:gridCol w:w="10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8565" w:type="dxa"/>
            <w:gridSpan w:val="9"/>
            <w:noWrap w:val="0"/>
            <w:vAlign w:val="center"/>
          </w:tcPr>
          <w:p>
            <w:pPr>
              <w:spacing w:line="400" w:lineRule="exact"/>
              <w:jc w:val="center"/>
              <w:rPr>
                <w:b/>
                <w:color w:val="auto"/>
                <w:spacing w:val="20"/>
                <w:sz w:val="21"/>
                <w:szCs w:val="21"/>
              </w:rPr>
            </w:pPr>
            <w:r>
              <w:rPr>
                <w:rFonts w:hint="eastAsia"/>
                <w:b/>
                <w:color w:val="auto"/>
                <w:spacing w:val="20"/>
                <w:sz w:val="21"/>
                <w:szCs w:val="21"/>
              </w:rPr>
              <w:t>投标报价表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695" w:type="dxa"/>
            <w:noWrap w:val="0"/>
            <w:vAlign w:val="center"/>
          </w:tcPr>
          <w:p>
            <w:pPr>
              <w:spacing w:line="400" w:lineRule="exact"/>
              <w:jc w:val="center"/>
              <w:rPr>
                <w:rFonts w:hint="eastAsia"/>
                <w:color w:val="auto"/>
                <w:spacing w:val="20"/>
                <w:sz w:val="21"/>
                <w:szCs w:val="21"/>
              </w:rPr>
            </w:pPr>
            <w:r>
              <w:rPr>
                <w:rFonts w:hint="eastAsia"/>
                <w:color w:val="auto"/>
                <w:spacing w:val="20"/>
                <w:sz w:val="21"/>
                <w:szCs w:val="21"/>
              </w:rPr>
              <w:t>序号</w:t>
            </w:r>
          </w:p>
        </w:tc>
        <w:tc>
          <w:tcPr>
            <w:tcW w:w="1030" w:type="dxa"/>
            <w:noWrap w:val="0"/>
            <w:vAlign w:val="center"/>
          </w:tcPr>
          <w:p>
            <w:pPr>
              <w:spacing w:line="400" w:lineRule="exact"/>
              <w:jc w:val="center"/>
              <w:rPr>
                <w:color w:val="auto"/>
                <w:spacing w:val="20"/>
                <w:sz w:val="21"/>
                <w:szCs w:val="21"/>
              </w:rPr>
            </w:pPr>
            <w:r>
              <w:rPr>
                <w:rFonts w:hint="eastAsia"/>
                <w:color w:val="auto"/>
                <w:spacing w:val="20"/>
                <w:sz w:val="21"/>
                <w:szCs w:val="21"/>
              </w:rPr>
              <w:t>名称</w:t>
            </w:r>
          </w:p>
        </w:tc>
        <w:tc>
          <w:tcPr>
            <w:tcW w:w="1215" w:type="dxa"/>
            <w:noWrap w:val="0"/>
            <w:vAlign w:val="center"/>
          </w:tcPr>
          <w:p>
            <w:pPr>
              <w:spacing w:line="400" w:lineRule="exact"/>
              <w:jc w:val="center"/>
              <w:rPr>
                <w:color w:val="auto"/>
                <w:spacing w:val="20"/>
                <w:sz w:val="21"/>
                <w:szCs w:val="21"/>
              </w:rPr>
            </w:pPr>
            <w:r>
              <w:rPr>
                <w:rFonts w:hint="eastAsia"/>
                <w:color w:val="auto"/>
                <w:spacing w:val="20"/>
                <w:sz w:val="21"/>
                <w:szCs w:val="21"/>
              </w:rPr>
              <w:t>品牌规格</w:t>
            </w:r>
          </w:p>
        </w:tc>
        <w:tc>
          <w:tcPr>
            <w:tcW w:w="1155" w:type="dxa"/>
            <w:noWrap w:val="0"/>
            <w:vAlign w:val="center"/>
          </w:tcPr>
          <w:p>
            <w:pPr>
              <w:spacing w:line="400" w:lineRule="exact"/>
              <w:jc w:val="center"/>
              <w:rPr>
                <w:rFonts w:hint="eastAsia"/>
                <w:color w:val="auto"/>
                <w:spacing w:val="20"/>
                <w:sz w:val="21"/>
                <w:szCs w:val="21"/>
              </w:rPr>
            </w:pPr>
            <w:r>
              <w:rPr>
                <w:rFonts w:hint="eastAsia"/>
                <w:color w:val="auto"/>
                <w:spacing w:val="20"/>
                <w:sz w:val="21"/>
                <w:szCs w:val="21"/>
              </w:rPr>
              <w:t>生产厂家</w:t>
            </w:r>
          </w:p>
        </w:tc>
        <w:tc>
          <w:tcPr>
            <w:tcW w:w="735" w:type="dxa"/>
            <w:noWrap w:val="0"/>
            <w:vAlign w:val="center"/>
          </w:tcPr>
          <w:p>
            <w:pPr>
              <w:spacing w:line="400" w:lineRule="exact"/>
              <w:jc w:val="center"/>
              <w:rPr>
                <w:color w:val="auto"/>
                <w:spacing w:val="20"/>
                <w:sz w:val="21"/>
                <w:szCs w:val="21"/>
              </w:rPr>
            </w:pPr>
            <w:r>
              <w:rPr>
                <w:rFonts w:hint="eastAsia"/>
                <w:color w:val="auto"/>
                <w:spacing w:val="20"/>
                <w:sz w:val="21"/>
                <w:szCs w:val="21"/>
              </w:rPr>
              <w:t>单位</w:t>
            </w:r>
          </w:p>
        </w:tc>
        <w:tc>
          <w:tcPr>
            <w:tcW w:w="855" w:type="dxa"/>
            <w:noWrap w:val="0"/>
            <w:vAlign w:val="center"/>
          </w:tcPr>
          <w:p>
            <w:pPr>
              <w:spacing w:line="400" w:lineRule="exact"/>
              <w:jc w:val="center"/>
              <w:rPr>
                <w:color w:val="auto"/>
                <w:spacing w:val="20"/>
                <w:sz w:val="21"/>
                <w:szCs w:val="21"/>
              </w:rPr>
            </w:pPr>
            <w:r>
              <w:rPr>
                <w:rFonts w:hint="eastAsia"/>
                <w:color w:val="auto"/>
                <w:spacing w:val="20"/>
                <w:sz w:val="21"/>
                <w:szCs w:val="21"/>
              </w:rPr>
              <w:t>数量</w:t>
            </w:r>
          </w:p>
        </w:tc>
        <w:tc>
          <w:tcPr>
            <w:tcW w:w="900" w:type="dxa"/>
            <w:noWrap w:val="0"/>
            <w:vAlign w:val="center"/>
          </w:tcPr>
          <w:p>
            <w:pPr>
              <w:spacing w:line="400" w:lineRule="exact"/>
              <w:jc w:val="center"/>
              <w:rPr>
                <w:color w:val="auto"/>
                <w:spacing w:val="20"/>
                <w:sz w:val="21"/>
                <w:szCs w:val="21"/>
              </w:rPr>
            </w:pPr>
            <w:r>
              <w:rPr>
                <w:rFonts w:hint="eastAsia"/>
                <w:color w:val="auto"/>
                <w:spacing w:val="20"/>
                <w:sz w:val="21"/>
                <w:szCs w:val="21"/>
              </w:rPr>
              <w:t>单价</w:t>
            </w:r>
          </w:p>
        </w:tc>
        <w:tc>
          <w:tcPr>
            <w:tcW w:w="1080" w:type="dxa"/>
            <w:noWrap w:val="0"/>
            <w:vAlign w:val="center"/>
          </w:tcPr>
          <w:p>
            <w:pPr>
              <w:spacing w:line="400" w:lineRule="exact"/>
              <w:jc w:val="center"/>
              <w:rPr>
                <w:color w:val="auto"/>
                <w:spacing w:val="20"/>
                <w:sz w:val="21"/>
                <w:szCs w:val="21"/>
              </w:rPr>
            </w:pPr>
            <w:r>
              <w:rPr>
                <w:rFonts w:hint="eastAsia"/>
                <w:color w:val="auto"/>
                <w:spacing w:val="20"/>
                <w:sz w:val="21"/>
                <w:szCs w:val="21"/>
              </w:rPr>
              <w:t>总价</w:t>
            </w:r>
          </w:p>
        </w:tc>
        <w:tc>
          <w:tcPr>
            <w:tcW w:w="900" w:type="dxa"/>
            <w:noWrap w:val="0"/>
            <w:vAlign w:val="center"/>
          </w:tcPr>
          <w:p>
            <w:pPr>
              <w:spacing w:line="400" w:lineRule="exact"/>
              <w:jc w:val="center"/>
              <w:rPr>
                <w:color w:val="auto"/>
                <w:spacing w:val="20"/>
                <w:sz w:val="21"/>
                <w:szCs w:val="21"/>
              </w:rPr>
            </w:pPr>
            <w:r>
              <w:rPr>
                <w:rFonts w:hint="eastAsia"/>
                <w:color w:val="auto"/>
                <w:spacing w:val="2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695" w:type="dxa"/>
            <w:noWrap w:val="0"/>
            <w:vAlign w:val="center"/>
          </w:tcPr>
          <w:p>
            <w:pPr>
              <w:spacing w:line="400" w:lineRule="exact"/>
              <w:jc w:val="center"/>
              <w:rPr>
                <w:color w:val="auto"/>
                <w:spacing w:val="20"/>
                <w:sz w:val="21"/>
                <w:szCs w:val="21"/>
              </w:rPr>
            </w:pPr>
          </w:p>
        </w:tc>
        <w:tc>
          <w:tcPr>
            <w:tcW w:w="1030" w:type="dxa"/>
            <w:noWrap w:val="0"/>
            <w:vAlign w:val="center"/>
          </w:tcPr>
          <w:p>
            <w:pPr>
              <w:spacing w:line="400" w:lineRule="exact"/>
              <w:jc w:val="center"/>
              <w:rPr>
                <w:color w:val="auto"/>
                <w:spacing w:val="20"/>
                <w:sz w:val="21"/>
                <w:szCs w:val="21"/>
              </w:rPr>
            </w:pPr>
          </w:p>
        </w:tc>
        <w:tc>
          <w:tcPr>
            <w:tcW w:w="1215" w:type="dxa"/>
            <w:noWrap w:val="0"/>
            <w:vAlign w:val="center"/>
          </w:tcPr>
          <w:p>
            <w:pPr>
              <w:spacing w:line="400" w:lineRule="exact"/>
              <w:jc w:val="center"/>
              <w:rPr>
                <w:color w:val="auto"/>
                <w:spacing w:val="20"/>
                <w:sz w:val="21"/>
                <w:szCs w:val="21"/>
              </w:rPr>
            </w:pPr>
          </w:p>
        </w:tc>
        <w:tc>
          <w:tcPr>
            <w:tcW w:w="1155" w:type="dxa"/>
            <w:noWrap w:val="0"/>
            <w:vAlign w:val="center"/>
          </w:tcPr>
          <w:p>
            <w:pPr>
              <w:spacing w:line="400" w:lineRule="exact"/>
              <w:jc w:val="center"/>
              <w:rPr>
                <w:color w:val="auto"/>
                <w:spacing w:val="20"/>
                <w:sz w:val="21"/>
                <w:szCs w:val="21"/>
              </w:rPr>
            </w:pPr>
          </w:p>
        </w:tc>
        <w:tc>
          <w:tcPr>
            <w:tcW w:w="735" w:type="dxa"/>
            <w:noWrap w:val="0"/>
            <w:vAlign w:val="center"/>
          </w:tcPr>
          <w:p>
            <w:pPr>
              <w:spacing w:line="400" w:lineRule="exact"/>
              <w:jc w:val="center"/>
              <w:rPr>
                <w:color w:val="auto"/>
                <w:spacing w:val="20"/>
                <w:sz w:val="21"/>
                <w:szCs w:val="21"/>
              </w:rPr>
            </w:pPr>
          </w:p>
        </w:tc>
        <w:tc>
          <w:tcPr>
            <w:tcW w:w="855" w:type="dxa"/>
            <w:noWrap w:val="0"/>
            <w:vAlign w:val="center"/>
          </w:tcPr>
          <w:p>
            <w:pPr>
              <w:spacing w:line="400" w:lineRule="exact"/>
              <w:jc w:val="center"/>
              <w:rPr>
                <w:color w:val="auto"/>
                <w:spacing w:val="20"/>
                <w:sz w:val="21"/>
                <w:szCs w:val="21"/>
              </w:rPr>
            </w:pPr>
          </w:p>
        </w:tc>
        <w:tc>
          <w:tcPr>
            <w:tcW w:w="900" w:type="dxa"/>
            <w:noWrap w:val="0"/>
            <w:vAlign w:val="center"/>
          </w:tcPr>
          <w:p>
            <w:pPr>
              <w:spacing w:line="400" w:lineRule="exact"/>
              <w:jc w:val="center"/>
              <w:rPr>
                <w:color w:val="auto"/>
                <w:spacing w:val="20"/>
                <w:sz w:val="21"/>
                <w:szCs w:val="21"/>
              </w:rPr>
            </w:pPr>
          </w:p>
        </w:tc>
        <w:tc>
          <w:tcPr>
            <w:tcW w:w="1080" w:type="dxa"/>
            <w:noWrap w:val="0"/>
            <w:vAlign w:val="center"/>
          </w:tcPr>
          <w:p>
            <w:pPr>
              <w:spacing w:line="400" w:lineRule="exact"/>
              <w:jc w:val="center"/>
              <w:rPr>
                <w:color w:val="auto"/>
                <w:spacing w:val="20"/>
                <w:sz w:val="21"/>
                <w:szCs w:val="21"/>
              </w:rPr>
            </w:pPr>
          </w:p>
        </w:tc>
        <w:tc>
          <w:tcPr>
            <w:tcW w:w="900" w:type="dxa"/>
            <w:noWrap w:val="0"/>
            <w:vAlign w:val="center"/>
          </w:tcPr>
          <w:p>
            <w:pPr>
              <w:spacing w:line="400" w:lineRule="exact"/>
              <w:jc w:val="center"/>
              <w:rPr>
                <w:color w:val="auto"/>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695" w:type="dxa"/>
            <w:noWrap w:val="0"/>
            <w:vAlign w:val="center"/>
          </w:tcPr>
          <w:p>
            <w:pPr>
              <w:spacing w:line="400" w:lineRule="exact"/>
              <w:jc w:val="center"/>
              <w:rPr>
                <w:color w:val="auto"/>
                <w:spacing w:val="20"/>
                <w:sz w:val="21"/>
                <w:szCs w:val="21"/>
              </w:rPr>
            </w:pPr>
          </w:p>
        </w:tc>
        <w:tc>
          <w:tcPr>
            <w:tcW w:w="1030" w:type="dxa"/>
            <w:noWrap w:val="0"/>
            <w:vAlign w:val="center"/>
          </w:tcPr>
          <w:p>
            <w:pPr>
              <w:spacing w:line="400" w:lineRule="exact"/>
              <w:jc w:val="center"/>
              <w:rPr>
                <w:color w:val="auto"/>
                <w:spacing w:val="20"/>
                <w:sz w:val="21"/>
                <w:szCs w:val="21"/>
              </w:rPr>
            </w:pPr>
          </w:p>
        </w:tc>
        <w:tc>
          <w:tcPr>
            <w:tcW w:w="1215" w:type="dxa"/>
            <w:noWrap w:val="0"/>
            <w:vAlign w:val="center"/>
          </w:tcPr>
          <w:p>
            <w:pPr>
              <w:spacing w:line="400" w:lineRule="exact"/>
              <w:jc w:val="center"/>
              <w:rPr>
                <w:color w:val="auto"/>
                <w:spacing w:val="20"/>
                <w:sz w:val="21"/>
                <w:szCs w:val="21"/>
              </w:rPr>
            </w:pPr>
          </w:p>
        </w:tc>
        <w:tc>
          <w:tcPr>
            <w:tcW w:w="1155" w:type="dxa"/>
            <w:noWrap w:val="0"/>
            <w:vAlign w:val="center"/>
          </w:tcPr>
          <w:p>
            <w:pPr>
              <w:spacing w:line="400" w:lineRule="exact"/>
              <w:jc w:val="center"/>
              <w:rPr>
                <w:color w:val="auto"/>
                <w:spacing w:val="20"/>
                <w:sz w:val="21"/>
                <w:szCs w:val="21"/>
              </w:rPr>
            </w:pPr>
          </w:p>
        </w:tc>
        <w:tc>
          <w:tcPr>
            <w:tcW w:w="735" w:type="dxa"/>
            <w:noWrap w:val="0"/>
            <w:vAlign w:val="center"/>
          </w:tcPr>
          <w:p>
            <w:pPr>
              <w:spacing w:line="400" w:lineRule="exact"/>
              <w:jc w:val="center"/>
              <w:rPr>
                <w:color w:val="auto"/>
                <w:spacing w:val="20"/>
                <w:sz w:val="21"/>
                <w:szCs w:val="21"/>
              </w:rPr>
            </w:pPr>
          </w:p>
        </w:tc>
        <w:tc>
          <w:tcPr>
            <w:tcW w:w="855" w:type="dxa"/>
            <w:noWrap w:val="0"/>
            <w:vAlign w:val="center"/>
          </w:tcPr>
          <w:p>
            <w:pPr>
              <w:spacing w:line="400" w:lineRule="exact"/>
              <w:jc w:val="center"/>
              <w:rPr>
                <w:color w:val="auto"/>
                <w:spacing w:val="20"/>
                <w:sz w:val="21"/>
                <w:szCs w:val="21"/>
              </w:rPr>
            </w:pPr>
          </w:p>
        </w:tc>
        <w:tc>
          <w:tcPr>
            <w:tcW w:w="900" w:type="dxa"/>
            <w:noWrap w:val="0"/>
            <w:vAlign w:val="center"/>
          </w:tcPr>
          <w:p>
            <w:pPr>
              <w:spacing w:line="400" w:lineRule="exact"/>
              <w:jc w:val="center"/>
              <w:rPr>
                <w:color w:val="auto"/>
                <w:spacing w:val="20"/>
                <w:sz w:val="21"/>
                <w:szCs w:val="21"/>
              </w:rPr>
            </w:pPr>
          </w:p>
        </w:tc>
        <w:tc>
          <w:tcPr>
            <w:tcW w:w="1080" w:type="dxa"/>
            <w:noWrap w:val="0"/>
            <w:vAlign w:val="center"/>
          </w:tcPr>
          <w:p>
            <w:pPr>
              <w:spacing w:line="400" w:lineRule="exact"/>
              <w:jc w:val="center"/>
              <w:rPr>
                <w:color w:val="auto"/>
                <w:spacing w:val="20"/>
                <w:sz w:val="21"/>
                <w:szCs w:val="21"/>
              </w:rPr>
            </w:pPr>
          </w:p>
        </w:tc>
        <w:tc>
          <w:tcPr>
            <w:tcW w:w="900" w:type="dxa"/>
            <w:noWrap w:val="0"/>
            <w:vAlign w:val="center"/>
          </w:tcPr>
          <w:p>
            <w:pPr>
              <w:spacing w:line="400" w:lineRule="exact"/>
              <w:jc w:val="center"/>
              <w:rPr>
                <w:color w:val="auto"/>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695" w:type="dxa"/>
            <w:noWrap w:val="0"/>
            <w:vAlign w:val="center"/>
          </w:tcPr>
          <w:p>
            <w:pPr>
              <w:spacing w:line="400" w:lineRule="exact"/>
              <w:jc w:val="center"/>
              <w:rPr>
                <w:color w:val="auto"/>
                <w:spacing w:val="20"/>
                <w:sz w:val="21"/>
                <w:szCs w:val="21"/>
              </w:rPr>
            </w:pPr>
          </w:p>
        </w:tc>
        <w:tc>
          <w:tcPr>
            <w:tcW w:w="1030" w:type="dxa"/>
            <w:noWrap w:val="0"/>
            <w:vAlign w:val="center"/>
          </w:tcPr>
          <w:p>
            <w:pPr>
              <w:spacing w:line="400" w:lineRule="exact"/>
              <w:jc w:val="center"/>
              <w:rPr>
                <w:color w:val="auto"/>
                <w:spacing w:val="20"/>
                <w:sz w:val="21"/>
                <w:szCs w:val="21"/>
              </w:rPr>
            </w:pPr>
          </w:p>
        </w:tc>
        <w:tc>
          <w:tcPr>
            <w:tcW w:w="1215" w:type="dxa"/>
            <w:noWrap w:val="0"/>
            <w:vAlign w:val="center"/>
          </w:tcPr>
          <w:p>
            <w:pPr>
              <w:spacing w:line="400" w:lineRule="exact"/>
              <w:jc w:val="center"/>
              <w:rPr>
                <w:color w:val="auto"/>
                <w:spacing w:val="20"/>
                <w:sz w:val="21"/>
                <w:szCs w:val="21"/>
              </w:rPr>
            </w:pPr>
          </w:p>
        </w:tc>
        <w:tc>
          <w:tcPr>
            <w:tcW w:w="1155" w:type="dxa"/>
            <w:noWrap w:val="0"/>
            <w:vAlign w:val="center"/>
          </w:tcPr>
          <w:p>
            <w:pPr>
              <w:spacing w:line="400" w:lineRule="exact"/>
              <w:jc w:val="center"/>
              <w:rPr>
                <w:color w:val="auto"/>
                <w:spacing w:val="20"/>
                <w:sz w:val="21"/>
                <w:szCs w:val="21"/>
              </w:rPr>
            </w:pPr>
          </w:p>
        </w:tc>
        <w:tc>
          <w:tcPr>
            <w:tcW w:w="735" w:type="dxa"/>
            <w:noWrap w:val="0"/>
            <w:vAlign w:val="center"/>
          </w:tcPr>
          <w:p>
            <w:pPr>
              <w:spacing w:line="400" w:lineRule="exact"/>
              <w:jc w:val="center"/>
              <w:rPr>
                <w:color w:val="auto"/>
                <w:spacing w:val="20"/>
                <w:sz w:val="21"/>
                <w:szCs w:val="21"/>
              </w:rPr>
            </w:pPr>
          </w:p>
        </w:tc>
        <w:tc>
          <w:tcPr>
            <w:tcW w:w="855" w:type="dxa"/>
            <w:noWrap w:val="0"/>
            <w:vAlign w:val="center"/>
          </w:tcPr>
          <w:p>
            <w:pPr>
              <w:spacing w:line="400" w:lineRule="exact"/>
              <w:jc w:val="center"/>
              <w:rPr>
                <w:color w:val="auto"/>
                <w:spacing w:val="20"/>
                <w:sz w:val="21"/>
                <w:szCs w:val="21"/>
              </w:rPr>
            </w:pPr>
          </w:p>
        </w:tc>
        <w:tc>
          <w:tcPr>
            <w:tcW w:w="900" w:type="dxa"/>
            <w:noWrap w:val="0"/>
            <w:vAlign w:val="center"/>
          </w:tcPr>
          <w:p>
            <w:pPr>
              <w:spacing w:line="400" w:lineRule="exact"/>
              <w:jc w:val="center"/>
              <w:rPr>
                <w:color w:val="auto"/>
                <w:spacing w:val="20"/>
                <w:sz w:val="21"/>
                <w:szCs w:val="21"/>
              </w:rPr>
            </w:pPr>
          </w:p>
        </w:tc>
        <w:tc>
          <w:tcPr>
            <w:tcW w:w="1080" w:type="dxa"/>
            <w:noWrap w:val="0"/>
            <w:vAlign w:val="center"/>
          </w:tcPr>
          <w:p>
            <w:pPr>
              <w:spacing w:line="400" w:lineRule="exact"/>
              <w:jc w:val="center"/>
              <w:rPr>
                <w:color w:val="auto"/>
                <w:spacing w:val="20"/>
                <w:sz w:val="21"/>
                <w:szCs w:val="21"/>
              </w:rPr>
            </w:pPr>
          </w:p>
        </w:tc>
        <w:tc>
          <w:tcPr>
            <w:tcW w:w="900" w:type="dxa"/>
            <w:noWrap w:val="0"/>
            <w:vAlign w:val="center"/>
          </w:tcPr>
          <w:p>
            <w:pPr>
              <w:spacing w:line="400" w:lineRule="exact"/>
              <w:jc w:val="center"/>
              <w:rPr>
                <w:color w:val="auto"/>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atLeast"/>
        </w:trPr>
        <w:tc>
          <w:tcPr>
            <w:tcW w:w="8565" w:type="dxa"/>
            <w:gridSpan w:val="9"/>
            <w:tcBorders>
              <w:top w:val="nil"/>
              <w:bottom w:val="single" w:color="auto" w:sz="4" w:space="0"/>
            </w:tcBorders>
            <w:noWrap w:val="0"/>
            <w:vAlign w:val="center"/>
          </w:tcPr>
          <w:p>
            <w:pPr>
              <w:spacing w:line="400" w:lineRule="exact"/>
              <w:rPr>
                <w:color w:val="auto"/>
                <w:spacing w:val="20"/>
                <w:sz w:val="21"/>
                <w:szCs w:val="21"/>
              </w:rPr>
            </w:pPr>
            <w:r>
              <w:rPr>
                <w:rFonts w:hint="eastAsia"/>
                <w:color w:val="auto"/>
                <w:spacing w:val="20"/>
                <w:sz w:val="21"/>
                <w:szCs w:val="21"/>
              </w:rPr>
              <w:t>投标总报价（人民币大写）：</w:t>
            </w:r>
            <w:r>
              <w:rPr>
                <w:color w:val="auto"/>
                <w:spacing w:val="20"/>
                <w:sz w:val="21"/>
                <w:szCs w:val="21"/>
              </w:rPr>
              <w:t xml:space="preserve">                  </w:t>
            </w:r>
            <w:r>
              <w:rPr>
                <w:rFonts w:hint="eastAsia"/>
                <w:color w:val="auto"/>
                <w:spacing w:val="2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725" w:type="dxa"/>
            <w:gridSpan w:val="2"/>
            <w:tcBorders>
              <w:top w:val="single" w:color="auto" w:sz="4" w:space="0"/>
              <w:bottom w:val="single" w:color="auto" w:sz="4" w:space="0"/>
            </w:tcBorders>
            <w:noWrap w:val="0"/>
            <w:vAlign w:val="top"/>
          </w:tcPr>
          <w:p>
            <w:pPr>
              <w:spacing w:line="400" w:lineRule="exact"/>
              <w:rPr>
                <w:rFonts w:hint="eastAsia"/>
                <w:color w:val="auto"/>
                <w:spacing w:val="20"/>
                <w:sz w:val="21"/>
                <w:szCs w:val="21"/>
              </w:rPr>
            </w:pPr>
            <w:r>
              <w:rPr>
                <w:rFonts w:hint="eastAsia"/>
                <w:color w:val="auto"/>
                <w:spacing w:val="20"/>
                <w:sz w:val="21"/>
                <w:szCs w:val="21"/>
              </w:rPr>
              <w:t>制造厂商全称</w:t>
            </w:r>
          </w:p>
        </w:tc>
        <w:tc>
          <w:tcPr>
            <w:tcW w:w="6840" w:type="dxa"/>
            <w:gridSpan w:val="7"/>
            <w:tcBorders>
              <w:top w:val="single" w:color="auto" w:sz="4" w:space="0"/>
              <w:bottom w:val="single" w:color="auto" w:sz="4" w:space="0"/>
            </w:tcBorders>
            <w:noWrap w:val="0"/>
            <w:vAlign w:val="top"/>
          </w:tcPr>
          <w:p>
            <w:pPr>
              <w:spacing w:line="400" w:lineRule="exact"/>
              <w:rPr>
                <w:rFonts w:hint="eastAsia"/>
                <w:color w:val="auto"/>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atLeast"/>
        </w:trPr>
        <w:tc>
          <w:tcPr>
            <w:tcW w:w="1725" w:type="dxa"/>
            <w:gridSpan w:val="2"/>
            <w:tcBorders>
              <w:top w:val="single" w:color="auto" w:sz="4" w:space="0"/>
              <w:bottom w:val="single" w:color="auto" w:sz="4" w:space="0"/>
            </w:tcBorders>
            <w:noWrap w:val="0"/>
            <w:vAlign w:val="top"/>
          </w:tcPr>
          <w:p>
            <w:pPr>
              <w:spacing w:line="400" w:lineRule="exact"/>
              <w:rPr>
                <w:rFonts w:hint="eastAsia"/>
                <w:color w:val="auto"/>
                <w:spacing w:val="20"/>
                <w:sz w:val="21"/>
                <w:szCs w:val="21"/>
              </w:rPr>
            </w:pPr>
            <w:r>
              <w:rPr>
                <w:rFonts w:hint="eastAsia"/>
                <w:color w:val="auto"/>
                <w:spacing w:val="20"/>
                <w:sz w:val="21"/>
                <w:szCs w:val="21"/>
              </w:rPr>
              <w:t>交货期</w:t>
            </w:r>
          </w:p>
        </w:tc>
        <w:tc>
          <w:tcPr>
            <w:tcW w:w="6840" w:type="dxa"/>
            <w:gridSpan w:val="7"/>
            <w:tcBorders>
              <w:top w:val="single" w:color="auto" w:sz="4" w:space="0"/>
              <w:bottom w:val="single" w:color="auto" w:sz="4" w:space="0"/>
            </w:tcBorders>
            <w:noWrap w:val="0"/>
            <w:vAlign w:val="top"/>
          </w:tcPr>
          <w:p>
            <w:pPr>
              <w:spacing w:line="400" w:lineRule="exact"/>
              <w:rPr>
                <w:rFonts w:hint="eastAsia"/>
                <w:color w:val="auto"/>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atLeast"/>
        </w:trPr>
        <w:tc>
          <w:tcPr>
            <w:tcW w:w="1725" w:type="dxa"/>
            <w:gridSpan w:val="2"/>
            <w:tcBorders>
              <w:top w:val="single" w:color="auto" w:sz="4" w:space="0"/>
              <w:bottom w:val="single" w:color="auto" w:sz="4" w:space="0"/>
            </w:tcBorders>
            <w:noWrap w:val="0"/>
            <w:vAlign w:val="center"/>
          </w:tcPr>
          <w:p>
            <w:pPr>
              <w:spacing w:line="400" w:lineRule="exact"/>
              <w:rPr>
                <w:rFonts w:hint="eastAsia"/>
                <w:color w:val="auto"/>
                <w:spacing w:val="20"/>
                <w:sz w:val="21"/>
                <w:szCs w:val="21"/>
              </w:rPr>
            </w:pPr>
            <w:r>
              <w:rPr>
                <w:rFonts w:hint="eastAsia"/>
                <w:color w:val="auto"/>
                <w:spacing w:val="20"/>
                <w:sz w:val="21"/>
                <w:szCs w:val="21"/>
              </w:rPr>
              <w:t>其它</w:t>
            </w:r>
          </w:p>
        </w:tc>
        <w:tc>
          <w:tcPr>
            <w:tcW w:w="6840" w:type="dxa"/>
            <w:gridSpan w:val="7"/>
            <w:tcBorders>
              <w:top w:val="single" w:color="auto" w:sz="4" w:space="0"/>
              <w:bottom w:val="single" w:color="auto" w:sz="4" w:space="0"/>
            </w:tcBorders>
            <w:noWrap w:val="0"/>
            <w:vAlign w:val="center"/>
          </w:tcPr>
          <w:p>
            <w:pPr>
              <w:spacing w:line="400" w:lineRule="exact"/>
              <w:rPr>
                <w:rFonts w:hint="eastAsia"/>
                <w:color w:val="auto"/>
                <w:spacing w:val="20"/>
                <w:sz w:val="21"/>
                <w:szCs w:val="21"/>
              </w:rPr>
            </w:pPr>
          </w:p>
        </w:tc>
      </w:tr>
    </w:tbl>
    <w:p>
      <w:pPr>
        <w:spacing w:line="400" w:lineRule="exact"/>
        <w:rPr>
          <w:color w:val="auto"/>
          <w:spacing w:val="20"/>
          <w:sz w:val="21"/>
          <w:szCs w:val="21"/>
        </w:rPr>
      </w:pPr>
      <w:r>
        <w:rPr>
          <w:rFonts w:hint="eastAsia"/>
          <w:color w:val="auto"/>
          <w:spacing w:val="20"/>
          <w:sz w:val="21"/>
          <w:szCs w:val="21"/>
        </w:rPr>
        <w:t>投标人签字：</w:t>
      </w:r>
      <w:r>
        <w:rPr>
          <w:color w:val="auto"/>
          <w:spacing w:val="20"/>
          <w:sz w:val="21"/>
          <w:szCs w:val="21"/>
        </w:rPr>
        <w:t xml:space="preserve">                          </w:t>
      </w:r>
      <w:r>
        <w:rPr>
          <w:rFonts w:hint="eastAsia"/>
          <w:color w:val="auto"/>
          <w:spacing w:val="20"/>
          <w:sz w:val="21"/>
          <w:szCs w:val="21"/>
        </w:rPr>
        <w:t xml:space="preserve">   公章：                       日期</w:t>
      </w:r>
    </w:p>
    <w:p>
      <w:pPr>
        <w:spacing w:line="400" w:lineRule="exact"/>
        <w:rPr>
          <w:rFonts w:hint="eastAsia" w:eastAsia="黑体"/>
          <w:b/>
          <w:color w:val="auto"/>
          <w:spacing w:val="20"/>
          <w:sz w:val="21"/>
          <w:szCs w:val="21"/>
        </w:rPr>
      </w:pPr>
      <w:r>
        <w:rPr>
          <w:rFonts w:hint="eastAsia"/>
          <w:color w:val="auto"/>
          <w:spacing w:val="20"/>
          <w:sz w:val="21"/>
          <w:szCs w:val="21"/>
        </w:rPr>
        <w:t>注：</w:t>
      </w:r>
      <w:r>
        <w:rPr>
          <w:color w:val="auto"/>
          <w:spacing w:val="20"/>
          <w:sz w:val="21"/>
          <w:szCs w:val="21"/>
        </w:rPr>
        <w:t>1</w:t>
      </w:r>
      <w:r>
        <w:rPr>
          <w:rFonts w:hint="eastAsia"/>
          <w:color w:val="auto"/>
          <w:spacing w:val="20"/>
          <w:sz w:val="21"/>
          <w:szCs w:val="21"/>
        </w:rPr>
        <w:t>、上述报价包含一切由供方承担的费用；</w:t>
      </w:r>
    </w:p>
    <w:p>
      <w:pPr>
        <w:rPr>
          <w:rFonts w:hint="eastAsia" w:eastAsia="黑体"/>
          <w:b/>
          <w:color w:val="auto"/>
          <w:spacing w:val="20"/>
          <w:sz w:val="21"/>
          <w:szCs w:val="21"/>
        </w:rPr>
      </w:pPr>
      <w:r>
        <w:rPr>
          <w:rFonts w:hint="eastAsia" w:eastAsia="黑体"/>
          <w:b/>
          <w:color w:val="auto"/>
          <w:spacing w:val="20"/>
          <w:sz w:val="21"/>
          <w:szCs w:val="21"/>
        </w:rPr>
        <w:br w:type="page"/>
      </w:r>
    </w:p>
    <w:p>
      <w:pPr>
        <w:spacing w:line="400" w:lineRule="exact"/>
        <w:jc w:val="both"/>
        <w:rPr>
          <w:rFonts w:hint="eastAsia" w:eastAsia="黑体"/>
          <w:b/>
          <w:color w:val="auto"/>
          <w:spacing w:val="20"/>
          <w:sz w:val="21"/>
          <w:szCs w:val="21"/>
        </w:rPr>
      </w:pPr>
      <w:r>
        <w:rPr>
          <w:rFonts w:hint="eastAsia" w:eastAsia="黑体"/>
          <w:b/>
          <w:color w:val="auto"/>
          <w:spacing w:val="20"/>
          <w:sz w:val="21"/>
          <w:szCs w:val="21"/>
        </w:rPr>
        <w:t>附件4:</w:t>
      </w:r>
    </w:p>
    <w:p>
      <w:pPr>
        <w:spacing w:line="400" w:lineRule="exact"/>
        <w:jc w:val="center"/>
        <w:rPr>
          <w:rFonts w:eastAsia="黑体"/>
          <w:b/>
          <w:color w:val="auto"/>
          <w:spacing w:val="20"/>
          <w:sz w:val="30"/>
        </w:rPr>
      </w:pPr>
      <w:r>
        <w:rPr>
          <w:rFonts w:hint="eastAsia" w:eastAsia="黑体"/>
          <w:b/>
          <w:color w:val="auto"/>
          <w:spacing w:val="20"/>
          <w:sz w:val="30"/>
          <w:lang w:eastAsia="zh-CN"/>
        </w:rPr>
        <w:t>供</w:t>
      </w:r>
      <w:r>
        <w:rPr>
          <w:rFonts w:hint="eastAsia" w:eastAsia="黑体"/>
          <w:b/>
          <w:color w:val="auto"/>
          <w:spacing w:val="20"/>
          <w:sz w:val="30"/>
          <w:lang w:val="en-US" w:eastAsia="zh-CN"/>
        </w:rPr>
        <w:t xml:space="preserve"> </w:t>
      </w:r>
      <w:r>
        <w:rPr>
          <w:rFonts w:hint="eastAsia" w:eastAsia="黑体"/>
          <w:b/>
          <w:color w:val="auto"/>
          <w:spacing w:val="20"/>
          <w:sz w:val="30"/>
          <w:lang w:eastAsia="zh-CN"/>
        </w:rPr>
        <w:t>货</w:t>
      </w:r>
      <w:r>
        <w:rPr>
          <w:rFonts w:hint="eastAsia" w:eastAsia="黑体"/>
          <w:b/>
          <w:color w:val="auto"/>
          <w:spacing w:val="20"/>
          <w:sz w:val="30"/>
        </w:rPr>
        <w:t xml:space="preserve"> 清 单 表</w:t>
      </w:r>
    </w:p>
    <w:p>
      <w:pPr>
        <w:spacing w:line="400" w:lineRule="exact"/>
        <w:jc w:val="center"/>
        <w:rPr>
          <w:color w:val="auto"/>
          <w:spacing w:val="20"/>
          <w:sz w:val="21"/>
          <w:szCs w:val="21"/>
        </w:rPr>
      </w:pPr>
      <w:r>
        <w:rPr>
          <w:rFonts w:hint="eastAsia"/>
          <w:color w:val="auto"/>
          <w:spacing w:val="20"/>
          <w:sz w:val="21"/>
          <w:szCs w:val="21"/>
        </w:rPr>
        <w:t>（格式）</w:t>
      </w:r>
    </w:p>
    <w:p>
      <w:pPr>
        <w:spacing w:line="400" w:lineRule="exact"/>
        <w:rPr>
          <w:color w:val="auto"/>
          <w:spacing w:val="20"/>
          <w:sz w:val="21"/>
          <w:szCs w:val="21"/>
        </w:rPr>
      </w:pPr>
      <w:r>
        <w:rPr>
          <w:rFonts w:hint="eastAsia"/>
          <w:color w:val="auto"/>
          <w:spacing w:val="20"/>
          <w:sz w:val="21"/>
          <w:szCs w:val="21"/>
          <w:lang w:eastAsia="zh-CN"/>
        </w:rPr>
        <w:t>供</w:t>
      </w:r>
      <w:r>
        <w:rPr>
          <w:rFonts w:hint="eastAsia"/>
          <w:color w:val="auto"/>
          <w:spacing w:val="20"/>
          <w:sz w:val="21"/>
          <w:szCs w:val="21"/>
          <w:lang w:val="en-US" w:eastAsia="zh-CN"/>
        </w:rPr>
        <w:t xml:space="preserve"> </w:t>
      </w:r>
      <w:r>
        <w:rPr>
          <w:rFonts w:hint="eastAsia"/>
          <w:color w:val="auto"/>
          <w:spacing w:val="20"/>
          <w:sz w:val="21"/>
          <w:szCs w:val="21"/>
          <w:lang w:eastAsia="zh-CN"/>
        </w:rPr>
        <w:t>货</w:t>
      </w:r>
      <w:r>
        <w:rPr>
          <w:rFonts w:hint="eastAsia"/>
          <w:color w:val="auto"/>
          <w:spacing w:val="20"/>
          <w:sz w:val="21"/>
          <w:szCs w:val="21"/>
        </w:rPr>
        <w:t>名称：</w:t>
      </w:r>
      <w:r>
        <w:rPr>
          <w:color w:val="auto"/>
          <w:spacing w:val="20"/>
          <w:sz w:val="21"/>
          <w:szCs w:val="21"/>
        </w:rPr>
        <w:t xml:space="preserve">                </w:t>
      </w:r>
      <w:r>
        <w:rPr>
          <w:rFonts w:hint="eastAsia"/>
          <w:color w:val="auto"/>
          <w:spacing w:val="20"/>
          <w:sz w:val="21"/>
          <w:szCs w:val="21"/>
        </w:rPr>
        <w:t xml:space="preserve">  </w:t>
      </w:r>
    </w:p>
    <w:tbl>
      <w:tblPr>
        <w:tblStyle w:val="20"/>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260"/>
        <w:gridCol w:w="1470"/>
        <w:gridCol w:w="1575"/>
        <w:gridCol w:w="105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050" w:type="dxa"/>
            <w:noWrap w:val="0"/>
            <w:vAlign w:val="center"/>
          </w:tcPr>
          <w:p>
            <w:pPr>
              <w:spacing w:line="400" w:lineRule="exact"/>
              <w:jc w:val="center"/>
              <w:rPr>
                <w:rFonts w:hint="eastAsia"/>
                <w:color w:val="auto"/>
                <w:spacing w:val="20"/>
                <w:sz w:val="21"/>
                <w:szCs w:val="21"/>
              </w:rPr>
            </w:pPr>
            <w:r>
              <w:rPr>
                <w:rFonts w:hint="eastAsia"/>
                <w:color w:val="auto"/>
                <w:spacing w:val="20"/>
                <w:sz w:val="21"/>
                <w:szCs w:val="21"/>
              </w:rPr>
              <w:t>序号</w:t>
            </w:r>
          </w:p>
        </w:tc>
        <w:tc>
          <w:tcPr>
            <w:tcW w:w="1260" w:type="dxa"/>
            <w:noWrap w:val="0"/>
            <w:vAlign w:val="center"/>
          </w:tcPr>
          <w:p>
            <w:pPr>
              <w:spacing w:line="400" w:lineRule="exact"/>
              <w:jc w:val="center"/>
              <w:rPr>
                <w:color w:val="auto"/>
                <w:spacing w:val="20"/>
                <w:sz w:val="21"/>
                <w:szCs w:val="21"/>
              </w:rPr>
            </w:pPr>
            <w:r>
              <w:rPr>
                <w:rFonts w:hint="eastAsia"/>
                <w:color w:val="auto"/>
                <w:spacing w:val="20"/>
                <w:sz w:val="21"/>
                <w:szCs w:val="21"/>
              </w:rPr>
              <w:t>名称</w:t>
            </w:r>
          </w:p>
        </w:tc>
        <w:tc>
          <w:tcPr>
            <w:tcW w:w="1470" w:type="dxa"/>
            <w:noWrap w:val="0"/>
            <w:vAlign w:val="center"/>
          </w:tcPr>
          <w:p>
            <w:pPr>
              <w:spacing w:line="400" w:lineRule="exact"/>
              <w:jc w:val="center"/>
              <w:rPr>
                <w:color w:val="auto"/>
                <w:spacing w:val="20"/>
                <w:sz w:val="21"/>
                <w:szCs w:val="21"/>
              </w:rPr>
            </w:pPr>
            <w:r>
              <w:rPr>
                <w:rFonts w:hint="eastAsia"/>
                <w:color w:val="auto"/>
                <w:spacing w:val="20"/>
                <w:sz w:val="21"/>
                <w:szCs w:val="21"/>
              </w:rPr>
              <w:t>品牌规格</w:t>
            </w:r>
          </w:p>
        </w:tc>
        <w:tc>
          <w:tcPr>
            <w:tcW w:w="1575" w:type="dxa"/>
            <w:noWrap w:val="0"/>
            <w:vAlign w:val="center"/>
          </w:tcPr>
          <w:p>
            <w:pPr>
              <w:spacing w:line="400" w:lineRule="exact"/>
              <w:jc w:val="center"/>
              <w:rPr>
                <w:rFonts w:hint="eastAsia"/>
                <w:color w:val="auto"/>
                <w:spacing w:val="20"/>
                <w:sz w:val="21"/>
                <w:szCs w:val="21"/>
              </w:rPr>
            </w:pPr>
            <w:r>
              <w:rPr>
                <w:rFonts w:hint="eastAsia"/>
                <w:color w:val="auto"/>
                <w:spacing w:val="20"/>
                <w:sz w:val="21"/>
                <w:szCs w:val="21"/>
              </w:rPr>
              <w:t>生产厂家</w:t>
            </w:r>
          </w:p>
        </w:tc>
        <w:tc>
          <w:tcPr>
            <w:tcW w:w="1050" w:type="dxa"/>
            <w:noWrap w:val="0"/>
            <w:vAlign w:val="center"/>
          </w:tcPr>
          <w:p>
            <w:pPr>
              <w:spacing w:line="400" w:lineRule="exact"/>
              <w:jc w:val="center"/>
              <w:rPr>
                <w:color w:val="auto"/>
                <w:spacing w:val="20"/>
                <w:sz w:val="21"/>
                <w:szCs w:val="21"/>
              </w:rPr>
            </w:pPr>
            <w:r>
              <w:rPr>
                <w:rFonts w:hint="eastAsia"/>
                <w:color w:val="auto"/>
                <w:spacing w:val="20"/>
                <w:sz w:val="21"/>
                <w:szCs w:val="21"/>
              </w:rPr>
              <w:t>单位</w:t>
            </w:r>
          </w:p>
        </w:tc>
        <w:tc>
          <w:tcPr>
            <w:tcW w:w="1080" w:type="dxa"/>
            <w:noWrap w:val="0"/>
            <w:vAlign w:val="center"/>
          </w:tcPr>
          <w:p>
            <w:pPr>
              <w:spacing w:line="400" w:lineRule="exact"/>
              <w:jc w:val="center"/>
              <w:rPr>
                <w:color w:val="auto"/>
                <w:spacing w:val="20"/>
                <w:sz w:val="21"/>
                <w:szCs w:val="21"/>
              </w:rPr>
            </w:pPr>
            <w:r>
              <w:rPr>
                <w:rFonts w:hint="eastAsia"/>
                <w:color w:val="auto"/>
                <w:spacing w:val="20"/>
                <w:sz w:val="21"/>
                <w:szCs w:val="21"/>
              </w:rPr>
              <w:t>数量</w:t>
            </w:r>
          </w:p>
        </w:tc>
        <w:tc>
          <w:tcPr>
            <w:tcW w:w="1080" w:type="dxa"/>
            <w:noWrap w:val="0"/>
            <w:vAlign w:val="center"/>
          </w:tcPr>
          <w:p>
            <w:pPr>
              <w:spacing w:line="400" w:lineRule="exact"/>
              <w:jc w:val="center"/>
              <w:rPr>
                <w:color w:val="auto"/>
                <w:spacing w:val="20"/>
                <w:sz w:val="21"/>
                <w:szCs w:val="21"/>
              </w:rPr>
            </w:pPr>
            <w:r>
              <w:rPr>
                <w:rFonts w:hint="eastAsia"/>
                <w:color w:val="auto"/>
                <w:spacing w:val="2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 w:hRule="atLeast"/>
        </w:trPr>
        <w:tc>
          <w:tcPr>
            <w:tcW w:w="1050" w:type="dxa"/>
            <w:noWrap w:val="0"/>
            <w:vAlign w:val="center"/>
          </w:tcPr>
          <w:p>
            <w:pPr>
              <w:spacing w:line="400" w:lineRule="exact"/>
              <w:jc w:val="center"/>
              <w:rPr>
                <w:color w:val="auto"/>
                <w:spacing w:val="20"/>
              </w:rPr>
            </w:pPr>
          </w:p>
        </w:tc>
        <w:tc>
          <w:tcPr>
            <w:tcW w:w="1260" w:type="dxa"/>
            <w:noWrap w:val="0"/>
            <w:vAlign w:val="center"/>
          </w:tcPr>
          <w:p>
            <w:pPr>
              <w:spacing w:line="400" w:lineRule="exact"/>
              <w:jc w:val="center"/>
              <w:rPr>
                <w:color w:val="auto"/>
                <w:spacing w:val="20"/>
              </w:rPr>
            </w:pPr>
          </w:p>
        </w:tc>
        <w:tc>
          <w:tcPr>
            <w:tcW w:w="1470" w:type="dxa"/>
            <w:noWrap w:val="0"/>
            <w:vAlign w:val="center"/>
          </w:tcPr>
          <w:p>
            <w:pPr>
              <w:spacing w:line="400" w:lineRule="exact"/>
              <w:jc w:val="center"/>
              <w:rPr>
                <w:color w:val="auto"/>
                <w:spacing w:val="20"/>
              </w:rPr>
            </w:pPr>
          </w:p>
        </w:tc>
        <w:tc>
          <w:tcPr>
            <w:tcW w:w="1575" w:type="dxa"/>
            <w:noWrap w:val="0"/>
            <w:vAlign w:val="center"/>
          </w:tcPr>
          <w:p>
            <w:pPr>
              <w:spacing w:line="400" w:lineRule="exact"/>
              <w:jc w:val="center"/>
              <w:rPr>
                <w:color w:val="auto"/>
                <w:spacing w:val="20"/>
              </w:rPr>
            </w:pPr>
          </w:p>
        </w:tc>
        <w:tc>
          <w:tcPr>
            <w:tcW w:w="1050" w:type="dxa"/>
            <w:noWrap w:val="0"/>
            <w:vAlign w:val="center"/>
          </w:tcPr>
          <w:p>
            <w:pPr>
              <w:spacing w:line="400" w:lineRule="exact"/>
              <w:jc w:val="center"/>
              <w:rPr>
                <w:color w:val="auto"/>
                <w:spacing w:val="20"/>
              </w:rPr>
            </w:pPr>
          </w:p>
        </w:tc>
        <w:tc>
          <w:tcPr>
            <w:tcW w:w="1080" w:type="dxa"/>
            <w:noWrap w:val="0"/>
            <w:vAlign w:val="center"/>
          </w:tcPr>
          <w:p>
            <w:pPr>
              <w:spacing w:line="400" w:lineRule="exact"/>
              <w:jc w:val="center"/>
              <w:rPr>
                <w:color w:val="auto"/>
                <w:spacing w:val="20"/>
              </w:rPr>
            </w:pPr>
          </w:p>
        </w:tc>
        <w:tc>
          <w:tcPr>
            <w:tcW w:w="1080" w:type="dxa"/>
            <w:noWrap w:val="0"/>
            <w:vAlign w:val="center"/>
          </w:tcPr>
          <w:p>
            <w:pPr>
              <w:spacing w:line="400" w:lineRule="exact"/>
              <w:jc w:val="center"/>
              <w:rPr>
                <w:color w:val="auto"/>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050" w:type="dxa"/>
            <w:noWrap w:val="0"/>
            <w:vAlign w:val="center"/>
          </w:tcPr>
          <w:p>
            <w:pPr>
              <w:spacing w:line="400" w:lineRule="exact"/>
              <w:jc w:val="center"/>
              <w:rPr>
                <w:color w:val="auto"/>
                <w:spacing w:val="20"/>
              </w:rPr>
            </w:pPr>
          </w:p>
        </w:tc>
        <w:tc>
          <w:tcPr>
            <w:tcW w:w="1260" w:type="dxa"/>
            <w:noWrap w:val="0"/>
            <w:vAlign w:val="center"/>
          </w:tcPr>
          <w:p>
            <w:pPr>
              <w:spacing w:line="400" w:lineRule="exact"/>
              <w:jc w:val="center"/>
              <w:rPr>
                <w:color w:val="auto"/>
                <w:spacing w:val="20"/>
              </w:rPr>
            </w:pPr>
          </w:p>
        </w:tc>
        <w:tc>
          <w:tcPr>
            <w:tcW w:w="1470" w:type="dxa"/>
            <w:noWrap w:val="0"/>
            <w:vAlign w:val="center"/>
          </w:tcPr>
          <w:p>
            <w:pPr>
              <w:spacing w:line="400" w:lineRule="exact"/>
              <w:jc w:val="center"/>
              <w:rPr>
                <w:color w:val="auto"/>
                <w:spacing w:val="20"/>
              </w:rPr>
            </w:pPr>
          </w:p>
        </w:tc>
        <w:tc>
          <w:tcPr>
            <w:tcW w:w="1575" w:type="dxa"/>
            <w:noWrap w:val="0"/>
            <w:vAlign w:val="center"/>
          </w:tcPr>
          <w:p>
            <w:pPr>
              <w:spacing w:line="400" w:lineRule="exact"/>
              <w:jc w:val="center"/>
              <w:rPr>
                <w:color w:val="auto"/>
                <w:spacing w:val="20"/>
              </w:rPr>
            </w:pPr>
          </w:p>
        </w:tc>
        <w:tc>
          <w:tcPr>
            <w:tcW w:w="1050" w:type="dxa"/>
            <w:noWrap w:val="0"/>
            <w:vAlign w:val="center"/>
          </w:tcPr>
          <w:p>
            <w:pPr>
              <w:spacing w:line="400" w:lineRule="exact"/>
              <w:jc w:val="center"/>
              <w:rPr>
                <w:color w:val="auto"/>
                <w:spacing w:val="20"/>
              </w:rPr>
            </w:pPr>
          </w:p>
        </w:tc>
        <w:tc>
          <w:tcPr>
            <w:tcW w:w="1080" w:type="dxa"/>
            <w:noWrap w:val="0"/>
            <w:vAlign w:val="center"/>
          </w:tcPr>
          <w:p>
            <w:pPr>
              <w:spacing w:line="400" w:lineRule="exact"/>
              <w:jc w:val="center"/>
              <w:rPr>
                <w:color w:val="auto"/>
                <w:spacing w:val="20"/>
              </w:rPr>
            </w:pPr>
          </w:p>
        </w:tc>
        <w:tc>
          <w:tcPr>
            <w:tcW w:w="1080" w:type="dxa"/>
            <w:noWrap w:val="0"/>
            <w:vAlign w:val="center"/>
          </w:tcPr>
          <w:p>
            <w:pPr>
              <w:spacing w:line="400" w:lineRule="exact"/>
              <w:jc w:val="center"/>
              <w:rPr>
                <w:color w:val="auto"/>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trPr>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auto"/>
                <w:spacing w:val="20"/>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auto"/>
                <w:spacing w:val="20"/>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auto"/>
                <w:spacing w:val="20"/>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auto"/>
                <w:spacing w:val="20"/>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auto"/>
                <w:spacing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auto"/>
                <w:spacing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auto"/>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trPr>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auto"/>
                <w:spacing w:val="20"/>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auto"/>
                <w:spacing w:val="20"/>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auto"/>
                <w:spacing w:val="20"/>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auto"/>
                <w:spacing w:val="20"/>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auto"/>
                <w:spacing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auto"/>
                <w:spacing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auto"/>
                <w:spacing w:val="20"/>
              </w:rPr>
            </w:pPr>
          </w:p>
        </w:tc>
      </w:tr>
    </w:tbl>
    <w:p>
      <w:pPr>
        <w:spacing w:line="400" w:lineRule="exact"/>
        <w:rPr>
          <w:color w:val="auto"/>
          <w:spacing w:val="20"/>
          <w:sz w:val="21"/>
        </w:rPr>
      </w:pPr>
      <w:r>
        <w:rPr>
          <w:rFonts w:hint="eastAsia"/>
          <w:color w:val="auto"/>
          <w:spacing w:val="20"/>
          <w:sz w:val="21"/>
        </w:rPr>
        <w:t>投标人签字：</w:t>
      </w:r>
      <w:r>
        <w:rPr>
          <w:color w:val="auto"/>
          <w:spacing w:val="20"/>
          <w:sz w:val="21"/>
        </w:rPr>
        <w:t xml:space="preserve">                         </w:t>
      </w:r>
      <w:r>
        <w:rPr>
          <w:rFonts w:hint="eastAsia"/>
          <w:color w:val="auto"/>
          <w:spacing w:val="20"/>
          <w:sz w:val="21"/>
        </w:rPr>
        <w:t xml:space="preserve">公章：                  </w:t>
      </w:r>
      <w:r>
        <w:rPr>
          <w:color w:val="auto"/>
          <w:spacing w:val="20"/>
          <w:sz w:val="21"/>
        </w:rPr>
        <w:t xml:space="preserve"> </w:t>
      </w:r>
      <w:r>
        <w:rPr>
          <w:rFonts w:hint="eastAsia"/>
          <w:color w:val="auto"/>
          <w:spacing w:val="20"/>
          <w:sz w:val="21"/>
        </w:rPr>
        <w:t>日期：</w:t>
      </w:r>
    </w:p>
    <w:p>
      <w:pPr>
        <w:spacing w:line="400" w:lineRule="exact"/>
        <w:ind w:firstLine="570"/>
        <w:rPr>
          <w:rFonts w:hint="eastAsia"/>
          <w:color w:val="auto"/>
          <w:spacing w:val="20"/>
          <w:sz w:val="21"/>
        </w:rPr>
      </w:pPr>
      <w:r>
        <w:rPr>
          <w:rFonts w:hint="eastAsia"/>
          <w:color w:val="auto"/>
          <w:spacing w:val="20"/>
          <w:sz w:val="21"/>
        </w:rPr>
        <w:t>注：</w:t>
      </w:r>
      <w:r>
        <w:rPr>
          <w:color w:val="auto"/>
          <w:spacing w:val="20"/>
          <w:sz w:val="21"/>
        </w:rPr>
        <w:t>1</w:t>
      </w:r>
      <w:r>
        <w:rPr>
          <w:rFonts w:hint="eastAsia"/>
          <w:color w:val="auto"/>
          <w:spacing w:val="20"/>
          <w:sz w:val="21"/>
        </w:rPr>
        <w:t>、请各投标人按上述格式自制《</w:t>
      </w:r>
      <w:r>
        <w:rPr>
          <w:rFonts w:hint="eastAsia"/>
          <w:color w:val="auto"/>
          <w:spacing w:val="20"/>
          <w:sz w:val="21"/>
          <w:lang w:eastAsia="zh-CN"/>
        </w:rPr>
        <w:t>供货</w:t>
      </w:r>
      <w:r>
        <w:rPr>
          <w:rFonts w:hint="eastAsia"/>
          <w:color w:val="auto"/>
          <w:spacing w:val="20"/>
          <w:sz w:val="21"/>
        </w:rPr>
        <w:t>清单表》投标；</w:t>
      </w:r>
    </w:p>
    <w:p>
      <w:pPr>
        <w:rPr>
          <w:rFonts w:hint="eastAsia" w:eastAsia="黑体"/>
          <w:b/>
          <w:bCs/>
          <w:color w:val="auto"/>
          <w:spacing w:val="20"/>
          <w:sz w:val="21"/>
          <w:szCs w:val="21"/>
        </w:rPr>
      </w:pPr>
      <w:r>
        <w:rPr>
          <w:rFonts w:hint="eastAsia" w:eastAsia="黑体"/>
          <w:b/>
          <w:bCs/>
          <w:color w:val="auto"/>
          <w:spacing w:val="20"/>
          <w:sz w:val="21"/>
          <w:szCs w:val="21"/>
        </w:rPr>
        <w:br w:type="page"/>
      </w:r>
    </w:p>
    <w:p>
      <w:pPr>
        <w:spacing w:line="400" w:lineRule="exact"/>
        <w:jc w:val="both"/>
        <w:rPr>
          <w:rFonts w:hint="eastAsia" w:eastAsia="黑体"/>
          <w:b/>
          <w:bCs/>
          <w:color w:val="auto"/>
          <w:spacing w:val="20"/>
          <w:sz w:val="21"/>
          <w:szCs w:val="21"/>
        </w:rPr>
      </w:pPr>
      <w:r>
        <w:rPr>
          <w:rFonts w:hint="eastAsia" w:eastAsia="黑体"/>
          <w:b/>
          <w:bCs/>
          <w:color w:val="auto"/>
          <w:spacing w:val="20"/>
          <w:sz w:val="21"/>
          <w:szCs w:val="21"/>
        </w:rPr>
        <w:t>附件5:</w:t>
      </w:r>
    </w:p>
    <w:p>
      <w:pPr>
        <w:spacing w:line="400" w:lineRule="exact"/>
        <w:jc w:val="center"/>
        <w:rPr>
          <w:rFonts w:hint="eastAsia" w:eastAsia="黑体"/>
          <w:b/>
          <w:bCs/>
          <w:color w:val="auto"/>
          <w:spacing w:val="20"/>
          <w:sz w:val="30"/>
        </w:rPr>
      </w:pPr>
      <w:r>
        <w:rPr>
          <w:rFonts w:hint="eastAsia" w:eastAsia="黑体"/>
          <w:b/>
          <w:bCs/>
          <w:color w:val="auto"/>
          <w:spacing w:val="20"/>
          <w:sz w:val="30"/>
        </w:rPr>
        <w:t>投标产品技术对照表</w:t>
      </w:r>
    </w:p>
    <w:p>
      <w:pPr>
        <w:spacing w:line="400" w:lineRule="exact"/>
        <w:jc w:val="center"/>
        <w:rPr>
          <w:rFonts w:hint="eastAsia" w:ascii="宋体" w:hAnsi="宋体"/>
          <w:bCs/>
          <w:color w:val="auto"/>
          <w:spacing w:val="20"/>
          <w:sz w:val="21"/>
          <w:szCs w:val="21"/>
        </w:rPr>
      </w:pPr>
      <w:r>
        <w:rPr>
          <w:rFonts w:hint="eastAsia" w:ascii="宋体" w:hAnsi="宋体"/>
          <w:bCs/>
          <w:color w:val="auto"/>
          <w:spacing w:val="20"/>
          <w:sz w:val="21"/>
          <w:szCs w:val="21"/>
        </w:rPr>
        <w:t>（格式）</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927"/>
        <w:gridCol w:w="1659"/>
        <w:gridCol w:w="180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022" w:type="dxa"/>
            <w:noWrap w:val="0"/>
            <w:vAlign w:val="center"/>
          </w:tcPr>
          <w:p>
            <w:pPr>
              <w:spacing w:line="400" w:lineRule="exact"/>
              <w:jc w:val="center"/>
              <w:rPr>
                <w:rFonts w:hint="eastAsia"/>
                <w:color w:val="auto"/>
                <w:spacing w:val="20"/>
                <w:sz w:val="21"/>
                <w:szCs w:val="21"/>
              </w:rPr>
            </w:pPr>
            <w:r>
              <w:rPr>
                <w:rFonts w:hint="eastAsia"/>
                <w:color w:val="auto"/>
                <w:spacing w:val="20"/>
                <w:sz w:val="21"/>
                <w:szCs w:val="21"/>
              </w:rPr>
              <w:t>序号</w:t>
            </w:r>
          </w:p>
        </w:tc>
        <w:tc>
          <w:tcPr>
            <w:tcW w:w="1927" w:type="dxa"/>
            <w:noWrap w:val="0"/>
            <w:vAlign w:val="center"/>
          </w:tcPr>
          <w:p>
            <w:pPr>
              <w:spacing w:line="400" w:lineRule="exact"/>
              <w:jc w:val="center"/>
              <w:rPr>
                <w:rFonts w:hint="eastAsia"/>
                <w:color w:val="auto"/>
                <w:spacing w:val="20"/>
                <w:sz w:val="21"/>
                <w:szCs w:val="21"/>
              </w:rPr>
            </w:pPr>
            <w:r>
              <w:rPr>
                <w:rFonts w:hint="eastAsia"/>
                <w:color w:val="auto"/>
                <w:spacing w:val="20"/>
                <w:sz w:val="21"/>
                <w:szCs w:val="21"/>
              </w:rPr>
              <w:t>投标产品名称、品牌、规格</w:t>
            </w:r>
          </w:p>
        </w:tc>
        <w:tc>
          <w:tcPr>
            <w:tcW w:w="1659" w:type="dxa"/>
            <w:noWrap w:val="0"/>
            <w:vAlign w:val="center"/>
          </w:tcPr>
          <w:p>
            <w:pPr>
              <w:spacing w:line="400" w:lineRule="exact"/>
              <w:jc w:val="center"/>
              <w:rPr>
                <w:rFonts w:hint="eastAsia"/>
                <w:color w:val="auto"/>
                <w:spacing w:val="20"/>
                <w:sz w:val="21"/>
                <w:szCs w:val="21"/>
              </w:rPr>
            </w:pPr>
            <w:r>
              <w:rPr>
                <w:rFonts w:hint="eastAsia"/>
                <w:color w:val="auto"/>
                <w:spacing w:val="20"/>
                <w:sz w:val="21"/>
                <w:szCs w:val="21"/>
              </w:rPr>
              <w:t>招标技术要求</w:t>
            </w:r>
          </w:p>
        </w:tc>
        <w:tc>
          <w:tcPr>
            <w:tcW w:w="1800" w:type="dxa"/>
            <w:noWrap w:val="0"/>
            <w:vAlign w:val="center"/>
          </w:tcPr>
          <w:p>
            <w:pPr>
              <w:spacing w:line="400" w:lineRule="exact"/>
              <w:jc w:val="center"/>
              <w:rPr>
                <w:rFonts w:hint="eastAsia"/>
                <w:color w:val="auto"/>
                <w:spacing w:val="20"/>
                <w:sz w:val="21"/>
                <w:szCs w:val="21"/>
              </w:rPr>
            </w:pPr>
            <w:r>
              <w:rPr>
                <w:rFonts w:hint="eastAsia"/>
                <w:color w:val="auto"/>
                <w:spacing w:val="20"/>
                <w:sz w:val="21"/>
                <w:szCs w:val="21"/>
              </w:rPr>
              <w:t>投标产品技术指标</w:t>
            </w:r>
          </w:p>
        </w:tc>
        <w:tc>
          <w:tcPr>
            <w:tcW w:w="2114" w:type="dxa"/>
            <w:noWrap w:val="0"/>
            <w:vAlign w:val="center"/>
          </w:tcPr>
          <w:p>
            <w:pPr>
              <w:pStyle w:val="13"/>
              <w:pBdr>
                <w:bottom w:val="none" w:color="auto" w:sz="0" w:space="0"/>
              </w:pBdr>
              <w:tabs>
                <w:tab w:val="clear" w:pos="4153"/>
                <w:tab w:val="clear" w:pos="8306"/>
              </w:tabs>
              <w:snapToGrid/>
              <w:spacing w:line="400" w:lineRule="exact"/>
              <w:rPr>
                <w:rFonts w:hint="eastAsia"/>
                <w:color w:val="auto"/>
                <w:spacing w:val="20"/>
                <w:kern w:val="0"/>
                <w:sz w:val="21"/>
                <w:szCs w:val="21"/>
              </w:rPr>
            </w:pPr>
            <w:r>
              <w:rPr>
                <w:rFonts w:hint="eastAsia"/>
                <w:color w:val="auto"/>
                <w:spacing w:val="20"/>
                <w:kern w:val="0"/>
                <w:sz w:val="21"/>
                <w:szCs w:val="21"/>
              </w:rPr>
              <w:t>选择项（正偏离或符合或负偏离）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2" w:type="dxa"/>
            <w:noWrap w:val="0"/>
            <w:vAlign w:val="top"/>
          </w:tcPr>
          <w:p>
            <w:pPr>
              <w:spacing w:line="400" w:lineRule="exact"/>
              <w:jc w:val="center"/>
              <w:rPr>
                <w:rFonts w:hint="eastAsia"/>
                <w:color w:val="auto"/>
                <w:spacing w:val="20"/>
              </w:rPr>
            </w:pPr>
          </w:p>
        </w:tc>
        <w:tc>
          <w:tcPr>
            <w:tcW w:w="1927" w:type="dxa"/>
            <w:noWrap w:val="0"/>
            <w:vAlign w:val="top"/>
          </w:tcPr>
          <w:p>
            <w:pPr>
              <w:spacing w:line="400" w:lineRule="exact"/>
              <w:jc w:val="center"/>
              <w:rPr>
                <w:color w:val="auto"/>
                <w:spacing w:val="20"/>
              </w:rPr>
            </w:pPr>
          </w:p>
        </w:tc>
        <w:tc>
          <w:tcPr>
            <w:tcW w:w="1659" w:type="dxa"/>
            <w:noWrap w:val="0"/>
            <w:vAlign w:val="top"/>
          </w:tcPr>
          <w:p>
            <w:pPr>
              <w:spacing w:line="400" w:lineRule="exact"/>
              <w:jc w:val="center"/>
              <w:rPr>
                <w:color w:val="auto"/>
                <w:spacing w:val="20"/>
              </w:rPr>
            </w:pPr>
          </w:p>
        </w:tc>
        <w:tc>
          <w:tcPr>
            <w:tcW w:w="1800" w:type="dxa"/>
            <w:noWrap w:val="0"/>
            <w:vAlign w:val="center"/>
          </w:tcPr>
          <w:p>
            <w:pPr>
              <w:spacing w:line="400" w:lineRule="exact"/>
              <w:ind w:firstLine="560" w:firstLineChars="200"/>
              <w:jc w:val="center"/>
              <w:rPr>
                <w:color w:val="auto"/>
                <w:spacing w:val="20"/>
              </w:rPr>
            </w:pPr>
          </w:p>
        </w:tc>
        <w:tc>
          <w:tcPr>
            <w:tcW w:w="2114" w:type="dxa"/>
            <w:noWrap w:val="0"/>
            <w:vAlign w:val="center"/>
          </w:tcPr>
          <w:p>
            <w:pPr>
              <w:spacing w:line="400" w:lineRule="exact"/>
              <w:ind w:firstLine="560" w:firstLineChars="200"/>
              <w:jc w:val="center"/>
              <w:rPr>
                <w:color w:val="auto"/>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2" w:type="dxa"/>
            <w:noWrap w:val="0"/>
            <w:vAlign w:val="top"/>
          </w:tcPr>
          <w:p>
            <w:pPr>
              <w:spacing w:line="400" w:lineRule="exact"/>
              <w:jc w:val="center"/>
              <w:rPr>
                <w:rFonts w:hint="eastAsia"/>
                <w:color w:val="auto"/>
                <w:spacing w:val="20"/>
              </w:rPr>
            </w:pPr>
          </w:p>
        </w:tc>
        <w:tc>
          <w:tcPr>
            <w:tcW w:w="1927" w:type="dxa"/>
            <w:noWrap w:val="0"/>
            <w:vAlign w:val="center"/>
          </w:tcPr>
          <w:p>
            <w:pPr>
              <w:spacing w:line="400" w:lineRule="exact"/>
              <w:jc w:val="center"/>
              <w:rPr>
                <w:rFonts w:hint="eastAsia"/>
                <w:color w:val="auto"/>
                <w:spacing w:val="20"/>
              </w:rPr>
            </w:pPr>
          </w:p>
        </w:tc>
        <w:tc>
          <w:tcPr>
            <w:tcW w:w="1659" w:type="dxa"/>
            <w:noWrap w:val="0"/>
            <w:vAlign w:val="center"/>
          </w:tcPr>
          <w:p>
            <w:pPr>
              <w:spacing w:line="400" w:lineRule="exact"/>
              <w:jc w:val="center"/>
              <w:rPr>
                <w:rFonts w:hint="eastAsia"/>
                <w:color w:val="auto"/>
                <w:spacing w:val="20"/>
              </w:rPr>
            </w:pPr>
          </w:p>
        </w:tc>
        <w:tc>
          <w:tcPr>
            <w:tcW w:w="1800" w:type="dxa"/>
            <w:noWrap w:val="0"/>
            <w:vAlign w:val="center"/>
          </w:tcPr>
          <w:p>
            <w:pPr>
              <w:spacing w:line="400" w:lineRule="exact"/>
              <w:ind w:firstLine="560" w:firstLineChars="200"/>
              <w:jc w:val="center"/>
              <w:rPr>
                <w:rFonts w:hint="eastAsia"/>
                <w:color w:val="auto"/>
                <w:spacing w:val="20"/>
              </w:rPr>
            </w:pPr>
          </w:p>
        </w:tc>
        <w:tc>
          <w:tcPr>
            <w:tcW w:w="2114" w:type="dxa"/>
            <w:noWrap w:val="0"/>
            <w:vAlign w:val="center"/>
          </w:tcPr>
          <w:p>
            <w:pPr>
              <w:spacing w:line="400" w:lineRule="exact"/>
              <w:ind w:firstLine="560" w:firstLineChars="200"/>
              <w:jc w:val="center"/>
              <w:rPr>
                <w:rFonts w:hint="eastAsia"/>
                <w:color w:val="auto"/>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2" w:type="dxa"/>
            <w:noWrap w:val="0"/>
            <w:vAlign w:val="top"/>
          </w:tcPr>
          <w:p>
            <w:pPr>
              <w:spacing w:line="400" w:lineRule="exact"/>
              <w:jc w:val="center"/>
              <w:rPr>
                <w:rFonts w:hint="eastAsia"/>
                <w:color w:val="auto"/>
                <w:spacing w:val="20"/>
              </w:rPr>
            </w:pPr>
          </w:p>
        </w:tc>
        <w:tc>
          <w:tcPr>
            <w:tcW w:w="1927" w:type="dxa"/>
            <w:noWrap w:val="0"/>
            <w:vAlign w:val="center"/>
          </w:tcPr>
          <w:p>
            <w:pPr>
              <w:spacing w:line="400" w:lineRule="exact"/>
              <w:jc w:val="center"/>
              <w:rPr>
                <w:rFonts w:hint="eastAsia"/>
                <w:color w:val="auto"/>
                <w:spacing w:val="20"/>
              </w:rPr>
            </w:pPr>
          </w:p>
        </w:tc>
        <w:tc>
          <w:tcPr>
            <w:tcW w:w="1659" w:type="dxa"/>
            <w:noWrap w:val="0"/>
            <w:vAlign w:val="center"/>
          </w:tcPr>
          <w:p>
            <w:pPr>
              <w:spacing w:line="400" w:lineRule="exact"/>
              <w:jc w:val="center"/>
              <w:rPr>
                <w:rFonts w:hint="eastAsia"/>
                <w:color w:val="auto"/>
                <w:spacing w:val="20"/>
              </w:rPr>
            </w:pPr>
          </w:p>
        </w:tc>
        <w:tc>
          <w:tcPr>
            <w:tcW w:w="1800" w:type="dxa"/>
            <w:noWrap w:val="0"/>
            <w:vAlign w:val="center"/>
          </w:tcPr>
          <w:p>
            <w:pPr>
              <w:spacing w:line="400" w:lineRule="exact"/>
              <w:ind w:firstLine="560" w:firstLineChars="200"/>
              <w:jc w:val="center"/>
              <w:rPr>
                <w:rFonts w:hint="eastAsia"/>
                <w:color w:val="auto"/>
                <w:spacing w:val="20"/>
              </w:rPr>
            </w:pPr>
          </w:p>
        </w:tc>
        <w:tc>
          <w:tcPr>
            <w:tcW w:w="2114" w:type="dxa"/>
            <w:noWrap w:val="0"/>
            <w:vAlign w:val="center"/>
          </w:tcPr>
          <w:p>
            <w:pPr>
              <w:spacing w:line="400" w:lineRule="exact"/>
              <w:ind w:firstLine="560" w:firstLineChars="200"/>
              <w:jc w:val="center"/>
              <w:rPr>
                <w:rFonts w:hint="eastAsia"/>
                <w:color w:val="auto"/>
                <w:spacing w:val="20"/>
              </w:rPr>
            </w:pPr>
          </w:p>
        </w:tc>
      </w:tr>
    </w:tbl>
    <w:p>
      <w:pPr>
        <w:spacing w:line="400" w:lineRule="exact"/>
        <w:rPr>
          <w:color w:val="auto"/>
          <w:spacing w:val="20"/>
          <w:sz w:val="21"/>
        </w:rPr>
      </w:pPr>
      <w:r>
        <w:rPr>
          <w:rFonts w:hint="eastAsia"/>
          <w:color w:val="auto"/>
          <w:spacing w:val="20"/>
          <w:sz w:val="21"/>
        </w:rPr>
        <w:t>投标人签字：</w:t>
      </w:r>
      <w:r>
        <w:rPr>
          <w:color w:val="auto"/>
          <w:spacing w:val="20"/>
          <w:sz w:val="21"/>
        </w:rPr>
        <w:t xml:space="preserve">                          </w:t>
      </w:r>
      <w:r>
        <w:rPr>
          <w:rFonts w:hint="eastAsia"/>
          <w:color w:val="auto"/>
          <w:spacing w:val="20"/>
          <w:sz w:val="21"/>
        </w:rPr>
        <w:t>日期：</w:t>
      </w:r>
    </w:p>
    <w:p>
      <w:pPr>
        <w:spacing w:line="400" w:lineRule="exact"/>
        <w:ind w:firstLine="435"/>
        <w:rPr>
          <w:rFonts w:hint="eastAsia"/>
          <w:color w:val="auto"/>
          <w:spacing w:val="20"/>
          <w:sz w:val="21"/>
        </w:rPr>
      </w:pPr>
      <w:r>
        <w:rPr>
          <w:rFonts w:hint="eastAsia"/>
          <w:color w:val="auto"/>
          <w:spacing w:val="20"/>
          <w:sz w:val="21"/>
        </w:rPr>
        <w:t>注：请按以上格式自制表格填写后投标。</w:t>
      </w:r>
    </w:p>
    <w:p>
      <w:pPr>
        <w:rPr>
          <w:rFonts w:hint="eastAsia"/>
          <w:b/>
          <w:bCs/>
          <w:color w:val="auto"/>
          <w:sz w:val="21"/>
        </w:rPr>
      </w:pPr>
      <w:r>
        <w:rPr>
          <w:rFonts w:hint="eastAsia"/>
          <w:b/>
          <w:bCs/>
          <w:color w:val="auto"/>
          <w:sz w:val="21"/>
        </w:rPr>
        <w:br w:type="page"/>
      </w:r>
    </w:p>
    <w:p>
      <w:pPr>
        <w:spacing w:line="400" w:lineRule="exact"/>
        <w:rPr>
          <w:rFonts w:hint="eastAsia"/>
          <w:b/>
          <w:bCs/>
          <w:color w:val="auto"/>
          <w:sz w:val="21"/>
        </w:rPr>
      </w:pPr>
      <w:r>
        <w:rPr>
          <w:rFonts w:hint="eastAsia"/>
          <w:b/>
          <w:bCs/>
          <w:color w:val="auto"/>
          <w:sz w:val="21"/>
        </w:rPr>
        <w:t>附件6：</w:t>
      </w:r>
    </w:p>
    <w:p>
      <w:pPr>
        <w:spacing w:line="400" w:lineRule="exact"/>
        <w:jc w:val="center"/>
        <w:rPr>
          <w:rFonts w:eastAsia="黑体"/>
          <w:b/>
          <w:bCs/>
          <w:color w:val="auto"/>
          <w:spacing w:val="20"/>
          <w:sz w:val="30"/>
        </w:rPr>
      </w:pPr>
      <w:r>
        <w:rPr>
          <w:rFonts w:hint="eastAsia" w:eastAsia="黑体"/>
          <w:b/>
          <w:bCs/>
          <w:color w:val="auto"/>
          <w:spacing w:val="20"/>
          <w:sz w:val="30"/>
          <w:lang w:val="en-US" w:eastAsia="zh-CN"/>
        </w:rPr>
        <w:t>保证金</w:t>
      </w:r>
      <w:r>
        <w:rPr>
          <w:rFonts w:hint="eastAsia" w:eastAsia="黑体"/>
          <w:b/>
          <w:bCs/>
          <w:color w:val="auto"/>
          <w:spacing w:val="20"/>
          <w:sz w:val="30"/>
        </w:rPr>
        <w:t>承诺书</w:t>
      </w:r>
    </w:p>
    <w:p>
      <w:pPr>
        <w:pStyle w:val="32"/>
        <w:jc w:val="center"/>
        <w:rPr>
          <w:rFonts w:hint="eastAsia" w:ascii="Times New Roman" w:hAnsi="Times New Roman"/>
          <w:b w:val="0"/>
          <w:bCs w:val="0"/>
          <w:color w:val="auto"/>
          <w:sz w:val="28"/>
        </w:rPr>
      </w:pPr>
      <w:r>
        <w:rPr>
          <w:rFonts w:hint="eastAsia" w:ascii="Times New Roman" w:hAnsi="Times New Roman"/>
          <w:b w:val="0"/>
          <w:bCs w:val="0"/>
          <w:color w:val="auto"/>
          <w:sz w:val="28"/>
        </w:rPr>
        <w:t>承诺书</w:t>
      </w:r>
    </w:p>
    <w:p>
      <w:pPr>
        <w:pStyle w:val="32"/>
        <w:rPr>
          <w:rFonts w:hint="eastAsia" w:ascii="Times New Roman" w:hAnsi="Times New Roman"/>
          <w:b w:val="0"/>
          <w:bCs w:val="0"/>
          <w:color w:val="auto"/>
          <w:sz w:val="28"/>
        </w:rPr>
      </w:pPr>
    </w:p>
    <w:p>
      <w:pPr>
        <w:pStyle w:val="32"/>
        <w:ind w:firstLine="560" w:firstLineChars="200"/>
        <w:rPr>
          <w:rFonts w:hint="eastAsia" w:ascii="Times New Roman" w:hAnsi="Times New Roman"/>
          <w:b w:val="0"/>
          <w:bCs w:val="0"/>
          <w:color w:val="auto"/>
          <w:sz w:val="28"/>
        </w:rPr>
      </w:pPr>
      <w:r>
        <w:rPr>
          <w:rFonts w:hint="eastAsia" w:ascii="Times New Roman" w:hAnsi="Times New Roman"/>
          <w:b w:val="0"/>
          <w:bCs w:val="0"/>
          <w:color w:val="auto"/>
          <w:sz w:val="28"/>
        </w:rPr>
        <w:t>（供应商名称）</w:t>
      </w:r>
      <w:r>
        <w:rPr>
          <w:rFonts w:hint="eastAsia" w:ascii="Times New Roman" w:hAnsi="Times New Roman"/>
          <w:b w:val="0"/>
          <w:bCs w:val="0"/>
          <w:color w:val="auto"/>
          <w:sz w:val="28"/>
          <w:u w:val="single"/>
        </w:rPr>
        <w:t xml:space="preserve">                 </w:t>
      </w:r>
      <w:r>
        <w:rPr>
          <w:rFonts w:hint="eastAsia" w:ascii="Times New Roman" w:hAnsi="Times New Roman"/>
          <w:b w:val="0"/>
          <w:bCs w:val="0"/>
          <w:color w:val="auto"/>
          <w:sz w:val="28"/>
        </w:rPr>
        <w:t>现对</w:t>
      </w:r>
      <w:r>
        <w:rPr>
          <w:rFonts w:hint="eastAsia" w:ascii="Times New Roman" w:hAnsi="Times New Roman"/>
          <w:b w:val="0"/>
          <w:bCs w:val="0"/>
          <w:color w:val="auto"/>
          <w:sz w:val="28"/>
          <w:u w:val="single"/>
        </w:rPr>
        <w:t xml:space="preserve">              </w:t>
      </w:r>
      <w:r>
        <w:rPr>
          <w:rFonts w:hint="eastAsia" w:ascii="Times New Roman" w:hAnsi="Times New Roman"/>
          <w:b w:val="0"/>
          <w:bCs w:val="0"/>
          <w:color w:val="auto"/>
          <w:sz w:val="28"/>
        </w:rPr>
        <w:t>项目投标投标保证金作如下承诺：</w:t>
      </w:r>
    </w:p>
    <w:p>
      <w:pPr>
        <w:pStyle w:val="32"/>
        <w:ind w:firstLine="560" w:firstLineChars="200"/>
        <w:rPr>
          <w:rFonts w:hint="eastAsia" w:ascii="Times New Roman" w:hAnsi="Times New Roman"/>
          <w:b w:val="0"/>
          <w:bCs w:val="0"/>
          <w:color w:val="auto"/>
          <w:sz w:val="28"/>
        </w:rPr>
      </w:pPr>
      <w:r>
        <w:rPr>
          <w:rFonts w:hint="eastAsia" w:ascii="Times New Roman" w:hAnsi="Times New Roman"/>
          <w:b w:val="0"/>
          <w:bCs w:val="0"/>
          <w:color w:val="auto"/>
          <w:sz w:val="28"/>
        </w:rPr>
        <w:t>该项目招标公告时间为          ，项目总投资              万元，投标保证金为     万元。我企业严格按照招标文件要求参与该采购项目投标，承诺在该项目招投标过程中无围标串标等违法违规行为，如若违法违规，</w:t>
      </w:r>
      <w:r>
        <w:rPr>
          <w:rFonts w:hint="eastAsia" w:ascii="Times New Roman" w:hAnsi="Times New Roman"/>
          <w:b w:val="0"/>
          <w:bCs w:val="0"/>
          <w:color w:val="auto"/>
          <w:sz w:val="28"/>
          <w:lang w:val="en-US" w:eastAsia="zh-CN"/>
        </w:rPr>
        <w:t>提交</w:t>
      </w:r>
      <w:r>
        <w:rPr>
          <w:rFonts w:hint="eastAsia" w:ascii="Times New Roman" w:hAnsi="Times New Roman"/>
          <w:b w:val="0"/>
          <w:bCs w:val="0"/>
          <w:color w:val="auto"/>
          <w:sz w:val="28"/>
        </w:rPr>
        <w:t>该项目总投资2%的投标保证金，并接受其他相应处罚。</w:t>
      </w:r>
    </w:p>
    <w:p>
      <w:pPr>
        <w:pStyle w:val="32"/>
        <w:rPr>
          <w:rFonts w:hint="eastAsia" w:ascii="Times New Roman" w:hAnsi="Times New Roman"/>
          <w:b w:val="0"/>
          <w:bCs w:val="0"/>
          <w:color w:val="auto"/>
          <w:sz w:val="28"/>
        </w:rPr>
      </w:pPr>
    </w:p>
    <w:p>
      <w:pPr>
        <w:pStyle w:val="32"/>
        <w:rPr>
          <w:rFonts w:hint="eastAsia" w:ascii="Times New Roman" w:hAnsi="Times New Roman"/>
          <w:b w:val="0"/>
          <w:bCs w:val="0"/>
          <w:color w:val="auto"/>
          <w:sz w:val="28"/>
        </w:rPr>
      </w:pPr>
      <w:r>
        <w:rPr>
          <w:rFonts w:hint="eastAsia" w:ascii="Times New Roman" w:hAnsi="Times New Roman"/>
          <w:b w:val="0"/>
          <w:bCs w:val="0"/>
          <w:color w:val="auto"/>
          <w:sz w:val="28"/>
        </w:rPr>
        <w:t>供应商：（签章）</w:t>
      </w:r>
    </w:p>
    <w:p>
      <w:pPr>
        <w:pStyle w:val="32"/>
        <w:rPr>
          <w:rFonts w:hint="eastAsia" w:ascii="Times New Roman" w:hAnsi="Times New Roman"/>
          <w:b w:val="0"/>
          <w:bCs w:val="0"/>
          <w:color w:val="auto"/>
          <w:sz w:val="28"/>
        </w:rPr>
      </w:pPr>
      <w:r>
        <w:rPr>
          <w:rFonts w:hint="eastAsia" w:ascii="Times New Roman" w:hAnsi="Times New Roman"/>
          <w:b w:val="0"/>
          <w:bCs w:val="0"/>
          <w:color w:val="auto"/>
          <w:sz w:val="28"/>
        </w:rPr>
        <w:t xml:space="preserve">                                </w:t>
      </w:r>
    </w:p>
    <w:p>
      <w:pPr>
        <w:pStyle w:val="32"/>
        <w:rPr>
          <w:rFonts w:hint="eastAsia" w:ascii="Times New Roman" w:hAnsi="Times New Roman"/>
          <w:b w:val="0"/>
          <w:bCs w:val="0"/>
          <w:color w:val="auto"/>
          <w:sz w:val="28"/>
        </w:rPr>
      </w:pPr>
    </w:p>
    <w:p>
      <w:pPr>
        <w:pStyle w:val="32"/>
        <w:rPr>
          <w:rFonts w:hint="eastAsia" w:ascii="Times New Roman" w:hAnsi="Times New Roman"/>
          <w:b w:val="0"/>
          <w:bCs w:val="0"/>
          <w:color w:val="auto"/>
          <w:sz w:val="28"/>
        </w:rPr>
      </w:pPr>
      <w:r>
        <w:rPr>
          <w:rFonts w:hint="eastAsia" w:ascii="Times New Roman" w:hAnsi="Times New Roman"/>
          <w:b w:val="0"/>
          <w:bCs w:val="0"/>
          <w:color w:val="auto"/>
          <w:sz w:val="28"/>
        </w:rPr>
        <w:t>年   月   日</w:t>
      </w:r>
    </w:p>
    <w:p>
      <w:pPr>
        <w:pStyle w:val="32"/>
        <w:rPr>
          <w:rFonts w:hint="eastAsia" w:ascii="Times New Roman" w:hAnsi="Times New Roman"/>
          <w:b w:val="0"/>
          <w:bCs w:val="0"/>
          <w:color w:val="auto"/>
          <w:sz w:val="28"/>
        </w:rPr>
      </w:pPr>
      <w:r>
        <w:rPr>
          <w:rFonts w:hint="eastAsia" w:ascii="Times New Roman" w:hAnsi="Times New Roman"/>
          <w:b w:val="0"/>
          <w:bCs w:val="0"/>
          <w:color w:val="auto"/>
          <w:sz w:val="28"/>
        </w:rPr>
        <w:t xml:space="preserve"> </w:t>
      </w:r>
    </w:p>
    <w:p>
      <w:pPr>
        <w:pStyle w:val="32"/>
        <w:rPr>
          <w:rFonts w:hint="eastAsia" w:ascii="Times New Roman" w:hAnsi="Times New Roman"/>
          <w:b w:val="0"/>
          <w:bCs w:val="0"/>
          <w:color w:val="auto"/>
          <w:sz w:val="28"/>
        </w:rPr>
      </w:pPr>
      <w:r>
        <w:rPr>
          <w:rFonts w:hint="eastAsia" w:ascii="Times New Roman" w:hAnsi="Times New Roman"/>
          <w:b w:val="0"/>
          <w:bCs w:val="0"/>
          <w:color w:val="auto"/>
          <w:sz w:val="28"/>
        </w:rPr>
        <w:t>说明：此承诺书必须盖章附在</w:t>
      </w:r>
      <w:r>
        <w:rPr>
          <w:rFonts w:hint="eastAsia" w:ascii="Times New Roman" w:hAnsi="Times New Roman"/>
          <w:b w:val="0"/>
          <w:bCs w:val="0"/>
          <w:color w:val="auto"/>
          <w:sz w:val="28"/>
          <w:lang w:eastAsia="zh-CN"/>
        </w:rPr>
        <w:t>投标文件</w:t>
      </w:r>
      <w:r>
        <w:rPr>
          <w:rFonts w:hint="eastAsia" w:ascii="Times New Roman" w:hAnsi="Times New Roman"/>
          <w:b w:val="0"/>
          <w:bCs w:val="0"/>
          <w:color w:val="auto"/>
          <w:sz w:val="28"/>
        </w:rPr>
        <w:t>中。</w:t>
      </w:r>
    </w:p>
    <w:p>
      <w:pPr>
        <w:spacing w:line="400" w:lineRule="exact"/>
        <w:ind w:firstLine="422" w:firstLineChars="200"/>
        <w:rPr>
          <w:rFonts w:hint="eastAsia"/>
          <w:b/>
          <w:bCs/>
          <w:color w:val="auto"/>
          <w:sz w:val="21"/>
        </w:rPr>
      </w:pPr>
    </w:p>
    <w:p>
      <w:pPr>
        <w:rPr>
          <w:rFonts w:hint="eastAsia"/>
          <w:b/>
          <w:bCs/>
          <w:color w:val="auto"/>
          <w:sz w:val="21"/>
        </w:rPr>
      </w:pPr>
      <w:r>
        <w:rPr>
          <w:rFonts w:hint="eastAsia"/>
          <w:b/>
          <w:bCs/>
          <w:color w:val="auto"/>
          <w:sz w:val="21"/>
        </w:rPr>
        <w:br w:type="page"/>
      </w:r>
    </w:p>
    <w:p>
      <w:pPr>
        <w:spacing w:line="400" w:lineRule="exact"/>
        <w:ind w:firstLine="422" w:firstLineChars="200"/>
        <w:rPr>
          <w:rFonts w:hint="eastAsia"/>
          <w:color w:val="auto"/>
          <w:sz w:val="32"/>
        </w:rPr>
      </w:pPr>
      <w:r>
        <w:rPr>
          <w:rFonts w:hint="eastAsia"/>
          <w:b/>
          <w:bCs/>
          <w:color w:val="auto"/>
          <w:sz w:val="21"/>
        </w:rPr>
        <w:t>附件7：</w:t>
      </w:r>
    </w:p>
    <w:p>
      <w:pPr>
        <w:spacing w:line="400" w:lineRule="exact"/>
        <w:ind w:firstLine="3384" w:firstLineChars="992"/>
        <w:rPr>
          <w:rFonts w:hint="eastAsia" w:eastAsia="黑体"/>
          <w:b/>
          <w:bCs/>
          <w:color w:val="auto"/>
          <w:spacing w:val="20"/>
          <w:sz w:val="30"/>
        </w:rPr>
      </w:pPr>
      <w:r>
        <w:rPr>
          <w:rFonts w:hint="eastAsia" w:eastAsia="黑体"/>
          <w:b/>
          <w:bCs/>
          <w:color w:val="auto"/>
          <w:spacing w:val="20"/>
          <w:sz w:val="30"/>
        </w:rPr>
        <w:t>投标单位情况简介</w:t>
      </w:r>
    </w:p>
    <w:p>
      <w:pPr>
        <w:spacing w:line="400" w:lineRule="exact"/>
        <w:rPr>
          <w:rFonts w:hint="eastAsia"/>
          <w:color w:val="auto"/>
          <w:spacing w:val="20"/>
          <w:sz w:val="21"/>
          <w:szCs w:val="21"/>
        </w:rPr>
      </w:pPr>
      <w:r>
        <w:rPr>
          <w:color w:val="auto"/>
          <w:spacing w:val="20"/>
        </w:rPr>
        <w:t xml:space="preserve">                    </w:t>
      </w:r>
      <w:r>
        <w:rPr>
          <w:rFonts w:hint="eastAsia"/>
          <w:color w:val="auto"/>
          <w:spacing w:val="20"/>
        </w:rPr>
        <w:t xml:space="preserve">                     </w:t>
      </w:r>
      <w:r>
        <w:rPr>
          <w:rFonts w:hint="eastAsia"/>
          <w:color w:val="auto"/>
          <w:spacing w:val="20"/>
          <w:sz w:val="21"/>
          <w:szCs w:val="21"/>
        </w:rPr>
        <w:t xml:space="preserve">  （格式）</w:t>
      </w:r>
    </w:p>
    <w:p>
      <w:pPr>
        <w:spacing w:line="400" w:lineRule="exact"/>
        <w:jc w:val="right"/>
        <w:rPr>
          <w:color w:val="auto"/>
          <w:spacing w:val="20"/>
          <w:sz w:val="21"/>
        </w:rPr>
      </w:pPr>
      <w:r>
        <w:rPr>
          <w:rFonts w:hint="eastAsia"/>
          <w:color w:val="auto"/>
          <w:spacing w:val="20"/>
          <w:sz w:val="21"/>
        </w:rPr>
        <w:t>年</w:t>
      </w:r>
      <w:r>
        <w:rPr>
          <w:color w:val="auto"/>
          <w:spacing w:val="20"/>
          <w:sz w:val="21"/>
        </w:rPr>
        <w:t xml:space="preserve">    </w:t>
      </w:r>
      <w:r>
        <w:rPr>
          <w:rFonts w:hint="eastAsia"/>
          <w:color w:val="auto"/>
          <w:spacing w:val="20"/>
          <w:sz w:val="21"/>
        </w:rPr>
        <w:t>月</w:t>
      </w:r>
      <w:r>
        <w:rPr>
          <w:color w:val="auto"/>
          <w:spacing w:val="20"/>
          <w:sz w:val="21"/>
        </w:rPr>
        <w:t xml:space="preserve">    </w:t>
      </w:r>
      <w:r>
        <w:rPr>
          <w:rFonts w:hint="eastAsia"/>
          <w:color w:val="auto"/>
          <w:spacing w:val="20"/>
          <w:sz w:val="21"/>
        </w:rPr>
        <w:t>日</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630"/>
        <w:gridCol w:w="420"/>
        <w:gridCol w:w="735"/>
        <w:gridCol w:w="1005"/>
        <w:gridCol w:w="570"/>
        <w:gridCol w:w="746"/>
        <w:gridCol w:w="1384"/>
        <w:gridCol w:w="611"/>
        <w:gridCol w:w="245"/>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788" w:type="dxa"/>
            <w:gridSpan w:val="3"/>
            <w:noWrap w:val="0"/>
            <w:vAlign w:val="center"/>
          </w:tcPr>
          <w:p>
            <w:pPr>
              <w:spacing w:line="400" w:lineRule="exact"/>
              <w:jc w:val="center"/>
              <w:rPr>
                <w:color w:val="auto"/>
                <w:spacing w:val="20"/>
                <w:sz w:val="21"/>
              </w:rPr>
            </w:pPr>
            <w:r>
              <w:rPr>
                <w:rFonts w:hint="eastAsia"/>
                <w:color w:val="auto"/>
                <w:spacing w:val="20"/>
                <w:sz w:val="21"/>
              </w:rPr>
              <w:t>单位名称</w:t>
            </w:r>
          </w:p>
          <w:p>
            <w:pPr>
              <w:spacing w:line="400" w:lineRule="exact"/>
              <w:jc w:val="center"/>
              <w:rPr>
                <w:color w:val="auto"/>
                <w:spacing w:val="20"/>
                <w:sz w:val="21"/>
              </w:rPr>
            </w:pPr>
            <w:r>
              <w:rPr>
                <w:rFonts w:hint="eastAsia"/>
                <w:color w:val="auto"/>
                <w:spacing w:val="20"/>
                <w:sz w:val="21"/>
              </w:rPr>
              <w:t>（盖章）</w:t>
            </w:r>
          </w:p>
        </w:tc>
        <w:tc>
          <w:tcPr>
            <w:tcW w:w="1740" w:type="dxa"/>
            <w:gridSpan w:val="2"/>
            <w:noWrap w:val="0"/>
            <w:vAlign w:val="center"/>
          </w:tcPr>
          <w:p>
            <w:pPr>
              <w:spacing w:line="400" w:lineRule="exact"/>
              <w:jc w:val="center"/>
              <w:rPr>
                <w:color w:val="auto"/>
                <w:spacing w:val="20"/>
                <w:sz w:val="21"/>
              </w:rPr>
            </w:pPr>
          </w:p>
        </w:tc>
        <w:tc>
          <w:tcPr>
            <w:tcW w:w="1316" w:type="dxa"/>
            <w:gridSpan w:val="2"/>
            <w:noWrap w:val="0"/>
            <w:vAlign w:val="center"/>
          </w:tcPr>
          <w:p>
            <w:pPr>
              <w:spacing w:line="400" w:lineRule="exact"/>
              <w:jc w:val="center"/>
              <w:rPr>
                <w:color w:val="auto"/>
                <w:spacing w:val="20"/>
                <w:sz w:val="21"/>
              </w:rPr>
            </w:pPr>
            <w:r>
              <w:rPr>
                <w:rFonts w:hint="eastAsia"/>
                <w:color w:val="auto"/>
                <w:spacing w:val="20"/>
                <w:sz w:val="21"/>
              </w:rPr>
              <w:t>注册号</w:t>
            </w:r>
          </w:p>
        </w:tc>
        <w:tc>
          <w:tcPr>
            <w:tcW w:w="1384" w:type="dxa"/>
            <w:noWrap w:val="0"/>
            <w:vAlign w:val="center"/>
          </w:tcPr>
          <w:p>
            <w:pPr>
              <w:spacing w:line="400" w:lineRule="exact"/>
              <w:jc w:val="center"/>
              <w:rPr>
                <w:color w:val="auto"/>
                <w:spacing w:val="20"/>
                <w:sz w:val="21"/>
              </w:rPr>
            </w:pPr>
          </w:p>
        </w:tc>
        <w:tc>
          <w:tcPr>
            <w:tcW w:w="856" w:type="dxa"/>
            <w:gridSpan w:val="2"/>
            <w:noWrap w:val="0"/>
            <w:vAlign w:val="center"/>
          </w:tcPr>
          <w:p>
            <w:pPr>
              <w:spacing w:line="400" w:lineRule="exact"/>
              <w:jc w:val="center"/>
              <w:rPr>
                <w:color w:val="auto"/>
                <w:spacing w:val="20"/>
                <w:sz w:val="21"/>
              </w:rPr>
            </w:pPr>
            <w:r>
              <w:rPr>
                <w:rFonts w:hint="eastAsia"/>
                <w:color w:val="auto"/>
                <w:spacing w:val="20"/>
                <w:sz w:val="21"/>
              </w:rPr>
              <w:t>电话</w:t>
            </w:r>
          </w:p>
        </w:tc>
        <w:tc>
          <w:tcPr>
            <w:tcW w:w="1484" w:type="dxa"/>
            <w:noWrap w:val="0"/>
            <w:vAlign w:val="center"/>
          </w:tcPr>
          <w:p>
            <w:pPr>
              <w:spacing w:line="400" w:lineRule="exact"/>
              <w:jc w:val="center"/>
              <w:rPr>
                <w:color w:val="auto"/>
                <w:spacing w:val="2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88" w:type="dxa"/>
            <w:gridSpan w:val="3"/>
            <w:noWrap w:val="0"/>
            <w:vAlign w:val="center"/>
          </w:tcPr>
          <w:p>
            <w:pPr>
              <w:spacing w:line="400" w:lineRule="exact"/>
              <w:jc w:val="center"/>
              <w:rPr>
                <w:color w:val="auto"/>
                <w:spacing w:val="20"/>
                <w:sz w:val="21"/>
              </w:rPr>
            </w:pPr>
            <w:r>
              <w:rPr>
                <w:rFonts w:hint="eastAsia"/>
                <w:color w:val="auto"/>
                <w:spacing w:val="20"/>
                <w:sz w:val="21"/>
              </w:rPr>
              <w:t>企业地址</w:t>
            </w:r>
          </w:p>
        </w:tc>
        <w:tc>
          <w:tcPr>
            <w:tcW w:w="1740" w:type="dxa"/>
            <w:gridSpan w:val="2"/>
            <w:noWrap w:val="0"/>
            <w:vAlign w:val="center"/>
          </w:tcPr>
          <w:p>
            <w:pPr>
              <w:spacing w:line="400" w:lineRule="exact"/>
              <w:jc w:val="center"/>
              <w:rPr>
                <w:color w:val="auto"/>
                <w:spacing w:val="20"/>
                <w:sz w:val="21"/>
              </w:rPr>
            </w:pPr>
          </w:p>
        </w:tc>
        <w:tc>
          <w:tcPr>
            <w:tcW w:w="1316" w:type="dxa"/>
            <w:gridSpan w:val="2"/>
            <w:noWrap w:val="0"/>
            <w:vAlign w:val="center"/>
          </w:tcPr>
          <w:p>
            <w:pPr>
              <w:spacing w:line="400" w:lineRule="exact"/>
              <w:jc w:val="center"/>
              <w:rPr>
                <w:color w:val="auto"/>
                <w:spacing w:val="20"/>
                <w:sz w:val="21"/>
              </w:rPr>
            </w:pPr>
            <w:r>
              <w:rPr>
                <w:rFonts w:hint="eastAsia"/>
                <w:color w:val="auto"/>
                <w:spacing w:val="20"/>
                <w:sz w:val="21"/>
              </w:rPr>
              <w:t>注册资金</w:t>
            </w:r>
          </w:p>
        </w:tc>
        <w:tc>
          <w:tcPr>
            <w:tcW w:w="1384" w:type="dxa"/>
            <w:noWrap w:val="0"/>
            <w:vAlign w:val="center"/>
          </w:tcPr>
          <w:p>
            <w:pPr>
              <w:spacing w:line="400" w:lineRule="exact"/>
              <w:jc w:val="center"/>
              <w:rPr>
                <w:color w:val="auto"/>
                <w:spacing w:val="20"/>
                <w:sz w:val="21"/>
              </w:rPr>
            </w:pPr>
          </w:p>
        </w:tc>
        <w:tc>
          <w:tcPr>
            <w:tcW w:w="856" w:type="dxa"/>
            <w:gridSpan w:val="2"/>
            <w:noWrap w:val="0"/>
            <w:vAlign w:val="center"/>
          </w:tcPr>
          <w:p>
            <w:pPr>
              <w:spacing w:line="400" w:lineRule="exact"/>
              <w:jc w:val="center"/>
              <w:rPr>
                <w:color w:val="auto"/>
                <w:spacing w:val="20"/>
                <w:sz w:val="21"/>
              </w:rPr>
            </w:pPr>
            <w:r>
              <w:rPr>
                <w:rFonts w:hint="eastAsia"/>
                <w:color w:val="auto"/>
                <w:spacing w:val="20"/>
                <w:sz w:val="21"/>
              </w:rPr>
              <w:t>传真</w:t>
            </w:r>
          </w:p>
        </w:tc>
        <w:tc>
          <w:tcPr>
            <w:tcW w:w="1484" w:type="dxa"/>
            <w:noWrap w:val="0"/>
            <w:vAlign w:val="center"/>
          </w:tcPr>
          <w:p>
            <w:pPr>
              <w:spacing w:line="400" w:lineRule="exact"/>
              <w:jc w:val="center"/>
              <w:rPr>
                <w:color w:val="auto"/>
                <w:spacing w:val="2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88" w:type="dxa"/>
            <w:gridSpan w:val="3"/>
            <w:noWrap w:val="0"/>
            <w:vAlign w:val="center"/>
          </w:tcPr>
          <w:p>
            <w:pPr>
              <w:spacing w:line="400" w:lineRule="exact"/>
              <w:jc w:val="center"/>
              <w:rPr>
                <w:color w:val="auto"/>
                <w:spacing w:val="20"/>
                <w:sz w:val="21"/>
              </w:rPr>
            </w:pPr>
            <w:r>
              <w:rPr>
                <w:rFonts w:hint="eastAsia"/>
                <w:color w:val="auto"/>
                <w:spacing w:val="20"/>
                <w:sz w:val="21"/>
              </w:rPr>
              <w:t>一、单位简历及机构</w:t>
            </w:r>
          </w:p>
        </w:tc>
        <w:tc>
          <w:tcPr>
            <w:tcW w:w="6780" w:type="dxa"/>
            <w:gridSpan w:val="8"/>
            <w:noWrap w:val="0"/>
            <w:vAlign w:val="center"/>
          </w:tcPr>
          <w:p>
            <w:pPr>
              <w:spacing w:line="400" w:lineRule="exact"/>
              <w:jc w:val="center"/>
              <w:rPr>
                <w:color w:val="auto"/>
                <w:spacing w:val="2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788" w:type="dxa"/>
            <w:gridSpan w:val="3"/>
            <w:noWrap w:val="0"/>
            <w:vAlign w:val="center"/>
          </w:tcPr>
          <w:p>
            <w:pPr>
              <w:spacing w:line="400" w:lineRule="exact"/>
              <w:jc w:val="center"/>
              <w:rPr>
                <w:color w:val="auto"/>
                <w:spacing w:val="20"/>
                <w:sz w:val="21"/>
              </w:rPr>
            </w:pPr>
            <w:r>
              <w:rPr>
                <w:rFonts w:hint="eastAsia"/>
                <w:color w:val="auto"/>
                <w:spacing w:val="20"/>
                <w:sz w:val="21"/>
              </w:rPr>
              <w:t>二、单位优势及特长</w:t>
            </w:r>
          </w:p>
        </w:tc>
        <w:tc>
          <w:tcPr>
            <w:tcW w:w="6780" w:type="dxa"/>
            <w:gridSpan w:val="8"/>
            <w:noWrap w:val="0"/>
            <w:vAlign w:val="center"/>
          </w:tcPr>
          <w:p>
            <w:pPr>
              <w:spacing w:line="400" w:lineRule="exact"/>
              <w:jc w:val="center"/>
              <w:rPr>
                <w:color w:val="auto"/>
                <w:spacing w:val="2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38" w:type="dxa"/>
            <w:vMerge w:val="restart"/>
            <w:noWrap w:val="0"/>
            <w:vAlign w:val="center"/>
          </w:tcPr>
          <w:p>
            <w:pPr>
              <w:spacing w:line="400" w:lineRule="exact"/>
              <w:jc w:val="center"/>
              <w:rPr>
                <w:color w:val="auto"/>
                <w:spacing w:val="20"/>
                <w:sz w:val="21"/>
              </w:rPr>
            </w:pPr>
            <w:r>
              <w:rPr>
                <w:rFonts w:hint="eastAsia"/>
                <w:color w:val="auto"/>
                <w:spacing w:val="20"/>
                <w:sz w:val="21"/>
              </w:rPr>
              <w:t>三、单</w:t>
            </w:r>
          </w:p>
          <w:p>
            <w:pPr>
              <w:spacing w:line="400" w:lineRule="exact"/>
              <w:jc w:val="center"/>
              <w:rPr>
                <w:color w:val="auto"/>
                <w:spacing w:val="20"/>
                <w:sz w:val="21"/>
              </w:rPr>
            </w:pPr>
            <w:r>
              <w:rPr>
                <w:rFonts w:hint="eastAsia"/>
                <w:color w:val="auto"/>
                <w:spacing w:val="20"/>
                <w:sz w:val="21"/>
              </w:rPr>
              <w:t>位</w:t>
            </w:r>
          </w:p>
          <w:p>
            <w:pPr>
              <w:spacing w:line="400" w:lineRule="exact"/>
              <w:jc w:val="center"/>
              <w:rPr>
                <w:color w:val="auto"/>
                <w:spacing w:val="20"/>
                <w:sz w:val="21"/>
              </w:rPr>
            </w:pPr>
            <w:r>
              <w:rPr>
                <w:rFonts w:hint="eastAsia"/>
                <w:color w:val="auto"/>
                <w:spacing w:val="20"/>
                <w:sz w:val="21"/>
              </w:rPr>
              <w:t>概</w:t>
            </w:r>
          </w:p>
          <w:p>
            <w:pPr>
              <w:spacing w:line="400" w:lineRule="exact"/>
              <w:jc w:val="center"/>
              <w:rPr>
                <w:color w:val="auto"/>
                <w:spacing w:val="20"/>
                <w:sz w:val="21"/>
              </w:rPr>
            </w:pPr>
            <w:r>
              <w:rPr>
                <w:rFonts w:hint="eastAsia"/>
                <w:color w:val="auto"/>
                <w:spacing w:val="20"/>
                <w:sz w:val="21"/>
              </w:rPr>
              <w:t>况</w:t>
            </w:r>
          </w:p>
        </w:tc>
        <w:tc>
          <w:tcPr>
            <w:tcW w:w="1785" w:type="dxa"/>
            <w:gridSpan w:val="3"/>
            <w:noWrap w:val="0"/>
            <w:vAlign w:val="center"/>
          </w:tcPr>
          <w:p>
            <w:pPr>
              <w:spacing w:line="400" w:lineRule="exact"/>
              <w:jc w:val="center"/>
              <w:rPr>
                <w:color w:val="auto"/>
                <w:spacing w:val="20"/>
                <w:sz w:val="21"/>
              </w:rPr>
            </w:pPr>
            <w:r>
              <w:rPr>
                <w:rFonts w:hint="eastAsia"/>
                <w:color w:val="auto"/>
                <w:spacing w:val="20"/>
                <w:sz w:val="21"/>
              </w:rPr>
              <w:t>职工总数</w:t>
            </w:r>
          </w:p>
        </w:tc>
        <w:tc>
          <w:tcPr>
            <w:tcW w:w="1575" w:type="dxa"/>
            <w:gridSpan w:val="2"/>
            <w:noWrap w:val="0"/>
            <w:vAlign w:val="center"/>
          </w:tcPr>
          <w:p>
            <w:pPr>
              <w:spacing w:line="400" w:lineRule="exact"/>
              <w:jc w:val="center"/>
              <w:rPr>
                <w:color w:val="auto"/>
                <w:spacing w:val="20"/>
                <w:sz w:val="21"/>
              </w:rPr>
            </w:pPr>
          </w:p>
        </w:tc>
        <w:tc>
          <w:tcPr>
            <w:tcW w:w="2741" w:type="dxa"/>
            <w:gridSpan w:val="3"/>
            <w:noWrap w:val="0"/>
            <w:vAlign w:val="center"/>
          </w:tcPr>
          <w:p>
            <w:pPr>
              <w:spacing w:line="400" w:lineRule="exact"/>
              <w:jc w:val="center"/>
              <w:rPr>
                <w:color w:val="auto"/>
                <w:spacing w:val="20"/>
                <w:sz w:val="21"/>
              </w:rPr>
            </w:pPr>
            <w:r>
              <w:rPr>
                <w:rFonts w:hint="eastAsia"/>
                <w:color w:val="auto"/>
                <w:spacing w:val="20"/>
                <w:sz w:val="21"/>
              </w:rPr>
              <w:t>其中：中级职称人员</w:t>
            </w:r>
          </w:p>
        </w:tc>
        <w:tc>
          <w:tcPr>
            <w:tcW w:w="1729" w:type="dxa"/>
            <w:gridSpan w:val="2"/>
            <w:noWrap w:val="0"/>
            <w:vAlign w:val="center"/>
          </w:tcPr>
          <w:p>
            <w:pPr>
              <w:spacing w:line="400" w:lineRule="exact"/>
              <w:jc w:val="center"/>
              <w:rPr>
                <w:color w:val="auto"/>
                <w:spacing w:val="2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738" w:type="dxa"/>
            <w:vMerge w:val="continue"/>
            <w:noWrap w:val="0"/>
            <w:vAlign w:val="center"/>
          </w:tcPr>
          <w:p>
            <w:pPr>
              <w:spacing w:line="400" w:lineRule="exact"/>
              <w:jc w:val="center"/>
              <w:rPr>
                <w:color w:val="auto"/>
                <w:spacing w:val="20"/>
                <w:sz w:val="21"/>
              </w:rPr>
            </w:pPr>
          </w:p>
        </w:tc>
        <w:tc>
          <w:tcPr>
            <w:tcW w:w="7830" w:type="dxa"/>
            <w:gridSpan w:val="10"/>
            <w:noWrap w:val="0"/>
            <w:vAlign w:val="center"/>
          </w:tcPr>
          <w:p>
            <w:pPr>
              <w:spacing w:line="400" w:lineRule="exact"/>
              <w:rPr>
                <w:color w:val="auto"/>
                <w:spacing w:val="20"/>
                <w:sz w:val="21"/>
              </w:rPr>
            </w:pPr>
            <w:r>
              <w:rPr>
                <w:rFonts w:hint="eastAsia"/>
                <w:color w:val="auto"/>
                <w:spacing w:val="20"/>
                <w:sz w:val="21"/>
              </w:rPr>
              <w:t>资产总计：</w:t>
            </w:r>
            <w:r>
              <w:rPr>
                <w:color w:val="auto"/>
                <w:spacing w:val="20"/>
                <w:sz w:val="21"/>
              </w:rPr>
              <w:t xml:space="preserve">  </w:t>
            </w:r>
            <w:r>
              <w:rPr>
                <w:rFonts w:hint="eastAsia"/>
                <w:color w:val="auto"/>
                <w:spacing w:val="20"/>
                <w:sz w:val="21"/>
              </w:rPr>
              <w:t>万元；资产净值：</w:t>
            </w:r>
            <w:r>
              <w:rPr>
                <w:color w:val="auto"/>
                <w:spacing w:val="20"/>
                <w:sz w:val="21"/>
              </w:rPr>
              <w:t xml:space="preserve">  </w:t>
            </w:r>
            <w:r>
              <w:rPr>
                <w:rFonts w:hint="eastAsia"/>
                <w:color w:val="auto"/>
                <w:spacing w:val="20"/>
                <w:sz w:val="21"/>
              </w:rPr>
              <w:t>万元；股东权益：</w:t>
            </w:r>
            <w:r>
              <w:rPr>
                <w:color w:val="auto"/>
                <w:spacing w:val="20"/>
                <w:sz w:val="21"/>
              </w:rPr>
              <w:t xml:space="preserve">   </w:t>
            </w:r>
            <w:r>
              <w:rPr>
                <w:rFonts w:hint="eastAsia"/>
                <w:color w:val="auto"/>
                <w:spacing w:val="20"/>
                <w:sz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738" w:type="dxa"/>
            <w:vMerge w:val="continue"/>
            <w:noWrap w:val="0"/>
            <w:vAlign w:val="center"/>
          </w:tcPr>
          <w:p>
            <w:pPr>
              <w:spacing w:line="400" w:lineRule="exact"/>
              <w:jc w:val="center"/>
              <w:rPr>
                <w:color w:val="auto"/>
                <w:spacing w:val="20"/>
                <w:sz w:val="21"/>
              </w:rPr>
            </w:pPr>
          </w:p>
        </w:tc>
        <w:tc>
          <w:tcPr>
            <w:tcW w:w="7830" w:type="dxa"/>
            <w:gridSpan w:val="10"/>
            <w:noWrap w:val="0"/>
            <w:vAlign w:val="center"/>
          </w:tcPr>
          <w:p>
            <w:pPr>
              <w:spacing w:line="400" w:lineRule="exact"/>
              <w:rPr>
                <w:color w:val="auto"/>
                <w:spacing w:val="20"/>
                <w:sz w:val="21"/>
              </w:rPr>
            </w:pPr>
            <w:r>
              <w:rPr>
                <w:rFonts w:hint="eastAsia"/>
                <w:color w:val="auto"/>
                <w:spacing w:val="20"/>
                <w:sz w:val="21"/>
              </w:rPr>
              <w:t>营业面积（含厂房面积）：</w:t>
            </w:r>
            <w:r>
              <w:rPr>
                <w:color w:val="auto"/>
                <w:spacing w:val="20"/>
                <w:sz w:val="21"/>
              </w:rPr>
              <w:t xml:space="preserve">    M</w:t>
            </w:r>
            <w:r>
              <w:rPr>
                <w:color w:val="auto"/>
                <w:spacing w:val="20"/>
                <w:sz w:val="21"/>
                <w:vertAlign w:val="superscript"/>
              </w:rPr>
              <w:t>2</w:t>
            </w:r>
            <w:r>
              <w:rPr>
                <w:rFonts w:hint="eastAsia"/>
                <w:color w:val="auto"/>
                <w:spacing w:val="20"/>
                <w:sz w:val="21"/>
              </w:rPr>
              <w:t>，产权：</w:t>
            </w:r>
            <w:r>
              <w:rPr>
                <w:color w:val="auto"/>
                <w:spacing w:val="20"/>
                <w:sz w:val="21"/>
              </w:rPr>
              <w:t xml:space="preserve">  M</w:t>
            </w:r>
            <w:r>
              <w:rPr>
                <w:color w:val="auto"/>
                <w:spacing w:val="20"/>
                <w:sz w:val="21"/>
                <w:vertAlign w:val="superscript"/>
              </w:rPr>
              <w:t>2</w:t>
            </w:r>
            <w:r>
              <w:rPr>
                <w:rFonts w:hint="eastAsia"/>
                <w:color w:val="auto"/>
                <w:spacing w:val="20"/>
                <w:sz w:val="21"/>
              </w:rPr>
              <w:t>，租：</w:t>
            </w:r>
            <w:r>
              <w:rPr>
                <w:color w:val="auto"/>
                <w:spacing w:val="20"/>
                <w:sz w:val="21"/>
              </w:rPr>
              <w:t xml:space="preserve">   M</w:t>
            </w:r>
            <w:r>
              <w:rPr>
                <w:color w:val="auto"/>
                <w:spacing w:val="20"/>
                <w:sz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38" w:type="dxa"/>
            <w:vMerge w:val="continue"/>
            <w:noWrap w:val="0"/>
            <w:vAlign w:val="center"/>
          </w:tcPr>
          <w:p>
            <w:pPr>
              <w:spacing w:line="400" w:lineRule="exact"/>
              <w:jc w:val="center"/>
              <w:rPr>
                <w:color w:val="auto"/>
                <w:spacing w:val="20"/>
                <w:sz w:val="21"/>
              </w:rPr>
            </w:pPr>
          </w:p>
        </w:tc>
        <w:tc>
          <w:tcPr>
            <w:tcW w:w="7830" w:type="dxa"/>
            <w:gridSpan w:val="10"/>
            <w:noWrap w:val="0"/>
            <w:vAlign w:val="center"/>
          </w:tcPr>
          <w:p>
            <w:pPr>
              <w:spacing w:line="400" w:lineRule="exact"/>
              <w:rPr>
                <w:color w:val="auto"/>
                <w:spacing w:val="20"/>
                <w:sz w:val="21"/>
              </w:rPr>
            </w:pPr>
            <w:r>
              <w:rPr>
                <w:rFonts w:hint="eastAsia"/>
                <w:color w:val="auto"/>
                <w:spacing w:val="20"/>
                <w:sz w:val="21"/>
              </w:rPr>
              <w:t>销（零）售额：</w:t>
            </w:r>
            <w:r>
              <w:rPr>
                <w:rFonts w:hint="eastAsia"/>
                <w:color w:val="auto"/>
                <w:spacing w:val="20"/>
                <w:sz w:val="21"/>
                <w:lang w:val="en-US" w:eastAsia="zh-CN"/>
              </w:rPr>
              <w:t xml:space="preserve">    </w:t>
            </w:r>
            <w:r>
              <w:rPr>
                <w:rFonts w:hint="eastAsia"/>
                <w:color w:val="auto"/>
                <w:spacing w:val="20"/>
                <w:sz w:val="21"/>
              </w:rPr>
              <w:t>年</w:t>
            </w:r>
            <w:r>
              <w:rPr>
                <w:color w:val="auto"/>
                <w:spacing w:val="20"/>
                <w:sz w:val="21"/>
              </w:rPr>
              <w:t xml:space="preserve">     </w:t>
            </w:r>
            <w:r>
              <w:rPr>
                <w:rFonts w:hint="eastAsia"/>
                <w:color w:val="auto"/>
                <w:spacing w:val="20"/>
                <w:sz w:val="21"/>
              </w:rPr>
              <w:t>万元；</w:t>
            </w:r>
            <w:r>
              <w:rPr>
                <w:color w:val="auto"/>
                <w:spacing w:val="20"/>
                <w:sz w:val="21"/>
              </w:rPr>
              <w:t xml:space="preserve">      </w:t>
            </w:r>
            <w:r>
              <w:rPr>
                <w:rFonts w:hint="eastAsia"/>
                <w:color w:val="auto"/>
                <w:spacing w:val="20"/>
                <w:sz w:val="21"/>
              </w:rPr>
              <w:t>年：</w:t>
            </w:r>
            <w:r>
              <w:rPr>
                <w:color w:val="auto"/>
                <w:spacing w:val="20"/>
                <w:sz w:val="21"/>
              </w:rPr>
              <w:t xml:space="preserve">        </w:t>
            </w:r>
            <w:r>
              <w:rPr>
                <w:rFonts w:hint="eastAsia"/>
                <w:color w:val="auto"/>
                <w:spacing w:val="20"/>
                <w:sz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8" w:type="dxa"/>
            <w:vMerge w:val="continue"/>
            <w:noWrap w:val="0"/>
            <w:vAlign w:val="center"/>
          </w:tcPr>
          <w:p>
            <w:pPr>
              <w:spacing w:line="400" w:lineRule="exact"/>
              <w:jc w:val="center"/>
              <w:rPr>
                <w:color w:val="auto"/>
                <w:spacing w:val="20"/>
                <w:sz w:val="21"/>
              </w:rPr>
            </w:pPr>
          </w:p>
        </w:tc>
        <w:tc>
          <w:tcPr>
            <w:tcW w:w="7830" w:type="dxa"/>
            <w:gridSpan w:val="10"/>
            <w:noWrap w:val="0"/>
            <w:vAlign w:val="center"/>
          </w:tcPr>
          <w:p>
            <w:pPr>
              <w:spacing w:line="400" w:lineRule="exact"/>
              <w:rPr>
                <w:color w:val="auto"/>
                <w:spacing w:val="20"/>
                <w:sz w:val="21"/>
              </w:rPr>
            </w:pPr>
            <w:r>
              <w:rPr>
                <w:rFonts w:hint="eastAsia"/>
                <w:color w:val="auto"/>
                <w:spacing w:val="20"/>
                <w:sz w:val="21"/>
              </w:rPr>
              <w:t>实现利润：</w:t>
            </w:r>
            <w:r>
              <w:rPr>
                <w:rFonts w:hint="eastAsia"/>
                <w:color w:val="auto"/>
                <w:spacing w:val="20"/>
                <w:sz w:val="21"/>
                <w:lang w:val="en-US" w:eastAsia="zh-CN"/>
              </w:rPr>
              <w:t xml:space="preserve">   </w:t>
            </w:r>
            <w:r>
              <w:rPr>
                <w:rFonts w:hint="eastAsia"/>
                <w:color w:val="auto"/>
                <w:spacing w:val="20"/>
                <w:sz w:val="21"/>
              </w:rPr>
              <w:t>年</w:t>
            </w:r>
            <w:r>
              <w:rPr>
                <w:color w:val="auto"/>
                <w:spacing w:val="20"/>
                <w:sz w:val="21"/>
              </w:rPr>
              <w:t xml:space="preserve">     </w:t>
            </w:r>
            <w:r>
              <w:rPr>
                <w:rFonts w:hint="eastAsia"/>
                <w:color w:val="auto"/>
                <w:spacing w:val="20"/>
                <w:sz w:val="21"/>
              </w:rPr>
              <w:t>万元；</w:t>
            </w:r>
            <w:r>
              <w:rPr>
                <w:color w:val="auto"/>
                <w:spacing w:val="20"/>
                <w:sz w:val="21"/>
              </w:rPr>
              <w:t xml:space="preserve">        </w:t>
            </w:r>
            <w:r>
              <w:rPr>
                <w:rFonts w:hint="eastAsia"/>
                <w:color w:val="auto"/>
                <w:spacing w:val="20"/>
                <w:sz w:val="21"/>
              </w:rPr>
              <w:t>年：</w:t>
            </w:r>
            <w:r>
              <w:rPr>
                <w:color w:val="auto"/>
                <w:spacing w:val="20"/>
                <w:sz w:val="21"/>
              </w:rPr>
              <w:t xml:space="preserve">        </w:t>
            </w:r>
            <w:r>
              <w:rPr>
                <w:rFonts w:hint="eastAsia"/>
                <w:color w:val="auto"/>
                <w:spacing w:val="20"/>
                <w:sz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738" w:type="dxa"/>
            <w:vMerge w:val="continue"/>
            <w:noWrap w:val="0"/>
            <w:vAlign w:val="center"/>
          </w:tcPr>
          <w:p>
            <w:pPr>
              <w:spacing w:line="400" w:lineRule="exact"/>
              <w:jc w:val="center"/>
              <w:rPr>
                <w:color w:val="auto"/>
                <w:spacing w:val="20"/>
                <w:sz w:val="21"/>
              </w:rPr>
            </w:pPr>
          </w:p>
        </w:tc>
        <w:tc>
          <w:tcPr>
            <w:tcW w:w="630" w:type="dxa"/>
            <w:vMerge w:val="restart"/>
            <w:noWrap w:val="0"/>
            <w:vAlign w:val="center"/>
          </w:tcPr>
          <w:p>
            <w:pPr>
              <w:spacing w:line="400" w:lineRule="exact"/>
              <w:jc w:val="center"/>
              <w:rPr>
                <w:color w:val="auto"/>
                <w:spacing w:val="20"/>
                <w:sz w:val="21"/>
              </w:rPr>
            </w:pPr>
            <w:r>
              <w:rPr>
                <w:rFonts w:hint="eastAsia"/>
                <w:color w:val="auto"/>
                <w:spacing w:val="20"/>
                <w:sz w:val="21"/>
              </w:rPr>
              <w:t>主</w:t>
            </w:r>
          </w:p>
          <w:p>
            <w:pPr>
              <w:spacing w:line="400" w:lineRule="exact"/>
              <w:jc w:val="center"/>
              <w:rPr>
                <w:color w:val="auto"/>
                <w:spacing w:val="20"/>
                <w:sz w:val="21"/>
              </w:rPr>
            </w:pPr>
            <w:r>
              <w:rPr>
                <w:rFonts w:hint="eastAsia"/>
                <w:color w:val="auto"/>
                <w:spacing w:val="20"/>
                <w:sz w:val="21"/>
              </w:rPr>
              <w:t>要</w:t>
            </w:r>
          </w:p>
          <w:p>
            <w:pPr>
              <w:spacing w:line="400" w:lineRule="exact"/>
              <w:jc w:val="center"/>
              <w:rPr>
                <w:color w:val="auto"/>
                <w:spacing w:val="20"/>
                <w:sz w:val="21"/>
              </w:rPr>
            </w:pPr>
            <w:r>
              <w:rPr>
                <w:rFonts w:hint="eastAsia"/>
                <w:color w:val="auto"/>
                <w:spacing w:val="20"/>
                <w:sz w:val="21"/>
              </w:rPr>
              <w:t>产</w:t>
            </w:r>
          </w:p>
          <w:p>
            <w:pPr>
              <w:spacing w:line="400" w:lineRule="exact"/>
              <w:jc w:val="center"/>
              <w:rPr>
                <w:color w:val="auto"/>
                <w:spacing w:val="20"/>
                <w:sz w:val="21"/>
              </w:rPr>
            </w:pPr>
            <w:r>
              <w:rPr>
                <w:rFonts w:hint="eastAsia"/>
                <w:color w:val="auto"/>
                <w:spacing w:val="20"/>
                <w:sz w:val="21"/>
              </w:rPr>
              <w:t>品</w:t>
            </w:r>
          </w:p>
        </w:tc>
        <w:tc>
          <w:tcPr>
            <w:tcW w:w="7200" w:type="dxa"/>
            <w:gridSpan w:val="9"/>
            <w:noWrap w:val="0"/>
            <w:vAlign w:val="center"/>
          </w:tcPr>
          <w:p>
            <w:pPr>
              <w:spacing w:line="400" w:lineRule="exact"/>
              <w:rPr>
                <w:color w:val="auto"/>
                <w:spacing w:val="20"/>
                <w:sz w:val="21"/>
              </w:rPr>
            </w:pPr>
            <w:r>
              <w:rPr>
                <w:color w:val="auto"/>
                <w:spacing w:val="20"/>
                <w:sz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738" w:type="dxa"/>
            <w:vMerge w:val="continue"/>
            <w:noWrap w:val="0"/>
            <w:vAlign w:val="center"/>
          </w:tcPr>
          <w:p>
            <w:pPr>
              <w:spacing w:line="400" w:lineRule="exact"/>
              <w:jc w:val="center"/>
              <w:rPr>
                <w:color w:val="auto"/>
                <w:spacing w:val="20"/>
                <w:sz w:val="21"/>
              </w:rPr>
            </w:pPr>
          </w:p>
        </w:tc>
        <w:tc>
          <w:tcPr>
            <w:tcW w:w="630" w:type="dxa"/>
            <w:vMerge w:val="continue"/>
            <w:noWrap w:val="0"/>
            <w:vAlign w:val="center"/>
          </w:tcPr>
          <w:p>
            <w:pPr>
              <w:spacing w:line="400" w:lineRule="exact"/>
              <w:jc w:val="center"/>
              <w:rPr>
                <w:color w:val="auto"/>
                <w:spacing w:val="20"/>
                <w:sz w:val="21"/>
              </w:rPr>
            </w:pPr>
          </w:p>
        </w:tc>
        <w:tc>
          <w:tcPr>
            <w:tcW w:w="7200" w:type="dxa"/>
            <w:gridSpan w:val="9"/>
            <w:noWrap w:val="0"/>
            <w:vAlign w:val="center"/>
          </w:tcPr>
          <w:p>
            <w:pPr>
              <w:spacing w:line="400" w:lineRule="exact"/>
              <w:rPr>
                <w:color w:val="auto"/>
                <w:spacing w:val="20"/>
                <w:sz w:val="21"/>
              </w:rPr>
            </w:pPr>
            <w:r>
              <w:rPr>
                <w:color w:val="auto"/>
                <w:spacing w:val="20"/>
                <w:sz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738" w:type="dxa"/>
            <w:vMerge w:val="continue"/>
            <w:noWrap w:val="0"/>
            <w:vAlign w:val="center"/>
          </w:tcPr>
          <w:p>
            <w:pPr>
              <w:spacing w:line="400" w:lineRule="exact"/>
              <w:jc w:val="center"/>
              <w:rPr>
                <w:color w:val="auto"/>
                <w:spacing w:val="20"/>
                <w:sz w:val="21"/>
              </w:rPr>
            </w:pPr>
          </w:p>
        </w:tc>
        <w:tc>
          <w:tcPr>
            <w:tcW w:w="630" w:type="dxa"/>
            <w:vMerge w:val="continue"/>
            <w:noWrap w:val="0"/>
            <w:vAlign w:val="center"/>
          </w:tcPr>
          <w:p>
            <w:pPr>
              <w:spacing w:line="400" w:lineRule="exact"/>
              <w:jc w:val="center"/>
              <w:rPr>
                <w:color w:val="auto"/>
                <w:spacing w:val="20"/>
                <w:sz w:val="21"/>
              </w:rPr>
            </w:pPr>
          </w:p>
        </w:tc>
        <w:tc>
          <w:tcPr>
            <w:tcW w:w="7200" w:type="dxa"/>
            <w:gridSpan w:val="9"/>
            <w:noWrap w:val="0"/>
            <w:vAlign w:val="center"/>
          </w:tcPr>
          <w:p>
            <w:pPr>
              <w:spacing w:line="400" w:lineRule="exact"/>
              <w:rPr>
                <w:color w:val="auto"/>
                <w:spacing w:val="20"/>
                <w:sz w:val="21"/>
              </w:rPr>
            </w:pPr>
            <w:r>
              <w:rPr>
                <w:color w:val="auto"/>
                <w:spacing w:val="20"/>
                <w:sz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738" w:type="dxa"/>
            <w:vMerge w:val="continue"/>
            <w:noWrap w:val="0"/>
            <w:vAlign w:val="center"/>
          </w:tcPr>
          <w:p>
            <w:pPr>
              <w:spacing w:line="400" w:lineRule="exact"/>
              <w:jc w:val="center"/>
              <w:rPr>
                <w:color w:val="auto"/>
                <w:spacing w:val="20"/>
                <w:sz w:val="21"/>
              </w:rPr>
            </w:pPr>
          </w:p>
        </w:tc>
        <w:tc>
          <w:tcPr>
            <w:tcW w:w="630" w:type="dxa"/>
            <w:vMerge w:val="continue"/>
            <w:noWrap w:val="0"/>
            <w:vAlign w:val="center"/>
          </w:tcPr>
          <w:p>
            <w:pPr>
              <w:spacing w:line="400" w:lineRule="exact"/>
              <w:jc w:val="center"/>
              <w:rPr>
                <w:color w:val="auto"/>
                <w:spacing w:val="20"/>
                <w:sz w:val="21"/>
              </w:rPr>
            </w:pPr>
          </w:p>
        </w:tc>
        <w:tc>
          <w:tcPr>
            <w:tcW w:w="7200" w:type="dxa"/>
            <w:gridSpan w:val="9"/>
            <w:noWrap w:val="0"/>
            <w:vAlign w:val="center"/>
          </w:tcPr>
          <w:p>
            <w:pPr>
              <w:spacing w:line="400" w:lineRule="exact"/>
              <w:rPr>
                <w:color w:val="auto"/>
                <w:spacing w:val="20"/>
                <w:sz w:val="21"/>
              </w:rPr>
            </w:pPr>
            <w:r>
              <w:rPr>
                <w:color w:val="auto"/>
                <w:spacing w:val="20"/>
                <w:sz w:val="21"/>
              </w:rPr>
              <w:t>4</w:t>
            </w:r>
          </w:p>
        </w:tc>
      </w:tr>
    </w:tbl>
    <w:p>
      <w:pPr>
        <w:spacing w:line="400" w:lineRule="exact"/>
        <w:rPr>
          <w:rFonts w:hint="eastAsia"/>
          <w:color w:val="auto"/>
          <w:spacing w:val="20"/>
          <w:sz w:val="21"/>
        </w:rPr>
      </w:pPr>
      <w:r>
        <w:rPr>
          <w:rFonts w:hint="eastAsia"/>
          <w:color w:val="auto"/>
          <w:spacing w:val="20"/>
          <w:sz w:val="21"/>
        </w:rPr>
        <w:t>投标人签字：                               公章：</w:t>
      </w:r>
    </w:p>
    <w:p>
      <w:pPr>
        <w:spacing w:line="400" w:lineRule="exact"/>
        <w:rPr>
          <w:rFonts w:hint="eastAsia"/>
          <w:b/>
          <w:bCs/>
          <w:color w:val="auto"/>
          <w:sz w:val="21"/>
        </w:rPr>
      </w:pPr>
    </w:p>
    <w:p>
      <w:pPr>
        <w:rPr>
          <w:rFonts w:hint="eastAsia"/>
          <w:b/>
          <w:bCs/>
          <w:color w:val="auto"/>
          <w:sz w:val="21"/>
        </w:rPr>
      </w:pPr>
      <w:r>
        <w:rPr>
          <w:rFonts w:hint="eastAsia"/>
          <w:b/>
          <w:bCs/>
          <w:color w:val="auto"/>
          <w:sz w:val="21"/>
        </w:rPr>
        <w:br w:type="page"/>
      </w:r>
    </w:p>
    <w:p>
      <w:pPr>
        <w:spacing w:line="400" w:lineRule="exact"/>
        <w:ind w:firstLine="435"/>
        <w:rPr>
          <w:rFonts w:hint="eastAsia"/>
          <w:color w:val="auto"/>
          <w:sz w:val="21"/>
        </w:rPr>
      </w:pPr>
      <w:r>
        <w:rPr>
          <w:rFonts w:hint="eastAsia"/>
          <w:b/>
          <w:bCs/>
          <w:color w:val="auto"/>
          <w:sz w:val="21"/>
        </w:rPr>
        <w:t>附件8</w:t>
      </w:r>
    </w:p>
    <w:p>
      <w:pPr>
        <w:pStyle w:val="3"/>
        <w:spacing w:before="0" w:beforeLines="0" w:line="400" w:lineRule="exact"/>
        <w:ind w:firstLine="771" w:firstLineChars="257"/>
        <w:rPr>
          <w:rFonts w:hint="eastAsia"/>
          <w:color w:val="auto"/>
        </w:rPr>
      </w:pPr>
      <w:r>
        <w:rPr>
          <w:rFonts w:hint="eastAsia"/>
          <w:color w:val="auto"/>
        </w:rPr>
        <w:t>同类项目业绩表</w:t>
      </w:r>
    </w:p>
    <w:p>
      <w:pPr>
        <w:pStyle w:val="28"/>
        <w:snapToGrid w:val="0"/>
        <w:spacing w:line="400" w:lineRule="exact"/>
        <w:ind w:firstLine="539" w:firstLineChars="257"/>
        <w:jc w:val="center"/>
        <w:rPr>
          <w:rFonts w:hint="eastAsia" w:ascii="宋体"/>
          <w:color w:val="auto"/>
          <w:sz w:val="21"/>
          <w:szCs w:val="28"/>
        </w:rPr>
      </w:pPr>
      <w:r>
        <w:rPr>
          <w:rFonts w:hint="eastAsia" w:ascii="宋体" w:hAnsi="宋体"/>
          <w:color w:val="auto"/>
          <w:sz w:val="21"/>
          <w:szCs w:val="28"/>
        </w:rPr>
        <w:t>（格式）</w:t>
      </w:r>
    </w:p>
    <w:tbl>
      <w:tblPr>
        <w:tblStyle w:val="20"/>
        <w:tblW w:w="0" w:type="auto"/>
        <w:tblInd w:w="108" w:type="dxa"/>
        <w:tblLayout w:type="fixed"/>
        <w:tblCellMar>
          <w:top w:w="0" w:type="dxa"/>
          <w:left w:w="108" w:type="dxa"/>
          <w:bottom w:w="0" w:type="dxa"/>
          <w:right w:w="108" w:type="dxa"/>
        </w:tblCellMar>
      </w:tblPr>
      <w:tblGrid>
        <w:gridCol w:w="1080"/>
        <w:gridCol w:w="1080"/>
        <w:gridCol w:w="1620"/>
        <w:gridCol w:w="1800"/>
        <w:gridCol w:w="1800"/>
        <w:gridCol w:w="1080"/>
      </w:tblGrid>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val="0"/>
            <w:vAlign w:val="center"/>
          </w:tcPr>
          <w:p>
            <w:pPr>
              <w:pStyle w:val="29"/>
              <w:snapToGrid w:val="0"/>
              <w:spacing w:line="400" w:lineRule="exact"/>
              <w:jc w:val="center"/>
              <w:rPr>
                <w:rFonts w:ascii="宋体"/>
                <w:color w:val="auto"/>
                <w:sz w:val="21"/>
                <w:szCs w:val="21"/>
              </w:rPr>
            </w:pPr>
            <w:r>
              <w:rPr>
                <w:rFonts w:hint="eastAsia" w:ascii="宋体"/>
                <w:color w:val="auto"/>
                <w:sz w:val="21"/>
                <w:szCs w:val="21"/>
              </w:rPr>
              <w:t>地区</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pStyle w:val="29"/>
              <w:snapToGrid w:val="0"/>
              <w:spacing w:line="400" w:lineRule="exact"/>
              <w:jc w:val="center"/>
              <w:rPr>
                <w:rFonts w:hint="eastAsia" w:ascii="宋体"/>
                <w:color w:val="auto"/>
                <w:sz w:val="21"/>
                <w:szCs w:val="21"/>
              </w:rPr>
            </w:pPr>
            <w:r>
              <w:rPr>
                <w:rFonts w:hint="eastAsia" w:ascii="宋体"/>
                <w:color w:val="auto"/>
                <w:sz w:val="21"/>
                <w:szCs w:val="21"/>
              </w:rPr>
              <w:t>项目名称</w:t>
            </w:r>
          </w:p>
        </w:tc>
        <w:tc>
          <w:tcPr>
            <w:tcW w:w="1620" w:type="dxa"/>
            <w:tcBorders>
              <w:top w:val="single" w:color="auto" w:sz="6" w:space="0"/>
              <w:left w:val="single" w:color="auto" w:sz="6" w:space="0"/>
              <w:bottom w:val="single" w:color="auto" w:sz="6" w:space="0"/>
              <w:right w:val="single" w:color="auto" w:sz="6" w:space="0"/>
            </w:tcBorders>
            <w:noWrap w:val="0"/>
            <w:vAlign w:val="center"/>
          </w:tcPr>
          <w:p>
            <w:pPr>
              <w:pStyle w:val="29"/>
              <w:snapToGrid w:val="0"/>
              <w:spacing w:line="400" w:lineRule="exact"/>
              <w:jc w:val="center"/>
              <w:rPr>
                <w:rFonts w:hint="eastAsia" w:ascii="宋体"/>
                <w:color w:val="auto"/>
                <w:sz w:val="21"/>
                <w:szCs w:val="21"/>
              </w:rPr>
            </w:pPr>
            <w:r>
              <w:rPr>
                <w:rFonts w:hint="eastAsia" w:ascii="宋体"/>
                <w:color w:val="auto"/>
                <w:sz w:val="21"/>
                <w:szCs w:val="21"/>
              </w:rPr>
              <w:t>项目内容</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pStyle w:val="29"/>
              <w:snapToGrid w:val="0"/>
              <w:spacing w:line="400" w:lineRule="exact"/>
              <w:jc w:val="center"/>
              <w:rPr>
                <w:rFonts w:hint="eastAsia" w:ascii="宋体"/>
                <w:color w:val="auto"/>
                <w:sz w:val="21"/>
                <w:szCs w:val="21"/>
              </w:rPr>
            </w:pPr>
            <w:r>
              <w:rPr>
                <w:rFonts w:hint="eastAsia" w:ascii="宋体"/>
                <w:color w:val="auto"/>
                <w:sz w:val="21"/>
                <w:szCs w:val="21"/>
              </w:rPr>
              <w:t>合同金额</w:t>
            </w:r>
          </w:p>
        </w:tc>
        <w:tc>
          <w:tcPr>
            <w:tcW w:w="1800" w:type="dxa"/>
            <w:tcBorders>
              <w:top w:val="single" w:color="auto" w:sz="6" w:space="0"/>
              <w:left w:val="single" w:color="auto" w:sz="6" w:space="0"/>
              <w:bottom w:val="single" w:color="auto" w:sz="6" w:space="0"/>
              <w:right w:val="single" w:color="auto" w:sz="6" w:space="0"/>
            </w:tcBorders>
            <w:noWrap w:val="0"/>
            <w:vAlign w:val="top"/>
          </w:tcPr>
          <w:p>
            <w:pPr>
              <w:pStyle w:val="29"/>
              <w:snapToGrid w:val="0"/>
              <w:spacing w:line="400" w:lineRule="exact"/>
              <w:jc w:val="center"/>
              <w:rPr>
                <w:rFonts w:hint="eastAsia" w:ascii="宋体"/>
                <w:color w:val="auto"/>
                <w:sz w:val="21"/>
                <w:szCs w:val="21"/>
              </w:rPr>
            </w:pPr>
            <w:r>
              <w:rPr>
                <w:rFonts w:hint="eastAsia" w:ascii="宋体"/>
                <w:color w:val="auto"/>
                <w:sz w:val="21"/>
                <w:szCs w:val="21"/>
              </w:rPr>
              <w:t>项目单位联系人及电话</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pStyle w:val="29"/>
              <w:snapToGrid w:val="0"/>
              <w:spacing w:line="400" w:lineRule="exact"/>
              <w:jc w:val="center"/>
              <w:rPr>
                <w:rFonts w:hint="eastAsia" w:ascii="宋体"/>
                <w:color w:val="auto"/>
                <w:sz w:val="21"/>
                <w:szCs w:val="21"/>
              </w:rPr>
            </w:pPr>
            <w:r>
              <w:rPr>
                <w:rFonts w:hint="eastAsia" w:ascii="宋体"/>
                <w:color w:val="auto"/>
                <w:sz w:val="21"/>
                <w:szCs w:val="21"/>
              </w:rPr>
              <w:t>备注</w:t>
            </w: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val="0"/>
            <w:vAlign w:val="top"/>
          </w:tcPr>
          <w:p>
            <w:pPr>
              <w:pStyle w:val="29"/>
              <w:snapToGrid w:val="0"/>
              <w:spacing w:line="400" w:lineRule="exact"/>
              <w:ind w:firstLine="616" w:firstLineChars="257"/>
              <w:rPr>
                <w:rFonts w:ascii="宋体"/>
                <w:color w:val="auto"/>
                <w:szCs w:val="28"/>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pStyle w:val="29"/>
              <w:snapToGrid w:val="0"/>
              <w:spacing w:line="400" w:lineRule="exact"/>
              <w:ind w:firstLine="616" w:firstLineChars="257"/>
              <w:rPr>
                <w:rFonts w:ascii="宋体"/>
                <w:color w:val="auto"/>
                <w:szCs w:val="28"/>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pStyle w:val="29"/>
              <w:snapToGrid w:val="0"/>
              <w:spacing w:line="400" w:lineRule="exact"/>
              <w:ind w:firstLine="616" w:firstLineChars="257"/>
              <w:rPr>
                <w:rFonts w:ascii="宋体"/>
                <w:color w:val="auto"/>
                <w:szCs w:val="28"/>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pStyle w:val="29"/>
              <w:snapToGrid w:val="0"/>
              <w:spacing w:line="400" w:lineRule="exact"/>
              <w:ind w:firstLine="616" w:firstLineChars="257"/>
              <w:rPr>
                <w:rFonts w:ascii="宋体"/>
                <w:color w:val="auto"/>
                <w:szCs w:val="28"/>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pStyle w:val="29"/>
              <w:snapToGrid w:val="0"/>
              <w:spacing w:line="400" w:lineRule="exact"/>
              <w:ind w:firstLine="616" w:firstLineChars="257"/>
              <w:rPr>
                <w:rFonts w:ascii="宋体"/>
                <w:color w:val="auto"/>
                <w:szCs w:val="28"/>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pStyle w:val="29"/>
              <w:snapToGrid w:val="0"/>
              <w:spacing w:line="400" w:lineRule="exact"/>
              <w:ind w:firstLine="616" w:firstLineChars="257"/>
              <w:rPr>
                <w:rFonts w:ascii="宋体"/>
                <w:color w:val="auto"/>
                <w:szCs w:val="28"/>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val="0"/>
            <w:vAlign w:val="top"/>
          </w:tcPr>
          <w:p>
            <w:pPr>
              <w:pStyle w:val="29"/>
              <w:snapToGrid w:val="0"/>
              <w:spacing w:line="400" w:lineRule="exact"/>
              <w:ind w:firstLine="616" w:firstLineChars="257"/>
              <w:rPr>
                <w:rFonts w:ascii="宋体"/>
                <w:color w:val="auto"/>
                <w:szCs w:val="28"/>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pStyle w:val="29"/>
              <w:snapToGrid w:val="0"/>
              <w:spacing w:line="400" w:lineRule="exact"/>
              <w:ind w:firstLine="616" w:firstLineChars="257"/>
              <w:rPr>
                <w:rFonts w:ascii="宋体"/>
                <w:color w:val="auto"/>
                <w:szCs w:val="28"/>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pStyle w:val="29"/>
              <w:snapToGrid w:val="0"/>
              <w:spacing w:line="400" w:lineRule="exact"/>
              <w:ind w:firstLine="616" w:firstLineChars="257"/>
              <w:rPr>
                <w:rFonts w:ascii="宋体"/>
                <w:color w:val="auto"/>
                <w:szCs w:val="28"/>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pStyle w:val="29"/>
              <w:snapToGrid w:val="0"/>
              <w:spacing w:line="400" w:lineRule="exact"/>
              <w:ind w:firstLine="616" w:firstLineChars="257"/>
              <w:rPr>
                <w:rFonts w:ascii="宋体"/>
                <w:color w:val="auto"/>
                <w:szCs w:val="28"/>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pStyle w:val="29"/>
              <w:snapToGrid w:val="0"/>
              <w:spacing w:line="400" w:lineRule="exact"/>
              <w:ind w:firstLine="616" w:firstLineChars="257"/>
              <w:rPr>
                <w:rFonts w:ascii="宋体"/>
                <w:color w:val="auto"/>
                <w:szCs w:val="28"/>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pStyle w:val="29"/>
              <w:snapToGrid w:val="0"/>
              <w:spacing w:line="400" w:lineRule="exact"/>
              <w:ind w:firstLine="616" w:firstLineChars="257"/>
              <w:rPr>
                <w:rFonts w:ascii="宋体"/>
                <w:color w:val="auto"/>
                <w:szCs w:val="28"/>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val="0"/>
            <w:vAlign w:val="top"/>
          </w:tcPr>
          <w:p>
            <w:pPr>
              <w:pStyle w:val="29"/>
              <w:snapToGrid w:val="0"/>
              <w:spacing w:line="400" w:lineRule="exact"/>
              <w:ind w:firstLine="616" w:firstLineChars="257"/>
              <w:rPr>
                <w:rFonts w:ascii="宋体"/>
                <w:color w:val="auto"/>
                <w:szCs w:val="28"/>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pStyle w:val="29"/>
              <w:snapToGrid w:val="0"/>
              <w:spacing w:line="400" w:lineRule="exact"/>
              <w:ind w:firstLine="616" w:firstLineChars="257"/>
              <w:rPr>
                <w:rFonts w:ascii="宋体"/>
                <w:color w:val="auto"/>
                <w:szCs w:val="28"/>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pStyle w:val="29"/>
              <w:snapToGrid w:val="0"/>
              <w:spacing w:line="400" w:lineRule="exact"/>
              <w:ind w:firstLine="616" w:firstLineChars="257"/>
              <w:rPr>
                <w:rFonts w:ascii="宋体"/>
                <w:color w:val="auto"/>
                <w:szCs w:val="28"/>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pStyle w:val="29"/>
              <w:snapToGrid w:val="0"/>
              <w:spacing w:line="400" w:lineRule="exact"/>
              <w:ind w:firstLine="616" w:firstLineChars="257"/>
              <w:rPr>
                <w:rFonts w:ascii="宋体"/>
                <w:color w:val="auto"/>
                <w:szCs w:val="28"/>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pStyle w:val="29"/>
              <w:snapToGrid w:val="0"/>
              <w:spacing w:line="400" w:lineRule="exact"/>
              <w:ind w:firstLine="616" w:firstLineChars="257"/>
              <w:rPr>
                <w:rFonts w:ascii="宋体"/>
                <w:color w:val="auto"/>
                <w:szCs w:val="28"/>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pStyle w:val="29"/>
              <w:snapToGrid w:val="0"/>
              <w:spacing w:line="400" w:lineRule="exact"/>
              <w:ind w:firstLine="616" w:firstLineChars="257"/>
              <w:rPr>
                <w:rFonts w:ascii="宋体"/>
                <w:color w:val="auto"/>
                <w:szCs w:val="28"/>
              </w:rPr>
            </w:pPr>
          </w:p>
        </w:tc>
      </w:tr>
    </w:tbl>
    <w:p>
      <w:pPr>
        <w:pStyle w:val="28"/>
        <w:snapToGrid w:val="0"/>
        <w:spacing w:line="400" w:lineRule="exact"/>
        <w:ind w:firstLine="539" w:firstLineChars="257"/>
        <w:rPr>
          <w:rFonts w:hint="eastAsia" w:ascii="宋体" w:hAnsi="宋体"/>
          <w:color w:val="auto"/>
          <w:sz w:val="21"/>
          <w:szCs w:val="21"/>
        </w:rPr>
      </w:pPr>
      <w:r>
        <w:rPr>
          <w:rFonts w:hint="eastAsia" w:ascii="宋体" w:hAnsi="宋体"/>
          <w:color w:val="auto"/>
          <w:sz w:val="21"/>
          <w:szCs w:val="21"/>
        </w:rPr>
        <w:t>单位公章：</w:t>
      </w:r>
    </w:p>
    <w:p>
      <w:pPr>
        <w:adjustRightInd w:val="0"/>
        <w:snapToGrid w:val="0"/>
        <w:spacing w:line="400" w:lineRule="exact"/>
        <w:ind w:firstLine="525" w:firstLineChars="250"/>
        <w:rPr>
          <w:rFonts w:hint="eastAsia" w:ascii="宋体" w:hAnsi="宋体"/>
          <w:color w:val="auto"/>
          <w:sz w:val="21"/>
          <w:szCs w:val="21"/>
        </w:rPr>
      </w:pPr>
      <w:r>
        <w:rPr>
          <w:rFonts w:hint="eastAsia" w:ascii="宋体" w:hAnsi="宋体"/>
          <w:color w:val="auto"/>
          <w:sz w:val="21"/>
          <w:szCs w:val="21"/>
        </w:rPr>
        <w:t>投标单位法人授权代表签字</w:t>
      </w:r>
      <w:r>
        <w:rPr>
          <w:rFonts w:ascii="宋体" w:hAnsi="宋体"/>
          <w:color w:val="auto"/>
          <w:sz w:val="21"/>
          <w:szCs w:val="21"/>
        </w:rPr>
        <w:t>:</w:t>
      </w:r>
    </w:p>
    <w:p>
      <w:pPr>
        <w:adjustRightInd w:val="0"/>
        <w:snapToGrid w:val="0"/>
        <w:spacing w:line="400" w:lineRule="exact"/>
        <w:ind w:firstLine="525" w:firstLineChars="250"/>
        <w:rPr>
          <w:rFonts w:hint="eastAsia" w:ascii="宋体" w:hAnsi="宋体"/>
          <w:color w:val="auto"/>
          <w:sz w:val="21"/>
          <w:szCs w:val="21"/>
        </w:rPr>
      </w:pPr>
      <w:r>
        <w:rPr>
          <w:rFonts w:hint="eastAsia" w:ascii="宋体" w:hAnsi="宋体"/>
          <w:color w:val="auto"/>
          <w:sz w:val="21"/>
          <w:szCs w:val="21"/>
        </w:rPr>
        <w:t>日期：</w:t>
      </w:r>
    </w:p>
    <w:p>
      <w:pPr>
        <w:pStyle w:val="4"/>
        <w:numPr>
          <w:ilvl w:val="2"/>
          <w:numId w:val="0"/>
        </w:numPr>
        <w:tabs>
          <w:tab w:val="left" w:pos="900"/>
        </w:tabs>
        <w:jc w:val="both"/>
        <w:rPr>
          <w:rFonts w:hint="eastAsia" w:ascii="宋体" w:hAnsi="宋体" w:eastAsia="宋体" w:cs="宋体"/>
          <w:b/>
          <w:bCs/>
          <w:color w:val="auto"/>
          <w:kern w:val="2"/>
          <w:sz w:val="21"/>
          <w:szCs w:val="21"/>
          <w:lang w:val="en-US" w:eastAsia="zh-CN" w:bidi="ar-SA"/>
        </w:rPr>
      </w:pPr>
      <w:bookmarkStart w:id="79" w:name="_Toc422408348"/>
    </w:p>
    <w:p>
      <w:pP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br w:type="page"/>
      </w:r>
    </w:p>
    <w:p>
      <w:pPr>
        <w:pStyle w:val="4"/>
        <w:numPr>
          <w:ilvl w:val="2"/>
          <w:numId w:val="0"/>
        </w:numPr>
        <w:tabs>
          <w:tab w:val="left" w:pos="900"/>
        </w:tabs>
        <w:jc w:val="both"/>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附件9</w:t>
      </w:r>
    </w:p>
    <w:p>
      <w:pPr>
        <w:spacing w:before="92" w:line="223" w:lineRule="auto"/>
        <w:ind w:left="3642"/>
        <w:rPr>
          <w:rFonts w:ascii="仿宋" w:hAnsi="仿宋" w:eastAsia="仿宋" w:cs="仿宋"/>
          <w:color w:val="auto"/>
          <w:sz w:val="28"/>
          <w:szCs w:val="28"/>
        </w:rPr>
      </w:pPr>
      <w:r>
        <w:rPr>
          <w:rFonts w:ascii="仿宋" w:hAnsi="仿宋" w:eastAsia="仿宋" w:cs="仿宋"/>
          <w:color w:val="auto"/>
          <w:spacing w:val="-8"/>
          <w:sz w:val="28"/>
          <w:szCs w:val="28"/>
          <w14:textOutline w14:w="5103" w14:cap="sq" w14:cmpd="sng">
            <w14:solidFill>
              <w14:srgbClr w14:val="000000"/>
            </w14:solidFill>
            <w14:prstDash w14:val="solid"/>
            <w14:bevel/>
          </w14:textOutline>
        </w:rPr>
        <w:t>廉政承诺书格式</w:t>
      </w:r>
    </w:p>
    <w:p>
      <w:pPr>
        <w:spacing w:before="206" w:line="224" w:lineRule="auto"/>
        <w:ind w:left="333"/>
        <w:rPr>
          <w:rFonts w:ascii="仿宋" w:hAnsi="仿宋" w:eastAsia="仿宋" w:cs="仿宋"/>
          <w:color w:val="auto"/>
          <w:sz w:val="28"/>
          <w:szCs w:val="28"/>
        </w:rPr>
      </w:pPr>
      <w:r>
        <w:rPr>
          <w:rFonts w:ascii="仿宋" w:hAnsi="仿宋" w:eastAsia="仿宋" w:cs="仿宋"/>
          <w:color w:val="auto"/>
          <w:spacing w:val="-7"/>
          <w:sz w:val="28"/>
          <w:szCs w:val="28"/>
        </w:rPr>
        <w:t>我</w:t>
      </w:r>
      <w:r>
        <w:rPr>
          <w:rFonts w:ascii="仿宋" w:hAnsi="仿宋" w:eastAsia="仿宋" w:cs="仿宋"/>
          <w:color w:val="auto"/>
          <w:spacing w:val="-4"/>
          <w:sz w:val="28"/>
          <w:szCs w:val="28"/>
        </w:rPr>
        <w:t>公司承诺：</w:t>
      </w:r>
    </w:p>
    <w:p>
      <w:pPr>
        <w:spacing w:before="206" w:line="220" w:lineRule="auto"/>
        <w:ind w:left="325"/>
        <w:rPr>
          <w:rFonts w:ascii="仿宋" w:hAnsi="仿宋" w:eastAsia="仿宋" w:cs="仿宋"/>
          <w:color w:val="auto"/>
          <w:sz w:val="28"/>
          <w:szCs w:val="28"/>
        </w:rPr>
      </w:pPr>
      <w:r>
        <w:rPr>
          <w:rFonts w:ascii="仿宋" w:hAnsi="仿宋" w:eastAsia="仿宋" w:cs="仿宋"/>
          <w:color w:val="auto"/>
          <w:spacing w:val="-2"/>
          <w:sz w:val="28"/>
          <w:szCs w:val="28"/>
        </w:rPr>
        <w:t>在本次</w:t>
      </w:r>
      <w:r>
        <w:rPr>
          <w:rFonts w:hint="eastAsia" w:ascii="仿宋" w:hAnsi="仿宋" w:eastAsia="仿宋" w:cs="仿宋"/>
          <w:color w:val="auto"/>
          <w:spacing w:val="-1"/>
          <w:sz w:val="28"/>
          <w:szCs w:val="28"/>
          <w:lang w:eastAsia="zh-CN"/>
        </w:rPr>
        <w:t>招标</w:t>
      </w:r>
      <w:r>
        <w:rPr>
          <w:rFonts w:ascii="仿宋" w:hAnsi="仿宋" w:eastAsia="仿宋" w:cs="仿宋"/>
          <w:color w:val="auto"/>
          <w:spacing w:val="-1"/>
          <w:sz w:val="28"/>
          <w:szCs w:val="28"/>
        </w:rPr>
        <w:t>活动中，我公司保证做到：</w:t>
      </w:r>
    </w:p>
    <w:p>
      <w:pPr>
        <w:spacing w:before="91" w:line="465" w:lineRule="exact"/>
        <w:ind w:left="5"/>
        <w:rPr>
          <w:rFonts w:ascii="仿宋" w:hAnsi="仿宋" w:eastAsia="仿宋" w:cs="仿宋"/>
          <w:color w:val="auto"/>
          <w:sz w:val="28"/>
          <w:szCs w:val="28"/>
        </w:rPr>
      </w:pPr>
      <w:r>
        <w:rPr>
          <w:rFonts w:ascii="仿宋" w:hAnsi="仿宋" w:eastAsia="仿宋" w:cs="仿宋"/>
          <w:color w:val="auto"/>
          <w:spacing w:val="-2"/>
          <w:position w:val="3"/>
          <w:sz w:val="28"/>
          <w:szCs w:val="28"/>
        </w:rPr>
        <w:t>一、公平竞争参</w:t>
      </w:r>
      <w:r>
        <w:rPr>
          <w:rFonts w:ascii="仿宋" w:hAnsi="仿宋" w:eastAsia="仿宋" w:cs="仿宋"/>
          <w:color w:val="auto"/>
          <w:spacing w:val="-1"/>
          <w:position w:val="3"/>
          <w:sz w:val="28"/>
          <w:szCs w:val="28"/>
        </w:rPr>
        <w:t>加本次招标活动。</w:t>
      </w:r>
    </w:p>
    <w:p>
      <w:pPr>
        <w:spacing w:before="81" w:line="325" w:lineRule="auto"/>
        <w:ind w:firstLine="8"/>
        <w:rPr>
          <w:rFonts w:ascii="仿宋" w:hAnsi="仿宋" w:eastAsia="仿宋" w:cs="仿宋"/>
          <w:color w:val="auto"/>
          <w:sz w:val="28"/>
          <w:szCs w:val="28"/>
        </w:rPr>
      </w:pPr>
      <w:r>
        <w:rPr>
          <w:rFonts w:ascii="仿宋" w:hAnsi="仿宋" w:eastAsia="仿宋" w:cs="仿宋"/>
          <w:color w:val="auto"/>
          <w:spacing w:val="4"/>
          <w:sz w:val="28"/>
          <w:szCs w:val="28"/>
        </w:rPr>
        <w:t>二、杜绝任何形式的贿赂</w:t>
      </w:r>
      <w:r>
        <w:rPr>
          <w:rFonts w:ascii="仿宋" w:hAnsi="仿宋" w:eastAsia="仿宋" w:cs="仿宋"/>
          <w:color w:val="auto"/>
          <w:spacing w:val="2"/>
          <w:sz w:val="28"/>
          <w:szCs w:val="28"/>
        </w:rPr>
        <w:t>行为。不向国家工作人员、政府采购代理机构工</w:t>
      </w:r>
      <w:r>
        <w:rPr>
          <w:rFonts w:ascii="仿宋" w:hAnsi="仿宋" w:eastAsia="仿宋" w:cs="仿宋"/>
          <w:color w:val="auto"/>
          <w:sz w:val="28"/>
          <w:szCs w:val="28"/>
        </w:rPr>
        <w:t xml:space="preserve"> </w:t>
      </w:r>
      <w:r>
        <w:rPr>
          <w:rFonts w:ascii="仿宋" w:hAnsi="仿宋" w:eastAsia="仿宋" w:cs="仿宋"/>
          <w:color w:val="auto"/>
          <w:spacing w:val="3"/>
          <w:sz w:val="28"/>
          <w:szCs w:val="28"/>
        </w:rPr>
        <w:t>作人员、评审专家及其亲属提供礼品礼金、有价证券、购物券、回扣、</w:t>
      </w:r>
      <w:r>
        <w:rPr>
          <w:rFonts w:ascii="仿宋" w:hAnsi="仿宋" w:eastAsia="仿宋" w:cs="仿宋"/>
          <w:color w:val="auto"/>
          <w:spacing w:val="2"/>
          <w:sz w:val="28"/>
          <w:szCs w:val="28"/>
        </w:rPr>
        <w:t>佣</w:t>
      </w:r>
      <w:r>
        <w:rPr>
          <w:rFonts w:ascii="仿宋" w:hAnsi="仿宋" w:eastAsia="仿宋" w:cs="仿宋"/>
          <w:color w:val="auto"/>
          <w:sz w:val="28"/>
          <w:szCs w:val="28"/>
        </w:rPr>
        <w:t xml:space="preserve"> </w:t>
      </w:r>
      <w:r>
        <w:rPr>
          <w:rFonts w:ascii="仿宋" w:hAnsi="仿宋" w:eastAsia="仿宋" w:cs="仿宋"/>
          <w:color w:val="auto"/>
          <w:spacing w:val="-6"/>
          <w:sz w:val="28"/>
          <w:szCs w:val="28"/>
        </w:rPr>
        <w:t>金</w:t>
      </w:r>
      <w:r>
        <w:rPr>
          <w:rFonts w:ascii="仿宋" w:hAnsi="仿宋" w:eastAsia="仿宋" w:cs="仿宋"/>
          <w:color w:val="auto"/>
          <w:spacing w:val="-5"/>
          <w:sz w:val="28"/>
          <w:szCs w:val="28"/>
        </w:rPr>
        <w:t>、</w:t>
      </w:r>
      <w:r>
        <w:rPr>
          <w:rFonts w:ascii="仿宋" w:hAnsi="仿宋" w:eastAsia="仿宋" w:cs="仿宋"/>
          <w:color w:val="auto"/>
          <w:spacing w:val="-3"/>
          <w:sz w:val="28"/>
          <w:szCs w:val="28"/>
        </w:rPr>
        <w:t>咨询费、劳务费、赞助费、宣传费、宴请；不为其报销各种消费凭证，</w:t>
      </w:r>
      <w:r>
        <w:rPr>
          <w:rFonts w:ascii="仿宋" w:hAnsi="仿宋" w:eastAsia="仿宋" w:cs="仿宋"/>
          <w:color w:val="auto"/>
          <w:sz w:val="28"/>
          <w:szCs w:val="28"/>
        </w:rPr>
        <w:t xml:space="preserve"> </w:t>
      </w:r>
      <w:r>
        <w:rPr>
          <w:rFonts w:ascii="仿宋" w:hAnsi="仿宋" w:eastAsia="仿宋" w:cs="仿宋"/>
          <w:color w:val="auto"/>
          <w:spacing w:val="-2"/>
          <w:sz w:val="28"/>
          <w:szCs w:val="28"/>
        </w:rPr>
        <w:t>不支付其旅游</w:t>
      </w:r>
      <w:r>
        <w:rPr>
          <w:rFonts w:ascii="仿宋" w:hAnsi="仿宋" w:eastAsia="仿宋" w:cs="仿宋"/>
          <w:color w:val="auto"/>
          <w:spacing w:val="-1"/>
          <w:sz w:val="28"/>
          <w:szCs w:val="28"/>
        </w:rPr>
        <w:t>、娱乐等费用。</w:t>
      </w:r>
    </w:p>
    <w:p>
      <w:pPr>
        <w:spacing w:before="205" w:line="291" w:lineRule="auto"/>
        <w:ind w:right="80" w:firstLine="8"/>
        <w:rPr>
          <w:rFonts w:ascii="仿宋" w:hAnsi="仿宋" w:eastAsia="仿宋" w:cs="仿宋"/>
          <w:color w:val="auto"/>
          <w:sz w:val="28"/>
          <w:szCs w:val="28"/>
        </w:rPr>
      </w:pPr>
      <w:r>
        <w:rPr>
          <w:rFonts w:ascii="仿宋" w:hAnsi="仿宋" w:eastAsia="仿宋" w:cs="仿宋"/>
          <w:color w:val="auto"/>
          <w:spacing w:val="4"/>
          <w:sz w:val="28"/>
          <w:szCs w:val="28"/>
        </w:rPr>
        <w:t>三、若出现上述行为，我</w:t>
      </w:r>
      <w:r>
        <w:rPr>
          <w:rFonts w:ascii="仿宋" w:hAnsi="仿宋" w:eastAsia="仿宋" w:cs="仿宋"/>
          <w:color w:val="auto"/>
          <w:spacing w:val="3"/>
          <w:sz w:val="28"/>
          <w:szCs w:val="28"/>
        </w:rPr>
        <w:t>公</w:t>
      </w:r>
      <w:r>
        <w:rPr>
          <w:rFonts w:ascii="仿宋" w:hAnsi="仿宋" w:eastAsia="仿宋" w:cs="仿宋"/>
          <w:color w:val="auto"/>
          <w:spacing w:val="2"/>
          <w:sz w:val="28"/>
          <w:szCs w:val="28"/>
        </w:rPr>
        <w:t>司及参与</w:t>
      </w:r>
      <w:r>
        <w:rPr>
          <w:rFonts w:hint="eastAsia" w:ascii="仿宋" w:hAnsi="仿宋" w:eastAsia="仿宋" w:cs="仿宋"/>
          <w:color w:val="auto"/>
          <w:spacing w:val="2"/>
          <w:sz w:val="28"/>
          <w:szCs w:val="28"/>
          <w:lang w:eastAsia="zh-CN"/>
        </w:rPr>
        <w:t>招标</w:t>
      </w:r>
      <w:r>
        <w:rPr>
          <w:rFonts w:ascii="仿宋" w:hAnsi="仿宋" w:eastAsia="仿宋" w:cs="仿宋"/>
          <w:color w:val="auto"/>
          <w:spacing w:val="2"/>
          <w:sz w:val="28"/>
          <w:szCs w:val="28"/>
        </w:rPr>
        <w:t>的工作人员愿意接受按照国家法</w:t>
      </w:r>
      <w:r>
        <w:rPr>
          <w:rFonts w:ascii="仿宋" w:hAnsi="仿宋" w:eastAsia="仿宋" w:cs="仿宋"/>
          <w:color w:val="auto"/>
          <w:sz w:val="28"/>
          <w:szCs w:val="28"/>
        </w:rPr>
        <w:t xml:space="preserve"> </w:t>
      </w:r>
      <w:r>
        <w:rPr>
          <w:rFonts w:ascii="仿宋" w:hAnsi="仿宋" w:eastAsia="仿宋" w:cs="仿宋"/>
          <w:color w:val="auto"/>
          <w:spacing w:val="-2"/>
          <w:sz w:val="28"/>
          <w:szCs w:val="28"/>
        </w:rPr>
        <w:t>律法规</w:t>
      </w:r>
      <w:r>
        <w:rPr>
          <w:rFonts w:ascii="仿宋" w:hAnsi="仿宋" w:eastAsia="仿宋" w:cs="仿宋"/>
          <w:color w:val="auto"/>
          <w:spacing w:val="-1"/>
          <w:sz w:val="28"/>
          <w:szCs w:val="28"/>
        </w:rPr>
        <w:t>等有关规定给予的处罚。</w:t>
      </w:r>
    </w:p>
    <w:p>
      <w:pPr>
        <w:spacing w:before="206" w:line="545" w:lineRule="exact"/>
        <w:ind w:left="1"/>
        <w:rPr>
          <w:rFonts w:ascii="仿宋" w:hAnsi="仿宋" w:eastAsia="仿宋" w:cs="仿宋"/>
          <w:color w:val="auto"/>
          <w:sz w:val="28"/>
          <w:szCs w:val="28"/>
        </w:rPr>
      </w:pPr>
      <w:r>
        <w:rPr>
          <w:rFonts w:ascii="仿宋" w:hAnsi="仿宋" w:eastAsia="仿宋" w:cs="仿宋"/>
          <w:color w:val="auto"/>
          <w:spacing w:val="-2"/>
          <w:position w:val="19"/>
          <w:sz w:val="28"/>
          <w:szCs w:val="28"/>
        </w:rPr>
        <w:t>供应商名称 (</w:t>
      </w:r>
      <w:r>
        <w:rPr>
          <w:rFonts w:ascii="仿宋" w:hAnsi="仿宋" w:eastAsia="仿宋" w:cs="仿宋"/>
          <w:color w:val="auto"/>
          <w:spacing w:val="-1"/>
          <w:position w:val="19"/>
          <w:sz w:val="28"/>
          <w:szCs w:val="28"/>
        </w:rPr>
        <w:t>加盖公章) ：</w:t>
      </w:r>
    </w:p>
    <w:p>
      <w:pPr>
        <w:spacing w:before="1" w:line="223" w:lineRule="auto"/>
        <w:ind w:left="9"/>
        <w:rPr>
          <w:rFonts w:ascii="仿宋" w:hAnsi="仿宋" w:eastAsia="仿宋" w:cs="仿宋"/>
          <w:color w:val="auto"/>
          <w:sz w:val="28"/>
          <w:szCs w:val="28"/>
        </w:rPr>
      </w:pPr>
      <w:r>
        <w:rPr>
          <w:rFonts w:ascii="仿宋" w:hAnsi="仿宋" w:eastAsia="仿宋" w:cs="仿宋"/>
          <w:color w:val="auto"/>
          <w:spacing w:val="-4"/>
          <w:sz w:val="28"/>
          <w:szCs w:val="28"/>
        </w:rPr>
        <w:t>法定</w:t>
      </w:r>
      <w:r>
        <w:rPr>
          <w:rFonts w:ascii="仿宋" w:hAnsi="仿宋" w:eastAsia="仿宋" w:cs="仿宋"/>
          <w:color w:val="auto"/>
          <w:spacing w:val="-2"/>
          <w:sz w:val="28"/>
          <w:szCs w:val="28"/>
        </w:rPr>
        <w:t>代表人 (签字) ：</w:t>
      </w:r>
    </w:p>
    <w:p>
      <w:pPr>
        <w:spacing w:before="205" w:line="223" w:lineRule="auto"/>
        <w:rPr>
          <w:rFonts w:ascii="仿宋" w:hAnsi="仿宋" w:eastAsia="仿宋" w:cs="仿宋"/>
          <w:color w:val="auto"/>
          <w:sz w:val="28"/>
          <w:szCs w:val="28"/>
        </w:rPr>
      </w:pPr>
      <w:r>
        <w:rPr>
          <w:rFonts w:ascii="仿宋" w:hAnsi="仿宋" w:eastAsia="仿宋" w:cs="仿宋"/>
          <w:color w:val="auto"/>
          <w:spacing w:val="-2"/>
          <w:sz w:val="28"/>
          <w:szCs w:val="28"/>
        </w:rPr>
        <w:t>授权代表 (签字)</w:t>
      </w:r>
      <w:r>
        <w:rPr>
          <w:rFonts w:ascii="仿宋" w:hAnsi="仿宋" w:eastAsia="仿宋" w:cs="仿宋"/>
          <w:color w:val="auto"/>
          <w:spacing w:val="-1"/>
          <w:sz w:val="28"/>
          <w:szCs w:val="28"/>
        </w:rPr>
        <w:t xml:space="preserve"> ：</w:t>
      </w:r>
    </w:p>
    <w:p>
      <w:pPr>
        <w:spacing w:before="207" w:line="223" w:lineRule="auto"/>
        <w:ind w:left="60"/>
        <w:rPr>
          <w:rFonts w:ascii="仿宋" w:hAnsi="仿宋" w:eastAsia="仿宋" w:cs="仿宋"/>
          <w:color w:val="auto"/>
          <w:sz w:val="28"/>
          <w:szCs w:val="28"/>
        </w:rPr>
      </w:pPr>
      <w:r>
        <w:rPr>
          <w:rFonts w:ascii="仿宋" w:hAnsi="仿宋" w:eastAsia="仿宋" w:cs="仿宋"/>
          <w:color w:val="auto"/>
          <w:spacing w:val="-28"/>
          <w:sz w:val="28"/>
          <w:szCs w:val="28"/>
        </w:rPr>
        <w:t>日</w:t>
      </w:r>
      <w:r>
        <w:rPr>
          <w:rFonts w:ascii="仿宋" w:hAnsi="仿宋" w:eastAsia="仿宋" w:cs="仿宋"/>
          <w:color w:val="auto"/>
          <w:spacing w:val="-15"/>
          <w:sz w:val="28"/>
          <w:szCs w:val="28"/>
        </w:rPr>
        <w:t xml:space="preserve"> </w:t>
      </w:r>
      <w:r>
        <w:rPr>
          <w:rFonts w:ascii="仿宋" w:hAnsi="仿宋" w:eastAsia="仿宋" w:cs="仿宋"/>
          <w:color w:val="auto"/>
          <w:spacing w:val="-14"/>
          <w:sz w:val="28"/>
          <w:szCs w:val="28"/>
        </w:rPr>
        <w:t xml:space="preserve">   期 ：    年  月  日</w:t>
      </w:r>
    </w:p>
    <w:p>
      <w:pPr>
        <w:rPr>
          <w:rFonts w:hint="eastAsia"/>
          <w:color w:val="auto"/>
          <w:lang w:val="zh-CN" w:eastAsia="zh-CN"/>
        </w:rPr>
      </w:pPr>
    </w:p>
    <w:bookmarkEnd w:id="79"/>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b/>
          <w:bCs/>
          <w:color w:val="auto"/>
          <w:sz w:val="21"/>
          <w:szCs w:val="21"/>
          <w:lang w:val="en-US" w:eastAsia="zh-CN"/>
        </w:rPr>
      </w:pPr>
    </w:p>
    <w:p>
      <w:pPr>
        <w:rPr>
          <w:rFonts w:hint="eastAsia" w:ascii="宋体" w:hAnsi="宋体" w:eastAsia="宋体" w:cs="宋体"/>
          <w:b/>
          <w:bCs/>
          <w:color w:val="auto"/>
          <w:sz w:val="21"/>
          <w:szCs w:val="21"/>
          <w:lang w:val="en-US" w:eastAsia="zh-CN"/>
        </w:rPr>
      </w:pPr>
    </w:p>
    <w:p>
      <w:pP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br w:type="page"/>
      </w:r>
    </w:p>
    <w:p>
      <w:pPr>
        <w:rPr>
          <w:rFonts w:hint="eastAsia" w:ascii="宋体" w:hAnsi="宋体" w:eastAsia="宋体" w:cs="宋体"/>
          <w:b/>
          <w:bCs/>
          <w:color w:val="auto"/>
          <w:sz w:val="21"/>
          <w:szCs w:val="21"/>
          <w:lang w:val="en-US" w:eastAsia="zh-CN"/>
        </w:rPr>
      </w:pPr>
    </w:p>
    <w:p>
      <w:pPr>
        <w:rPr>
          <w:rFonts w:hint="eastAsia" w:ascii="宋体" w:hAnsi="宋体" w:eastAsia="宋体" w:cs="宋体"/>
          <w:b/>
          <w:bCs/>
          <w:color w:val="auto"/>
          <w:sz w:val="21"/>
          <w:szCs w:val="21"/>
          <w:lang w:val="en-US" w:eastAsia="zh-CN"/>
        </w:rPr>
      </w:pPr>
    </w:p>
    <w:p>
      <w:pP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附件10</w:t>
      </w:r>
    </w:p>
    <w:p>
      <w:pPr>
        <w:spacing w:before="91" w:line="302" w:lineRule="auto"/>
        <w:ind w:left="3990" w:right="672" w:hanging="3311"/>
        <w:rPr>
          <w:rFonts w:ascii="仿宋" w:hAnsi="仿宋" w:eastAsia="仿宋" w:cs="仿宋"/>
          <w:color w:val="auto"/>
          <w:sz w:val="28"/>
          <w:szCs w:val="28"/>
        </w:rPr>
      </w:pPr>
      <w:r>
        <w:rPr>
          <w:rFonts w:ascii="仿宋" w:hAnsi="仿宋" w:eastAsia="仿宋" w:cs="仿宋"/>
          <w:color w:val="auto"/>
          <w:spacing w:val="1"/>
          <w:sz w:val="28"/>
          <w:szCs w:val="28"/>
          <w14:textOutline w14:w="5103" w14:cap="sq" w14:cmpd="sng">
            <w14:solidFill>
              <w14:srgbClr w14:val="000000"/>
            </w14:solidFill>
            <w14:prstDash w14:val="solid"/>
            <w14:bevel/>
          </w14:textOutline>
        </w:rPr>
        <w:t>参加政府采购活</w:t>
      </w:r>
      <w:r>
        <w:rPr>
          <w:rFonts w:ascii="仿宋" w:hAnsi="仿宋" w:eastAsia="仿宋" w:cs="仿宋"/>
          <w:color w:val="auto"/>
          <w:sz w:val="28"/>
          <w:szCs w:val="28"/>
          <w14:textOutline w14:w="5103" w14:cap="sq" w14:cmpd="sng">
            <w14:solidFill>
              <w14:srgbClr w14:val="000000"/>
            </w14:solidFill>
            <w14:prstDash w14:val="solid"/>
            <w14:bevel/>
          </w14:textOutline>
        </w:rPr>
        <w:t>动前</w:t>
      </w:r>
      <w:r>
        <w:rPr>
          <w:rFonts w:ascii="仿宋" w:hAnsi="仿宋" w:eastAsia="仿宋" w:cs="仿宋"/>
          <w:color w:val="auto"/>
          <w:sz w:val="28"/>
          <w:szCs w:val="28"/>
        </w:rPr>
        <w:t xml:space="preserve"> </w:t>
      </w:r>
      <w:r>
        <w:rPr>
          <w:rFonts w:ascii="仿宋" w:hAnsi="仿宋" w:eastAsia="仿宋" w:cs="仿宋"/>
          <w:color w:val="auto"/>
          <w:sz w:val="28"/>
          <w:szCs w:val="28"/>
          <w14:textOutline w14:w="5103" w14:cap="sq" w14:cmpd="sng">
            <w14:solidFill>
              <w14:srgbClr w14:val="000000"/>
            </w14:solidFill>
            <w14:prstDash w14:val="solid"/>
            <w14:bevel/>
          </w14:textOutline>
        </w:rPr>
        <w:t>3</w:t>
      </w:r>
      <w:r>
        <w:rPr>
          <w:rFonts w:ascii="仿宋" w:hAnsi="仿宋" w:eastAsia="仿宋" w:cs="仿宋"/>
          <w:color w:val="auto"/>
          <w:sz w:val="28"/>
          <w:szCs w:val="28"/>
        </w:rPr>
        <w:t xml:space="preserve"> </w:t>
      </w:r>
      <w:r>
        <w:rPr>
          <w:rFonts w:ascii="仿宋" w:hAnsi="仿宋" w:eastAsia="仿宋" w:cs="仿宋"/>
          <w:color w:val="auto"/>
          <w:sz w:val="28"/>
          <w:szCs w:val="28"/>
          <w14:textOutline w14:w="5103" w14:cap="sq" w14:cmpd="sng">
            <w14:solidFill>
              <w14:srgbClr w14:val="000000"/>
            </w14:solidFill>
            <w14:prstDash w14:val="solid"/>
            <w14:bevel/>
          </w14:textOutline>
        </w:rPr>
        <w:t>年内在经营活动中没有重大违法记录的</w:t>
      </w:r>
      <w:r>
        <w:rPr>
          <w:rFonts w:ascii="仿宋" w:hAnsi="仿宋" w:eastAsia="仿宋" w:cs="仿宋"/>
          <w:color w:val="auto"/>
          <w:sz w:val="28"/>
          <w:szCs w:val="28"/>
        </w:rPr>
        <w:t xml:space="preserve"> </w:t>
      </w:r>
      <w:r>
        <w:rPr>
          <w:rFonts w:ascii="仿宋" w:hAnsi="仿宋" w:eastAsia="仿宋" w:cs="仿宋"/>
          <w:color w:val="auto"/>
          <w:spacing w:val="-8"/>
          <w:sz w:val="28"/>
          <w:szCs w:val="28"/>
          <w14:textOutline w14:w="5103" w14:cap="sq" w14:cmpd="sng">
            <w14:solidFill>
              <w14:srgbClr w14:val="000000"/>
            </w14:solidFill>
            <w14:prstDash w14:val="solid"/>
            <w14:bevel/>
          </w14:textOutline>
        </w:rPr>
        <w:t>书</w:t>
      </w:r>
      <w:r>
        <w:rPr>
          <w:rFonts w:ascii="仿宋" w:hAnsi="仿宋" w:eastAsia="仿宋" w:cs="仿宋"/>
          <w:color w:val="auto"/>
          <w:spacing w:val="-7"/>
          <w:sz w:val="28"/>
          <w:szCs w:val="28"/>
          <w14:textOutline w14:w="5103" w14:cap="sq" w14:cmpd="sng">
            <w14:solidFill>
              <w14:srgbClr w14:val="000000"/>
            </w14:solidFill>
            <w14:prstDash w14:val="solid"/>
            <w14:bevel/>
          </w14:textOutline>
        </w:rPr>
        <w:t>面声明</w:t>
      </w:r>
    </w:p>
    <w:p>
      <w:pPr>
        <w:spacing w:line="284" w:lineRule="auto"/>
        <w:rPr>
          <w:rFonts w:ascii="Arial"/>
          <w:color w:val="auto"/>
          <w:sz w:val="21"/>
        </w:rPr>
      </w:pPr>
    </w:p>
    <w:p>
      <w:pPr>
        <w:spacing w:before="91" w:line="307" w:lineRule="auto"/>
        <w:ind w:left="7" w:firstLine="1061"/>
        <w:rPr>
          <w:rFonts w:ascii="仿宋" w:hAnsi="仿宋" w:eastAsia="仿宋" w:cs="仿宋"/>
          <w:color w:val="auto"/>
          <w:sz w:val="28"/>
          <w:szCs w:val="28"/>
        </w:rPr>
      </w:pPr>
      <w:r>
        <w:rPr>
          <w:rFonts w:ascii="仿宋" w:hAnsi="仿宋" w:eastAsia="仿宋" w:cs="仿宋"/>
          <w:color w:val="auto"/>
          <w:spacing w:val="1"/>
          <w:sz w:val="28"/>
          <w:szCs w:val="28"/>
        </w:rPr>
        <w:t>我单位郑重声明：参</w:t>
      </w:r>
      <w:r>
        <w:rPr>
          <w:rFonts w:ascii="仿宋" w:hAnsi="仿宋" w:eastAsia="仿宋" w:cs="仿宋"/>
          <w:color w:val="auto"/>
          <w:sz w:val="28"/>
          <w:szCs w:val="28"/>
        </w:rPr>
        <w:t xml:space="preserve">加本次政府采购活动前 3 年内，我单位在经 </w:t>
      </w:r>
      <w:r>
        <w:rPr>
          <w:rFonts w:ascii="仿宋" w:hAnsi="仿宋" w:eastAsia="仿宋" w:cs="仿宋"/>
          <w:color w:val="auto"/>
          <w:spacing w:val="-2"/>
          <w:sz w:val="28"/>
          <w:szCs w:val="28"/>
        </w:rPr>
        <w:t>营活动中没有因违法经营受到刑事处</w:t>
      </w:r>
      <w:r>
        <w:rPr>
          <w:rFonts w:ascii="仿宋" w:hAnsi="仿宋" w:eastAsia="仿宋" w:cs="仿宋"/>
          <w:color w:val="auto"/>
          <w:spacing w:val="-1"/>
          <w:sz w:val="28"/>
          <w:szCs w:val="28"/>
        </w:rPr>
        <w:t>罚或者责令停产停业、 吊销许可证或</w:t>
      </w:r>
      <w:r>
        <w:rPr>
          <w:rFonts w:ascii="仿宋" w:hAnsi="仿宋" w:eastAsia="仿宋" w:cs="仿宋"/>
          <w:color w:val="auto"/>
          <w:sz w:val="28"/>
          <w:szCs w:val="28"/>
        </w:rPr>
        <w:t xml:space="preserve"> </w:t>
      </w:r>
      <w:r>
        <w:rPr>
          <w:rFonts w:ascii="仿宋" w:hAnsi="仿宋" w:eastAsia="仿宋" w:cs="仿宋"/>
          <w:color w:val="auto"/>
          <w:spacing w:val="-2"/>
          <w:sz w:val="28"/>
          <w:szCs w:val="28"/>
        </w:rPr>
        <w:t>者执照、较大数</w:t>
      </w:r>
      <w:r>
        <w:rPr>
          <w:rFonts w:ascii="仿宋" w:hAnsi="仿宋" w:eastAsia="仿宋" w:cs="仿宋"/>
          <w:color w:val="auto"/>
          <w:spacing w:val="-1"/>
          <w:sz w:val="28"/>
          <w:szCs w:val="28"/>
        </w:rPr>
        <w:t>额罚款等行政处罚。</w:t>
      </w:r>
    </w:p>
    <w:p>
      <w:pPr>
        <w:spacing w:line="281" w:lineRule="auto"/>
        <w:rPr>
          <w:rFonts w:ascii="Arial"/>
          <w:color w:val="auto"/>
          <w:sz w:val="21"/>
        </w:rPr>
      </w:pPr>
    </w:p>
    <w:p>
      <w:pPr>
        <w:spacing w:line="282" w:lineRule="auto"/>
        <w:rPr>
          <w:rFonts w:ascii="Arial"/>
          <w:color w:val="auto"/>
          <w:sz w:val="21"/>
        </w:rPr>
      </w:pPr>
    </w:p>
    <w:p>
      <w:pPr>
        <w:spacing w:before="91" w:line="574" w:lineRule="exact"/>
        <w:ind w:left="494"/>
        <w:rPr>
          <w:rFonts w:ascii="仿宋" w:hAnsi="仿宋" w:eastAsia="仿宋" w:cs="仿宋"/>
          <w:color w:val="auto"/>
          <w:sz w:val="28"/>
          <w:szCs w:val="28"/>
        </w:rPr>
      </w:pPr>
      <w:r>
        <w:rPr>
          <w:rFonts w:ascii="仿宋" w:hAnsi="仿宋" w:eastAsia="仿宋" w:cs="仿宋"/>
          <w:color w:val="auto"/>
          <w:spacing w:val="-2"/>
          <w:position w:val="22"/>
          <w:sz w:val="28"/>
          <w:szCs w:val="28"/>
        </w:rPr>
        <w:t xml:space="preserve">投标人名称 </w:t>
      </w:r>
      <w:r>
        <w:rPr>
          <w:rFonts w:ascii="仿宋" w:hAnsi="仿宋" w:eastAsia="仿宋" w:cs="仿宋"/>
          <w:color w:val="auto"/>
          <w:spacing w:val="-1"/>
          <w:position w:val="22"/>
          <w:sz w:val="28"/>
          <w:szCs w:val="28"/>
        </w:rPr>
        <w:t>(盖章) ：</w:t>
      </w:r>
    </w:p>
    <w:p>
      <w:pPr>
        <w:spacing w:before="1" w:line="218" w:lineRule="auto"/>
        <w:ind w:left="476"/>
        <w:rPr>
          <w:rFonts w:ascii="仿宋" w:hAnsi="仿宋" w:eastAsia="仿宋" w:cs="仿宋"/>
          <w:color w:val="auto"/>
          <w:sz w:val="28"/>
          <w:szCs w:val="28"/>
        </w:rPr>
      </w:pPr>
      <w:r>
        <w:rPr>
          <w:rFonts w:ascii="仿宋" w:hAnsi="仿宋" w:eastAsia="仿宋" w:cs="仿宋"/>
          <w:color w:val="auto"/>
          <w:spacing w:val="-6"/>
          <w:sz w:val="28"/>
          <w:szCs w:val="28"/>
        </w:rPr>
        <w:t>___</w:t>
      </w:r>
      <w:r>
        <w:rPr>
          <w:rFonts w:ascii="仿宋" w:hAnsi="仿宋" w:eastAsia="仿宋" w:cs="仿宋"/>
          <w:color w:val="auto"/>
          <w:spacing w:val="-3"/>
          <w:sz w:val="28"/>
          <w:szCs w:val="28"/>
        </w:rPr>
        <w:t>___年____月____ 日</w:t>
      </w:r>
    </w:p>
    <w:p>
      <w:pPr>
        <w:pStyle w:val="26"/>
        <w:rPr>
          <w:rFonts w:hint="eastAsia" w:ascii="宋体" w:hAnsi="宋体" w:eastAsia="宋体" w:cs="宋体"/>
          <w:color w:val="auto"/>
          <w:sz w:val="21"/>
          <w:szCs w:val="21"/>
        </w:rPr>
      </w:pPr>
    </w:p>
    <w:p>
      <w:pPr>
        <w:rPr>
          <w:color w:val="auto"/>
        </w:rPr>
      </w:pPr>
      <w:r>
        <w:rPr>
          <w:color w:val="auto"/>
        </w:rPr>
        <w:br w:type="page"/>
      </w:r>
    </w:p>
    <w:p>
      <w:pPr>
        <w:spacing w:before="91" w:line="223" w:lineRule="auto"/>
        <w:ind w:left="2574"/>
        <w:rPr>
          <w:rFonts w:ascii="仿宋" w:hAnsi="仿宋" w:eastAsia="仿宋" w:cs="仿宋"/>
          <w:color w:val="auto"/>
          <w:spacing w:val="-6"/>
          <w:sz w:val="28"/>
          <w:szCs w:val="28"/>
          <w14:textOutline w14:w="5103" w14:cap="sq" w14:cmpd="sng">
            <w14:solidFill>
              <w14:srgbClr w14:val="000000"/>
            </w14:solidFill>
            <w14:prstDash w14:val="solid"/>
            <w14:bevel/>
          </w14:textOutline>
        </w:rPr>
      </w:pPr>
    </w:p>
    <w:p>
      <w:pPr>
        <w:spacing w:before="91" w:line="223" w:lineRule="auto"/>
        <w:ind w:left="2574"/>
        <w:rPr>
          <w:rFonts w:ascii="仿宋" w:hAnsi="仿宋" w:eastAsia="仿宋" w:cs="仿宋"/>
          <w:color w:val="auto"/>
          <w:sz w:val="28"/>
          <w:szCs w:val="28"/>
        </w:rPr>
      </w:pPr>
      <w:r>
        <w:rPr>
          <w:rFonts w:ascii="仿宋" w:hAnsi="仿宋" w:eastAsia="仿宋" w:cs="仿宋"/>
          <w:color w:val="auto"/>
          <w:spacing w:val="-6"/>
          <w:sz w:val="28"/>
          <w:szCs w:val="28"/>
          <w14:textOutline w14:w="5103" w14:cap="sq" w14:cmpd="sng">
            <w14:solidFill>
              <w14:srgbClr w14:val="000000"/>
            </w14:solidFill>
            <w14:prstDash w14:val="solid"/>
            <w14:bevel/>
          </w14:textOutline>
        </w:rPr>
        <w:t>中小企</w:t>
      </w:r>
      <w:r>
        <w:rPr>
          <w:rFonts w:ascii="仿宋" w:hAnsi="仿宋" w:eastAsia="仿宋" w:cs="仿宋"/>
          <w:color w:val="auto"/>
          <w:spacing w:val="-3"/>
          <w:sz w:val="28"/>
          <w:szCs w:val="28"/>
          <w14:textOutline w14:w="5103" w14:cap="sq" w14:cmpd="sng">
            <w14:solidFill>
              <w14:srgbClr w14:val="000000"/>
            </w14:solidFill>
            <w14:prstDash w14:val="solid"/>
            <w14:bevel/>
          </w14:textOutline>
        </w:rPr>
        <w:t>业声明函</w:t>
      </w:r>
      <w:r>
        <w:rPr>
          <w:rFonts w:ascii="仿宋" w:hAnsi="仿宋" w:eastAsia="仿宋" w:cs="仿宋"/>
          <w:color w:val="auto"/>
          <w:spacing w:val="-3"/>
          <w:sz w:val="28"/>
          <w:szCs w:val="28"/>
        </w:rPr>
        <w:t xml:space="preserve"> </w:t>
      </w:r>
      <w:r>
        <w:rPr>
          <w:rFonts w:ascii="仿宋" w:hAnsi="仿宋" w:eastAsia="仿宋" w:cs="仿宋"/>
          <w:color w:val="auto"/>
          <w:spacing w:val="-3"/>
          <w:sz w:val="28"/>
          <w:szCs w:val="28"/>
          <w14:textOutline w14:w="5103" w14:cap="sq" w14:cmpd="sng">
            <w14:solidFill>
              <w14:srgbClr w14:val="000000"/>
            </w14:solidFill>
            <w14:prstDash w14:val="solid"/>
            <w14:bevel/>
          </w14:textOutline>
        </w:rPr>
        <w:t>(可选)</w:t>
      </w:r>
    </w:p>
    <w:p>
      <w:pPr>
        <w:spacing w:line="448" w:lineRule="auto"/>
        <w:rPr>
          <w:rFonts w:ascii="Arial"/>
          <w:color w:val="auto"/>
          <w:sz w:val="21"/>
        </w:rPr>
      </w:pPr>
    </w:p>
    <w:p>
      <w:pPr>
        <w:spacing w:before="91" w:line="290" w:lineRule="auto"/>
        <w:ind w:left="15" w:right="120" w:firstLine="565"/>
        <w:rPr>
          <w:rFonts w:ascii="仿宋" w:hAnsi="仿宋" w:eastAsia="仿宋" w:cs="仿宋"/>
          <w:color w:val="auto"/>
          <w:sz w:val="28"/>
          <w:szCs w:val="28"/>
        </w:rPr>
      </w:pPr>
      <w:r>
        <w:rPr>
          <w:rFonts w:ascii="仿宋" w:hAnsi="仿宋" w:eastAsia="仿宋" w:cs="仿宋"/>
          <w:color w:val="auto"/>
          <w:spacing w:val="3"/>
          <w:sz w:val="28"/>
          <w:szCs w:val="28"/>
        </w:rPr>
        <w:t>本公司 (联合体) 郑重声明，根据《政府采购促进中小企业发展管</w:t>
      </w:r>
      <w:r>
        <w:rPr>
          <w:rFonts w:ascii="仿宋" w:hAnsi="仿宋" w:eastAsia="仿宋" w:cs="仿宋"/>
          <w:color w:val="auto"/>
          <w:sz w:val="28"/>
          <w:szCs w:val="28"/>
        </w:rPr>
        <w:t xml:space="preserve">理 </w:t>
      </w:r>
      <w:r>
        <w:rPr>
          <w:rFonts w:ascii="仿宋" w:hAnsi="仿宋" w:eastAsia="仿宋" w:cs="仿宋"/>
          <w:color w:val="auto"/>
          <w:spacing w:val="-20"/>
          <w:sz w:val="28"/>
          <w:szCs w:val="28"/>
        </w:rPr>
        <w:t>办</w:t>
      </w:r>
      <w:r>
        <w:rPr>
          <w:rFonts w:ascii="仿宋" w:hAnsi="仿宋" w:eastAsia="仿宋" w:cs="仿宋"/>
          <w:color w:val="auto"/>
          <w:spacing w:val="-11"/>
          <w:sz w:val="28"/>
          <w:szCs w:val="28"/>
        </w:rPr>
        <w:t>法</w:t>
      </w:r>
      <w:r>
        <w:rPr>
          <w:rFonts w:ascii="仿宋" w:hAnsi="仿宋" w:eastAsia="仿宋" w:cs="仿宋"/>
          <w:color w:val="auto"/>
          <w:spacing w:val="-10"/>
          <w:sz w:val="28"/>
          <w:szCs w:val="28"/>
        </w:rPr>
        <w:t>》  (财库 ﹝ 2020 ﹞ 46 号) 的规定，本公司 (联合体) 参加</w:t>
      </w:r>
      <w:r>
        <w:rPr>
          <w:rFonts w:ascii="仿宋" w:hAnsi="仿宋" w:eastAsia="仿宋" w:cs="仿宋"/>
          <w:color w:val="auto"/>
          <w:spacing w:val="-10"/>
          <w:sz w:val="28"/>
          <w:szCs w:val="28"/>
          <w:u w:val="single" w:color="auto"/>
        </w:rPr>
        <w:t xml:space="preserve"> (单位名</w:t>
      </w:r>
      <w:r>
        <w:rPr>
          <w:rFonts w:ascii="仿宋" w:hAnsi="仿宋" w:eastAsia="仿宋" w:cs="仿宋"/>
          <w:color w:val="auto"/>
          <w:sz w:val="28"/>
          <w:szCs w:val="28"/>
        </w:rPr>
        <w:t xml:space="preserve"> </w:t>
      </w:r>
      <w:r>
        <w:rPr>
          <w:rFonts w:ascii="仿宋" w:hAnsi="仿宋" w:eastAsia="仿宋" w:cs="仿宋"/>
          <w:color w:val="auto"/>
          <w:spacing w:val="3"/>
          <w:sz w:val="28"/>
          <w:szCs w:val="28"/>
          <w:u w:val="single" w:color="auto"/>
        </w:rPr>
        <w:t xml:space="preserve">称) </w:t>
      </w:r>
      <w:r>
        <w:rPr>
          <w:rFonts w:ascii="仿宋" w:hAnsi="仿宋" w:eastAsia="仿宋" w:cs="仿宋"/>
          <w:color w:val="auto"/>
          <w:spacing w:val="3"/>
          <w:sz w:val="28"/>
          <w:szCs w:val="28"/>
        </w:rPr>
        <w:t>的</w:t>
      </w:r>
      <w:r>
        <w:rPr>
          <w:rFonts w:ascii="仿宋" w:hAnsi="仿宋" w:eastAsia="仿宋" w:cs="仿宋"/>
          <w:color w:val="auto"/>
          <w:spacing w:val="3"/>
          <w:sz w:val="28"/>
          <w:szCs w:val="28"/>
          <w:u w:val="single" w:color="auto"/>
        </w:rPr>
        <w:t xml:space="preserve"> (项目名称) </w:t>
      </w:r>
      <w:r>
        <w:rPr>
          <w:rFonts w:ascii="仿宋" w:hAnsi="仿宋" w:eastAsia="仿宋" w:cs="仿宋"/>
          <w:color w:val="auto"/>
          <w:spacing w:val="3"/>
          <w:sz w:val="28"/>
          <w:szCs w:val="28"/>
        </w:rPr>
        <w:t>采购活动，</w:t>
      </w:r>
      <w:r>
        <w:rPr>
          <w:rFonts w:hint="eastAsia" w:ascii="仿宋" w:hAnsi="仿宋" w:eastAsia="仿宋" w:cs="仿宋"/>
          <w:color w:val="auto"/>
          <w:spacing w:val="3"/>
          <w:sz w:val="28"/>
          <w:szCs w:val="28"/>
          <w:lang w:val="en-US" w:eastAsia="zh-CN"/>
        </w:rPr>
        <w:t>提供的货物</w:t>
      </w:r>
      <w:r>
        <w:rPr>
          <w:rFonts w:ascii="仿宋" w:hAnsi="仿宋" w:eastAsia="仿宋" w:cs="仿宋"/>
          <w:color w:val="auto"/>
          <w:spacing w:val="3"/>
          <w:sz w:val="28"/>
          <w:szCs w:val="28"/>
        </w:rPr>
        <w:t>全部</w:t>
      </w:r>
      <w:r>
        <w:rPr>
          <w:rFonts w:hint="eastAsia" w:ascii="仿宋" w:hAnsi="仿宋" w:eastAsia="仿宋" w:cs="仿宋"/>
          <w:color w:val="auto"/>
          <w:spacing w:val="3"/>
          <w:sz w:val="28"/>
          <w:szCs w:val="28"/>
          <w:lang w:val="en-US" w:eastAsia="zh-CN"/>
        </w:rPr>
        <w:t>由</w:t>
      </w:r>
      <w:r>
        <w:rPr>
          <w:rFonts w:ascii="仿宋" w:hAnsi="仿宋" w:eastAsia="仿宋" w:cs="仿宋"/>
          <w:color w:val="auto"/>
          <w:spacing w:val="3"/>
          <w:sz w:val="28"/>
          <w:szCs w:val="28"/>
        </w:rPr>
        <w:t>符合政策要</w:t>
      </w:r>
      <w:r>
        <w:rPr>
          <w:rFonts w:ascii="仿宋" w:hAnsi="仿宋" w:eastAsia="仿宋" w:cs="仿宋"/>
          <w:color w:val="auto"/>
          <w:spacing w:val="2"/>
          <w:sz w:val="28"/>
          <w:szCs w:val="28"/>
        </w:rPr>
        <w:t>求</w:t>
      </w:r>
      <w:r>
        <w:rPr>
          <w:rFonts w:ascii="仿宋" w:hAnsi="仿宋" w:eastAsia="仿宋" w:cs="仿宋"/>
          <w:color w:val="auto"/>
          <w:sz w:val="28"/>
          <w:szCs w:val="28"/>
        </w:rPr>
        <w:t>的中</w:t>
      </w:r>
      <w:r>
        <w:rPr>
          <w:rFonts w:ascii="仿宋" w:hAnsi="仿宋" w:eastAsia="仿宋" w:cs="仿宋"/>
          <w:color w:val="auto"/>
          <w:spacing w:val="-6"/>
          <w:sz w:val="28"/>
          <w:szCs w:val="28"/>
        </w:rPr>
        <w:t>小</w:t>
      </w:r>
      <w:r>
        <w:rPr>
          <w:rFonts w:ascii="仿宋" w:hAnsi="仿宋" w:eastAsia="仿宋" w:cs="仿宋"/>
          <w:color w:val="auto"/>
          <w:spacing w:val="-5"/>
          <w:sz w:val="28"/>
          <w:szCs w:val="28"/>
        </w:rPr>
        <w:t>企业</w:t>
      </w:r>
      <w:r>
        <w:rPr>
          <w:rFonts w:hint="eastAsia" w:ascii="仿宋" w:hAnsi="仿宋" w:eastAsia="仿宋" w:cs="仿宋"/>
          <w:color w:val="auto"/>
          <w:spacing w:val="-5"/>
          <w:sz w:val="28"/>
          <w:szCs w:val="28"/>
          <w:lang w:val="en-US" w:eastAsia="zh-CN"/>
        </w:rPr>
        <w:t>制造</w:t>
      </w:r>
      <w:r>
        <w:rPr>
          <w:rFonts w:ascii="仿宋" w:hAnsi="仿宋" w:eastAsia="仿宋" w:cs="仿宋"/>
          <w:color w:val="auto"/>
          <w:spacing w:val="-5"/>
          <w:sz w:val="28"/>
          <w:szCs w:val="28"/>
        </w:rPr>
        <w:t>。相关企业 (含</w:t>
      </w:r>
      <w:r>
        <w:rPr>
          <w:rFonts w:ascii="仿宋" w:hAnsi="仿宋" w:eastAsia="仿宋" w:cs="仿宋"/>
          <w:color w:val="auto"/>
          <w:spacing w:val="-1"/>
          <w:sz w:val="28"/>
          <w:szCs w:val="28"/>
        </w:rPr>
        <w:t>联合体中的中小企业、签订分包意</w:t>
      </w:r>
      <w:r>
        <w:rPr>
          <w:rFonts w:ascii="仿宋" w:hAnsi="仿宋" w:eastAsia="仿宋" w:cs="仿宋"/>
          <w:color w:val="auto"/>
          <w:sz w:val="28"/>
          <w:szCs w:val="28"/>
        </w:rPr>
        <w:t>向协议的中小企业) 的具体情况如下：</w:t>
      </w:r>
    </w:p>
    <w:p>
      <w:pPr>
        <w:tabs>
          <w:tab w:val="left" w:pos="720"/>
        </w:tabs>
        <w:spacing w:line="290" w:lineRule="auto"/>
        <w:ind w:firstLine="592"/>
        <w:rPr>
          <w:rFonts w:ascii="仿宋" w:hAnsi="仿宋" w:eastAsia="仿宋" w:cs="仿宋"/>
          <w:color w:val="auto"/>
          <w:sz w:val="28"/>
          <w:szCs w:val="28"/>
        </w:rPr>
      </w:pPr>
      <w:r>
        <w:rPr>
          <w:rFonts w:ascii="仿宋" w:hAnsi="仿宋" w:eastAsia="仿宋" w:cs="仿宋"/>
          <w:color w:val="auto"/>
          <w:spacing w:val="-4"/>
          <w:sz w:val="28"/>
          <w:szCs w:val="28"/>
        </w:rPr>
        <w:t>1.</w:t>
      </w:r>
      <w:r>
        <w:rPr>
          <w:rFonts w:ascii="仿宋" w:hAnsi="仿宋" w:eastAsia="仿宋" w:cs="仿宋"/>
          <w:color w:val="auto"/>
          <w:spacing w:val="-2"/>
          <w:sz w:val="28"/>
          <w:szCs w:val="28"/>
        </w:rPr>
        <w:t xml:space="preserve"> (标的名称) ，属于 (采购文件中明确的所属行业) ；</w:t>
      </w:r>
      <w:r>
        <w:rPr>
          <w:rFonts w:hint="eastAsia" w:ascii="仿宋" w:hAnsi="仿宋" w:eastAsia="仿宋" w:cs="仿宋"/>
          <w:color w:val="auto"/>
          <w:spacing w:val="-2"/>
          <w:sz w:val="28"/>
          <w:szCs w:val="28"/>
          <w:lang w:val="en-US" w:eastAsia="zh-CN"/>
        </w:rPr>
        <w:t>制造商</w:t>
      </w:r>
      <w:r>
        <w:rPr>
          <w:rFonts w:ascii="仿宋" w:hAnsi="仿宋" w:eastAsia="仿宋" w:cs="仿宋"/>
          <w:color w:val="auto"/>
          <w:spacing w:val="3"/>
          <w:sz w:val="28"/>
          <w:szCs w:val="28"/>
        </w:rPr>
        <w:t>为</w:t>
      </w:r>
      <w:r>
        <w:rPr>
          <w:rFonts w:ascii="仿宋" w:hAnsi="仿宋" w:eastAsia="仿宋" w:cs="仿宋"/>
          <w:color w:val="auto"/>
          <w:spacing w:val="3"/>
          <w:sz w:val="28"/>
          <w:szCs w:val="28"/>
          <w:u w:val="single" w:color="auto"/>
        </w:rPr>
        <w:t xml:space="preserve"> (企业名称) </w:t>
      </w:r>
      <w:r>
        <w:rPr>
          <w:rFonts w:ascii="仿宋" w:hAnsi="仿宋" w:eastAsia="仿宋" w:cs="仿宋"/>
          <w:color w:val="auto"/>
          <w:spacing w:val="3"/>
          <w:sz w:val="28"/>
          <w:szCs w:val="28"/>
        </w:rPr>
        <w:t>，从业人员</w:t>
      </w:r>
      <w:r>
        <w:rPr>
          <w:rFonts w:ascii="仿宋" w:hAnsi="仿宋" w:eastAsia="仿宋" w:cs="仿宋"/>
          <w:color w:val="auto"/>
          <w:spacing w:val="3"/>
          <w:sz w:val="28"/>
          <w:szCs w:val="28"/>
          <w:u w:val="single" w:color="auto"/>
        </w:rPr>
        <w:t xml:space="preserve">  </w:t>
      </w:r>
      <w:r>
        <w:rPr>
          <w:rFonts w:ascii="仿宋" w:hAnsi="仿宋" w:eastAsia="仿宋" w:cs="仿宋"/>
          <w:color w:val="auto"/>
          <w:spacing w:val="3"/>
          <w:sz w:val="28"/>
          <w:szCs w:val="28"/>
        </w:rPr>
        <w:t xml:space="preserve"> 人，营业收入为</w:t>
      </w:r>
      <w:r>
        <w:rPr>
          <w:rFonts w:ascii="仿宋" w:hAnsi="仿宋" w:eastAsia="仿宋" w:cs="仿宋"/>
          <w:color w:val="auto"/>
          <w:spacing w:val="3"/>
          <w:sz w:val="28"/>
          <w:szCs w:val="28"/>
          <w:u w:val="single" w:color="auto"/>
        </w:rPr>
        <w:t xml:space="preserve">  </w:t>
      </w:r>
      <w:r>
        <w:rPr>
          <w:rFonts w:ascii="仿宋" w:hAnsi="仿宋" w:eastAsia="仿宋" w:cs="仿宋"/>
          <w:color w:val="auto"/>
          <w:spacing w:val="3"/>
          <w:sz w:val="28"/>
          <w:szCs w:val="28"/>
        </w:rPr>
        <w:t xml:space="preserve"> 万元，资产总额</w:t>
      </w:r>
      <w:r>
        <w:rPr>
          <w:rFonts w:ascii="仿宋" w:hAnsi="仿宋" w:eastAsia="仿宋" w:cs="仿宋"/>
          <w:color w:val="auto"/>
          <w:spacing w:val="3"/>
          <w:sz w:val="28"/>
          <w:szCs w:val="28"/>
          <w:u w:val="single" w:color="auto"/>
        </w:rPr>
        <w:t>为</w:t>
      </w:r>
      <w:r>
        <w:rPr>
          <w:rFonts w:ascii="仿宋" w:hAnsi="仿宋" w:eastAsia="仿宋" w:cs="仿宋"/>
          <w:color w:val="auto"/>
          <w:sz w:val="28"/>
          <w:szCs w:val="28"/>
        </w:rPr>
        <w:t xml:space="preserve"> </w:t>
      </w:r>
      <w:r>
        <w:rPr>
          <w:rFonts w:ascii="仿宋" w:hAnsi="仿宋" w:eastAsia="仿宋" w:cs="仿宋"/>
          <w:color w:val="auto"/>
          <w:sz w:val="28"/>
          <w:szCs w:val="28"/>
          <w:u w:val="single" w:color="auto"/>
        </w:rPr>
        <w:tab/>
      </w:r>
      <w:r>
        <w:rPr>
          <w:rFonts w:ascii="仿宋" w:hAnsi="仿宋" w:eastAsia="仿宋" w:cs="仿宋"/>
          <w:color w:val="auto"/>
          <w:spacing w:val="-1"/>
          <w:sz w:val="28"/>
          <w:szCs w:val="28"/>
        </w:rPr>
        <w:t>万元，属于</w:t>
      </w:r>
      <w:r>
        <w:rPr>
          <w:rFonts w:ascii="仿宋" w:hAnsi="仿宋" w:eastAsia="仿宋" w:cs="仿宋"/>
          <w:color w:val="auto"/>
          <w:spacing w:val="-1"/>
          <w:sz w:val="28"/>
          <w:szCs w:val="28"/>
          <w:u w:val="single" w:color="auto"/>
        </w:rPr>
        <w:t xml:space="preserve"> (中型企业、小型企业、微型企</w:t>
      </w:r>
      <w:r>
        <w:rPr>
          <w:rFonts w:ascii="仿宋" w:hAnsi="仿宋" w:eastAsia="仿宋" w:cs="仿宋"/>
          <w:color w:val="auto"/>
          <w:sz w:val="28"/>
          <w:szCs w:val="28"/>
          <w:u w:val="single" w:color="auto"/>
        </w:rPr>
        <w:t xml:space="preserve">业) </w:t>
      </w:r>
      <w:r>
        <w:rPr>
          <w:rFonts w:ascii="仿宋" w:hAnsi="仿宋" w:eastAsia="仿宋" w:cs="仿宋"/>
          <w:color w:val="auto"/>
          <w:sz w:val="28"/>
          <w:szCs w:val="28"/>
        </w:rPr>
        <w:t>；</w:t>
      </w:r>
    </w:p>
    <w:p>
      <w:pPr>
        <w:tabs>
          <w:tab w:val="left" w:pos="720"/>
        </w:tabs>
        <w:spacing w:line="290" w:lineRule="auto"/>
        <w:ind w:firstLine="592"/>
        <w:rPr>
          <w:rFonts w:ascii="仿宋" w:hAnsi="仿宋" w:eastAsia="仿宋" w:cs="仿宋"/>
          <w:color w:val="auto"/>
          <w:sz w:val="28"/>
          <w:szCs w:val="28"/>
        </w:rPr>
      </w:pPr>
      <w:r>
        <w:rPr>
          <w:rFonts w:ascii="仿宋" w:hAnsi="仿宋" w:eastAsia="仿宋" w:cs="仿宋"/>
          <w:color w:val="auto"/>
          <w:spacing w:val="-1"/>
          <w:sz w:val="28"/>
          <w:szCs w:val="28"/>
        </w:rPr>
        <w:t>2</w:t>
      </w:r>
      <w:r>
        <w:rPr>
          <w:rFonts w:ascii="仿宋" w:hAnsi="仿宋" w:eastAsia="仿宋" w:cs="仿宋"/>
          <w:color w:val="auto"/>
          <w:spacing w:val="-2"/>
          <w:sz w:val="28"/>
          <w:szCs w:val="28"/>
        </w:rPr>
        <w:t>(标的名称) ，属于 (采购文件中明确的所属行业) ；</w:t>
      </w:r>
      <w:r>
        <w:rPr>
          <w:rFonts w:hint="eastAsia" w:ascii="仿宋" w:hAnsi="仿宋" w:eastAsia="仿宋" w:cs="仿宋"/>
          <w:color w:val="auto"/>
          <w:spacing w:val="-2"/>
          <w:sz w:val="28"/>
          <w:szCs w:val="28"/>
          <w:lang w:val="en-US" w:eastAsia="zh-CN"/>
        </w:rPr>
        <w:t>制造商</w:t>
      </w:r>
      <w:r>
        <w:rPr>
          <w:rFonts w:ascii="仿宋" w:hAnsi="仿宋" w:eastAsia="仿宋" w:cs="仿宋"/>
          <w:color w:val="auto"/>
          <w:spacing w:val="3"/>
          <w:sz w:val="28"/>
          <w:szCs w:val="28"/>
        </w:rPr>
        <w:t>为</w:t>
      </w:r>
      <w:r>
        <w:rPr>
          <w:rFonts w:ascii="仿宋" w:hAnsi="仿宋" w:eastAsia="仿宋" w:cs="仿宋"/>
          <w:color w:val="auto"/>
          <w:spacing w:val="3"/>
          <w:sz w:val="28"/>
          <w:szCs w:val="28"/>
          <w:u w:val="single" w:color="auto"/>
        </w:rPr>
        <w:t xml:space="preserve"> (企业名称) </w:t>
      </w:r>
      <w:r>
        <w:rPr>
          <w:rFonts w:ascii="仿宋" w:hAnsi="仿宋" w:eastAsia="仿宋" w:cs="仿宋"/>
          <w:color w:val="auto"/>
          <w:spacing w:val="3"/>
          <w:sz w:val="28"/>
          <w:szCs w:val="28"/>
        </w:rPr>
        <w:t>，从业人员</w:t>
      </w:r>
      <w:r>
        <w:rPr>
          <w:rFonts w:ascii="仿宋" w:hAnsi="仿宋" w:eastAsia="仿宋" w:cs="仿宋"/>
          <w:color w:val="auto"/>
          <w:spacing w:val="3"/>
          <w:sz w:val="28"/>
          <w:szCs w:val="28"/>
          <w:u w:val="single" w:color="auto"/>
        </w:rPr>
        <w:t xml:space="preserve">  </w:t>
      </w:r>
      <w:r>
        <w:rPr>
          <w:rFonts w:ascii="仿宋" w:hAnsi="仿宋" w:eastAsia="仿宋" w:cs="仿宋"/>
          <w:color w:val="auto"/>
          <w:spacing w:val="3"/>
          <w:sz w:val="28"/>
          <w:szCs w:val="28"/>
        </w:rPr>
        <w:t xml:space="preserve"> 人，营业收入为</w:t>
      </w:r>
      <w:r>
        <w:rPr>
          <w:rFonts w:ascii="仿宋" w:hAnsi="仿宋" w:eastAsia="仿宋" w:cs="仿宋"/>
          <w:color w:val="auto"/>
          <w:spacing w:val="3"/>
          <w:sz w:val="28"/>
          <w:szCs w:val="28"/>
          <w:u w:val="single" w:color="auto"/>
        </w:rPr>
        <w:t xml:space="preserve">  </w:t>
      </w:r>
      <w:r>
        <w:rPr>
          <w:rFonts w:ascii="仿宋" w:hAnsi="仿宋" w:eastAsia="仿宋" w:cs="仿宋"/>
          <w:color w:val="auto"/>
          <w:spacing w:val="3"/>
          <w:sz w:val="28"/>
          <w:szCs w:val="28"/>
        </w:rPr>
        <w:t xml:space="preserve"> 万元，资产总额</w:t>
      </w:r>
      <w:r>
        <w:rPr>
          <w:rFonts w:ascii="仿宋" w:hAnsi="仿宋" w:eastAsia="仿宋" w:cs="仿宋"/>
          <w:color w:val="auto"/>
          <w:spacing w:val="3"/>
          <w:sz w:val="28"/>
          <w:szCs w:val="28"/>
          <w:u w:val="single" w:color="auto"/>
        </w:rPr>
        <w:t>为</w:t>
      </w:r>
      <w:r>
        <w:rPr>
          <w:rFonts w:ascii="仿宋" w:hAnsi="仿宋" w:eastAsia="仿宋" w:cs="仿宋"/>
          <w:color w:val="auto"/>
          <w:sz w:val="28"/>
          <w:szCs w:val="28"/>
        </w:rPr>
        <w:t xml:space="preserve"> </w:t>
      </w:r>
      <w:r>
        <w:rPr>
          <w:rFonts w:ascii="仿宋" w:hAnsi="仿宋" w:eastAsia="仿宋" w:cs="仿宋"/>
          <w:color w:val="auto"/>
          <w:sz w:val="28"/>
          <w:szCs w:val="28"/>
          <w:u w:val="single" w:color="auto"/>
        </w:rPr>
        <w:tab/>
      </w:r>
      <w:r>
        <w:rPr>
          <w:rFonts w:ascii="仿宋" w:hAnsi="仿宋" w:eastAsia="仿宋" w:cs="仿宋"/>
          <w:color w:val="auto"/>
          <w:spacing w:val="-1"/>
          <w:sz w:val="28"/>
          <w:szCs w:val="28"/>
        </w:rPr>
        <w:t>万元，属于</w:t>
      </w:r>
      <w:r>
        <w:rPr>
          <w:rFonts w:ascii="仿宋" w:hAnsi="仿宋" w:eastAsia="仿宋" w:cs="仿宋"/>
          <w:color w:val="auto"/>
          <w:spacing w:val="-1"/>
          <w:sz w:val="28"/>
          <w:szCs w:val="28"/>
          <w:u w:val="single" w:color="auto"/>
        </w:rPr>
        <w:t xml:space="preserve"> (中型企业、小型企业、微型企</w:t>
      </w:r>
      <w:r>
        <w:rPr>
          <w:rFonts w:ascii="仿宋" w:hAnsi="仿宋" w:eastAsia="仿宋" w:cs="仿宋"/>
          <w:color w:val="auto"/>
          <w:sz w:val="28"/>
          <w:szCs w:val="28"/>
          <w:u w:val="single" w:color="auto"/>
        </w:rPr>
        <w:t xml:space="preserve">业) </w:t>
      </w:r>
      <w:r>
        <w:rPr>
          <w:rFonts w:ascii="仿宋" w:hAnsi="仿宋" w:eastAsia="仿宋" w:cs="仿宋"/>
          <w:color w:val="auto"/>
          <w:sz w:val="28"/>
          <w:szCs w:val="28"/>
        </w:rPr>
        <w:t>；</w:t>
      </w:r>
    </w:p>
    <w:p>
      <w:pPr>
        <w:spacing w:line="439" w:lineRule="exact"/>
        <w:ind w:left="591"/>
        <w:rPr>
          <w:rFonts w:ascii="仿宋" w:hAnsi="仿宋" w:eastAsia="仿宋" w:cs="仿宋"/>
          <w:color w:val="auto"/>
          <w:sz w:val="28"/>
          <w:szCs w:val="28"/>
        </w:rPr>
      </w:pPr>
      <w:r>
        <w:rPr>
          <w:rFonts w:ascii="仿宋" w:hAnsi="仿宋" w:eastAsia="仿宋" w:cs="仿宋"/>
          <w:color w:val="auto"/>
          <w:position w:val="3"/>
          <w:sz w:val="28"/>
          <w:szCs w:val="28"/>
        </w:rPr>
        <w:t>……</w:t>
      </w:r>
    </w:p>
    <w:p>
      <w:pPr>
        <w:spacing w:before="1" w:line="225" w:lineRule="auto"/>
        <w:ind w:left="608"/>
        <w:rPr>
          <w:rFonts w:ascii="仿宋" w:hAnsi="仿宋" w:eastAsia="仿宋" w:cs="仿宋"/>
          <w:color w:val="auto"/>
          <w:sz w:val="28"/>
          <w:szCs w:val="28"/>
        </w:rPr>
      </w:pPr>
      <w:r>
        <w:rPr>
          <w:rFonts w:ascii="仿宋" w:hAnsi="仿宋" w:eastAsia="仿宋" w:cs="仿宋"/>
          <w:color w:val="auto"/>
          <w:spacing w:val="4"/>
          <w:sz w:val="28"/>
          <w:szCs w:val="28"/>
        </w:rPr>
        <w:t>以上</w:t>
      </w:r>
      <w:r>
        <w:rPr>
          <w:rFonts w:ascii="仿宋" w:hAnsi="仿宋" w:eastAsia="仿宋" w:cs="仿宋"/>
          <w:color w:val="auto"/>
          <w:spacing w:val="3"/>
          <w:sz w:val="28"/>
          <w:szCs w:val="28"/>
        </w:rPr>
        <w:t>企</w:t>
      </w:r>
      <w:r>
        <w:rPr>
          <w:rFonts w:ascii="仿宋" w:hAnsi="仿宋" w:eastAsia="仿宋" w:cs="仿宋"/>
          <w:color w:val="auto"/>
          <w:spacing w:val="2"/>
          <w:sz w:val="28"/>
          <w:szCs w:val="28"/>
        </w:rPr>
        <w:t>业，不属于大企业的分支机构，不存在控股股东为大企业的情</w:t>
      </w:r>
    </w:p>
    <w:p>
      <w:pPr>
        <w:spacing w:before="99" w:line="224" w:lineRule="auto"/>
        <w:ind w:left="18"/>
        <w:rPr>
          <w:rFonts w:ascii="仿宋" w:hAnsi="仿宋" w:eastAsia="仿宋" w:cs="仿宋"/>
          <w:color w:val="auto"/>
          <w:sz w:val="28"/>
          <w:szCs w:val="28"/>
        </w:rPr>
      </w:pPr>
      <w:r>
        <w:rPr>
          <w:rFonts w:ascii="仿宋" w:hAnsi="仿宋" w:eastAsia="仿宋" w:cs="仿宋"/>
          <w:color w:val="auto"/>
          <w:spacing w:val="-1"/>
          <w:sz w:val="28"/>
          <w:szCs w:val="28"/>
        </w:rPr>
        <w:t>形，也不存在与大企业的负责人为同一人的</w:t>
      </w:r>
      <w:r>
        <w:rPr>
          <w:rFonts w:ascii="仿宋" w:hAnsi="仿宋" w:eastAsia="仿宋" w:cs="仿宋"/>
          <w:color w:val="auto"/>
          <w:sz w:val="28"/>
          <w:szCs w:val="28"/>
        </w:rPr>
        <w:t>情形。</w:t>
      </w:r>
    </w:p>
    <w:p>
      <w:pPr>
        <w:spacing w:before="98" w:line="302" w:lineRule="auto"/>
        <w:ind w:left="18" w:right="120" w:firstLine="562"/>
        <w:rPr>
          <w:rFonts w:ascii="仿宋" w:hAnsi="仿宋" w:eastAsia="仿宋" w:cs="仿宋"/>
          <w:color w:val="auto"/>
          <w:sz w:val="28"/>
          <w:szCs w:val="28"/>
        </w:rPr>
      </w:pPr>
      <w:r>
        <w:rPr>
          <w:rFonts w:ascii="仿宋" w:hAnsi="仿宋" w:eastAsia="仿宋" w:cs="仿宋"/>
          <w:color w:val="auto"/>
          <w:spacing w:val="6"/>
          <w:sz w:val="28"/>
          <w:szCs w:val="28"/>
          <w14:textOutline w14:w="5103" w14:cap="sq" w14:cmpd="sng">
            <w14:solidFill>
              <w14:srgbClr w14:val="000000"/>
            </w14:solidFill>
            <w14:prstDash w14:val="solid"/>
            <w14:bevel/>
          </w14:textOutline>
        </w:rPr>
        <w:t>本</w:t>
      </w:r>
      <w:r>
        <w:rPr>
          <w:rFonts w:ascii="仿宋" w:hAnsi="仿宋" w:eastAsia="仿宋" w:cs="仿宋"/>
          <w:color w:val="auto"/>
          <w:spacing w:val="3"/>
          <w:sz w:val="28"/>
          <w:szCs w:val="28"/>
          <w14:textOutline w14:w="5103" w14:cap="sq" w14:cmpd="sng">
            <w14:solidFill>
              <w14:srgbClr w14:val="000000"/>
            </w14:solidFill>
            <w14:prstDash w14:val="solid"/>
            <w14:bevel/>
          </w14:textOutline>
        </w:rPr>
        <w:t>企业对上述声明内容的真实性负责。如有虚假，将依法承担相应责</w:t>
      </w:r>
      <w:r>
        <w:rPr>
          <w:rFonts w:ascii="仿宋" w:hAnsi="仿宋" w:eastAsia="仿宋" w:cs="仿宋"/>
          <w:color w:val="auto"/>
          <w:sz w:val="28"/>
          <w:szCs w:val="28"/>
        </w:rPr>
        <w:t xml:space="preserve"> </w:t>
      </w:r>
      <w:r>
        <w:rPr>
          <w:rFonts w:ascii="仿宋" w:hAnsi="仿宋" w:eastAsia="仿宋" w:cs="仿宋"/>
          <w:color w:val="auto"/>
          <w:spacing w:val="-10"/>
          <w:sz w:val="28"/>
          <w:szCs w:val="28"/>
          <w14:textOutline w14:w="5103" w14:cap="sq" w14:cmpd="sng">
            <w14:solidFill>
              <w14:srgbClr w14:val="000000"/>
            </w14:solidFill>
            <w14:prstDash w14:val="solid"/>
            <w14:bevel/>
          </w14:textOutline>
        </w:rPr>
        <w:t>任</w:t>
      </w:r>
      <w:r>
        <w:rPr>
          <w:rFonts w:ascii="仿宋" w:hAnsi="仿宋" w:eastAsia="仿宋" w:cs="仿宋"/>
          <w:color w:val="auto"/>
          <w:spacing w:val="-8"/>
          <w:sz w:val="28"/>
          <w:szCs w:val="28"/>
          <w14:textOutline w14:w="5103" w14:cap="sq" w14:cmpd="sng">
            <w14:solidFill>
              <w14:srgbClr w14:val="000000"/>
            </w14:solidFill>
            <w14:prstDash w14:val="solid"/>
            <w14:bevel/>
          </w14:textOutline>
        </w:rPr>
        <w:t>。</w:t>
      </w:r>
    </w:p>
    <w:p>
      <w:pPr>
        <w:spacing w:line="270" w:lineRule="auto"/>
        <w:rPr>
          <w:rFonts w:ascii="Arial"/>
          <w:color w:val="auto"/>
          <w:sz w:val="21"/>
        </w:rPr>
      </w:pPr>
    </w:p>
    <w:p>
      <w:pPr>
        <w:spacing w:line="270" w:lineRule="auto"/>
        <w:rPr>
          <w:rFonts w:ascii="Arial"/>
          <w:color w:val="auto"/>
          <w:sz w:val="21"/>
        </w:rPr>
      </w:pPr>
    </w:p>
    <w:p>
      <w:pPr>
        <w:spacing w:line="270" w:lineRule="auto"/>
        <w:rPr>
          <w:rFonts w:ascii="Arial"/>
          <w:color w:val="auto"/>
          <w:sz w:val="21"/>
        </w:rPr>
      </w:pPr>
    </w:p>
    <w:p>
      <w:pPr>
        <w:spacing w:line="271" w:lineRule="auto"/>
        <w:rPr>
          <w:rFonts w:ascii="Arial"/>
          <w:color w:val="auto"/>
          <w:sz w:val="21"/>
        </w:rPr>
      </w:pPr>
    </w:p>
    <w:p>
      <w:pPr>
        <w:spacing w:line="271" w:lineRule="auto"/>
        <w:rPr>
          <w:rFonts w:ascii="Arial"/>
          <w:color w:val="auto"/>
          <w:sz w:val="21"/>
        </w:rPr>
      </w:pPr>
    </w:p>
    <w:p>
      <w:pPr>
        <w:spacing w:line="271" w:lineRule="auto"/>
        <w:rPr>
          <w:rFonts w:ascii="Arial"/>
          <w:color w:val="auto"/>
          <w:sz w:val="21"/>
        </w:rPr>
      </w:pPr>
    </w:p>
    <w:p>
      <w:pPr>
        <w:spacing w:before="92" w:line="222" w:lineRule="auto"/>
        <w:ind w:left="3660"/>
        <w:rPr>
          <w:rFonts w:ascii="仿宋" w:hAnsi="仿宋" w:eastAsia="仿宋" w:cs="仿宋"/>
          <w:color w:val="auto"/>
          <w:sz w:val="28"/>
          <w:szCs w:val="28"/>
        </w:rPr>
      </w:pPr>
      <w:r>
        <w:rPr>
          <w:rFonts w:ascii="仿宋" w:hAnsi="仿宋" w:eastAsia="仿宋" w:cs="仿宋"/>
          <w:color w:val="auto"/>
          <w:spacing w:val="-2"/>
          <w:sz w:val="28"/>
          <w:szCs w:val="28"/>
        </w:rPr>
        <w:t xml:space="preserve">企业名称 (盖章) </w:t>
      </w:r>
      <w:r>
        <w:rPr>
          <w:rFonts w:ascii="仿宋" w:hAnsi="仿宋" w:eastAsia="仿宋" w:cs="仿宋"/>
          <w:color w:val="auto"/>
          <w:spacing w:val="-1"/>
          <w:sz w:val="28"/>
          <w:szCs w:val="28"/>
        </w:rPr>
        <w:t>：</w:t>
      </w:r>
    </w:p>
    <w:p>
      <w:pPr>
        <w:spacing w:before="102" w:line="224" w:lineRule="auto"/>
        <w:ind w:left="3718"/>
        <w:rPr>
          <w:rFonts w:ascii="仿宋" w:hAnsi="仿宋" w:eastAsia="仿宋" w:cs="仿宋"/>
          <w:color w:val="auto"/>
          <w:sz w:val="28"/>
          <w:szCs w:val="28"/>
        </w:rPr>
      </w:pPr>
      <w:r>
        <w:rPr>
          <w:rFonts w:ascii="仿宋" w:hAnsi="仿宋" w:eastAsia="仿宋" w:cs="仿宋"/>
          <w:color w:val="auto"/>
          <w:spacing w:val="-27"/>
          <w:sz w:val="28"/>
          <w:szCs w:val="28"/>
        </w:rPr>
        <w:t>日</w:t>
      </w:r>
      <w:r>
        <w:rPr>
          <w:rFonts w:ascii="仿宋" w:hAnsi="仿宋" w:eastAsia="仿宋" w:cs="仿宋"/>
          <w:color w:val="auto"/>
          <w:spacing w:val="-26"/>
          <w:sz w:val="28"/>
          <w:szCs w:val="28"/>
        </w:rPr>
        <w:t>期：</w:t>
      </w:r>
      <w:r>
        <w:rPr>
          <w:rFonts w:ascii="仿宋" w:hAnsi="仿宋" w:eastAsia="仿宋" w:cs="仿宋"/>
          <w:color w:val="auto"/>
          <w:sz w:val="28"/>
          <w:szCs w:val="28"/>
          <w:u w:val="single" w:color="auto"/>
        </w:rPr>
        <w:t xml:space="preserve">            </w:t>
      </w:r>
    </w:p>
    <w:p>
      <w:pPr>
        <w:spacing w:line="418" w:lineRule="auto"/>
        <w:rPr>
          <w:rFonts w:ascii="Arial"/>
          <w:color w:val="auto"/>
          <w:sz w:val="21"/>
        </w:rPr>
      </w:pPr>
    </w:p>
    <w:p>
      <w:pPr>
        <w:spacing w:before="92" w:line="263" w:lineRule="auto"/>
        <w:ind w:left="17" w:right="122" w:firstLine="3"/>
        <w:rPr>
          <w:rFonts w:ascii="仿宋" w:hAnsi="仿宋" w:eastAsia="仿宋" w:cs="仿宋"/>
          <w:color w:val="auto"/>
          <w:sz w:val="28"/>
          <w:szCs w:val="28"/>
        </w:rPr>
      </w:pPr>
      <w:r>
        <w:rPr>
          <w:rFonts w:ascii="仿宋" w:hAnsi="仿宋" w:eastAsia="仿宋" w:cs="仿宋"/>
          <w:color w:val="auto"/>
          <w:spacing w:val="-2"/>
          <w:sz w:val="28"/>
          <w:szCs w:val="28"/>
          <w14:textOutline w14:w="5103" w14:cap="sq" w14:cmpd="sng">
            <w14:solidFill>
              <w14:srgbClr w14:val="000000"/>
            </w14:solidFill>
            <w14:prstDash w14:val="solid"/>
            <w14:bevel/>
          </w14:textOutline>
        </w:rPr>
        <w:t>备注：1、从业人员、营业收入、资</w:t>
      </w:r>
      <w:r>
        <w:rPr>
          <w:rFonts w:ascii="仿宋" w:hAnsi="仿宋" w:eastAsia="仿宋" w:cs="仿宋"/>
          <w:color w:val="auto"/>
          <w:spacing w:val="-1"/>
          <w:sz w:val="28"/>
          <w:szCs w:val="28"/>
          <w14:textOutline w14:w="5103" w14:cap="sq" w14:cmpd="sng">
            <w14:solidFill>
              <w14:srgbClr w14:val="000000"/>
            </w14:solidFill>
            <w14:prstDash w14:val="solid"/>
            <w14:bevel/>
          </w14:textOutline>
        </w:rPr>
        <w:t>产总额填报上一年度数据，无上一年度</w:t>
      </w:r>
      <w:r>
        <w:rPr>
          <w:rFonts w:ascii="仿宋" w:hAnsi="仿宋" w:eastAsia="仿宋" w:cs="仿宋"/>
          <w:color w:val="auto"/>
          <w:sz w:val="28"/>
          <w:szCs w:val="28"/>
        </w:rPr>
        <w:t xml:space="preserve"> </w:t>
      </w:r>
      <w:r>
        <w:rPr>
          <w:rFonts w:ascii="仿宋" w:hAnsi="仿宋" w:eastAsia="仿宋" w:cs="仿宋"/>
          <w:color w:val="auto"/>
          <w:spacing w:val="-1"/>
          <w:sz w:val="28"/>
          <w:szCs w:val="28"/>
          <w14:textOutline w14:w="5103" w14:cap="sq" w14:cmpd="sng">
            <w14:solidFill>
              <w14:srgbClr w14:val="000000"/>
            </w14:solidFill>
            <w14:prstDash w14:val="solid"/>
            <w14:bevel/>
          </w14:textOutline>
        </w:rPr>
        <w:t>数据的新成立</w:t>
      </w:r>
      <w:r>
        <w:rPr>
          <w:rFonts w:ascii="仿宋" w:hAnsi="仿宋" w:eastAsia="仿宋" w:cs="仿宋"/>
          <w:color w:val="auto"/>
          <w:sz w:val="28"/>
          <w:szCs w:val="28"/>
          <w14:textOutline w14:w="5103" w14:cap="sq" w14:cmpd="sng">
            <w14:solidFill>
              <w14:srgbClr w14:val="000000"/>
            </w14:solidFill>
            <w14:prstDash w14:val="solid"/>
            <w14:bevel/>
          </w14:textOutline>
        </w:rPr>
        <w:t>企业可不填报。</w:t>
      </w:r>
    </w:p>
    <w:p>
      <w:pPr>
        <w:spacing w:before="2" w:line="277" w:lineRule="auto"/>
        <w:ind w:left="18" w:right="122" w:firstLine="834"/>
        <w:rPr>
          <w:rFonts w:ascii="仿宋" w:hAnsi="仿宋" w:eastAsia="仿宋" w:cs="仿宋"/>
          <w:color w:val="auto"/>
          <w:sz w:val="28"/>
          <w:szCs w:val="28"/>
        </w:rPr>
      </w:pPr>
      <w:r>
        <w:rPr>
          <w:rFonts w:ascii="仿宋" w:hAnsi="仿宋" w:eastAsia="仿宋" w:cs="仿宋"/>
          <w:color w:val="auto"/>
          <w:spacing w:val="-2"/>
          <w:sz w:val="28"/>
          <w:szCs w:val="28"/>
          <w14:textOutline w14:w="5103" w14:cap="sq" w14:cmpd="sng">
            <w14:solidFill>
              <w14:srgbClr w14:val="000000"/>
            </w14:solidFill>
            <w14:prstDash w14:val="solid"/>
            <w14:bevel/>
          </w14:textOutline>
        </w:rPr>
        <w:t>2、投标人为中小企业时需</w:t>
      </w:r>
      <w:r>
        <w:rPr>
          <w:rFonts w:ascii="仿宋" w:hAnsi="仿宋" w:eastAsia="仿宋" w:cs="仿宋"/>
          <w:color w:val="auto"/>
          <w:spacing w:val="-1"/>
          <w:sz w:val="28"/>
          <w:szCs w:val="28"/>
          <w14:textOutline w14:w="5103" w14:cap="sq" w14:cmpd="sng">
            <w14:solidFill>
              <w14:srgbClr w14:val="000000"/>
            </w14:solidFill>
            <w14:prstDash w14:val="solid"/>
            <w14:bevel/>
          </w14:textOutline>
        </w:rPr>
        <w:t>提供本声明函，并完整填写从业人员、营</w:t>
      </w:r>
      <w:r>
        <w:rPr>
          <w:rFonts w:ascii="仿宋" w:hAnsi="仿宋" w:eastAsia="仿宋" w:cs="仿宋"/>
          <w:color w:val="auto"/>
          <w:sz w:val="28"/>
          <w:szCs w:val="28"/>
        </w:rPr>
        <w:t xml:space="preserve"> </w:t>
      </w:r>
      <w:r>
        <w:rPr>
          <w:rFonts w:ascii="仿宋" w:hAnsi="仿宋" w:eastAsia="仿宋" w:cs="仿宋"/>
          <w:color w:val="auto"/>
          <w:spacing w:val="1"/>
          <w:sz w:val="28"/>
          <w:szCs w:val="28"/>
          <w14:textOutline w14:w="5103" w14:cap="sq" w14:cmpd="sng">
            <w14:solidFill>
              <w14:srgbClr w14:val="000000"/>
            </w14:solidFill>
            <w14:prstDash w14:val="solid"/>
            <w14:bevel/>
          </w14:textOutline>
        </w:rPr>
        <w:t>业收入、资产总额等内容</w:t>
      </w:r>
      <w:r>
        <w:rPr>
          <w:rFonts w:ascii="仿宋" w:hAnsi="仿宋" w:eastAsia="仿宋" w:cs="仿宋"/>
          <w:color w:val="auto"/>
          <w:sz w:val="28"/>
          <w:szCs w:val="28"/>
          <w14:textOutline w14:w="5103" w14:cap="sq" w14:cmpd="sng">
            <w14:solidFill>
              <w14:srgbClr w14:val="000000"/>
            </w14:solidFill>
            <w14:prstDash w14:val="solid"/>
            <w14:bevel/>
          </w14:textOutline>
        </w:rPr>
        <w:t>，否则评审时不能享受相应的价格扣除。</w:t>
      </w:r>
    </w:p>
    <w:p>
      <w:pPr>
        <w:spacing w:line="313" w:lineRule="auto"/>
        <w:rPr>
          <w:rFonts w:ascii="Arial"/>
          <w:color w:val="auto"/>
          <w:sz w:val="21"/>
        </w:rPr>
      </w:pPr>
    </w:p>
    <w:p>
      <w:pPr>
        <w:spacing w:line="314" w:lineRule="auto"/>
        <w:rPr>
          <w:rFonts w:ascii="Arial"/>
          <w:color w:val="auto"/>
          <w:sz w:val="21"/>
        </w:rPr>
      </w:pPr>
    </w:p>
    <w:p>
      <w:pPr>
        <w:spacing w:before="91" w:line="221" w:lineRule="auto"/>
        <w:ind w:left="2161"/>
        <w:rPr>
          <w:rFonts w:ascii="仿宋" w:hAnsi="仿宋" w:eastAsia="仿宋" w:cs="仿宋"/>
          <w:color w:val="auto"/>
          <w:spacing w:val="1"/>
          <w:sz w:val="28"/>
          <w:szCs w:val="28"/>
          <w14:textOutline w14:w="5103" w14:cap="sq" w14:cmpd="sng">
            <w14:solidFill>
              <w14:srgbClr w14:val="000000"/>
            </w14:solidFill>
            <w14:prstDash w14:val="solid"/>
            <w14:bevel/>
          </w14:textOutline>
        </w:rPr>
      </w:pPr>
    </w:p>
    <w:p>
      <w:pPr>
        <w:spacing w:before="91" w:line="221" w:lineRule="auto"/>
        <w:ind w:left="2161"/>
        <w:rPr>
          <w:rFonts w:ascii="仿宋" w:hAnsi="仿宋" w:eastAsia="仿宋" w:cs="仿宋"/>
          <w:color w:val="auto"/>
          <w:spacing w:val="1"/>
          <w:sz w:val="28"/>
          <w:szCs w:val="28"/>
          <w14:textOutline w14:w="5103" w14:cap="sq" w14:cmpd="sng">
            <w14:solidFill>
              <w14:srgbClr w14:val="000000"/>
            </w14:solidFill>
            <w14:prstDash w14:val="solid"/>
            <w14:bevel/>
          </w14:textOutline>
        </w:rPr>
      </w:pPr>
    </w:p>
    <w:p>
      <w:pPr>
        <w:spacing w:before="91" w:line="221" w:lineRule="auto"/>
        <w:ind w:left="2161"/>
        <w:rPr>
          <w:rFonts w:ascii="仿宋" w:hAnsi="仿宋" w:eastAsia="仿宋" w:cs="仿宋"/>
          <w:color w:val="auto"/>
          <w:spacing w:val="1"/>
          <w:sz w:val="28"/>
          <w:szCs w:val="28"/>
          <w14:textOutline w14:w="5103" w14:cap="sq" w14:cmpd="sng">
            <w14:solidFill>
              <w14:srgbClr w14:val="000000"/>
            </w14:solidFill>
            <w14:prstDash w14:val="solid"/>
            <w14:bevel/>
          </w14:textOutline>
        </w:rPr>
      </w:pPr>
    </w:p>
    <w:p>
      <w:pPr>
        <w:spacing w:before="91" w:line="221" w:lineRule="auto"/>
        <w:ind w:left="2161"/>
        <w:rPr>
          <w:rFonts w:ascii="仿宋" w:hAnsi="仿宋" w:eastAsia="仿宋" w:cs="仿宋"/>
          <w:color w:val="auto"/>
          <w:sz w:val="28"/>
          <w:szCs w:val="28"/>
        </w:rPr>
      </w:pPr>
      <w:r>
        <w:rPr>
          <w:rFonts w:ascii="仿宋" w:hAnsi="仿宋" w:eastAsia="仿宋" w:cs="仿宋"/>
          <w:color w:val="auto"/>
          <w:spacing w:val="1"/>
          <w:sz w:val="28"/>
          <w:szCs w:val="28"/>
          <w14:textOutline w14:w="5103" w14:cap="sq" w14:cmpd="sng">
            <w14:solidFill>
              <w14:srgbClr w14:val="000000"/>
            </w14:solidFill>
            <w14:prstDash w14:val="solid"/>
            <w14:bevel/>
          </w14:textOutline>
        </w:rPr>
        <w:t>2.8</w:t>
      </w:r>
      <w:r>
        <w:rPr>
          <w:rFonts w:ascii="仿宋" w:hAnsi="仿宋" w:eastAsia="仿宋" w:cs="仿宋"/>
          <w:color w:val="auto"/>
          <w:spacing w:val="1"/>
          <w:sz w:val="28"/>
          <w:szCs w:val="28"/>
        </w:rPr>
        <w:t xml:space="preserve"> </w:t>
      </w:r>
      <w:r>
        <w:rPr>
          <w:rFonts w:ascii="仿宋" w:hAnsi="仿宋" w:eastAsia="仿宋" w:cs="仿宋"/>
          <w:color w:val="auto"/>
          <w:sz w:val="28"/>
          <w:szCs w:val="28"/>
          <w14:textOutline w14:w="5103" w14:cap="sq" w14:cmpd="sng">
            <w14:solidFill>
              <w14:srgbClr w14:val="000000"/>
            </w14:solidFill>
            <w14:prstDash w14:val="solid"/>
            <w14:bevel/>
          </w14:textOutline>
        </w:rPr>
        <w:t>残疾人福利性单位声明函</w:t>
      </w:r>
      <w:r>
        <w:rPr>
          <w:rFonts w:ascii="仿宋" w:hAnsi="仿宋" w:eastAsia="仿宋" w:cs="仿宋"/>
          <w:color w:val="auto"/>
          <w:sz w:val="28"/>
          <w:szCs w:val="28"/>
        </w:rPr>
        <w:t xml:space="preserve"> </w:t>
      </w:r>
      <w:r>
        <w:rPr>
          <w:rFonts w:ascii="仿宋" w:hAnsi="仿宋" w:eastAsia="仿宋" w:cs="仿宋"/>
          <w:color w:val="auto"/>
          <w:sz w:val="28"/>
          <w:szCs w:val="28"/>
          <w14:textOutline w14:w="5103" w14:cap="sq" w14:cmpd="sng">
            <w14:solidFill>
              <w14:srgbClr w14:val="000000"/>
            </w14:solidFill>
            <w14:prstDash w14:val="solid"/>
            <w14:bevel/>
          </w14:textOutline>
        </w:rPr>
        <w:t>(可选)</w:t>
      </w:r>
    </w:p>
    <w:p>
      <w:pPr>
        <w:spacing w:line="254" w:lineRule="auto"/>
        <w:rPr>
          <w:rFonts w:ascii="Arial"/>
          <w:color w:val="auto"/>
          <w:sz w:val="21"/>
        </w:rPr>
      </w:pPr>
    </w:p>
    <w:p>
      <w:pPr>
        <w:spacing w:line="254" w:lineRule="auto"/>
        <w:rPr>
          <w:rFonts w:ascii="Arial"/>
          <w:color w:val="auto"/>
          <w:sz w:val="21"/>
        </w:rPr>
      </w:pPr>
    </w:p>
    <w:p>
      <w:pPr>
        <w:spacing w:line="254" w:lineRule="auto"/>
        <w:rPr>
          <w:rFonts w:ascii="Arial"/>
          <w:color w:val="auto"/>
          <w:sz w:val="21"/>
        </w:rPr>
      </w:pPr>
    </w:p>
    <w:p>
      <w:pPr>
        <w:spacing w:line="254" w:lineRule="auto"/>
        <w:rPr>
          <w:rFonts w:ascii="Arial"/>
          <w:color w:val="auto"/>
          <w:sz w:val="21"/>
        </w:rPr>
      </w:pPr>
    </w:p>
    <w:p>
      <w:pPr>
        <w:spacing w:line="255" w:lineRule="auto"/>
        <w:rPr>
          <w:rFonts w:ascii="Arial"/>
          <w:color w:val="auto"/>
          <w:sz w:val="21"/>
        </w:rPr>
      </w:pPr>
    </w:p>
    <w:p>
      <w:pPr>
        <w:spacing w:line="255" w:lineRule="auto"/>
        <w:rPr>
          <w:rFonts w:ascii="Arial"/>
          <w:color w:val="auto"/>
          <w:sz w:val="21"/>
        </w:rPr>
      </w:pPr>
    </w:p>
    <w:p>
      <w:pPr>
        <w:spacing w:before="91" w:line="359" w:lineRule="auto"/>
        <w:ind w:left="6" w:right="108" w:firstLine="585"/>
        <w:rPr>
          <w:rFonts w:ascii="仿宋" w:hAnsi="仿宋" w:eastAsia="仿宋" w:cs="仿宋"/>
          <w:color w:val="auto"/>
          <w:sz w:val="28"/>
          <w:szCs w:val="28"/>
        </w:rPr>
      </w:pPr>
      <w:r>
        <w:rPr>
          <w:rFonts w:ascii="仿宋" w:hAnsi="仿宋" w:eastAsia="仿宋" w:cs="仿宋"/>
          <w:color w:val="auto"/>
          <w:spacing w:val="22"/>
          <w:sz w:val="28"/>
          <w:szCs w:val="28"/>
        </w:rPr>
        <w:t>本</w:t>
      </w:r>
      <w:r>
        <w:rPr>
          <w:rFonts w:ascii="仿宋" w:hAnsi="仿宋" w:eastAsia="仿宋" w:cs="仿宋"/>
          <w:color w:val="auto"/>
          <w:spacing w:val="18"/>
          <w:sz w:val="28"/>
          <w:szCs w:val="28"/>
        </w:rPr>
        <w:t>单</w:t>
      </w:r>
      <w:r>
        <w:rPr>
          <w:rFonts w:ascii="仿宋" w:hAnsi="仿宋" w:eastAsia="仿宋" w:cs="仿宋"/>
          <w:color w:val="auto"/>
          <w:spacing w:val="11"/>
          <w:sz w:val="28"/>
          <w:szCs w:val="28"/>
        </w:rPr>
        <w:t>位郑重声明，根据《财政部民政部中国残疾人联合会关于促进</w:t>
      </w:r>
      <w:r>
        <w:rPr>
          <w:rFonts w:ascii="仿宋" w:hAnsi="仿宋" w:eastAsia="仿宋" w:cs="仿宋"/>
          <w:color w:val="auto"/>
          <w:sz w:val="28"/>
          <w:szCs w:val="28"/>
        </w:rPr>
        <w:t xml:space="preserve"> </w:t>
      </w:r>
      <w:r>
        <w:rPr>
          <w:rFonts w:ascii="仿宋" w:hAnsi="仿宋" w:eastAsia="仿宋" w:cs="仿宋"/>
          <w:color w:val="auto"/>
          <w:spacing w:val="4"/>
          <w:sz w:val="28"/>
          <w:szCs w:val="28"/>
        </w:rPr>
        <w:t>残疾人</w:t>
      </w:r>
      <w:r>
        <w:rPr>
          <w:rFonts w:ascii="仿宋" w:hAnsi="仿宋" w:eastAsia="仿宋" w:cs="仿宋"/>
          <w:color w:val="auto"/>
          <w:spacing w:val="2"/>
          <w:sz w:val="28"/>
          <w:szCs w:val="28"/>
        </w:rPr>
        <w:t>就业政府采购政策的通知》 (财库〔2017〕141 号) 的规定，本单</w:t>
      </w:r>
      <w:r>
        <w:rPr>
          <w:rFonts w:ascii="仿宋" w:hAnsi="仿宋" w:eastAsia="仿宋" w:cs="仿宋"/>
          <w:color w:val="auto"/>
          <w:sz w:val="28"/>
          <w:szCs w:val="28"/>
        </w:rPr>
        <w:t xml:space="preserve"> </w:t>
      </w:r>
      <w:r>
        <w:rPr>
          <w:rFonts w:ascii="仿宋" w:hAnsi="仿宋" w:eastAsia="仿宋" w:cs="仿宋"/>
          <w:color w:val="auto"/>
          <w:spacing w:val="4"/>
          <w:sz w:val="28"/>
          <w:szCs w:val="28"/>
        </w:rPr>
        <w:t>位为符合条件的残疾人福</w:t>
      </w:r>
      <w:r>
        <w:rPr>
          <w:rFonts w:ascii="仿宋" w:hAnsi="仿宋" w:eastAsia="仿宋" w:cs="仿宋"/>
          <w:color w:val="auto"/>
          <w:spacing w:val="2"/>
          <w:sz w:val="28"/>
          <w:szCs w:val="28"/>
        </w:rPr>
        <w:t xml:space="preserve">利性单位，且本单位参加 </w:t>
      </w:r>
      <w:r>
        <w:rPr>
          <w:rFonts w:ascii="仿宋" w:hAnsi="仿宋" w:eastAsia="仿宋" w:cs="仿宋"/>
          <w:color w:val="auto"/>
          <w:sz w:val="28"/>
          <w:szCs w:val="28"/>
          <w:u w:val="single" w:color="auto"/>
        </w:rPr>
        <w:t>XXXX</w:t>
      </w:r>
      <w:r>
        <w:rPr>
          <w:rFonts w:ascii="仿宋" w:hAnsi="仿宋" w:eastAsia="仿宋" w:cs="仿宋"/>
          <w:color w:val="auto"/>
          <w:spacing w:val="2"/>
          <w:sz w:val="28"/>
          <w:szCs w:val="28"/>
          <w:u w:val="single" w:color="auto"/>
        </w:rPr>
        <w:t xml:space="preserve"> </w:t>
      </w:r>
      <w:r>
        <w:rPr>
          <w:rFonts w:ascii="仿宋" w:hAnsi="仿宋" w:eastAsia="仿宋" w:cs="仿宋"/>
          <w:color w:val="auto"/>
          <w:spacing w:val="2"/>
          <w:sz w:val="28"/>
          <w:szCs w:val="28"/>
        </w:rPr>
        <w:t xml:space="preserve">单位的 </w:t>
      </w:r>
      <w:r>
        <w:rPr>
          <w:rFonts w:ascii="仿宋" w:hAnsi="仿宋" w:eastAsia="仿宋" w:cs="仿宋"/>
          <w:color w:val="auto"/>
          <w:sz w:val="28"/>
          <w:szCs w:val="28"/>
          <w:u w:val="single" w:color="auto"/>
        </w:rPr>
        <w:t>XXXX</w:t>
      </w:r>
      <w:r>
        <w:rPr>
          <w:rFonts w:ascii="仿宋" w:hAnsi="仿宋" w:eastAsia="仿宋" w:cs="仿宋"/>
          <w:color w:val="auto"/>
          <w:spacing w:val="2"/>
          <w:sz w:val="28"/>
          <w:szCs w:val="28"/>
          <w:u w:val="single" w:color="auto"/>
        </w:rPr>
        <w:t xml:space="preserve"> </w:t>
      </w:r>
      <w:r>
        <w:rPr>
          <w:rFonts w:ascii="仿宋" w:hAnsi="仿宋" w:eastAsia="仿宋" w:cs="仿宋"/>
          <w:color w:val="auto"/>
          <w:spacing w:val="2"/>
          <w:sz w:val="28"/>
          <w:szCs w:val="28"/>
        </w:rPr>
        <w:t>项</w:t>
      </w:r>
      <w:r>
        <w:rPr>
          <w:rFonts w:ascii="仿宋" w:hAnsi="仿宋" w:eastAsia="仿宋" w:cs="仿宋"/>
          <w:color w:val="auto"/>
          <w:sz w:val="28"/>
          <w:szCs w:val="28"/>
        </w:rPr>
        <w:t xml:space="preserve"> </w:t>
      </w:r>
      <w:r>
        <w:rPr>
          <w:rFonts w:ascii="仿宋" w:hAnsi="仿宋" w:eastAsia="仿宋" w:cs="仿宋"/>
          <w:color w:val="auto"/>
          <w:spacing w:val="9"/>
          <w:sz w:val="28"/>
          <w:szCs w:val="28"/>
        </w:rPr>
        <w:t>目采购活动由本单位承担工程</w:t>
      </w:r>
      <w:r>
        <w:rPr>
          <w:rFonts w:ascii="仿宋" w:hAnsi="仿宋" w:eastAsia="仿宋" w:cs="仿宋"/>
          <w:color w:val="auto"/>
          <w:spacing w:val="8"/>
          <w:sz w:val="28"/>
          <w:szCs w:val="28"/>
        </w:rPr>
        <w:t>。</w:t>
      </w:r>
    </w:p>
    <w:p>
      <w:pPr>
        <w:spacing w:before="1" w:line="220" w:lineRule="auto"/>
        <w:ind w:left="592"/>
        <w:rPr>
          <w:rFonts w:ascii="仿宋" w:hAnsi="仿宋" w:eastAsia="仿宋" w:cs="仿宋"/>
          <w:color w:val="auto"/>
          <w:sz w:val="28"/>
          <w:szCs w:val="28"/>
        </w:rPr>
      </w:pPr>
      <w:r>
        <w:rPr>
          <w:rFonts w:ascii="仿宋" w:hAnsi="仿宋" w:eastAsia="仿宋" w:cs="仿宋"/>
          <w:color w:val="auto"/>
          <w:spacing w:val="10"/>
          <w:sz w:val="28"/>
          <w:szCs w:val="28"/>
        </w:rPr>
        <w:t>本单位</w:t>
      </w:r>
      <w:r>
        <w:rPr>
          <w:rFonts w:ascii="仿宋" w:hAnsi="仿宋" w:eastAsia="仿宋" w:cs="仿宋"/>
          <w:color w:val="auto"/>
          <w:spacing w:val="5"/>
          <w:sz w:val="28"/>
          <w:szCs w:val="28"/>
        </w:rPr>
        <w:t>对上述声明的真实性负责。如有虚假，将依法承担相应责任。</w:t>
      </w:r>
    </w:p>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p>
      <w:pPr>
        <w:spacing w:before="91" w:line="222" w:lineRule="auto"/>
        <w:ind w:left="568"/>
        <w:rPr>
          <w:rFonts w:ascii="仿宋" w:hAnsi="仿宋" w:eastAsia="仿宋" w:cs="仿宋"/>
          <w:color w:val="auto"/>
          <w:sz w:val="28"/>
          <w:szCs w:val="28"/>
        </w:rPr>
      </w:pPr>
      <w:r>
        <w:rPr>
          <w:rFonts w:ascii="仿宋" w:hAnsi="仿宋" w:eastAsia="仿宋" w:cs="仿宋"/>
          <w:color w:val="auto"/>
          <w:spacing w:val="-2"/>
          <w:sz w:val="28"/>
          <w:szCs w:val="28"/>
        </w:rPr>
        <w:t>供应</w:t>
      </w:r>
      <w:r>
        <w:rPr>
          <w:rFonts w:ascii="仿宋" w:hAnsi="仿宋" w:eastAsia="仿宋" w:cs="仿宋"/>
          <w:color w:val="auto"/>
          <w:spacing w:val="-1"/>
          <w:sz w:val="28"/>
          <w:szCs w:val="28"/>
        </w:rPr>
        <w:t>商名称：XXXX (加盖公章)</w:t>
      </w:r>
    </w:p>
    <w:p>
      <w:pPr>
        <w:spacing w:before="278" w:line="223" w:lineRule="auto"/>
        <w:ind w:left="626"/>
        <w:rPr>
          <w:rFonts w:ascii="仿宋" w:hAnsi="仿宋" w:eastAsia="仿宋" w:cs="仿宋"/>
          <w:color w:val="auto"/>
          <w:sz w:val="28"/>
          <w:szCs w:val="28"/>
        </w:rPr>
      </w:pPr>
      <w:r>
        <w:rPr>
          <w:rFonts w:ascii="仿宋" w:hAnsi="仿宋" w:eastAsia="仿宋" w:cs="仿宋"/>
          <w:color w:val="auto"/>
          <w:spacing w:val="-28"/>
          <w:sz w:val="28"/>
          <w:szCs w:val="28"/>
        </w:rPr>
        <w:t>日</w:t>
      </w:r>
      <w:r>
        <w:rPr>
          <w:rFonts w:ascii="仿宋" w:hAnsi="仿宋" w:eastAsia="仿宋" w:cs="仿宋"/>
          <w:color w:val="auto"/>
          <w:spacing w:val="-17"/>
          <w:sz w:val="28"/>
          <w:szCs w:val="28"/>
        </w:rPr>
        <w:t>期：XXX 年 XXX 月 XXX 日</w:t>
      </w:r>
    </w:p>
    <w:p>
      <w:pPr>
        <w:spacing w:line="260" w:lineRule="auto"/>
        <w:rPr>
          <w:rFonts w:ascii="Arial"/>
          <w:color w:val="auto"/>
          <w:sz w:val="21"/>
        </w:rPr>
      </w:pPr>
    </w:p>
    <w:p>
      <w:pPr>
        <w:spacing w:line="261" w:lineRule="auto"/>
        <w:rPr>
          <w:rFonts w:ascii="Arial"/>
          <w:color w:val="auto"/>
          <w:sz w:val="21"/>
        </w:rPr>
      </w:pPr>
    </w:p>
    <w:p>
      <w:pPr>
        <w:spacing w:line="261" w:lineRule="auto"/>
        <w:rPr>
          <w:rFonts w:ascii="Arial"/>
          <w:color w:val="auto"/>
          <w:sz w:val="21"/>
        </w:rPr>
      </w:pPr>
    </w:p>
    <w:p>
      <w:pPr>
        <w:spacing w:line="261" w:lineRule="auto"/>
        <w:rPr>
          <w:rFonts w:ascii="Arial"/>
          <w:color w:val="auto"/>
          <w:sz w:val="21"/>
        </w:rPr>
      </w:pPr>
    </w:p>
    <w:p>
      <w:pPr>
        <w:spacing w:line="261" w:lineRule="auto"/>
        <w:rPr>
          <w:rFonts w:ascii="Arial"/>
          <w:color w:val="auto"/>
          <w:sz w:val="21"/>
        </w:rPr>
      </w:pPr>
    </w:p>
    <w:p>
      <w:pPr>
        <w:spacing w:line="261" w:lineRule="auto"/>
        <w:rPr>
          <w:rFonts w:ascii="Arial"/>
          <w:color w:val="auto"/>
          <w:sz w:val="21"/>
        </w:rPr>
      </w:pPr>
    </w:p>
    <w:p>
      <w:pPr>
        <w:spacing w:before="91" w:line="231" w:lineRule="auto"/>
        <w:ind w:left="13"/>
        <w:rPr>
          <w:rFonts w:ascii="仿宋" w:hAnsi="仿宋" w:eastAsia="仿宋" w:cs="仿宋"/>
          <w:color w:val="auto"/>
          <w:sz w:val="28"/>
          <w:szCs w:val="28"/>
        </w:rPr>
      </w:pPr>
      <w:r>
        <w:rPr>
          <w:rFonts w:ascii="仿宋" w:hAnsi="仿宋" w:eastAsia="仿宋" w:cs="仿宋"/>
          <w:color w:val="auto"/>
          <w:spacing w:val="-14"/>
          <w:sz w:val="28"/>
          <w:szCs w:val="28"/>
        </w:rPr>
        <w:t>注</w:t>
      </w:r>
      <w:r>
        <w:rPr>
          <w:rFonts w:ascii="仿宋" w:hAnsi="仿宋" w:eastAsia="仿宋" w:cs="仿宋"/>
          <w:color w:val="auto"/>
          <w:spacing w:val="-12"/>
          <w:sz w:val="28"/>
          <w:szCs w:val="28"/>
        </w:rPr>
        <w:t>：</w:t>
      </w:r>
    </w:p>
    <w:p>
      <w:pPr>
        <w:spacing w:before="195" w:line="359" w:lineRule="auto"/>
        <w:ind w:left="18" w:right="96" w:hanging="1"/>
        <w:rPr>
          <w:rFonts w:ascii="仿宋" w:hAnsi="仿宋" w:eastAsia="仿宋" w:cs="仿宋"/>
          <w:color w:val="auto"/>
          <w:sz w:val="28"/>
          <w:szCs w:val="28"/>
        </w:rPr>
      </w:pPr>
      <w:r>
        <w:rPr>
          <w:rFonts w:ascii="仿宋" w:hAnsi="仿宋" w:eastAsia="仿宋" w:cs="仿宋"/>
          <w:color w:val="auto"/>
          <w:spacing w:val="4"/>
          <w:sz w:val="28"/>
          <w:szCs w:val="28"/>
        </w:rPr>
        <w:t>1.残疾人福利性</w:t>
      </w:r>
      <w:r>
        <w:rPr>
          <w:rFonts w:ascii="仿宋" w:hAnsi="仿宋" w:eastAsia="仿宋" w:cs="仿宋"/>
          <w:color w:val="auto"/>
          <w:spacing w:val="3"/>
          <w:sz w:val="28"/>
          <w:szCs w:val="28"/>
        </w:rPr>
        <w:t>单</w:t>
      </w:r>
      <w:r>
        <w:rPr>
          <w:rFonts w:ascii="仿宋" w:hAnsi="仿宋" w:eastAsia="仿宋" w:cs="仿宋"/>
          <w:color w:val="auto"/>
          <w:spacing w:val="2"/>
          <w:sz w:val="28"/>
          <w:szCs w:val="28"/>
        </w:rPr>
        <w:t>位视同小型、微型企业，享受预留份额、评审中价格扣</w:t>
      </w:r>
      <w:r>
        <w:rPr>
          <w:rFonts w:ascii="仿宋" w:hAnsi="仿宋" w:eastAsia="仿宋" w:cs="仿宋"/>
          <w:color w:val="auto"/>
          <w:sz w:val="28"/>
          <w:szCs w:val="28"/>
        </w:rPr>
        <w:t xml:space="preserve"> </w:t>
      </w:r>
      <w:r>
        <w:rPr>
          <w:rFonts w:ascii="仿宋" w:hAnsi="仿宋" w:eastAsia="仿宋" w:cs="仿宋"/>
          <w:color w:val="auto"/>
          <w:spacing w:val="4"/>
          <w:sz w:val="28"/>
          <w:szCs w:val="28"/>
        </w:rPr>
        <w:t>除等促进中小企业发</w:t>
      </w:r>
      <w:r>
        <w:rPr>
          <w:rFonts w:ascii="仿宋" w:hAnsi="仿宋" w:eastAsia="仿宋" w:cs="仿宋"/>
          <w:color w:val="auto"/>
          <w:spacing w:val="2"/>
          <w:sz w:val="28"/>
          <w:szCs w:val="28"/>
        </w:rPr>
        <w:t>展的政府采购政策。残疾人福利性单位属于小型、微</w:t>
      </w:r>
      <w:r>
        <w:rPr>
          <w:rFonts w:ascii="仿宋" w:hAnsi="仿宋" w:eastAsia="仿宋" w:cs="仿宋"/>
          <w:color w:val="auto"/>
          <w:sz w:val="28"/>
          <w:szCs w:val="28"/>
        </w:rPr>
        <w:t xml:space="preserve"> </w:t>
      </w:r>
      <w:r>
        <w:rPr>
          <w:rFonts w:ascii="仿宋" w:hAnsi="仿宋" w:eastAsia="仿宋" w:cs="仿宋"/>
          <w:color w:val="auto"/>
          <w:spacing w:val="-4"/>
          <w:sz w:val="28"/>
          <w:szCs w:val="28"/>
        </w:rPr>
        <w:t>型企业</w:t>
      </w:r>
      <w:r>
        <w:rPr>
          <w:rFonts w:ascii="仿宋" w:hAnsi="仿宋" w:eastAsia="仿宋" w:cs="仿宋"/>
          <w:color w:val="auto"/>
          <w:spacing w:val="-2"/>
          <w:sz w:val="28"/>
          <w:szCs w:val="28"/>
        </w:rPr>
        <w:t>的，不重复享受政策。</w:t>
      </w:r>
    </w:p>
    <w:p>
      <w:pPr>
        <w:spacing w:before="2" w:line="367" w:lineRule="auto"/>
        <w:ind w:left="22" w:right="96" w:hanging="23"/>
        <w:rPr>
          <w:rFonts w:ascii="仿宋" w:hAnsi="仿宋" w:eastAsia="仿宋" w:cs="仿宋"/>
          <w:color w:val="auto"/>
          <w:sz w:val="28"/>
          <w:szCs w:val="28"/>
        </w:rPr>
      </w:pPr>
      <w:r>
        <w:rPr>
          <w:rFonts w:ascii="仿宋" w:hAnsi="仿宋" w:eastAsia="仿宋" w:cs="仿宋"/>
          <w:color w:val="auto"/>
          <w:spacing w:val="5"/>
          <w:sz w:val="28"/>
          <w:szCs w:val="28"/>
        </w:rPr>
        <w:t>2</w:t>
      </w:r>
      <w:r>
        <w:rPr>
          <w:rFonts w:ascii="仿宋" w:hAnsi="仿宋" w:eastAsia="仿宋" w:cs="仿宋"/>
          <w:color w:val="auto"/>
          <w:spacing w:val="3"/>
          <w:sz w:val="28"/>
          <w:szCs w:val="28"/>
        </w:rPr>
        <w:t>.供应商为非残疾人福利性单位的，不得提供此声明，提供此声明的，声</w:t>
      </w:r>
      <w:r>
        <w:rPr>
          <w:rFonts w:ascii="仿宋" w:hAnsi="仿宋" w:eastAsia="仿宋" w:cs="仿宋"/>
          <w:color w:val="auto"/>
          <w:sz w:val="28"/>
          <w:szCs w:val="28"/>
        </w:rPr>
        <w:t xml:space="preserve"> </w:t>
      </w:r>
      <w:r>
        <w:rPr>
          <w:rFonts w:ascii="仿宋" w:hAnsi="仿宋" w:eastAsia="仿宋" w:cs="仿宋"/>
          <w:color w:val="auto"/>
          <w:spacing w:val="-10"/>
          <w:sz w:val="28"/>
          <w:szCs w:val="28"/>
        </w:rPr>
        <w:t>明</w:t>
      </w:r>
      <w:r>
        <w:rPr>
          <w:rFonts w:ascii="仿宋" w:hAnsi="仿宋" w:eastAsia="仿宋" w:cs="仿宋"/>
          <w:color w:val="auto"/>
          <w:spacing w:val="-9"/>
          <w:sz w:val="28"/>
          <w:szCs w:val="28"/>
        </w:rPr>
        <w:t>无效。</w:t>
      </w:r>
    </w:p>
    <w:p>
      <w:pPr>
        <w:rPr>
          <w:color w:val="auto"/>
        </w:rPr>
        <w:sectPr>
          <w:footerReference r:id="rId5" w:type="default"/>
          <w:pgSz w:w="11907" w:h="16840"/>
          <w:pgMar w:top="400" w:right="1319" w:bottom="1463" w:left="1429" w:header="0" w:footer="1249" w:gutter="0"/>
          <w:pgNumType w:fmt="decimal"/>
          <w:cols w:space="720" w:num="1"/>
        </w:sectPr>
      </w:pPr>
    </w:p>
    <w:p>
      <w:pPr>
        <w:spacing w:before="91" w:line="224" w:lineRule="auto"/>
        <w:ind w:left="2848"/>
        <w:rPr>
          <w:rFonts w:ascii="仿宋" w:hAnsi="仿宋" w:eastAsia="仿宋" w:cs="仿宋"/>
          <w:color w:val="auto"/>
          <w:sz w:val="28"/>
          <w:szCs w:val="28"/>
        </w:rPr>
      </w:pPr>
      <w:r>
        <w:rPr>
          <w:rFonts w:ascii="仿宋" w:hAnsi="仿宋" w:eastAsia="仿宋" w:cs="仿宋"/>
          <w:color w:val="auto"/>
          <w:sz w:val="28"/>
          <w:szCs w:val="28"/>
          <w14:textOutline w14:w="5103" w14:cap="sq" w14:cmpd="sng">
            <w14:solidFill>
              <w14:srgbClr w14:val="000000"/>
            </w14:solidFill>
            <w14:prstDash w14:val="solid"/>
            <w14:bevel/>
          </w14:textOutline>
        </w:rPr>
        <w:t>2.9</w:t>
      </w:r>
      <w:r>
        <w:rPr>
          <w:rFonts w:ascii="仿宋" w:hAnsi="仿宋" w:eastAsia="仿宋" w:cs="仿宋"/>
          <w:color w:val="auto"/>
          <w:sz w:val="28"/>
          <w:szCs w:val="28"/>
        </w:rPr>
        <w:t xml:space="preserve"> </w:t>
      </w:r>
      <w:r>
        <w:rPr>
          <w:rFonts w:ascii="仿宋" w:hAnsi="仿宋" w:eastAsia="仿宋" w:cs="仿宋"/>
          <w:color w:val="auto"/>
          <w:sz w:val="28"/>
          <w:szCs w:val="28"/>
          <w14:textOutline w14:w="5103" w14:cap="sq" w14:cmpd="sng">
            <w14:solidFill>
              <w14:srgbClr w14:val="000000"/>
            </w14:solidFill>
            <w14:prstDash w14:val="solid"/>
            <w14:bevel/>
          </w14:textOutline>
        </w:rPr>
        <w:t>监狱企业证明</w:t>
      </w:r>
      <w:r>
        <w:rPr>
          <w:rFonts w:ascii="仿宋" w:hAnsi="仿宋" w:eastAsia="仿宋" w:cs="仿宋"/>
          <w:color w:val="auto"/>
          <w:sz w:val="28"/>
          <w:szCs w:val="28"/>
        </w:rPr>
        <w:t xml:space="preserve"> </w:t>
      </w:r>
      <w:r>
        <w:rPr>
          <w:rFonts w:ascii="仿宋" w:hAnsi="仿宋" w:eastAsia="仿宋" w:cs="仿宋"/>
          <w:color w:val="auto"/>
          <w:sz w:val="28"/>
          <w:szCs w:val="28"/>
          <w14:textOutline w14:w="5103" w14:cap="sq" w14:cmpd="sng">
            <w14:solidFill>
              <w14:srgbClr w14:val="000000"/>
            </w14:solidFill>
            <w14:prstDash w14:val="solid"/>
            <w14:bevel/>
          </w14:textOutline>
        </w:rPr>
        <w:t>(可选)</w:t>
      </w:r>
    </w:p>
    <w:p>
      <w:pPr>
        <w:spacing w:line="286" w:lineRule="auto"/>
        <w:rPr>
          <w:rFonts w:ascii="Arial"/>
          <w:color w:val="auto"/>
          <w:sz w:val="21"/>
        </w:rPr>
      </w:pPr>
    </w:p>
    <w:p>
      <w:pPr>
        <w:spacing w:line="287" w:lineRule="auto"/>
        <w:rPr>
          <w:rFonts w:ascii="Arial"/>
          <w:color w:val="auto"/>
          <w:sz w:val="21"/>
        </w:rPr>
      </w:pPr>
    </w:p>
    <w:p>
      <w:pPr>
        <w:spacing w:line="287" w:lineRule="auto"/>
        <w:rPr>
          <w:rFonts w:ascii="Arial"/>
          <w:color w:val="auto"/>
          <w:sz w:val="21"/>
        </w:rPr>
      </w:pPr>
    </w:p>
    <w:p>
      <w:pPr>
        <w:spacing w:line="287" w:lineRule="auto"/>
        <w:rPr>
          <w:rFonts w:ascii="Arial"/>
          <w:color w:val="auto"/>
          <w:sz w:val="21"/>
        </w:rPr>
      </w:pPr>
    </w:p>
    <w:p>
      <w:pPr>
        <w:spacing w:line="287" w:lineRule="auto"/>
        <w:rPr>
          <w:rFonts w:ascii="Arial"/>
          <w:color w:val="auto"/>
          <w:sz w:val="21"/>
        </w:rPr>
      </w:pPr>
    </w:p>
    <w:p>
      <w:pPr>
        <w:spacing w:before="91" w:line="414" w:lineRule="auto"/>
        <w:ind w:left="8" w:firstLine="566"/>
        <w:rPr>
          <w:rFonts w:ascii="仿宋" w:hAnsi="仿宋" w:eastAsia="仿宋" w:cs="仿宋"/>
          <w:color w:val="auto"/>
          <w:sz w:val="28"/>
          <w:szCs w:val="28"/>
        </w:rPr>
      </w:pPr>
      <w:r>
        <w:rPr>
          <w:rFonts w:ascii="仿宋" w:hAnsi="仿宋" w:eastAsia="仿宋" w:cs="仿宋"/>
          <w:color w:val="auto"/>
          <w:spacing w:val="4"/>
          <w:sz w:val="28"/>
          <w:szCs w:val="28"/>
        </w:rPr>
        <w:t>注：1.监狱企业参加</w:t>
      </w:r>
      <w:r>
        <w:rPr>
          <w:rFonts w:ascii="仿宋" w:hAnsi="仿宋" w:eastAsia="仿宋" w:cs="仿宋"/>
          <w:color w:val="auto"/>
          <w:spacing w:val="3"/>
          <w:sz w:val="28"/>
          <w:szCs w:val="28"/>
        </w:rPr>
        <w:t>政</w:t>
      </w:r>
      <w:r>
        <w:rPr>
          <w:rFonts w:ascii="仿宋" w:hAnsi="仿宋" w:eastAsia="仿宋" w:cs="仿宋"/>
          <w:color w:val="auto"/>
          <w:spacing w:val="2"/>
          <w:sz w:val="28"/>
          <w:szCs w:val="28"/>
        </w:rPr>
        <w:t>府采购活动时，应当提供由省级以上监狱管理</w:t>
      </w:r>
      <w:r>
        <w:rPr>
          <w:rFonts w:ascii="仿宋" w:hAnsi="仿宋" w:eastAsia="仿宋" w:cs="仿宋"/>
          <w:color w:val="auto"/>
          <w:sz w:val="28"/>
          <w:szCs w:val="28"/>
        </w:rPr>
        <w:t xml:space="preserve"> </w:t>
      </w:r>
      <w:r>
        <w:rPr>
          <w:rFonts w:ascii="仿宋" w:hAnsi="仿宋" w:eastAsia="仿宋" w:cs="仿宋"/>
          <w:color w:val="auto"/>
          <w:spacing w:val="-5"/>
          <w:sz w:val="28"/>
          <w:szCs w:val="28"/>
        </w:rPr>
        <w:t>局</w:t>
      </w:r>
      <w:r>
        <w:rPr>
          <w:rFonts w:ascii="仿宋" w:hAnsi="仿宋" w:eastAsia="仿宋" w:cs="仿宋"/>
          <w:color w:val="auto"/>
          <w:spacing w:val="-3"/>
          <w:sz w:val="28"/>
          <w:szCs w:val="28"/>
        </w:rPr>
        <w:t>、戒毒管理局 (含新疆生产建设兵团) 出具的属于监狱企业的证明文件，</w:t>
      </w:r>
      <w:r>
        <w:rPr>
          <w:rFonts w:ascii="仿宋" w:hAnsi="仿宋" w:eastAsia="仿宋" w:cs="仿宋"/>
          <w:color w:val="auto"/>
          <w:sz w:val="28"/>
          <w:szCs w:val="28"/>
        </w:rPr>
        <w:t xml:space="preserve"> </w:t>
      </w:r>
      <w:r>
        <w:rPr>
          <w:rFonts w:ascii="仿宋" w:hAnsi="仿宋" w:eastAsia="仿宋" w:cs="仿宋"/>
          <w:color w:val="auto"/>
          <w:spacing w:val="-4"/>
          <w:sz w:val="28"/>
          <w:szCs w:val="28"/>
        </w:rPr>
        <w:t>并加</w:t>
      </w:r>
      <w:r>
        <w:rPr>
          <w:rFonts w:ascii="仿宋" w:hAnsi="仿宋" w:eastAsia="仿宋" w:cs="仿宋"/>
          <w:color w:val="auto"/>
          <w:spacing w:val="-3"/>
          <w:sz w:val="28"/>
          <w:szCs w:val="28"/>
        </w:rPr>
        <w:t>盖</w:t>
      </w:r>
      <w:r>
        <w:rPr>
          <w:rFonts w:ascii="仿宋" w:hAnsi="仿宋" w:eastAsia="仿宋" w:cs="仿宋"/>
          <w:color w:val="auto"/>
          <w:spacing w:val="-2"/>
          <w:sz w:val="28"/>
          <w:szCs w:val="28"/>
        </w:rPr>
        <w:t>单位公章。</w:t>
      </w:r>
    </w:p>
    <w:p>
      <w:pPr>
        <w:spacing w:before="147" w:line="415" w:lineRule="auto"/>
        <w:ind w:left="6" w:hanging="7"/>
        <w:rPr>
          <w:rFonts w:ascii="仿宋" w:hAnsi="仿宋" w:eastAsia="仿宋" w:cs="仿宋"/>
          <w:color w:val="auto"/>
          <w:spacing w:val="-2"/>
          <w:sz w:val="28"/>
          <w:szCs w:val="28"/>
        </w:rPr>
        <w:sectPr>
          <w:headerReference r:id="rId6" w:type="default"/>
          <w:footerReference r:id="rId7" w:type="default"/>
          <w:footerReference r:id="rId8" w:type="even"/>
          <w:pgSz w:w="11906" w:h="16838"/>
          <w:pgMar w:top="1440" w:right="1646" w:bottom="1438" w:left="1800" w:header="851" w:footer="992" w:gutter="0"/>
          <w:pgNumType w:fmt="decimal"/>
          <w:cols w:space="720" w:num="1"/>
          <w:titlePg/>
          <w:docGrid w:type="lines" w:linePitch="312" w:charSpace="0"/>
        </w:sectPr>
      </w:pPr>
      <w:r>
        <w:rPr>
          <w:rFonts w:ascii="仿宋" w:hAnsi="仿宋" w:eastAsia="仿宋" w:cs="仿宋"/>
          <w:color w:val="auto"/>
          <w:spacing w:val="3"/>
          <w:sz w:val="28"/>
          <w:szCs w:val="28"/>
        </w:rPr>
        <w:t>2.监狱企业视同小型、微型企业，享受预留份额、评审中价格扣除等政</w:t>
      </w:r>
      <w:r>
        <w:rPr>
          <w:rFonts w:ascii="仿宋" w:hAnsi="仿宋" w:eastAsia="仿宋" w:cs="仿宋"/>
          <w:color w:val="auto"/>
          <w:spacing w:val="2"/>
          <w:sz w:val="28"/>
          <w:szCs w:val="28"/>
        </w:rPr>
        <w:t>府</w:t>
      </w:r>
      <w:r>
        <w:rPr>
          <w:rFonts w:ascii="仿宋" w:hAnsi="仿宋" w:eastAsia="仿宋" w:cs="仿宋"/>
          <w:color w:val="auto"/>
          <w:sz w:val="28"/>
          <w:szCs w:val="28"/>
        </w:rPr>
        <w:t xml:space="preserve"> </w:t>
      </w:r>
      <w:r>
        <w:rPr>
          <w:rFonts w:ascii="仿宋" w:hAnsi="仿宋" w:eastAsia="仿宋" w:cs="仿宋"/>
          <w:color w:val="auto"/>
          <w:spacing w:val="-6"/>
          <w:sz w:val="28"/>
          <w:szCs w:val="28"/>
        </w:rPr>
        <w:t>采购</w:t>
      </w:r>
      <w:r>
        <w:rPr>
          <w:rFonts w:ascii="仿宋" w:hAnsi="仿宋" w:eastAsia="仿宋" w:cs="仿宋"/>
          <w:color w:val="auto"/>
          <w:spacing w:val="-4"/>
          <w:sz w:val="28"/>
          <w:szCs w:val="28"/>
        </w:rPr>
        <w:t>促</w:t>
      </w:r>
      <w:r>
        <w:rPr>
          <w:rFonts w:ascii="仿宋" w:hAnsi="仿宋" w:eastAsia="仿宋" w:cs="仿宋"/>
          <w:color w:val="auto"/>
          <w:spacing w:val="-3"/>
          <w:sz w:val="28"/>
          <w:szCs w:val="28"/>
        </w:rPr>
        <w:t>进中小企业发展的政府采购政策。监狱企业属于小型、微型企业的，</w:t>
      </w:r>
      <w:r>
        <w:rPr>
          <w:rFonts w:ascii="仿宋" w:hAnsi="仿宋" w:eastAsia="仿宋" w:cs="仿宋"/>
          <w:color w:val="auto"/>
          <w:sz w:val="28"/>
          <w:szCs w:val="28"/>
        </w:rPr>
        <w:t xml:space="preserve"> </w:t>
      </w:r>
      <w:r>
        <w:rPr>
          <w:rFonts w:ascii="仿宋" w:hAnsi="仿宋" w:eastAsia="仿宋" w:cs="仿宋"/>
          <w:color w:val="auto"/>
          <w:spacing w:val="-4"/>
          <w:sz w:val="28"/>
          <w:szCs w:val="28"/>
        </w:rPr>
        <w:t>不重</w:t>
      </w:r>
      <w:r>
        <w:rPr>
          <w:rFonts w:ascii="仿宋" w:hAnsi="仿宋" w:eastAsia="仿宋" w:cs="仿宋"/>
          <w:color w:val="auto"/>
          <w:spacing w:val="-2"/>
          <w:sz w:val="28"/>
          <w:szCs w:val="28"/>
        </w:rPr>
        <w:t>复享受政策。</w:t>
      </w:r>
    </w:p>
    <w:p>
      <w:pPr>
        <w:pStyle w:val="35"/>
        <w:jc w:val="center"/>
        <w:rPr>
          <w:rFonts w:hint="eastAsia" w:ascii="宋体" w:hAnsi="宋体" w:cs="宋体"/>
          <w:color w:val="auto"/>
          <w:kern w:val="0"/>
          <w:sz w:val="36"/>
          <w:szCs w:val="36"/>
        </w:rPr>
      </w:pPr>
      <w:r>
        <w:rPr>
          <w:rFonts w:hint="eastAsia" w:ascii="宋体" w:hAnsi="宋体" w:cs="宋体"/>
          <w:color w:val="auto"/>
          <w:kern w:val="0"/>
          <w:sz w:val="36"/>
          <w:szCs w:val="36"/>
        </w:rPr>
        <w:t>中小企业划型标准</w:t>
      </w:r>
    </w:p>
    <w:tbl>
      <w:tblPr>
        <w:tblStyle w:val="20"/>
        <w:tblW w:w="9589" w:type="dxa"/>
        <w:tblInd w:w="-1046" w:type="dxa"/>
        <w:tblLayout w:type="fixed"/>
        <w:tblCellMar>
          <w:top w:w="0" w:type="dxa"/>
          <w:left w:w="108" w:type="dxa"/>
          <w:bottom w:w="0" w:type="dxa"/>
          <w:right w:w="108" w:type="dxa"/>
        </w:tblCellMar>
      </w:tblPr>
      <w:tblGrid>
        <w:gridCol w:w="635"/>
        <w:gridCol w:w="704"/>
        <w:gridCol w:w="773"/>
        <w:gridCol w:w="761"/>
        <w:gridCol w:w="666"/>
        <w:gridCol w:w="684"/>
        <w:gridCol w:w="554"/>
        <w:gridCol w:w="589"/>
        <w:gridCol w:w="738"/>
        <w:gridCol w:w="612"/>
        <w:gridCol w:w="657"/>
        <w:gridCol w:w="762"/>
        <w:gridCol w:w="681"/>
        <w:gridCol w:w="773"/>
      </w:tblGrid>
      <w:tr>
        <w:tblPrEx>
          <w:tblCellMar>
            <w:top w:w="0" w:type="dxa"/>
            <w:left w:w="108" w:type="dxa"/>
            <w:bottom w:w="0" w:type="dxa"/>
            <w:right w:w="108" w:type="dxa"/>
          </w:tblCellMar>
        </w:tblPrEx>
        <w:trPr>
          <w:trHeight w:val="740" w:hRule="atLeast"/>
          <w:tblHeader/>
        </w:trPr>
        <w:tc>
          <w:tcPr>
            <w:tcW w:w="635" w:type="dxa"/>
            <w:vMerge w:val="restart"/>
            <w:tcBorders>
              <w:top w:val="single" w:color="auto" w:sz="4" w:space="0"/>
              <w:left w:val="single" w:color="auto" w:sz="4" w:space="0"/>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序号</w:t>
            </w:r>
          </w:p>
        </w:tc>
        <w:tc>
          <w:tcPr>
            <w:tcW w:w="704" w:type="dxa"/>
            <w:vMerge w:val="restart"/>
            <w:tcBorders>
              <w:top w:val="single" w:color="auto" w:sz="4" w:space="0"/>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行业</w:t>
            </w:r>
          </w:p>
        </w:tc>
        <w:tc>
          <w:tcPr>
            <w:tcW w:w="2200" w:type="dxa"/>
            <w:gridSpan w:val="3"/>
            <w:tcBorders>
              <w:top w:val="single" w:color="auto" w:sz="4" w:space="0"/>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大型企业</w:t>
            </w:r>
          </w:p>
        </w:tc>
        <w:tc>
          <w:tcPr>
            <w:tcW w:w="1827" w:type="dxa"/>
            <w:gridSpan w:val="3"/>
            <w:tcBorders>
              <w:top w:val="single" w:color="auto" w:sz="4" w:space="0"/>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中型企业</w:t>
            </w:r>
          </w:p>
        </w:tc>
        <w:tc>
          <w:tcPr>
            <w:tcW w:w="2007" w:type="dxa"/>
            <w:gridSpan w:val="3"/>
            <w:tcBorders>
              <w:top w:val="single" w:color="auto" w:sz="4" w:space="0"/>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小型企业</w:t>
            </w:r>
          </w:p>
        </w:tc>
        <w:tc>
          <w:tcPr>
            <w:tcW w:w="2216" w:type="dxa"/>
            <w:gridSpan w:val="3"/>
            <w:tcBorders>
              <w:top w:val="single" w:color="auto" w:sz="4" w:space="0"/>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微型企业</w:t>
            </w:r>
          </w:p>
        </w:tc>
      </w:tr>
      <w:tr>
        <w:tblPrEx>
          <w:tblCellMar>
            <w:top w:w="0" w:type="dxa"/>
            <w:left w:w="108" w:type="dxa"/>
            <w:bottom w:w="0" w:type="dxa"/>
            <w:right w:w="108" w:type="dxa"/>
          </w:tblCellMar>
        </w:tblPrEx>
        <w:trPr>
          <w:trHeight w:val="1102" w:hRule="atLeast"/>
          <w:tblHeader/>
        </w:trPr>
        <w:tc>
          <w:tcPr>
            <w:tcW w:w="635" w:type="dxa"/>
            <w:vMerge w:val="continue"/>
            <w:tcBorders>
              <w:top w:val="single" w:color="auto" w:sz="4" w:space="0"/>
              <w:left w:val="single" w:color="auto" w:sz="4" w:space="0"/>
              <w:bottom w:val="single" w:color="auto" w:sz="4" w:space="0"/>
              <w:right w:val="single" w:color="auto" w:sz="4" w:space="0"/>
            </w:tcBorders>
            <w:noWrap w:val="0"/>
            <w:vAlign w:val="center"/>
          </w:tcPr>
          <w:p>
            <w:pPr>
              <w:pStyle w:val="35"/>
              <w:widowControl/>
              <w:jc w:val="left"/>
              <w:rPr>
                <w:rFonts w:ascii="宋体" w:hAnsi="宋体" w:cs="宋体"/>
                <w:color w:val="auto"/>
                <w:kern w:val="0"/>
                <w:sz w:val="15"/>
                <w:szCs w:val="15"/>
              </w:rPr>
            </w:pPr>
          </w:p>
        </w:tc>
        <w:tc>
          <w:tcPr>
            <w:tcW w:w="704" w:type="dxa"/>
            <w:vMerge w:val="continue"/>
            <w:tcBorders>
              <w:top w:val="single" w:color="auto" w:sz="4" w:space="0"/>
              <w:left w:val="nil"/>
              <w:bottom w:val="single" w:color="auto" w:sz="4" w:space="0"/>
              <w:right w:val="single" w:color="auto" w:sz="4" w:space="0"/>
            </w:tcBorders>
            <w:noWrap w:val="0"/>
            <w:vAlign w:val="center"/>
          </w:tcPr>
          <w:p>
            <w:pPr>
              <w:pStyle w:val="35"/>
              <w:widowControl/>
              <w:jc w:val="left"/>
              <w:rPr>
                <w:rFonts w:ascii="宋体" w:hAnsi="宋体" w:cs="宋体"/>
                <w:color w:val="auto"/>
                <w:kern w:val="0"/>
                <w:sz w:val="15"/>
                <w:szCs w:val="15"/>
              </w:rPr>
            </w:pPr>
          </w:p>
        </w:tc>
        <w:tc>
          <w:tcPr>
            <w:tcW w:w="773"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营业收入</w:t>
            </w:r>
          </w:p>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(万元)</w:t>
            </w:r>
          </w:p>
        </w:tc>
        <w:tc>
          <w:tcPr>
            <w:tcW w:w="761"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从业人员</w:t>
            </w:r>
          </w:p>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(人)</w:t>
            </w:r>
          </w:p>
        </w:tc>
        <w:tc>
          <w:tcPr>
            <w:tcW w:w="666"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总资产</w:t>
            </w:r>
          </w:p>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(万元)</w:t>
            </w:r>
          </w:p>
        </w:tc>
        <w:tc>
          <w:tcPr>
            <w:tcW w:w="684"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营业收入</w:t>
            </w:r>
          </w:p>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(万元)</w:t>
            </w:r>
          </w:p>
        </w:tc>
        <w:tc>
          <w:tcPr>
            <w:tcW w:w="554"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从业人员</w:t>
            </w:r>
          </w:p>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(人)</w:t>
            </w:r>
          </w:p>
        </w:tc>
        <w:tc>
          <w:tcPr>
            <w:tcW w:w="589"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总资产</w:t>
            </w:r>
          </w:p>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(万元)</w:t>
            </w:r>
          </w:p>
        </w:tc>
        <w:tc>
          <w:tcPr>
            <w:tcW w:w="738"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营业收入</w:t>
            </w:r>
          </w:p>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(万元)</w:t>
            </w:r>
          </w:p>
        </w:tc>
        <w:tc>
          <w:tcPr>
            <w:tcW w:w="612" w:type="dxa"/>
            <w:tcBorders>
              <w:top w:val="nil"/>
              <w:left w:val="nil"/>
              <w:bottom w:val="single" w:color="auto" w:sz="4" w:space="0"/>
              <w:right w:val="single" w:color="auto" w:sz="4" w:space="0"/>
            </w:tcBorders>
            <w:noWrap w:val="0"/>
            <w:vAlign w:val="center"/>
          </w:tcPr>
          <w:p>
            <w:pPr>
              <w:pStyle w:val="35"/>
              <w:widowControl/>
              <w:spacing w:line="240" w:lineRule="atLeast"/>
              <w:ind w:left="22" w:leftChars="-40" w:right="-65" w:rightChars="-27" w:hanging="118" w:hangingChars="79"/>
              <w:jc w:val="center"/>
              <w:rPr>
                <w:rFonts w:ascii="宋体" w:hAnsi="宋体" w:cs="宋体"/>
                <w:color w:val="auto"/>
                <w:kern w:val="0"/>
                <w:sz w:val="15"/>
                <w:szCs w:val="15"/>
              </w:rPr>
            </w:pPr>
            <w:r>
              <w:rPr>
                <w:rFonts w:hint="eastAsia" w:ascii="宋体" w:hAnsi="宋体" w:cs="宋体"/>
                <w:color w:val="auto"/>
                <w:kern w:val="0"/>
                <w:sz w:val="15"/>
                <w:szCs w:val="15"/>
              </w:rPr>
              <w:t>从业人员</w:t>
            </w:r>
          </w:p>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(人)</w:t>
            </w:r>
          </w:p>
        </w:tc>
        <w:tc>
          <w:tcPr>
            <w:tcW w:w="657"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总资产</w:t>
            </w:r>
          </w:p>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(万元)</w:t>
            </w:r>
          </w:p>
        </w:tc>
        <w:tc>
          <w:tcPr>
            <w:tcW w:w="762"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营业收入</w:t>
            </w:r>
          </w:p>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(万元)</w:t>
            </w:r>
          </w:p>
        </w:tc>
        <w:tc>
          <w:tcPr>
            <w:tcW w:w="681"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从业人员</w:t>
            </w:r>
          </w:p>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(人)</w:t>
            </w:r>
          </w:p>
        </w:tc>
        <w:tc>
          <w:tcPr>
            <w:tcW w:w="773"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总资产</w:t>
            </w:r>
          </w:p>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(万元)</w:t>
            </w:r>
          </w:p>
        </w:tc>
      </w:tr>
      <w:tr>
        <w:tblPrEx>
          <w:tblCellMar>
            <w:top w:w="0" w:type="dxa"/>
            <w:left w:w="108" w:type="dxa"/>
            <w:bottom w:w="0" w:type="dxa"/>
            <w:right w:w="108" w:type="dxa"/>
          </w:tblCellMar>
        </w:tblPrEx>
        <w:trPr>
          <w:trHeight w:val="710" w:hRule="atLeast"/>
        </w:trPr>
        <w:tc>
          <w:tcPr>
            <w:tcW w:w="635" w:type="dxa"/>
            <w:tcBorders>
              <w:top w:val="single" w:color="auto" w:sz="4" w:space="0"/>
              <w:left w:val="single" w:color="auto" w:sz="4" w:space="0"/>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1</w:t>
            </w:r>
          </w:p>
        </w:tc>
        <w:tc>
          <w:tcPr>
            <w:tcW w:w="704" w:type="dxa"/>
            <w:tcBorders>
              <w:top w:val="single" w:color="auto" w:sz="4" w:space="0"/>
              <w:left w:val="nil"/>
              <w:bottom w:val="single" w:color="auto" w:sz="4" w:space="0"/>
              <w:right w:val="single" w:color="auto" w:sz="4" w:space="0"/>
            </w:tcBorders>
            <w:noWrap w:val="0"/>
            <w:vAlign w:val="center"/>
          </w:tcPr>
          <w:p>
            <w:pPr>
              <w:pStyle w:val="35"/>
              <w:widowControl/>
              <w:spacing w:line="240" w:lineRule="atLeast"/>
              <w:ind w:left="-96" w:leftChars="-40" w:right="-65" w:rightChars="-27"/>
              <w:jc w:val="left"/>
              <w:rPr>
                <w:rFonts w:ascii="宋体" w:hAnsi="宋体" w:cs="宋体"/>
                <w:color w:val="auto"/>
                <w:kern w:val="0"/>
                <w:sz w:val="15"/>
                <w:szCs w:val="15"/>
              </w:rPr>
            </w:pPr>
            <w:r>
              <w:rPr>
                <w:rFonts w:hint="eastAsia" w:ascii="宋体" w:hAnsi="宋体" w:cs="宋体"/>
                <w:color w:val="auto"/>
                <w:kern w:val="0"/>
                <w:sz w:val="15"/>
                <w:szCs w:val="15"/>
              </w:rPr>
              <w:t>农、林、牧、渔业</w:t>
            </w:r>
          </w:p>
        </w:tc>
        <w:tc>
          <w:tcPr>
            <w:tcW w:w="773" w:type="dxa"/>
            <w:tcBorders>
              <w:top w:val="single" w:color="auto" w:sz="4" w:space="0"/>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≥20000</w:t>
            </w:r>
          </w:p>
        </w:tc>
        <w:tc>
          <w:tcPr>
            <w:tcW w:w="761"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　</w:t>
            </w:r>
          </w:p>
        </w:tc>
        <w:tc>
          <w:tcPr>
            <w:tcW w:w="666"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　</w:t>
            </w:r>
          </w:p>
        </w:tc>
        <w:tc>
          <w:tcPr>
            <w:tcW w:w="684"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≥500</w:t>
            </w:r>
          </w:p>
        </w:tc>
        <w:tc>
          <w:tcPr>
            <w:tcW w:w="554"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　</w:t>
            </w:r>
          </w:p>
        </w:tc>
        <w:tc>
          <w:tcPr>
            <w:tcW w:w="589"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　</w:t>
            </w:r>
          </w:p>
        </w:tc>
        <w:tc>
          <w:tcPr>
            <w:tcW w:w="738"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≥50</w:t>
            </w:r>
          </w:p>
        </w:tc>
        <w:tc>
          <w:tcPr>
            <w:tcW w:w="612"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　</w:t>
            </w:r>
          </w:p>
        </w:tc>
        <w:tc>
          <w:tcPr>
            <w:tcW w:w="657"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　</w:t>
            </w:r>
          </w:p>
        </w:tc>
        <w:tc>
          <w:tcPr>
            <w:tcW w:w="762"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＜50</w:t>
            </w:r>
          </w:p>
        </w:tc>
        <w:tc>
          <w:tcPr>
            <w:tcW w:w="681" w:type="dxa"/>
            <w:tcBorders>
              <w:top w:val="nil"/>
              <w:left w:val="nil"/>
              <w:bottom w:val="single" w:color="auto" w:sz="4" w:space="0"/>
              <w:right w:val="single" w:color="auto" w:sz="4" w:space="0"/>
            </w:tcBorders>
            <w:noWrap w:val="0"/>
            <w:vAlign w:val="bottom"/>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　</w:t>
            </w:r>
          </w:p>
        </w:tc>
        <w:tc>
          <w:tcPr>
            <w:tcW w:w="773" w:type="dxa"/>
            <w:tcBorders>
              <w:top w:val="nil"/>
              <w:left w:val="nil"/>
              <w:bottom w:val="single" w:color="auto" w:sz="4" w:space="0"/>
              <w:right w:val="single" w:color="auto" w:sz="4" w:space="0"/>
            </w:tcBorders>
            <w:noWrap w:val="0"/>
            <w:vAlign w:val="bottom"/>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　</w:t>
            </w:r>
          </w:p>
        </w:tc>
      </w:tr>
      <w:tr>
        <w:tblPrEx>
          <w:tblCellMar>
            <w:top w:w="0" w:type="dxa"/>
            <w:left w:w="108" w:type="dxa"/>
            <w:bottom w:w="0" w:type="dxa"/>
            <w:right w:w="108" w:type="dxa"/>
          </w:tblCellMar>
        </w:tblPrEx>
        <w:trPr>
          <w:trHeight w:val="559" w:hRule="atLeast"/>
        </w:trPr>
        <w:tc>
          <w:tcPr>
            <w:tcW w:w="635" w:type="dxa"/>
            <w:tcBorders>
              <w:top w:val="nil"/>
              <w:left w:val="single" w:color="auto" w:sz="4" w:space="0"/>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2</w:t>
            </w:r>
          </w:p>
        </w:tc>
        <w:tc>
          <w:tcPr>
            <w:tcW w:w="704"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left"/>
              <w:rPr>
                <w:rFonts w:ascii="宋体" w:hAnsi="宋体" w:cs="宋体"/>
                <w:color w:val="auto"/>
                <w:kern w:val="0"/>
                <w:sz w:val="15"/>
                <w:szCs w:val="15"/>
              </w:rPr>
            </w:pPr>
            <w:r>
              <w:rPr>
                <w:rFonts w:hint="eastAsia" w:ascii="宋体" w:hAnsi="宋体" w:cs="宋体"/>
                <w:color w:val="auto"/>
                <w:kern w:val="0"/>
                <w:sz w:val="15"/>
                <w:szCs w:val="15"/>
              </w:rPr>
              <w:t>工业</w:t>
            </w:r>
          </w:p>
        </w:tc>
        <w:tc>
          <w:tcPr>
            <w:tcW w:w="773"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≥40000</w:t>
            </w:r>
          </w:p>
        </w:tc>
        <w:tc>
          <w:tcPr>
            <w:tcW w:w="761"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≥1000</w:t>
            </w:r>
          </w:p>
        </w:tc>
        <w:tc>
          <w:tcPr>
            <w:tcW w:w="666"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　</w:t>
            </w:r>
          </w:p>
        </w:tc>
        <w:tc>
          <w:tcPr>
            <w:tcW w:w="684"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≥2000</w:t>
            </w:r>
          </w:p>
        </w:tc>
        <w:tc>
          <w:tcPr>
            <w:tcW w:w="554"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≥300</w:t>
            </w:r>
          </w:p>
        </w:tc>
        <w:tc>
          <w:tcPr>
            <w:tcW w:w="589"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　</w:t>
            </w:r>
          </w:p>
        </w:tc>
        <w:tc>
          <w:tcPr>
            <w:tcW w:w="738"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≥300</w:t>
            </w:r>
          </w:p>
        </w:tc>
        <w:tc>
          <w:tcPr>
            <w:tcW w:w="612"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≥20</w:t>
            </w:r>
          </w:p>
        </w:tc>
        <w:tc>
          <w:tcPr>
            <w:tcW w:w="657"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　</w:t>
            </w:r>
          </w:p>
        </w:tc>
        <w:tc>
          <w:tcPr>
            <w:tcW w:w="762"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＜300</w:t>
            </w:r>
          </w:p>
        </w:tc>
        <w:tc>
          <w:tcPr>
            <w:tcW w:w="681"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＜20</w:t>
            </w:r>
          </w:p>
        </w:tc>
        <w:tc>
          <w:tcPr>
            <w:tcW w:w="773" w:type="dxa"/>
            <w:tcBorders>
              <w:top w:val="nil"/>
              <w:left w:val="nil"/>
              <w:bottom w:val="single" w:color="auto" w:sz="4" w:space="0"/>
              <w:right w:val="single" w:color="auto" w:sz="4" w:space="0"/>
            </w:tcBorders>
            <w:noWrap w:val="0"/>
            <w:vAlign w:val="bottom"/>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　</w:t>
            </w:r>
          </w:p>
        </w:tc>
      </w:tr>
      <w:tr>
        <w:tblPrEx>
          <w:tblCellMar>
            <w:top w:w="0" w:type="dxa"/>
            <w:left w:w="108" w:type="dxa"/>
            <w:bottom w:w="0" w:type="dxa"/>
            <w:right w:w="108" w:type="dxa"/>
          </w:tblCellMar>
        </w:tblPrEx>
        <w:trPr>
          <w:trHeight w:val="559" w:hRule="atLeast"/>
        </w:trPr>
        <w:tc>
          <w:tcPr>
            <w:tcW w:w="635" w:type="dxa"/>
            <w:tcBorders>
              <w:top w:val="nil"/>
              <w:left w:val="single" w:color="auto" w:sz="4" w:space="0"/>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3</w:t>
            </w:r>
          </w:p>
        </w:tc>
        <w:tc>
          <w:tcPr>
            <w:tcW w:w="704"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left"/>
              <w:rPr>
                <w:rFonts w:ascii="宋体" w:hAnsi="宋体" w:cs="宋体"/>
                <w:color w:val="auto"/>
                <w:kern w:val="0"/>
                <w:sz w:val="15"/>
                <w:szCs w:val="15"/>
              </w:rPr>
            </w:pPr>
            <w:r>
              <w:rPr>
                <w:rFonts w:hint="eastAsia" w:ascii="宋体" w:hAnsi="宋体" w:cs="宋体"/>
                <w:color w:val="auto"/>
                <w:kern w:val="0"/>
                <w:sz w:val="15"/>
                <w:szCs w:val="15"/>
              </w:rPr>
              <w:t>建筑业</w:t>
            </w:r>
          </w:p>
        </w:tc>
        <w:tc>
          <w:tcPr>
            <w:tcW w:w="773"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≥80000</w:t>
            </w:r>
          </w:p>
        </w:tc>
        <w:tc>
          <w:tcPr>
            <w:tcW w:w="761"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　</w:t>
            </w:r>
          </w:p>
        </w:tc>
        <w:tc>
          <w:tcPr>
            <w:tcW w:w="666"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≥80000</w:t>
            </w:r>
          </w:p>
        </w:tc>
        <w:tc>
          <w:tcPr>
            <w:tcW w:w="684"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≥5000</w:t>
            </w:r>
          </w:p>
        </w:tc>
        <w:tc>
          <w:tcPr>
            <w:tcW w:w="554"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　</w:t>
            </w:r>
          </w:p>
        </w:tc>
        <w:tc>
          <w:tcPr>
            <w:tcW w:w="589"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≥5000</w:t>
            </w:r>
          </w:p>
        </w:tc>
        <w:tc>
          <w:tcPr>
            <w:tcW w:w="738"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≥300</w:t>
            </w:r>
          </w:p>
        </w:tc>
        <w:tc>
          <w:tcPr>
            <w:tcW w:w="612"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　</w:t>
            </w:r>
          </w:p>
        </w:tc>
        <w:tc>
          <w:tcPr>
            <w:tcW w:w="657"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≥300</w:t>
            </w:r>
          </w:p>
        </w:tc>
        <w:tc>
          <w:tcPr>
            <w:tcW w:w="762"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＜300</w:t>
            </w:r>
          </w:p>
        </w:tc>
        <w:tc>
          <w:tcPr>
            <w:tcW w:w="681"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　</w:t>
            </w:r>
          </w:p>
        </w:tc>
        <w:tc>
          <w:tcPr>
            <w:tcW w:w="773"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＜300</w:t>
            </w:r>
          </w:p>
        </w:tc>
      </w:tr>
      <w:tr>
        <w:tblPrEx>
          <w:tblCellMar>
            <w:top w:w="0" w:type="dxa"/>
            <w:left w:w="108" w:type="dxa"/>
            <w:bottom w:w="0" w:type="dxa"/>
            <w:right w:w="108" w:type="dxa"/>
          </w:tblCellMar>
        </w:tblPrEx>
        <w:trPr>
          <w:trHeight w:val="559" w:hRule="atLeast"/>
        </w:trPr>
        <w:tc>
          <w:tcPr>
            <w:tcW w:w="635" w:type="dxa"/>
            <w:tcBorders>
              <w:top w:val="nil"/>
              <w:left w:val="single" w:color="auto" w:sz="4" w:space="0"/>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4</w:t>
            </w:r>
          </w:p>
        </w:tc>
        <w:tc>
          <w:tcPr>
            <w:tcW w:w="704"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left"/>
              <w:rPr>
                <w:rFonts w:ascii="宋体" w:hAnsi="宋体" w:cs="宋体"/>
                <w:color w:val="auto"/>
                <w:kern w:val="0"/>
                <w:sz w:val="15"/>
                <w:szCs w:val="15"/>
              </w:rPr>
            </w:pPr>
            <w:r>
              <w:rPr>
                <w:rFonts w:hint="eastAsia" w:ascii="宋体" w:hAnsi="宋体" w:cs="宋体"/>
                <w:color w:val="auto"/>
                <w:kern w:val="0"/>
                <w:sz w:val="15"/>
                <w:szCs w:val="15"/>
              </w:rPr>
              <w:t>批发业</w:t>
            </w:r>
          </w:p>
        </w:tc>
        <w:tc>
          <w:tcPr>
            <w:tcW w:w="773"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≥40000</w:t>
            </w:r>
          </w:p>
        </w:tc>
        <w:tc>
          <w:tcPr>
            <w:tcW w:w="761"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≥200</w:t>
            </w:r>
          </w:p>
        </w:tc>
        <w:tc>
          <w:tcPr>
            <w:tcW w:w="666"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　</w:t>
            </w:r>
          </w:p>
        </w:tc>
        <w:tc>
          <w:tcPr>
            <w:tcW w:w="684"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≥5000</w:t>
            </w:r>
          </w:p>
        </w:tc>
        <w:tc>
          <w:tcPr>
            <w:tcW w:w="554"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≥20</w:t>
            </w:r>
          </w:p>
        </w:tc>
        <w:tc>
          <w:tcPr>
            <w:tcW w:w="589"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　</w:t>
            </w:r>
          </w:p>
        </w:tc>
        <w:tc>
          <w:tcPr>
            <w:tcW w:w="738"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≥1000</w:t>
            </w:r>
          </w:p>
        </w:tc>
        <w:tc>
          <w:tcPr>
            <w:tcW w:w="612"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≥10</w:t>
            </w:r>
          </w:p>
        </w:tc>
        <w:tc>
          <w:tcPr>
            <w:tcW w:w="657"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　</w:t>
            </w:r>
          </w:p>
        </w:tc>
        <w:tc>
          <w:tcPr>
            <w:tcW w:w="762"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＜1000</w:t>
            </w:r>
          </w:p>
        </w:tc>
        <w:tc>
          <w:tcPr>
            <w:tcW w:w="681"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＜5</w:t>
            </w:r>
          </w:p>
        </w:tc>
        <w:tc>
          <w:tcPr>
            <w:tcW w:w="773" w:type="dxa"/>
            <w:tcBorders>
              <w:top w:val="nil"/>
              <w:left w:val="nil"/>
              <w:bottom w:val="single" w:color="auto" w:sz="4" w:space="0"/>
              <w:right w:val="single" w:color="auto" w:sz="4" w:space="0"/>
            </w:tcBorders>
            <w:noWrap w:val="0"/>
            <w:vAlign w:val="bottom"/>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　</w:t>
            </w:r>
          </w:p>
        </w:tc>
      </w:tr>
      <w:tr>
        <w:tblPrEx>
          <w:tblCellMar>
            <w:top w:w="0" w:type="dxa"/>
            <w:left w:w="108" w:type="dxa"/>
            <w:bottom w:w="0" w:type="dxa"/>
            <w:right w:w="108" w:type="dxa"/>
          </w:tblCellMar>
        </w:tblPrEx>
        <w:trPr>
          <w:trHeight w:val="559" w:hRule="atLeast"/>
        </w:trPr>
        <w:tc>
          <w:tcPr>
            <w:tcW w:w="635" w:type="dxa"/>
            <w:tcBorders>
              <w:top w:val="nil"/>
              <w:left w:val="single" w:color="auto" w:sz="4" w:space="0"/>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5</w:t>
            </w:r>
          </w:p>
        </w:tc>
        <w:tc>
          <w:tcPr>
            <w:tcW w:w="704"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left"/>
              <w:rPr>
                <w:rFonts w:ascii="宋体" w:hAnsi="宋体" w:cs="宋体"/>
                <w:color w:val="auto"/>
                <w:kern w:val="0"/>
                <w:sz w:val="15"/>
                <w:szCs w:val="15"/>
              </w:rPr>
            </w:pPr>
            <w:r>
              <w:rPr>
                <w:rFonts w:hint="eastAsia" w:ascii="宋体" w:hAnsi="宋体" w:cs="宋体"/>
                <w:color w:val="auto"/>
                <w:kern w:val="0"/>
                <w:sz w:val="15"/>
                <w:szCs w:val="15"/>
              </w:rPr>
              <w:t>零售业</w:t>
            </w:r>
          </w:p>
        </w:tc>
        <w:tc>
          <w:tcPr>
            <w:tcW w:w="773"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≥20000</w:t>
            </w:r>
          </w:p>
        </w:tc>
        <w:tc>
          <w:tcPr>
            <w:tcW w:w="761"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≥300</w:t>
            </w:r>
          </w:p>
        </w:tc>
        <w:tc>
          <w:tcPr>
            <w:tcW w:w="666"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　</w:t>
            </w:r>
          </w:p>
        </w:tc>
        <w:tc>
          <w:tcPr>
            <w:tcW w:w="684"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≥500</w:t>
            </w:r>
          </w:p>
        </w:tc>
        <w:tc>
          <w:tcPr>
            <w:tcW w:w="554"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≥50</w:t>
            </w:r>
          </w:p>
        </w:tc>
        <w:tc>
          <w:tcPr>
            <w:tcW w:w="589"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　</w:t>
            </w:r>
          </w:p>
        </w:tc>
        <w:tc>
          <w:tcPr>
            <w:tcW w:w="738"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≥100</w:t>
            </w:r>
          </w:p>
        </w:tc>
        <w:tc>
          <w:tcPr>
            <w:tcW w:w="612"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≥10</w:t>
            </w:r>
          </w:p>
        </w:tc>
        <w:tc>
          <w:tcPr>
            <w:tcW w:w="657"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　</w:t>
            </w:r>
          </w:p>
        </w:tc>
        <w:tc>
          <w:tcPr>
            <w:tcW w:w="762"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＜100</w:t>
            </w:r>
          </w:p>
        </w:tc>
        <w:tc>
          <w:tcPr>
            <w:tcW w:w="681"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＜10</w:t>
            </w:r>
          </w:p>
        </w:tc>
        <w:tc>
          <w:tcPr>
            <w:tcW w:w="773" w:type="dxa"/>
            <w:tcBorders>
              <w:top w:val="nil"/>
              <w:left w:val="nil"/>
              <w:bottom w:val="single" w:color="auto" w:sz="4" w:space="0"/>
              <w:right w:val="single" w:color="auto" w:sz="4" w:space="0"/>
            </w:tcBorders>
            <w:noWrap w:val="0"/>
            <w:vAlign w:val="bottom"/>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　</w:t>
            </w:r>
          </w:p>
        </w:tc>
      </w:tr>
      <w:tr>
        <w:tblPrEx>
          <w:tblCellMar>
            <w:top w:w="0" w:type="dxa"/>
            <w:left w:w="108" w:type="dxa"/>
            <w:bottom w:w="0" w:type="dxa"/>
            <w:right w:w="108" w:type="dxa"/>
          </w:tblCellMar>
        </w:tblPrEx>
        <w:trPr>
          <w:trHeight w:val="559" w:hRule="atLeast"/>
        </w:trPr>
        <w:tc>
          <w:tcPr>
            <w:tcW w:w="635" w:type="dxa"/>
            <w:tcBorders>
              <w:top w:val="nil"/>
              <w:left w:val="single" w:color="auto" w:sz="4" w:space="0"/>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6</w:t>
            </w:r>
          </w:p>
        </w:tc>
        <w:tc>
          <w:tcPr>
            <w:tcW w:w="704"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left"/>
              <w:rPr>
                <w:rFonts w:ascii="宋体" w:hAnsi="宋体" w:cs="宋体"/>
                <w:color w:val="auto"/>
                <w:kern w:val="0"/>
                <w:sz w:val="15"/>
                <w:szCs w:val="15"/>
              </w:rPr>
            </w:pPr>
            <w:r>
              <w:rPr>
                <w:rFonts w:hint="eastAsia" w:ascii="宋体" w:hAnsi="宋体" w:cs="宋体"/>
                <w:color w:val="auto"/>
                <w:kern w:val="0"/>
                <w:sz w:val="15"/>
                <w:szCs w:val="15"/>
              </w:rPr>
              <w:t>交通运输业</w:t>
            </w:r>
          </w:p>
        </w:tc>
        <w:tc>
          <w:tcPr>
            <w:tcW w:w="773"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≥30000</w:t>
            </w:r>
          </w:p>
        </w:tc>
        <w:tc>
          <w:tcPr>
            <w:tcW w:w="761"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≥1000</w:t>
            </w:r>
          </w:p>
        </w:tc>
        <w:tc>
          <w:tcPr>
            <w:tcW w:w="666"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　</w:t>
            </w:r>
          </w:p>
        </w:tc>
        <w:tc>
          <w:tcPr>
            <w:tcW w:w="684"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≥3000</w:t>
            </w:r>
          </w:p>
        </w:tc>
        <w:tc>
          <w:tcPr>
            <w:tcW w:w="554"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≥300</w:t>
            </w:r>
          </w:p>
        </w:tc>
        <w:tc>
          <w:tcPr>
            <w:tcW w:w="589"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　</w:t>
            </w:r>
          </w:p>
        </w:tc>
        <w:tc>
          <w:tcPr>
            <w:tcW w:w="738"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≥200</w:t>
            </w:r>
          </w:p>
        </w:tc>
        <w:tc>
          <w:tcPr>
            <w:tcW w:w="612"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≥20</w:t>
            </w:r>
          </w:p>
        </w:tc>
        <w:tc>
          <w:tcPr>
            <w:tcW w:w="657"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　</w:t>
            </w:r>
          </w:p>
        </w:tc>
        <w:tc>
          <w:tcPr>
            <w:tcW w:w="762"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＜200</w:t>
            </w:r>
          </w:p>
        </w:tc>
        <w:tc>
          <w:tcPr>
            <w:tcW w:w="681"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＜20</w:t>
            </w:r>
          </w:p>
        </w:tc>
        <w:tc>
          <w:tcPr>
            <w:tcW w:w="773" w:type="dxa"/>
            <w:tcBorders>
              <w:top w:val="nil"/>
              <w:left w:val="nil"/>
              <w:bottom w:val="single" w:color="auto" w:sz="4" w:space="0"/>
              <w:right w:val="single" w:color="auto" w:sz="4" w:space="0"/>
            </w:tcBorders>
            <w:noWrap w:val="0"/>
            <w:vAlign w:val="bottom"/>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　</w:t>
            </w:r>
          </w:p>
        </w:tc>
      </w:tr>
      <w:tr>
        <w:tblPrEx>
          <w:tblCellMar>
            <w:top w:w="0" w:type="dxa"/>
            <w:left w:w="108" w:type="dxa"/>
            <w:bottom w:w="0" w:type="dxa"/>
            <w:right w:w="108" w:type="dxa"/>
          </w:tblCellMar>
        </w:tblPrEx>
        <w:trPr>
          <w:trHeight w:val="559" w:hRule="atLeast"/>
        </w:trPr>
        <w:tc>
          <w:tcPr>
            <w:tcW w:w="635" w:type="dxa"/>
            <w:tcBorders>
              <w:top w:val="nil"/>
              <w:left w:val="single" w:color="auto" w:sz="4" w:space="0"/>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7</w:t>
            </w:r>
          </w:p>
        </w:tc>
        <w:tc>
          <w:tcPr>
            <w:tcW w:w="704"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left"/>
              <w:rPr>
                <w:rFonts w:ascii="宋体" w:hAnsi="宋体" w:cs="宋体"/>
                <w:color w:val="auto"/>
                <w:kern w:val="0"/>
                <w:sz w:val="15"/>
                <w:szCs w:val="15"/>
              </w:rPr>
            </w:pPr>
            <w:r>
              <w:rPr>
                <w:rFonts w:hint="eastAsia" w:ascii="宋体" w:hAnsi="宋体" w:cs="宋体"/>
                <w:color w:val="auto"/>
                <w:kern w:val="0"/>
                <w:sz w:val="15"/>
                <w:szCs w:val="15"/>
              </w:rPr>
              <w:t>仓储业</w:t>
            </w:r>
          </w:p>
        </w:tc>
        <w:tc>
          <w:tcPr>
            <w:tcW w:w="773"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≥30000</w:t>
            </w:r>
          </w:p>
        </w:tc>
        <w:tc>
          <w:tcPr>
            <w:tcW w:w="761"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≥200</w:t>
            </w:r>
          </w:p>
        </w:tc>
        <w:tc>
          <w:tcPr>
            <w:tcW w:w="666"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　</w:t>
            </w:r>
          </w:p>
        </w:tc>
        <w:tc>
          <w:tcPr>
            <w:tcW w:w="684"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≥1000</w:t>
            </w:r>
          </w:p>
        </w:tc>
        <w:tc>
          <w:tcPr>
            <w:tcW w:w="554"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≥100</w:t>
            </w:r>
          </w:p>
        </w:tc>
        <w:tc>
          <w:tcPr>
            <w:tcW w:w="589"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　</w:t>
            </w:r>
          </w:p>
        </w:tc>
        <w:tc>
          <w:tcPr>
            <w:tcW w:w="738"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≥100</w:t>
            </w:r>
          </w:p>
        </w:tc>
        <w:tc>
          <w:tcPr>
            <w:tcW w:w="612"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≥20</w:t>
            </w:r>
          </w:p>
        </w:tc>
        <w:tc>
          <w:tcPr>
            <w:tcW w:w="657"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　</w:t>
            </w:r>
          </w:p>
        </w:tc>
        <w:tc>
          <w:tcPr>
            <w:tcW w:w="762"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＜100</w:t>
            </w:r>
          </w:p>
        </w:tc>
        <w:tc>
          <w:tcPr>
            <w:tcW w:w="681"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＜20</w:t>
            </w:r>
          </w:p>
        </w:tc>
        <w:tc>
          <w:tcPr>
            <w:tcW w:w="773" w:type="dxa"/>
            <w:tcBorders>
              <w:top w:val="nil"/>
              <w:left w:val="nil"/>
              <w:bottom w:val="single" w:color="auto" w:sz="4" w:space="0"/>
              <w:right w:val="single" w:color="auto" w:sz="4" w:space="0"/>
            </w:tcBorders>
            <w:noWrap w:val="0"/>
            <w:vAlign w:val="bottom"/>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　</w:t>
            </w:r>
          </w:p>
        </w:tc>
      </w:tr>
      <w:tr>
        <w:tblPrEx>
          <w:tblCellMar>
            <w:top w:w="0" w:type="dxa"/>
            <w:left w:w="108" w:type="dxa"/>
            <w:bottom w:w="0" w:type="dxa"/>
            <w:right w:w="108" w:type="dxa"/>
          </w:tblCellMar>
        </w:tblPrEx>
        <w:trPr>
          <w:trHeight w:val="559" w:hRule="atLeast"/>
        </w:trPr>
        <w:tc>
          <w:tcPr>
            <w:tcW w:w="635" w:type="dxa"/>
            <w:tcBorders>
              <w:top w:val="nil"/>
              <w:left w:val="single" w:color="auto" w:sz="4" w:space="0"/>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8</w:t>
            </w:r>
          </w:p>
        </w:tc>
        <w:tc>
          <w:tcPr>
            <w:tcW w:w="704"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left"/>
              <w:rPr>
                <w:rFonts w:ascii="宋体" w:hAnsi="宋体" w:cs="宋体"/>
                <w:color w:val="auto"/>
                <w:kern w:val="0"/>
                <w:sz w:val="15"/>
                <w:szCs w:val="15"/>
              </w:rPr>
            </w:pPr>
            <w:r>
              <w:rPr>
                <w:rFonts w:hint="eastAsia" w:ascii="宋体" w:hAnsi="宋体" w:cs="宋体"/>
                <w:color w:val="auto"/>
                <w:kern w:val="0"/>
                <w:sz w:val="15"/>
                <w:szCs w:val="15"/>
              </w:rPr>
              <w:t>邮政业</w:t>
            </w:r>
          </w:p>
        </w:tc>
        <w:tc>
          <w:tcPr>
            <w:tcW w:w="773"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≥30000</w:t>
            </w:r>
          </w:p>
        </w:tc>
        <w:tc>
          <w:tcPr>
            <w:tcW w:w="761"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≥1000</w:t>
            </w:r>
          </w:p>
        </w:tc>
        <w:tc>
          <w:tcPr>
            <w:tcW w:w="666"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　</w:t>
            </w:r>
          </w:p>
        </w:tc>
        <w:tc>
          <w:tcPr>
            <w:tcW w:w="684"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≥2000</w:t>
            </w:r>
          </w:p>
        </w:tc>
        <w:tc>
          <w:tcPr>
            <w:tcW w:w="554"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≥300</w:t>
            </w:r>
          </w:p>
        </w:tc>
        <w:tc>
          <w:tcPr>
            <w:tcW w:w="589"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　</w:t>
            </w:r>
          </w:p>
        </w:tc>
        <w:tc>
          <w:tcPr>
            <w:tcW w:w="738"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≥100</w:t>
            </w:r>
          </w:p>
        </w:tc>
        <w:tc>
          <w:tcPr>
            <w:tcW w:w="612"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≥20</w:t>
            </w:r>
          </w:p>
        </w:tc>
        <w:tc>
          <w:tcPr>
            <w:tcW w:w="657"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　</w:t>
            </w:r>
          </w:p>
        </w:tc>
        <w:tc>
          <w:tcPr>
            <w:tcW w:w="762"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＜100</w:t>
            </w:r>
          </w:p>
        </w:tc>
        <w:tc>
          <w:tcPr>
            <w:tcW w:w="681"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＜20</w:t>
            </w:r>
          </w:p>
        </w:tc>
        <w:tc>
          <w:tcPr>
            <w:tcW w:w="773" w:type="dxa"/>
            <w:tcBorders>
              <w:top w:val="nil"/>
              <w:left w:val="nil"/>
              <w:bottom w:val="single" w:color="auto" w:sz="4" w:space="0"/>
              <w:right w:val="single" w:color="auto" w:sz="4" w:space="0"/>
            </w:tcBorders>
            <w:noWrap w:val="0"/>
            <w:vAlign w:val="bottom"/>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　</w:t>
            </w:r>
          </w:p>
        </w:tc>
      </w:tr>
      <w:tr>
        <w:tblPrEx>
          <w:tblCellMar>
            <w:top w:w="0" w:type="dxa"/>
            <w:left w:w="108" w:type="dxa"/>
            <w:bottom w:w="0" w:type="dxa"/>
            <w:right w:w="108" w:type="dxa"/>
          </w:tblCellMar>
        </w:tblPrEx>
        <w:trPr>
          <w:trHeight w:val="559" w:hRule="atLeast"/>
        </w:trPr>
        <w:tc>
          <w:tcPr>
            <w:tcW w:w="635" w:type="dxa"/>
            <w:tcBorders>
              <w:top w:val="nil"/>
              <w:left w:val="single" w:color="auto" w:sz="4" w:space="0"/>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9</w:t>
            </w:r>
          </w:p>
        </w:tc>
        <w:tc>
          <w:tcPr>
            <w:tcW w:w="704"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left"/>
              <w:rPr>
                <w:rFonts w:ascii="宋体" w:hAnsi="宋体" w:cs="宋体"/>
                <w:color w:val="auto"/>
                <w:kern w:val="0"/>
                <w:sz w:val="15"/>
                <w:szCs w:val="15"/>
              </w:rPr>
            </w:pPr>
            <w:r>
              <w:rPr>
                <w:rFonts w:hint="eastAsia" w:ascii="宋体" w:hAnsi="宋体" w:cs="宋体"/>
                <w:color w:val="auto"/>
                <w:kern w:val="0"/>
                <w:sz w:val="15"/>
                <w:szCs w:val="15"/>
              </w:rPr>
              <w:t>住宿业</w:t>
            </w:r>
          </w:p>
        </w:tc>
        <w:tc>
          <w:tcPr>
            <w:tcW w:w="773"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≥10000</w:t>
            </w:r>
          </w:p>
        </w:tc>
        <w:tc>
          <w:tcPr>
            <w:tcW w:w="761"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≥300</w:t>
            </w:r>
          </w:p>
        </w:tc>
        <w:tc>
          <w:tcPr>
            <w:tcW w:w="666"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　</w:t>
            </w:r>
          </w:p>
        </w:tc>
        <w:tc>
          <w:tcPr>
            <w:tcW w:w="684"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≥2000</w:t>
            </w:r>
          </w:p>
        </w:tc>
        <w:tc>
          <w:tcPr>
            <w:tcW w:w="554"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≥100</w:t>
            </w:r>
          </w:p>
        </w:tc>
        <w:tc>
          <w:tcPr>
            <w:tcW w:w="589"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　</w:t>
            </w:r>
          </w:p>
        </w:tc>
        <w:tc>
          <w:tcPr>
            <w:tcW w:w="738"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≥100</w:t>
            </w:r>
          </w:p>
        </w:tc>
        <w:tc>
          <w:tcPr>
            <w:tcW w:w="612"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≥10</w:t>
            </w:r>
          </w:p>
        </w:tc>
        <w:tc>
          <w:tcPr>
            <w:tcW w:w="657"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　</w:t>
            </w:r>
          </w:p>
        </w:tc>
        <w:tc>
          <w:tcPr>
            <w:tcW w:w="762"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＜100</w:t>
            </w:r>
          </w:p>
        </w:tc>
        <w:tc>
          <w:tcPr>
            <w:tcW w:w="681"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＜10</w:t>
            </w:r>
          </w:p>
        </w:tc>
        <w:tc>
          <w:tcPr>
            <w:tcW w:w="773" w:type="dxa"/>
            <w:tcBorders>
              <w:top w:val="nil"/>
              <w:left w:val="nil"/>
              <w:bottom w:val="single" w:color="auto" w:sz="4" w:space="0"/>
              <w:right w:val="single" w:color="auto" w:sz="4" w:space="0"/>
            </w:tcBorders>
            <w:noWrap w:val="0"/>
            <w:vAlign w:val="bottom"/>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　</w:t>
            </w:r>
          </w:p>
        </w:tc>
      </w:tr>
      <w:tr>
        <w:tblPrEx>
          <w:tblCellMar>
            <w:top w:w="0" w:type="dxa"/>
            <w:left w:w="108" w:type="dxa"/>
            <w:bottom w:w="0" w:type="dxa"/>
            <w:right w:w="108" w:type="dxa"/>
          </w:tblCellMar>
        </w:tblPrEx>
        <w:trPr>
          <w:trHeight w:val="559" w:hRule="atLeast"/>
        </w:trPr>
        <w:tc>
          <w:tcPr>
            <w:tcW w:w="635" w:type="dxa"/>
            <w:tcBorders>
              <w:top w:val="nil"/>
              <w:left w:val="single" w:color="auto" w:sz="4" w:space="0"/>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10</w:t>
            </w:r>
          </w:p>
        </w:tc>
        <w:tc>
          <w:tcPr>
            <w:tcW w:w="704"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left"/>
              <w:rPr>
                <w:rFonts w:ascii="宋体" w:hAnsi="宋体" w:cs="宋体"/>
                <w:color w:val="auto"/>
                <w:kern w:val="0"/>
                <w:sz w:val="15"/>
                <w:szCs w:val="15"/>
              </w:rPr>
            </w:pPr>
            <w:r>
              <w:rPr>
                <w:rFonts w:hint="eastAsia" w:ascii="宋体" w:hAnsi="宋体" w:cs="宋体"/>
                <w:color w:val="auto"/>
                <w:kern w:val="0"/>
                <w:sz w:val="15"/>
                <w:szCs w:val="15"/>
              </w:rPr>
              <w:t>餐饮业</w:t>
            </w:r>
          </w:p>
        </w:tc>
        <w:tc>
          <w:tcPr>
            <w:tcW w:w="773"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≥10000</w:t>
            </w:r>
          </w:p>
        </w:tc>
        <w:tc>
          <w:tcPr>
            <w:tcW w:w="761"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≥300</w:t>
            </w:r>
          </w:p>
        </w:tc>
        <w:tc>
          <w:tcPr>
            <w:tcW w:w="666"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　</w:t>
            </w:r>
          </w:p>
        </w:tc>
        <w:tc>
          <w:tcPr>
            <w:tcW w:w="684"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≥2000</w:t>
            </w:r>
          </w:p>
        </w:tc>
        <w:tc>
          <w:tcPr>
            <w:tcW w:w="554"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≥100</w:t>
            </w:r>
          </w:p>
        </w:tc>
        <w:tc>
          <w:tcPr>
            <w:tcW w:w="589"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　</w:t>
            </w:r>
          </w:p>
        </w:tc>
        <w:tc>
          <w:tcPr>
            <w:tcW w:w="738"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≥100</w:t>
            </w:r>
          </w:p>
        </w:tc>
        <w:tc>
          <w:tcPr>
            <w:tcW w:w="612"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≥10</w:t>
            </w:r>
          </w:p>
        </w:tc>
        <w:tc>
          <w:tcPr>
            <w:tcW w:w="657"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　</w:t>
            </w:r>
          </w:p>
        </w:tc>
        <w:tc>
          <w:tcPr>
            <w:tcW w:w="762"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＜100</w:t>
            </w:r>
          </w:p>
        </w:tc>
        <w:tc>
          <w:tcPr>
            <w:tcW w:w="681"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＜10</w:t>
            </w:r>
          </w:p>
        </w:tc>
        <w:tc>
          <w:tcPr>
            <w:tcW w:w="773" w:type="dxa"/>
            <w:tcBorders>
              <w:top w:val="nil"/>
              <w:left w:val="nil"/>
              <w:bottom w:val="single" w:color="auto" w:sz="4" w:space="0"/>
              <w:right w:val="single" w:color="auto" w:sz="4" w:space="0"/>
            </w:tcBorders>
            <w:noWrap w:val="0"/>
            <w:vAlign w:val="bottom"/>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　</w:t>
            </w:r>
          </w:p>
        </w:tc>
      </w:tr>
      <w:tr>
        <w:tblPrEx>
          <w:tblCellMar>
            <w:top w:w="0" w:type="dxa"/>
            <w:left w:w="108" w:type="dxa"/>
            <w:bottom w:w="0" w:type="dxa"/>
            <w:right w:w="108" w:type="dxa"/>
          </w:tblCellMar>
        </w:tblPrEx>
        <w:trPr>
          <w:trHeight w:val="559" w:hRule="atLeast"/>
        </w:trPr>
        <w:tc>
          <w:tcPr>
            <w:tcW w:w="635" w:type="dxa"/>
            <w:tcBorders>
              <w:top w:val="nil"/>
              <w:left w:val="single" w:color="auto" w:sz="4" w:space="0"/>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11</w:t>
            </w:r>
          </w:p>
        </w:tc>
        <w:tc>
          <w:tcPr>
            <w:tcW w:w="704"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left"/>
              <w:rPr>
                <w:rFonts w:ascii="宋体" w:hAnsi="宋体" w:cs="宋体"/>
                <w:color w:val="auto"/>
                <w:kern w:val="0"/>
                <w:sz w:val="15"/>
                <w:szCs w:val="15"/>
              </w:rPr>
            </w:pPr>
            <w:r>
              <w:rPr>
                <w:rFonts w:hint="eastAsia" w:ascii="宋体" w:hAnsi="宋体" w:cs="宋体"/>
                <w:color w:val="auto"/>
                <w:kern w:val="0"/>
                <w:sz w:val="15"/>
                <w:szCs w:val="15"/>
              </w:rPr>
              <w:t>信息传输业</w:t>
            </w:r>
          </w:p>
        </w:tc>
        <w:tc>
          <w:tcPr>
            <w:tcW w:w="773"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≥100000</w:t>
            </w:r>
          </w:p>
        </w:tc>
        <w:tc>
          <w:tcPr>
            <w:tcW w:w="761"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≥2000</w:t>
            </w:r>
          </w:p>
        </w:tc>
        <w:tc>
          <w:tcPr>
            <w:tcW w:w="666"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　</w:t>
            </w:r>
          </w:p>
        </w:tc>
        <w:tc>
          <w:tcPr>
            <w:tcW w:w="684"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≥1000</w:t>
            </w:r>
          </w:p>
        </w:tc>
        <w:tc>
          <w:tcPr>
            <w:tcW w:w="554"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≥100</w:t>
            </w:r>
          </w:p>
        </w:tc>
        <w:tc>
          <w:tcPr>
            <w:tcW w:w="589"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　</w:t>
            </w:r>
          </w:p>
        </w:tc>
        <w:tc>
          <w:tcPr>
            <w:tcW w:w="738"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≥100</w:t>
            </w:r>
          </w:p>
        </w:tc>
        <w:tc>
          <w:tcPr>
            <w:tcW w:w="612"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≥10</w:t>
            </w:r>
          </w:p>
        </w:tc>
        <w:tc>
          <w:tcPr>
            <w:tcW w:w="657"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　</w:t>
            </w:r>
          </w:p>
        </w:tc>
        <w:tc>
          <w:tcPr>
            <w:tcW w:w="762"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＜100</w:t>
            </w:r>
          </w:p>
        </w:tc>
        <w:tc>
          <w:tcPr>
            <w:tcW w:w="681"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＜10</w:t>
            </w:r>
          </w:p>
        </w:tc>
        <w:tc>
          <w:tcPr>
            <w:tcW w:w="773" w:type="dxa"/>
            <w:tcBorders>
              <w:top w:val="nil"/>
              <w:left w:val="nil"/>
              <w:bottom w:val="single" w:color="auto" w:sz="4" w:space="0"/>
              <w:right w:val="single" w:color="auto" w:sz="4" w:space="0"/>
            </w:tcBorders>
            <w:noWrap w:val="0"/>
            <w:vAlign w:val="bottom"/>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　</w:t>
            </w:r>
          </w:p>
        </w:tc>
      </w:tr>
      <w:tr>
        <w:tblPrEx>
          <w:tblCellMar>
            <w:top w:w="0" w:type="dxa"/>
            <w:left w:w="108" w:type="dxa"/>
            <w:bottom w:w="0" w:type="dxa"/>
            <w:right w:w="108" w:type="dxa"/>
          </w:tblCellMar>
        </w:tblPrEx>
        <w:trPr>
          <w:trHeight w:val="859" w:hRule="atLeast"/>
        </w:trPr>
        <w:tc>
          <w:tcPr>
            <w:tcW w:w="635" w:type="dxa"/>
            <w:tcBorders>
              <w:top w:val="nil"/>
              <w:left w:val="single" w:color="auto" w:sz="4" w:space="0"/>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12</w:t>
            </w:r>
          </w:p>
        </w:tc>
        <w:tc>
          <w:tcPr>
            <w:tcW w:w="704"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left"/>
              <w:rPr>
                <w:rFonts w:ascii="宋体" w:hAnsi="宋体" w:cs="宋体"/>
                <w:color w:val="auto"/>
                <w:kern w:val="0"/>
                <w:sz w:val="15"/>
                <w:szCs w:val="15"/>
              </w:rPr>
            </w:pPr>
            <w:r>
              <w:rPr>
                <w:rFonts w:hint="eastAsia" w:ascii="宋体" w:hAnsi="宋体" w:cs="宋体"/>
                <w:color w:val="auto"/>
                <w:kern w:val="0"/>
                <w:sz w:val="15"/>
                <w:szCs w:val="15"/>
              </w:rPr>
              <w:t>软件和信息技术服务业</w:t>
            </w:r>
          </w:p>
        </w:tc>
        <w:tc>
          <w:tcPr>
            <w:tcW w:w="773"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≥10000</w:t>
            </w:r>
          </w:p>
        </w:tc>
        <w:tc>
          <w:tcPr>
            <w:tcW w:w="761"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≥300</w:t>
            </w:r>
          </w:p>
        </w:tc>
        <w:tc>
          <w:tcPr>
            <w:tcW w:w="666"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　</w:t>
            </w:r>
          </w:p>
        </w:tc>
        <w:tc>
          <w:tcPr>
            <w:tcW w:w="684"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≥1000</w:t>
            </w:r>
          </w:p>
        </w:tc>
        <w:tc>
          <w:tcPr>
            <w:tcW w:w="554"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≥100</w:t>
            </w:r>
          </w:p>
        </w:tc>
        <w:tc>
          <w:tcPr>
            <w:tcW w:w="589"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　</w:t>
            </w:r>
          </w:p>
        </w:tc>
        <w:tc>
          <w:tcPr>
            <w:tcW w:w="738"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≥50</w:t>
            </w:r>
          </w:p>
        </w:tc>
        <w:tc>
          <w:tcPr>
            <w:tcW w:w="612"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≥10</w:t>
            </w:r>
          </w:p>
        </w:tc>
        <w:tc>
          <w:tcPr>
            <w:tcW w:w="657"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　</w:t>
            </w:r>
          </w:p>
        </w:tc>
        <w:tc>
          <w:tcPr>
            <w:tcW w:w="762"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＜50</w:t>
            </w:r>
          </w:p>
        </w:tc>
        <w:tc>
          <w:tcPr>
            <w:tcW w:w="681"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＜10</w:t>
            </w:r>
          </w:p>
        </w:tc>
        <w:tc>
          <w:tcPr>
            <w:tcW w:w="773" w:type="dxa"/>
            <w:tcBorders>
              <w:top w:val="nil"/>
              <w:left w:val="nil"/>
              <w:bottom w:val="single" w:color="auto" w:sz="4" w:space="0"/>
              <w:right w:val="single" w:color="auto" w:sz="4" w:space="0"/>
            </w:tcBorders>
            <w:noWrap w:val="0"/>
            <w:vAlign w:val="bottom"/>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　</w:t>
            </w:r>
          </w:p>
        </w:tc>
      </w:tr>
      <w:tr>
        <w:tblPrEx>
          <w:tblCellMar>
            <w:top w:w="0" w:type="dxa"/>
            <w:left w:w="108" w:type="dxa"/>
            <w:bottom w:w="0" w:type="dxa"/>
            <w:right w:w="108" w:type="dxa"/>
          </w:tblCellMar>
        </w:tblPrEx>
        <w:trPr>
          <w:trHeight w:val="756" w:hRule="atLeast"/>
        </w:trPr>
        <w:tc>
          <w:tcPr>
            <w:tcW w:w="635" w:type="dxa"/>
            <w:tcBorders>
              <w:top w:val="nil"/>
              <w:left w:val="single" w:color="auto" w:sz="4" w:space="0"/>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13</w:t>
            </w:r>
          </w:p>
        </w:tc>
        <w:tc>
          <w:tcPr>
            <w:tcW w:w="704"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209" w:rightChars="-87"/>
              <w:jc w:val="left"/>
              <w:rPr>
                <w:rFonts w:hint="eastAsia" w:ascii="宋体" w:hAnsi="宋体" w:cs="宋体"/>
                <w:color w:val="auto"/>
                <w:kern w:val="0"/>
                <w:sz w:val="15"/>
                <w:szCs w:val="15"/>
                <w:lang w:val="en-US" w:eastAsia="zh-CN"/>
              </w:rPr>
            </w:pPr>
            <w:r>
              <w:rPr>
                <w:rFonts w:hint="eastAsia" w:ascii="宋体" w:hAnsi="宋体" w:cs="宋体"/>
                <w:color w:val="auto"/>
                <w:kern w:val="0"/>
                <w:sz w:val="15"/>
                <w:szCs w:val="15"/>
              </w:rPr>
              <w:t>房地产开发</w:t>
            </w:r>
            <w:r>
              <w:rPr>
                <w:rFonts w:hint="eastAsia" w:ascii="宋体" w:hAnsi="宋体" w:cs="宋体"/>
                <w:color w:val="auto"/>
                <w:kern w:val="0"/>
                <w:sz w:val="15"/>
                <w:szCs w:val="15"/>
                <w:lang w:val="en-US" w:eastAsia="zh-CN"/>
              </w:rPr>
              <w:t>经</w:t>
            </w:r>
          </w:p>
          <w:p>
            <w:pPr>
              <w:pStyle w:val="35"/>
              <w:widowControl/>
              <w:spacing w:line="240" w:lineRule="atLeast"/>
              <w:ind w:left="-96" w:leftChars="-40" w:right="-209" w:rightChars="-87"/>
              <w:jc w:val="left"/>
              <w:rPr>
                <w:rFonts w:hint="eastAsia" w:ascii="宋体" w:hAnsi="宋体" w:eastAsia="宋体" w:cs="宋体"/>
                <w:color w:val="auto"/>
                <w:kern w:val="0"/>
                <w:sz w:val="15"/>
                <w:szCs w:val="15"/>
                <w:lang w:eastAsia="zh-CN"/>
              </w:rPr>
            </w:pPr>
            <w:r>
              <w:rPr>
                <w:rFonts w:hint="eastAsia" w:ascii="宋体" w:hAnsi="宋体" w:cs="宋体"/>
                <w:color w:val="auto"/>
                <w:kern w:val="0"/>
                <w:sz w:val="15"/>
                <w:szCs w:val="15"/>
                <w:lang w:val="en-US" w:eastAsia="zh-CN"/>
              </w:rPr>
              <w:t>营</w:t>
            </w:r>
          </w:p>
        </w:tc>
        <w:tc>
          <w:tcPr>
            <w:tcW w:w="773"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≥200000</w:t>
            </w:r>
          </w:p>
        </w:tc>
        <w:tc>
          <w:tcPr>
            <w:tcW w:w="761"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　</w:t>
            </w:r>
          </w:p>
        </w:tc>
        <w:tc>
          <w:tcPr>
            <w:tcW w:w="666"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或,≥10000</w:t>
            </w:r>
          </w:p>
        </w:tc>
        <w:tc>
          <w:tcPr>
            <w:tcW w:w="684"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≥1000</w:t>
            </w:r>
          </w:p>
        </w:tc>
        <w:tc>
          <w:tcPr>
            <w:tcW w:w="554"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　</w:t>
            </w:r>
          </w:p>
        </w:tc>
        <w:tc>
          <w:tcPr>
            <w:tcW w:w="589"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且,≥5000</w:t>
            </w:r>
          </w:p>
        </w:tc>
        <w:tc>
          <w:tcPr>
            <w:tcW w:w="738"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≥100</w:t>
            </w:r>
          </w:p>
        </w:tc>
        <w:tc>
          <w:tcPr>
            <w:tcW w:w="612"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　</w:t>
            </w:r>
          </w:p>
        </w:tc>
        <w:tc>
          <w:tcPr>
            <w:tcW w:w="657"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且,≥2000</w:t>
            </w:r>
          </w:p>
        </w:tc>
        <w:tc>
          <w:tcPr>
            <w:tcW w:w="762"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＜100</w:t>
            </w:r>
          </w:p>
        </w:tc>
        <w:tc>
          <w:tcPr>
            <w:tcW w:w="681"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　</w:t>
            </w:r>
          </w:p>
        </w:tc>
        <w:tc>
          <w:tcPr>
            <w:tcW w:w="773" w:type="dxa"/>
            <w:tcBorders>
              <w:top w:val="nil"/>
              <w:left w:val="nil"/>
              <w:bottom w:val="single" w:color="auto" w:sz="4" w:space="0"/>
              <w:right w:val="single" w:color="auto" w:sz="4" w:space="0"/>
            </w:tcBorders>
            <w:noWrap w:val="0"/>
            <w:vAlign w:val="center"/>
          </w:tcPr>
          <w:p>
            <w:pPr>
              <w:pStyle w:val="35"/>
              <w:widowControl/>
              <w:spacing w:line="240" w:lineRule="atLeast"/>
              <w:ind w:left="-17" w:leftChars="-40" w:right="-65" w:rightChars="-27" w:hanging="79" w:hangingChars="53"/>
              <w:jc w:val="center"/>
              <w:rPr>
                <w:rFonts w:ascii="宋体" w:hAnsi="宋体" w:cs="宋体"/>
                <w:color w:val="auto"/>
                <w:kern w:val="0"/>
                <w:sz w:val="15"/>
                <w:szCs w:val="15"/>
              </w:rPr>
            </w:pPr>
            <w:r>
              <w:rPr>
                <w:rFonts w:hint="eastAsia" w:ascii="宋体" w:hAnsi="宋体" w:cs="宋体"/>
                <w:color w:val="auto"/>
                <w:kern w:val="0"/>
                <w:sz w:val="15"/>
                <w:szCs w:val="15"/>
              </w:rPr>
              <w:t>或,＜2000</w:t>
            </w:r>
          </w:p>
        </w:tc>
      </w:tr>
      <w:tr>
        <w:tblPrEx>
          <w:tblCellMar>
            <w:top w:w="0" w:type="dxa"/>
            <w:left w:w="108" w:type="dxa"/>
            <w:bottom w:w="0" w:type="dxa"/>
            <w:right w:w="108" w:type="dxa"/>
          </w:tblCellMar>
        </w:tblPrEx>
        <w:trPr>
          <w:trHeight w:val="559" w:hRule="atLeast"/>
        </w:trPr>
        <w:tc>
          <w:tcPr>
            <w:tcW w:w="635" w:type="dxa"/>
            <w:tcBorders>
              <w:top w:val="nil"/>
              <w:left w:val="single" w:color="auto" w:sz="4" w:space="0"/>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14</w:t>
            </w:r>
          </w:p>
        </w:tc>
        <w:tc>
          <w:tcPr>
            <w:tcW w:w="704"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left"/>
              <w:rPr>
                <w:rFonts w:ascii="宋体" w:hAnsi="宋体" w:cs="宋体"/>
                <w:color w:val="auto"/>
                <w:kern w:val="0"/>
                <w:sz w:val="15"/>
                <w:szCs w:val="15"/>
              </w:rPr>
            </w:pPr>
            <w:r>
              <w:rPr>
                <w:rFonts w:hint="eastAsia" w:ascii="宋体" w:hAnsi="宋体" w:cs="宋体"/>
                <w:color w:val="auto"/>
                <w:kern w:val="0"/>
                <w:sz w:val="15"/>
                <w:szCs w:val="15"/>
              </w:rPr>
              <w:t>物业管理</w:t>
            </w:r>
          </w:p>
        </w:tc>
        <w:tc>
          <w:tcPr>
            <w:tcW w:w="773"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≥5000</w:t>
            </w:r>
          </w:p>
        </w:tc>
        <w:tc>
          <w:tcPr>
            <w:tcW w:w="761"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≥1000</w:t>
            </w:r>
          </w:p>
        </w:tc>
        <w:tc>
          <w:tcPr>
            <w:tcW w:w="666"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　</w:t>
            </w:r>
          </w:p>
        </w:tc>
        <w:tc>
          <w:tcPr>
            <w:tcW w:w="684"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≥1000</w:t>
            </w:r>
          </w:p>
        </w:tc>
        <w:tc>
          <w:tcPr>
            <w:tcW w:w="554"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≥300</w:t>
            </w:r>
          </w:p>
        </w:tc>
        <w:tc>
          <w:tcPr>
            <w:tcW w:w="589"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　</w:t>
            </w:r>
          </w:p>
        </w:tc>
        <w:tc>
          <w:tcPr>
            <w:tcW w:w="738"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≥500</w:t>
            </w:r>
          </w:p>
        </w:tc>
        <w:tc>
          <w:tcPr>
            <w:tcW w:w="612"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≥100</w:t>
            </w:r>
          </w:p>
        </w:tc>
        <w:tc>
          <w:tcPr>
            <w:tcW w:w="657"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　</w:t>
            </w:r>
          </w:p>
        </w:tc>
        <w:tc>
          <w:tcPr>
            <w:tcW w:w="762"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＜500</w:t>
            </w:r>
          </w:p>
        </w:tc>
        <w:tc>
          <w:tcPr>
            <w:tcW w:w="681"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＜100</w:t>
            </w:r>
          </w:p>
        </w:tc>
        <w:tc>
          <w:tcPr>
            <w:tcW w:w="773" w:type="dxa"/>
            <w:tcBorders>
              <w:top w:val="nil"/>
              <w:left w:val="nil"/>
              <w:bottom w:val="single" w:color="auto" w:sz="4" w:space="0"/>
              <w:right w:val="single" w:color="auto" w:sz="4" w:space="0"/>
            </w:tcBorders>
            <w:noWrap w:val="0"/>
            <w:vAlign w:val="bottom"/>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　</w:t>
            </w:r>
          </w:p>
        </w:tc>
      </w:tr>
      <w:tr>
        <w:tblPrEx>
          <w:tblCellMar>
            <w:top w:w="0" w:type="dxa"/>
            <w:left w:w="108" w:type="dxa"/>
            <w:bottom w:w="0" w:type="dxa"/>
            <w:right w:w="108" w:type="dxa"/>
          </w:tblCellMar>
        </w:tblPrEx>
        <w:trPr>
          <w:trHeight w:val="1102" w:hRule="atLeast"/>
        </w:trPr>
        <w:tc>
          <w:tcPr>
            <w:tcW w:w="635" w:type="dxa"/>
            <w:tcBorders>
              <w:top w:val="nil"/>
              <w:left w:val="single" w:color="auto" w:sz="4" w:space="0"/>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15</w:t>
            </w:r>
          </w:p>
        </w:tc>
        <w:tc>
          <w:tcPr>
            <w:tcW w:w="704"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left"/>
              <w:rPr>
                <w:rFonts w:ascii="宋体" w:hAnsi="宋体" w:cs="宋体"/>
                <w:color w:val="auto"/>
                <w:kern w:val="0"/>
                <w:sz w:val="15"/>
                <w:szCs w:val="15"/>
              </w:rPr>
            </w:pPr>
            <w:r>
              <w:rPr>
                <w:rFonts w:hint="eastAsia" w:ascii="宋体" w:hAnsi="宋体" w:cs="宋体"/>
                <w:color w:val="auto"/>
                <w:kern w:val="0"/>
                <w:sz w:val="15"/>
                <w:szCs w:val="15"/>
              </w:rPr>
              <w:t>租赁和商务服务业</w:t>
            </w:r>
          </w:p>
        </w:tc>
        <w:tc>
          <w:tcPr>
            <w:tcW w:w="773"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　</w:t>
            </w:r>
          </w:p>
        </w:tc>
        <w:tc>
          <w:tcPr>
            <w:tcW w:w="761"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≥300</w:t>
            </w:r>
          </w:p>
        </w:tc>
        <w:tc>
          <w:tcPr>
            <w:tcW w:w="666"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或,≥120000</w:t>
            </w:r>
          </w:p>
        </w:tc>
        <w:tc>
          <w:tcPr>
            <w:tcW w:w="684"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　</w:t>
            </w:r>
          </w:p>
        </w:tc>
        <w:tc>
          <w:tcPr>
            <w:tcW w:w="554"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≥100</w:t>
            </w:r>
          </w:p>
        </w:tc>
        <w:tc>
          <w:tcPr>
            <w:tcW w:w="589"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且,≥8000</w:t>
            </w:r>
          </w:p>
        </w:tc>
        <w:tc>
          <w:tcPr>
            <w:tcW w:w="738"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　</w:t>
            </w:r>
          </w:p>
        </w:tc>
        <w:tc>
          <w:tcPr>
            <w:tcW w:w="612"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≥10</w:t>
            </w:r>
          </w:p>
        </w:tc>
        <w:tc>
          <w:tcPr>
            <w:tcW w:w="657"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且,≥100</w:t>
            </w:r>
          </w:p>
        </w:tc>
        <w:tc>
          <w:tcPr>
            <w:tcW w:w="762"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　</w:t>
            </w:r>
          </w:p>
        </w:tc>
        <w:tc>
          <w:tcPr>
            <w:tcW w:w="681"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＜10</w:t>
            </w:r>
          </w:p>
        </w:tc>
        <w:tc>
          <w:tcPr>
            <w:tcW w:w="773"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或,＜100</w:t>
            </w:r>
          </w:p>
        </w:tc>
      </w:tr>
      <w:tr>
        <w:tblPrEx>
          <w:tblCellMar>
            <w:top w:w="0" w:type="dxa"/>
            <w:left w:w="108" w:type="dxa"/>
            <w:bottom w:w="0" w:type="dxa"/>
            <w:right w:w="108" w:type="dxa"/>
          </w:tblCellMar>
        </w:tblPrEx>
        <w:trPr>
          <w:trHeight w:val="577" w:hRule="atLeast"/>
        </w:trPr>
        <w:tc>
          <w:tcPr>
            <w:tcW w:w="635" w:type="dxa"/>
            <w:tcBorders>
              <w:top w:val="nil"/>
              <w:left w:val="single" w:color="auto" w:sz="4" w:space="0"/>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16</w:t>
            </w:r>
          </w:p>
        </w:tc>
        <w:tc>
          <w:tcPr>
            <w:tcW w:w="704"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209" w:rightChars="-87"/>
              <w:jc w:val="left"/>
              <w:rPr>
                <w:rFonts w:ascii="宋体" w:hAnsi="宋体" w:cs="宋体"/>
                <w:color w:val="auto"/>
                <w:kern w:val="0"/>
                <w:sz w:val="15"/>
                <w:szCs w:val="15"/>
              </w:rPr>
            </w:pPr>
            <w:r>
              <w:rPr>
                <w:rFonts w:hint="eastAsia" w:ascii="宋体" w:hAnsi="宋体" w:cs="宋体"/>
                <w:color w:val="auto"/>
                <w:kern w:val="0"/>
                <w:sz w:val="15"/>
                <w:szCs w:val="15"/>
              </w:rPr>
              <w:t>其他未列明行业</w:t>
            </w:r>
          </w:p>
        </w:tc>
        <w:tc>
          <w:tcPr>
            <w:tcW w:w="773"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　</w:t>
            </w:r>
          </w:p>
        </w:tc>
        <w:tc>
          <w:tcPr>
            <w:tcW w:w="761"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≥300</w:t>
            </w:r>
          </w:p>
        </w:tc>
        <w:tc>
          <w:tcPr>
            <w:tcW w:w="666"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　</w:t>
            </w:r>
          </w:p>
        </w:tc>
        <w:tc>
          <w:tcPr>
            <w:tcW w:w="684"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　</w:t>
            </w:r>
          </w:p>
        </w:tc>
        <w:tc>
          <w:tcPr>
            <w:tcW w:w="554"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≥100</w:t>
            </w:r>
          </w:p>
        </w:tc>
        <w:tc>
          <w:tcPr>
            <w:tcW w:w="589"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　</w:t>
            </w:r>
          </w:p>
        </w:tc>
        <w:tc>
          <w:tcPr>
            <w:tcW w:w="738"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　</w:t>
            </w:r>
          </w:p>
        </w:tc>
        <w:tc>
          <w:tcPr>
            <w:tcW w:w="612"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≥10</w:t>
            </w:r>
          </w:p>
        </w:tc>
        <w:tc>
          <w:tcPr>
            <w:tcW w:w="657"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　</w:t>
            </w:r>
          </w:p>
        </w:tc>
        <w:tc>
          <w:tcPr>
            <w:tcW w:w="762"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　</w:t>
            </w:r>
          </w:p>
        </w:tc>
        <w:tc>
          <w:tcPr>
            <w:tcW w:w="681" w:type="dxa"/>
            <w:tcBorders>
              <w:top w:val="nil"/>
              <w:left w:val="nil"/>
              <w:bottom w:val="single" w:color="auto" w:sz="4" w:space="0"/>
              <w:right w:val="single" w:color="auto" w:sz="4" w:space="0"/>
            </w:tcBorders>
            <w:noWrap w:val="0"/>
            <w:vAlign w:val="center"/>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＜10</w:t>
            </w:r>
          </w:p>
        </w:tc>
        <w:tc>
          <w:tcPr>
            <w:tcW w:w="773" w:type="dxa"/>
            <w:tcBorders>
              <w:top w:val="nil"/>
              <w:left w:val="nil"/>
              <w:bottom w:val="single" w:color="auto" w:sz="4" w:space="0"/>
              <w:right w:val="single" w:color="auto" w:sz="4" w:space="0"/>
            </w:tcBorders>
            <w:noWrap w:val="0"/>
            <w:vAlign w:val="bottom"/>
          </w:tcPr>
          <w:p>
            <w:pPr>
              <w:pStyle w:val="35"/>
              <w:widowControl/>
              <w:spacing w:line="240" w:lineRule="atLeast"/>
              <w:ind w:left="-96" w:leftChars="-40" w:right="-65" w:rightChars="-27"/>
              <w:jc w:val="center"/>
              <w:rPr>
                <w:rFonts w:ascii="宋体" w:hAnsi="宋体" w:cs="宋体"/>
                <w:color w:val="auto"/>
                <w:kern w:val="0"/>
                <w:sz w:val="15"/>
                <w:szCs w:val="15"/>
              </w:rPr>
            </w:pPr>
            <w:r>
              <w:rPr>
                <w:rFonts w:hint="eastAsia" w:ascii="宋体" w:hAnsi="宋体" w:cs="宋体"/>
                <w:color w:val="auto"/>
                <w:kern w:val="0"/>
                <w:sz w:val="15"/>
                <w:szCs w:val="15"/>
              </w:rPr>
              <w:t>　</w:t>
            </w:r>
          </w:p>
        </w:tc>
      </w:tr>
    </w:tbl>
    <w:p>
      <w:pPr>
        <w:pStyle w:val="6"/>
        <w:ind w:left="0" w:leftChars="0" w:firstLine="0" w:firstLineChars="0"/>
        <w:rPr>
          <w:color w:val="auto"/>
        </w:rPr>
      </w:pPr>
    </w:p>
    <w:p>
      <w:pPr>
        <w:rPr>
          <w:color w:val="auto"/>
        </w:rPr>
      </w:pPr>
    </w:p>
    <w:sectPr>
      <w:pgSz w:w="11906" w:h="16838"/>
      <w:pgMar w:top="1440" w:right="1646" w:bottom="1438" w:left="1800"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0000000000000000000"/>
    <w:charset w:val="86"/>
    <w:family w:val="modern"/>
    <w:pitch w:val="default"/>
    <w:sig w:usb0="00000000" w:usb1="00000000"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方正仿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724"/>
      <w:rPr>
        <w:rFonts w:ascii="Times New Roman" w:hAnsi="Times New Roman" w:eastAsia="Times New Roman" w:cs="Times New Roman"/>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724"/>
      <w:rPr>
        <w:rFonts w:ascii="Times New Roman" w:hAnsi="Times New Roman" w:eastAsia="Times New Roman" w:cs="Times New Roman"/>
        <w:sz w:val="23"/>
        <w:szCs w:val="23"/>
      </w:rPr>
    </w:pPr>
    <w:r>
      <w:rPr>
        <w:sz w:val="23"/>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rPr>
        <w:rFonts w:ascii="Times New Roman" w:hAnsi="Times New Roman" w:eastAsia="Times New Roman" w:cs="Times New Roman"/>
        <w:sz w:val="23"/>
        <w:szCs w:val="23"/>
      </w:rPr>
    </w:pPr>
    <w:r>
      <w:rPr>
        <w:sz w:val="23"/>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fldChar w:fldCharType="begin"/>
    </w:r>
    <w:r>
      <w:rPr>
        <w:rStyle w:val="23"/>
      </w:rPr>
      <w:instrText xml:space="preserve">PAGE  </w:instrText>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rPr>
        <w:rFonts w:hint="eastAsia"/>
      </w:rPr>
      <w:t xml:space="preserve">采购招标文件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CCD2EF"/>
    <w:multiLevelType w:val="singleLevel"/>
    <w:tmpl w:val="98CCD2EF"/>
    <w:lvl w:ilvl="0" w:tentative="0">
      <w:start w:val="2"/>
      <w:numFmt w:val="decimal"/>
      <w:suff w:val="nothing"/>
      <w:lvlText w:val="%1、"/>
      <w:lvlJc w:val="left"/>
    </w:lvl>
  </w:abstractNum>
  <w:abstractNum w:abstractNumId="1">
    <w:nsid w:val="AFD99D5C"/>
    <w:multiLevelType w:val="singleLevel"/>
    <w:tmpl w:val="AFD99D5C"/>
    <w:lvl w:ilvl="0" w:tentative="0">
      <w:start w:val="1"/>
      <w:numFmt w:val="decimal"/>
      <w:lvlText w:val="%1."/>
      <w:lvlJc w:val="left"/>
      <w:pPr>
        <w:ind w:left="425" w:hanging="425"/>
      </w:pPr>
      <w:rPr>
        <w:rFonts w:hint="default"/>
      </w:rPr>
    </w:lvl>
  </w:abstractNum>
  <w:abstractNum w:abstractNumId="2">
    <w:nsid w:val="D681BCD8"/>
    <w:multiLevelType w:val="singleLevel"/>
    <w:tmpl w:val="D681BCD8"/>
    <w:lvl w:ilvl="0" w:tentative="0">
      <w:start w:val="1"/>
      <w:numFmt w:val="decimal"/>
      <w:suff w:val="nothing"/>
      <w:lvlText w:val="（%1）"/>
      <w:lvlJc w:val="left"/>
    </w:lvl>
  </w:abstractNum>
  <w:abstractNum w:abstractNumId="3">
    <w:nsid w:val="D6CFFD83"/>
    <w:multiLevelType w:val="singleLevel"/>
    <w:tmpl w:val="D6CFFD83"/>
    <w:lvl w:ilvl="0" w:tentative="0">
      <w:start w:val="6"/>
      <w:numFmt w:val="chineseCounting"/>
      <w:suff w:val="nothing"/>
      <w:lvlText w:val="%1、"/>
      <w:lvlJc w:val="left"/>
      <w:rPr>
        <w:rFonts w:hint="eastAsia"/>
      </w:rPr>
    </w:lvl>
  </w:abstractNum>
  <w:abstractNum w:abstractNumId="4">
    <w:nsid w:val="07DD51D1"/>
    <w:multiLevelType w:val="multilevel"/>
    <w:tmpl w:val="07DD51D1"/>
    <w:lvl w:ilvl="0" w:tentative="0">
      <w:start w:val="1"/>
      <w:numFmt w:val="japaneseCounting"/>
      <w:lvlText w:val="%1、"/>
      <w:lvlJc w:val="left"/>
      <w:pPr>
        <w:ind w:left="-210" w:hanging="425"/>
      </w:pPr>
      <w:rPr>
        <w:rFonts w:hint="eastAsia"/>
      </w:rPr>
    </w:lvl>
    <w:lvl w:ilvl="1" w:tentative="0">
      <w:start w:val="1"/>
      <w:numFmt w:val="decimal"/>
      <w:lvlText w:val="%1.%2"/>
      <w:lvlJc w:val="left"/>
      <w:pPr>
        <w:ind w:left="357" w:hanging="567"/>
      </w:pPr>
      <w:rPr>
        <w:rFonts w:hint="eastAsia"/>
      </w:rPr>
    </w:lvl>
    <w:lvl w:ilvl="2" w:tentative="0">
      <w:start w:val="1"/>
      <w:numFmt w:val="decimal"/>
      <w:lvlText w:val="%1.%2.%3"/>
      <w:lvlJc w:val="left"/>
      <w:pPr>
        <w:ind w:left="783" w:hanging="567"/>
      </w:pPr>
      <w:rPr>
        <w:rFonts w:hint="eastAsia"/>
      </w:rPr>
    </w:lvl>
    <w:lvl w:ilvl="3" w:tentative="0">
      <w:start w:val="1"/>
      <w:numFmt w:val="decimal"/>
      <w:lvlText w:val="%1.%2.%3.%4"/>
      <w:lvlJc w:val="left"/>
      <w:pPr>
        <w:ind w:left="1349" w:hanging="708"/>
      </w:pPr>
      <w:rPr>
        <w:rFonts w:hint="eastAsia"/>
      </w:rPr>
    </w:lvl>
    <w:lvl w:ilvl="4" w:tentative="0">
      <w:start w:val="1"/>
      <w:numFmt w:val="decimal"/>
      <w:lvlText w:val="%1.%2.%3.%4.%5"/>
      <w:lvlJc w:val="left"/>
      <w:pPr>
        <w:ind w:left="1916" w:hanging="850"/>
      </w:pPr>
      <w:rPr>
        <w:rFonts w:hint="eastAsia"/>
      </w:rPr>
    </w:lvl>
    <w:lvl w:ilvl="5" w:tentative="0">
      <w:start w:val="1"/>
      <w:numFmt w:val="decimal"/>
      <w:lvlText w:val="%1.%2.%3.%4.%5.%6"/>
      <w:lvlJc w:val="left"/>
      <w:pPr>
        <w:ind w:left="2625" w:hanging="1134"/>
      </w:pPr>
      <w:rPr>
        <w:rFonts w:hint="eastAsia"/>
      </w:rPr>
    </w:lvl>
    <w:lvl w:ilvl="6" w:tentative="0">
      <w:start w:val="1"/>
      <w:numFmt w:val="decimal"/>
      <w:lvlText w:val="%1.%2.%3.%4.%5.%6.%7"/>
      <w:lvlJc w:val="left"/>
      <w:pPr>
        <w:ind w:left="3192" w:hanging="1276"/>
      </w:pPr>
      <w:rPr>
        <w:rFonts w:hint="eastAsia"/>
      </w:rPr>
    </w:lvl>
    <w:lvl w:ilvl="7" w:tentative="0">
      <w:start w:val="1"/>
      <w:numFmt w:val="decimal"/>
      <w:lvlText w:val="%1.%2.%3.%4.%5.%6.%7.%8"/>
      <w:lvlJc w:val="left"/>
      <w:pPr>
        <w:ind w:left="3759" w:hanging="1418"/>
      </w:pPr>
      <w:rPr>
        <w:rFonts w:hint="eastAsia"/>
      </w:rPr>
    </w:lvl>
    <w:lvl w:ilvl="8" w:tentative="0">
      <w:start w:val="1"/>
      <w:numFmt w:val="decimal"/>
      <w:lvlText w:val="%1.%2.%3.%4.%5.%6.%7.%8.%9"/>
      <w:lvlJc w:val="left"/>
      <w:pPr>
        <w:ind w:left="4467" w:hanging="1700"/>
      </w:pPr>
      <w:rPr>
        <w:rFonts w:hint="eastAsia"/>
      </w:rPr>
    </w:lvl>
  </w:abstractNum>
  <w:abstractNum w:abstractNumId="5">
    <w:nsid w:val="0A18D69A"/>
    <w:multiLevelType w:val="singleLevel"/>
    <w:tmpl w:val="0A18D69A"/>
    <w:lvl w:ilvl="0" w:tentative="0">
      <w:start w:val="8"/>
      <w:numFmt w:val="decimal"/>
      <w:suff w:val="nothing"/>
      <w:lvlText w:val="（%1）"/>
      <w:lvlJc w:val="left"/>
    </w:lvl>
  </w:abstractNum>
  <w:abstractNum w:abstractNumId="6">
    <w:nsid w:val="15A87FAD"/>
    <w:multiLevelType w:val="multilevel"/>
    <w:tmpl w:val="15A87FAD"/>
    <w:lvl w:ilvl="0" w:tentative="0">
      <w:start w:val="1"/>
      <w:numFmt w:val="decimal"/>
      <w:lvlText w:val="%1)"/>
      <w:lvlJc w:val="left"/>
      <w:pPr>
        <w:ind w:left="1260" w:hanging="420"/>
      </w:pPr>
      <w:rPr>
        <w:color w:val="auto"/>
      </w:rPr>
    </w:lvl>
    <w:lvl w:ilvl="1" w:tentative="0">
      <w:start w:val="3"/>
      <w:numFmt w:val="bullet"/>
      <w:lvlText w:val="※"/>
      <w:lvlJc w:val="left"/>
      <w:pPr>
        <w:ind w:left="1620" w:hanging="360"/>
      </w:pPr>
      <w:rPr>
        <w:rFonts w:hint="eastAsia" w:ascii="宋体" w:hAnsi="宋体" w:eastAsia="宋体" w:cs="Times New Roman"/>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25C36E69"/>
    <w:multiLevelType w:val="multilevel"/>
    <w:tmpl w:val="25C36E69"/>
    <w:lvl w:ilvl="0" w:tentative="0">
      <w:start w:val="1"/>
      <w:numFmt w:val="decimal"/>
      <w:lvlText w:val="%1)"/>
      <w:lvlJc w:val="left"/>
      <w:pPr>
        <w:ind w:left="1260" w:hanging="420"/>
      </w:pPr>
      <w:rPr>
        <w:color w:val="auto"/>
      </w:rPr>
    </w:lvl>
    <w:lvl w:ilvl="1" w:tentative="0">
      <w:start w:val="3"/>
      <w:numFmt w:val="bullet"/>
      <w:lvlText w:val="※"/>
      <w:lvlJc w:val="left"/>
      <w:pPr>
        <w:ind w:left="1620" w:hanging="360"/>
      </w:pPr>
      <w:rPr>
        <w:rFonts w:hint="eastAsia" w:ascii="宋体" w:hAnsi="宋体" w:eastAsia="宋体" w:cs="Times New Roman"/>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3E697EC3"/>
    <w:multiLevelType w:val="multilevel"/>
    <w:tmpl w:val="3E697EC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077ED7E"/>
    <w:multiLevelType w:val="singleLevel"/>
    <w:tmpl w:val="4077ED7E"/>
    <w:lvl w:ilvl="0" w:tentative="0">
      <w:start w:val="1"/>
      <w:numFmt w:val="decimal"/>
      <w:suff w:val="nothing"/>
      <w:lvlText w:val="%1、"/>
      <w:lvlJc w:val="left"/>
    </w:lvl>
  </w:abstractNum>
  <w:abstractNum w:abstractNumId="10">
    <w:nsid w:val="488D093C"/>
    <w:multiLevelType w:val="multilevel"/>
    <w:tmpl w:val="488D093C"/>
    <w:lvl w:ilvl="0" w:tentative="0">
      <w:start w:val="1"/>
      <w:numFmt w:val="decimal"/>
      <w:lvlText w:val="%1."/>
      <w:lvlJc w:val="left"/>
      <w:pPr>
        <w:ind w:left="767" w:hanging="360"/>
      </w:pPr>
      <w:rPr>
        <w:rFonts w:hint="default"/>
      </w:rPr>
    </w:lvl>
    <w:lvl w:ilvl="1" w:tentative="0">
      <w:start w:val="1"/>
      <w:numFmt w:val="lowerLetter"/>
      <w:lvlText w:val="%2)"/>
      <w:lvlJc w:val="left"/>
      <w:pPr>
        <w:ind w:left="1247" w:hanging="420"/>
      </w:pPr>
    </w:lvl>
    <w:lvl w:ilvl="2" w:tentative="0">
      <w:start w:val="1"/>
      <w:numFmt w:val="lowerRoman"/>
      <w:lvlText w:val="%3."/>
      <w:lvlJc w:val="right"/>
      <w:pPr>
        <w:ind w:left="1667" w:hanging="420"/>
      </w:pPr>
    </w:lvl>
    <w:lvl w:ilvl="3" w:tentative="0">
      <w:start w:val="1"/>
      <w:numFmt w:val="decimal"/>
      <w:lvlText w:val="%4."/>
      <w:lvlJc w:val="left"/>
      <w:pPr>
        <w:ind w:left="2087" w:hanging="420"/>
      </w:pPr>
    </w:lvl>
    <w:lvl w:ilvl="4" w:tentative="0">
      <w:start w:val="1"/>
      <w:numFmt w:val="lowerLetter"/>
      <w:lvlText w:val="%5)"/>
      <w:lvlJc w:val="left"/>
      <w:pPr>
        <w:ind w:left="2507" w:hanging="420"/>
      </w:pPr>
    </w:lvl>
    <w:lvl w:ilvl="5" w:tentative="0">
      <w:start w:val="1"/>
      <w:numFmt w:val="lowerRoman"/>
      <w:lvlText w:val="%6."/>
      <w:lvlJc w:val="right"/>
      <w:pPr>
        <w:ind w:left="2927" w:hanging="420"/>
      </w:pPr>
    </w:lvl>
    <w:lvl w:ilvl="6" w:tentative="0">
      <w:start w:val="1"/>
      <w:numFmt w:val="decimal"/>
      <w:lvlText w:val="%7."/>
      <w:lvlJc w:val="left"/>
      <w:pPr>
        <w:ind w:left="3347" w:hanging="420"/>
      </w:pPr>
    </w:lvl>
    <w:lvl w:ilvl="7" w:tentative="0">
      <w:start w:val="1"/>
      <w:numFmt w:val="lowerLetter"/>
      <w:lvlText w:val="%8)"/>
      <w:lvlJc w:val="left"/>
      <w:pPr>
        <w:ind w:left="3767" w:hanging="420"/>
      </w:pPr>
    </w:lvl>
    <w:lvl w:ilvl="8" w:tentative="0">
      <w:start w:val="1"/>
      <w:numFmt w:val="lowerRoman"/>
      <w:lvlText w:val="%9."/>
      <w:lvlJc w:val="right"/>
      <w:pPr>
        <w:ind w:left="4187" w:hanging="420"/>
      </w:pPr>
    </w:lvl>
  </w:abstractNum>
  <w:abstractNum w:abstractNumId="11">
    <w:nsid w:val="4EBE1511"/>
    <w:multiLevelType w:val="multilevel"/>
    <w:tmpl w:val="4EBE1511"/>
    <w:lvl w:ilvl="0" w:tentative="0">
      <w:start w:val="1"/>
      <w:numFmt w:val="chineseCountingThousand"/>
      <w:suff w:val="space"/>
      <w:lvlText w:val="%1、"/>
      <w:lvlJc w:val="left"/>
      <w:pPr>
        <w:ind w:left="0" w:firstLine="0"/>
      </w:pPr>
      <w:rPr>
        <w:rFonts w:hint="eastAsia"/>
      </w:rPr>
    </w:lvl>
    <w:lvl w:ilvl="1" w:tentative="0">
      <w:start w:val="1"/>
      <w:numFmt w:val="decimal"/>
      <w:isLgl/>
      <w:suff w:val="space"/>
      <w:lvlText w:val="%1.%2"/>
      <w:lvlJc w:val="left"/>
      <w:pPr>
        <w:ind w:left="284" w:firstLine="0"/>
      </w:pPr>
      <w:rPr>
        <w:rFonts w:hint="eastAsia"/>
        <w:spacing w:val="0"/>
        <w:w w:val="100"/>
        <w:kern w:val="21"/>
        <w:position w:val="0"/>
      </w:rPr>
    </w:lvl>
    <w:lvl w:ilvl="2" w:tentative="0">
      <w:start w:val="1"/>
      <w:numFmt w:val="decimal"/>
      <w:isLgl/>
      <w:suff w:val="space"/>
      <w:lvlText w:val="%1.%2.%3"/>
      <w:lvlJc w:val="left"/>
      <w:pPr>
        <w:ind w:left="2268" w:firstLine="0"/>
      </w:pPr>
      <w:rPr>
        <w:rFonts w:hint="eastAsia"/>
        <w:color w:val="auto"/>
      </w:rPr>
    </w:lvl>
    <w:lvl w:ilvl="3" w:tentative="0">
      <w:start w:val="1"/>
      <w:numFmt w:val="decimal"/>
      <w:lvlText w:val="%4)"/>
      <w:lvlJc w:val="left"/>
      <w:pPr>
        <w:ind w:left="852" w:firstLine="0"/>
      </w:pPr>
      <w:rPr>
        <w:rFonts w:hint="eastAsia"/>
      </w:rPr>
    </w:lvl>
    <w:lvl w:ilvl="4" w:tentative="0">
      <w:start w:val="1"/>
      <w:numFmt w:val="decimal"/>
      <w:lvlText w:val="%1.%2.%3.%4.%5"/>
      <w:lvlJc w:val="left"/>
      <w:pPr>
        <w:ind w:left="1136" w:firstLine="0"/>
      </w:pPr>
      <w:rPr>
        <w:rFonts w:hint="eastAsia"/>
      </w:rPr>
    </w:lvl>
    <w:lvl w:ilvl="5" w:tentative="0">
      <w:start w:val="1"/>
      <w:numFmt w:val="decimal"/>
      <w:lvlText w:val="%1.%2.%3.%4.%5.%6"/>
      <w:lvlJc w:val="left"/>
      <w:pPr>
        <w:ind w:left="1420" w:firstLine="0"/>
      </w:pPr>
      <w:rPr>
        <w:rFonts w:hint="eastAsia"/>
      </w:rPr>
    </w:lvl>
    <w:lvl w:ilvl="6" w:tentative="0">
      <w:start w:val="1"/>
      <w:numFmt w:val="decimal"/>
      <w:lvlText w:val="%1.%2.%3.%4.%5.%6.%7"/>
      <w:lvlJc w:val="left"/>
      <w:pPr>
        <w:ind w:left="1704" w:firstLine="0"/>
      </w:pPr>
      <w:rPr>
        <w:rFonts w:hint="eastAsia"/>
      </w:rPr>
    </w:lvl>
    <w:lvl w:ilvl="7" w:tentative="0">
      <w:start w:val="1"/>
      <w:numFmt w:val="decimal"/>
      <w:lvlText w:val="%1.%2.%3.%4.%5.%6.%7.%8"/>
      <w:lvlJc w:val="left"/>
      <w:pPr>
        <w:ind w:left="1988" w:firstLine="0"/>
      </w:pPr>
      <w:rPr>
        <w:rFonts w:hint="eastAsia"/>
      </w:rPr>
    </w:lvl>
    <w:lvl w:ilvl="8" w:tentative="0">
      <w:start w:val="1"/>
      <w:numFmt w:val="decimal"/>
      <w:lvlText w:val="%1.%2.%3.%4.%5.%6.%7.%8.%9"/>
      <w:lvlJc w:val="left"/>
      <w:pPr>
        <w:ind w:left="2272" w:firstLine="0"/>
      </w:pPr>
      <w:rPr>
        <w:rFonts w:hint="eastAsia"/>
      </w:rPr>
    </w:lvl>
  </w:abstractNum>
  <w:abstractNum w:abstractNumId="12">
    <w:nsid w:val="537EBE7C"/>
    <w:multiLevelType w:val="singleLevel"/>
    <w:tmpl w:val="537EBE7C"/>
    <w:lvl w:ilvl="0" w:tentative="0">
      <w:start w:val="1"/>
      <w:numFmt w:val="decimal"/>
      <w:suff w:val="nothing"/>
      <w:lvlText w:val="%1、"/>
      <w:lvlJc w:val="left"/>
    </w:lvl>
  </w:abstractNum>
  <w:abstractNum w:abstractNumId="13">
    <w:nsid w:val="5D4B4A82"/>
    <w:multiLevelType w:val="multilevel"/>
    <w:tmpl w:val="5D4B4A82"/>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4">
    <w:nsid w:val="6E4946E8"/>
    <w:multiLevelType w:val="singleLevel"/>
    <w:tmpl w:val="6E4946E8"/>
    <w:lvl w:ilvl="0" w:tentative="0">
      <w:start w:val="1"/>
      <w:numFmt w:val="decimal"/>
      <w:suff w:val="nothing"/>
      <w:lvlText w:val="%1、"/>
      <w:lvlJc w:val="left"/>
    </w:lvl>
  </w:abstractNum>
  <w:abstractNum w:abstractNumId="15">
    <w:nsid w:val="7CF81029"/>
    <w:multiLevelType w:val="multilevel"/>
    <w:tmpl w:val="7CF81029"/>
    <w:lvl w:ilvl="0" w:tentative="0">
      <w:start w:val="1"/>
      <w:numFmt w:val="decimal"/>
      <w:lvlText w:val="%1)"/>
      <w:lvlJc w:val="left"/>
      <w:pPr>
        <w:ind w:left="1260" w:hanging="420"/>
      </w:pPr>
      <w:rPr>
        <w:color w:val="auto"/>
      </w:rPr>
    </w:lvl>
    <w:lvl w:ilvl="1" w:tentative="0">
      <w:start w:val="3"/>
      <w:numFmt w:val="bullet"/>
      <w:lvlText w:val="※"/>
      <w:lvlJc w:val="left"/>
      <w:pPr>
        <w:ind w:left="1620" w:hanging="360"/>
      </w:pPr>
      <w:rPr>
        <w:rFonts w:hint="eastAsia" w:ascii="宋体" w:hAnsi="宋体" w:eastAsia="宋体" w:cs="Times New Roman"/>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3"/>
  </w:num>
  <w:num w:numId="2">
    <w:abstractNumId w:val="2"/>
  </w:num>
  <w:num w:numId="3">
    <w:abstractNumId w:val="5"/>
  </w:num>
  <w:num w:numId="4">
    <w:abstractNumId w:val="0"/>
  </w:num>
  <w:num w:numId="5">
    <w:abstractNumId w:val="14"/>
  </w:num>
  <w:num w:numId="6">
    <w:abstractNumId w:val="9"/>
  </w:num>
  <w:num w:numId="7">
    <w:abstractNumId w:val="4"/>
  </w:num>
  <w:num w:numId="8">
    <w:abstractNumId w:val="7"/>
  </w:num>
  <w:num w:numId="9">
    <w:abstractNumId w:val="6"/>
  </w:num>
  <w:num w:numId="10">
    <w:abstractNumId w:val="15"/>
  </w:num>
  <w:num w:numId="11">
    <w:abstractNumId w:val="13"/>
  </w:num>
  <w:num w:numId="12">
    <w:abstractNumId w:val="11"/>
  </w:num>
  <w:num w:numId="13">
    <w:abstractNumId w:val="1"/>
  </w:num>
  <w:num w:numId="14">
    <w:abstractNumId w:val="12"/>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lMDU4ZGUzNGNhYTc3NWMwNzhiYTM1ZDVkYjg5M2UifQ=="/>
  </w:docVars>
  <w:rsids>
    <w:rsidRoot w:val="4F0D0E3A"/>
    <w:rsid w:val="034A7D7B"/>
    <w:rsid w:val="04DF7CDC"/>
    <w:rsid w:val="04F1726F"/>
    <w:rsid w:val="05FB28F4"/>
    <w:rsid w:val="06744454"/>
    <w:rsid w:val="071861DB"/>
    <w:rsid w:val="07372A9F"/>
    <w:rsid w:val="08075794"/>
    <w:rsid w:val="08AD5A2D"/>
    <w:rsid w:val="08F06FD1"/>
    <w:rsid w:val="09750C0F"/>
    <w:rsid w:val="09C47D5F"/>
    <w:rsid w:val="09D153D7"/>
    <w:rsid w:val="09D80C8F"/>
    <w:rsid w:val="09F77876"/>
    <w:rsid w:val="0A6F6768"/>
    <w:rsid w:val="0B584344"/>
    <w:rsid w:val="0B884C29"/>
    <w:rsid w:val="0C287FDC"/>
    <w:rsid w:val="0C45422A"/>
    <w:rsid w:val="0D371473"/>
    <w:rsid w:val="0D4E7C6A"/>
    <w:rsid w:val="0D9C676A"/>
    <w:rsid w:val="0DE54697"/>
    <w:rsid w:val="0ED974FC"/>
    <w:rsid w:val="0F39315D"/>
    <w:rsid w:val="0F47710D"/>
    <w:rsid w:val="10192451"/>
    <w:rsid w:val="10CC55B8"/>
    <w:rsid w:val="10EA0B23"/>
    <w:rsid w:val="11AE1162"/>
    <w:rsid w:val="124F6D4B"/>
    <w:rsid w:val="12507219"/>
    <w:rsid w:val="12A86270"/>
    <w:rsid w:val="13646264"/>
    <w:rsid w:val="1375627C"/>
    <w:rsid w:val="13D1738A"/>
    <w:rsid w:val="1425785E"/>
    <w:rsid w:val="14FD6C55"/>
    <w:rsid w:val="15852D62"/>
    <w:rsid w:val="15AD7A74"/>
    <w:rsid w:val="15C90318"/>
    <w:rsid w:val="162C6AF9"/>
    <w:rsid w:val="163F492D"/>
    <w:rsid w:val="187F5606"/>
    <w:rsid w:val="18CA38E0"/>
    <w:rsid w:val="196F10A4"/>
    <w:rsid w:val="19E153EE"/>
    <w:rsid w:val="1A1D640E"/>
    <w:rsid w:val="1B0803E4"/>
    <w:rsid w:val="1B2D6FD2"/>
    <w:rsid w:val="1B811695"/>
    <w:rsid w:val="1BE14E56"/>
    <w:rsid w:val="1BEF5CF5"/>
    <w:rsid w:val="1C164F14"/>
    <w:rsid w:val="1C93022A"/>
    <w:rsid w:val="1C964CCC"/>
    <w:rsid w:val="1CED2478"/>
    <w:rsid w:val="1D1D2F3E"/>
    <w:rsid w:val="1D290A3D"/>
    <w:rsid w:val="1D4C5AC1"/>
    <w:rsid w:val="1D6E79F7"/>
    <w:rsid w:val="1D991F15"/>
    <w:rsid w:val="1DC46673"/>
    <w:rsid w:val="1E895D22"/>
    <w:rsid w:val="1EC43D73"/>
    <w:rsid w:val="1F0C52E3"/>
    <w:rsid w:val="1F441EE0"/>
    <w:rsid w:val="1F4B4494"/>
    <w:rsid w:val="1F4E2574"/>
    <w:rsid w:val="203647FC"/>
    <w:rsid w:val="20A52478"/>
    <w:rsid w:val="20E00BC2"/>
    <w:rsid w:val="210743EB"/>
    <w:rsid w:val="210B65D6"/>
    <w:rsid w:val="22AA2148"/>
    <w:rsid w:val="230777FD"/>
    <w:rsid w:val="230B5347"/>
    <w:rsid w:val="23FC5D5D"/>
    <w:rsid w:val="243D064F"/>
    <w:rsid w:val="24727DCD"/>
    <w:rsid w:val="249B6F39"/>
    <w:rsid w:val="25345930"/>
    <w:rsid w:val="256040C9"/>
    <w:rsid w:val="25C41CC3"/>
    <w:rsid w:val="26AB6C44"/>
    <w:rsid w:val="26B91C40"/>
    <w:rsid w:val="26D03220"/>
    <w:rsid w:val="27941362"/>
    <w:rsid w:val="27D31E5C"/>
    <w:rsid w:val="2A305C12"/>
    <w:rsid w:val="2A500BB0"/>
    <w:rsid w:val="2B811D42"/>
    <w:rsid w:val="2BCE6231"/>
    <w:rsid w:val="2C0130CB"/>
    <w:rsid w:val="2C870B22"/>
    <w:rsid w:val="2CC23858"/>
    <w:rsid w:val="2D895678"/>
    <w:rsid w:val="2DCC67A0"/>
    <w:rsid w:val="2E291E44"/>
    <w:rsid w:val="2E810CFD"/>
    <w:rsid w:val="2F261187"/>
    <w:rsid w:val="2F936C13"/>
    <w:rsid w:val="2FDA5341"/>
    <w:rsid w:val="305F2E47"/>
    <w:rsid w:val="31B5222D"/>
    <w:rsid w:val="327613D0"/>
    <w:rsid w:val="327E0A5B"/>
    <w:rsid w:val="32883492"/>
    <w:rsid w:val="32904240"/>
    <w:rsid w:val="32D97AC0"/>
    <w:rsid w:val="33FFC23D"/>
    <w:rsid w:val="34802092"/>
    <w:rsid w:val="350840DB"/>
    <w:rsid w:val="35BE2E72"/>
    <w:rsid w:val="35CB37E1"/>
    <w:rsid w:val="35CE6E2D"/>
    <w:rsid w:val="36D93CDC"/>
    <w:rsid w:val="37E1109A"/>
    <w:rsid w:val="37E8067A"/>
    <w:rsid w:val="38600F6C"/>
    <w:rsid w:val="389B0525"/>
    <w:rsid w:val="38DD15F4"/>
    <w:rsid w:val="38EF7AD2"/>
    <w:rsid w:val="391D7DB8"/>
    <w:rsid w:val="39792734"/>
    <w:rsid w:val="39FB3B25"/>
    <w:rsid w:val="3AA34F60"/>
    <w:rsid w:val="3AA43925"/>
    <w:rsid w:val="3ACA3309"/>
    <w:rsid w:val="3B38210C"/>
    <w:rsid w:val="3B9A7EDD"/>
    <w:rsid w:val="3CEA403F"/>
    <w:rsid w:val="3D483969"/>
    <w:rsid w:val="3D9D3CB5"/>
    <w:rsid w:val="3EC033B6"/>
    <w:rsid w:val="3EFF5979"/>
    <w:rsid w:val="3F097348"/>
    <w:rsid w:val="406A5A94"/>
    <w:rsid w:val="41FB36A0"/>
    <w:rsid w:val="4268268D"/>
    <w:rsid w:val="42884F34"/>
    <w:rsid w:val="42A30CD6"/>
    <w:rsid w:val="437048E9"/>
    <w:rsid w:val="438F29C4"/>
    <w:rsid w:val="43911AB3"/>
    <w:rsid w:val="441B5933"/>
    <w:rsid w:val="447776D6"/>
    <w:rsid w:val="452151CC"/>
    <w:rsid w:val="45AD2F03"/>
    <w:rsid w:val="461E2470"/>
    <w:rsid w:val="46935C55"/>
    <w:rsid w:val="469A5235"/>
    <w:rsid w:val="46E66D26"/>
    <w:rsid w:val="47484C91"/>
    <w:rsid w:val="47D507E1"/>
    <w:rsid w:val="48261B1E"/>
    <w:rsid w:val="48B6133B"/>
    <w:rsid w:val="48D133FB"/>
    <w:rsid w:val="48E7655B"/>
    <w:rsid w:val="49C6610C"/>
    <w:rsid w:val="4AEE6809"/>
    <w:rsid w:val="4B307425"/>
    <w:rsid w:val="4B4E2A92"/>
    <w:rsid w:val="4C5055C7"/>
    <w:rsid w:val="4D54517E"/>
    <w:rsid w:val="4E5D283A"/>
    <w:rsid w:val="4F0D0E3A"/>
    <w:rsid w:val="4F2E0C11"/>
    <w:rsid w:val="50B95E23"/>
    <w:rsid w:val="50E54345"/>
    <w:rsid w:val="514C72EB"/>
    <w:rsid w:val="52950FA7"/>
    <w:rsid w:val="529E1C09"/>
    <w:rsid w:val="52DE46FB"/>
    <w:rsid w:val="52FD1026"/>
    <w:rsid w:val="52FE7F7A"/>
    <w:rsid w:val="54742530"/>
    <w:rsid w:val="549E05E7"/>
    <w:rsid w:val="54E85C1C"/>
    <w:rsid w:val="55064A1E"/>
    <w:rsid w:val="55282AB7"/>
    <w:rsid w:val="55284354"/>
    <w:rsid w:val="553E76D4"/>
    <w:rsid w:val="55EB160A"/>
    <w:rsid w:val="560E70A6"/>
    <w:rsid w:val="569C2904"/>
    <w:rsid w:val="56B92464"/>
    <w:rsid w:val="56C50A07"/>
    <w:rsid w:val="56E40E37"/>
    <w:rsid w:val="58652EBD"/>
    <w:rsid w:val="58E14F46"/>
    <w:rsid w:val="59102A32"/>
    <w:rsid w:val="595D6D67"/>
    <w:rsid w:val="59AC3F52"/>
    <w:rsid w:val="5A4412E8"/>
    <w:rsid w:val="5B730143"/>
    <w:rsid w:val="5BEA1D93"/>
    <w:rsid w:val="5C1B251D"/>
    <w:rsid w:val="5C2D3FFE"/>
    <w:rsid w:val="5D1217CA"/>
    <w:rsid w:val="5D276C9F"/>
    <w:rsid w:val="5E8F0FDC"/>
    <w:rsid w:val="5F881C77"/>
    <w:rsid w:val="5FC54BF2"/>
    <w:rsid w:val="5FE106B0"/>
    <w:rsid w:val="60011A2A"/>
    <w:rsid w:val="606357F4"/>
    <w:rsid w:val="60917251"/>
    <w:rsid w:val="60BB348D"/>
    <w:rsid w:val="614B5652"/>
    <w:rsid w:val="62887DF9"/>
    <w:rsid w:val="62F245C8"/>
    <w:rsid w:val="635D2CE6"/>
    <w:rsid w:val="635F5C44"/>
    <w:rsid w:val="63A61A51"/>
    <w:rsid w:val="643E6710"/>
    <w:rsid w:val="65CD70DA"/>
    <w:rsid w:val="672A6F03"/>
    <w:rsid w:val="685240DA"/>
    <w:rsid w:val="685705D0"/>
    <w:rsid w:val="689340A3"/>
    <w:rsid w:val="696662B5"/>
    <w:rsid w:val="69A8763A"/>
    <w:rsid w:val="6A0E61BC"/>
    <w:rsid w:val="6C371D04"/>
    <w:rsid w:val="6CAE6AF2"/>
    <w:rsid w:val="6D6F26C8"/>
    <w:rsid w:val="6DD32C57"/>
    <w:rsid w:val="6F40640C"/>
    <w:rsid w:val="6F834209"/>
    <w:rsid w:val="6F8511F0"/>
    <w:rsid w:val="6FA35529"/>
    <w:rsid w:val="700966B0"/>
    <w:rsid w:val="7015462D"/>
    <w:rsid w:val="703B3B0A"/>
    <w:rsid w:val="713F0A11"/>
    <w:rsid w:val="718157AD"/>
    <w:rsid w:val="71B42E51"/>
    <w:rsid w:val="7228323B"/>
    <w:rsid w:val="723E527E"/>
    <w:rsid w:val="724B4D17"/>
    <w:rsid w:val="72F84F0E"/>
    <w:rsid w:val="732166D8"/>
    <w:rsid w:val="73970283"/>
    <w:rsid w:val="73F16622"/>
    <w:rsid w:val="746A3BEA"/>
    <w:rsid w:val="752A46E2"/>
    <w:rsid w:val="755521A4"/>
    <w:rsid w:val="76504DA4"/>
    <w:rsid w:val="771D3404"/>
    <w:rsid w:val="77FB15F5"/>
    <w:rsid w:val="78370287"/>
    <w:rsid w:val="78977228"/>
    <w:rsid w:val="78BC253A"/>
    <w:rsid w:val="78F93137"/>
    <w:rsid w:val="79077C59"/>
    <w:rsid w:val="795D3A81"/>
    <w:rsid w:val="79601C13"/>
    <w:rsid w:val="7976558A"/>
    <w:rsid w:val="79894B12"/>
    <w:rsid w:val="7A0917AF"/>
    <w:rsid w:val="7A664E53"/>
    <w:rsid w:val="7A7C5AF6"/>
    <w:rsid w:val="7A7D3E6A"/>
    <w:rsid w:val="7AB71B55"/>
    <w:rsid w:val="7B1C4139"/>
    <w:rsid w:val="7BC44E97"/>
    <w:rsid w:val="7C071DCA"/>
    <w:rsid w:val="7C5C2164"/>
    <w:rsid w:val="7D7F0706"/>
    <w:rsid w:val="7D8D70A7"/>
    <w:rsid w:val="7E3C0D42"/>
    <w:rsid w:val="7E7F0855"/>
    <w:rsid w:val="7E9275FD"/>
    <w:rsid w:val="7EE0221A"/>
    <w:rsid w:val="7F44637D"/>
    <w:rsid w:val="7F8960C1"/>
    <w:rsid w:val="7FEB2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qFormat/>
    <w:uiPriority w:val="0"/>
    <w:pPr>
      <w:keepNext/>
      <w:keepLines/>
      <w:spacing w:beforeLines="0" w:beforeAutospacing="0" w:afterLines="0" w:afterAutospacing="0" w:line="480" w:lineRule="exact"/>
      <w:outlineLvl w:val="0"/>
    </w:pPr>
    <w:rPr>
      <w:rFonts w:ascii="Times New Roman" w:hAnsi="Times New Roman" w:eastAsia="宋体"/>
      <w:b/>
      <w:kern w:val="44"/>
      <w:sz w:val="32"/>
    </w:rPr>
  </w:style>
  <w:style w:type="paragraph" w:styleId="3">
    <w:name w:val="heading 2"/>
    <w:basedOn w:val="1"/>
    <w:next w:val="1"/>
    <w:qFormat/>
    <w:uiPriority w:val="0"/>
    <w:pPr>
      <w:keepNext/>
      <w:keepLines/>
      <w:widowControl w:val="0"/>
      <w:adjustRightInd w:val="0"/>
      <w:snapToGrid w:val="0"/>
      <w:spacing w:before="156" w:beforeLines="50" w:line="320" w:lineRule="atLeast"/>
      <w:jc w:val="center"/>
      <w:outlineLvl w:val="1"/>
    </w:pPr>
    <w:rPr>
      <w:rFonts w:ascii="Arial" w:hAnsi="Arial" w:eastAsia="黑体"/>
      <w:bCs/>
      <w:kern w:val="2"/>
      <w:sz w:val="30"/>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5">
    <w:name w:val="annotation text"/>
    <w:basedOn w:val="1"/>
    <w:unhideWhenUsed/>
    <w:qFormat/>
    <w:uiPriority w:val="0"/>
    <w:pPr>
      <w:jc w:val="left"/>
    </w:pPr>
  </w:style>
  <w:style w:type="paragraph" w:styleId="6">
    <w:name w:val="index 6"/>
    <w:basedOn w:val="1"/>
    <w:next w:val="1"/>
    <w:qFormat/>
    <w:uiPriority w:val="99"/>
    <w:pPr>
      <w:ind w:left="2100"/>
    </w:pPr>
  </w:style>
  <w:style w:type="paragraph" w:styleId="7">
    <w:name w:val="Body Text"/>
    <w:basedOn w:val="1"/>
    <w:next w:val="8"/>
    <w:qFormat/>
    <w:uiPriority w:val="1"/>
    <w:pPr>
      <w:autoSpaceDE w:val="0"/>
      <w:autoSpaceDN w:val="0"/>
      <w:adjustRightInd w:val="0"/>
      <w:spacing w:beforeAutospacing="0" w:afterAutospacing="0" w:line="360" w:lineRule="auto"/>
      <w:jc w:val="left"/>
    </w:pPr>
    <w:rPr>
      <w:rFonts w:ascii="宋体" w:hAnsi="Calibri" w:eastAsia="宋体" w:cs="Times New Roman"/>
      <w:color w:val="000000"/>
      <w:sz w:val="28"/>
      <w:szCs w:val="32"/>
    </w:rPr>
  </w:style>
  <w:style w:type="paragraph" w:styleId="8">
    <w:name w:val="Date"/>
    <w:basedOn w:val="1"/>
    <w:next w:val="1"/>
    <w:qFormat/>
    <w:uiPriority w:val="0"/>
    <w:pPr>
      <w:ind w:left="100" w:leftChars="2500"/>
    </w:pPr>
    <w:rPr>
      <w:rFonts w:ascii="Calibri" w:hAnsi="Calibri" w:eastAsia="FangSong_GB2312" w:cs="Times New Roman"/>
      <w:color w:val="000000"/>
      <w:sz w:val="28"/>
    </w:rPr>
  </w:style>
  <w:style w:type="paragraph" w:styleId="9">
    <w:name w:val="Body Text Indent"/>
    <w:basedOn w:val="1"/>
    <w:qFormat/>
    <w:uiPriority w:val="0"/>
    <w:pPr>
      <w:widowControl w:val="0"/>
      <w:spacing w:line="240" w:lineRule="atLeast"/>
      <w:ind w:right="-159" w:firstLine="246" w:firstLineChars="100"/>
      <w:jc w:val="both"/>
    </w:pPr>
    <w:rPr>
      <w:spacing w:val="20"/>
      <w:kern w:val="2"/>
      <w:sz w:val="21"/>
    </w:rPr>
  </w:style>
  <w:style w:type="paragraph" w:styleId="10">
    <w:name w:val="Plain Text"/>
    <w:basedOn w:val="1"/>
    <w:qFormat/>
    <w:uiPriority w:val="0"/>
    <w:rPr>
      <w:rFonts w:ascii="宋体" w:hAnsi="Courier New"/>
      <w:szCs w:val="20"/>
    </w:rPr>
  </w:style>
  <w:style w:type="paragraph" w:styleId="11">
    <w:name w:val="Body Text Indent 2"/>
    <w:basedOn w:val="1"/>
    <w:qFormat/>
    <w:uiPriority w:val="0"/>
    <w:pPr>
      <w:spacing w:line="360" w:lineRule="auto"/>
      <w:ind w:firstLine="570"/>
    </w:pPr>
    <w:rPr>
      <w:rFonts w:ascii="宋体" w:hAnsi="宋体"/>
      <w:iCs/>
      <w:kern w:val="0"/>
      <w:sz w:val="28"/>
      <w:szCs w:val="20"/>
    </w:rPr>
  </w:style>
  <w:style w:type="paragraph" w:styleId="12">
    <w:name w:val="footer"/>
    <w:basedOn w:val="1"/>
    <w:qFormat/>
    <w:uiPriority w:val="99"/>
    <w:pPr>
      <w:widowControl w:val="0"/>
      <w:tabs>
        <w:tab w:val="center" w:pos="4153"/>
        <w:tab w:val="right" w:pos="8306"/>
      </w:tabs>
      <w:snapToGrid w:val="0"/>
    </w:pPr>
    <w:rPr>
      <w:kern w:val="2"/>
      <w:sz w:val="18"/>
      <w:szCs w:val="18"/>
    </w:rPr>
  </w:style>
  <w:style w:type="paragraph" w:styleId="13">
    <w:name w:val="header"/>
    <w:basedOn w:val="1"/>
    <w:qFormat/>
    <w:uiPriority w:val="99"/>
    <w:pPr>
      <w:widowControl w:val="0"/>
      <w:pBdr>
        <w:bottom w:val="single" w:color="auto" w:sz="6" w:space="1"/>
      </w:pBdr>
      <w:tabs>
        <w:tab w:val="center" w:pos="4153"/>
        <w:tab w:val="right" w:pos="8306"/>
      </w:tabs>
      <w:snapToGrid w:val="0"/>
      <w:jc w:val="center"/>
    </w:pPr>
    <w:rPr>
      <w:kern w:val="2"/>
      <w:sz w:val="18"/>
      <w:szCs w:val="18"/>
    </w:rPr>
  </w:style>
  <w:style w:type="paragraph" w:styleId="14">
    <w:name w:val="toc 1"/>
    <w:basedOn w:val="1"/>
    <w:next w:val="1"/>
    <w:qFormat/>
    <w:uiPriority w:val="0"/>
  </w:style>
  <w:style w:type="paragraph" w:styleId="15">
    <w:name w:val="List 5"/>
    <w:basedOn w:val="16"/>
    <w:qFormat/>
    <w:uiPriority w:val="0"/>
    <w:pPr>
      <w:ind w:left="2100" w:hanging="420"/>
    </w:pPr>
    <w:rPr>
      <w:rFonts w:eastAsia="楷体_GB2312"/>
      <w:sz w:val="32"/>
      <w:szCs w:val="20"/>
    </w:rPr>
  </w:style>
  <w:style w:type="paragraph" w:customStyle="1" w:styleId="16">
    <w:name w:val="正文_23_2"/>
    <w:next w:val="1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
    <w:name w:val="标题 4_1"/>
    <w:basedOn w:val="18"/>
    <w:next w:val="18"/>
    <w:unhideWhenUsed/>
    <w:qFormat/>
    <w:uiPriority w:val="0"/>
    <w:pPr>
      <w:keepNext/>
      <w:keepLines/>
      <w:spacing w:before="280" w:after="290" w:line="376" w:lineRule="auto"/>
      <w:outlineLvl w:val="3"/>
    </w:pPr>
    <w:rPr>
      <w:rFonts w:ascii="Cambria" w:hAnsi="Cambria" w:eastAsia="宋体" w:cs="Times New Roman"/>
      <w:b/>
      <w:bCs/>
      <w:sz w:val="28"/>
      <w:szCs w:val="28"/>
    </w:rPr>
  </w:style>
  <w:style w:type="paragraph" w:customStyle="1" w:styleId="18">
    <w:name w:val="正文_23_1"/>
    <w:next w:val="17"/>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19">
    <w:name w:val="Normal (Web)"/>
    <w:basedOn w:val="1"/>
    <w:qFormat/>
    <w:uiPriority w:val="0"/>
    <w:pPr>
      <w:spacing w:before="100" w:beforeAutospacing="1" w:after="100" w:afterAutospacing="1"/>
    </w:pPr>
    <w:rPr>
      <w:rFonts w:ascii="宋体" w:hAnsi="宋体" w:cs="宋体"/>
    </w:rPr>
  </w:style>
  <w:style w:type="character" w:styleId="22">
    <w:name w:val="Strong"/>
    <w:basedOn w:val="21"/>
    <w:qFormat/>
    <w:uiPriority w:val="0"/>
    <w:rPr>
      <w:b/>
    </w:rPr>
  </w:style>
  <w:style w:type="character" w:styleId="23">
    <w:name w:val="page number"/>
    <w:basedOn w:val="21"/>
    <w:qFormat/>
    <w:uiPriority w:val="0"/>
  </w:style>
  <w:style w:type="character" w:styleId="24">
    <w:name w:val="Hyperlink"/>
    <w:basedOn w:val="21"/>
    <w:qFormat/>
    <w:uiPriority w:val="0"/>
    <w:rPr>
      <w:color w:val="0000FF"/>
      <w:u w:val="single"/>
    </w:rPr>
  </w:style>
  <w:style w:type="paragraph" w:customStyle="1" w:styleId="25">
    <w:name w:val="Char"/>
    <w:basedOn w:val="1"/>
    <w:qFormat/>
    <w:uiPriority w:val="99"/>
    <w:pPr>
      <w:spacing w:beforeLines="50" w:afterLines="50"/>
    </w:pPr>
    <w:rPr>
      <w:rFonts w:ascii="Tahoma" w:hAnsi="Tahoma"/>
      <w:sz w:val="24"/>
    </w:rPr>
  </w:style>
  <w:style w:type="paragraph" w:customStyle="1" w:styleId="26">
    <w:name w:val="_Style 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7">
    <w:name w:val="List Paragraph1"/>
    <w:basedOn w:val="1"/>
    <w:qFormat/>
    <w:uiPriority w:val="0"/>
    <w:pPr>
      <w:widowControl w:val="0"/>
      <w:ind w:firstLine="420" w:firstLineChars="200"/>
      <w:jc w:val="both"/>
    </w:pPr>
    <w:rPr>
      <w:kern w:val="2"/>
      <w:sz w:val="21"/>
      <w:szCs w:val="20"/>
    </w:rPr>
  </w:style>
  <w:style w:type="paragraph" w:customStyle="1" w:styleId="28">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9">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table" w:customStyle="1" w:styleId="30">
    <w:name w:val="Table Normal"/>
    <w:semiHidden/>
    <w:unhideWhenUsed/>
    <w:qFormat/>
    <w:uiPriority w:val="0"/>
    <w:tblPr>
      <w:tblCellMar>
        <w:top w:w="0" w:type="dxa"/>
        <w:left w:w="0" w:type="dxa"/>
        <w:bottom w:w="0" w:type="dxa"/>
        <w:right w:w="0" w:type="dxa"/>
      </w:tblCellMar>
    </w:tblPr>
  </w:style>
  <w:style w:type="paragraph" w:customStyle="1" w:styleId="31">
    <w:name w:val="正文_23_0"/>
    <w:next w:val="1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2">
    <w:name w:val="标题 2_2_0"/>
    <w:basedOn w:val="33"/>
    <w:next w:val="33"/>
    <w:unhideWhenUsed/>
    <w:qFormat/>
    <w:uiPriority w:val="0"/>
    <w:pPr>
      <w:keepNext/>
      <w:keepLines/>
      <w:spacing w:before="260" w:after="260" w:line="416" w:lineRule="auto"/>
      <w:outlineLvl w:val="1"/>
    </w:pPr>
    <w:rPr>
      <w:rFonts w:ascii="Cambria" w:hAnsi="Cambria"/>
      <w:b/>
      <w:bCs/>
      <w:sz w:val="32"/>
      <w:szCs w:val="32"/>
    </w:rPr>
  </w:style>
  <w:style w:type="paragraph" w:customStyle="1" w:styleId="33">
    <w:name w:val="正文_11_0_0"/>
    <w:next w:val="3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标题 1_0"/>
    <w:basedOn w:val="33"/>
    <w:next w:val="33"/>
    <w:qFormat/>
    <w:uiPriority w:val="0"/>
    <w:pPr>
      <w:keepNext/>
      <w:keepLines/>
      <w:spacing w:before="340" w:after="330" w:line="578" w:lineRule="auto"/>
      <w:outlineLvl w:val="0"/>
    </w:pPr>
    <w:rPr>
      <w:b/>
      <w:bCs/>
      <w:kern w:val="44"/>
      <w:sz w:val="44"/>
      <w:szCs w:val="44"/>
    </w:rPr>
  </w:style>
  <w:style w:type="paragraph" w:customStyle="1" w:styleId="35">
    <w:name w:val="正文_1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正文_2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
    <w:name w:val="正文首行缩进 2_0"/>
    <w:basedOn w:val="38"/>
    <w:unhideWhenUsed/>
    <w:qFormat/>
    <w:uiPriority w:val="0"/>
    <w:pPr>
      <w:ind w:firstLine="420" w:firstLineChars="200"/>
    </w:pPr>
  </w:style>
  <w:style w:type="paragraph" w:customStyle="1" w:styleId="38">
    <w:name w:val="正文文本缩进_0"/>
    <w:basedOn w:val="16"/>
    <w:unhideWhenUsed/>
    <w:qFormat/>
    <w:uiPriority w:val="0"/>
    <w:pPr>
      <w:spacing w:after="120"/>
      <w:ind w:left="420" w:leftChars="200"/>
    </w:pPr>
  </w:style>
  <w:style w:type="paragraph" w:customStyle="1" w:styleId="39">
    <w:name w:val="正文_24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
    <w:name w:val="正文_16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正文_17"/>
    <w:next w:val="4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正文缩进_1"/>
    <w:basedOn w:val="43"/>
    <w:qFormat/>
    <w:uiPriority w:val="0"/>
    <w:pPr>
      <w:ind w:firstLine="420" w:firstLineChars="200"/>
    </w:pPr>
  </w:style>
  <w:style w:type="paragraph" w:customStyle="1" w:styleId="43">
    <w:name w:val="正文_17_0"/>
    <w:next w:val="4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4">
    <w:name w:val="Table Text"/>
    <w:basedOn w:val="1"/>
    <w:semiHidden/>
    <w:qFormat/>
    <w:uiPriority w:val="0"/>
    <w:rPr>
      <w:rFonts w:ascii="宋体" w:hAnsi="宋体" w:eastAsia="宋体" w:cs="宋体"/>
      <w:sz w:val="20"/>
      <w:szCs w:val="20"/>
      <w:lang w:val="en-US" w:eastAsia="en-US" w:bidi="ar-SA"/>
    </w:rPr>
  </w:style>
  <w:style w:type="paragraph" w:customStyle="1" w:styleId="45">
    <w:name w:val="正文_1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正文_1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8">
    <w:name w:val="标书正文"/>
    <w:basedOn w:val="1"/>
    <w:qFormat/>
    <w:uiPriority w:val="0"/>
    <w:pPr>
      <w:spacing w:beforeAutospacing="0" w:afterAutospacing="0" w:line="360" w:lineRule="auto"/>
      <w:ind w:firstLine="497" w:firstLineChars="207"/>
    </w:pPr>
    <w:rPr>
      <w:sz w:val="24"/>
      <w:szCs w:val="20"/>
    </w:rPr>
  </w:style>
  <w:style w:type="paragraph" w:customStyle="1" w:styleId="49">
    <w:name w:val="Normal_0"/>
    <w:qFormat/>
    <w:uiPriority w:val="0"/>
    <w:pPr>
      <w:widowControl w:val="0"/>
      <w:jc w:val="both"/>
    </w:pPr>
    <w:rPr>
      <w:rFonts w:ascii="Times New Roman" w:hAnsi="Times New Roman" w:eastAsia="Times New Roman" w:cs="Times New Roman"/>
      <w:lang w:val="en-US" w:eastAsia="zh-CN" w:bidi="ar-SA"/>
    </w:rPr>
  </w:style>
  <w:style w:type="paragraph" w:customStyle="1" w:styleId="50">
    <w:name w:val="List Paragraph"/>
    <w:basedOn w:val="1"/>
    <w:qFormat/>
    <w:uiPriority w:val="99"/>
    <w:pPr>
      <w:ind w:firstLine="420" w:firstLineChars="200"/>
    </w:pPr>
  </w:style>
  <w:style w:type="character" w:customStyle="1" w:styleId="51">
    <w:name w:val="font21"/>
    <w:basedOn w:val="21"/>
    <w:qFormat/>
    <w:uiPriority w:val="0"/>
    <w:rPr>
      <w:rFonts w:hint="default" w:ascii="方正仿宋_GBK" w:hAnsi="方正仿宋_GBK" w:eastAsia="方正仿宋_GBK" w:cs="方正仿宋_GBK"/>
      <w:color w:val="000000"/>
      <w:sz w:val="24"/>
      <w:szCs w:val="24"/>
      <w:u w:val="none"/>
    </w:rPr>
  </w:style>
  <w:style w:type="character" w:customStyle="1" w:styleId="52">
    <w:name w:val="font61"/>
    <w:basedOn w:val="21"/>
    <w:qFormat/>
    <w:uiPriority w:val="0"/>
    <w:rPr>
      <w:rFonts w:hint="default" w:ascii="Times New Roman" w:hAnsi="Times New Roman" w:cs="Times New Roman"/>
      <w:color w:val="000000"/>
      <w:sz w:val="24"/>
      <w:szCs w:val="24"/>
      <w:u w:val="none"/>
    </w:rPr>
  </w:style>
  <w:style w:type="paragraph" w:customStyle="1" w:styleId="53">
    <w:name w:val="列出段落1"/>
    <w:basedOn w:val="1"/>
    <w:qFormat/>
    <w:uiPriority w:val="34"/>
    <w:pPr>
      <w:ind w:firstLine="420" w:firstLineChars="200"/>
    </w:pPr>
    <w:rPr>
      <w:rFonts w:ascii="Calibri" w:hAnsi="Calibri"/>
      <w:szCs w:val="21"/>
    </w:rPr>
  </w:style>
  <w:style w:type="paragraph" w:customStyle="1" w:styleId="54">
    <w:name w:val="表格"/>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jpe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105</Pages>
  <Words>50467</Words>
  <Characters>55927</Characters>
  <Lines>0</Lines>
  <Paragraphs>0</Paragraphs>
  <TotalTime>0</TotalTime>
  <ScaleCrop>false</ScaleCrop>
  <LinksUpToDate>false</LinksUpToDate>
  <CharactersWithSpaces>59027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2022-07-19T21:17:00Z</dcterms:created>
  <dc:creator>So then are you ok</dc:creator>
  <cp:lastModifiedBy>哈哈哈哈哈</cp:lastModifiedBy>
  <cp:lastPrinted>2023-06-27T04:35:00Z</cp:lastPrinted>
  <dcterms:modified xsi:type="dcterms:W3CDTF">2023-10-06T14:27:36Z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2E2EE97BCF174D23BEF6839C0BAC8E7F_13</vt:lpwstr>
  </property>
</Properties>
</file>