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08</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51585DF7">
      <w:pPr>
        <w:topLinePunct/>
        <w:spacing w:line="360" w:lineRule="auto"/>
        <w:ind w:left="0" w:leftChars="0" w:firstLine="0" w:firstLineChars="0"/>
        <w:rPr>
          <w:rFonts w:hint="eastAsia" w:ascii="仿宋_GB2312" w:eastAsia="仿宋_GB2312"/>
          <w:b/>
          <w:sz w:val="32"/>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昌吉州第二中学博学楼教室装修项目信息化建设部分设备采购项目</w:t>
      </w: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3日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昌吉州第二中学博学楼教室装修项目信息化建设部分设备采购项目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CJZFCG－TP-2025008</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rPr>
            </w:pPr>
            <w:r>
              <w:rPr>
                <w:rFonts w:hint="eastAsia" w:ascii="宋体" w:hAnsi="宋体" w:eastAsia="宋体" w:cs="宋体"/>
                <w:sz w:val="24"/>
                <w:highlight w:val="yellow"/>
                <w:lang w:val="en-US" w:eastAsia="zh-CN"/>
              </w:rPr>
              <w:t>昌吉州第二中学博学楼教室装修项目信息化建设部分设备采购项目</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yellow"/>
                <w:lang w:val="en-US" w:eastAsia="zh-CN"/>
              </w:rPr>
              <w:t>CJZFCG－TP-2025008</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采购预算：980000元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65F2B21">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合同签订后25个日历日完工并峻工验收。</w:t>
            </w:r>
          </w:p>
          <w:p w14:paraId="66668148">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州第二中学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地址：昌吉市延安南路120号</w:t>
            </w:r>
          </w:p>
          <w:p w14:paraId="6D90CC64">
            <w:pPr>
              <w:spacing w:line="360" w:lineRule="auto"/>
              <w:ind w:left="0" w:leftChars="0" w:firstLine="0" w:firstLineChars="0"/>
              <w:rPr>
                <w:rFonts w:hint="default" w:ascii="宋体" w:hAnsi="宋体" w:eastAsia="宋体" w:cs="宋体"/>
                <w:kern w:val="2"/>
                <w:sz w:val="24"/>
                <w:szCs w:val="20"/>
                <w:highlight w:val="none"/>
                <w:lang w:val="en-US" w:eastAsia="zh-CN" w:bidi="ar-SA"/>
              </w:rPr>
            </w:pPr>
            <w:r>
              <w:rPr>
                <w:rFonts w:hint="eastAsia" w:ascii="宋体" w:hAnsi="宋体" w:eastAsia="宋体" w:cs="宋体"/>
                <w:sz w:val="24"/>
                <w:highlight w:val="none"/>
              </w:rPr>
              <w:t>联</w:t>
            </w:r>
            <w:r>
              <w:rPr>
                <w:rFonts w:hint="eastAsia" w:ascii="宋体" w:hAnsi="宋体" w:eastAsia="宋体" w:cs="宋体"/>
                <w:kern w:val="2"/>
                <w:sz w:val="24"/>
                <w:szCs w:val="20"/>
                <w:highlight w:val="none"/>
                <w:lang w:val="en-US" w:eastAsia="zh-CN" w:bidi="ar-SA"/>
              </w:rPr>
              <w:t>系人：</w:t>
            </w:r>
            <w:r>
              <w:rPr>
                <w:rFonts w:hint="eastAsia" w:ascii="宋体" w:hAnsi="宋体" w:eastAsia="宋体" w:cs="宋体"/>
                <w:kern w:val="2"/>
                <w:sz w:val="24"/>
                <w:szCs w:val="20"/>
                <w:highlight w:val="none"/>
                <w:lang w:val="en-US" w:eastAsia="zh-CN" w:bidi="ar-SA"/>
              </w:rPr>
              <w:t>孟老师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kern w:val="2"/>
                <w:sz w:val="24"/>
                <w:szCs w:val="20"/>
                <w:highlight w:val="none"/>
                <w:lang w:val="en-US" w:eastAsia="zh-CN" w:bidi="ar-SA"/>
              </w:rPr>
              <w:t>电话：1</w:t>
            </w:r>
            <w:r>
              <w:rPr>
                <w:rFonts w:hint="eastAsia" w:ascii="宋体" w:hAnsi="宋体" w:cs="宋体"/>
                <w:kern w:val="2"/>
                <w:sz w:val="24"/>
                <w:szCs w:val="20"/>
                <w:highlight w:val="none"/>
                <w:lang w:val="en-US" w:eastAsia="zh-CN" w:bidi="ar-SA"/>
              </w:rPr>
              <w:t>8</w:t>
            </w:r>
            <w:r>
              <w:rPr>
                <w:rFonts w:hint="eastAsia" w:ascii="宋体" w:hAnsi="宋体" w:eastAsia="宋体" w:cs="宋体"/>
                <w:kern w:val="2"/>
                <w:sz w:val="24"/>
                <w:szCs w:val="20"/>
                <w:highlight w:val="none"/>
                <w:lang w:val="en-US" w:eastAsia="zh-CN" w:bidi="ar-SA"/>
              </w:rPr>
              <w:t>167733663</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2025年7月15日10:30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9781FB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本项目专门面向中小企业（填写“中型、小型”或“小微”）企业采购。即：提供的货物全部由符合政策要求的中型/小型/小微企业制造。投标时须提交《中小企业声明函》。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479757207"/>
      <w:bookmarkStart w:id="3" w:name="_Toc513029242"/>
      <w:bookmarkStart w:id="4" w:name="_Toc20823314"/>
      <w:bookmarkStart w:id="5" w:name="_Toc16938558"/>
      <w:bookmarkStart w:id="6" w:name="_Toc120614221"/>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16938559"/>
      <w:bookmarkStart w:id="8" w:name="_Toc513029243"/>
      <w:bookmarkStart w:id="9" w:name="_Toc20823315"/>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725608"/>
      <w:bookmarkStart w:id="12" w:name="_Toc534816637"/>
    </w:p>
    <w:bookmarkEnd w:id="11"/>
    <w:bookmarkEnd w:id="12"/>
    <w:p w14:paraId="0D56B962">
      <w:pPr>
        <w:keepNext w:val="0"/>
        <w:keepLines w:val="0"/>
        <w:pageBreakBefore w:val="0"/>
        <w:widowControl w:val="0"/>
        <w:kinsoku/>
        <w:wordWrap/>
        <w:overflowPunct/>
        <w:topLinePunct w:val="0"/>
        <w:autoSpaceDE/>
        <w:autoSpaceDN/>
        <w:bidi w:val="0"/>
        <w:adjustRightInd/>
        <w:snapToGrid/>
        <w:spacing w:line="560" w:lineRule="exact"/>
        <w:ind w:left="964" w:leftChars="0" w:hanging="964" w:hangingChars="200"/>
        <w:jc w:val="both"/>
        <w:textAlignment w:val="auto"/>
        <w:rPr>
          <w:rFonts w:hint="default"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昌吉州第二中学博学楼教室装修项目信息化建设部分设备采购项目概述</w:t>
      </w:r>
    </w:p>
    <w:p w14:paraId="09CEC2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黑体"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eastAsia="zh-CN"/>
        </w:rPr>
        <w:t>项目名称：</w:t>
      </w:r>
    </w:p>
    <w:p w14:paraId="12296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昌吉州第二中学博学楼教室装修项目信息化建设部分设备采购项目</w:t>
      </w:r>
    </w:p>
    <w:p w14:paraId="6FCDFB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lang w:val="en-US" w:eastAsia="zh-CN"/>
        </w:rPr>
        <w:t>二、采购项目简要说明及预算金额</w:t>
      </w:r>
      <w:r>
        <w:rPr>
          <w:rFonts w:hint="default" w:ascii="Times New Roman" w:hAnsi="Times New Roman" w:eastAsia="仿宋_GB2312" w:cs="Times New Roman"/>
          <w:b/>
          <w:bCs/>
          <w:color w:val="auto"/>
          <w:kern w:val="0"/>
          <w:sz w:val="32"/>
          <w:szCs w:val="32"/>
          <w:lang w:val="en-US" w:eastAsia="zh-CN" w:bidi="ar"/>
        </w:rPr>
        <w:t xml:space="preserve"> </w:t>
      </w:r>
    </w:p>
    <w:p w14:paraId="58987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付款方式：合同签订后支付中标总价的 </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 xml:space="preserve">0％，完工验收合格后支付 </w:t>
      </w:r>
      <w:r>
        <w:rPr>
          <w:rFonts w:hint="eastAsia"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p>
    <w:p w14:paraId="224B1D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完工工期：合同签订后</w:t>
      </w:r>
      <w:r>
        <w:rPr>
          <w:rFonts w:hint="eastAsia" w:ascii="Times New Roman" w:hAnsi="Times New Roman" w:eastAsia="仿宋_GB2312" w:cs="Times New Roman"/>
          <w:color w:val="auto"/>
          <w:kern w:val="0"/>
          <w:sz w:val="32"/>
          <w:szCs w:val="32"/>
          <w:lang w:val="en-US" w:eastAsia="zh-CN" w:bidi="ar"/>
        </w:rPr>
        <w:t>25</w:t>
      </w:r>
      <w:r>
        <w:rPr>
          <w:rFonts w:hint="default" w:ascii="Times New Roman" w:hAnsi="Times New Roman" w:eastAsia="仿宋_GB2312" w:cs="Times New Roman"/>
          <w:color w:val="auto"/>
          <w:sz w:val="32"/>
          <w:szCs w:val="32"/>
          <w:lang w:eastAsia="zh-CN"/>
        </w:rPr>
        <w:t>个</w:t>
      </w:r>
      <w:r>
        <w:rPr>
          <w:rFonts w:hint="default" w:ascii="Times New Roman" w:hAnsi="Times New Roman" w:eastAsia="仿宋_GB2312" w:cs="Times New Roman"/>
          <w:color w:val="auto"/>
          <w:sz w:val="32"/>
          <w:szCs w:val="32"/>
          <w:lang w:val="en-US" w:eastAsia="zh-CN"/>
        </w:rPr>
        <w:t>日历</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完工并峻工验收</w:t>
      </w:r>
      <w:r>
        <w:rPr>
          <w:rFonts w:hint="default" w:ascii="Times New Roman" w:hAnsi="Times New Roman" w:eastAsia="仿宋_GB2312" w:cs="Times New Roman"/>
          <w:color w:val="auto"/>
          <w:kern w:val="0"/>
          <w:sz w:val="32"/>
          <w:szCs w:val="32"/>
          <w:lang w:val="en-US" w:eastAsia="zh-CN" w:bidi="ar"/>
        </w:rPr>
        <w:t>。</w:t>
      </w:r>
    </w:p>
    <w:p w14:paraId="7DFFB6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本次项目预算</w:t>
      </w:r>
      <w:r>
        <w:rPr>
          <w:rFonts w:hint="eastAsia" w:ascii="Times New Roman" w:hAnsi="Times New Roman" w:eastAsia="仿宋_GB2312" w:cs="Times New Roman"/>
          <w:color w:val="auto"/>
          <w:kern w:val="0"/>
          <w:sz w:val="32"/>
          <w:szCs w:val="32"/>
          <w:lang w:val="en-US" w:eastAsia="zh-CN" w:bidi="ar"/>
        </w:rPr>
        <w:t>980000</w:t>
      </w:r>
      <w:r>
        <w:rPr>
          <w:rFonts w:hint="default" w:ascii="Times New Roman" w:hAnsi="Times New Roman" w:eastAsia="仿宋_GB2312" w:cs="Times New Roman"/>
          <w:color w:val="auto"/>
          <w:kern w:val="0"/>
          <w:sz w:val="32"/>
          <w:szCs w:val="32"/>
          <w:lang w:val="en-US" w:eastAsia="zh-CN" w:bidi="ar"/>
        </w:rPr>
        <w:t>元</w:t>
      </w:r>
      <w:r>
        <w:rPr>
          <w:rFonts w:hint="eastAsia" w:ascii="Times New Roman" w:hAnsi="Times New Roman" w:eastAsia="仿宋_GB2312" w:cs="Times New Roman"/>
          <w:color w:val="auto"/>
          <w:kern w:val="0"/>
          <w:sz w:val="32"/>
          <w:szCs w:val="32"/>
          <w:lang w:val="en-US" w:eastAsia="zh-CN" w:bidi="ar"/>
        </w:rPr>
        <w:t>、最高限价（控制价）980000元，</w:t>
      </w:r>
      <w:r>
        <w:rPr>
          <w:rFonts w:hint="default" w:ascii="Times New Roman" w:hAnsi="Times New Roman" w:eastAsia="仿宋_GB2312" w:cs="Times New Roman"/>
          <w:color w:val="auto"/>
          <w:kern w:val="0"/>
          <w:sz w:val="32"/>
          <w:szCs w:val="32"/>
          <w:lang w:val="en-US" w:eastAsia="zh-CN" w:bidi="ar"/>
        </w:rPr>
        <w:t>最后报价超过</w:t>
      </w:r>
      <w:r>
        <w:rPr>
          <w:rFonts w:hint="eastAsia" w:ascii="Times New Roman" w:hAnsi="Times New Roman" w:eastAsia="仿宋_GB2312" w:cs="Times New Roman"/>
          <w:color w:val="auto"/>
          <w:kern w:val="0"/>
          <w:sz w:val="32"/>
          <w:szCs w:val="32"/>
          <w:lang w:val="en-US" w:eastAsia="zh-CN" w:bidi="ar"/>
        </w:rPr>
        <w:t>最高限价</w:t>
      </w:r>
      <w:r>
        <w:rPr>
          <w:rFonts w:hint="default" w:ascii="Times New Roman" w:hAnsi="Times New Roman" w:eastAsia="仿宋_GB2312" w:cs="Times New Roman"/>
          <w:color w:val="auto"/>
          <w:kern w:val="0"/>
          <w:sz w:val="32"/>
          <w:szCs w:val="32"/>
          <w:lang w:val="en-US" w:eastAsia="zh-CN" w:bidi="ar"/>
        </w:rPr>
        <w:t>的为无效报价，按照无效响应处理。</w:t>
      </w:r>
    </w:p>
    <w:p w14:paraId="021F56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施工地点：昌吉市延安南路120号昌吉州二中校园内博学楼。</w:t>
      </w:r>
    </w:p>
    <w:p w14:paraId="0E641E04">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项目概况：设备清单及技术参数</w:t>
      </w:r>
    </w:p>
    <w:p w14:paraId="04A2E82A">
      <w:pPr>
        <w:ind w:firstLine="640"/>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资金来源：711160元为专项资金，268840元为财政专户机构运行保障补助经费。</w:t>
      </w:r>
    </w:p>
    <w:p w14:paraId="0E541F1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三、报价要求</w:t>
      </w:r>
    </w:p>
    <w:p w14:paraId="765BB9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1、本项目的报价和结算支付均以人民币为货币单位。</w:t>
      </w:r>
    </w:p>
    <w:p w14:paraId="04004E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供应商报价应包括采购成本、运输、安装、如有需要需取得相关部门施工许可、验收及保修期内的维护保养等所有含税费用，以及供应商认为必要的其他货物、材料、工程、服务，所需费用全部包含在总报价中，不再单独计列，安装施工中发生的一切安全事故由中标单位承担。</w:t>
      </w:r>
    </w:p>
    <w:p w14:paraId="5DAAB3B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四、质量要求和质量保修期</w:t>
      </w:r>
    </w:p>
    <w:p w14:paraId="5B9DF9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1、质量：符合国家有关施工质量验收标准的合格工程或合同约定。工程规范以现行的或承担具体施工任务期间国家和行业新颁布施行的规范、规程为准。</w:t>
      </w:r>
    </w:p>
    <w:p w14:paraId="4BA77E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2、材料、设备、施工须达到现行中华人民共和国以及省、自治区或行业的工程建设标准、规范的要求及验收标准及有关规范为质量评定验收标准。</w:t>
      </w:r>
    </w:p>
    <w:p w14:paraId="0BCDBDB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p w14:paraId="07BF52D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五、验收</w:t>
      </w:r>
    </w:p>
    <w:p w14:paraId="15A56C0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1、采购人在收到成交供应商提交的安装竣工报告后组织验收，并在验收后14 天内予以认可或提出修改意见。验收不合格，成交供应商应按要求修改后再次提请采购人验收，并承担因自身原因造成修改的费用。</w:t>
      </w:r>
    </w:p>
    <w:p w14:paraId="5E356B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验收时如发现有不符合招标文件规定之情形，采购人应做出详尽的现场记录，或由采购人和成交供应商双方签署备忘录。此现场记录或备忘录可用作补充、缺失和更换损坏部件的有效证据。由此产生的有关费用由成交供应商承担。</w:t>
      </w:r>
    </w:p>
    <w:p w14:paraId="4491F3D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640" w:firstLineChars="200"/>
        <w:jc w:val="left"/>
        <w:rPr>
          <w:rFonts w:hint="eastAsia" w:ascii="仿宋" w:hAnsi="仿宋" w:eastAsia="仿宋" w:cs="仿宋"/>
          <w:b/>
          <w:bCs/>
          <w:color w:val="auto"/>
          <w:kern w:val="0"/>
          <w:sz w:val="28"/>
          <w:szCs w:val="28"/>
          <w:lang w:val="en-US" w:eastAsia="zh-CN" w:bidi="ar"/>
        </w:rPr>
      </w:pPr>
      <w:r>
        <w:rPr>
          <w:rFonts w:hint="eastAsia" w:ascii="Times New Roman" w:hAnsi="Times New Roman" w:eastAsia="黑体" w:cs="Times New Roman"/>
          <w:b w:val="0"/>
          <w:bCs w:val="0"/>
          <w:color w:val="auto"/>
          <w:sz w:val="32"/>
          <w:szCs w:val="32"/>
          <w:lang w:val="en-US" w:eastAsia="zh-CN"/>
        </w:rPr>
        <w:t>六、其他要求：</w:t>
      </w:r>
      <w:r>
        <w:rPr>
          <w:rFonts w:hint="eastAsia" w:ascii="仿宋" w:hAnsi="仿宋" w:eastAsia="仿宋" w:cs="仿宋"/>
          <w:b/>
          <w:bCs/>
          <w:color w:val="auto"/>
          <w:kern w:val="0"/>
          <w:sz w:val="28"/>
          <w:szCs w:val="28"/>
          <w:lang w:val="en-US" w:eastAsia="zh-CN" w:bidi="ar"/>
        </w:rPr>
        <w:t xml:space="preserve"> </w:t>
      </w:r>
    </w:p>
    <w:p w14:paraId="12AC1B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1、本标段不接受联合体参与磋商。 </w:t>
      </w:r>
    </w:p>
    <w:p w14:paraId="3D8F8DA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2、专门面向中小企业。</w:t>
      </w:r>
    </w:p>
    <w:p w14:paraId="2448124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3、成交供应商必须遵照采购人的管理及安排，按采购人的内容、质量、时间要求完成本项目。安装施工人员、车辆进场前需向采购人安全管理部门报备。</w:t>
      </w:r>
    </w:p>
    <w:p w14:paraId="5F7D83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4、项目安装工作完成后应及时清理现场材料及垃圾。</w:t>
      </w:r>
    </w:p>
    <w:p w14:paraId="589D088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5、本项目设备清单中的★为重要技术参数为必须满足项，以上参数不允许负偏离。投标供应商需提供相应的产品说明手册（书）或带有CMA或CNAS 认证的检测报告并加盖投标供应商公章。</w:t>
      </w:r>
    </w:p>
    <w:p w14:paraId="089F93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6、提供承诺书，若投标供应商中标，需提供满足参数要求的主要设备样品对照参数进行查验。设备必须是原包装未拆封的全新设备，若不满足参数要求，甲方将拒收并做废标处理，造成的损失由投标供应商自行承担。 另外若采购人在安装或验收过程中发现相关设备与采购人所提供的设备清单或技术参数有不符的地方，采购人将依据相关法律法规或条例向同级财政监督管理部门如实陈述相关事项，并要求对中标单位进行相应的处罚。</w:t>
      </w:r>
    </w:p>
    <w:p w14:paraId="38E67C99">
      <w:pPr>
        <w:pStyle w:val="12"/>
        <w:widowControl w:val="0"/>
        <w:numPr>
          <w:ilvl w:val="0"/>
          <w:numId w:val="0"/>
        </w:numPr>
        <w:jc w:val="both"/>
        <w:rPr>
          <w:rFonts w:hint="eastAsia"/>
          <w:lang w:val="en-US" w:eastAsia="zh-CN"/>
        </w:rPr>
      </w:pPr>
    </w:p>
    <w:p w14:paraId="735AEACD">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p w14:paraId="16C8A260">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r>
        <w:rPr>
          <w:rFonts w:hint="eastAsia" w:ascii="宋体" w:hAnsi="宋体" w:eastAsia="宋体" w:cs="宋体"/>
          <w:i w:val="0"/>
          <w:iCs w:val="0"/>
          <w:color w:val="000000"/>
          <w:kern w:val="0"/>
          <w:sz w:val="36"/>
          <w:szCs w:val="36"/>
          <w:u w:val="none"/>
          <w:lang w:val="en-US" w:eastAsia="zh-CN" w:bidi="ar"/>
        </w:rPr>
        <w:t>昌吉州第二中学博学楼教室装修项目信息化建设部分设备采购项目设备清单</w:t>
      </w:r>
    </w:p>
    <w:tbl>
      <w:tblPr>
        <w:tblStyle w:val="20"/>
        <w:tblW w:w="100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3"/>
        <w:gridCol w:w="1620"/>
        <w:gridCol w:w="4288"/>
        <w:gridCol w:w="795"/>
        <w:gridCol w:w="870"/>
        <w:gridCol w:w="825"/>
        <w:gridCol w:w="840"/>
      </w:tblGrid>
      <w:tr w14:paraId="5886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blHeader/>
        </w:trPr>
        <w:tc>
          <w:tcPr>
            <w:tcW w:w="763" w:type="dxa"/>
            <w:shd w:val="clear" w:color="auto" w:fill="auto"/>
            <w:noWrap/>
            <w:vAlign w:val="center"/>
          </w:tcPr>
          <w:p w14:paraId="296BE358">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20" w:type="dxa"/>
            <w:shd w:val="clear" w:color="auto" w:fill="auto"/>
            <w:vAlign w:val="center"/>
          </w:tcPr>
          <w:p w14:paraId="67F0C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4288" w:type="dxa"/>
            <w:shd w:val="clear" w:color="auto" w:fill="auto"/>
            <w:noWrap/>
            <w:vAlign w:val="center"/>
          </w:tcPr>
          <w:p w14:paraId="102709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c>
          <w:tcPr>
            <w:tcW w:w="795" w:type="dxa"/>
            <w:shd w:val="clear" w:color="auto" w:fill="auto"/>
            <w:noWrap/>
            <w:vAlign w:val="center"/>
          </w:tcPr>
          <w:p w14:paraId="67E6528E">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70" w:type="dxa"/>
            <w:shd w:val="clear" w:color="auto" w:fill="auto"/>
            <w:noWrap/>
            <w:vAlign w:val="center"/>
          </w:tcPr>
          <w:p w14:paraId="5858EBB4">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25" w:type="dxa"/>
            <w:shd w:val="clear" w:color="auto" w:fill="auto"/>
            <w:noWrap/>
            <w:vAlign w:val="center"/>
          </w:tcPr>
          <w:p w14:paraId="027529A5">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40" w:type="dxa"/>
            <w:shd w:val="clear" w:color="auto" w:fill="auto"/>
            <w:noWrap/>
            <w:vAlign w:val="center"/>
          </w:tcPr>
          <w:p w14:paraId="38E1A26B">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r>
      <w:tr w14:paraId="3672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763" w:type="dxa"/>
            <w:vMerge w:val="restart"/>
            <w:shd w:val="clear" w:color="auto" w:fill="auto"/>
            <w:noWrap/>
            <w:vAlign w:val="center"/>
          </w:tcPr>
          <w:p w14:paraId="221F12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vMerge w:val="restart"/>
            <w:shd w:val="clear" w:color="auto" w:fill="auto"/>
            <w:vAlign w:val="center"/>
          </w:tcPr>
          <w:p w14:paraId="679665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86寸交互式智能平板</w:t>
            </w:r>
          </w:p>
        </w:tc>
        <w:tc>
          <w:tcPr>
            <w:tcW w:w="4288" w:type="dxa"/>
            <w:vMerge w:val="restart"/>
            <w:shd w:val="clear" w:color="auto" w:fill="auto"/>
            <w:vAlign w:val="center"/>
          </w:tcPr>
          <w:p w14:paraId="6DD3451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1.整机采用一体设计，外部无任何可见内部功能模块连接线。采用全金属外壳设计，边角采用弧形设计，表面无尖锐边缘或凸起。屏幕尺寸不小于86寸。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2.整机支持标准、多媒体和节能三种图像模式调节。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3.采用红外触控方式，支持Windows系统中进行40点或以上触控，支持在Android系统中进行30点或以上触控。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4.为保证设备显示整机支持色彩空间可选，需支持sRGB模式，在sRGB模式下可做到高色准△E≤1.5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6.整机支持纸质护眼模式，可以在任意通道任意画面任意软件所有显示内容下实现画面纹理的实时调整；至少支持纸质纹理：牛皮纸、素描纸、宣纸、水彩纸、水纹纸；支持透明度调节；支持色温调节。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7.设备支持5个自定义前置按键，“设置”、“音量-”，“音量+”，“录屏”“护眼”按键，可通过自定义设置实现前置面板功能按键一键启用任一全局小工具、快捷开关。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8.★整机上边框内置非独立式3个智能拼接摄像头，支持清晰度TV lines ≥ 1600 lines。视场角≥141度且水平视场角≥139度，可拍摄≥1600万像素的照片，支持输出8192×2048分辨率的照片和视频，支持画面畸变矫正功能。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9.整机摄像头支持人脸识别、快速点人数、随机抽人；支持显示标记，随机抽选。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10.整机不小于2.2声道扬声器，支持标准、听力、观影和AI空间感知音效模式，位于设备上边框，顶置朝前发声，前朝向10W高音扬声器2个，上朝向20W中低音扬声器2个，额定总功率≥60W。                                                                                                                                                  11.★整机Windows通道支持文件传输应用，支持通过扫码、wifi直联、超声三种方式与手机进行握手连接，实现文件传输功能。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12整机支持高级音效设置，可以调节左右声道平衡；在中低频段、高频段2KHz～16KHz分别有-12dB～12dB范围的调节功能。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13.★设备支持通过前置面板物理按键一键启动录屏功能，可将屏幕中显示的课件、音频内容与人声同时录制。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整机支持搭配具有NFC功能的手机、平板，通过接触整机设备上的NFC标签，即可实现手机、平板与大屏的连接并同步手机、平板的画面到设备上，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15.整机具备前置Type-C接口，外接电脑设备经双头Type-C线连接至整机，可调用整机内置的摄像头、麦克风、扬声器，在外接电脑即可控制整机拍摄教室画面。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16.嵌入式系统版本不低于Android 13，内存≥2GB，存储空间≥8GB。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17.整机支持蓝牙Bluetooth 5.4标准，固件版本号HCI13.0/LMP13.0，整机PC端支持主动发现蓝牙外设从而连接（无需整机进入发现模式），支持连接外部蓝牙音箱播放音频。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20.为保证安全管控软件不被误操作删除，安全软件具备自我保护系统，用户无法通过传统方法（卸载或者关闭程序）来终止其的运行，删除时，需要软件删除密码验证。从而保护管理员可有效的管控设备。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21.处理器：Intel Core i5 ，内存：16G DDR4 笔记本内存或以上配置，硬盘≥512G SSD 固态硬盘，采用抽拉内置式模块化电脑，抽拉内置式，PC模块可插入整机，可实现无单独接线的插拔。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22.为保证设备使用稳定性及兼容性，交互式智能平板与OPS模块必须为同一品牌。                                                                                                                                              随机软件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★支持对僵尸网络进行举证、溯源和联动查杀</w:t>
            </w:r>
          </w:p>
        </w:tc>
        <w:tc>
          <w:tcPr>
            <w:tcW w:w="795" w:type="dxa"/>
            <w:vMerge w:val="restart"/>
            <w:shd w:val="clear" w:color="auto" w:fill="auto"/>
            <w:noWrap/>
            <w:vAlign w:val="center"/>
          </w:tcPr>
          <w:p w14:paraId="5D2EBA4B">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70" w:type="dxa"/>
            <w:vMerge w:val="restart"/>
            <w:shd w:val="clear" w:color="auto" w:fill="auto"/>
            <w:noWrap/>
            <w:vAlign w:val="center"/>
          </w:tcPr>
          <w:p w14:paraId="6971A2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vMerge w:val="restart"/>
            <w:shd w:val="clear" w:color="auto" w:fill="auto"/>
            <w:noWrap/>
            <w:vAlign w:val="center"/>
          </w:tcPr>
          <w:p w14:paraId="4F7310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vMerge w:val="restart"/>
            <w:shd w:val="clear" w:color="auto" w:fill="auto"/>
            <w:noWrap/>
            <w:vAlign w:val="center"/>
          </w:tcPr>
          <w:p w14:paraId="55ADDB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64DB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63" w:type="dxa"/>
            <w:vMerge w:val="continue"/>
            <w:shd w:val="clear" w:color="auto" w:fill="auto"/>
            <w:noWrap/>
            <w:vAlign w:val="center"/>
          </w:tcPr>
          <w:p w14:paraId="7F299D17">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vMerge w:val="continue"/>
            <w:shd w:val="clear" w:color="auto" w:fill="auto"/>
            <w:vAlign w:val="center"/>
          </w:tcPr>
          <w:p w14:paraId="04EFA5BF">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4288" w:type="dxa"/>
            <w:vMerge w:val="continue"/>
            <w:shd w:val="clear" w:color="auto" w:fill="auto"/>
            <w:vAlign w:val="center"/>
          </w:tcPr>
          <w:p w14:paraId="39A15B92">
            <w:pPr>
              <w:keepNext w:val="0"/>
              <w:keepLines w:val="0"/>
              <w:pageBreakBefore w:val="0"/>
              <w:widowControl/>
              <w:kinsoku/>
              <w:wordWrap/>
              <w:overflowPunct/>
              <w:topLinePunct w:val="0"/>
              <w:autoSpaceDE/>
              <w:autoSpaceDN/>
              <w:bidi w:val="0"/>
              <w:adjustRightInd/>
              <w:snapToGrid/>
              <w:spacing w:after="0" w:line="0" w:lineRule="atLeast"/>
              <w:jc w:val="left"/>
              <w:rPr>
                <w:rFonts w:hint="eastAsia" w:ascii="宋体" w:hAnsi="宋体" w:eastAsia="宋体" w:cs="宋体"/>
                <w:i w:val="0"/>
                <w:iCs w:val="0"/>
                <w:color w:val="000000"/>
                <w:sz w:val="21"/>
                <w:szCs w:val="21"/>
                <w:u w:val="none"/>
              </w:rPr>
            </w:pPr>
          </w:p>
        </w:tc>
        <w:tc>
          <w:tcPr>
            <w:tcW w:w="795" w:type="dxa"/>
            <w:vMerge w:val="continue"/>
            <w:shd w:val="clear" w:color="auto" w:fill="auto"/>
            <w:noWrap/>
            <w:vAlign w:val="center"/>
          </w:tcPr>
          <w:p w14:paraId="0F3D6574">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auto"/>
            <w:noWrap/>
            <w:vAlign w:val="center"/>
          </w:tcPr>
          <w:p w14:paraId="40EF1ADB">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25" w:type="dxa"/>
            <w:vMerge w:val="continue"/>
            <w:shd w:val="clear" w:color="auto" w:fill="auto"/>
            <w:noWrap/>
            <w:vAlign w:val="center"/>
          </w:tcPr>
          <w:p w14:paraId="3FCB2665">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40" w:type="dxa"/>
            <w:vMerge w:val="continue"/>
            <w:shd w:val="clear" w:color="auto" w:fill="auto"/>
            <w:noWrap/>
            <w:vAlign w:val="center"/>
          </w:tcPr>
          <w:p w14:paraId="01E7DD6D">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0CB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763" w:type="dxa"/>
            <w:vMerge w:val="continue"/>
            <w:shd w:val="clear" w:color="auto" w:fill="auto"/>
            <w:noWrap/>
            <w:vAlign w:val="center"/>
          </w:tcPr>
          <w:p w14:paraId="5EC17479">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vMerge w:val="continue"/>
            <w:shd w:val="clear" w:color="auto" w:fill="auto"/>
            <w:vAlign w:val="center"/>
          </w:tcPr>
          <w:p w14:paraId="4B387A8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4288" w:type="dxa"/>
            <w:vMerge w:val="continue"/>
            <w:shd w:val="clear" w:color="auto" w:fill="auto"/>
            <w:vAlign w:val="center"/>
          </w:tcPr>
          <w:p w14:paraId="2A56CD71">
            <w:pPr>
              <w:keepNext w:val="0"/>
              <w:keepLines w:val="0"/>
              <w:pageBreakBefore w:val="0"/>
              <w:widowControl/>
              <w:kinsoku/>
              <w:wordWrap/>
              <w:overflowPunct/>
              <w:topLinePunct w:val="0"/>
              <w:autoSpaceDE/>
              <w:autoSpaceDN/>
              <w:bidi w:val="0"/>
              <w:adjustRightInd/>
              <w:snapToGrid/>
              <w:spacing w:after="0" w:line="0" w:lineRule="atLeast"/>
              <w:jc w:val="left"/>
              <w:rPr>
                <w:rFonts w:hint="eastAsia" w:ascii="宋体" w:hAnsi="宋体" w:eastAsia="宋体" w:cs="宋体"/>
                <w:i w:val="0"/>
                <w:iCs w:val="0"/>
                <w:color w:val="000000"/>
                <w:sz w:val="21"/>
                <w:szCs w:val="21"/>
                <w:u w:val="none"/>
              </w:rPr>
            </w:pPr>
          </w:p>
        </w:tc>
        <w:tc>
          <w:tcPr>
            <w:tcW w:w="795" w:type="dxa"/>
            <w:vMerge w:val="continue"/>
            <w:shd w:val="clear" w:color="auto" w:fill="auto"/>
            <w:noWrap/>
            <w:vAlign w:val="center"/>
          </w:tcPr>
          <w:p w14:paraId="1C0D92D7">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auto"/>
            <w:noWrap/>
            <w:vAlign w:val="center"/>
          </w:tcPr>
          <w:p w14:paraId="1AF4023F">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25" w:type="dxa"/>
            <w:vMerge w:val="continue"/>
            <w:shd w:val="clear" w:color="auto" w:fill="auto"/>
            <w:noWrap/>
            <w:vAlign w:val="center"/>
          </w:tcPr>
          <w:p w14:paraId="276F137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40" w:type="dxa"/>
            <w:vMerge w:val="continue"/>
            <w:shd w:val="clear" w:color="auto" w:fill="auto"/>
            <w:noWrap/>
            <w:vAlign w:val="center"/>
          </w:tcPr>
          <w:p w14:paraId="6A41E341">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5AC9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2" w:hRule="atLeast"/>
        </w:trPr>
        <w:tc>
          <w:tcPr>
            <w:tcW w:w="763" w:type="dxa"/>
            <w:shd w:val="clear" w:color="auto" w:fill="auto"/>
            <w:noWrap/>
            <w:vAlign w:val="center"/>
          </w:tcPr>
          <w:p w14:paraId="25826757">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vAlign w:val="center"/>
          </w:tcPr>
          <w:p w14:paraId="3D2EE9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98寸交互式智能平板</w:t>
            </w:r>
          </w:p>
        </w:tc>
        <w:tc>
          <w:tcPr>
            <w:tcW w:w="4288" w:type="dxa"/>
            <w:shd w:val="clear" w:color="auto" w:fill="auto"/>
            <w:vAlign w:val="center"/>
          </w:tcPr>
          <w:p w14:paraId="5D2D52D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一、整机要求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2.整机屏幕采用98英寸液晶显示器，采用超高清LED液晶显示屏，显示比例16:9，分辨率3840×2160。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3.整机支持双路可插拔模块，一个槽位支持OPS模块插拔，另一个槽位支持AI模块插拔。系统采用高性能8核CPU。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4.嵌入式系统版本不低于Android 13.0，内存≥4GB，存储空间≥32GB。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5.采用红外触控方式，支持Windows系统中进行50点或以上触控，支持在Android系统中进行40点或以上触控。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6.整机内置2.2声道扬声器，额定总功率60W。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★7.整机内置非独立外扩展的8阵列麦克风，拾音角度≥180°，可用于对教室环境音频进行采集，拾音距离≥12m。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9.整机内置独立音频CPU处理器，支持麦克风3A算法（自动增益控制（AGC）、自动抑制噪声（ANC）、自动回声消除（AEC）），提升麦克风拾音效果。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10.整机内置专属的4核音频CPU处理器，最多支持8路麦克风数据处理，采样率支持192K，同时不占用整机系统的CPU能力。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11.整机背光系统支持DC调光方式，多级亮度调节，支持白颜色背景下最暗亮度≤100nit，用于提升显示对比度。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12.整机系统支持手势上滑调出人工智能画质调节模式（AI-PQ） ， 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14.整机具备至少6个前置按键，可实现开关机、调出中控菜单、音量+/-、护眼、录屏操作。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15.整机内置双WiFi6无线网卡（不接受外接），在Android和Windows系统下，可实现Wi-Fi无线上网连接、AP无线热点发射。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16.整机上边框内置非独立式摄像头，采用一体化集成设计，摄像头数量≥4个；内置至少三个摄像头，像素值均大于800 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17.整机上边框内置非独立式3个智能拼接摄像头，视场角≥141度且水平视场角≥139度，可拍摄≥1600万像素的照片，支持输出8192×2048分辨率的照片和视频，支持画面畸变矫正功能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18.整机支持上边框内置非独立摄像头模组，支持同时输出至少3路视频流，同时支持课堂远程巡课、课堂教学数据采集、本地画面预览（拍照或视频录制）。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二、OPS模块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1.处理器：Intel Core i5 12代及以上，内存：16G DDR4 内存或以上配置，硬盘≥512G SSD 固态硬盘，采用抽拉内置式模块化电脑，抽拉内置式，PC模块可插入整机，可实现无单独接线的插拔。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2.为保证设备使用稳定性及兼容性，要求班班通与OPS模块必须为同一品牌厂家。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1.提供英汉词典、英文听写、化学实验、元素周期、化学方程、物理线图、星球等至少20种学科工具，可一键插入课件。学科工具支持教师自主设置在首页显示的功能，且该设置在备课和授课端之间可以同步。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2.AI智能备课助手：支持按照教学环节筛选对应课件页一键插入课件中，可导入新课、作者简介。支持按照元素类型思维导图、课堂活动选取需要的部分补充课件缺失的部分。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4.支持将Word文档转换为云教案，支持解析文本、表格通用元素。云教案支持插入表格、图片、音视频、文档附件。</w:t>
            </w:r>
          </w:p>
        </w:tc>
        <w:tc>
          <w:tcPr>
            <w:tcW w:w="795" w:type="dxa"/>
            <w:shd w:val="clear" w:color="auto" w:fill="auto"/>
            <w:noWrap/>
            <w:vAlign w:val="center"/>
          </w:tcPr>
          <w:p w14:paraId="686F37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6898CB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315415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343E62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F6E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763" w:type="dxa"/>
            <w:shd w:val="clear" w:color="auto" w:fill="auto"/>
            <w:noWrap/>
            <w:vAlign w:val="center"/>
          </w:tcPr>
          <w:p w14:paraId="7D69F5C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vMerge w:val="restart"/>
            <w:shd w:val="clear" w:color="auto" w:fill="auto"/>
            <w:vAlign w:val="center"/>
          </w:tcPr>
          <w:p w14:paraId="51B227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ai备课</w:t>
            </w:r>
          </w:p>
        </w:tc>
        <w:tc>
          <w:tcPr>
            <w:tcW w:w="4288" w:type="dxa"/>
            <w:shd w:val="clear" w:color="auto" w:fill="auto"/>
            <w:vAlign w:val="center"/>
          </w:tcPr>
          <w:p w14:paraId="4FBD7AB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教研工作台：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数据组件：通过数据概览组件，支持按周/月/学期查看备课活跃人数，集体备课活跃人数，评课活跃人数，校本研修活跃人数；通过教师备课组件，支持查看老师备课排行榜，按照时间查看备课活跃趋势图；支持通过教师研讨组件，支持分学科查看老师集体备课次数，研讨字数，研讨次数；通过教师研讨组件，支持查看集备研讨排行榜，按照发起次数，研讨次数进行排序；听过听课评课组件，支持按照学科查看听课评课次数，查看老师评课排行榜，查看优秀评课课例；通过教学资源组件，支持按照课件教案，上传校本资源数，影响老师数查看教师教学资源排行榜；通过教师研修组件，支持查看教师研修学习时长，人均时长，教研活动参与人数，按照周一到周天查看在线学习时长，查看研修活动排行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集体备课：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发起集备：支持在手机/PC端选择教案、课件、胶囊资源上传发起集备研讨，支持设置多重访问权限，通过手机号搜索即可邀请外校老师，可用于跨校教研场景。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进入集备：支持搜索集备名称/老师昵称，或按照学科/学段/年级/教材章节，我参与的/我发起的几个维度进行筛选查看，支持手机端/PC端进入集备页面。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集备研讨：参备成员可通过评论区发表观点，通过评论回复，点赞等功能营造浓厚的研讨氛围，评论消息支持实时提醒，支持图片的上传。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在线批注：参备人在电脑端及手机端都可在线对教案进行随文式批注，追加批注，回复以及查看实时批注消息。支持对课件进行打点式的批注，通过批注快速定位研讨内容，完成协同备课。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稿件对比：可对集备中多稿的课件/教案/胶囊进行内容的横向对比，支持批注研讨过程数据对比回溯。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获取稿件：参备成员可以随时获取和下载每一稿中的集备稿件到云课件，进行编辑或引用。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完成集备：完成研讨后，可以生成集体备课报告。集备终稿会自动上传到校本资源库，主备人可自定义上传目录，参备人即可前往校本资源库获取集备终稿。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生成集备报告：支持在PC端或手机端生成集备报告，报告生成后，参备人员可以在电脑或是手机端查看具体报告内容和在交互式备授课软件下载集备报告。报告内包含“集备信息”、“数据统计”、“研讨记录”等的具体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教师集备记录：支持查看以老师维度统计的集备记录，查看老师所属学段学科、发起次数、参备次数、评论数、批注数、最近集备时间等数据。支持管理员导出教师集备记录数据表格。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集备妙记：支持语音及视频会议记录， 为音视频回放自动生成字幕，对音视频研讨过程中的关键词和对话进行智能提炼，支持倍速播放，回溯研讨内容。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文字研讨摘要：支持对评论批注研讨的内容生成智能总结摘要，支持对不同发言人生成对应角色摘要。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视频研讨摘要：支持对视频内容生成智能总结摘要，支持对不同发言人生成对应角色摘要。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单元集备：支持以单元的形式开展多课时的集体备课，通过脑图的形式构建单元结构，脑图节点支持添加课时集备任务，支持分配课时集备的主备人和参备人的权限范围，课时主备人或参备人可邀请校外的老师共同参与；课时集备主备人可编辑所负责的集备，可以在课时集备中进行文件上传、评论批注、多稿打磨与音视频集备；数据统计支持查看不同课时主备的课时数和参备人在整个单元集备中多课时的研讨数据。支持以链接或二维码的形式分享单元集备。</w:t>
            </w:r>
          </w:p>
        </w:tc>
        <w:tc>
          <w:tcPr>
            <w:tcW w:w="795" w:type="dxa"/>
            <w:vMerge w:val="restart"/>
            <w:shd w:val="clear" w:color="auto" w:fill="auto"/>
            <w:noWrap/>
            <w:vAlign w:val="center"/>
          </w:tcPr>
          <w:p w14:paraId="1AAE3C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vMerge w:val="restart"/>
            <w:shd w:val="clear" w:color="auto" w:fill="FFFFFF"/>
            <w:vAlign w:val="center"/>
          </w:tcPr>
          <w:p w14:paraId="65780D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825" w:type="dxa"/>
            <w:vMerge w:val="restart"/>
            <w:shd w:val="clear" w:color="auto" w:fill="auto"/>
            <w:noWrap/>
            <w:vAlign w:val="center"/>
          </w:tcPr>
          <w:p w14:paraId="08DC09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微软雅黑" w:hAnsi="微软雅黑" w:eastAsia="微软雅黑" w:cs="微软雅黑"/>
                <w:i w:val="0"/>
                <w:iCs w:val="0"/>
                <w:color w:val="000000"/>
                <w:sz w:val="21"/>
                <w:szCs w:val="21"/>
                <w:u w:val="none"/>
              </w:rPr>
            </w:pPr>
          </w:p>
        </w:tc>
        <w:tc>
          <w:tcPr>
            <w:tcW w:w="840" w:type="dxa"/>
            <w:vMerge w:val="restart"/>
            <w:shd w:val="clear" w:color="auto" w:fill="auto"/>
            <w:noWrap/>
            <w:vAlign w:val="center"/>
          </w:tcPr>
          <w:p w14:paraId="13E38E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6D57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3" w:hRule="atLeast"/>
        </w:trPr>
        <w:tc>
          <w:tcPr>
            <w:tcW w:w="763" w:type="dxa"/>
            <w:shd w:val="clear" w:color="auto" w:fill="auto"/>
            <w:noWrap/>
            <w:vAlign w:val="center"/>
          </w:tcPr>
          <w:p w14:paraId="0A77C027">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vMerge w:val="continue"/>
            <w:shd w:val="clear" w:color="auto" w:fill="auto"/>
            <w:vAlign w:val="center"/>
          </w:tcPr>
          <w:p w14:paraId="52C23D72">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4288" w:type="dxa"/>
            <w:shd w:val="clear" w:color="auto" w:fill="auto"/>
            <w:vAlign w:val="center"/>
          </w:tcPr>
          <w:p w14:paraId="6F227C6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听评课管理：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课程评价记录：支持查看以课程维度的评价记录，包括课件名称、授课老师、所属学科、本节课的评课人数、总评价平均分及授课时间，通过点击操作“详情”可查看和导出具体评价报告，支持管理员删除评价记录和导出课程评价记录数据表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评课报告：点击课程详情可以查看评课报告，查看该课程的总分和各板块得分，支持导出为PDF文件。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老师评课明细：支持查看课程下所有老师的评课表，可以批量导出为WORD文件。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和批量导出所有老师的评课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评课表管理：支持自定义设置学校专属评课表，系统预置中央电教馆“一师一优课，一课一名师”、“教师通用评课表-评分制”模板供使用。点评支持评分和主观题评价及拍照上传图片功能，支持发布多张评课表。支持发布多张评课表。评课表支持在线预览和设置权限，权限可选择公开、无需登录、需要登录用户账号、绑定本校且需登录用户账号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直播听评课：支持通过实时音视频将课堂教学现场进行实况直播，实现教师异地听课、评课。直播评课支持通过录播机、手机发起，并提供推流地址。支持查看评课邀请信息和直播开启预告，及时进入直播课堂，进行听课评价。直播发起前支持授课老师选择评课表，上传相关的课程资料文件，邀请听课老师。直播发起后可通过分享链接或海报分享给更多老师，老师们通过手机扫码/点击链接即可进入直播页面，直播未开始前会提示直播开始的时间，教师可同步查看授课老师上传的课程资料。直播过程中支持听课教师以时间打点加评课维度的方式做听课记录，支持图片上传或者截屏发布到听课记录或听课交流区，听课记录支持一键同步到交流区。听课教师可通过评课表对该课程进行评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听课交流：支持主动发布“开启了 直播”、“关闭直播”课堂状态，及时同步课堂进度。支持远程观看课堂直播时同步在听课交流区发表文字、快捷表情、上传图片以及截屏，记录与分享听课想法。点击交流区发表的评论可对该评论进行点赞送花，复制评论或定位到该回放的时间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直播回放：直播结束后系统自动生成课堂回放， 回放支持自动生成字幕，支持倍速播放，网页全屏或全屏操作，支持查看的回放的次数和人数。支持授课老师下载下载该课程的回放视频以及导出听课记录。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录播绑定：直播听评课支持绑定互动录播电脑主机发起直播，发起邀请评课的时候选择直播评课，选择录播设备绑定学校和对应的场地，并选择开启直播时间，即可通过录播设备发起直播听评课。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AI课堂数据分析：开启直播评课或视频评课，系统自动生成AI课堂分析报告，支持一览课堂重要数据，查看视频回放，分析授课内容生成高频词云，提炼师生互动生成课堂问答。分析报告内容包含:视频时长、讲授时长、讲授字数、平均语速、字幕、问答实录切片、章节总览、问题提炼、教学时间分配、课堂时序分析、弗兰德斯互动分析、布鲁姆问题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11.管理员发起评课：支持管理员在管理后台创建评课并指定授课老师，统筹学校内的评课活动。创建评课支持选择评课表，邀请听课老师，并上传课程所需资料。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12.听课记录：支持老师在评课过程中做文字记录，按时间节点加评价维度对执教者课堂教学情况初步分析和评价。听课记录支持一键同步至听课交流区，加强教师间的交流与协作。支持听课记录导出为word文档。</w:t>
            </w:r>
          </w:p>
        </w:tc>
        <w:tc>
          <w:tcPr>
            <w:tcW w:w="795" w:type="dxa"/>
            <w:vMerge w:val="continue"/>
            <w:shd w:val="clear" w:color="auto" w:fill="auto"/>
            <w:noWrap/>
            <w:vAlign w:val="center"/>
          </w:tcPr>
          <w:p w14:paraId="7ED7BEE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4BCB87BC">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7D414FB5">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7BD6F058">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31F3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shd w:val="clear" w:color="auto" w:fill="auto"/>
            <w:noWrap/>
            <w:vAlign w:val="center"/>
          </w:tcPr>
          <w:p w14:paraId="1B816434">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vMerge w:val="continue"/>
            <w:shd w:val="clear" w:color="auto" w:fill="auto"/>
            <w:vAlign w:val="center"/>
          </w:tcPr>
          <w:p w14:paraId="0EB23006">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4288" w:type="dxa"/>
            <w:shd w:val="clear" w:color="auto" w:fill="auto"/>
            <w:vAlign w:val="center"/>
          </w:tcPr>
          <w:p w14:paraId="090C20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资源中心管理：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搭建目录框架：校本资源库提供学科目录模板/教材目录模板，便于管理者快速搭建校本资源目录框架，以文件夹的形式进行分组，方便各年级学科的资源管理。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权限设置：支持以文件夹的维度进行权限设置，设置某个文件夹仅有权限的部门或者老师可见，同时支持按文件夹的维度进行课件的批量移动、删除。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资源搜索：支持树形结构目录，便于资源分类及快速查找，支持全局资源搜索，按年级、学科筛选资源，支持查找资源后快速定位到当前资源文件夹。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查看及预览：支持查看资源文件夹的创建者，资源的上传作者，更新时间、校本容量等数据。校本资源支持在线预览，方便资源的审核和检查。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资源管理：管理员可对校本资源进行分类移动，删除或重命名，资源目录在编辑的界面支持同级拖拽移动。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资源审核：支持管理者对上传的资源进行审核设置，指定审核人、审核范围。审核人对上传的资源进行审核，审核通过的资源即可录入校本资源库。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资源关联教研：上传到校本资源库中的资源，支持查看资源信息包括获取次数、访问人数及访问次数。同时支持关联信息的查看，包括打磨次数，关联的云教案，胶囊、集备及参备人、听评课。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校本研修：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快速创建研修平台：教师研修平台提供小学、初中、完全中学、信息技术技能四种培训课程模板，管理者可以一键搭建研修平台，省时省力。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系统内置3万节免费课程资源，分为学科案例、教学教研、信息素养、班级管理、职业成长五个类目，管理者可以自主选择。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支持树形结构目录，管理者可以自主搭建课程体系，以适合学校教师的研修需求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教师研修支持课程学习、课程打分、课程评论交流等功能，满足自主研修需要。</w:t>
            </w:r>
          </w:p>
        </w:tc>
        <w:tc>
          <w:tcPr>
            <w:tcW w:w="795" w:type="dxa"/>
            <w:vMerge w:val="continue"/>
            <w:shd w:val="clear" w:color="auto" w:fill="auto"/>
            <w:noWrap/>
            <w:vAlign w:val="center"/>
          </w:tcPr>
          <w:p w14:paraId="56577276">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4295BFA6">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31C64E0C">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1DB8CD60">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20E6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763" w:type="dxa"/>
            <w:shd w:val="clear" w:color="auto" w:fill="auto"/>
            <w:noWrap/>
            <w:vAlign w:val="center"/>
          </w:tcPr>
          <w:p w14:paraId="003CC6A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vAlign w:val="center"/>
          </w:tcPr>
          <w:p w14:paraId="554A62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w:t>
            </w:r>
          </w:p>
        </w:tc>
        <w:tc>
          <w:tcPr>
            <w:tcW w:w="4288" w:type="dxa"/>
            <w:shd w:val="clear" w:color="auto" w:fill="auto"/>
            <w:vAlign w:val="center"/>
          </w:tcPr>
          <w:p w14:paraId="2D7A15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1.整机采用一体化全金属外壳设计，屏幕采用86英寸液晶显示器，超高清LED液晶显示屏，显示比例16:9，分辨率3840×2160。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2.侧置输入接口具备≥2路HDMI、≥1路RS232、≥1路USB接口，≥1路3.5mm audio in 音频输入接口  ；侧置输出接口具备≥1路3.5mm audio out音频输出、≥1路触控USB输出；侧置输出接口具备≥1路HDMI out接口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前置输入接口≥3路USB接口（包含1路Type-C）。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★3.整机支持双路可插拔模块，一个槽位支持OPS模块插拔，另一个槽位支持AI模块插拔。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4.整机系统采用高性能8核CPU。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5.整机系统采用 8 核 GPU 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6.嵌入式系统版本不低于Android 13，内存≥4GB，存储空间≥32GB。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7.整机支持全通道支持4K UI界面显示，包括安卓通道、PC通道、HDMI通道、Type-C通道。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8.采用红外触控技术，支持Windows系统中进行50点或以上触控，支持在Android系统中进行40点或以上触控。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9.整机内置独立千兆网络交换机模块，满足整机内PC模块、算力模块单元之间实现数据通信；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★11.整机内置非独立外扩展的8阵列麦克风，拾音角度≥180°，可用于对教室环境音频进行采集，拾音距离≥12m。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12.支持标准、听力、观影和 AI 感知音效模式，AI 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13.整机内置独立音频CPU处理器，支持麦克风3A算法（自动增益控制（AGC）、自动抑制噪声（ANC）、自动回声消除（AEC）），提升麦克风拾音效果；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14.整机内置专属的4核音频CPU处理器，最多支持8路麦克风数据处理，采样率支持192K，同时不占用整机系统的CPU能力。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15.支持自定义图像设置，可对对比度、屏幕色温、图像亮度、亮度范围、色彩空间进行调节设置。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16.整机设备支持通过前置面板物理按键一键启动AI课堂数据分析及反馈功能，可将屏幕中显示的课件、音频内容与人声同时录制。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17.整机内置NFC读卡模块，可配合应用实现刷卡解锁，刷卡登录账号功能。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18.整机支持蓝牙Bluetooth 5.4标准，Wi-Fi制式支持IEEE 802.11 a/b/g/n/ac/ax；支持版本Wi-Fi6。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19.整机支持发出超声波信号，智能手机通过麦克风接收后，手机与整机无需在同一局域网内，即可实现配对一键投屏，用户无需手动输入投屏码或扫码获取投屏码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内置传屏接收模块，整机不需要连接任何附加设备，可实现外部电脑、手机设备的音视频信号实时传输到整机上；电脑传屏时，支持触摸回传，在屏幕上部显示传屏工具栏，可以进行触摸回传控制、勿扰模式、暂停投屏功能；投屏时可以选择过滤特定应用窗口，如邮件应用等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21.整机内置双WiFi6无线网卡（不接受外接），在双系统下支持无线设备同时连接数量≥5。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★22.整机上边框内置非独立式摄像头，采用一体化集成设计，摄像头数量≥4个。包含内置非独立式3个智能拼接摄像头及一个非独立式摄像头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24.整机支持上边框内置非独立摄像头模组，同时输出至少 2 路视频流，同时支持课堂远程巡课、本地画面预览等。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27.整机支持通过扫描二维码加入班级，老师设置题型，学生回答后提交，教师查看正确率比例及详细讲解；支持随机抽选、实时弹幕；支持管理当前班级成员；支持导出学生报告。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二、OPS模块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1.处理器：Intel Core i5 10代及以上，内存：8G DDR4 笔记本内存或以上配置，硬盘≥256G SSD 固态硬盘，采用抽拉内置式模块化电脑，抽拉内置式，PC模块可插入整机，可实现无单独接线的插拔。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2.具有独立非外扩展的电脑USB接口：≥3路USB。≥1 路 HDMI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3.为保证设备使用稳定性及兼容性，要求班班通与OPS模块必须为同一品牌厂家。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1.AI智能备课助手：支持按照教学环节筛选对应课件页一键插入课件中，可导入新课、作者简介。支持按照元素类型思维导图、课堂活动选取需要的部分补充课件缺失的部分。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3.支持将Word文档转换为云教案，支持解析文本、表格通用元素。云教案支持插入表格、图片、音视频、文档附件。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4.提供教案模板以供老师撰写教案，预置模板包含表格式、提纲式、集备式、多课时式、单元设计式不少于7个。支持校本模板，管理员在教研管理后台设置校本模板后，老师可在云教案模板调用。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6.AI智能英语工具：软件内置的AI智能语义分析模块，可对输入的英文文本的拼写、句型、语法进行错误检查，并支持一键纠错。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8.可对集备中多稿的课件/教案/胶囊进行内容的横向对比，支持批注研讨过程数据对比回溯；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完成研讨后，可生成集备报告，报告生成后，参备人可查看具体报告内容和下载集备报告。报告内包含集备信息、数据统计、研讨记录的具体内容。</w:t>
            </w:r>
          </w:p>
        </w:tc>
        <w:tc>
          <w:tcPr>
            <w:tcW w:w="795" w:type="dxa"/>
            <w:vMerge w:val="restart"/>
            <w:shd w:val="clear" w:color="auto" w:fill="auto"/>
            <w:noWrap/>
            <w:vAlign w:val="center"/>
          </w:tcPr>
          <w:p w14:paraId="496E7D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0" w:type="dxa"/>
            <w:vMerge w:val="restart"/>
            <w:shd w:val="clear" w:color="auto" w:fill="FFFFFF"/>
            <w:vAlign w:val="center"/>
          </w:tcPr>
          <w:p w14:paraId="393FED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825" w:type="dxa"/>
            <w:vMerge w:val="restart"/>
            <w:shd w:val="clear" w:color="auto" w:fill="auto"/>
            <w:noWrap/>
            <w:vAlign w:val="center"/>
          </w:tcPr>
          <w:p w14:paraId="2B219A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微软雅黑" w:hAnsi="微软雅黑" w:eastAsia="微软雅黑" w:cs="微软雅黑"/>
                <w:i w:val="0"/>
                <w:iCs w:val="0"/>
                <w:color w:val="000000"/>
                <w:sz w:val="21"/>
                <w:szCs w:val="21"/>
                <w:u w:val="none"/>
              </w:rPr>
            </w:pPr>
          </w:p>
        </w:tc>
        <w:tc>
          <w:tcPr>
            <w:tcW w:w="840" w:type="dxa"/>
            <w:vMerge w:val="restart"/>
            <w:shd w:val="clear" w:color="auto" w:fill="auto"/>
            <w:noWrap/>
            <w:vAlign w:val="center"/>
          </w:tcPr>
          <w:p w14:paraId="794DEC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62E7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63" w:type="dxa"/>
            <w:shd w:val="clear" w:color="auto" w:fill="auto"/>
            <w:noWrap/>
            <w:vAlign w:val="center"/>
          </w:tcPr>
          <w:p w14:paraId="3F43F2CD">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noWrap/>
            <w:vAlign w:val="center"/>
          </w:tcPr>
          <w:p w14:paraId="51B4D52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课堂观察反馈器</w:t>
            </w:r>
          </w:p>
        </w:tc>
        <w:tc>
          <w:tcPr>
            <w:tcW w:w="4288" w:type="dxa"/>
            <w:shd w:val="clear" w:color="auto" w:fill="auto"/>
            <w:vAlign w:val="center"/>
          </w:tcPr>
          <w:p w14:paraId="60DB6A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1.AI算力模块采用双矩形把手设计，两个把手位置分别支持按压式卡锁装置，按压解锁，释放自动卡锁；支持双翼锁紧装置。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2.AI算力模块前置面板支持2路PoE out接口；支持插入MicroSD卡接口，用于系统升级；支持独立复位按键；具有3.5mm圆孔接口，支持调试功能；具有2路LED状态指示灯；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3.采用8核A53内核芯片，主频≥2.3GHz；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4.AI算力模块系统支持linux 5.4，内存≥16GB，256GB存储；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5.支持额外扩展512GB/1TB SSD存储。 </w:t>
            </w:r>
          </w:p>
        </w:tc>
        <w:tc>
          <w:tcPr>
            <w:tcW w:w="795" w:type="dxa"/>
            <w:vMerge w:val="continue"/>
            <w:shd w:val="clear" w:color="auto" w:fill="auto"/>
            <w:noWrap/>
            <w:vAlign w:val="center"/>
          </w:tcPr>
          <w:p w14:paraId="1175CBBF">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46B6F8DD">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5B33B580">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623D91CB">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3494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8" w:hRule="atLeast"/>
        </w:trPr>
        <w:tc>
          <w:tcPr>
            <w:tcW w:w="763" w:type="dxa"/>
            <w:shd w:val="clear" w:color="auto" w:fill="auto"/>
            <w:noWrap/>
            <w:vAlign w:val="center"/>
          </w:tcPr>
          <w:p w14:paraId="3A6A224F">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noWrap/>
            <w:vAlign w:val="center"/>
          </w:tcPr>
          <w:p w14:paraId="61CD45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教师观察系统</w:t>
            </w:r>
          </w:p>
        </w:tc>
        <w:tc>
          <w:tcPr>
            <w:tcW w:w="4288" w:type="dxa"/>
            <w:shd w:val="clear" w:color="auto" w:fill="auto"/>
            <w:vAlign w:val="center"/>
          </w:tcPr>
          <w:p w14:paraId="23798FC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1.产品采用一体化设计，内置4k摄像头和麦克风，摄像头水平视场角≥40°，对角线视场角≥45°；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2.产品摄像头传感器有效像素≥800万 ；支持4K超高清影像输出。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3.可提供3840×2160图像编码输出，同时向下兼容 1920×1080、1280×720 分辨率；可同时提供3路编码输出，1路支持1920x1080分辨率的课堂实录画面，帧率可设置25fps、30fps；1路支持3840x2160分辨率；1路1920x1080分辨率板书画面，菜单设置帧率可选10/5/3/1 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4.产品内置视频处理器采用四核处理器，linux 5.1及以上操作系统，≥512MB系统内存、≥128MB存储空间。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5.在无需连接外网情况下，产品支持老师在教学过程书写的板书内容和老师遮挡分层处理，输出视频中老师身体遮挡板书内容实现透视可见，实现教学过程板书可视化。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6.产品支持H.264视频编码格式。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7.产品内置8阵列麦克风，拾音角度≥180°，麦克风拾音距离≥12m；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8.产品音频处理采用4核国产音频处理芯片，配置64MB系统内存，256MB存储空间；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9.RJ45音频输入，PoE out 支持网络级联和信息输出；1路DC接口；1个红绿双色指示灯，支持显示产品工作状态；1路针孔按键，支持复位重启设备功能。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10.产品支持2种供电方式，PoE和DC12V供电方式。</w:t>
            </w:r>
          </w:p>
        </w:tc>
        <w:tc>
          <w:tcPr>
            <w:tcW w:w="795" w:type="dxa"/>
            <w:vMerge w:val="continue"/>
            <w:shd w:val="clear" w:color="auto" w:fill="auto"/>
            <w:noWrap/>
            <w:vAlign w:val="center"/>
          </w:tcPr>
          <w:p w14:paraId="18C2C61F">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01021AA6">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1643BB9B">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29351382">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60FF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763" w:type="dxa"/>
            <w:shd w:val="clear" w:color="auto" w:fill="auto"/>
            <w:noWrap/>
            <w:vAlign w:val="center"/>
          </w:tcPr>
          <w:p w14:paraId="70966CF5">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noWrap/>
            <w:vAlign w:val="center"/>
          </w:tcPr>
          <w:p w14:paraId="5DF72A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阵列麦克风</w:t>
            </w:r>
          </w:p>
        </w:tc>
        <w:tc>
          <w:tcPr>
            <w:tcW w:w="4288" w:type="dxa"/>
            <w:shd w:val="clear" w:color="auto" w:fill="auto"/>
            <w:vAlign w:val="center"/>
          </w:tcPr>
          <w:p w14:paraId="35CA8D6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1.采用一体化设计，内置6个传感器单元，组成环形阵列。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2.内置阵列麦克风，360°全向拾音，麦克风拾音距离≥4m；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3.音频处理采用4核国产音频处理芯片；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4.阵列麦克风具备≥1个状态指示灯，可显示麦克风工作状态，蓝灯表示工作状态正常，红灯表示无法正常拾音。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5.支持数字音频传输；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6.接口含2路RJ45级联接口，Down支持RJ45音频输入，Up 支持网络级联和信息输出，同时支持PoE in电源；1路USB音频接口；2路3.5mm AUX接口，支持音频输入输出接口；1个红绿双色指示灯，支持显示产品工作状态。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7.支持POE有线网络供电，只需要1路网线，即可实现供电及信号传输；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8.整机支持POE供电，其中一路为POE IN，另一路为POE OUT，支持给外部POE设备供电；</w:t>
            </w:r>
          </w:p>
        </w:tc>
        <w:tc>
          <w:tcPr>
            <w:tcW w:w="795" w:type="dxa"/>
            <w:vMerge w:val="continue"/>
            <w:shd w:val="clear" w:color="auto" w:fill="auto"/>
            <w:noWrap/>
            <w:vAlign w:val="center"/>
          </w:tcPr>
          <w:p w14:paraId="368288A0">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338FFB7B">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3CE46204">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5BC75F7D">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39B9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63" w:type="dxa"/>
            <w:shd w:val="clear" w:color="auto" w:fill="auto"/>
            <w:noWrap/>
            <w:vAlign w:val="center"/>
          </w:tcPr>
          <w:p w14:paraId="2A52F85A">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1620" w:type="dxa"/>
            <w:shd w:val="clear" w:color="auto" w:fill="auto"/>
            <w:vAlign w:val="center"/>
          </w:tcPr>
          <w:p w14:paraId="1EC1B7E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课堂智能反馈系统</w:t>
            </w:r>
          </w:p>
        </w:tc>
        <w:tc>
          <w:tcPr>
            <w:tcW w:w="4288" w:type="dxa"/>
            <w:shd w:val="clear" w:color="auto" w:fill="auto"/>
            <w:vAlign w:val="center"/>
          </w:tcPr>
          <w:p w14:paraId="7F656E7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1.系统支持对师生互动行为，进行2D还原重建，并标识对应学生的头像及互动情况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2D/3D课堂孪生界面中，支持点击课堂活跃热力图中的学生头像，查看该学生的师生互动视频片段，统计该学生在本节课的上台互动、举手次数、问答次数。支持在地面上显示教师的巡堂轨迹，颜色越深代表停留时间越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依据采集到的音视频数据，自动生成课程总览、师生对话、课堂互动三个维度的课堂反馈建议，可查看课程知识点、符合知识性目标的提问、不合适的提问、提问优化建议、所有提问、课堂互动评价、课堂互动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5.系统根据教学内容，基于教学环节、教学任务、教学行为三个特征，形成用户教学流程分布执行情况，支持以进度样式展示，展示不同课堂行为环节的开展情况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6.系统自动统计教师授课、师生互动、小组讨论、课堂练习的时间分布情况，支持按照时序图样式、和饼图样式展示，展示不同课堂行为发生的顺序、时长。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7.系统支持对语音转写中的师生问答进行自动识别，所有的提问自动高亮显示，支持将识别出的问答实录一键导出为云文档。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系统支持自动识别教师提问后的等待回答时长，可分类为3秒以内，3-5秒，5秒以上。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9.系统支持自动识别学生回答时长，可分类为5秒以内，5-15秒，15秒以上。点击各个类型会自动打开到相应的课堂实录视频片段窗口，显示对应文字明细，文字明细会按师生角色区分，并自动进行分段分句。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10.系统自动对课堂按照教学内容进行切片划分，支持显示片段的标题和内容小结，支持查看不同片段的视频和课堂对话文字明细，文字明细会按师生角色区分，并自动进行分段分句。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11.系统支持教师画面、学生画面双窗口显示，小窗口可自由拖动位置和自由切换；视频画面与互动课件一一对应，点击互动课件缩略图，可跳转至对应视频片段。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12.系统支持将听评课记录关联，通过听课记录快速跳转课堂实录片段，并能抽象出评课摘要，呈现本节课人工评价各维度的评分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13.系统支持将老师多节课数据分析，形成老师的成长趋势，包含巡堂轨迹变动，教学时间分配变化，提问类型及数量变化，并以图表形式展现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系统支持以学校为单位，查阅本校设备报告录制情况，直接查阅每份报告，并能查阅部署设备数、昨日活跃设备数、报告生成数、昨日新增数、本校老师参与度、本校报告学科分布等数据；还能支持以教师的形式进行查阅。</w:t>
            </w:r>
          </w:p>
        </w:tc>
        <w:tc>
          <w:tcPr>
            <w:tcW w:w="795" w:type="dxa"/>
            <w:vMerge w:val="continue"/>
            <w:shd w:val="clear" w:color="auto" w:fill="auto"/>
            <w:noWrap/>
            <w:vAlign w:val="center"/>
          </w:tcPr>
          <w:p w14:paraId="00A81441">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870" w:type="dxa"/>
            <w:vMerge w:val="continue"/>
            <w:shd w:val="clear" w:color="auto" w:fill="FFFFFF"/>
            <w:vAlign w:val="center"/>
          </w:tcPr>
          <w:p w14:paraId="50DFE035">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25" w:type="dxa"/>
            <w:vMerge w:val="continue"/>
            <w:shd w:val="clear" w:color="auto" w:fill="auto"/>
            <w:noWrap/>
            <w:vAlign w:val="center"/>
          </w:tcPr>
          <w:p w14:paraId="7A8620EE">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微软雅黑" w:hAnsi="微软雅黑" w:eastAsia="微软雅黑" w:cs="微软雅黑"/>
                <w:i w:val="0"/>
                <w:iCs w:val="0"/>
                <w:color w:val="000000"/>
                <w:sz w:val="21"/>
                <w:szCs w:val="21"/>
                <w:u w:val="none"/>
              </w:rPr>
            </w:pPr>
          </w:p>
        </w:tc>
        <w:tc>
          <w:tcPr>
            <w:tcW w:w="840" w:type="dxa"/>
            <w:vMerge w:val="continue"/>
            <w:shd w:val="clear" w:color="auto" w:fill="auto"/>
            <w:noWrap/>
            <w:vAlign w:val="center"/>
          </w:tcPr>
          <w:p w14:paraId="4FB7997C">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r>
      <w:tr w14:paraId="7670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63" w:type="dxa"/>
            <w:shd w:val="clear" w:color="auto" w:fill="auto"/>
            <w:noWrap/>
            <w:vAlign w:val="center"/>
          </w:tcPr>
          <w:p w14:paraId="04702E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shd w:val="clear" w:color="auto" w:fill="auto"/>
            <w:vAlign w:val="center"/>
          </w:tcPr>
          <w:p w14:paraId="318034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变轨黑板</w:t>
            </w:r>
          </w:p>
        </w:tc>
        <w:tc>
          <w:tcPr>
            <w:tcW w:w="4288" w:type="dxa"/>
            <w:shd w:val="clear" w:color="auto" w:fill="auto"/>
            <w:vAlign w:val="center"/>
          </w:tcPr>
          <w:p w14:paraId="35DC7F2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推拉黑板关闭使用写字功能时，四个独立板体可形成同在一个平面上，具有使用方便，外型更加美观，书写面积更大，单独使用黑板时更接近平面黑板的效果。此黑板由铝合金外框架，四块独立黑板，及前后移动系统三部分组成。采用豪华高强度工业电泳银白色铝合金，模具挤压一次成型，规格115*75mm左右，壁厚1.0mm。ABS工程塑料插角两侧配不同尺寸侧挡板。板面采用专用教学黑板优质板面，墨绿色、亚光，厚度为0.3mm左右，漆膜硬度9H，漆层为0.025；无裂纹、无流痕、无气泡等缺陷，细腻平整、书写流畅、字迹清晰、擦后无残留、耐磨损、耐腐蚀、色调柔和、时尚美观，学生任何角度都能正常观看。表面粗糙度：Ra 1.6-3.2＆micro:m，光泽度：光泽度≤6﹪，符合 GB/T28231-2011《书写板安全卫生要求》，板面可吸附磁针、磁片，书写面规整光洁，色彩协调，亚光，干擦、可视效果佳，有效缓解学生视觉疲劳。通过专业钣金折弯工艺折边，内衬选用吸音、高强度、防潮阻燃聚苯乙烯板，选用采用优质防锈热镀锌钢板，机械化制作，流水线一次成型，镀锌含量Z12技术要求不低于国标GB2518-88；防止电子红外设备干扰，保护设备。                             在两个前后移动板体的背面都装有移动总成。移动总成是按尺寸比例设计成一个矩形，起到连接导轨及支撑框架的作用。移动总成上下各安装两条左右移动走珠导轨，在左右移动导轨两端分别固定两个较小的走珠导轨。配置新款导轨变轨系统，将板体紧固在前后走珠导轨上便会实现板体的前后移动。左右移动板的活动是由板体上下四组共八个滑轮来实现，滑轮镶嵌在上下外框边外翻的“G”字型导轨内，形成上挂下钩。防止粉尘进入导轨造成滑动不畅顺。</w:t>
            </w:r>
          </w:p>
        </w:tc>
        <w:tc>
          <w:tcPr>
            <w:tcW w:w="795" w:type="dxa"/>
            <w:shd w:val="clear" w:color="auto" w:fill="auto"/>
            <w:noWrap/>
            <w:vAlign w:val="center"/>
          </w:tcPr>
          <w:p w14:paraId="5F93BF66">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70" w:type="dxa"/>
            <w:shd w:val="clear" w:color="auto" w:fill="auto"/>
            <w:noWrap/>
            <w:vAlign w:val="center"/>
          </w:tcPr>
          <w:p w14:paraId="5F9B4A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auto"/>
            <w:noWrap/>
            <w:vAlign w:val="center"/>
          </w:tcPr>
          <w:p w14:paraId="419A4C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4FA320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36E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6F662B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0" w:type="dxa"/>
            <w:shd w:val="clear" w:color="auto" w:fill="auto"/>
            <w:vAlign w:val="center"/>
          </w:tcPr>
          <w:p w14:paraId="42B7A9B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移动支架</w:t>
            </w:r>
          </w:p>
        </w:tc>
        <w:tc>
          <w:tcPr>
            <w:tcW w:w="4288" w:type="dxa"/>
            <w:shd w:val="clear" w:color="auto" w:fill="auto"/>
            <w:noWrap/>
            <w:vAlign w:val="center"/>
          </w:tcPr>
          <w:p w14:paraId="2202A7A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不小于86寸的支架，与实际情况相匹配。</w:t>
            </w:r>
          </w:p>
        </w:tc>
        <w:tc>
          <w:tcPr>
            <w:tcW w:w="795" w:type="dxa"/>
            <w:shd w:val="clear" w:color="auto" w:fill="auto"/>
            <w:noWrap/>
            <w:vAlign w:val="center"/>
          </w:tcPr>
          <w:p w14:paraId="37035A5C">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70" w:type="dxa"/>
            <w:shd w:val="clear" w:color="auto" w:fill="auto"/>
            <w:noWrap/>
            <w:vAlign w:val="center"/>
          </w:tcPr>
          <w:p w14:paraId="66F828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auto"/>
            <w:noWrap/>
            <w:vAlign w:val="center"/>
          </w:tcPr>
          <w:p w14:paraId="2E15A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CD6CC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1447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shd w:val="clear" w:color="auto" w:fill="auto"/>
            <w:noWrap/>
            <w:vAlign w:val="center"/>
          </w:tcPr>
          <w:p w14:paraId="02F3F5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0" w:type="dxa"/>
            <w:shd w:val="clear" w:color="auto" w:fill="auto"/>
            <w:vAlign w:val="center"/>
          </w:tcPr>
          <w:p w14:paraId="23BEBE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数字音频采集终端</w:t>
            </w:r>
          </w:p>
        </w:tc>
        <w:tc>
          <w:tcPr>
            <w:tcW w:w="4288" w:type="dxa"/>
            <w:shd w:val="clear" w:color="auto" w:fill="auto"/>
            <w:vAlign w:val="center"/>
          </w:tcPr>
          <w:p w14:paraId="4009A6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1.传输延时小，传送距离长，接收距离60米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2.每个通道100个频点可自由调频；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3.应用PLL射频技术，频率稳定精准；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4.带有自动搜索干净频道功能；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5.接收机带旋钮音量；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6.接收机显示频率、信号强度，声音反馈，可锁定按键功能；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7.按键全部带灯光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8.腰包可显示频率点，电量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9.手持全金属可显示频率点，电量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10.频率范围：552-620MHz（可根据客户要求定制频率范围及频点）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11.动态范围：&gt;100dB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12.综合失真：&lt; 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13.频率响应：20 ~ 18 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14.接收灵敏度：&lt; -108dBm@20dB SINAD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15.发射机指标：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16.发射功率：10mW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17.发射机工作电流：&lt;135mA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 与学校教室数字IP有源音箱对接使用。</w:t>
            </w:r>
          </w:p>
        </w:tc>
        <w:tc>
          <w:tcPr>
            <w:tcW w:w="795" w:type="dxa"/>
            <w:shd w:val="clear" w:color="auto" w:fill="auto"/>
            <w:noWrap/>
            <w:vAlign w:val="center"/>
          </w:tcPr>
          <w:p w14:paraId="581D7CA3">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70" w:type="dxa"/>
            <w:shd w:val="clear" w:color="auto" w:fill="auto"/>
            <w:noWrap/>
            <w:vAlign w:val="center"/>
          </w:tcPr>
          <w:p w14:paraId="3C253E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auto"/>
            <w:noWrap/>
            <w:vAlign w:val="center"/>
          </w:tcPr>
          <w:p w14:paraId="0BDE66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7D16C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ADF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63" w:type="dxa"/>
            <w:shd w:val="clear" w:color="auto" w:fill="auto"/>
            <w:noWrap/>
            <w:vAlign w:val="center"/>
          </w:tcPr>
          <w:p w14:paraId="07980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0" w:type="dxa"/>
            <w:shd w:val="clear" w:color="auto" w:fill="FFFFFF"/>
            <w:vAlign w:val="center"/>
          </w:tcPr>
          <w:p w14:paraId="1DE778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高清半球网络摄像机</w:t>
            </w:r>
          </w:p>
        </w:tc>
        <w:tc>
          <w:tcPr>
            <w:tcW w:w="4288" w:type="dxa"/>
            <w:shd w:val="clear" w:color="auto" w:fill="FFFFFF"/>
            <w:vAlign w:val="center"/>
          </w:tcPr>
          <w:p w14:paraId="0C416123">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1.最高像素:400万 最高分辨率:2560x1440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2.传感器靶面:1/3.0" 光圈:F1.6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3.补光模式:红外补光 补光距离:30m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1路音频输入,1路音频输出;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防水防尘:IP67 防暴:IK10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6.提供行业设备，质保3年。</w:t>
            </w:r>
            <w:r>
              <w:rPr>
                <w:rFonts w:hint="eastAsia" w:ascii="宋体" w:hAnsi="宋体" w:eastAsia="宋体" w:cs="宋体"/>
                <w:i w:val="0"/>
                <w:iCs w:val="0"/>
                <w:color w:val="000000"/>
                <w:kern w:val="0"/>
                <w:sz w:val="21"/>
                <w:szCs w:val="21"/>
                <w:u w:val="none"/>
                <w:lang w:val="en-US" w:eastAsia="zh-CN" w:bidi="ar"/>
              </w:rPr>
              <w:br w:type="textWrapping"/>
            </w:r>
          </w:p>
        </w:tc>
        <w:tc>
          <w:tcPr>
            <w:tcW w:w="795" w:type="dxa"/>
            <w:shd w:val="clear" w:color="auto" w:fill="FFFFFF"/>
            <w:vAlign w:val="center"/>
          </w:tcPr>
          <w:p w14:paraId="67AD58DF">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0" w:type="dxa"/>
            <w:shd w:val="clear" w:color="auto" w:fill="FFFFFF"/>
            <w:vAlign w:val="center"/>
          </w:tcPr>
          <w:p w14:paraId="321304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vAlign w:val="center"/>
          </w:tcPr>
          <w:p w14:paraId="00726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54FFC3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4861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shd w:val="clear" w:color="auto" w:fill="auto"/>
            <w:noWrap/>
            <w:vAlign w:val="center"/>
          </w:tcPr>
          <w:p w14:paraId="1A9641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20" w:type="dxa"/>
            <w:shd w:val="clear" w:color="auto" w:fill="FFFFFF"/>
            <w:vAlign w:val="center"/>
          </w:tcPr>
          <w:p w14:paraId="3E6C16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高清网络摄像机</w:t>
            </w:r>
          </w:p>
        </w:tc>
        <w:tc>
          <w:tcPr>
            <w:tcW w:w="4288" w:type="dxa"/>
            <w:shd w:val="clear" w:color="auto" w:fill="FFFFFF"/>
            <w:vAlign w:val="center"/>
          </w:tcPr>
          <w:p w14:paraId="2261866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1.像素:200万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2.传感器靶面:1/2.8"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3.光圈:F1.6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4.变焦方式:定焦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5.补光模式:红外补光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6.补光距离:50m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7.提供行业设备，质保3年。</w:t>
            </w:r>
          </w:p>
        </w:tc>
        <w:tc>
          <w:tcPr>
            <w:tcW w:w="795" w:type="dxa"/>
            <w:shd w:val="clear" w:color="auto" w:fill="FFFFFF"/>
            <w:vAlign w:val="center"/>
          </w:tcPr>
          <w:p w14:paraId="6A919ADE">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70" w:type="dxa"/>
            <w:shd w:val="clear" w:color="auto" w:fill="FFFFFF"/>
            <w:vAlign w:val="center"/>
          </w:tcPr>
          <w:p w14:paraId="0DA0CD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vAlign w:val="center"/>
          </w:tcPr>
          <w:p w14:paraId="2414AF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641906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4B5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2F89E4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20" w:type="dxa"/>
            <w:shd w:val="clear" w:color="auto" w:fill="FFFFFF"/>
            <w:vAlign w:val="center"/>
          </w:tcPr>
          <w:p w14:paraId="317556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4288" w:type="dxa"/>
            <w:shd w:val="clear" w:color="auto" w:fill="FFFFFF"/>
            <w:noWrap/>
            <w:vAlign w:val="center"/>
          </w:tcPr>
          <w:p w14:paraId="60E66D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一次电源--20℃-60℃-180Vac-260Vac-12V/2A国内行业款适配器</w:t>
            </w:r>
          </w:p>
        </w:tc>
        <w:tc>
          <w:tcPr>
            <w:tcW w:w="795" w:type="dxa"/>
            <w:shd w:val="clear" w:color="auto" w:fill="FFFFFF"/>
            <w:noWrap/>
            <w:vAlign w:val="center"/>
          </w:tcPr>
          <w:p w14:paraId="1F6EA347">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70" w:type="dxa"/>
            <w:shd w:val="clear" w:color="auto" w:fill="FFFFFF"/>
            <w:noWrap/>
            <w:vAlign w:val="center"/>
          </w:tcPr>
          <w:p w14:paraId="6AD9CA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74092C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1BC0EB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5370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63" w:type="dxa"/>
            <w:shd w:val="clear" w:color="auto" w:fill="auto"/>
            <w:noWrap/>
            <w:vAlign w:val="center"/>
          </w:tcPr>
          <w:p w14:paraId="2B1835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20" w:type="dxa"/>
            <w:shd w:val="clear" w:color="auto" w:fill="FFFFFF"/>
            <w:noWrap/>
            <w:vAlign w:val="center"/>
          </w:tcPr>
          <w:p w14:paraId="2709F7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4288" w:type="dxa"/>
            <w:shd w:val="clear" w:color="auto" w:fill="FFFFFF"/>
            <w:vAlign w:val="top"/>
          </w:tcPr>
          <w:p w14:paraId="54E9F2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1.★交换机具有以下性能：交换容量≥660Gbps，包转发率≥160Mpps，交换容量及包转发率以数字最小的为准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2.★交换机要求：固化千兆电口≥48个，千兆SFP光口≥4个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3.支持IGMP v1/v2/v3 Snooping，支持STP、RSTP、MSTP协议，支持端口聚合，支持手工和静态LACP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4.交换机支持通过Web页面对交换机进行可视化管理查看，包括交换机的端口状态及配置、vlan信息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5.交换机支持M-LAG技术，跨设备链路聚合（非堆叠技术实现），配对的设备有独立的控制平面。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6.交换机支持零配置上线，支持二层广播自动发现控制器平台；支持配置静态IP地址三层发现控制器平台；支持DNS域名发现控制器平台；要求提供佐证资料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7.交换机管理平台具有“一键替换”功能可以对故障交换机完成设备替换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8.交换机具有终端类型库，基于指纹自动识别PC、路由器、摄像头设备、无线AP等。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9.交换机能够创建横向安全策略，实现全网安全风险拦截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10.交换机通信端口的防雷能力共模不低于9KV。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11.为保证设备在受到外界机械碰撞时能够正常运行，交换机IK防护测试级别至少达到IK06</w:t>
            </w:r>
          </w:p>
        </w:tc>
        <w:tc>
          <w:tcPr>
            <w:tcW w:w="795" w:type="dxa"/>
            <w:shd w:val="clear" w:color="auto" w:fill="FFFFFF"/>
            <w:noWrap/>
            <w:vAlign w:val="center"/>
          </w:tcPr>
          <w:p w14:paraId="45A171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2D23BC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70A130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1FDEFC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2C0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shd w:val="clear" w:color="auto" w:fill="auto"/>
            <w:noWrap/>
            <w:vAlign w:val="center"/>
          </w:tcPr>
          <w:p w14:paraId="1E5E9E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20" w:type="dxa"/>
            <w:shd w:val="clear" w:color="auto" w:fill="FFFFFF"/>
            <w:noWrap/>
            <w:vAlign w:val="center"/>
          </w:tcPr>
          <w:p w14:paraId="056B2B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2.5平方电源线</w:t>
            </w:r>
          </w:p>
        </w:tc>
        <w:tc>
          <w:tcPr>
            <w:tcW w:w="4288" w:type="dxa"/>
            <w:shd w:val="clear" w:color="auto" w:fill="FFFFFF"/>
            <w:vAlign w:val="center"/>
          </w:tcPr>
          <w:p w14:paraId="5D4041C1">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RVV系列电缆长期允许工作温度应不超过70℃；RVV-90系列电缆长期允许工作温度应不超过90℃(105℃)</w:t>
            </w:r>
            <w:r>
              <w:rPr>
                <w:rFonts w:hint="eastAsia" w:ascii="宋体" w:hAnsi="宋体" w:eastAsia="宋体" w:cs="宋体"/>
                <w:i w:val="0"/>
                <w:iCs w:val="0"/>
                <w:color w:val="000000"/>
                <w:kern w:val="0"/>
                <w:sz w:val="21"/>
                <w:szCs w:val="21"/>
                <w:u w:val="none"/>
                <w:lang w:val="en-US" w:eastAsia="zh-CN" w:bidi="ar"/>
              </w:rPr>
              <w:br w:type="textWrapping"/>
            </w:r>
          </w:p>
        </w:tc>
        <w:tc>
          <w:tcPr>
            <w:tcW w:w="795" w:type="dxa"/>
            <w:shd w:val="clear" w:color="auto" w:fill="FFFFFF"/>
            <w:noWrap/>
            <w:vAlign w:val="center"/>
          </w:tcPr>
          <w:p w14:paraId="3D001A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0" w:type="dxa"/>
            <w:shd w:val="clear" w:color="auto" w:fill="FFFFFF"/>
            <w:noWrap/>
            <w:vAlign w:val="center"/>
          </w:tcPr>
          <w:p w14:paraId="06840A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25" w:type="dxa"/>
            <w:shd w:val="clear" w:color="auto" w:fill="FFFFFF"/>
            <w:noWrap/>
            <w:vAlign w:val="center"/>
          </w:tcPr>
          <w:p w14:paraId="24832D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16536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4E43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shd w:val="clear" w:color="auto" w:fill="auto"/>
            <w:noWrap/>
            <w:vAlign w:val="center"/>
          </w:tcPr>
          <w:p w14:paraId="36BBC7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0" w:type="dxa"/>
            <w:shd w:val="clear" w:color="auto" w:fill="FFFFFF"/>
            <w:noWrap/>
            <w:vAlign w:val="center"/>
          </w:tcPr>
          <w:p w14:paraId="0193AC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六类非屏蔽数据网线</w:t>
            </w:r>
          </w:p>
        </w:tc>
        <w:tc>
          <w:tcPr>
            <w:tcW w:w="4288" w:type="dxa"/>
            <w:shd w:val="clear" w:color="auto" w:fill="FFFFFF"/>
            <w:vAlign w:val="center"/>
          </w:tcPr>
          <w:p w14:paraId="5EA47B09">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护套材质：PVC    默认灰色</w:t>
            </w:r>
            <w:r>
              <w:rPr>
                <w:rFonts w:hint="eastAsia" w:ascii="宋体" w:hAnsi="宋体" w:eastAsia="宋体" w:cs="宋体"/>
                <w:i w:val="0"/>
                <w:iCs w:val="0"/>
                <w:color w:val="000000"/>
                <w:kern w:val="0"/>
                <w:sz w:val="21"/>
                <w:szCs w:val="21"/>
                <w:u w:val="none"/>
                <w:lang w:val="en-US" w:eastAsia="zh-CN" w:bidi="ar"/>
              </w:rPr>
              <w:br w:type="textWrapping"/>
            </w:r>
          </w:p>
        </w:tc>
        <w:tc>
          <w:tcPr>
            <w:tcW w:w="795" w:type="dxa"/>
            <w:shd w:val="clear" w:color="auto" w:fill="FFFFFF"/>
            <w:noWrap/>
            <w:vAlign w:val="center"/>
          </w:tcPr>
          <w:p w14:paraId="7E0753D8">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70" w:type="dxa"/>
            <w:shd w:val="clear" w:color="auto" w:fill="FFFFFF"/>
            <w:noWrap/>
            <w:vAlign w:val="center"/>
          </w:tcPr>
          <w:p w14:paraId="0261AA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25" w:type="dxa"/>
            <w:shd w:val="clear" w:color="auto" w:fill="FFFFFF"/>
            <w:noWrap/>
            <w:vAlign w:val="center"/>
          </w:tcPr>
          <w:p w14:paraId="29EF6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4FFE6B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FD9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3" w:type="dxa"/>
            <w:shd w:val="clear" w:color="auto" w:fill="auto"/>
            <w:noWrap/>
            <w:vAlign w:val="center"/>
          </w:tcPr>
          <w:p w14:paraId="4AED89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20" w:type="dxa"/>
            <w:shd w:val="clear" w:color="auto" w:fill="FFFFFF"/>
            <w:noWrap/>
            <w:vAlign w:val="center"/>
          </w:tcPr>
          <w:p w14:paraId="5C15BD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光纤模块</w:t>
            </w:r>
          </w:p>
        </w:tc>
        <w:tc>
          <w:tcPr>
            <w:tcW w:w="4288" w:type="dxa"/>
            <w:shd w:val="clear" w:color="auto" w:fill="FFFFFF"/>
            <w:noWrap/>
            <w:vAlign w:val="center"/>
          </w:tcPr>
          <w:p w14:paraId="4052432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千兆光纤单模模块，要与交换机为同一品牌。</w:t>
            </w:r>
          </w:p>
        </w:tc>
        <w:tc>
          <w:tcPr>
            <w:tcW w:w="795" w:type="dxa"/>
            <w:shd w:val="clear" w:color="auto" w:fill="FFFFFF"/>
            <w:noWrap/>
            <w:vAlign w:val="center"/>
          </w:tcPr>
          <w:p w14:paraId="53FAAAB6">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0" w:type="dxa"/>
            <w:shd w:val="clear" w:color="auto" w:fill="FFFFFF"/>
            <w:noWrap/>
            <w:vAlign w:val="center"/>
          </w:tcPr>
          <w:p w14:paraId="223CC0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244C16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250566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6AFD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3" w:type="dxa"/>
            <w:shd w:val="clear" w:color="auto" w:fill="auto"/>
            <w:noWrap/>
            <w:vAlign w:val="center"/>
          </w:tcPr>
          <w:p w14:paraId="4D60EF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20" w:type="dxa"/>
            <w:shd w:val="clear" w:color="auto" w:fill="FFFFFF"/>
            <w:noWrap/>
            <w:vAlign w:val="center"/>
          </w:tcPr>
          <w:p w14:paraId="537EBA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机柜（楼层）</w:t>
            </w:r>
          </w:p>
        </w:tc>
        <w:tc>
          <w:tcPr>
            <w:tcW w:w="4288" w:type="dxa"/>
            <w:shd w:val="clear" w:color="auto" w:fill="FFFFFF"/>
            <w:noWrap/>
            <w:vAlign w:val="center"/>
          </w:tcPr>
          <w:p w14:paraId="51D2BFC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黑色9U壁挂机柜</w:t>
            </w:r>
          </w:p>
        </w:tc>
        <w:tc>
          <w:tcPr>
            <w:tcW w:w="795" w:type="dxa"/>
            <w:shd w:val="clear" w:color="auto" w:fill="FFFFFF"/>
            <w:noWrap/>
            <w:vAlign w:val="center"/>
          </w:tcPr>
          <w:p w14:paraId="53D6B2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0" w:type="dxa"/>
            <w:shd w:val="clear" w:color="auto" w:fill="FFFFFF"/>
            <w:noWrap/>
            <w:vAlign w:val="center"/>
          </w:tcPr>
          <w:p w14:paraId="1121CB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2E8C56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3CFBD7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EA1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763" w:type="dxa"/>
            <w:shd w:val="clear" w:color="auto" w:fill="auto"/>
            <w:noWrap/>
            <w:vAlign w:val="center"/>
          </w:tcPr>
          <w:p w14:paraId="633B5A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20" w:type="dxa"/>
            <w:shd w:val="clear" w:color="auto" w:fill="FFFFFF"/>
            <w:noWrap/>
            <w:vAlign w:val="center"/>
          </w:tcPr>
          <w:p w14:paraId="383B87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网络存储服务器</w:t>
            </w:r>
          </w:p>
        </w:tc>
        <w:tc>
          <w:tcPr>
            <w:tcW w:w="4288" w:type="dxa"/>
            <w:shd w:val="clear" w:color="auto" w:fill="FFFFFF"/>
            <w:vAlign w:val="center"/>
          </w:tcPr>
          <w:p w14:paraId="1BB7C568">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16盘位128路网络视频录像机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单机具备≥16个SATA3.0硬盘接口。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支持可扩展至≥48块硬盘；单盘最大支持10TB。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支持≥512Mbps视音频码流接入和存储；支持≥384Mbps视音频码流转发；支持≥192Mbps视音频码流解码回放。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应具有≥4个RJ45 10M/100M/1000M自适应以太网电口。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6、应具备16个硬盘一对一指示灯、运行指示灯（RUN）、告警指示灯（ALM）、网络状态指示灯（NET）、两个解码卡指示灯（SLOT0、SLOT1）、扩展柜指示灯（LINK）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支持112路1080P解码。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支持双BIOS模式，系统启动过程中，当主BIOS无法启动时，可从备份BIOS启动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9、支持电源模块热插拔，双电源工作时支持互为供电保护。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10、支持设备正常运行过程中，插拔前面板后不影响设备使用。</w:t>
            </w:r>
            <w:r>
              <w:rPr>
                <w:rFonts w:hint="eastAsia" w:ascii="宋体" w:hAnsi="宋体" w:eastAsia="宋体" w:cs="宋体"/>
                <w:i w:val="0"/>
                <w:iCs w:val="0"/>
                <w:color w:val="000000"/>
                <w:kern w:val="0"/>
                <w:sz w:val="21"/>
                <w:szCs w:val="21"/>
                <w:u w:val="none"/>
                <w:lang w:val="en-US" w:eastAsia="zh-CN" w:bidi="ar"/>
              </w:rPr>
              <w:br w:type="textWrapping"/>
            </w:r>
          </w:p>
        </w:tc>
        <w:tc>
          <w:tcPr>
            <w:tcW w:w="795" w:type="dxa"/>
            <w:shd w:val="clear" w:color="auto" w:fill="FFFFFF"/>
            <w:noWrap/>
            <w:vAlign w:val="center"/>
          </w:tcPr>
          <w:p w14:paraId="077788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23BB6B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6C8C90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BE5F6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4261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221DA4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20" w:type="dxa"/>
            <w:shd w:val="clear" w:color="auto" w:fill="FFFFFF"/>
            <w:noWrap/>
            <w:vAlign w:val="center"/>
          </w:tcPr>
          <w:p w14:paraId="1A292D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PDU电源</w:t>
            </w:r>
          </w:p>
        </w:tc>
        <w:tc>
          <w:tcPr>
            <w:tcW w:w="4288" w:type="dxa"/>
            <w:shd w:val="clear" w:color="auto" w:fill="FFFFFF"/>
            <w:vAlign w:val="center"/>
          </w:tcPr>
          <w:p w14:paraId="0C328BA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16A 8孔位</w:t>
            </w:r>
          </w:p>
        </w:tc>
        <w:tc>
          <w:tcPr>
            <w:tcW w:w="795" w:type="dxa"/>
            <w:shd w:val="clear" w:color="auto" w:fill="FFFFFF"/>
            <w:noWrap/>
            <w:vAlign w:val="center"/>
          </w:tcPr>
          <w:p w14:paraId="7B90E9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0" w:type="dxa"/>
            <w:shd w:val="clear" w:color="auto" w:fill="FFFFFF"/>
            <w:noWrap/>
            <w:vAlign w:val="center"/>
          </w:tcPr>
          <w:p w14:paraId="60F78F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375106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5BEE5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5054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4B9997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20" w:type="dxa"/>
            <w:shd w:val="clear" w:color="auto" w:fill="FFFFFF"/>
            <w:noWrap/>
            <w:vAlign w:val="center"/>
          </w:tcPr>
          <w:p w14:paraId="0B4791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理线架</w:t>
            </w:r>
          </w:p>
        </w:tc>
        <w:tc>
          <w:tcPr>
            <w:tcW w:w="4288" w:type="dxa"/>
            <w:shd w:val="clear" w:color="auto" w:fill="FFFFFF"/>
            <w:vAlign w:val="center"/>
          </w:tcPr>
          <w:p w14:paraId="33D6C01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理线架</w:t>
            </w:r>
          </w:p>
        </w:tc>
        <w:tc>
          <w:tcPr>
            <w:tcW w:w="795" w:type="dxa"/>
            <w:shd w:val="clear" w:color="auto" w:fill="FFFFFF"/>
            <w:noWrap/>
            <w:vAlign w:val="center"/>
          </w:tcPr>
          <w:p w14:paraId="3F9B1A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0" w:type="dxa"/>
            <w:shd w:val="clear" w:color="auto" w:fill="FFFFFF"/>
            <w:noWrap/>
            <w:vAlign w:val="center"/>
          </w:tcPr>
          <w:p w14:paraId="374F5E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2CCBD7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17F719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238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5EFBD8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20" w:type="dxa"/>
            <w:shd w:val="clear" w:color="auto" w:fill="FFFFFF"/>
            <w:noWrap/>
            <w:vAlign w:val="center"/>
          </w:tcPr>
          <w:p w14:paraId="7F97A6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光纤熔接及附属材料</w:t>
            </w:r>
          </w:p>
        </w:tc>
        <w:tc>
          <w:tcPr>
            <w:tcW w:w="4288" w:type="dxa"/>
            <w:shd w:val="clear" w:color="auto" w:fill="FFFFFF"/>
            <w:noWrap/>
            <w:vAlign w:val="center"/>
          </w:tcPr>
          <w:p w14:paraId="60489E8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光纤熔接及附属材料</w:t>
            </w:r>
          </w:p>
        </w:tc>
        <w:tc>
          <w:tcPr>
            <w:tcW w:w="795" w:type="dxa"/>
            <w:shd w:val="clear" w:color="auto" w:fill="FFFFFF"/>
            <w:noWrap/>
            <w:vAlign w:val="center"/>
          </w:tcPr>
          <w:p w14:paraId="4B7F4F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33CAD4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125148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4418C2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602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6E5532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20" w:type="dxa"/>
            <w:shd w:val="clear" w:color="auto" w:fill="FFFFFF"/>
            <w:noWrap/>
            <w:vAlign w:val="center"/>
          </w:tcPr>
          <w:p w14:paraId="1355D0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监控存储硬盘</w:t>
            </w:r>
          </w:p>
        </w:tc>
        <w:tc>
          <w:tcPr>
            <w:tcW w:w="4288" w:type="dxa"/>
            <w:shd w:val="clear" w:color="auto" w:fill="FFFFFF"/>
            <w:noWrap/>
            <w:vAlign w:val="center"/>
          </w:tcPr>
          <w:p w14:paraId="6121588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大于等于8TB硬盘</w:t>
            </w:r>
          </w:p>
        </w:tc>
        <w:tc>
          <w:tcPr>
            <w:tcW w:w="795" w:type="dxa"/>
            <w:shd w:val="clear" w:color="auto" w:fill="FFFFFF"/>
            <w:noWrap/>
            <w:vAlign w:val="center"/>
          </w:tcPr>
          <w:p w14:paraId="63F91BD0">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70" w:type="dxa"/>
            <w:shd w:val="clear" w:color="auto" w:fill="FFFFFF"/>
            <w:noWrap/>
            <w:vAlign w:val="center"/>
          </w:tcPr>
          <w:p w14:paraId="2A6205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25" w:type="dxa"/>
            <w:shd w:val="clear" w:color="auto" w:fill="FFFFFF"/>
            <w:noWrap/>
            <w:vAlign w:val="center"/>
          </w:tcPr>
          <w:p w14:paraId="520EB8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7C360F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1C86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763" w:type="dxa"/>
            <w:shd w:val="clear" w:color="auto" w:fill="auto"/>
            <w:noWrap/>
            <w:vAlign w:val="center"/>
          </w:tcPr>
          <w:p w14:paraId="7D7D49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20" w:type="dxa"/>
            <w:shd w:val="clear" w:color="auto" w:fill="FFFFFF"/>
            <w:noWrap/>
            <w:vAlign w:val="center"/>
          </w:tcPr>
          <w:p w14:paraId="487E36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4288" w:type="dxa"/>
            <w:shd w:val="clear" w:color="auto" w:fill="FFFFFF"/>
            <w:vAlign w:val="center"/>
          </w:tcPr>
          <w:p w14:paraId="2A6F9D6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1.★交换机具有以下性能：交换容量≥660Gbps，包转发率≥150Mpps，交换容量及包转发率以数字最小的为准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2.交换机：24个千兆POE电口，4个1G/2.5G SFP光口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3.交换机支持POE供电，且支持IEEE 802.3af/at供电标准，整机最大输出功率≥370W。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4.支持IGMP v1/v2/v3 Snooping，支持STP、RSTP、MSTP协议。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5.★交换机支持通过Web页面对交换机进行可视化管理查看，包括交换机的端口状态及配置、vlan信息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6.★交换机支持M-LAG技术，跨设备链路聚合（非堆叠技术实现），配对的设备有独立的控制平面。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7.交换机支持二层广播自动发现网管中心平台；支持配置静态IP地址三层发现网管中心平台；支持DNS域名发现网管中心平台。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8.基于交换机接入终端安全的考虑，交换机具有终端类型库，基于指纹自动识别PC、路由器、摄像头设备、无线AP等。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9.支持在交换机上创建横向安全策略，实现全网安全风险拦截；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10.为保证设备在受到外界机械碰撞时能够正常运行，交换机IK防护测试级别至少达到IK06；</w:t>
            </w:r>
          </w:p>
        </w:tc>
        <w:tc>
          <w:tcPr>
            <w:tcW w:w="795" w:type="dxa"/>
            <w:shd w:val="clear" w:color="auto" w:fill="FFFFFF"/>
            <w:noWrap/>
            <w:vAlign w:val="center"/>
          </w:tcPr>
          <w:p w14:paraId="686347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0" w:type="dxa"/>
            <w:shd w:val="clear" w:color="auto" w:fill="FFFFFF"/>
            <w:noWrap/>
            <w:vAlign w:val="center"/>
          </w:tcPr>
          <w:p w14:paraId="0A227F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31D64F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2AA49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42D5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63" w:type="dxa"/>
            <w:shd w:val="clear" w:color="auto" w:fill="auto"/>
            <w:noWrap/>
            <w:vAlign w:val="center"/>
          </w:tcPr>
          <w:p w14:paraId="7753D5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20" w:type="dxa"/>
            <w:shd w:val="clear" w:color="auto" w:fill="FFFFFF"/>
            <w:noWrap/>
            <w:vAlign w:val="center"/>
          </w:tcPr>
          <w:p w14:paraId="160E4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面板AP</w:t>
            </w:r>
          </w:p>
        </w:tc>
        <w:tc>
          <w:tcPr>
            <w:tcW w:w="4288" w:type="dxa"/>
            <w:shd w:val="clear" w:color="auto" w:fill="FFFFFF"/>
            <w:vAlign w:val="center"/>
          </w:tcPr>
          <w:p w14:paraId="6DE668BF">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1.为了符合无线AP实际应用需要，要求所投产品支持802.11ax 协议，同时兼容802.11a/b/g/n/ac协议，支持2.4G和5G同时工作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2.为了符合无线AP实际应用需要，整机采用三射频设计，整机6条流，整机最大传输速率≥3.8Gbps，提供官网截图及官网链接证明，并加盖公章。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3.为了符合无线AP实际接口应用需要，要求所投产品具有千兆以太网口≥5个，提供官网截图及官网链接证明，并加盖公章。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4.支持对无线网络环境指标进行检测，包括信道总利用率、Wi-Fi信道利用率、非Wi-Fi信道利用率、同频AP数量等，以方便对网络质量进行排查。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5.★所投设备需要接入现有网络管理中心进行可视化统一管理，需提供对接声明函。</w:t>
            </w:r>
          </w:p>
        </w:tc>
        <w:tc>
          <w:tcPr>
            <w:tcW w:w="795" w:type="dxa"/>
            <w:shd w:val="clear" w:color="auto" w:fill="FFFFFF"/>
            <w:noWrap/>
            <w:vAlign w:val="center"/>
          </w:tcPr>
          <w:p w14:paraId="1527FE30">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870" w:type="dxa"/>
            <w:shd w:val="clear" w:color="auto" w:fill="FFFFFF"/>
            <w:noWrap/>
            <w:vAlign w:val="center"/>
          </w:tcPr>
          <w:p w14:paraId="5130AD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3129DD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B15D6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2CE1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3" w:type="dxa"/>
            <w:shd w:val="clear" w:color="auto" w:fill="auto"/>
            <w:noWrap/>
            <w:vAlign w:val="center"/>
          </w:tcPr>
          <w:p w14:paraId="0B48E4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20" w:type="dxa"/>
            <w:shd w:val="clear" w:color="auto" w:fill="FFFFFF"/>
            <w:noWrap/>
            <w:vAlign w:val="center"/>
          </w:tcPr>
          <w:p w14:paraId="3A7443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网络控制器授权</w:t>
            </w:r>
          </w:p>
        </w:tc>
        <w:tc>
          <w:tcPr>
            <w:tcW w:w="4288" w:type="dxa"/>
            <w:shd w:val="clear" w:color="auto" w:fill="FFFFFF"/>
            <w:vAlign w:val="center"/>
          </w:tcPr>
          <w:p w14:paraId="0E00E4A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1★.控制器AP接入授权配置不少于75个，交换机接入授权配置不少于16个。</w:t>
            </w:r>
          </w:p>
        </w:tc>
        <w:tc>
          <w:tcPr>
            <w:tcW w:w="795" w:type="dxa"/>
            <w:shd w:val="clear" w:color="auto" w:fill="FFFFFF"/>
            <w:noWrap/>
            <w:vAlign w:val="center"/>
          </w:tcPr>
          <w:p w14:paraId="5F12BF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78A89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5ACB54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2DB325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C8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shd w:val="clear" w:color="auto" w:fill="auto"/>
            <w:noWrap/>
            <w:vAlign w:val="center"/>
          </w:tcPr>
          <w:p w14:paraId="63FB76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20" w:type="dxa"/>
            <w:shd w:val="clear" w:color="auto" w:fill="FFFFFF"/>
            <w:noWrap/>
            <w:vAlign w:val="center"/>
          </w:tcPr>
          <w:p w14:paraId="0C7EED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IP音箱（含软件）</w:t>
            </w:r>
          </w:p>
        </w:tc>
        <w:tc>
          <w:tcPr>
            <w:tcW w:w="4288" w:type="dxa"/>
            <w:shd w:val="clear" w:color="auto" w:fill="FFFFFF"/>
            <w:vAlign w:val="center"/>
          </w:tcPr>
          <w:p w14:paraId="1F4322D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1.终端设备采用壁挂式设计，自带≥2×60W功率放大器模块。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2.支持离线自动播放功能。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3.具备≥1路AUX音频输入接口、≥1组MIC输入接口、≥1路EMC紧急输入接口、≥1路Line out独立音频输出接口。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4.★内置100V定压信号备份模块，当网络异常时或设备断电时，自动从数字网络广播切换到模拟定压广播，模拟信号输出到喇叭。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5.自带LED显示屏，支持显示系统时间，可实时同步显示服务器时间。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6.内置2.4G无线音频模块。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7.★多功能话筒支持调节2.4G麦克风音量功能，支持录音功能，带激光笔和PPT翻页功能。</w:t>
            </w:r>
          </w:p>
        </w:tc>
        <w:tc>
          <w:tcPr>
            <w:tcW w:w="795" w:type="dxa"/>
            <w:shd w:val="clear" w:color="auto" w:fill="FFFFFF"/>
            <w:noWrap/>
            <w:vAlign w:val="center"/>
          </w:tcPr>
          <w:p w14:paraId="6728737D">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70" w:type="dxa"/>
            <w:shd w:val="clear" w:color="auto" w:fill="FFFFFF"/>
            <w:noWrap/>
            <w:vAlign w:val="center"/>
          </w:tcPr>
          <w:p w14:paraId="14C811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17EDC0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50F8D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484B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763" w:type="dxa"/>
            <w:shd w:val="clear" w:color="auto" w:fill="auto"/>
            <w:noWrap/>
            <w:vAlign w:val="center"/>
          </w:tcPr>
          <w:p w14:paraId="197632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20" w:type="dxa"/>
            <w:shd w:val="clear" w:color="auto" w:fill="FFFFFF"/>
            <w:noWrap/>
            <w:vAlign w:val="center"/>
          </w:tcPr>
          <w:p w14:paraId="2D62F7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IP网络功放终端</w:t>
            </w:r>
          </w:p>
        </w:tc>
        <w:tc>
          <w:tcPr>
            <w:tcW w:w="4288" w:type="dxa"/>
            <w:shd w:val="clear" w:color="auto" w:fill="FFFFFF"/>
            <w:vAlign w:val="center"/>
          </w:tcPr>
          <w:p w14:paraId="1FE8B4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★1.设备采用≥19英寸机架式设计，自带TFT真彩液晶显示屏、≥21颗工业金属按键，支持红外接收功能。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2.图形化UI界面显示，可调节网络节目、本地MIC、本地AUX的音量。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3.支持离线自动播放功能。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4.集成USB和Micro SD(TF)卡接口，可实现音频文件本地播放，也可将本机的USB和TF卡、系统媒体库的内容自由点播至权限范围内的其他终端播放。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5.内置≥500W定阻（4-16Ω）/定压（70V/100V）功率输出，支持外接音箱。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6.具备≥1路AUX音频输入接口、≥1组MIC输入接口、≥1路EMC紧急输入接口、≥1路Line out独立音频输出接口、≥1路监听MIC。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7.支持≥2路短路输出接口，≥2路短路输入接口。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8.支持短路触发自定义执行任务功能，可实现本地媒体播放、本地接收频道广播、消防报警、录音、发短信、发送邮件、弹窗提醒。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9.具备≥1路三线制音控的强切接口。</w:t>
            </w:r>
          </w:p>
        </w:tc>
        <w:tc>
          <w:tcPr>
            <w:tcW w:w="795" w:type="dxa"/>
            <w:shd w:val="clear" w:color="auto" w:fill="FFFFFF"/>
            <w:noWrap/>
            <w:vAlign w:val="center"/>
          </w:tcPr>
          <w:p w14:paraId="0248F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21DF71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714129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115C54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AFA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63" w:type="dxa"/>
            <w:shd w:val="clear" w:color="auto" w:fill="auto"/>
            <w:noWrap/>
            <w:vAlign w:val="center"/>
          </w:tcPr>
          <w:p w14:paraId="292CB9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20" w:type="dxa"/>
            <w:shd w:val="clear" w:color="auto" w:fill="FFFFFF"/>
            <w:noWrap/>
            <w:vAlign w:val="center"/>
          </w:tcPr>
          <w:p w14:paraId="3EE8B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壁挂音箱</w:t>
            </w:r>
          </w:p>
        </w:tc>
        <w:tc>
          <w:tcPr>
            <w:tcW w:w="4288" w:type="dxa"/>
            <w:shd w:val="clear" w:color="auto" w:fill="FFFFFF"/>
            <w:vAlign w:val="center"/>
          </w:tcPr>
          <w:p w14:paraId="6153743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1．额定功率（100V）：3W,6W,10W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2．额定功率（70V）：1.5W,3W,5W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3．灵敏度：91dB±3dB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4．频率响应：130Hz-18KHz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5．喇叭单元：6.5"×1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6．防护等级：≥IP5X</w:t>
            </w:r>
          </w:p>
        </w:tc>
        <w:tc>
          <w:tcPr>
            <w:tcW w:w="795" w:type="dxa"/>
            <w:shd w:val="clear" w:color="auto" w:fill="FFFFFF"/>
            <w:noWrap/>
            <w:vAlign w:val="center"/>
          </w:tcPr>
          <w:p w14:paraId="53293129">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0" w:type="dxa"/>
            <w:shd w:val="clear" w:color="auto" w:fill="FFFFFF"/>
            <w:noWrap/>
            <w:vAlign w:val="center"/>
          </w:tcPr>
          <w:p w14:paraId="5B8D35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0E92E6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1A95CD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3EB5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shd w:val="clear" w:color="auto" w:fill="auto"/>
            <w:noWrap/>
            <w:vAlign w:val="center"/>
          </w:tcPr>
          <w:p w14:paraId="04A7A3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20" w:type="dxa"/>
            <w:shd w:val="clear" w:color="auto" w:fill="FFFFFF"/>
            <w:vAlign w:val="center"/>
          </w:tcPr>
          <w:p w14:paraId="6D7DDE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电子督学网络摄像机（老师端）</w:t>
            </w:r>
          </w:p>
        </w:tc>
        <w:tc>
          <w:tcPr>
            <w:tcW w:w="4288" w:type="dxa"/>
            <w:shd w:val="clear" w:color="auto" w:fill="FFFFFF"/>
            <w:vAlign w:val="center"/>
          </w:tcPr>
          <w:p w14:paraId="2B70B61C">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1.采用≥1/2.7″逐行扫描不小于500万像素图像传感器，焦距范围：2.7～13.5mm电动变焦。</w:t>
            </w:r>
            <w:r>
              <w:rPr>
                <w:rFonts w:hint="eastAsia" w:ascii="宋体" w:hAnsi="宋体" w:eastAsia="宋体" w:cs="宋体"/>
                <w:i w:val="0"/>
                <w:iCs w:val="0"/>
                <w:color w:val="000000"/>
                <w:kern w:val="0"/>
                <w:sz w:val="21"/>
                <w:szCs w:val="21"/>
                <w:u w:val="none"/>
                <w:lang w:val="en-US" w:eastAsia="zh-CN" w:bidi="ar"/>
              </w:rPr>
              <w:br w:type="textWrapping"/>
            </w:r>
          </w:p>
        </w:tc>
        <w:tc>
          <w:tcPr>
            <w:tcW w:w="795" w:type="dxa"/>
            <w:shd w:val="clear" w:color="auto" w:fill="FFFFFF"/>
            <w:noWrap/>
            <w:vAlign w:val="center"/>
          </w:tcPr>
          <w:p w14:paraId="5A9EEB7E">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70" w:type="dxa"/>
            <w:shd w:val="clear" w:color="auto" w:fill="FFFFFF"/>
            <w:noWrap/>
            <w:vAlign w:val="center"/>
          </w:tcPr>
          <w:p w14:paraId="07228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3EBC8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5E7A92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5516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3" w:type="dxa"/>
            <w:shd w:val="clear" w:color="auto" w:fill="auto"/>
            <w:noWrap/>
            <w:vAlign w:val="center"/>
          </w:tcPr>
          <w:p w14:paraId="0D1C32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20" w:type="dxa"/>
            <w:shd w:val="clear" w:color="auto" w:fill="FFFFFF"/>
            <w:noWrap/>
            <w:vAlign w:val="center"/>
          </w:tcPr>
          <w:p w14:paraId="7AB418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终端盒</w:t>
            </w:r>
          </w:p>
        </w:tc>
        <w:tc>
          <w:tcPr>
            <w:tcW w:w="4288" w:type="dxa"/>
            <w:shd w:val="clear" w:color="auto" w:fill="FFFFFF"/>
            <w:vAlign w:val="center"/>
          </w:tcPr>
          <w:p w14:paraId="33E307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终端盒（电源放置整理）</w:t>
            </w:r>
          </w:p>
        </w:tc>
        <w:tc>
          <w:tcPr>
            <w:tcW w:w="795" w:type="dxa"/>
            <w:shd w:val="clear" w:color="auto" w:fill="FFFFFF"/>
            <w:noWrap/>
            <w:vAlign w:val="center"/>
          </w:tcPr>
          <w:p w14:paraId="49EA5C77">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70" w:type="dxa"/>
            <w:shd w:val="clear" w:color="auto" w:fill="FFFFFF"/>
            <w:noWrap/>
            <w:vAlign w:val="center"/>
          </w:tcPr>
          <w:p w14:paraId="6B36E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25" w:type="dxa"/>
            <w:shd w:val="clear" w:color="auto" w:fill="FFFFFF"/>
            <w:noWrap/>
            <w:vAlign w:val="center"/>
          </w:tcPr>
          <w:p w14:paraId="69B52B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621488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6E8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63" w:type="dxa"/>
            <w:shd w:val="clear" w:color="auto" w:fill="auto"/>
            <w:noWrap/>
            <w:vAlign w:val="center"/>
          </w:tcPr>
          <w:p w14:paraId="42F02D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20" w:type="dxa"/>
            <w:shd w:val="clear" w:color="auto" w:fill="FFFFFF"/>
            <w:vAlign w:val="center"/>
          </w:tcPr>
          <w:p w14:paraId="46AC0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16盘位64路网络视频录像机</w:t>
            </w:r>
          </w:p>
        </w:tc>
        <w:tc>
          <w:tcPr>
            <w:tcW w:w="4288" w:type="dxa"/>
            <w:shd w:val="clear" w:color="auto" w:fill="FFFFFF"/>
            <w:vAlign w:val="center"/>
          </w:tcPr>
          <w:p w14:paraId="569986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盘位:16盘位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硬盘容量:每个接口均支持500GB/1TB/2TB/3TB/4TB/5TB/6TB/8TB/10TB/12TB/14TB/16TB等容量硬盘</w:t>
            </w:r>
          </w:p>
        </w:tc>
        <w:tc>
          <w:tcPr>
            <w:tcW w:w="795" w:type="dxa"/>
            <w:shd w:val="clear" w:color="auto" w:fill="FFFFFF"/>
            <w:noWrap/>
            <w:vAlign w:val="center"/>
          </w:tcPr>
          <w:p w14:paraId="212091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0" w:type="dxa"/>
            <w:shd w:val="clear" w:color="auto" w:fill="FFFFFF"/>
            <w:noWrap/>
            <w:vAlign w:val="center"/>
          </w:tcPr>
          <w:p w14:paraId="2D16CE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59B3F2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840" w:type="dxa"/>
            <w:shd w:val="clear" w:color="auto" w:fill="auto"/>
            <w:noWrap/>
            <w:vAlign w:val="center"/>
          </w:tcPr>
          <w:p w14:paraId="0F83DC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7C8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63" w:type="dxa"/>
            <w:shd w:val="clear" w:color="auto" w:fill="auto"/>
            <w:noWrap/>
            <w:vAlign w:val="center"/>
          </w:tcPr>
          <w:p w14:paraId="7FA6D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20" w:type="dxa"/>
            <w:shd w:val="clear" w:color="auto" w:fill="auto"/>
            <w:noWrap/>
            <w:vAlign w:val="center"/>
          </w:tcPr>
          <w:p w14:paraId="6D0FE9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4288" w:type="dxa"/>
            <w:shd w:val="clear" w:color="auto" w:fill="auto"/>
            <w:vAlign w:val="center"/>
          </w:tcPr>
          <w:p w14:paraId="22F35983">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输入电压:70-100V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灵敏度:≥92dB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最大声压级:≥110dB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频响:80-16000Hz</w:t>
            </w:r>
          </w:p>
        </w:tc>
        <w:tc>
          <w:tcPr>
            <w:tcW w:w="795" w:type="dxa"/>
            <w:shd w:val="clear" w:color="auto" w:fill="auto"/>
            <w:noWrap/>
            <w:vAlign w:val="center"/>
          </w:tcPr>
          <w:p w14:paraId="75AEB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0" w:type="dxa"/>
            <w:shd w:val="clear" w:color="auto" w:fill="FFFFFF"/>
            <w:noWrap/>
            <w:vAlign w:val="center"/>
          </w:tcPr>
          <w:p w14:paraId="29EF2C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6447A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695517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76B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63" w:type="dxa"/>
            <w:shd w:val="clear" w:color="auto" w:fill="auto"/>
            <w:noWrap/>
            <w:vAlign w:val="center"/>
          </w:tcPr>
          <w:p w14:paraId="758DA8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20" w:type="dxa"/>
            <w:shd w:val="clear" w:color="auto" w:fill="auto"/>
            <w:noWrap/>
            <w:vAlign w:val="center"/>
          </w:tcPr>
          <w:p w14:paraId="791346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p>
        </w:tc>
        <w:tc>
          <w:tcPr>
            <w:tcW w:w="4288" w:type="dxa"/>
            <w:shd w:val="clear" w:color="auto" w:fill="auto"/>
            <w:vAlign w:val="center"/>
          </w:tcPr>
          <w:p w14:paraId="1B63BE5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三路线路输入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二路话筒输入，话筒2具备默音强插功能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数字显屏，可插U盘/SD卡播放MP3音乐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内置FM收音功能，有遥控控制功能，带蓝牙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有可靠的短路、 过载保护装置</w:t>
            </w:r>
          </w:p>
        </w:tc>
        <w:tc>
          <w:tcPr>
            <w:tcW w:w="795" w:type="dxa"/>
            <w:shd w:val="clear" w:color="auto" w:fill="auto"/>
            <w:noWrap/>
            <w:vAlign w:val="center"/>
          </w:tcPr>
          <w:p w14:paraId="7E7F6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0" w:type="dxa"/>
            <w:shd w:val="clear" w:color="auto" w:fill="FFFFFF"/>
            <w:noWrap/>
            <w:vAlign w:val="center"/>
          </w:tcPr>
          <w:p w14:paraId="02D264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25" w:type="dxa"/>
            <w:shd w:val="clear" w:color="auto" w:fill="FFFFFF"/>
            <w:noWrap/>
            <w:vAlign w:val="center"/>
          </w:tcPr>
          <w:p w14:paraId="4F1136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1F7D47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757D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763" w:type="dxa"/>
            <w:shd w:val="clear" w:color="auto" w:fill="auto"/>
            <w:noWrap/>
            <w:vAlign w:val="center"/>
          </w:tcPr>
          <w:p w14:paraId="0513D4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20" w:type="dxa"/>
            <w:shd w:val="clear" w:color="auto" w:fill="auto"/>
            <w:vAlign w:val="center"/>
          </w:tcPr>
          <w:p w14:paraId="15CD53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远距离无线话筒</w:t>
            </w:r>
          </w:p>
        </w:tc>
        <w:tc>
          <w:tcPr>
            <w:tcW w:w="4288" w:type="dxa"/>
            <w:shd w:val="clear" w:color="auto" w:fill="auto"/>
            <w:vAlign w:val="center"/>
          </w:tcPr>
          <w:p w14:paraId="7EAC4111">
            <w:pPr>
              <w:keepNext w:val="0"/>
              <w:keepLines w:val="0"/>
              <w:pageBreakBefore w:val="0"/>
              <w:widowControl/>
              <w:suppressLineNumbers w:val="0"/>
              <w:kinsoku/>
              <w:wordWrap/>
              <w:overflowPunct/>
              <w:topLinePunct w:val="0"/>
              <w:autoSpaceDE/>
              <w:autoSpaceDN/>
              <w:bidi w:val="0"/>
              <w:adjustRightInd/>
              <w:snapToGrid/>
              <w:spacing w:afterAutospacing="0"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1.发射机工作频率范围：610MHz----890MHz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2.输入信号强度净空比：&gt;15db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3.频道数量：≥200个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4.发射射频功率：≤20mW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5.射频制噪声：﹤-65dBc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6.射频调制制度：≤±20—100KHz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7.信噪比：﹤-95db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8.音频隔离度：&gt;60db</w:t>
            </w:r>
          </w:p>
        </w:tc>
        <w:tc>
          <w:tcPr>
            <w:tcW w:w="795" w:type="dxa"/>
            <w:shd w:val="clear" w:color="auto" w:fill="auto"/>
            <w:noWrap/>
            <w:vAlign w:val="center"/>
          </w:tcPr>
          <w:p w14:paraId="1F91BC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0" w:type="dxa"/>
            <w:shd w:val="clear" w:color="auto" w:fill="FFFFFF"/>
            <w:noWrap/>
            <w:vAlign w:val="center"/>
          </w:tcPr>
          <w:p w14:paraId="785F5B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3D59D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41452C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2C8F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trPr>
        <w:tc>
          <w:tcPr>
            <w:tcW w:w="763" w:type="dxa"/>
            <w:shd w:val="clear" w:color="auto" w:fill="auto"/>
            <w:noWrap/>
            <w:vAlign w:val="center"/>
          </w:tcPr>
          <w:p w14:paraId="7D923F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20" w:type="dxa"/>
            <w:shd w:val="clear" w:color="auto" w:fill="auto"/>
            <w:vAlign w:val="center"/>
          </w:tcPr>
          <w:p w14:paraId="23B09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电子班牌</w:t>
            </w:r>
          </w:p>
        </w:tc>
        <w:tc>
          <w:tcPr>
            <w:tcW w:w="4288" w:type="dxa"/>
            <w:shd w:val="clear" w:color="auto" w:fill="auto"/>
            <w:vAlign w:val="center"/>
          </w:tcPr>
          <w:p w14:paraId="08605618">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1.★采用≥21.5英寸横屏式电容显示屏，支持≥10点触控，屏幕分辨率≥1920*1080，显示比例16:9；屏幕亮度≥250cd/㎡。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2.整机采用防水防尘结构设计，适用于学校教室半户外环境，防护等级不低于≥IP65。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3.整机背部与墙面微距全贴合，背面与平整墙面间隙最大处≤2.5mm，保障教学环境的安全性。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4.可拍摄不低于600W像素的照片，支持不少于5人同时进行人脸识别。可支持学生无卡考勤签到、查看个人课程表、家长留言等个人信息。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5.★内置高灵敏度的全向麦克风，拾音半径不小于0.5m，支持学生语音留言，留言内容同步发送至家长微信。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6.内置2.0立体声道功放，支持视频及家长留言的音频播放。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7.刷卡器：具有内置IC卡刷卡器，支持14443协议。学生可佩带相应的终端设备完成刷卡签到、查看个人信息等操作。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8.整机具备至少一路RJ45网络接口；具备不少于2路USB 2.0接口。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9.整机采用内置天线设计，无任何天线外露。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10.整机支持外接门禁及串口接口。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11.★系统运行内存不低于2GB，存储容量不低于8GB；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12.★整机CPU≥4核，最高主频≥1.9G，操作系统版本不低于Android 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13.整机电源采用插墙式电源适配器，适配器无需悬挂，线材上出。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14.支持远程开关机功能，远程唤醒待机功耗≤2W。</w:t>
            </w:r>
          </w:p>
        </w:tc>
        <w:tc>
          <w:tcPr>
            <w:tcW w:w="795" w:type="dxa"/>
            <w:shd w:val="clear" w:color="auto" w:fill="auto"/>
            <w:noWrap/>
            <w:vAlign w:val="center"/>
          </w:tcPr>
          <w:p w14:paraId="3E41EB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0" w:type="dxa"/>
            <w:shd w:val="clear" w:color="auto" w:fill="FFFFFF"/>
            <w:noWrap/>
            <w:vAlign w:val="center"/>
          </w:tcPr>
          <w:p w14:paraId="6FF4EF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shd w:val="clear" w:color="auto" w:fill="FFFFFF"/>
            <w:noWrap/>
            <w:vAlign w:val="center"/>
          </w:tcPr>
          <w:p w14:paraId="4629BF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12606B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r w14:paraId="0592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3" w:type="dxa"/>
            <w:shd w:val="clear" w:color="auto" w:fill="auto"/>
            <w:noWrap/>
            <w:vAlign w:val="center"/>
          </w:tcPr>
          <w:p w14:paraId="152DAFD4">
            <w:pPr>
              <w:keepNext w:val="0"/>
              <w:keepLines w:val="0"/>
              <w:pageBreakBefore w:val="0"/>
              <w:widowControl/>
              <w:kinsoku/>
              <w:wordWrap/>
              <w:overflowPunct/>
              <w:topLinePunct w:val="0"/>
              <w:autoSpaceDE/>
              <w:autoSpaceDN/>
              <w:bidi w:val="0"/>
              <w:adjustRightInd/>
              <w:snapToGrid/>
              <w:spacing w:after="0" w:line="0" w:lineRule="atLeast"/>
              <w:jc w:val="center"/>
              <w:rPr>
                <w:rFonts w:hint="eastAsia" w:ascii="宋体" w:hAnsi="宋体" w:eastAsia="宋体" w:cs="宋体"/>
                <w:i w:val="0"/>
                <w:iCs w:val="0"/>
                <w:color w:val="000000"/>
                <w:sz w:val="21"/>
                <w:szCs w:val="21"/>
                <w:u w:val="none"/>
              </w:rPr>
            </w:pPr>
          </w:p>
        </w:tc>
        <w:tc>
          <w:tcPr>
            <w:tcW w:w="5908" w:type="dxa"/>
            <w:gridSpan w:val="2"/>
            <w:shd w:val="clear" w:color="auto" w:fill="auto"/>
            <w:vAlign w:val="center"/>
          </w:tcPr>
          <w:p w14:paraId="1464FF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795" w:type="dxa"/>
            <w:shd w:val="clear" w:color="auto" w:fill="auto"/>
            <w:noWrap/>
            <w:vAlign w:val="center"/>
          </w:tcPr>
          <w:p w14:paraId="154B869E">
            <w:pPr>
              <w:keepNext w:val="0"/>
              <w:keepLines w:val="0"/>
              <w:pageBreakBefore w:val="0"/>
              <w:widowControl/>
              <w:kinsoku/>
              <w:wordWrap/>
              <w:overflowPunct/>
              <w:topLinePunct w:val="0"/>
              <w:autoSpaceDE/>
              <w:autoSpaceDN/>
              <w:bidi w:val="0"/>
              <w:adjustRightInd/>
              <w:snapToGrid/>
              <w:spacing w:after="0" w:line="0" w:lineRule="atLeast"/>
              <w:rPr>
                <w:rFonts w:hint="eastAsia" w:ascii="宋体" w:hAnsi="宋体" w:eastAsia="宋体" w:cs="宋体"/>
                <w:i w:val="0"/>
                <w:iCs w:val="0"/>
                <w:color w:val="000000"/>
                <w:sz w:val="21"/>
                <w:szCs w:val="21"/>
                <w:u w:val="none"/>
              </w:rPr>
            </w:pPr>
          </w:p>
        </w:tc>
        <w:tc>
          <w:tcPr>
            <w:tcW w:w="870" w:type="dxa"/>
            <w:shd w:val="clear" w:color="auto" w:fill="auto"/>
            <w:noWrap/>
            <w:vAlign w:val="center"/>
          </w:tcPr>
          <w:p w14:paraId="64947B62">
            <w:pPr>
              <w:keepNext w:val="0"/>
              <w:keepLines w:val="0"/>
              <w:pageBreakBefore w:val="0"/>
              <w:widowControl/>
              <w:kinsoku/>
              <w:wordWrap/>
              <w:overflowPunct/>
              <w:topLinePunct w:val="0"/>
              <w:autoSpaceDE/>
              <w:autoSpaceDN/>
              <w:bidi w:val="0"/>
              <w:adjustRightInd/>
              <w:snapToGrid/>
              <w:spacing w:after="0" w:line="0" w:lineRule="atLeast"/>
              <w:rPr>
                <w:rFonts w:hint="eastAsia" w:ascii="宋体" w:hAnsi="宋体" w:eastAsia="宋体" w:cs="宋体"/>
                <w:i w:val="0"/>
                <w:iCs w:val="0"/>
                <w:color w:val="000000"/>
                <w:sz w:val="21"/>
                <w:szCs w:val="21"/>
                <w:u w:val="none"/>
              </w:rPr>
            </w:pPr>
          </w:p>
        </w:tc>
        <w:tc>
          <w:tcPr>
            <w:tcW w:w="825" w:type="dxa"/>
            <w:shd w:val="clear" w:color="auto" w:fill="auto"/>
            <w:noWrap/>
            <w:vAlign w:val="center"/>
          </w:tcPr>
          <w:p w14:paraId="710AB95A">
            <w:pPr>
              <w:keepNext w:val="0"/>
              <w:keepLines w:val="0"/>
              <w:pageBreakBefore w:val="0"/>
              <w:widowControl/>
              <w:kinsoku/>
              <w:wordWrap/>
              <w:overflowPunct/>
              <w:topLinePunct w:val="0"/>
              <w:autoSpaceDE/>
              <w:autoSpaceDN/>
              <w:bidi w:val="0"/>
              <w:adjustRightInd/>
              <w:snapToGrid/>
              <w:spacing w:after="0" w:line="0" w:lineRule="atLeast"/>
              <w:rPr>
                <w:rFonts w:hint="eastAsia" w:ascii="宋体" w:hAnsi="宋体" w:eastAsia="宋体" w:cs="宋体"/>
                <w:i w:val="0"/>
                <w:iCs w:val="0"/>
                <w:color w:val="000000"/>
                <w:sz w:val="21"/>
                <w:szCs w:val="21"/>
                <w:u w:val="none"/>
              </w:rPr>
            </w:pPr>
          </w:p>
        </w:tc>
        <w:tc>
          <w:tcPr>
            <w:tcW w:w="840" w:type="dxa"/>
            <w:shd w:val="clear" w:color="auto" w:fill="auto"/>
            <w:noWrap/>
            <w:vAlign w:val="center"/>
          </w:tcPr>
          <w:p w14:paraId="3FBDB2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p>
        </w:tc>
      </w:tr>
    </w:tbl>
    <w:p w14:paraId="54D00B4C"/>
    <w:p w14:paraId="10A3EF45">
      <w:pPr>
        <w:bidi w:val="0"/>
        <w:ind w:left="0" w:leftChars="0" w:firstLine="2520" w:firstLineChars="70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816641"/>
      <w:bookmarkStart w:id="14" w:name="_Toc534725612"/>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816644"/>
      <w:bookmarkStart w:id="16" w:name="_Toc534725615"/>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宋体-18030">
    <w:altName w:val="微软雅黑"/>
    <w:panose1 w:val="00000000000000000000"/>
    <w:charset w:val="00"/>
    <w:family w:val="modern"/>
    <w:pitch w:val="default"/>
    <w:sig w:usb0="00000000" w:usb1="00000000" w:usb2="000A005E"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8DC404C"/>
    <w:rsid w:val="0BC85EBA"/>
    <w:rsid w:val="14DA3E5C"/>
    <w:rsid w:val="2EF45939"/>
    <w:rsid w:val="39673821"/>
    <w:rsid w:val="3F546C30"/>
    <w:rsid w:val="40275F23"/>
    <w:rsid w:val="439310D5"/>
    <w:rsid w:val="44562954"/>
    <w:rsid w:val="44A13AFB"/>
    <w:rsid w:val="478A3081"/>
    <w:rsid w:val="48471EAF"/>
    <w:rsid w:val="4FF11EB6"/>
    <w:rsid w:val="53900F1E"/>
    <w:rsid w:val="594E0129"/>
    <w:rsid w:val="5B0D0FA4"/>
    <w:rsid w:val="5DC17BD1"/>
    <w:rsid w:val="5FD42F5A"/>
    <w:rsid w:val="5FDC33D5"/>
    <w:rsid w:val="682364C7"/>
    <w:rsid w:val="6BA6681F"/>
    <w:rsid w:val="73526DFB"/>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16189</Words>
  <Characters>17574</Characters>
  <Lines>0</Lines>
  <Paragraphs>0</Paragraphs>
  <TotalTime>15</TotalTime>
  <ScaleCrop>false</ScaleCrop>
  <LinksUpToDate>false</LinksUpToDate>
  <CharactersWithSpaces>18409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2025-07-04T05:10:32Z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AAD392C02B99438BB5D9DB3357F451EE_13</vt:lpwstr>
  </property>
  <property fmtid="{D5CDD505-2E9C-101B-9397-08002B2CF9AE}" pid="4" name="KSOTemplateDocerSaveRecord">
    <vt:lpwstr>eyJoZGlkIjoiYzUwNmZjNzc3MjU4YTBkMjM1YTc4ZDI3YmJmOWVmMzAiLCJ1c2VySWQiOiIzODg0MjY2NjMifQ==</vt:lpwstr>
  </property>
</Properties>
</file>