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05-1</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14:paraId="4114E215">
      <w:pPr>
        <w:topLinePunct/>
        <w:spacing w:line="360" w:lineRule="auto"/>
        <w:ind w:left="1800" w:leftChars="0" w:hanging="1800" w:hangingChars="500"/>
        <w:rPr>
          <w:rFonts w:hint="default"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昌吉州实验小学智慧校园采购项目(二次)</w:t>
      </w:r>
    </w:p>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16日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cs="宋体"/>
          <w:sz w:val="24"/>
          <w:lang w:val="en-US" w:eastAsia="zh-CN"/>
        </w:rPr>
        <w:t>昌吉州实验小学智慧校园采购项目(二次)</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CJZFCG－TP-2025005-1</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08EACD98">
            <w:pPr>
              <w:spacing w:line="360" w:lineRule="auto"/>
              <w:ind w:left="0" w:leftChars="0" w:firstLine="0" w:firstLineChars="0"/>
              <w:jc w:val="left"/>
              <w:rPr>
                <w:rFonts w:hint="eastAsia" w:ascii="宋体" w:hAnsi="宋体" w:eastAsia="宋体" w:cs="宋体"/>
                <w:sz w:val="24"/>
                <w:highlight w:val="yellow"/>
              </w:rPr>
            </w:pPr>
            <w:bookmarkStart w:id="17" w:name="_GoBack"/>
            <w:bookmarkEnd w:id="17"/>
            <w:r>
              <w:rPr>
                <w:rFonts w:hint="eastAsia" w:ascii="宋体" w:hAnsi="宋体" w:cs="宋体"/>
                <w:sz w:val="24"/>
                <w:highlight w:val="yellow"/>
                <w:lang w:val="en-US" w:eastAsia="zh-CN"/>
              </w:rPr>
              <w:t>昌吉州实验小学智慧校园采购项目(二次)</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05</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采购预算：500000元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65F2B21">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本项目须在合同签订之日起30日内完成主体施工，不得影响正常开学。地点为校园各楼栋室内及室外指定区域。</w:t>
            </w:r>
          </w:p>
          <w:p w14:paraId="66668148">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州实验小学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昌吉市文化西路8号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马老师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13565607911</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2025年7月24日16:30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1DE179DE">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本项目专门面向小微企业企业采购。即：提供的货物全部由符合政策要求的小微企业制造。投标时须提交《中小企业声明函》。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513029242"/>
      <w:bookmarkStart w:id="2" w:name="_Toc16938558"/>
      <w:bookmarkStart w:id="3" w:name="_Toc120614221"/>
      <w:bookmarkStart w:id="4" w:name="_Toc20823314"/>
      <w:bookmarkStart w:id="5" w:name="_Toc494375079"/>
      <w:bookmarkStart w:id="6" w:name="_Toc479757207"/>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20823315"/>
      <w:bookmarkStart w:id="8" w:name="_Toc513029243"/>
      <w:bookmarkStart w:id="9" w:name="_Toc16938559"/>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49129F1D">
      <w:pPr>
        <w:pStyle w:val="12"/>
        <w:widowControl w:val="0"/>
        <w:numPr>
          <w:ilvl w:val="0"/>
          <w:numId w:val="0"/>
        </w:numPr>
        <w:jc w:val="both"/>
        <w:rPr>
          <w:rFonts w:hint="eastAsia"/>
          <w:lang w:val="en-US" w:eastAsia="zh-CN"/>
        </w:rPr>
      </w:pPr>
      <w:r>
        <w:rPr>
          <w:rFonts w:hint="eastAsia"/>
          <w:lang w:val="en-US" w:eastAsia="zh-CN"/>
        </w:rPr>
        <w:t>昌吉州实验小学智慧校园采购项目(二次)采购需求</w:t>
      </w:r>
    </w:p>
    <w:p w14:paraId="53EB33FF">
      <w:pPr>
        <w:pStyle w:val="12"/>
        <w:widowControl w:val="0"/>
        <w:numPr>
          <w:ilvl w:val="0"/>
          <w:numId w:val="0"/>
        </w:numPr>
        <w:jc w:val="both"/>
        <w:rPr>
          <w:rFonts w:hint="eastAsia"/>
          <w:lang w:val="en-US" w:eastAsia="zh-CN"/>
        </w:rPr>
      </w:pPr>
      <w:r>
        <w:rPr>
          <w:rFonts w:hint="eastAsia"/>
          <w:lang w:val="en-US" w:eastAsia="zh-CN"/>
        </w:rPr>
        <w:t>一、项目概述</w:t>
      </w:r>
    </w:p>
    <w:p w14:paraId="30DAB3AE">
      <w:pPr>
        <w:pStyle w:val="12"/>
        <w:widowControl w:val="0"/>
        <w:numPr>
          <w:ilvl w:val="0"/>
          <w:numId w:val="0"/>
        </w:numPr>
        <w:jc w:val="both"/>
        <w:rPr>
          <w:rFonts w:hint="eastAsia"/>
          <w:lang w:val="en-US" w:eastAsia="zh-CN"/>
        </w:rPr>
      </w:pPr>
      <w:r>
        <w:rPr>
          <w:rFonts w:hint="eastAsia"/>
          <w:lang w:val="en-US" w:eastAsia="zh-CN"/>
        </w:rPr>
        <w:t>本项目为昌吉州实验小学校园有线网络和无线网络全覆盖，包含有线网络和无线网络设施设备采购与安装调试。</w:t>
      </w:r>
    </w:p>
    <w:p w14:paraId="6F7212CC">
      <w:pPr>
        <w:pStyle w:val="12"/>
        <w:widowControl w:val="0"/>
        <w:numPr>
          <w:ilvl w:val="0"/>
          <w:numId w:val="0"/>
        </w:numPr>
        <w:jc w:val="both"/>
        <w:rPr>
          <w:rFonts w:hint="eastAsia"/>
          <w:lang w:val="en-US" w:eastAsia="zh-CN"/>
        </w:rPr>
      </w:pPr>
      <w:r>
        <w:rPr>
          <w:rFonts w:hint="eastAsia"/>
          <w:lang w:val="en-US" w:eastAsia="zh-CN"/>
        </w:rPr>
        <w:t>二、项目预算</w:t>
      </w:r>
    </w:p>
    <w:p w14:paraId="75BC5F60">
      <w:pPr>
        <w:pStyle w:val="12"/>
        <w:widowControl w:val="0"/>
        <w:numPr>
          <w:ilvl w:val="0"/>
          <w:numId w:val="0"/>
        </w:numPr>
        <w:jc w:val="both"/>
        <w:rPr>
          <w:rFonts w:hint="eastAsia"/>
          <w:lang w:val="en-US" w:eastAsia="zh-CN"/>
        </w:rPr>
      </w:pPr>
      <w:r>
        <w:rPr>
          <w:rFonts w:hint="eastAsia"/>
          <w:lang w:val="en-US" w:eastAsia="zh-CN"/>
        </w:rPr>
        <w:t>预算总额：50万元</w:t>
      </w:r>
    </w:p>
    <w:p w14:paraId="1C80C45C">
      <w:pPr>
        <w:pStyle w:val="12"/>
        <w:widowControl w:val="0"/>
        <w:numPr>
          <w:ilvl w:val="0"/>
          <w:numId w:val="0"/>
        </w:numPr>
        <w:jc w:val="both"/>
        <w:rPr>
          <w:rFonts w:hint="eastAsia"/>
          <w:lang w:val="en-US" w:eastAsia="zh-CN"/>
        </w:rPr>
      </w:pPr>
      <w:r>
        <w:rPr>
          <w:rFonts w:hint="eastAsia"/>
          <w:lang w:val="en-US" w:eastAsia="zh-CN"/>
        </w:rPr>
        <w:t>最高限价：50万元</w:t>
      </w:r>
    </w:p>
    <w:p w14:paraId="29D4BE5A">
      <w:pPr>
        <w:pStyle w:val="12"/>
        <w:widowControl w:val="0"/>
        <w:numPr>
          <w:ilvl w:val="0"/>
          <w:numId w:val="0"/>
        </w:numPr>
        <w:jc w:val="both"/>
        <w:rPr>
          <w:rFonts w:hint="eastAsia"/>
          <w:lang w:val="en-US" w:eastAsia="zh-CN"/>
        </w:rPr>
      </w:pPr>
      <w:r>
        <w:rPr>
          <w:rFonts w:hint="eastAsia"/>
          <w:lang w:val="en-US" w:eastAsia="zh-CN"/>
        </w:rPr>
        <w:t>三、需求描述</w:t>
      </w:r>
    </w:p>
    <w:p w14:paraId="5B430AD6">
      <w:pPr>
        <w:pStyle w:val="12"/>
        <w:widowControl w:val="0"/>
        <w:numPr>
          <w:ilvl w:val="0"/>
          <w:numId w:val="0"/>
        </w:numPr>
        <w:jc w:val="both"/>
        <w:rPr>
          <w:rFonts w:hint="eastAsia"/>
          <w:lang w:val="en-US" w:eastAsia="zh-CN"/>
        </w:rPr>
      </w:pPr>
      <w:r>
        <w:rPr>
          <w:rFonts w:hint="eastAsia"/>
          <w:lang w:val="en-US" w:eastAsia="zh-CN"/>
        </w:rPr>
        <w:t>本项目需要中标方完成校园楼栋内及室外有线网络和无线网络综合布线及设备安装调试，室内电源线全部归置于线盒内。</w:t>
      </w:r>
    </w:p>
    <w:p w14:paraId="29D20652">
      <w:pPr>
        <w:pStyle w:val="12"/>
        <w:widowControl w:val="0"/>
        <w:numPr>
          <w:ilvl w:val="0"/>
          <w:numId w:val="0"/>
        </w:numPr>
        <w:jc w:val="both"/>
        <w:rPr>
          <w:rFonts w:hint="eastAsia"/>
          <w:lang w:val="en-US" w:eastAsia="zh-CN"/>
        </w:rPr>
      </w:pPr>
      <w:r>
        <w:rPr>
          <w:rFonts w:hint="eastAsia"/>
          <w:lang w:val="en-US" w:eastAsia="zh-CN"/>
        </w:rPr>
        <w:t>技术规格</w:t>
      </w:r>
    </w:p>
    <w:p w14:paraId="472781FF">
      <w:pPr>
        <w:pStyle w:val="12"/>
        <w:widowControl w:val="0"/>
        <w:numPr>
          <w:ilvl w:val="0"/>
          <w:numId w:val="0"/>
        </w:numPr>
        <w:jc w:val="both"/>
        <w:rPr>
          <w:rFonts w:hint="eastAsia"/>
          <w:lang w:val="en-US" w:eastAsia="zh-CN"/>
        </w:rPr>
      </w:pPr>
      <w:r>
        <w:rPr>
          <w:rFonts w:hint="eastAsia"/>
          <w:lang w:val="en-US" w:eastAsia="zh-CN"/>
        </w:rPr>
        <w:t>本项目所需材料及材料参数要求必须确保与招标文件一致，施工工艺必须按照要求进行施工作业，否则不予以验收。</w:t>
      </w:r>
    </w:p>
    <w:p w14:paraId="78833640">
      <w:pPr>
        <w:pStyle w:val="12"/>
        <w:widowControl w:val="0"/>
        <w:numPr>
          <w:ilvl w:val="0"/>
          <w:numId w:val="0"/>
        </w:numPr>
        <w:jc w:val="both"/>
        <w:rPr>
          <w:rFonts w:hint="eastAsia"/>
          <w:lang w:val="en-US" w:eastAsia="zh-CN"/>
        </w:rPr>
      </w:pPr>
      <w:r>
        <w:rPr>
          <w:rFonts w:hint="eastAsia"/>
          <w:lang w:val="en-US" w:eastAsia="zh-CN"/>
        </w:rPr>
        <w:t>付款方式</w:t>
      </w:r>
    </w:p>
    <w:p w14:paraId="2A88EDEE">
      <w:pPr>
        <w:pStyle w:val="12"/>
        <w:widowControl w:val="0"/>
        <w:numPr>
          <w:ilvl w:val="0"/>
          <w:numId w:val="0"/>
        </w:numPr>
        <w:jc w:val="both"/>
        <w:rPr>
          <w:rFonts w:hint="eastAsia"/>
          <w:lang w:val="en-US" w:eastAsia="zh-CN"/>
        </w:rPr>
      </w:pPr>
      <w:r>
        <w:rPr>
          <w:rFonts w:hint="eastAsia"/>
          <w:lang w:val="en-US" w:eastAsia="zh-CN"/>
        </w:rPr>
        <w:t>中标单位与建设单位完成合同签订后支付40%首付款，项目总体完工后向中标方支付项目款项40%，验收合格结算审计后支付项目尾款20%。</w:t>
      </w:r>
    </w:p>
    <w:p w14:paraId="4DABD012">
      <w:pPr>
        <w:pStyle w:val="12"/>
        <w:widowControl w:val="0"/>
        <w:numPr>
          <w:ilvl w:val="0"/>
          <w:numId w:val="0"/>
        </w:numPr>
        <w:jc w:val="both"/>
        <w:rPr>
          <w:rFonts w:hint="eastAsia"/>
          <w:lang w:val="en-US" w:eastAsia="zh-CN"/>
        </w:rPr>
      </w:pPr>
      <w:r>
        <w:rPr>
          <w:rFonts w:hint="eastAsia"/>
          <w:lang w:val="en-US" w:eastAsia="zh-CN"/>
        </w:rPr>
        <w:t>招投标管理</w:t>
      </w:r>
    </w:p>
    <w:p w14:paraId="701D8109">
      <w:pPr>
        <w:pStyle w:val="12"/>
        <w:widowControl w:val="0"/>
        <w:numPr>
          <w:ilvl w:val="0"/>
          <w:numId w:val="0"/>
        </w:numPr>
        <w:jc w:val="both"/>
        <w:rPr>
          <w:rFonts w:hint="eastAsia"/>
          <w:lang w:val="en-US" w:eastAsia="zh-CN"/>
        </w:rPr>
      </w:pPr>
      <w:r>
        <w:rPr>
          <w:rFonts w:hint="eastAsia"/>
          <w:lang w:val="en-US" w:eastAsia="zh-CN"/>
        </w:rPr>
        <w:t>本项目采用竞争性谈判形式招标。本项目不支持联合体投标。</w:t>
      </w:r>
    </w:p>
    <w:p w14:paraId="3021F5D6">
      <w:pPr>
        <w:pStyle w:val="12"/>
        <w:widowControl w:val="0"/>
        <w:numPr>
          <w:ilvl w:val="0"/>
          <w:numId w:val="0"/>
        </w:numPr>
        <w:jc w:val="both"/>
        <w:rPr>
          <w:rFonts w:hint="eastAsia"/>
          <w:lang w:val="en-US" w:eastAsia="zh-CN"/>
        </w:rPr>
      </w:pPr>
      <w:r>
        <w:rPr>
          <w:rFonts w:hint="eastAsia"/>
          <w:lang w:val="en-US" w:eastAsia="zh-CN"/>
        </w:rPr>
        <w:t>七、交付时间与地点要求</w:t>
      </w:r>
    </w:p>
    <w:p w14:paraId="76C1E894">
      <w:pPr>
        <w:pStyle w:val="12"/>
        <w:widowControl w:val="0"/>
        <w:numPr>
          <w:ilvl w:val="0"/>
          <w:numId w:val="0"/>
        </w:numPr>
        <w:jc w:val="both"/>
        <w:rPr>
          <w:rFonts w:hint="eastAsia"/>
          <w:lang w:val="en-US" w:eastAsia="zh-CN"/>
        </w:rPr>
      </w:pPr>
      <w:r>
        <w:rPr>
          <w:rFonts w:hint="eastAsia"/>
          <w:lang w:val="en-US" w:eastAsia="zh-CN"/>
        </w:rPr>
        <w:t>本项目须在合同签订之日起30日内完成主体施工，不得影响正常开学。地点为校园各楼栋室内及室外指定区域。</w:t>
      </w:r>
    </w:p>
    <w:p w14:paraId="2D29FF5C">
      <w:pPr>
        <w:pStyle w:val="12"/>
        <w:widowControl w:val="0"/>
        <w:numPr>
          <w:ilvl w:val="0"/>
          <w:numId w:val="0"/>
        </w:numPr>
        <w:jc w:val="both"/>
        <w:rPr>
          <w:rFonts w:hint="eastAsia"/>
          <w:lang w:val="en-US" w:eastAsia="zh-CN"/>
        </w:rPr>
      </w:pPr>
      <w:r>
        <w:rPr>
          <w:rFonts w:hint="eastAsia"/>
          <w:lang w:val="en-US" w:eastAsia="zh-CN"/>
        </w:rPr>
        <w:t>供应商资格要求</w:t>
      </w:r>
    </w:p>
    <w:p w14:paraId="40EE05F8">
      <w:pPr>
        <w:pStyle w:val="12"/>
        <w:widowControl w:val="0"/>
        <w:numPr>
          <w:ilvl w:val="0"/>
          <w:numId w:val="0"/>
        </w:numPr>
        <w:jc w:val="both"/>
        <w:rPr>
          <w:rFonts w:hint="eastAsia"/>
          <w:lang w:val="en-US" w:eastAsia="zh-CN"/>
        </w:rPr>
      </w:pPr>
      <w:r>
        <w:rPr>
          <w:rFonts w:hint="eastAsia"/>
          <w:lang w:val="en-US" w:eastAsia="zh-CN"/>
        </w:rPr>
        <w:t>见招标文件</w:t>
      </w:r>
    </w:p>
    <w:p w14:paraId="072F4F73">
      <w:pPr>
        <w:pStyle w:val="12"/>
        <w:widowControl w:val="0"/>
        <w:numPr>
          <w:ilvl w:val="0"/>
          <w:numId w:val="0"/>
        </w:numPr>
        <w:jc w:val="both"/>
        <w:rPr>
          <w:rFonts w:hint="eastAsia"/>
          <w:lang w:val="en-US" w:eastAsia="zh-CN"/>
        </w:rPr>
      </w:pPr>
      <w:r>
        <w:rPr>
          <w:rFonts w:hint="eastAsia"/>
          <w:lang w:val="en-US" w:eastAsia="zh-CN"/>
        </w:rPr>
        <w:t>质保要求</w:t>
      </w:r>
    </w:p>
    <w:p w14:paraId="5E0D7E96">
      <w:pPr>
        <w:pStyle w:val="12"/>
        <w:widowControl w:val="0"/>
        <w:numPr>
          <w:ilvl w:val="0"/>
          <w:numId w:val="0"/>
        </w:numPr>
        <w:jc w:val="both"/>
        <w:rPr>
          <w:rFonts w:hint="eastAsia"/>
          <w:lang w:val="en-US" w:eastAsia="zh-CN"/>
        </w:rPr>
      </w:pPr>
      <w:r>
        <w:rPr>
          <w:rFonts w:hint="eastAsia"/>
          <w:lang w:val="en-US" w:eastAsia="zh-CN"/>
        </w:rPr>
        <w:t>自合同签订之日起三年。</w:t>
      </w:r>
    </w:p>
    <w:p w14:paraId="60BBB968">
      <w:pPr>
        <w:pStyle w:val="12"/>
        <w:widowControl w:val="0"/>
        <w:numPr>
          <w:ilvl w:val="0"/>
          <w:numId w:val="0"/>
        </w:numPr>
        <w:jc w:val="both"/>
        <w:rPr>
          <w:rFonts w:hint="eastAsia"/>
          <w:lang w:val="en-US" w:eastAsia="zh-CN"/>
        </w:rPr>
      </w:pPr>
    </w:p>
    <w:p w14:paraId="735AEACD">
      <w:pPr>
        <w:pStyle w:val="12"/>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tbl>
      <w:tblPr>
        <w:tblStyle w:val="20"/>
        <w:tblW w:w="8636" w:type="dxa"/>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696"/>
        <w:gridCol w:w="5214"/>
        <w:gridCol w:w="840"/>
        <w:gridCol w:w="527"/>
        <w:gridCol w:w="381"/>
        <w:gridCol w:w="366"/>
      </w:tblGrid>
      <w:tr w14:paraId="4312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BBF">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40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设备名称</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408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有线、无线网络技术规格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44EF">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643">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单价</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2FD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总价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010C">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备注</w:t>
            </w:r>
          </w:p>
        </w:tc>
      </w:tr>
      <w:tr w14:paraId="192D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F22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28E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核心交换机</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B6A7">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支持交换容量≥53Tbps，包转发率≥38000Mpps以官网最小值为准.提供官网链接</w:t>
            </w:r>
          </w:p>
          <w:p w14:paraId="765D58AE">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实配业务办卡24个千兆电口，24个千兆光口，4个万兆光口，双主控引擎，双电源，三年软硬件质保</w:t>
            </w:r>
          </w:p>
          <w:p w14:paraId="7E0E6BC1">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b/>
                <w:bCs/>
                <w:i w:val="0"/>
                <w:iCs w:val="0"/>
                <w:color w:val="000000"/>
                <w:kern w:val="0"/>
                <w:sz w:val="18"/>
                <w:szCs w:val="18"/>
                <w:u w:val="none"/>
                <w:lang w:val="en-US" w:eastAsia="zh-CN" w:bidi="ar"/>
              </w:rPr>
              <w:t>交换机要求：</w:t>
            </w:r>
            <w:r>
              <w:rPr>
                <w:rFonts w:hint="eastAsia" w:ascii="新宋体" w:hAnsi="新宋体" w:eastAsia="新宋体" w:cs="新宋体"/>
                <w:i w:val="0"/>
                <w:iCs w:val="0"/>
                <w:color w:val="000000"/>
                <w:kern w:val="0"/>
                <w:sz w:val="18"/>
                <w:szCs w:val="18"/>
                <w:u w:val="none"/>
                <w:lang w:val="en-US" w:eastAsia="zh-CN" w:bidi="ar"/>
              </w:rPr>
              <w:t>主控槽位≥2，业务槽位≥3，提供官网证明截图并附带官网链接</w:t>
            </w:r>
          </w:p>
          <w:p w14:paraId="7C39717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3，提供官网证明截图并附带官网链接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4、交换机通过可视化面板可呈现业务板卡背板带宽利用率，对每一块业务板卡使用情况一目了然；便于校方后期实际运维使用，提供CNAS、CMA认证章的第三方权威机构检测报告</w:t>
            </w:r>
          </w:p>
          <w:p w14:paraId="28541F33">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5、支持静态配置和动态学习MAC地址、支持配置MAC地址老化时间、支持VLAN 交换、支持Access、Trunk、Hybrid方式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6、基于后期运维需求保证设备在受到外界机械碰撞时能够正常运行，交换机IK防护测试级别至少达到IK06；保障校方后期使用质量，提供CNAS、CMA认证章的第三方权威机构检测报告</w:t>
            </w:r>
          </w:p>
          <w:p w14:paraId="1D2727E8">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7、设备支持故障定位，维护人员可以在后台直接找到对应设备，便于快速定位设备位置，便于校方后期实际运维使用，提供功能截图证明资料</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交换机支持零配置上线，支持二层广播自动发现控制器平台；支持配置静态IP地址三层发现控制器平台；支持DNS域名发现控制器平台，便于校方后期实际运维使用，提供功能截图证明加盖制造厂商公章或提供CNAS、CMA认证章的第三方权威机构检测报告</w:t>
            </w:r>
          </w:p>
          <w:p w14:paraId="2BC0DF2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9、支持终端的MAC和交换机的端口变更检测，便于后期校方实际运维使用，提供功能截图证明加盖制造厂商公章或提供CNAS、CMA认证章的第三方权威机构检测报告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598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64A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E8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66" w:type="dxa"/>
            <w:vMerge w:val="restart"/>
            <w:tcBorders>
              <w:top w:val="single" w:color="000000" w:sz="4" w:space="0"/>
              <w:left w:val="single" w:color="000000" w:sz="4" w:space="0"/>
              <w:right w:val="single" w:color="000000" w:sz="4" w:space="0"/>
            </w:tcBorders>
            <w:shd w:val="clear" w:color="auto" w:fill="auto"/>
            <w:vAlign w:val="center"/>
          </w:tcPr>
          <w:p w14:paraId="33295E97">
            <w:pPr>
              <w:jc w:val="left"/>
              <w:rPr>
                <w:rFonts w:hint="eastAsia" w:ascii="新宋体" w:hAnsi="新宋体" w:eastAsia="新宋体" w:cs="新宋体"/>
                <w:i w:val="0"/>
                <w:iCs w:val="0"/>
                <w:color w:val="000000"/>
                <w:sz w:val="18"/>
                <w:szCs w:val="18"/>
                <w:u w:val="none"/>
              </w:rPr>
            </w:pPr>
          </w:p>
        </w:tc>
      </w:tr>
      <w:tr w14:paraId="2061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77E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81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汇聚交换机2</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5C49">
            <w:pPr>
              <w:keepNext w:val="0"/>
              <w:keepLines w:val="0"/>
              <w:widowControl/>
              <w:numPr>
                <w:ilvl w:val="0"/>
                <w:numId w:val="2"/>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交换容量≥1.2Tbps，包转发率≥300Mpps，以官网最小值为准为准，提供官网链接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2、支持≥24个千兆 SFP 光口，4个万兆 SFP+，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3、支持MAC表项≥16K，VLAN≥4K</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4、设备支持故障定位，维护人员可以在后台直接找到对应设备，便于快速定位设备位置，提供功能截图证明资料</w:t>
            </w:r>
          </w:p>
          <w:p w14:paraId="0C4BBEC1">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交换机支持零配置上线，支持二层广播自动发现控制器平台；支持配置静态IP地址三层发现控制器平台；支持DNS域名发现控制器平台，提供功能截图证明加盖制造厂商公章或提供CMA和CNAS认证章的第三方权威机构检测报告</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6、支持SNMP v1/v2/v3、DHCP Server技术</w:t>
            </w:r>
          </w:p>
          <w:p w14:paraId="72BEEC96">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7、基于后期运维需求保证设备在受到外界机械碰撞时能够正常运行，交换机IK防护测试级别至少达到IK06；提供CMA和CNAS认证章的第三方权威机构检测报告</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8、实配：万兆单模光模块≥2，3年软硬件质保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B3E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7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203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val="en-US"/>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4041">
            <w:pPr>
              <w:jc w:val="left"/>
              <w:rPr>
                <w:rFonts w:hint="eastAsia" w:ascii="新宋体" w:hAnsi="新宋体" w:eastAsia="新宋体" w:cs="新宋体"/>
                <w:i w:val="0"/>
                <w:iCs w:val="0"/>
                <w:color w:val="000000"/>
                <w:sz w:val="18"/>
                <w:szCs w:val="18"/>
                <w:u w:val="none"/>
              </w:rPr>
            </w:pPr>
          </w:p>
        </w:tc>
      </w:tr>
      <w:tr w14:paraId="3452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5BFB0B8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11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4口远端面板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083">
            <w:pPr>
              <w:keepNext w:val="0"/>
              <w:keepLines w:val="0"/>
              <w:widowControl/>
              <w:numPr>
                <w:ilvl w:val="0"/>
                <w:numId w:val="3"/>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支持2.4GHz/5GHz双频段，全频段支持802.11be或802.11ax协议；</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2、总空间流数≥4；整机速率≥2.9Gbps，整机最大用户接入数≥256，提供证明材料</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3、支持2.5GBIDI光口≥1，千兆电口≥4，提供产品外观图片</w:t>
            </w:r>
          </w:p>
          <w:p w14:paraId="235ED24B">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4、支持VIP用户带宽保障功能，提升用户体验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5、支持AP零配置，支持二三层发现、DHCP Option43、DNS域名等多种AC自动发现机制，提供功能截图证明</w:t>
            </w:r>
          </w:p>
          <w:p w14:paraId="229F79A5">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6.支持基于应用的无线空口的资源管道化精细管理，保证无线带宽资源合理分配，保障重要应用的优先传输；提供功能截图</w:t>
            </w:r>
          </w:p>
          <w:p w14:paraId="29A55109">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7、支持802.1x 认证、MAC 地址认证、PSK 认证、Portal认证等</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8、实配：2.5G单模光模块，3年软硬件质保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611">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E6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79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1077">
            <w:pPr>
              <w:jc w:val="left"/>
              <w:rPr>
                <w:rFonts w:hint="eastAsia" w:ascii="新宋体" w:hAnsi="新宋体" w:eastAsia="新宋体" w:cs="新宋体"/>
                <w:i w:val="0"/>
                <w:iCs w:val="0"/>
                <w:color w:val="000000"/>
                <w:sz w:val="18"/>
                <w:szCs w:val="18"/>
                <w:u w:val="none"/>
              </w:rPr>
            </w:pPr>
          </w:p>
        </w:tc>
      </w:tr>
      <w:tr w14:paraId="0167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8E93B9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48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网管平台</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5E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1.千兆以太网口数≥3个</w:t>
            </w:r>
          </w:p>
          <w:p w14:paraId="5249708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2.USB接口数≥2个，可用于外接硬件设备，提供官网截图及官网链接证明</w:t>
            </w:r>
          </w:p>
          <w:p w14:paraId="47A0724C">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3.最大可管理AP数≥280个，提供官网截图及官网链接证明</w:t>
            </w:r>
          </w:p>
          <w:p w14:paraId="623AC08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支持以下企业级身份认证功能：802.1x认证、web认证等认证方式，支持对接移动办公平台进行用户认证，包括阿里钉钉、微信企业、口袋助理等主流平台实现用户认证，提供CNAS、CMA认证章的第三方权威机构检测报告</w:t>
            </w:r>
          </w:p>
          <w:p w14:paraId="0684137C">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5.支持Wi-Fi6设备采用本地转发部署模式，避免无线管理设备成为无线速率瓶颈；</w:t>
            </w:r>
          </w:p>
          <w:p w14:paraId="645BD6C7">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6.支持无线AP远程管理模式，可通过广域网对本地转发的无线AP进行统一管理运维；</w:t>
            </w:r>
          </w:p>
          <w:p w14:paraId="218B1E7B">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无线健康度：提供无线网络健康度评估体系，通过对接入成功率、DHCP获取、地址检测成功率、DNS质量等多维度指标进行无线网络健康度评估，并给出影响排名的劣化指标；支持劣化指标钻取能力，并给出指标劣化的根因和排障建议，提供功能截图</w:t>
            </w:r>
          </w:p>
          <w:p w14:paraId="26BADAD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8.支持基于用户数、信号强度、信道利用率的智能负载均衡，自动平衡各AP之间的接入压力；</w:t>
            </w:r>
          </w:p>
          <w:p w14:paraId="2823B73E">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9.支持射频引导功能，引导无线终端优先接入干扰小的5G频段；</w:t>
            </w:r>
          </w:p>
          <w:p w14:paraId="7C1143C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10.支持查看信号质量差的AP TOPN，分析维度包括AP的信号利用率、噪声值、重传率、误码率趋势；支持查看无线用户的上网时长、终端发送(接收)速率、网络接入、终端类型、信号强度、认证类型等信息。便于日常运维，便于快速响应问题；</w:t>
            </w:r>
          </w:p>
          <w:p w14:paraId="1BD4B778">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11.为保障产品可靠性，要求所投产品具有CNAS、CMA检测报告</w:t>
            </w:r>
          </w:p>
          <w:p w14:paraId="6A5F6804">
            <w:pPr>
              <w:keepNext w:val="0"/>
              <w:keepLines w:val="0"/>
              <w:widowControl/>
              <w:suppressLineNumbers w:val="0"/>
              <w:jc w:val="left"/>
              <w:textAlignment w:val="center"/>
              <w:rPr>
                <w:rFonts w:hint="eastAsia" w:ascii="新宋体" w:hAnsi="新宋体" w:eastAsia="新宋体" w:cs="新宋体"/>
                <w:b/>
                <w:bCs/>
                <w:i w:val="0"/>
                <w:iCs w:val="0"/>
                <w:color w:val="000000"/>
                <w:kern w:val="0"/>
                <w:sz w:val="18"/>
                <w:szCs w:val="18"/>
                <w:u w:val="none"/>
                <w:lang w:val="en-US" w:eastAsia="zh-CN" w:bidi="ar"/>
              </w:rPr>
            </w:pPr>
            <w:r>
              <w:rPr>
                <w:rFonts w:hint="eastAsia" w:ascii="新宋体" w:hAnsi="新宋体" w:eastAsia="新宋体" w:cs="新宋体"/>
                <w:b/>
                <w:bCs/>
                <w:i w:val="0"/>
                <w:iCs w:val="0"/>
                <w:color w:val="000000"/>
                <w:kern w:val="0"/>
                <w:sz w:val="18"/>
                <w:szCs w:val="18"/>
                <w:u w:val="none"/>
                <w:lang w:val="en-US" w:eastAsia="zh-CN" w:bidi="ar"/>
              </w:rPr>
              <w:t>审计组件</w:t>
            </w:r>
          </w:p>
          <w:p w14:paraId="190E0ACE">
            <w:pPr>
              <w:keepNext w:val="0"/>
              <w:keepLines w:val="0"/>
              <w:widowControl/>
              <w:numPr>
                <w:ilvl w:val="0"/>
                <w:numId w:val="4"/>
              </w:numPr>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支持应用识别，能识别不低于5000种的网络应用，可识别邮件、游戏、P2P流媒体、WEB流媒体、金融交易、办公OA、移动终端应用等主流应用</w:t>
            </w:r>
            <w:r>
              <w:rPr>
                <w:rFonts w:hint="eastAsia" w:ascii="新宋体" w:hAnsi="新宋体" w:eastAsia="新宋体" w:cs="新宋体"/>
                <w:i w:val="0"/>
                <w:iCs w:val="0"/>
                <w:color w:val="000000"/>
                <w:kern w:val="0"/>
                <w:sz w:val="18"/>
                <w:szCs w:val="18"/>
                <w:u w:val="none"/>
                <w:lang w:val="en-US" w:eastAsia="zh-CN" w:bidi="ar"/>
              </w:rPr>
              <w:t>，</w:t>
            </w:r>
            <w:r>
              <w:rPr>
                <w:rFonts w:hint="default" w:ascii="新宋体" w:hAnsi="新宋体" w:eastAsia="新宋体" w:cs="新宋体"/>
                <w:i w:val="0"/>
                <w:iCs w:val="0"/>
                <w:color w:val="000000"/>
                <w:kern w:val="0"/>
                <w:sz w:val="18"/>
                <w:szCs w:val="18"/>
                <w:u w:val="none"/>
                <w:lang w:val="en-US" w:eastAsia="zh-CN" w:bidi="ar"/>
              </w:rPr>
              <w:t>提供实际功能截图；</w:t>
            </w:r>
          </w:p>
          <w:p w14:paraId="1A93707D">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2.支持基于应用层的互联网流量和内网流量双重访问控制；</w:t>
            </w:r>
          </w:p>
          <w:p w14:paraId="3480294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3.支持无线网络在本地转发部署模式下实现应用识别以及无线网络审计功能；</w:t>
            </w:r>
          </w:p>
          <w:p w14:paraId="79AC291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4.支持基于多元化应用识别管控，包括用户、接入位置、终端类型、终端MAC地址、时间段；</w:t>
            </w:r>
          </w:p>
          <w:p w14:paraId="177A0124">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5.支持上网行为审计，可审计用户访问的URL、网络应用类型、FTP上传和下载的文件名、TELNET执行的命令等</w:t>
            </w:r>
          </w:p>
          <w:p w14:paraId="1BDF496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6.支持免审计策略，排除指定用户，对该用户的上网行为不进行审计；</w:t>
            </w:r>
          </w:p>
          <w:p w14:paraId="72E35DEC">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7.支持支持记录用户注册信息、IP、终端MAC、时间、访问的目的IP等信息；</w:t>
            </w:r>
          </w:p>
          <w:p w14:paraId="3D93F70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8.支持与本地公安网监平台对接，按网监要求将审计数据上传至公安的网监平台</w:t>
            </w:r>
            <w:r>
              <w:rPr>
                <w:rFonts w:hint="eastAsia" w:ascii="新宋体" w:hAnsi="新宋体" w:eastAsia="新宋体" w:cs="新宋体"/>
                <w:i w:val="0"/>
                <w:iCs w:val="0"/>
                <w:color w:val="000000"/>
                <w:kern w:val="0"/>
                <w:sz w:val="18"/>
                <w:szCs w:val="18"/>
                <w:u w:val="none"/>
                <w:lang w:val="en-US" w:eastAsia="zh-CN" w:bidi="ar"/>
              </w:rPr>
              <w:t>，</w:t>
            </w:r>
            <w:r>
              <w:rPr>
                <w:rFonts w:hint="default" w:ascii="新宋体" w:hAnsi="新宋体" w:eastAsia="新宋体" w:cs="新宋体"/>
                <w:i w:val="0"/>
                <w:iCs w:val="0"/>
                <w:color w:val="000000"/>
                <w:kern w:val="0"/>
                <w:sz w:val="18"/>
                <w:szCs w:val="18"/>
                <w:u w:val="none"/>
                <w:lang w:val="en-US" w:eastAsia="zh-CN" w:bidi="ar"/>
              </w:rPr>
              <w:t>提供实际功能截图</w:t>
            </w:r>
          </w:p>
          <w:p w14:paraId="04FDE803">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w:t>
            </w:r>
            <w:r>
              <w:rPr>
                <w:rFonts w:hint="default" w:ascii="新宋体" w:hAnsi="新宋体" w:eastAsia="新宋体" w:cs="新宋体"/>
                <w:i w:val="0"/>
                <w:iCs w:val="0"/>
                <w:color w:val="000000"/>
                <w:kern w:val="0"/>
                <w:sz w:val="18"/>
                <w:szCs w:val="18"/>
                <w:u w:val="none"/>
                <w:lang w:val="en-US" w:eastAsia="zh-CN" w:bidi="ar"/>
              </w:rPr>
              <w:t>.所投产品需具备软件著作权证书</w:t>
            </w:r>
          </w:p>
          <w:p w14:paraId="2F165044">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w:t>
            </w:r>
            <w:r>
              <w:rPr>
                <w:rFonts w:hint="default" w:ascii="新宋体" w:hAnsi="新宋体" w:eastAsia="新宋体" w:cs="新宋体"/>
                <w:i w:val="0"/>
                <w:iCs w:val="0"/>
                <w:color w:val="000000"/>
                <w:kern w:val="0"/>
                <w:sz w:val="18"/>
                <w:szCs w:val="18"/>
                <w:u w:val="none"/>
                <w:lang w:val="en-US" w:eastAsia="zh-CN" w:bidi="ar"/>
              </w:rPr>
              <w:t>为了保证系统安全，要求采用本地化部署方式，并提供系统安装所需的硬件资源和本次项目所需的所有软件授权数量。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A22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6C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C1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177C">
            <w:pPr>
              <w:jc w:val="left"/>
              <w:rPr>
                <w:rFonts w:hint="eastAsia" w:ascii="新宋体" w:hAnsi="新宋体" w:eastAsia="新宋体" w:cs="新宋体"/>
                <w:i w:val="0"/>
                <w:iCs w:val="0"/>
                <w:color w:val="000000"/>
                <w:sz w:val="18"/>
                <w:szCs w:val="18"/>
                <w:u w:val="none"/>
              </w:rPr>
            </w:pPr>
          </w:p>
        </w:tc>
      </w:tr>
      <w:tr w14:paraId="51ED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AFCCC5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107">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室外AP</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D4E">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1、支持2.4G频段和5G双频段，全频段支持802.11be或802.11ax协议等</w:t>
            </w:r>
          </w:p>
          <w:p w14:paraId="60CC2625">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2、总空间流数≥4；整机速率≥2.9Gbps，提供官网链接及截图</w:t>
            </w:r>
          </w:p>
          <w:p w14:paraId="2AFBDA83">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3、支持≥1 x 千兆光口+1 x 千兆电口</w:t>
            </w:r>
          </w:p>
          <w:p w14:paraId="07AFFC6B">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4、保障内网无线流量安全，AP结合管理平台可实现识别记录异常终端访问行为，并执行策略阻断风险终端访问动作；支持基于VLAN和SSID的用户终端隔离，避免多个用户群组间的互访风险，提供功能截图</w:t>
            </w:r>
          </w:p>
          <w:p w14:paraId="1260334D">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5、支持IP68防护等级，-40°~+70°宽温工作提供官网证明</w:t>
            </w:r>
          </w:p>
          <w:p w14:paraId="6D36BB0A">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7、整机最大接入终端数≥1000，提供功能截图</w:t>
            </w:r>
          </w:p>
          <w:p w14:paraId="318FF6E2">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8、实配：≥2个千兆单模光模块，3年维保</w:t>
            </w:r>
          </w:p>
          <w:p w14:paraId="6C1C95E3">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9、为方便网络统一运维，要求与网管同一品牌</w:t>
            </w:r>
          </w:p>
          <w:p w14:paraId="4F169B9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10、为了保障项目后期使用的质量，本项目所有子项提供的佐证材料进行逐一核对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71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EBB">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BAC">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D66">
            <w:pPr>
              <w:jc w:val="left"/>
              <w:rPr>
                <w:rFonts w:hint="eastAsia" w:ascii="新宋体" w:hAnsi="新宋体" w:eastAsia="新宋体" w:cs="新宋体"/>
                <w:i w:val="0"/>
                <w:iCs w:val="0"/>
                <w:color w:val="000000"/>
                <w:sz w:val="18"/>
                <w:szCs w:val="18"/>
                <w:u w:val="none"/>
              </w:rPr>
            </w:pPr>
          </w:p>
        </w:tc>
      </w:tr>
      <w:tr w14:paraId="6567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1087751">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7D5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604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国标2.5平方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D67">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4000米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C41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CD29">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6C5">
            <w:pPr>
              <w:jc w:val="left"/>
              <w:rPr>
                <w:rFonts w:hint="eastAsia" w:ascii="新宋体" w:hAnsi="新宋体" w:eastAsia="新宋体" w:cs="新宋体"/>
                <w:i w:val="0"/>
                <w:iCs w:val="0"/>
                <w:color w:val="000000"/>
                <w:sz w:val="18"/>
                <w:szCs w:val="18"/>
                <w:u w:val="none"/>
              </w:rPr>
            </w:pPr>
          </w:p>
        </w:tc>
      </w:tr>
      <w:tr w14:paraId="762A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720C885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B18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主光缆</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355">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国标8芯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EFA1">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8F1C">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C3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65E">
            <w:pPr>
              <w:jc w:val="left"/>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b/>
                <w:bCs/>
                <w:i w:val="0"/>
                <w:iCs w:val="0"/>
                <w:color w:val="000000"/>
                <w:sz w:val="18"/>
                <w:szCs w:val="18"/>
                <w:u w:val="none"/>
                <w:lang w:val="en-US" w:eastAsia="zh-CN"/>
              </w:rPr>
              <w:t>核心</w:t>
            </w:r>
            <w:r>
              <w:rPr>
                <w:rFonts w:hint="eastAsia" w:ascii="新宋体" w:hAnsi="新宋体" w:eastAsia="新宋体" w:cs="新宋体"/>
                <w:b/>
                <w:bCs/>
                <w:i w:val="0"/>
                <w:iCs w:val="0"/>
                <w:color w:val="000000"/>
                <w:sz w:val="18"/>
                <w:szCs w:val="18"/>
                <w:u w:val="none"/>
                <w:lang w:eastAsia="zh-CN"/>
              </w:rPr>
              <w:t>产品</w:t>
            </w:r>
            <w:r>
              <w:rPr>
                <w:rFonts w:hint="eastAsia" w:ascii="新宋体" w:hAnsi="新宋体" w:eastAsia="新宋体" w:cs="新宋体"/>
                <w:b/>
                <w:bCs/>
                <w:i w:val="0"/>
                <w:iCs w:val="0"/>
                <w:color w:val="000000"/>
                <w:sz w:val="18"/>
                <w:szCs w:val="18"/>
                <w:u w:val="none"/>
                <w:lang w:val="en-US" w:eastAsia="zh-CN"/>
              </w:rPr>
              <w:t>1</w:t>
            </w:r>
            <w:r>
              <w:rPr>
                <w:rFonts w:hint="eastAsia" w:ascii="新宋体" w:hAnsi="新宋体" w:eastAsia="新宋体" w:cs="新宋体"/>
                <w:i w:val="0"/>
                <w:iCs w:val="0"/>
                <w:color w:val="000000"/>
                <w:sz w:val="18"/>
                <w:szCs w:val="18"/>
                <w:u w:val="none"/>
                <w:lang w:eastAsia="zh-CN"/>
              </w:rPr>
              <w:t>：光缆为本次项目建设重要传输链路</w:t>
            </w:r>
          </w:p>
        </w:tc>
      </w:tr>
      <w:tr w14:paraId="779C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6"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2CE616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4A4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副光缆</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8D5">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28C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23700米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1365">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D1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00B">
            <w:pPr>
              <w:jc w:val="left"/>
              <w:rPr>
                <w:rFonts w:hint="eastAsia" w:ascii="新宋体" w:hAnsi="新宋体" w:eastAsia="新宋体" w:cs="新宋体"/>
                <w:i w:val="0"/>
                <w:iCs w:val="0"/>
                <w:color w:val="000000"/>
                <w:sz w:val="18"/>
                <w:szCs w:val="18"/>
                <w:u w:val="none"/>
              </w:rPr>
            </w:pPr>
            <w:r>
              <w:rPr>
                <w:rFonts w:hint="eastAsia" w:ascii="新宋体" w:hAnsi="新宋体" w:eastAsia="新宋体" w:cs="新宋体"/>
                <w:b/>
                <w:bCs/>
                <w:i w:val="0"/>
                <w:iCs w:val="0"/>
                <w:color w:val="000000"/>
                <w:sz w:val="18"/>
                <w:szCs w:val="18"/>
                <w:u w:val="none"/>
                <w:lang w:val="en-US" w:eastAsia="zh-CN"/>
              </w:rPr>
              <w:t>核心</w:t>
            </w:r>
            <w:r>
              <w:rPr>
                <w:rFonts w:hint="eastAsia" w:ascii="新宋体" w:hAnsi="新宋体" w:eastAsia="新宋体" w:cs="新宋体"/>
                <w:b/>
                <w:bCs/>
                <w:i w:val="0"/>
                <w:iCs w:val="0"/>
                <w:color w:val="000000"/>
                <w:sz w:val="18"/>
                <w:szCs w:val="18"/>
                <w:u w:val="none"/>
                <w:lang w:eastAsia="zh-CN"/>
              </w:rPr>
              <w:t>产品</w:t>
            </w:r>
            <w:r>
              <w:rPr>
                <w:rFonts w:hint="eastAsia" w:ascii="新宋体" w:hAnsi="新宋体" w:eastAsia="新宋体" w:cs="新宋体"/>
                <w:b/>
                <w:bCs/>
                <w:i w:val="0"/>
                <w:iCs w:val="0"/>
                <w:color w:val="000000"/>
                <w:sz w:val="18"/>
                <w:szCs w:val="18"/>
                <w:u w:val="none"/>
                <w:lang w:val="en-US" w:eastAsia="zh-CN"/>
              </w:rPr>
              <w:t>2</w:t>
            </w:r>
            <w:r>
              <w:rPr>
                <w:rFonts w:hint="eastAsia" w:ascii="新宋体" w:hAnsi="新宋体" w:eastAsia="新宋体" w:cs="新宋体"/>
                <w:i w:val="0"/>
                <w:iCs w:val="0"/>
                <w:color w:val="000000"/>
                <w:sz w:val="18"/>
                <w:szCs w:val="18"/>
                <w:u w:val="none"/>
                <w:lang w:eastAsia="zh-CN"/>
              </w:rPr>
              <w:t>：光缆为本次项目建设重要传输链路</w:t>
            </w:r>
          </w:p>
        </w:tc>
      </w:tr>
      <w:tr w14:paraId="7970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0C36DDC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9F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电话模块和面板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326A">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86盒安装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D19">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FF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EA84">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A9B8">
            <w:pPr>
              <w:jc w:val="left"/>
              <w:rPr>
                <w:rFonts w:hint="eastAsia" w:ascii="新宋体" w:hAnsi="新宋体" w:eastAsia="新宋体" w:cs="新宋体"/>
                <w:i w:val="0"/>
                <w:iCs w:val="0"/>
                <w:color w:val="000000"/>
                <w:sz w:val="18"/>
                <w:szCs w:val="18"/>
                <w:u w:val="none"/>
              </w:rPr>
            </w:pPr>
          </w:p>
        </w:tc>
      </w:tr>
      <w:tr w14:paraId="1A3F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5A62B46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7C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电源插孔</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F9D">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20口，公牛，德力西，TCL,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78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64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3C2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B8D8">
            <w:pPr>
              <w:jc w:val="left"/>
              <w:rPr>
                <w:rFonts w:hint="eastAsia" w:ascii="新宋体" w:hAnsi="新宋体" w:eastAsia="新宋体" w:cs="新宋体"/>
                <w:i w:val="0"/>
                <w:iCs w:val="0"/>
                <w:color w:val="000000"/>
                <w:sz w:val="18"/>
                <w:szCs w:val="18"/>
                <w:u w:val="none"/>
              </w:rPr>
            </w:pPr>
          </w:p>
        </w:tc>
      </w:tr>
      <w:tr w14:paraId="556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2F3741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CB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电源适配器</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3F7F">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220V*12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33B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958">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EDE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53B5">
            <w:pPr>
              <w:jc w:val="left"/>
              <w:rPr>
                <w:rFonts w:hint="eastAsia" w:ascii="新宋体" w:hAnsi="新宋体" w:eastAsia="新宋体" w:cs="新宋体"/>
                <w:i w:val="0"/>
                <w:iCs w:val="0"/>
                <w:color w:val="000000"/>
                <w:sz w:val="18"/>
                <w:szCs w:val="18"/>
                <w:u w:val="none"/>
              </w:rPr>
            </w:pPr>
          </w:p>
        </w:tc>
      </w:tr>
      <w:tr w14:paraId="7C5A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24F81B8">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491">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无线网卡</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1EA">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TPlink300M 802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98F">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7F6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D9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F972">
            <w:pPr>
              <w:jc w:val="left"/>
              <w:rPr>
                <w:rFonts w:hint="eastAsia" w:ascii="新宋体" w:hAnsi="新宋体" w:eastAsia="新宋体" w:cs="新宋体"/>
                <w:i w:val="0"/>
                <w:iCs w:val="0"/>
                <w:color w:val="000000"/>
                <w:sz w:val="18"/>
                <w:szCs w:val="18"/>
                <w:u w:val="none"/>
              </w:rPr>
            </w:pPr>
          </w:p>
        </w:tc>
      </w:tr>
      <w:tr w14:paraId="2A08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04B48FF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6EB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壁挂机柜</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7E7D">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6U国标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263F">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6B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8BE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1BA">
            <w:pPr>
              <w:jc w:val="left"/>
              <w:rPr>
                <w:rFonts w:hint="eastAsia" w:ascii="新宋体" w:hAnsi="新宋体" w:eastAsia="新宋体" w:cs="新宋体"/>
                <w:i w:val="0"/>
                <w:iCs w:val="0"/>
                <w:color w:val="000000"/>
                <w:sz w:val="18"/>
                <w:szCs w:val="18"/>
                <w:u w:val="none"/>
              </w:rPr>
            </w:pPr>
          </w:p>
        </w:tc>
      </w:tr>
      <w:tr w14:paraId="6A7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8393EE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33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吕线槽</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F0EF">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120*50（86明装多功能线槽）（阴角，阳角，直角）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B274">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160米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7C0">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6698">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6E2D">
            <w:pPr>
              <w:jc w:val="left"/>
              <w:rPr>
                <w:rFonts w:hint="eastAsia" w:ascii="新宋体" w:hAnsi="新宋体" w:eastAsia="新宋体" w:cs="新宋体"/>
                <w:i w:val="0"/>
                <w:iCs w:val="0"/>
                <w:color w:val="000000"/>
                <w:sz w:val="18"/>
                <w:szCs w:val="18"/>
                <w:u w:val="none"/>
              </w:rPr>
            </w:pPr>
          </w:p>
        </w:tc>
      </w:tr>
      <w:tr w14:paraId="1418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9CEB62C">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FC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辅材</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4DC6">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物流，螺丝，膨胀，等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C1C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4F0E">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FE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DAF">
            <w:pPr>
              <w:jc w:val="left"/>
              <w:rPr>
                <w:rFonts w:hint="eastAsia" w:ascii="新宋体" w:hAnsi="新宋体" w:eastAsia="新宋体" w:cs="新宋体"/>
                <w:i w:val="0"/>
                <w:iCs w:val="0"/>
                <w:color w:val="000000"/>
                <w:sz w:val="18"/>
                <w:szCs w:val="18"/>
                <w:u w:val="none"/>
              </w:rPr>
            </w:pPr>
          </w:p>
        </w:tc>
      </w:tr>
      <w:tr w14:paraId="747B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39F3BF2">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45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调试费</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C328">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包含运维维护费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5A0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60B">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E51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9E4C">
            <w:pPr>
              <w:jc w:val="left"/>
              <w:rPr>
                <w:rFonts w:hint="eastAsia" w:ascii="新宋体" w:hAnsi="新宋体" w:eastAsia="新宋体" w:cs="新宋体"/>
                <w:i w:val="0"/>
                <w:iCs w:val="0"/>
                <w:color w:val="000000"/>
                <w:sz w:val="18"/>
                <w:szCs w:val="18"/>
                <w:u w:val="none"/>
              </w:rPr>
            </w:pPr>
          </w:p>
        </w:tc>
      </w:tr>
      <w:tr w14:paraId="3DA2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A3E327F">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96D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安装费</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A44F">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7AC">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D9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29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07C5">
            <w:pPr>
              <w:jc w:val="left"/>
              <w:rPr>
                <w:rFonts w:hint="eastAsia" w:ascii="新宋体" w:hAnsi="新宋体" w:eastAsia="新宋体" w:cs="新宋体"/>
                <w:i w:val="0"/>
                <w:iCs w:val="0"/>
                <w:color w:val="000000"/>
                <w:sz w:val="18"/>
                <w:szCs w:val="18"/>
                <w:u w:val="none"/>
              </w:rPr>
            </w:pPr>
          </w:p>
        </w:tc>
      </w:tr>
      <w:tr w14:paraId="5638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ED00A5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CE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合计</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5FB0">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089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D95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344">
            <w:pPr>
              <w:keepNext w:val="0"/>
              <w:keepLines w:val="0"/>
              <w:widowControl/>
              <w:suppressLineNumbers w:val="0"/>
              <w:jc w:val="center"/>
              <w:textAlignment w:val="center"/>
              <w:rPr>
                <w:rFonts w:hint="default" w:ascii="新宋体" w:hAnsi="新宋体" w:eastAsia="新宋体" w:cs="新宋体"/>
                <w:i w:val="0"/>
                <w:iCs w:val="0"/>
                <w:color w:val="000000"/>
                <w:kern w:val="2"/>
                <w:sz w:val="20"/>
                <w:szCs w:val="20"/>
                <w:u w:val="none"/>
                <w:lang w:val="en-US" w:eastAsia="zh-CN" w:bidi="ar-SA"/>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5AC">
            <w:pPr>
              <w:jc w:val="left"/>
              <w:rPr>
                <w:rFonts w:hint="eastAsia" w:ascii="新宋体" w:hAnsi="新宋体" w:eastAsia="新宋体" w:cs="新宋体"/>
                <w:i w:val="0"/>
                <w:iCs w:val="0"/>
                <w:color w:val="000000"/>
                <w:sz w:val="18"/>
                <w:szCs w:val="18"/>
                <w:u w:val="none"/>
              </w:rPr>
            </w:pPr>
          </w:p>
        </w:tc>
      </w:tr>
    </w:tbl>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p w14:paraId="23CE2F37">
      <w:pPr>
        <w:bidi w:val="0"/>
        <w:jc w:val="left"/>
        <w:rPr>
          <w:rFonts w:hint="eastAsia" w:hAnsi="黑体" w:cs="黑体"/>
          <w:sz w:val="36"/>
          <w:szCs w:val="36"/>
        </w:rPr>
      </w:pPr>
    </w:p>
    <w:p w14:paraId="3EB330AA">
      <w:pPr>
        <w:bidi w:val="0"/>
        <w:jc w:val="left"/>
        <w:rPr>
          <w:rFonts w:hint="eastAsia" w:hAnsi="黑体" w:cs="黑体"/>
          <w:sz w:val="36"/>
          <w:szCs w:val="36"/>
        </w:rPr>
      </w:pPr>
    </w:p>
    <w:p w14:paraId="0BD12909">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725612"/>
      <w:bookmarkStart w:id="14" w:name="_Toc534816641"/>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725615"/>
      <w:bookmarkStart w:id="16" w:name="_Toc534816644"/>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宋体-18030">
    <w:altName w:val="微软雅黑"/>
    <w:panose1 w:val="00000000000000000000"/>
    <w:charset w:val="00"/>
    <w:family w:val="modern"/>
    <w:pitch w:val="default"/>
    <w:sig w:usb0="00000000" w:usb1="00000000" w:usb2="000A005E"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D5882060"/>
    <w:multiLevelType w:val="singleLevel"/>
    <w:tmpl w:val="D5882060"/>
    <w:lvl w:ilvl="0" w:tentative="0">
      <w:start w:val="1"/>
      <w:numFmt w:val="decimal"/>
      <w:suff w:val="nothing"/>
      <w:lvlText w:val="%1、"/>
      <w:lvlJc w:val="left"/>
    </w:lvl>
  </w:abstractNum>
  <w:abstractNum w:abstractNumId="2">
    <w:nsid w:val="E848D2A8"/>
    <w:multiLevelType w:val="singleLevel"/>
    <w:tmpl w:val="E848D2A8"/>
    <w:lvl w:ilvl="0" w:tentative="0">
      <w:start w:val="1"/>
      <w:numFmt w:val="decimal"/>
      <w:suff w:val="nothing"/>
      <w:lvlText w:val="%1、"/>
      <w:lvlJc w:val="left"/>
    </w:lvl>
  </w:abstractNum>
  <w:abstractNum w:abstractNumId="3">
    <w:nsid w:val="0D67F452"/>
    <w:multiLevelType w:val="singleLevel"/>
    <w:tmpl w:val="0D67F452"/>
    <w:lvl w:ilvl="0" w:tentative="0">
      <w:start w:val="1"/>
      <w:numFmt w:val="decimal"/>
      <w:lvlText w:val="%1."/>
      <w:lvlJc w:val="left"/>
      <w:pPr>
        <w:tabs>
          <w:tab w:val="left" w:pos="312"/>
        </w:tabs>
      </w:pPr>
    </w:lvl>
  </w:abstractNum>
  <w:abstractNum w:abstractNumId="4">
    <w:nsid w:val="47BD4F13"/>
    <w:multiLevelType w:val="singleLevel"/>
    <w:tmpl w:val="47BD4F13"/>
    <w:lvl w:ilvl="0" w:tentative="0">
      <w:start w:val="1"/>
      <w:numFmt w:val="decimal"/>
      <w:suff w:val="nothing"/>
      <w:lvlText w:val="%1、"/>
      <w:lvlJc w:val="left"/>
    </w:lvl>
  </w:abstractNum>
  <w:abstractNum w:abstractNumId="5">
    <w:nsid w:val="766A723E"/>
    <w:multiLevelType w:val="singleLevel"/>
    <w:tmpl w:val="766A723E"/>
    <w:lvl w:ilvl="0" w:tentative="0">
      <w:start w:val="8"/>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8DC404C"/>
    <w:rsid w:val="0BC85EBA"/>
    <w:rsid w:val="14DA3E5C"/>
    <w:rsid w:val="2EF45939"/>
    <w:rsid w:val="39673821"/>
    <w:rsid w:val="3F546C30"/>
    <w:rsid w:val="40275F23"/>
    <w:rsid w:val="439310D5"/>
    <w:rsid w:val="44562954"/>
    <w:rsid w:val="44A13AFB"/>
    <w:rsid w:val="478A3081"/>
    <w:rsid w:val="48471EAF"/>
    <w:rsid w:val="4FF11EB6"/>
    <w:rsid w:val="592F4F24"/>
    <w:rsid w:val="594E0129"/>
    <w:rsid w:val="5DC17BD1"/>
    <w:rsid w:val="5FB17F94"/>
    <w:rsid w:val="5FD42F5A"/>
    <w:rsid w:val="64001C8F"/>
    <w:rsid w:val="682364C7"/>
    <w:rsid w:val="6BA6681F"/>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5992</Words>
  <Characters>6638</Characters>
  <Lines>0</Lines>
  <Paragraphs>0</Paragraphs>
  <TotalTime>12</TotalTime>
  <ScaleCrop>false</ScaleCrop>
  <LinksUpToDate>false</LinksUpToDate>
  <CharactersWithSpaces>6846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2025-07-16T08:42:12Z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B04F1A49EAA14192B36DF4C1081370C2_13</vt:lpwstr>
  </property>
  <property fmtid="{D5CDD505-2E9C-101B-9397-08002B2CF9AE}" pid="4" name="KSOTemplateDocerSaveRecord">
    <vt:lpwstr>eyJoZGlkIjoiYzUwNmZjNzc3MjU4YTBkMjM1YTc4ZDI3YmJmOWVmMzAiLCJ1c2VySWQiOiIzODg0MjY2NjMifQ==</vt:lpwstr>
  </property>
</Properties>
</file>