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44"/>
          <w:szCs w:val="20"/>
        </w:rPr>
      </w:pPr>
    </w:p>
    <w:p>
      <w:pPr>
        <w:pStyle w:val="12"/>
        <w:rPr>
          <w:rFonts w:ascii="黑体" w:eastAsia="黑体"/>
          <w:b/>
          <w:sz w:val="44"/>
          <w:szCs w:val="20"/>
        </w:rPr>
      </w:pPr>
      <w:r>
        <w:rPr>
          <w:rFonts w:hint="eastAsia" w:ascii="仿宋_GB2312" w:hAnsi="仿宋_GB2312" w:eastAsia="仿宋_GB2312" w:cs="仿宋_GB2312"/>
          <w:sz w:val="72"/>
          <w:szCs w:val="72"/>
          <w:lang w:val="en-US" w:eastAsia="zh-CN"/>
        </w:rPr>
        <w:t xml:space="preserve">     </w:t>
      </w:r>
      <w:r>
        <w:rPr>
          <w:rFonts w:hint="eastAsia" w:ascii="仿宋_GB2312" w:hAnsi="仿宋_GB2312" w:eastAsia="仿宋_GB2312" w:cs="仿宋_GB2312"/>
          <w:sz w:val="72"/>
          <w:szCs w:val="72"/>
          <w:lang w:eastAsia="zh-CN"/>
        </w:rPr>
        <w:drawing>
          <wp:inline distT="0" distB="0" distL="114300" distR="114300">
            <wp:extent cx="1795780" cy="1375410"/>
            <wp:effectExtent l="0" t="0" r="13970" b="15240"/>
            <wp:docPr id="5" name="图片 4" descr="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logo源文件"/>
                    <pic:cNvPicPr>
                      <a:picLocks noChangeAspect="1"/>
                    </pic:cNvPicPr>
                  </pic:nvPicPr>
                  <pic:blipFill>
                    <a:blip r:embed="rId12"/>
                    <a:stretch>
                      <a:fillRect/>
                    </a:stretch>
                  </pic:blipFill>
                  <pic:spPr>
                    <a:xfrm>
                      <a:off x="0" y="0"/>
                      <a:ext cx="1795780" cy="1375410"/>
                    </a:xfrm>
                    <a:prstGeom prst="rect">
                      <a:avLst/>
                    </a:prstGeom>
                    <a:noFill/>
                    <a:ln w="9525">
                      <a:noFill/>
                    </a:ln>
                  </pic:spPr>
                </pic:pic>
              </a:graphicData>
            </a:graphic>
          </wp:inline>
        </w:drawing>
      </w:r>
    </w:p>
    <w:p>
      <w:pPr>
        <w:pStyle w:val="12"/>
        <w:rPr>
          <w:rFonts w:ascii="黑体" w:eastAsia="黑体"/>
          <w:b/>
          <w:sz w:val="44"/>
          <w:szCs w:val="20"/>
        </w:rPr>
      </w:pPr>
    </w:p>
    <w:p>
      <w:pPr>
        <w:spacing w:line="500" w:lineRule="exact"/>
        <w:jc w:val="both"/>
        <w:rPr>
          <w:rFonts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keepNext w:val="0"/>
        <w:keepLines w:val="0"/>
        <w:pageBreakBefore w:val="0"/>
        <w:widowControl w:val="0"/>
        <w:kinsoku/>
        <w:wordWrap/>
        <w:overflowPunct/>
        <w:topLinePunct w:val="0"/>
        <w:autoSpaceDE/>
        <w:autoSpaceDN/>
        <w:bidi w:val="0"/>
        <w:adjustRightInd/>
        <w:snapToGrid/>
        <w:spacing w:line="240" w:lineRule="auto"/>
        <w:ind w:firstLine="1446" w:firstLineChars="200"/>
        <w:jc w:val="left"/>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公 开 招 标 文 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方正小标宋简体" w:hAnsi="方正小标宋简体" w:eastAsia="方正小标宋简体" w:cs="方正小标宋简体"/>
          <w:b w:val="0"/>
          <w:bCs w:val="0"/>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项目编号：</w:t>
      </w:r>
      <w:r>
        <w:rPr>
          <w:rFonts w:hint="eastAsia" w:ascii="方正小标宋简体" w:hAnsi="方正小标宋简体" w:eastAsia="方正小标宋简体" w:cs="方正小标宋简体"/>
          <w:b w:val="0"/>
          <w:bCs w:val="0"/>
          <w:sz w:val="30"/>
          <w:szCs w:val="30"/>
          <w:u w:val="single"/>
          <w:lang w:val="en-US" w:eastAsia="zh-CN"/>
        </w:rPr>
        <w:t>QTCG-2023-017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38" w:leftChars="304" w:right="0" w:rightChars="0" w:hanging="1500" w:hangingChars="500"/>
        <w:textAlignment w:val="auto"/>
        <w:rPr>
          <w:rFonts w:hint="default" w:ascii="方正小标宋简体" w:hAnsi="方正小标宋简体" w:eastAsia="方正小标宋简体" w:cs="方正小标宋简体"/>
          <w:b w:val="0"/>
          <w:bCs w:val="0"/>
          <w:sz w:val="30"/>
          <w:szCs w:val="30"/>
          <w:u w:val="single"/>
          <w:lang w:val="en-US" w:eastAsia="zh-CN" w:bidi="zh-CN"/>
        </w:rPr>
      </w:pPr>
      <w:r>
        <w:rPr>
          <w:rFonts w:hint="eastAsia" w:ascii="方正小标宋简体" w:hAnsi="方正小标宋简体" w:eastAsia="方正小标宋简体" w:cs="方正小标宋简体"/>
          <w:b w:val="0"/>
          <w:bCs w:val="0"/>
          <w:sz w:val="30"/>
          <w:szCs w:val="30"/>
          <w:lang w:val="en-US" w:eastAsia="zh-CN"/>
        </w:rPr>
        <w:t>项目名称：</w:t>
      </w:r>
      <w:r>
        <w:rPr>
          <w:rFonts w:hint="eastAsia" w:ascii="方正小标宋简体" w:hAnsi="方正小标宋简体" w:eastAsia="方正小标宋简体" w:cs="方正小标宋简体"/>
          <w:b w:val="0"/>
          <w:bCs w:val="0"/>
          <w:kern w:val="2"/>
          <w:sz w:val="30"/>
          <w:szCs w:val="30"/>
          <w:u w:val="single"/>
          <w:lang w:val="en-US" w:eastAsia="zh-CN" w:bidi="zh-CN"/>
        </w:rPr>
        <w:t>奇台县中心人民医院能力提升项目-公共区域能力提升项目</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00" w:firstLineChars="200"/>
        <w:textAlignment w:val="auto"/>
        <w:rPr>
          <w:rFonts w:hint="default" w:ascii="方正小标宋简体" w:hAnsi="方正小标宋简体" w:eastAsia="方正小标宋简体" w:cs="方正小标宋简体"/>
          <w:b w:val="0"/>
          <w:bCs w:val="0"/>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采购单位：</w:t>
      </w:r>
      <w:r>
        <w:rPr>
          <w:rFonts w:hint="eastAsia" w:ascii="方正小标宋简体" w:hAnsi="方正小标宋简体" w:eastAsia="方正小标宋简体" w:cs="方正小标宋简体"/>
          <w:b w:val="0"/>
          <w:bCs w:val="0"/>
          <w:kern w:val="2"/>
          <w:sz w:val="32"/>
          <w:szCs w:val="32"/>
          <w:u w:val="single"/>
          <w:lang w:val="en-US" w:eastAsia="zh-CN" w:bidi="ar-SA"/>
        </w:rPr>
        <w:t>奇台县人民医院（盖公章）</w:t>
      </w:r>
    </w:p>
    <w:p>
      <w:pPr>
        <w:pStyle w:val="8"/>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textAlignment w:val="auto"/>
        <w:rPr>
          <w:rFonts w:hint="eastAsia" w:ascii="方正小标宋简体" w:hAnsi="方正小标宋简体" w:eastAsia="方正小标宋简体" w:cs="方正小标宋简体"/>
          <w:b w:val="0"/>
          <w:bCs w:val="0"/>
          <w:color w:val="auto"/>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单位负责人（签字）</w:t>
      </w:r>
      <w:r>
        <w:rPr>
          <w:rFonts w:hint="eastAsia" w:ascii="方正小标宋简体" w:hAnsi="方正小标宋简体" w:eastAsia="方正小标宋简体" w:cs="方正小标宋简体"/>
          <w:b w:val="0"/>
          <w:bCs w:val="0"/>
          <w:sz w:val="30"/>
          <w:szCs w:val="30"/>
          <w:u w:val="none"/>
          <w:lang w:val="en-US" w:eastAsia="zh-CN"/>
        </w:rPr>
        <w:t xml:space="preserve">: </w:t>
      </w:r>
      <w:r>
        <w:rPr>
          <w:rFonts w:hint="eastAsia" w:ascii="方正小标宋简体" w:hAnsi="方正小标宋简体" w:eastAsia="方正小标宋简体" w:cs="方正小标宋简体"/>
          <w:b w:val="0"/>
          <w:bCs w:val="0"/>
          <w:color w:val="auto"/>
          <w:sz w:val="30"/>
          <w:szCs w:val="30"/>
          <w:u w:val="singl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textAlignment w:val="auto"/>
        <w:rPr>
          <w:rFonts w:hint="default" w:ascii="方正小标宋简体" w:hAnsi="方正小标宋简体" w:eastAsia="方正小标宋简体" w:cs="方正小标宋简体"/>
          <w:b w:val="0"/>
          <w:bCs w:val="0"/>
          <w:color w:val="auto"/>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单位经办人（签字）：</w:t>
      </w:r>
      <w:r>
        <w:rPr>
          <w:rFonts w:hint="eastAsia" w:ascii="方正小标宋简体" w:hAnsi="方正小标宋简体" w:eastAsia="方正小标宋简体" w:cs="方正小标宋简体"/>
          <w:b w:val="0"/>
          <w:bCs w:val="0"/>
          <w:color w:val="auto"/>
          <w:sz w:val="30"/>
          <w:szCs w:val="30"/>
          <w:u w:val="singl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b w:val="0"/>
          <w:bCs w:val="0"/>
          <w:sz w:val="30"/>
          <w:szCs w:val="30"/>
          <w:lang w:val="en-US" w:eastAsia="zh-CN"/>
        </w:rPr>
        <w:t>采购机构：</w:t>
      </w:r>
      <w:r>
        <w:rPr>
          <w:rFonts w:hint="eastAsia" w:ascii="方正小标宋简体" w:hAnsi="方正小标宋简体" w:eastAsia="方正小标宋简体" w:cs="方正小标宋简体"/>
          <w:sz w:val="30"/>
          <w:szCs w:val="30"/>
          <w:u w:val="single"/>
          <w:lang w:val="en-US" w:eastAsia="zh-CN"/>
        </w:rPr>
        <w:t>奇台县政务服务和公共资源交易中心</w:t>
      </w:r>
    </w:p>
    <w:p>
      <w:pPr>
        <w:pStyle w:val="8"/>
        <w:keepNext w:val="0"/>
        <w:keepLines w:val="0"/>
        <w:pageBreakBefore w:val="0"/>
        <w:widowControl w:val="0"/>
        <w:kinsoku/>
        <w:wordWrap/>
        <w:overflowPunct/>
        <w:topLinePunct w:val="0"/>
        <w:autoSpaceDE/>
        <w:autoSpaceDN/>
        <w:bidi w:val="0"/>
        <w:adjustRightInd/>
        <w:snapToGrid/>
        <w:spacing w:after="0"/>
        <w:textAlignment w:val="auto"/>
        <w:rPr>
          <w:rFonts w:hint="default" w:ascii="方正小标宋简体" w:hAnsi="方正小标宋简体" w:eastAsia="方正小标宋简体" w:cs="方正小标宋简体"/>
          <w:b w:val="0"/>
          <w:bCs w:val="0"/>
          <w:sz w:val="32"/>
          <w:szCs w:val="32"/>
          <w:lang w:val="en-US" w:eastAsia="zh-CN"/>
        </w:rPr>
      </w:pPr>
    </w:p>
    <w:p>
      <w:pPr>
        <w:rPr>
          <w:rFonts w:hint="default"/>
          <w:lang w:val="en-US" w:eastAsia="zh-CN"/>
        </w:rPr>
      </w:pPr>
    </w:p>
    <w:p>
      <w:pPr>
        <w:pStyle w:val="8"/>
        <w:ind w:firstLine="3520" w:firstLineChars="1100"/>
        <w:jc w:val="both"/>
        <w:rPr>
          <w:rFonts w:hint="eastAsia" w:ascii="方正小标宋简体" w:hAnsi="方正小标宋简体" w:eastAsia="方正小标宋简体" w:cs="方正小标宋简体"/>
          <w:sz w:val="32"/>
          <w:szCs w:val="32"/>
          <w:lang w:val="en-US" w:eastAsia="zh-CN"/>
        </w:rPr>
      </w:pPr>
    </w:p>
    <w:p>
      <w:pPr>
        <w:pStyle w:val="8"/>
        <w:ind w:firstLine="3520" w:firstLineChars="1100"/>
        <w:jc w:val="both"/>
      </w:pPr>
      <w:r>
        <w:rPr>
          <w:rFonts w:hint="eastAsia" w:ascii="方正小标宋简体" w:hAnsi="方正小标宋简体" w:eastAsia="方正小标宋简体" w:cs="方正小标宋简体"/>
          <w:sz w:val="32"/>
          <w:szCs w:val="32"/>
          <w:lang w:val="en-US" w:eastAsia="zh-CN"/>
        </w:rPr>
        <w:t>二O二三年六月</w:t>
      </w:r>
    </w:p>
    <w:p/>
    <w:p>
      <w:pPr>
        <w:spacing w:line="500" w:lineRule="exact"/>
        <w:jc w:val="both"/>
        <w:rPr>
          <w:rFonts w:hint="eastAsia" w:ascii="黑体" w:hAnsi="黑体" w:eastAsia="黑体" w:cs="黑体"/>
          <w:b/>
          <w:sz w:val="32"/>
        </w:rPr>
      </w:pPr>
    </w:p>
    <w:p>
      <w:pPr>
        <w:spacing w:line="500" w:lineRule="exact"/>
        <w:jc w:val="center"/>
        <w:rPr>
          <w:rFonts w:hint="eastAsia" w:ascii="黑体" w:hAnsi="黑体" w:eastAsia="黑体" w:cs="黑体"/>
          <w:b/>
          <w:sz w:val="32"/>
        </w:rPr>
      </w:pPr>
      <w:r>
        <w:rPr>
          <w:rFonts w:hint="eastAsia" w:ascii="黑体" w:hAnsi="黑体" w:eastAsia="黑体" w:cs="黑体"/>
          <w:b/>
          <w:sz w:val="32"/>
        </w:rPr>
        <w:t>目  录</w:t>
      </w:r>
    </w:p>
    <w:p>
      <w:pPr>
        <w:spacing w:line="380" w:lineRule="exact"/>
        <w:jc w:val="center"/>
        <w:rPr>
          <w:rFonts w:ascii="宋体" w:hAnsi="宋体"/>
          <w:b/>
          <w:sz w:val="44"/>
          <w:szCs w:val="20"/>
        </w:rPr>
      </w:pPr>
    </w:p>
    <w:p>
      <w:pPr>
        <w:spacing w:line="700" w:lineRule="exact"/>
        <w:ind w:firstLine="1200" w:firstLineChars="400"/>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第一部分  </w:t>
      </w:r>
      <w:r>
        <w:rPr>
          <w:rFonts w:hint="eastAsia" w:ascii="黑体" w:hAnsi="黑体" w:eastAsia="黑体" w:cs="黑体"/>
          <w:b w:val="0"/>
          <w:bCs w:val="0"/>
          <w:sz w:val="30"/>
          <w:szCs w:val="30"/>
          <w:lang w:val="en-US" w:eastAsia="zh-CN"/>
        </w:rPr>
        <w:t>招标邀请</w:t>
      </w:r>
      <w:r>
        <w:rPr>
          <w:rFonts w:hint="eastAsia" w:ascii="黑体" w:hAnsi="黑体" w:eastAsia="黑体" w:cs="黑体"/>
          <w:sz w:val="30"/>
          <w:szCs w:val="30"/>
          <w:lang w:val="en-US" w:eastAsia="zh-CN"/>
        </w:rPr>
        <w:t>..........................03</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第二部分  采购需求</w:t>
      </w:r>
      <w:r>
        <w:rPr>
          <w:rFonts w:hint="eastAsia" w:ascii="黑体" w:hAnsi="黑体" w:eastAsia="黑体" w:cs="黑体"/>
          <w:sz w:val="30"/>
          <w:szCs w:val="30"/>
          <w:lang w:val="en-US" w:eastAsia="zh-CN"/>
        </w:rPr>
        <w:t>..........................09</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第三部分  投标人须知</w:t>
      </w:r>
      <w:r>
        <w:rPr>
          <w:rFonts w:hint="eastAsia" w:ascii="黑体" w:hAnsi="黑体" w:eastAsia="黑体" w:cs="黑体"/>
          <w:sz w:val="30"/>
          <w:szCs w:val="30"/>
          <w:lang w:val="en-US" w:eastAsia="zh-CN"/>
        </w:rPr>
        <w:t>........................54</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第四部分  评标办法及评分标准</w:t>
      </w:r>
      <w:r>
        <w:rPr>
          <w:rFonts w:hint="eastAsia" w:ascii="黑体" w:hAnsi="黑体" w:eastAsia="黑体" w:cs="黑体"/>
          <w:sz w:val="30"/>
          <w:szCs w:val="30"/>
          <w:lang w:val="en-US" w:eastAsia="zh-CN"/>
        </w:rPr>
        <w:t>................69</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第五部分  合同</w:t>
      </w:r>
      <w:r>
        <w:rPr>
          <w:rFonts w:hint="eastAsia" w:ascii="黑体" w:hAnsi="黑体" w:eastAsia="黑体" w:cs="黑体"/>
          <w:b w:val="0"/>
          <w:bCs w:val="0"/>
          <w:sz w:val="30"/>
          <w:szCs w:val="30"/>
          <w:lang w:eastAsia="zh-CN"/>
        </w:rPr>
        <w:t>、验收报告</w:t>
      </w:r>
      <w:r>
        <w:rPr>
          <w:rFonts w:hint="eastAsia" w:ascii="黑体" w:hAnsi="黑体" w:eastAsia="黑体" w:cs="黑体"/>
          <w:sz w:val="30"/>
          <w:szCs w:val="30"/>
          <w:lang w:val="en-US" w:eastAsia="zh-CN"/>
        </w:rPr>
        <w:t>....................71</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第六部分  投标文件格式</w:t>
      </w:r>
      <w:r>
        <w:rPr>
          <w:rFonts w:hint="eastAsia" w:ascii="黑体" w:hAnsi="黑体" w:eastAsia="黑体" w:cs="黑体"/>
          <w:sz w:val="30"/>
          <w:szCs w:val="30"/>
          <w:lang w:val="en-US" w:eastAsia="zh-CN"/>
        </w:rPr>
        <w:t>......................77</w:t>
      </w:r>
    </w:p>
    <w:p>
      <w:pPr>
        <w:spacing w:line="700" w:lineRule="exact"/>
        <w:ind w:firstLine="960" w:firstLineChars="400"/>
        <w:rPr>
          <w:rFonts w:ascii="宋体" w:hAnsi="宋体"/>
          <w:sz w:val="24"/>
        </w:rPr>
      </w:pPr>
    </w:p>
    <w:p>
      <w:pPr>
        <w:spacing w:line="700" w:lineRule="exact"/>
        <w:ind w:firstLine="1767" w:firstLineChars="400"/>
        <w:rPr>
          <w:rFonts w:ascii="宋体" w:hAnsi="宋体"/>
        </w:rPr>
      </w:pPr>
      <w:r>
        <w:rPr>
          <w:rFonts w:ascii="黑体" w:hAnsi="宋体" w:eastAsia="黑体"/>
          <w:b/>
          <w:sz w:val="44"/>
          <w:szCs w:val="44"/>
        </w:rPr>
        <w:br w:type="page"/>
      </w:r>
    </w:p>
    <w:p>
      <w:pPr>
        <w:spacing w:line="440" w:lineRule="exact"/>
        <w:jc w:val="center"/>
        <w:rPr>
          <w:rFonts w:ascii="宋体" w:hAnsi="宋体"/>
          <w:b/>
          <w:sz w:val="32"/>
          <w:szCs w:val="32"/>
        </w:rPr>
      </w:pPr>
      <w:r>
        <w:rPr>
          <w:rFonts w:hint="eastAsia" w:ascii="宋体" w:hAnsi="宋体"/>
          <w:b/>
          <w:sz w:val="32"/>
          <w:szCs w:val="32"/>
        </w:rPr>
        <w:t xml:space="preserve">第一部分  </w:t>
      </w:r>
      <w:r>
        <w:rPr>
          <w:rFonts w:hint="eastAsia" w:ascii="宋体" w:hAnsi="宋体"/>
          <w:b/>
          <w:sz w:val="32"/>
          <w:szCs w:val="32"/>
          <w:lang w:val="en-US" w:eastAsia="zh-CN"/>
        </w:rPr>
        <w:t>招标邀请书</w:t>
      </w:r>
    </w:p>
    <w:p>
      <w:pPr>
        <w:spacing w:line="440" w:lineRule="exact"/>
        <w:jc w:val="center"/>
        <w:rPr>
          <w:rFonts w:ascii="宋体" w:hAnsi="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根据《中华人民共和国政府采购法》、《中华人民共和国政府采购法实施条例》、《政府采购货物和服务招标投标管理办法》等法律法规规定，</w:t>
      </w:r>
      <w:r>
        <w:rPr>
          <w:rFonts w:hint="eastAsia" w:asciiTheme="minorEastAsia" w:hAnsiTheme="minorEastAsia" w:eastAsiaTheme="minorEastAsia" w:cstheme="minorEastAsia"/>
          <w:kern w:val="2"/>
          <w:sz w:val="24"/>
          <w:szCs w:val="24"/>
          <w:u w:val="none"/>
          <w:lang w:val="en-US" w:eastAsia="zh-CN" w:bidi="ar-SA"/>
        </w:rPr>
        <w:t>奇台县政务服务和公共资源交易中心</w:t>
      </w:r>
      <w:r>
        <w:rPr>
          <w:rFonts w:hint="eastAsia" w:asciiTheme="minorEastAsia" w:hAnsiTheme="minorEastAsia" w:eastAsiaTheme="minorEastAsia" w:cstheme="minorEastAsia"/>
          <w:sz w:val="24"/>
          <w:szCs w:val="24"/>
          <w:u w:val="none"/>
        </w:rPr>
        <w:t>受</w:t>
      </w:r>
      <w:r>
        <w:rPr>
          <w:rFonts w:hint="eastAsia" w:asciiTheme="minorEastAsia" w:hAnsiTheme="minorEastAsia" w:eastAsiaTheme="minorEastAsia" w:cstheme="minorEastAsia"/>
          <w:b/>
          <w:bCs/>
          <w:sz w:val="24"/>
          <w:szCs w:val="24"/>
          <w:u w:val="single"/>
          <w:lang w:val="en-US" w:eastAsia="zh-CN" w:bidi="zh-CN"/>
        </w:rPr>
        <w:t>奇台县人民医院</w:t>
      </w:r>
      <w:r>
        <w:rPr>
          <w:rFonts w:hint="eastAsia" w:asciiTheme="minorEastAsia" w:hAnsiTheme="minorEastAsia" w:eastAsiaTheme="minorEastAsia" w:cstheme="minorEastAsia"/>
          <w:sz w:val="24"/>
          <w:szCs w:val="24"/>
          <w:u w:val="none"/>
        </w:rPr>
        <w:t>的委托，就</w:t>
      </w:r>
      <w:r>
        <w:rPr>
          <w:rFonts w:hint="eastAsia" w:asciiTheme="minorEastAsia" w:hAnsiTheme="minorEastAsia" w:eastAsiaTheme="minorEastAsia" w:cstheme="minorEastAsia"/>
          <w:b/>
          <w:bCs/>
          <w:sz w:val="24"/>
          <w:szCs w:val="24"/>
          <w:u w:val="single"/>
          <w:lang w:val="en-US" w:eastAsia="zh-CN" w:bidi="zh-CN"/>
        </w:rPr>
        <w:t>奇台县中心人民医院能力提升项目-公共区域能力提升项目</w:t>
      </w:r>
      <w:r>
        <w:rPr>
          <w:rFonts w:hint="eastAsia" w:asciiTheme="minorEastAsia" w:hAnsiTheme="minorEastAsia" w:eastAsiaTheme="minorEastAsia" w:cstheme="minorEastAsia"/>
          <w:sz w:val="24"/>
          <w:szCs w:val="24"/>
          <w:u w:val="none"/>
        </w:rPr>
        <w:t>进行公开招标，欢迎符合资格条件的供应商参加投标。</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rPr>
      </w:pPr>
      <w:r>
        <w:rPr>
          <w:rFonts w:hint="eastAsia" w:asciiTheme="minorEastAsia" w:hAnsiTheme="minorEastAsia" w:eastAsiaTheme="minorEastAsia" w:cstheme="minorEastAsia"/>
          <w:i w:val="0"/>
          <w:iCs/>
          <w:sz w:val="24"/>
          <w:szCs w:val="24"/>
          <w:u w:val="single"/>
          <w:lang w:val="en-US" w:eastAsia="zh-CN"/>
        </w:rPr>
        <w:t xml:space="preserve"> </w:t>
      </w:r>
      <w:r>
        <w:rPr>
          <w:rFonts w:hint="eastAsia" w:asciiTheme="minorEastAsia" w:hAnsiTheme="minorEastAsia" w:eastAsiaTheme="minorEastAsia" w:cstheme="minorEastAsia"/>
          <w:b/>
          <w:bCs/>
          <w:sz w:val="24"/>
          <w:szCs w:val="24"/>
          <w:u w:val="single"/>
          <w:lang w:val="en-US" w:eastAsia="zh-CN" w:bidi="zh-CN"/>
        </w:rPr>
        <w:t>奇台县中心人民医院能力提升项目-公共区域能力提升项目</w:t>
      </w:r>
      <w:r>
        <w:rPr>
          <w:rFonts w:hint="eastAsia" w:asciiTheme="minorEastAsia" w:hAnsiTheme="minorEastAsia" w:eastAsiaTheme="minorEastAsia" w:cstheme="minorEastAsia"/>
          <w:sz w:val="24"/>
          <w:szCs w:val="24"/>
        </w:rPr>
        <w:t>的潜在供应商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应在</w:t>
      </w:r>
      <w:r>
        <w:rPr>
          <w:rFonts w:hint="eastAsia" w:asciiTheme="minorEastAsia" w:hAnsiTheme="minorEastAsia" w:eastAsiaTheme="minorEastAsia" w:cstheme="minorEastAsia"/>
          <w:i w:val="0"/>
          <w:iCs/>
          <w:sz w:val="24"/>
          <w:szCs w:val="24"/>
          <w:u w:val="single"/>
          <w:lang w:val="en-US" w:eastAsia="zh-CN"/>
        </w:rPr>
        <w:t xml:space="preserve">新疆政府采购网在线申请 </w:t>
      </w:r>
      <w:r>
        <w:rPr>
          <w:rFonts w:hint="eastAsia" w:asciiTheme="minorEastAsia" w:hAnsiTheme="minorEastAsia" w:eastAsiaTheme="minorEastAsia" w:cstheme="minorEastAsia"/>
          <w:sz w:val="24"/>
          <w:szCs w:val="24"/>
        </w:rPr>
        <w:t>获取采购文件，并于</w:t>
      </w:r>
      <w:r>
        <w:rPr>
          <w:rFonts w:hint="eastAsia" w:asciiTheme="minorEastAsia" w:hAnsiTheme="minorEastAsia" w:eastAsiaTheme="minorEastAsia" w:cstheme="minorEastAsia"/>
          <w:b/>
          <w:bCs/>
          <w:color w:val="auto"/>
          <w:sz w:val="24"/>
          <w:szCs w:val="24"/>
          <w:highlight w:val="yellow"/>
          <w:u w:val="single"/>
          <w:lang w:val="en-US" w:eastAsia="zh-CN"/>
        </w:rPr>
        <w:t>2023</w:t>
      </w:r>
      <w:r>
        <w:rPr>
          <w:rFonts w:hint="eastAsia" w:asciiTheme="minorEastAsia" w:hAnsiTheme="minorEastAsia" w:eastAsiaTheme="minorEastAsia" w:cstheme="minorEastAsia"/>
          <w:b/>
          <w:bCs/>
          <w:color w:val="auto"/>
          <w:sz w:val="24"/>
          <w:szCs w:val="24"/>
          <w:highlight w:val="yellow"/>
          <w:u w:val="single"/>
        </w:rPr>
        <w:t>年</w:t>
      </w:r>
      <w:r>
        <w:rPr>
          <w:rFonts w:hint="eastAsia" w:asciiTheme="minorEastAsia" w:hAnsiTheme="minorEastAsia" w:eastAsiaTheme="minorEastAsia" w:cstheme="minorEastAsia"/>
          <w:b/>
          <w:bCs/>
          <w:color w:val="auto"/>
          <w:sz w:val="24"/>
          <w:szCs w:val="24"/>
          <w:highlight w:val="yellow"/>
          <w:u w:val="single"/>
          <w:lang w:val="en-US" w:eastAsia="zh-CN"/>
        </w:rPr>
        <w:t>7</w:t>
      </w:r>
      <w:r>
        <w:rPr>
          <w:rFonts w:hint="eastAsia" w:asciiTheme="minorEastAsia" w:hAnsiTheme="minorEastAsia" w:eastAsiaTheme="minorEastAsia" w:cstheme="minorEastAsia"/>
          <w:b/>
          <w:bCs/>
          <w:color w:val="auto"/>
          <w:sz w:val="24"/>
          <w:szCs w:val="24"/>
          <w:highlight w:val="yellow"/>
          <w:u w:val="single"/>
        </w:rPr>
        <w:t>月</w:t>
      </w:r>
      <w:r>
        <w:rPr>
          <w:rFonts w:hint="eastAsia" w:asciiTheme="minorEastAsia" w:hAnsiTheme="minorEastAsia" w:eastAsiaTheme="minorEastAsia" w:cstheme="minorEastAsia"/>
          <w:b/>
          <w:bCs/>
          <w:color w:val="auto"/>
          <w:sz w:val="24"/>
          <w:szCs w:val="24"/>
          <w:highlight w:val="yellow"/>
          <w:u w:val="single"/>
          <w:lang w:val="en-US" w:eastAsia="zh-CN"/>
        </w:rPr>
        <w:t>10</w:t>
      </w:r>
      <w:r>
        <w:rPr>
          <w:rFonts w:hint="eastAsia" w:asciiTheme="minorEastAsia" w:hAnsiTheme="minorEastAsia" w:eastAsiaTheme="minorEastAsia" w:cstheme="minorEastAsia"/>
          <w:b/>
          <w:bCs/>
          <w:color w:val="auto"/>
          <w:sz w:val="24"/>
          <w:szCs w:val="24"/>
          <w:highlight w:val="yellow"/>
          <w:u w:val="single"/>
        </w:rPr>
        <w:t>日</w:t>
      </w:r>
      <w:r>
        <w:rPr>
          <w:rFonts w:hint="eastAsia" w:asciiTheme="minorEastAsia" w:hAnsiTheme="minorEastAsia" w:eastAsiaTheme="minorEastAsia" w:cstheme="minorEastAsia"/>
          <w:b/>
          <w:bCs/>
          <w:color w:val="auto"/>
          <w:sz w:val="24"/>
          <w:szCs w:val="24"/>
          <w:highlight w:val="yellow"/>
          <w:u w:val="single"/>
          <w:lang w:val="en-US" w:eastAsia="zh-CN"/>
        </w:rPr>
        <w:t>上午11</w:t>
      </w:r>
      <w:r>
        <w:rPr>
          <w:rFonts w:hint="eastAsia" w:asciiTheme="minorEastAsia" w:hAnsiTheme="minorEastAsia" w:eastAsiaTheme="minorEastAsia" w:cstheme="minorEastAsia"/>
          <w:b/>
          <w:bCs/>
          <w:color w:val="auto"/>
          <w:sz w:val="24"/>
          <w:szCs w:val="24"/>
          <w:highlight w:val="yellow"/>
          <w:u w:val="single"/>
        </w:rPr>
        <w:t>点</w:t>
      </w:r>
      <w:r>
        <w:rPr>
          <w:rFonts w:hint="eastAsia" w:asciiTheme="minorEastAsia" w:hAnsiTheme="minorEastAsia" w:eastAsiaTheme="minorEastAsia" w:cstheme="minorEastAsia"/>
          <w:b/>
          <w:bCs/>
          <w:color w:val="auto"/>
          <w:sz w:val="24"/>
          <w:szCs w:val="24"/>
          <w:highlight w:val="yellow"/>
          <w:u w:val="single"/>
          <w:lang w:val="en-US" w:eastAsia="zh-CN"/>
        </w:rPr>
        <w:t>00</w:t>
      </w:r>
      <w:r>
        <w:rPr>
          <w:rFonts w:hint="eastAsia" w:asciiTheme="minorEastAsia" w:hAnsiTheme="minorEastAsia" w:eastAsiaTheme="minorEastAsia" w:cstheme="minorEastAsia"/>
          <w:b/>
          <w:bCs/>
          <w:color w:val="auto"/>
          <w:sz w:val="24"/>
          <w:szCs w:val="24"/>
          <w:highlight w:val="yellow"/>
          <w:u w:val="single"/>
        </w:rPr>
        <w:t>分</w:t>
      </w:r>
      <w:r>
        <w:rPr>
          <w:rFonts w:hint="eastAsia" w:asciiTheme="minorEastAsia" w:hAnsiTheme="minorEastAsia" w:eastAsiaTheme="minorEastAsia" w:cstheme="minorEastAsia"/>
          <w:bCs/>
          <w:sz w:val="24"/>
          <w:szCs w:val="24"/>
        </w:rPr>
        <w:t>（北京时间）前提交响应文件</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color w:val="000000"/>
          <w:sz w:val="24"/>
          <w:szCs w:val="24"/>
          <w:u w:val="none"/>
        </w:rPr>
        <w:t>采购</w:t>
      </w:r>
      <w:r>
        <w:rPr>
          <w:rFonts w:hint="eastAsia" w:asciiTheme="minorEastAsia" w:hAnsiTheme="minorEastAsia" w:eastAsiaTheme="minorEastAsia" w:cstheme="minorEastAsia"/>
          <w:b/>
          <w:bCs/>
          <w:color w:val="000000"/>
          <w:sz w:val="24"/>
          <w:szCs w:val="24"/>
          <w:u w:val="none"/>
        </w:rPr>
        <w:t>项目名称：</w:t>
      </w:r>
      <w:r>
        <w:rPr>
          <w:rFonts w:hint="eastAsia" w:asciiTheme="minorEastAsia" w:hAnsiTheme="minorEastAsia" w:eastAsiaTheme="minorEastAsia" w:cstheme="minorEastAsia"/>
          <w:b w:val="0"/>
          <w:bCs w:val="0"/>
          <w:sz w:val="24"/>
          <w:szCs w:val="24"/>
          <w:u w:val="none"/>
          <w:lang w:val="en-US" w:eastAsia="zh-CN"/>
        </w:rPr>
        <w:t>奇台县中心人民医院能力提升项目-公共区域能力提升项目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color w:val="000000"/>
          <w:sz w:val="24"/>
          <w:szCs w:val="24"/>
          <w:u w:val="none"/>
        </w:rPr>
        <w:t>二、采购编号：</w:t>
      </w:r>
      <w:r>
        <w:rPr>
          <w:rFonts w:hint="eastAsia" w:asciiTheme="minorEastAsia" w:hAnsiTheme="minorEastAsia" w:eastAsiaTheme="minorEastAsia" w:cstheme="minorEastAsia"/>
          <w:b w:val="0"/>
          <w:bCs w:val="0"/>
          <w:sz w:val="24"/>
          <w:szCs w:val="24"/>
          <w:u w:val="none"/>
          <w:lang w:val="en-US" w:eastAsia="zh-CN"/>
        </w:rPr>
        <w:t>QTCG-2023-017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b/>
          <w:color w:val="000000"/>
          <w:sz w:val="24"/>
          <w:szCs w:val="24"/>
          <w:u w:val="none"/>
        </w:rPr>
        <w:t>三、采购方式：</w:t>
      </w:r>
      <w:r>
        <w:rPr>
          <w:rFonts w:hint="eastAsia" w:asciiTheme="minorEastAsia" w:hAnsiTheme="minorEastAsia" w:eastAsiaTheme="minorEastAsia" w:cstheme="minorEastAsia"/>
          <w:color w:val="000000"/>
          <w:sz w:val="24"/>
          <w:szCs w:val="24"/>
          <w:u w:val="none"/>
        </w:rPr>
        <w:t>公开招标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color w:val="auto"/>
          <w:sz w:val="24"/>
          <w:szCs w:val="24"/>
        </w:rPr>
        <w:t>预算</w:t>
      </w:r>
      <w:r>
        <w:rPr>
          <w:rFonts w:hint="eastAsia" w:asciiTheme="minorEastAsia" w:hAnsiTheme="minorEastAsia" w:eastAsiaTheme="minorEastAsia" w:cstheme="minorEastAsia"/>
          <w:b/>
          <w:bCs/>
          <w:color w:val="auto"/>
          <w:sz w:val="24"/>
          <w:szCs w:val="24"/>
          <w:lang w:eastAsia="zh-CN"/>
        </w:rPr>
        <w:t>金额</w:t>
      </w:r>
      <w:r>
        <w:rPr>
          <w:rFonts w:hint="eastAsia" w:asciiTheme="minorEastAsia" w:hAnsiTheme="minorEastAsia" w:eastAsiaTheme="minorEastAsia" w:cstheme="minorEastAsia"/>
          <w:b/>
          <w:bCs/>
          <w:color w:val="auto"/>
          <w:sz w:val="24"/>
          <w:szCs w:val="24"/>
          <w:lang w:val="en-US" w:eastAsia="zh-CN"/>
        </w:rPr>
        <w:t>及最高限价</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color w:val="auto"/>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总预算价：5997991.79元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标项1：</w:t>
      </w:r>
      <w:r>
        <w:rPr>
          <w:rFonts w:hint="eastAsia" w:asciiTheme="minorEastAsia" w:hAnsiTheme="minorEastAsia" w:eastAsiaTheme="minorEastAsia" w:cstheme="minorEastAsia"/>
          <w:color w:val="auto"/>
          <w:sz w:val="24"/>
          <w:szCs w:val="24"/>
          <w:lang w:val="zh-CN" w:eastAsia="zh-CN"/>
        </w:rPr>
        <w:t>LED电子大屏采购安装项目及弱电设备安装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val="en-US" w:eastAsia="zh-CN"/>
        </w:rPr>
        <w:t>预算金额：2</w:t>
      </w:r>
      <w:r>
        <w:rPr>
          <w:rFonts w:hint="eastAsia" w:asciiTheme="minorEastAsia" w:hAnsiTheme="minorEastAsia" w:eastAsiaTheme="minorEastAsia" w:cstheme="minorEastAsia"/>
          <w:color w:val="auto"/>
          <w:sz w:val="24"/>
          <w:szCs w:val="24"/>
          <w:u w:val="single"/>
          <w:lang w:val="en-US" w:eastAsia="zh-CN"/>
        </w:rPr>
        <w:t>109763.41</w:t>
      </w:r>
      <w:r>
        <w:rPr>
          <w:rFonts w:hint="eastAsia" w:asciiTheme="minorEastAsia" w:hAnsiTheme="minorEastAsia" w:eastAsiaTheme="minorEastAsia" w:cstheme="minorEastAsia"/>
          <w:color w:val="auto"/>
          <w:sz w:val="24"/>
          <w:szCs w:val="24"/>
          <w:u w:val="none"/>
          <w:lang w:val="en-US" w:eastAsia="zh-CN"/>
        </w:rPr>
        <w:t>元</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lang w:val="en-US" w:eastAsia="zh-CN"/>
        </w:rPr>
        <w:t>最高限价：</w:t>
      </w:r>
      <w:r>
        <w:rPr>
          <w:rFonts w:hint="eastAsia" w:asciiTheme="minorEastAsia" w:hAnsiTheme="minorEastAsia" w:eastAsiaTheme="minorEastAsia" w:cstheme="minorEastAsia"/>
          <w:color w:val="auto"/>
          <w:sz w:val="24"/>
          <w:szCs w:val="24"/>
          <w:u w:val="single"/>
          <w:lang w:val="en-US" w:eastAsia="zh-CN"/>
        </w:rPr>
        <w:t>2109763.41</w:t>
      </w:r>
      <w:r>
        <w:rPr>
          <w:rFonts w:hint="eastAsia" w:asciiTheme="minorEastAsia" w:hAnsiTheme="minorEastAsia" w:eastAsiaTheme="minorEastAsia" w:cstheme="minorEastAsia"/>
          <w:color w:val="auto"/>
          <w:sz w:val="24"/>
          <w:szCs w:val="24"/>
          <w:u w:val="none"/>
          <w:lang w:val="en-US" w:eastAsia="zh-CN"/>
        </w:rPr>
        <w:t>元</w:t>
      </w:r>
      <w:r>
        <w:rPr>
          <w:rFonts w:hint="eastAsia" w:asciiTheme="minorEastAsia" w:hAnsiTheme="minorEastAsia" w:eastAsiaTheme="minorEastAsia" w:cstheme="minorEastAsia"/>
          <w:color w:val="auto"/>
          <w:sz w:val="24"/>
          <w:szCs w:val="24"/>
          <w:u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标项2：办公家具采购</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480" w:firstLineChars="2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lang w:val="en-US" w:eastAsia="zh-CN"/>
        </w:rPr>
        <w:t>预算金额：</w:t>
      </w:r>
      <w:r>
        <w:rPr>
          <w:rFonts w:hint="eastAsia" w:asciiTheme="minorEastAsia" w:hAnsiTheme="minorEastAsia" w:eastAsiaTheme="minorEastAsia" w:cstheme="minorEastAsia"/>
          <w:color w:val="auto"/>
          <w:kern w:val="2"/>
          <w:sz w:val="24"/>
          <w:szCs w:val="24"/>
          <w:u w:val="single"/>
          <w:lang w:val="en-US" w:eastAsia="zh-CN" w:bidi="ar-SA"/>
        </w:rPr>
        <w:t>3888228.38</w:t>
      </w:r>
      <w:r>
        <w:rPr>
          <w:rFonts w:hint="eastAsia" w:asciiTheme="minorEastAsia" w:hAnsiTheme="minorEastAsia" w:eastAsiaTheme="minorEastAsia" w:cstheme="minorEastAsia"/>
          <w:color w:val="auto"/>
          <w:kern w:val="2"/>
          <w:sz w:val="24"/>
          <w:szCs w:val="24"/>
          <w:lang w:val="en-US" w:eastAsia="zh-CN" w:bidi="ar-SA"/>
        </w:rPr>
        <w:t>元；最高限价：</w:t>
      </w:r>
      <w:r>
        <w:rPr>
          <w:rFonts w:hint="eastAsia" w:asciiTheme="minorEastAsia" w:hAnsiTheme="minorEastAsia" w:eastAsiaTheme="minorEastAsia" w:cstheme="minorEastAsia"/>
          <w:color w:val="auto"/>
          <w:kern w:val="2"/>
          <w:sz w:val="24"/>
          <w:szCs w:val="24"/>
          <w:u w:val="single"/>
          <w:lang w:val="en-US" w:eastAsia="zh-CN" w:bidi="ar-SA"/>
        </w:rPr>
        <w:t>3888228.38</w:t>
      </w:r>
      <w:r>
        <w:rPr>
          <w:rFonts w:hint="eastAsia" w:asciiTheme="minorEastAsia" w:hAnsiTheme="minorEastAsia" w:eastAsiaTheme="minorEastAsia" w:cstheme="minorEastAsia"/>
          <w:color w:val="auto"/>
          <w:kern w:val="2"/>
          <w:sz w:val="24"/>
          <w:szCs w:val="24"/>
          <w:lang w:val="en-US" w:eastAsia="zh-CN" w:bidi="ar-SA"/>
        </w:rPr>
        <w:t>元</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sz w:val="24"/>
          <w:szCs w:val="24"/>
          <w:u w:val="none"/>
          <w:lang w:eastAsia="zh-CN"/>
        </w:rPr>
      </w:pPr>
      <w:r>
        <w:rPr>
          <w:rFonts w:hint="eastAsia" w:asciiTheme="minorEastAsia" w:hAnsiTheme="minorEastAsia" w:eastAsiaTheme="minorEastAsia" w:cstheme="minorEastAsia"/>
          <w:b/>
          <w:bCs/>
          <w:color w:val="000000"/>
          <w:sz w:val="24"/>
          <w:szCs w:val="24"/>
          <w:u w:val="none"/>
        </w:rPr>
        <w:t>采购</w:t>
      </w:r>
      <w:r>
        <w:rPr>
          <w:rFonts w:hint="eastAsia" w:asciiTheme="minorEastAsia" w:hAnsiTheme="minorEastAsia" w:eastAsiaTheme="minorEastAsia" w:cstheme="minorEastAsia"/>
          <w:b/>
          <w:bCs/>
          <w:color w:val="000000"/>
          <w:sz w:val="24"/>
          <w:szCs w:val="24"/>
          <w:u w:val="none"/>
          <w:lang w:val="en-US" w:eastAsia="zh-CN"/>
        </w:rPr>
        <w:t>项目</w:t>
      </w:r>
      <w:r>
        <w:rPr>
          <w:rFonts w:hint="eastAsia" w:asciiTheme="minorEastAsia" w:hAnsiTheme="minorEastAsia" w:eastAsiaTheme="minorEastAsia" w:cstheme="minorEastAsia"/>
          <w:b/>
          <w:bCs/>
          <w:color w:val="000000"/>
          <w:sz w:val="24"/>
          <w:szCs w:val="24"/>
          <w:u w:val="none"/>
        </w:rPr>
        <w:t>内容</w:t>
      </w:r>
      <w:r>
        <w:rPr>
          <w:rFonts w:hint="eastAsia" w:asciiTheme="minorEastAsia" w:hAnsiTheme="minorEastAsia" w:eastAsiaTheme="minorEastAsia" w:cstheme="minorEastAsia"/>
          <w:b/>
          <w:bCs/>
          <w:color w:val="000000"/>
          <w:sz w:val="24"/>
          <w:szCs w:val="24"/>
          <w:u w:val="none"/>
          <w:lang w:eastAsia="zh-CN"/>
        </w:rPr>
        <w:t>：</w:t>
      </w:r>
    </w:p>
    <w:p>
      <w:pPr>
        <w:pStyle w:val="15"/>
        <w:numPr>
          <w:ilvl w:val="0"/>
          <w:numId w:val="0"/>
        </w:numPr>
        <w:rPr>
          <w:rFonts w:hint="eastAsia"/>
          <w:lang w:eastAsia="zh-CN"/>
        </w:rPr>
      </w:pPr>
    </w:p>
    <w:p>
      <w:pPr>
        <w:rPr>
          <w:rFonts w:hint="eastAsia"/>
          <w:lang w:eastAsia="zh-CN"/>
        </w:rPr>
      </w:pPr>
    </w:p>
    <w:p>
      <w:pPr>
        <w:pStyle w:val="15"/>
        <w:rPr>
          <w:rFonts w:hint="eastAsia"/>
          <w:lang w:eastAsia="zh-CN"/>
        </w:rPr>
      </w:pPr>
    </w:p>
    <w:p>
      <w:pPr>
        <w:rPr>
          <w:rFonts w:hint="eastAsia"/>
          <w:lang w:eastAsia="zh-CN"/>
        </w:rPr>
      </w:pPr>
    </w:p>
    <w:p>
      <w:pPr>
        <w:pStyle w:val="15"/>
        <w:rPr>
          <w:rFonts w:hint="eastAsia"/>
          <w:lang w:eastAsia="zh-CN"/>
        </w:rPr>
      </w:pPr>
    </w:p>
    <w:p>
      <w:pPr>
        <w:spacing w:line="240" w:lineRule="exact"/>
        <w:rPr>
          <w:rFonts w:ascii="宋体" w:hAnsi="宋体" w:cs="Arial"/>
          <w:bCs/>
          <w:color w:val="000000"/>
          <w:szCs w:val="21"/>
        </w:rPr>
      </w:pPr>
    </w:p>
    <w:tbl>
      <w:tblPr>
        <w:tblStyle w:val="25"/>
        <w:tblW w:w="9156" w:type="dxa"/>
        <w:tblInd w:w="1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6"/>
        <w:gridCol w:w="2093"/>
        <w:gridCol w:w="2079"/>
        <w:gridCol w:w="1418"/>
        <w:gridCol w:w="1505"/>
        <w:gridCol w:w="1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32"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序号</w:t>
            </w:r>
          </w:p>
        </w:tc>
        <w:tc>
          <w:tcPr>
            <w:tcW w:w="20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lang w:val="en-US" w:eastAsia="zh-CN"/>
              </w:rPr>
              <w:t>标项名称</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简要规格描述或项目基本概况介绍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采购预算（元）</w:t>
            </w:r>
          </w:p>
        </w:tc>
        <w:tc>
          <w:tcPr>
            <w:tcW w:w="15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交货期</w:t>
            </w:r>
          </w:p>
        </w:tc>
        <w:tc>
          <w:tcPr>
            <w:tcW w:w="15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504" w:hRule="atLeast"/>
        </w:trPr>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1</w:t>
            </w:r>
          </w:p>
        </w:tc>
        <w:tc>
          <w:tcPr>
            <w:tcW w:w="2093"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标项1： </w:t>
            </w:r>
            <w:r>
              <w:rPr>
                <w:rFonts w:hint="eastAsia" w:asciiTheme="minorEastAsia" w:hAnsiTheme="minorEastAsia" w:eastAsiaTheme="minorEastAsia" w:cstheme="minorEastAsia"/>
                <w:color w:val="auto"/>
                <w:sz w:val="21"/>
                <w:szCs w:val="21"/>
                <w:lang w:val="zh-CN" w:eastAsia="zh-CN"/>
              </w:rPr>
              <w:t>LED电子大屏采购安装项目及弱电设备安装</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详见采购文件第二</w:t>
            </w:r>
            <w:r>
              <w:rPr>
                <w:rFonts w:hint="eastAsia" w:asciiTheme="minorEastAsia" w:hAnsiTheme="minorEastAsia" w:eastAsiaTheme="minorEastAsia" w:cstheme="minorEastAsia"/>
                <w:color w:val="auto"/>
                <w:sz w:val="21"/>
                <w:szCs w:val="21"/>
                <w:lang w:eastAsia="zh-CN"/>
              </w:rPr>
              <w:t>部分）</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2109763.41</w:t>
            </w:r>
          </w:p>
        </w:tc>
        <w:tc>
          <w:tcPr>
            <w:tcW w:w="1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合同签订后15天（日历日）内完成供货、安装、调试。</w:t>
            </w:r>
          </w:p>
          <w:p>
            <w:pPr>
              <w:spacing w:line="440" w:lineRule="exact"/>
              <w:jc w:val="center"/>
              <w:rPr>
                <w:rFonts w:hint="eastAsia" w:asciiTheme="minorEastAsia" w:hAnsiTheme="minorEastAsia" w:eastAsiaTheme="minorEastAsia" w:cstheme="minorEastAsia"/>
                <w:color w:val="auto"/>
                <w:sz w:val="21"/>
                <w:szCs w:val="21"/>
                <w:lang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2093" w:type="dxa"/>
            <w:tcBorders>
              <w:top w:val="single" w:color="auto" w:sz="4" w:space="0"/>
              <w:left w:val="single" w:color="auto" w:sz="4" w:space="0"/>
              <w:bottom w:val="single" w:color="auto" w:sz="4" w:space="0"/>
              <w:right w:val="single" w:color="auto" w:sz="4" w:space="0"/>
            </w:tcBorders>
            <w:vAlign w:val="center"/>
          </w:tcPr>
          <w:p>
            <w:pPr>
              <w:jc w:val="both"/>
              <w:rPr>
                <w:rFonts w:hint="eastAsia" w:eastAsia="宋体" w:asciiTheme="minorEastAsia" w:hAnsiTheme="minorEastAsia" w:cstheme="minorEastAsia"/>
                <w:b w:val="0"/>
                <w:bCs w:val="0"/>
                <w:sz w:val="21"/>
                <w:szCs w:val="21"/>
                <w:u w:val="none"/>
                <w:lang w:val="en-US" w:eastAsia="zh-CN" w:bidi="zh-CN"/>
              </w:rPr>
            </w:pPr>
            <w:r>
              <w:rPr>
                <w:rFonts w:hint="eastAsia" w:asciiTheme="minorEastAsia" w:hAnsiTheme="minorEastAsia" w:eastAsiaTheme="minorEastAsia" w:cstheme="minorEastAsia"/>
                <w:b w:val="0"/>
                <w:bCs w:val="0"/>
                <w:sz w:val="21"/>
                <w:szCs w:val="21"/>
                <w:u w:val="none"/>
                <w:lang w:val="en-US" w:eastAsia="zh-CN" w:bidi="zh-CN"/>
              </w:rPr>
              <w:t>标项2</w:t>
            </w:r>
            <w:r>
              <w:rPr>
                <w:rFonts w:hint="eastAsia" w:asciiTheme="minorEastAsia" w:hAnsiTheme="minorEastAsia" w:eastAsiaTheme="minorEastAsia" w:cstheme="minorEastAsia"/>
                <w:color w:val="auto"/>
                <w:sz w:val="21"/>
                <w:szCs w:val="21"/>
                <w:lang w:val="en-US" w:eastAsia="zh-CN"/>
              </w:rPr>
              <w:t>：办公家具采购</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eastAsia="宋体" w:asciiTheme="minorEastAsia" w:hAnsiTheme="minorEastAsia" w:cstheme="minorEastAsia"/>
                <w:b w:val="0"/>
                <w:bCs w:val="0"/>
                <w:sz w:val="21"/>
                <w:szCs w:val="21"/>
                <w:u w:val="none"/>
                <w:lang w:val="en-US" w:eastAsia="zh-CN" w:bidi="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详见采购文件第二</w:t>
            </w:r>
            <w:r>
              <w:rPr>
                <w:rFonts w:hint="eastAsia" w:asciiTheme="minorEastAsia" w:hAnsiTheme="minorEastAsia" w:eastAsiaTheme="minorEastAsia" w:cstheme="minorEastAsia"/>
                <w:color w:val="auto"/>
                <w:sz w:val="21"/>
                <w:szCs w:val="21"/>
                <w:lang w:eastAsia="zh-CN"/>
              </w:rPr>
              <w:t>部分）</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3888228.38</w:t>
            </w:r>
          </w:p>
        </w:tc>
        <w:tc>
          <w:tcPr>
            <w:tcW w:w="1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合同签订后15天（日历日）内完成供货、安装、调试。</w:t>
            </w:r>
          </w:p>
          <w:p>
            <w:pPr>
              <w:spacing w:line="440" w:lineRule="exact"/>
              <w:jc w:val="center"/>
              <w:rPr>
                <w:rFonts w:hint="eastAsia" w:asciiTheme="minorEastAsia" w:hAnsiTheme="minorEastAsia" w:eastAsiaTheme="minorEastAsia" w:cstheme="minorEastAsia"/>
                <w:color w:val="auto"/>
                <w:sz w:val="21"/>
                <w:szCs w:val="21"/>
                <w:lang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属于专门面向中小企业预留采购项目（</w:t>
            </w:r>
            <w:r>
              <w:rPr>
                <w:rFonts w:hint="eastAsia" w:asciiTheme="minorEastAsia" w:hAnsiTheme="minorEastAsia" w:eastAsiaTheme="minorEastAsia" w:cstheme="minorEastAsia"/>
                <w:b/>
                <w:bCs w:val="0"/>
                <w:sz w:val="21"/>
                <w:szCs w:val="21"/>
                <w:lang w:val="en-US" w:eastAsia="zh-CN"/>
              </w:rPr>
              <w:t>中小企业声明函将作为供应商投标资格条件货物类项目中小企业声明是填写货物制造商信息</w:t>
            </w:r>
            <w:r>
              <w:rPr>
                <w:rFonts w:hint="eastAsia" w:asciiTheme="minorEastAsia" w:hAnsiTheme="minorEastAsia" w:eastAsiaTheme="minorEastAsia" w:cstheme="minorEastAsia"/>
                <w:color w:val="auto"/>
                <w:sz w:val="21"/>
                <w:szCs w:val="21"/>
                <w:lang w:val="en-US" w:eastAsia="zh-CN"/>
              </w:rPr>
              <w:t>）</w:t>
            </w:r>
          </w:p>
          <w:p>
            <w:pPr>
              <w:spacing w:line="440" w:lineRule="exact"/>
              <w:jc w:val="center"/>
              <w:rPr>
                <w:rFonts w:hint="eastAsia" w:asciiTheme="minorEastAsia" w:hAnsiTheme="minorEastAsia" w:eastAsiaTheme="minorEastAsia" w:cstheme="minorEastAsia"/>
                <w:color w:val="auto"/>
                <w:sz w:val="21"/>
                <w:szCs w:val="21"/>
                <w:lang w:eastAsia="zh-CN"/>
              </w:rPr>
            </w:pPr>
          </w:p>
        </w:tc>
      </w:tr>
    </w:tbl>
    <w:p>
      <w:pPr>
        <w:pStyle w:val="28"/>
        <w:pageBreakBefore w:val="0"/>
        <w:kinsoku/>
        <w:wordWrap/>
        <w:overflowPunct/>
        <w:topLinePunct w:val="0"/>
        <w:bidi w:val="0"/>
        <w:adjustRightInd w:val="0"/>
        <w:spacing w:line="56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5.1</w:t>
      </w:r>
      <w:r>
        <w:rPr>
          <w:rFonts w:hint="eastAsia" w:asciiTheme="minorEastAsia" w:hAnsiTheme="minorEastAsia" w:eastAsiaTheme="minorEastAsia" w:cstheme="minorEastAsia"/>
          <w:sz w:val="24"/>
          <w:szCs w:val="24"/>
        </w:rPr>
        <w:t>本项目不接受进口产品（进口产品是指通过中国海关报关，验放进入中国境内，且产自关境外的产品）。</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5.2本项目标项1</w:t>
      </w:r>
      <w:r>
        <w:rPr>
          <w:rFonts w:hint="eastAsia" w:asciiTheme="minorEastAsia" w:hAnsiTheme="minorEastAsia" w:eastAsiaTheme="minorEastAsia" w:cstheme="minorEastAsia"/>
          <w:b w:val="0"/>
          <w:bCs w:val="0"/>
          <w:sz w:val="24"/>
          <w:szCs w:val="24"/>
          <w:highlight w:val="yellow"/>
          <w:lang w:val="en-US" w:eastAsia="zh-CN"/>
        </w:rPr>
        <w:t>不</w:t>
      </w:r>
      <w:r>
        <w:rPr>
          <w:rFonts w:hint="eastAsia" w:asciiTheme="minorEastAsia" w:hAnsiTheme="minorEastAsia" w:eastAsiaTheme="minorEastAsia" w:cstheme="minorEastAsia"/>
          <w:b w:val="0"/>
          <w:bCs w:val="0"/>
          <w:sz w:val="24"/>
          <w:szCs w:val="24"/>
          <w:highlight w:val="yellow"/>
          <w:u w:val="single"/>
          <w:lang w:val="en-US" w:eastAsia="zh-CN"/>
        </w:rPr>
        <w:t>属于</w:t>
      </w:r>
      <w:r>
        <w:rPr>
          <w:rFonts w:hint="eastAsia" w:asciiTheme="minorEastAsia" w:hAnsiTheme="minorEastAsia" w:eastAsiaTheme="minorEastAsia" w:cstheme="minorEastAsia"/>
          <w:b w:val="0"/>
          <w:bCs w:val="0"/>
          <w:sz w:val="24"/>
          <w:szCs w:val="24"/>
          <w:lang w:val="en-US" w:eastAsia="zh-CN"/>
        </w:rPr>
        <w:t>专门面向中小企业预留采购的项目。标项2</w:t>
      </w:r>
      <w:r>
        <w:rPr>
          <w:rFonts w:hint="eastAsia" w:asciiTheme="minorEastAsia" w:hAnsiTheme="minorEastAsia" w:eastAsiaTheme="minorEastAsia" w:cstheme="minorEastAsia"/>
          <w:b w:val="0"/>
          <w:bCs w:val="0"/>
          <w:sz w:val="24"/>
          <w:szCs w:val="24"/>
          <w:highlight w:val="yellow"/>
          <w:lang w:val="en-US" w:eastAsia="zh-CN"/>
        </w:rPr>
        <w:t>属于</w:t>
      </w:r>
      <w:r>
        <w:rPr>
          <w:rFonts w:hint="eastAsia" w:asciiTheme="minorEastAsia" w:hAnsiTheme="minorEastAsia" w:eastAsiaTheme="minorEastAsia" w:cstheme="minorEastAsia"/>
          <w:b w:val="0"/>
          <w:bCs w:val="0"/>
          <w:sz w:val="24"/>
          <w:szCs w:val="24"/>
          <w:lang w:val="en-US" w:eastAsia="zh-CN"/>
        </w:rPr>
        <w:t>专门面向中小企业预留采购项目</w:t>
      </w:r>
    </w:p>
    <w:p>
      <w:pPr>
        <w:pStyle w:val="15"/>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32"/>
          <w:szCs w:val="32"/>
          <w:lang w:val="en-US" w:eastAsia="zh-CN"/>
        </w:rPr>
        <w:t>注意事项</w:t>
      </w:r>
      <w:bookmarkStart w:id="35" w:name="_GoBack"/>
      <w:bookmarkEnd w:id="35"/>
    </w:p>
    <w:p>
      <w:pPr>
        <w:pStyle w:val="15"/>
        <w:rPr>
          <w:rFonts w:hint="eastAsia"/>
          <w:highlight w:val="green"/>
          <w:lang w:val="en-US" w:eastAsia="zh-CN"/>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highlight w:val="green"/>
          <w:lang w:val="en-US" w:eastAsia="zh-CN"/>
        </w:rPr>
        <w:t>6、标项1需现场勘查，不组织集中踏勘，投标人可于公告之日起自行联系采购人前往项目现场进行踏勘。</w:t>
      </w:r>
    </w:p>
    <w:p>
      <w:pPr>
        <w:pStyle w:val="8"/>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color w:val="000000"/>
          <w:sz w:val="24"/>
          <w:szCs w:val="24"/>
          <w:lang w:eastAsia="zh-CN"/>
        </w:rPr>
        <w:t>六</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bCs/>
          <w:color w:val="000000"/>
          <w:sz w:val="24"/>
          <w:szCs w:val="24"/>
        </w:rPr>
        <w:t>合格投标人的资格要求</w:t>
      </w:r>
    </w:p>
    <w:p>
      <w:pPr>
        <w:keepNext w:val="0"/>
        <w:keepLines w:val="0"/>
        <w:pageBreakBefore w:val="0"/>
        <w:kinsoku/>
        <w:wordWrap/>
        <w:overflowPunct/>
        <w:topLinePunct w:val="0"/>
        <w:bidi w:val="0"/>
        <w:spacing w:line="560" w:lineRule="exact"/>
        <w:ind w:left="0" w:leftChars="0" w:right="0" w:rightChars="0" w:firstLine="240" w:firstLineChars="1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（一）符合《中华人民共和国政府采购法》第二十二条规定的投标人资格条件：</w:t>
      </w:r>
      <w:r>
        <w:rPr>
          <w:rFonts w:hint="eastAsia" w:asciiTheme="minorEastAsia" w:hAnsiTheme="minorEastAsia" w:eastAsiaTheme="minorEastAsia" w:cstheme="minorEastAsia"/>
          <w:sz w:val="24"/>
          <w:szCs w:val="24"/>
        </w:rPr>
        <w:t>供应商参加政府采购活动应当具备下列条件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6、未列入“信用中国www.creditchina.gov.cn”网站失信被执行人、重大税收违法案件当事人名单、政府采购严重违法失信记录名单在禁止参加采购期限的供应商；</w:t>
      </w:r>
    </w:p>
    <w:p>
      <w:pPr>
        <w:keepNext w:val="0"/>
        <w:keepLines w:val="0"/>
        <w:pageBreakBefore w:val="0"/>
        <w:kinsoku/>
        <w:wordWrap/>
        <w:overflowPunct/>
        <w:topLinePunct w:val="0"/>
        <w:bidi w:val="0"/>
        <w:spacing w:line="560" w:lineRule="exact"/>
        <w:ind w:left="0" w:leftChars="0" w:right="0" w:rightChars="0" w:firstLine="723"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7、本项目的特定资格要求：</w:t>
      </w:r>
      <w:r>
        <w:rPr>
          <w:rFonts w:hint="eastAsia" w:asciiTheme="minorEastAsia" w:hAnsiTheme="minorEastAsia" w:eastAsiaTheme="minorEastAsia" w:cstheme="minorEastAsia"/>
          <w:sz w:val="24"/>
          <w:szCs w:val="24"/>
        </w:rPr>
        <w:t>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（三）拒绝下述供应商参加本次采购活动：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 供应商处于被责令停业、财产被接管、冻结和破产状态，以及投标资格被取消或者被暂停且在暂停期内；</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2" w:firstLineChars="200"/>
        <w:textAlignment w:val="auto"/>
        <w:rPr>
          <w:rFonts w:hint="eastAsi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）本项目不接受联合体参与</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eastAsia="zh-CN"/>
        </w:rPr>
        <w:t>七</w:t>
      </w:r>
      <w:r>
        <w:rPr>
          <w:rFonts w:hint="eastAsia" w:asciiTheme="minorEastAsia" w:hAnsiTheme="minorEastAsia" w:eastAsiaTheme="minorEastAsia" w:cstheme="minorEastAsia"/>
          <w:b/>
          <w:color w:val="000000"/>
          <w:sz w:val="24"/>
          <w:szCs w:val="24"/>
        </w:rPr>
        <w:t>、招标文件的获取方式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sz w:val="24"/>
          <w:szCs w:val="24"/>
        </w:rPr>
        <w:t>1、获取采购文件时间：</w:t>
      </w:r>
      <w:r>
        <w:rPr>
          <w:rFonts w:hint="eastAsia" w:asciiTheme="minorEastAsia" w:hAnsiTheme="minorEastAsia" w:eastAsiaTheme="minorEastAsia" w:cstheme="minorEastAsia"/>
          <w:color w:val="auto"/>
          <w:sz w:val="24"/>
          <w:szCs w:val="24"/>
          <w:highlight w:val="yellow"/>
          <w:u w:val="single"/>
          <w:lang w:val="en-US" w:eastAsia="zh-CN"/>
        </w:rPr>
        <w:t>2023</w:t>
      </w:r>
      <w:r>
        <w:rPr>
          <w:rFonts w:hint="eastAsia" w:asciiTheme="minorEastAsia" w:hAnsiTheme="minorEastAsia" w:eastAsiaTheme="minorEastAsia" w:cstheme="minorEastAsia"/>
          <w:color w:val="auto"/>
          <w:sz w:val="24"/>
          <w:szCs w:val="24"/>
          <w:highlight w:val="yellow"/>
          <w:u w:val="single"/>
        </w:rPr>
        <w:t>年</w:t>
      </w:r>
      <w:r>
        <w:rPr>
          <w:rFonts w:hint="eastAsia" w:asciiTheme="minorEastAsia" w:hAnsiTheme="minorEastAsia" w:eastAsiaTheme="minorEastAsia" w:cstheme="minorEastAsia"/>
          <w:color w:val="auto"/>
          <w:sz w:val="24"/>
          <w:szCs w:val="24"/>
          <w:highlight w:val="yellow"/>
          <w:u w:val="single"/>
          <w:lang w:val="en-US" w:eastAsia="zh-CN"/>
        </w:rPr>
        <w:t>6</w:t>
      </w:r>
      <w:r>
        <w:rPr>
          <w:rFonts w:hint="eastAsia" w:asciiTheme="minorEastAsia" w:hAnsiTheme="minorEastAsia" w:eastAsiaTheme="minorEastAsia" w:cstheme="minorEastAsia"/>
          <w:color w:val="auto"/>
          <w:sz w:val="24"/>
          <w:szCs w:val="24"/>
          <w:highlight w:val="yellow"/>
          <w:u w:val="single"/>
        </w:rPr>
        <w:t>月</w:t>
      </w:r>
      <w:r>
        <w:rPr>
          <w:rFonts w:hint="eastAsia" w:asciiTheme="minorEastAsia" w:hAnsiTheme="minorEastAsia" w:eastAsiaTheme="minorEastAsia" w:cstheme="minorEastAsia"/>
          <w:color w:val="auto"/>
          <w:sz w:val="24"/>
          <w:szCs w:val="24"/>
          <w:highlight w:val="yellow"/>
          <w:u w:val="single"/>
          <w:lang w:val="en-US" w:eastAsia="zh-CN"/>
        </w:rPr>
        <w:t>20</w:t>
      </w:r>
      <w:r>
        <w:rPr>
          <w:rFonts w:hint="eastAsia" w:asciiTheme="minorEastAsia" w:hAnsiTheme="minorEastAsia" w:eastAsiaTheme="minorEastAsia" w:cstheme="minorEastAsia"/>
          <w:color w:val="auto"/>
          <w:sz w:val="24"/>
          <w:szCs w:val="24"/>
          <w:highlight w:val="yellow"/>
          <w:u w:val="single"/>
        </w:rPr>
        <w:t>日</w:t>
      </w:r>
      <w:r>
        <w:rPr>
          <w:rFonts w:hint="eastAsia" w:asciiTheme="minorEastAsia" w:hAnsiTheme="minorEastAsia" w:eastAsiaTheme="minorEastAsia" w:cstheme="minorEastAsia"/>
          <w:color w:val="auto"/>
          <w:sz w:val="24"/>
          <w:szCs w:val="24"/>
          <w:highlight w:val="yellow"/>
        </w:rPr>
        <w:t>至</w:t>
      </w:r>
      <w:r>
        <w:rPr>
          <w:rFonts w:hint="eastAsia" w:asciiTheme="minorEastAsia" w:hAnsiTheme="minorEastAsia" w:eastAsiaTheme="minorEastAsia" w:cstheme="minorEastAsia"/>
          <w:color w:val="auto"/>
          <w:sz w:val="24"/>
          <w:szCs w:val="24"/>
          <w:highlight w:val="yellow"/>
          <w:u w:val="single"/>
          <w:lang w:val="en-US" w:eastAsia="zh-CN"/>
        </w:rPr>
        <w:t>2023</w:t>
      </w:r>
      <w:r>
        <w:rPr>
          <w:rFonts w:hint="eastAsia" w:asciiTheme="minorEastAsia" w:hAnsiTheme="minorEastAsia" w:eastAsiaTheme="minorEastAsia" w:cstheme="minorEastAsia"/>
          <w:color w:val="auto"/>
          <w:sz w:val="24"/>
          <w:szCs w:val="24"/>
          <w:highlight w:val="yellow"/>
          <w:u w:val="single"/>
        </w:rPr>
        <w:t>年</w:t>
      </w:r>
      <w:r>
        <w:rPr>
          <w:rFonts w:hint="eastAsia" w:asciiTheme="minorEastAsia" w:hAnsiTheme="minorEastAsia" w:eastAsiaTheme="minorEastAsia" w:cstheme="minorEastAsia"/>
          <w:color w:val="auto"/>
          <w:sz w:val="24"/>
          <w:szCs w:val="24"/>
          <w:highlight w:val="yellow"/>
          <w:u w:val="single"/>
          <w:lang w:val="en-US" w:eastAsia="zh-CN"/>
        </w:rPr>
        <w:t xml:space="preserve">6 </w:t>
      </w:r>
      <w:r>
        <w:rPr>
          <w:rFonts w:hint="eastAsia" w:asciiTheme="minorEastAsia" w:hAnsiTheme="minorEastAsia" w:eastAsiaTheme="minorEastAsia" w:cstheme="minorEastAsia"/>
          <w:color w:val="auto"/>
          <w:sz w:val="24"/>
          <w:szCs w:val="24"/>
          <w:highlight w:val="yellow"/>
          <w:u w:val="single"/>
        </w:rPr>
        <w:t>月</w:t>
      </w:r>
      <w:r>
        <w:rPr>
          <w:rFonts w:hint="eastAsia" w:asciiTheme="minorEastAsia" w:hAnsiTheme="minorEastAsia" w:eastAsiaTheme="minorEastAsia" w:cstheme="minorEastAsia"/>
          <w:color w:val="auto"/>
          <w:sz w:val="24"/>
          <w:szCs w:val="24"/>
          <w:highlight w:val="yellow"/>
          <w:u w:val="single"/>
          <w:lang w:val="en-US" w:eastAsia="zh-CN"/>
        </w:rPr>
        <w:t>27</w:t>
      </w:r>
      <w:r>
        <w:rPr>
          <w:rFonts w:hint="eastAsia" w:asciiTheme="minorEastAsia" w:hAnsiTheme="minorEastAsia" w:eastAsiaTheme="minorEastAsia" w:cstheme="minorEastAsia"/>
          <w:color w:val="auto"/>
          <w:sz w:val="24"/>
          <w:szCs w:val="24"/>
          <w:highlight w:val="yellow"/>
          <w:u w:val="single"/>
        </w:rPr>
        <w:t>日</w:t>
      </w:r>
      <w:r>
        <w:rPr>
          <w:rFonts w:hint="eastAsia" w:asciiTheme="minorEastAsia" w:hAnsiTheme="minorEastAsia" w:eastAsiaTheme="minorEastAsia" w:cstheme="minorEastAsia"/>
          <w:color w:val="auto"/>
          <w:sz w:val="24"/>
          <w:szCs w:val="24"/>
          <w:highlight w:val="yellow"/>
        </w:rPr>
        <w:t>，</w:t>
      </w:r>
      <w:r>
        <w:rPr>
          <w:rFonts w:hint="eastAsia" w:asciiTheme="minorEastAsia" w:hAnsiTheme="minorEastAsia" w:eastAsiaTheme="minorEastAsia" w:cstheme="minorEastAsia"/>
          <w:color w:val="auto"/>
          <w:sz w:val="24"/>
          <w:szCs w:val="24"/>
          <w:highlight w:val="none"/>
        </w:rPr>
        <w:t>每天上午</w:t>
      </w:r>
      <w:r>
        <w:rPr>
          <w:rFonts w:hint="eastAsia" w:asciiTheme="minorEastAsia" w:hAnsiTheme="minorEastAsia" w:eastAsiaTheme="minorEastAsia" w:cstheme="minorEastAsia"/>
          <w:color w:val="auto"/>
          <w:sz w:val="24"/>
          <w:szCs w:val="24"/>
          <w:highlight w:val="none"/>
          <w:u w:val="single"/>
          <w:lang w:val="en-US" w:eastAsia="zh-CN"/>
        </w:rPr>
        <w:t>00:00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，下午</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23:59</w:t>
      </w:r>
      <w:r>
        <w:rPr>
          <w:rFonts w:hint="eastAsia" w:asciiTheme="minorEastAsia" w:hAnsiTheme="minorEastAsia" w:eastAsiaTheme="minorEastAsia" w:cstheme="minorEastAsia"/>
          <w:color w:val="auto"/>
          <w:sz w:val="24"/>
          <w:szCs w:val="24"/>
          <w:highlight w:val="none"/>
        </w:rPr>
        <w:t>（北京时间，法定节假日除外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2、地点（网址）：</w:t>
      </w:r>
      <w:r>
        <w:rPr>
          <w:rFonts w:hint="eastAsia" w:asciiTheme="minorEastAsia" w:hAnsiTheme="minorEastAsia" w:eastAsiaTheme="minorEastAsia" w:cstheme="minorEastAsia"/>
          <w:sz w:val="24"/>
          <w:szCs w:val="24"/>
        </w:rPr>
        <w:t>政采云平台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http://www.zcygov.cn/</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3、获取方式：</w:t>
      </w:r>
      <w:r>
        <w:rPr>
          <w:rFonts w:hint="eastAsia" w:asciiTheme="minorEastAsia" w:hAnsiTheme="minorEastAsia" w:eastAsiaTheme="minorEastAsia" w:cstheme="minorEastAsia"/>
          <w:color w:val="000000"/>
          <w:sz w:val="24"/>
          <w:szCs w:val="24"/>
        </w:rPr>
        <w:t>供应商登录政采云平台的注册账号后，进入政采云系统“项目采购”模块“获取采购文件”菜单，进行网上获取采购文件。如有疑问请及时咨询网站客服，</w:t>
      </w:r>
      <w:r>
        <w:rPr>
          <w:rFonts w:hint="eastAsia" w:asciiTheme="minorEastAsia" w:hAnsiTheme="minorEastAsia" w:eastAsiaTheme="minorEastAsia" w:cstheme="minorEastAsia"/>
          <w:color w:val="000000"/>
          <w:kern w:val="0"/>
          <w:sz w:val="24"/>
          <w:szCs w:val="24"/>
        </w:rPr>
        <w:t>咨询电话：400</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881</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7190。</w:t>
      </w:r>
    </w:p>
    <w:p>
      <w:pPr>
        <w:keepNext w:val="0"/>
        <w:keepLines w:val="0"/>
        <w:pageBreakBefore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4、供应商应在“</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”政采云平台注册登记，成为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省政府采购注册供应商。如未注册的供应商，请注意注册所需时间。</w:t>
      </w:r>
    </w:p>
    <w:p>
      <w:pPr>
        <w:pStyle w:val="8"/>
        <w:keepNext w:val="0"/>
        <w:keepLines w:val="0"/>
        <w:pageBreakBefore w:val="0"/>
        <w:kinsoku/>
        <w:wordWrap/>
        <w:overflowPunct/>
        <w:topLinePunct w:val="0"/>
        <w:bidi w:val="0"/>
        <w:spacing w:after="0" w:line="56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5、有关本项目招标的其他事项，请与</w:t>
      </w:r>
      <w:r>
        <w:rPr>
          <w:rFonts w:hint="eastAsia" w:asciiTheme="minorEastAsia" w:hAnsiTheme="minorEastAsia" w:eastAsiaTheme="minorEastAsia" w:cstheme="minorEastAsia"/>
          <w:sz w:val="24"/>
          <w:szCs w:val="24"/>
          <w:u w:val="none"/>
          <w:lang w:val="en-US" w:eastAsia="zh-CN"/>
        </w:rPr>
        <w:t>奇台县政务服务和公共资源交易中心</w:t>
      </w:r>
      <w:r>
        <w:rPr>
          <w:rFonts w:hint="eastAsia" w:asciiTheme="minorEastAsia" w:hAnsiTheme="minorEastAsia" w:eastAsiaTheme="minorEastAsia" w:cstheme="minorEastAsia"/>
          <w:sz w:val="24"/>
          <w:szCs w:val="24"/>
        </w:rPr>
        <w:t>联系。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rPr>
      </w:pPr>
      <w:r>
        <w:rPr>
          <w:rFonts w:hint="eastAsia" w:asciiTheme="minorEastAsia" w:hAnsiTheme="minorEastAsia" w:eastAsiaTheme="minorEastAsia" w:cstheme="minorEastAsia"/>
          <w:b w:val="0"/>
          <w:bCs w:val="0"/>
          <w:i w:val="0"/>
          <w:caps w:val="0"/>
          <w:color w:val="000000"/>
          <w:spacing w:val="0"/>
          <w:sz w:val="24"/>
          <w:szCs w:val="24"/>
        </w:rPr>
        <w:t>售价：</w:t>
      </w:r>
      <w:r>
        <w:rPr>
          <w:rFonts w:hint="eastAsia" w:asciiTheme="minorEastAsia" w:hAnsiTheme="minorEastAsia" w:eastAsiaTheme="minorEastAsia" w:cstheme="minorEastAsia"/>
          <w:b w:val="0"/>
          <w:bCs w:val="0"/>
          <w:i w:val="0"/>
          <w:caps w:val="0"/>
          <w:color w:val="000000"/>
          <w:spacing w:val="0"/>
          <w:sz w:val="24"/>
          <w:szCs w:val="24"/>
          <w:lang w:val="en-US" w:eastAsia="zh-CN"/>
        </w:rPr>
        <w:t>0元</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color w:val="000000"/>
          <w:sz w:val="24"/>
          <w:szCs w:val="24"/>
          <w:lang w:eastAsia="zh-CN"/>
        </w:rPr>
        <w:t>八</w:t>
      </w:r>
      <w:r>
        <w:rPr>
          <w:rFonts w:hint="eastAsia" w:asciiTheme="minorEastAsia" w:hAnsiTheme="minorEastAsia" w:eastAsiaTheme="minorEastAsia" w:cstheme="minorEastAsia"/>
          <w:b/>
          <w:color w:val="000000"/>
          <w:sz w:val="24"/>
          <w:szCs w:val="24"/>
        </w:rPr>
        <w:t>、投标保证金：</w:t>
      </w:r>
      <w:r>
        <w:rPr>
          <w:rFonts w:hint="eastAsia" w:asciiTheme="minorEastAsia" w:hAnsiTheme="minorEastAsia" w:eastAsiaTheme="minorEastAsia" w:cstheme="minorEastAsia"/>
          <w:b w:val="0"/>
          <w:bCs/>
          <w:sz w:val="24"/>
          <w:szCs w:val="24"/>
          <w:highlight w:val="green"/>
        </w:rPr>
        <w:t>本项目不收取投标保证金。</w:t>
      </w:r>
    </w:p>
    <w:p>
      <w:pPr>
        <w:keepNext w:val="0"/>
        <w:keepLines w:val="0"/>
        <w:pageBreakBefore w:val="0"/>
        <w:kinsoku/>
        <w:wordWrap/>
        <w:overflowPunct/>
        <w:topLinePunct w:val="0"/>
        <w:bidi w:val="0"/>
        <w:snapToGrid w:val="0"/>
        <w:spacing w:line="560" w:lineRule="exact"/>
        <w:ind w:left="0" w:leftChars="0" w:right="0" w:rightChars="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九</w:t>
      </w:r>
      <w:r>
        <w:rPr>
          <w:rFonts w:hint="eastAsia" w:asciiTheme="minorEastAsia" w:hAnsiTheme="minorEastAsia" w:eastAsiaTheme="minorEastAsia" w:cstheme="minorEastAsia"/>
          <w:b/>
          <w:color w:val="000000"/>
          <w:sz w:val="24"/>
          <w:szCs w:val="24"/>
        </w:rPr>
        <w:t>、投标与开标注意事项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sz w:val="24"/>
          <w:szCs w:val="24"/>
        </w:rPr>
        <w:t>1、本项目实行网上投标，采用电子投标文件</w:t>
      </w:r>
      <w:r>
        <w:rPr>
          <w:rFonts w:hint="eastAsia" w:asciiTheme="minorEastAsia" w:hAnsiTheme="minorEastAsia" w:eastAsiaTheme="minorEastAsia" w:cstheme="minorEastAsia"/>
          <w:sz w:val="24"/>
          <w:szCs w:val="24"/>
        </w:rPr>
        <w:t>。若投标人参与投标，自行承担投标一切费用。投标人在使用系统进行投标的过程中遇到涉及平台使用的任何问题，可致电政府采购云平台技术支持热线咨询，联系方式：400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881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7190。</w:t>
      </w:r>
    </w:p>
    <w:p>
      <w:pPr>
        <w:pStyle w:val="28"/>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2、标前准备：</w:t>
      </w:r>
    </w:p>
    <w:p>
      <w:pPr>
        <w:pStyle w:val="28"/>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sz w:val="24"/>
          <w:szCs w:val="24"/>
        </w:rPr>
        <w:t>各投标人应在开标前确保成为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省政府采购网正式注册入库供应商，供应商需要使用CA加密设备，凡参加本项目供应商可通过新疆数字证书认证中心官网（https://www.xjca.com.cn/）或下载“新疆政务通”APP自行进行线上申领，</w:t>
      </w:r>
      <w:r>
        <w:rPr>
          <w:rFonts w:hint="eastAsia" w:asciiTheme="minorEastAsia" w:hAnsiTheme="minorEastAsia" w:eastAsiaTheme="minorEastAsia" w:cstheme="minorEastAsia"/>
          <w:i w:val="0"/>
          <w:caps w:val="0"/>
          <w:color w:val="000000"/>
          <w:spacing w:val="0"/>
          <w:sz w:val="24"/>
          <w:szCs w:val="24"/>
        </w:rPr>
        <w:t>如原有兵团或公共资源使用的CA，可与新疆CA联系，申请增加电子证书即可，无需重复申领</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新疆CA服务热线</w:t>
      </w:r>
      <w:r>
        <w:rPr>
          <w:rFonts w:hint="eastAsia" w:asciiTheme="minorEastAsia" w:hAnsiTheme="minorEastAsia" w:eastAsiaTheme="minorEastAsia" w:cstheme="minorEastAsia"/>
          <w:i w:val="0"/>
          <w:caps w:val="0"/>
          <w:color w:val="000000"/>
          <w:spacing w:val="0"/>
          <w:sz w:val="24"/>
          <w:szCs w:val="24"/>
          <w:lang w:val="en-US" w:eastAsia="zh-CN"/>
        </w:rPr>
        <w:t>0991</w:t>
      </w:r>
      <w:r>
        <w:rPr>
          <w:rFonts w:hint="eastAsia" w:asciiTheme="minorEastAsia" w:hAnsiTheme="minorEastAsia" w:eastAsiaTheme="minorEastAsia" w:cstheme="minorEastAsia"/>
          <w:i w:val="0"/>
          <w:caps w:val="0"/>
          <w:color w:val="000000"/>
          <w:spacing w:val="0"/>
          <w:sz w:val="24"/>
          <w:szCs w:val="24"/>
        </w:rPr>
        <w:t>-2819290。</w:t>
      </w:r>
      <w:r>
        <w:rPr>
          <w:rFonts w:hint="eastAsia" w:asciiTheme="minorEastAsia" w:hAnsiTheme="minorEastAsia" w:eastAsiaTheme="minorEastAsia" w:cstheme="minorEastAsia"/>
          <w:sz w:val="24"/>
          <w:szCs w:val="24"/>
        </w:rPr>
        <w:t>或前往</w:t>
      </w:r>
      <w:r>
        <w:rPr>
          <w:rFonts w:hint="eastAsia" w:asciiTheme="minorEastAsia" w:hAnsiTheme="minorEastAsia" w:eastAsiaTheme="minorEastAsia" w:cstheme="minorEastAsia"/>
          <w:sz w:val="24"/>
          <w:szCs w:val="24"/>
          <w:lang w:eastAsia="zh-CN"/>
        </w:rPr>
        <w:t>奇台县大成时代写字楼</w:t>
      </w:r>
      <w:r>
        <w:rPr>
          <w:rFonts w:hint="eastAsia" w:asciiTheme="minorEastAsia" w:hAnsiTheme="minorEastAsia" w:eastAsiaTheme="minorEastAsia" w:cstheme="minorEastAsia"/>
          <w:sz w:val="24"/>
          <w:szCs w:val="24"/>
          <w:lang w:val="en-US" w:eastAsia="zh-CN"/>
        </w:rPr>
        <w:t>908室</w:t>
      </w:r>
      <w:r>
        <w:rPr>
          <w:rFonts w:hint="eastAsia" w:asciiTheme="minorEastAsia" w:hAnsiTheme="minorEastAsia" w:eastAsiaTheme="minorEastAsia" w:cstheme="minorEastAsia"/>
          <w:sz w:val="24"/>
          <w:szCs w:val="24"/>
        </w:rPr>
        <w:t>线下办理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caps w:val="0"/>
          <w:color w:val="000000"/>
          <w:spacing w:val="0"/>
          <w:sz w:val="24"/>
          <w:szCs w:val="24"/>
        </w:rPr>
        <w:t>服务热线</w:t>
      </w:r>
      <w:r>
        <w:rPr>
          <w:rFonts w:hint="eastAsia" w:asciiTheme="minorEastAsia" w:hAnsiTheme="minorEastAsia" w:eastAsiaTheme="minorEastAsia" w:cstheme="minorEastAsia"/>
          <w:i w:val="0"/>
          <w:caps w:val="0"/>
          <w:color w:val="000000"/>
          <w:spacing w:val="0"/>
          <w:sz w:val="24"/>
          <w:szCs w:val="24"/>
          <w:lang w:val="en-US" w:eastAsia="zh-CN"/>
        </w:rPr>
        <w:t>0994-7219990</w:t>
      </w:r>
      <w:r>
        <w:rPr>
          <w:rFonts w:hint="eastAsia" w:asciiTheme="minorEastAsia" w:hAnsiTheme="minorEastAsia" w:eastAsiaTheme="minorEastAsia" w:cstheme="minorEastAsia"/>
          <w:sz w:val="24"/>
          <w:szCs w:val="24"/>
        </w:rPr>
        <w:t>。如有操作性问题可与政采云在线客服进行咨询，咨询电话：400-881-7190。</w:t>
      </w:r>
    </w:p>
    <w:p>
      <w:pPr>
        <w:keepNext w:val="0"/>
        <w:keepLines w:val="0"/>
        <w:pageBreakBefore w:val="0"/>
        <w:kinsoku/>
        <w:wordWrap/>
        <w:overflowPunct/>
        <w:topLinePunct w:val="0"/>
        <w:bidi w:val="0"/>
        <w:snapToGrid w:val="0"/>
        <w:spacing w:line="560" w:lineRule="exact"/>
        <w:ind w:right="0" w:rightChars="0" w:firstLine="480" w:firstLineChars="200"/>
        <w:textAlignment w:val="auto"/>
        <w:rPr>
          <w:rFonts w:hint="eastAsia" w:eastAsia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sz w:val="24"/>
          <w:szCs w:val="24"/>
        </w:rPr>
        <w:t>3、投标文件制作：</w:t>
      </w:r>
    </w:p>
    <w:p>
      <w:pPr>
        <w:pStyle w:val="28"/>
        <w:bidi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供应商应使用最新版本的CA驱动和政采云投标客户端，客户端下载、安装完成后，可通过账号密码或CA登录客户端进行响应文件制作。在使用政采云投标客户端时，建议使用谷歌浏览器，电脑配置满足win7+64位以上操作系统（不能用mac或者linux系统）。</w:t>
      </w:r>
      <w:r>
        <w:rPr>
          <w:rFonts w:hint="eastAsia" w:asciiTheme="minorEastAsia" w:hAnsiTheme="minorEastAsia" w:eastAsiaTheme="minorEastAsia" w:cstheme="minorEastAsia"/>
          <w:sz w:val="24"/>
          <w:szCs w:val="24"/>
          <w:u w:val="wave"/>
        </w:rPr>
        <w:t>客户端请至新疆政府采购网（www.ccgp-xinjiang.gov.cn）下载专区查看，如有问题可拨打政采云客户服务热线400-881-7190进行咨询。</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、投标截止时间和地点：</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1、投标人应于</w:t>
      </w:r>
      <w:r>
        <w:rPr>
          <w:rFonts w:hint="eastAsia" w:asciiTheme="minorEastAsia" w:hAnsiTheme="minorEastAsia" w:eastAsiaTheme="minorEastAsia" w:cstheme="minorEastAsia"/>
          <w:b/>
          <w:bCs/>
          <w:sz w:val="24"/>
          <w:szCs w:val="24"/>
          <w:highlight w:val="green"/>
          <w:u w:val="single"/>
        </w:rPr>
        <w:t>202</w:t>
      </w:r>
      <w:r>
        <w:rPr>
          <w:rFonts w:hint="eastAsia" w:asciiTheme="minorEastAsia" w:hAnsiTheme="minorEastAsia" w:eastAsiaTheme="minorEastAsia" w:cstheme="minorEastAsia"/>
          <w:b/>
          <w:bCs/>
          <w:sz w:val="24"/>
          <w:szCs w:val="24"/>
          <w:highlight w:val="green"/>
          <w:u w:val="single"/>
          <w:lang w:val="en-US" w:eastAsia="zh-CN"/>
        </w:rPr>
        <w:t>3</w:t>
      </w:r>
      <w:r>
        <w:rPr>
          <w:rFonts w:hint="eastAsia" w:asciiTheme="minorEastAsia" w:hAnsiTheme="minorEastAsia" w:eastAsiaTheme="minorEastAsia" w:cstheme="minorEastAsia"/>
          <w:b/>
          <w:bCs/>
          <w:sz w:val="24"/>
          <w:szCs w:val="24"/>
          <w:highlight w:val="green"/>
          <w:u w:val="single"/>
        </w:rPr>
        <w:t>年</w:t>
      </w:r>
      <w:r>
        <w:rPr>
          <w:rFonts w:hint="eastAsia" w:asciiTheme="minorEastAsia" w:hAnsiTheme="minorEastAsia" w:eastAsiaTheme="minorEastAsia" w:cstheme="minorEastAsia"/>
          <w:b/>
          <w:bCs/>
          <w:sz w:val="24"/>
          <w:szCs w:val="24"/>
          <w:highlight w:val="green"/>
          <w:u w:val="single"/>
          <w:lang w:val="en-US" w:eastAsia="zh-CN"/>
        </w:rPr>
        <w:t>7</w:t>
      </w:r>
      <w:r>
        <w:rPr>
          <w:rFonts w:hint="eastAsia" w:asciiTheme="minorEastAsia" w:hAnsiTheme="minorEastAsia" w:eastAsiaTheme="minorEastAsia" w:cstheme="minorEastAsia"/>
          <w:b/>
          <w:bCs/>
          <w:sz w:val="24"/>
          <w:szCs w:val="24"/>
          <w:highlight w:val="green"/>
          <w:u w:val="single"/>
        </w:rPr>
        <w:t>月</w:t>
      </w:r>
      <w:r>
        <w:rPr>
          <w:rFonts w:hint="eastAsia" w:asciiTheme="minorEastAsia" w:hAnsiTheme="minorEastAsia" w:eastAsiaTheme="minorEastAsia" w:cstheme="minorEastAsia"/>
          <w:b/>
          <w:bCs/>
          <w:sz w:val="24"/>
          <w:szCs w:val="24"/>
          <w:highlight w:val="green"/>
          <w:u w:val="single"/>
          <w:lang w:val="en-US" w:eastAsia="zh-CN"/>
        </w:rPr>
        <w:t>10</w:t>
      </w:r>
      <w:r>
        <w:rPr>
          <w:rFonts w:hint="eastAsia" w:asciiTheme="minorEastAsia" w:hAnsiTheme="minorEastAsia" w:eastAsiaTheme="minorEastAsia" w:cstheme="minorEastAsia"/>
          <w:b/>
          <w:bCs/>
          <w:sz w:val="24"/>
          <w:szCs w:val="24"/>
          <w:highlight w:val="green"/>
          <w:u w:val="single"/>
        </w:rPr>
        <w:t>日</w:t>
      </w:r>
      <w:r>
        <w:rPr>
          <w:rFonts w:hint="eastAsia" w:asciiTheme="minorEastAsia" w:hAnsiTheme="minorEastAsia" w:eastAsiaTheme="minorEastAsia" w:cstheme="minorEastAsia"/>
          <w:b/>
          <w:bCs/>
          <w:sz w:val="24"/>
          <w:szCs w:val="24"/>
          <w:highlight w:val="green"/>
          <w:u w:val="single"/>
          <w:lang w:val="en-US" w:eastAsia="zh-CN"/>
        </w:rPr>
        <w:t>上午11</w:t>
      </w:r>
      <w:r>
        <w:rPr>
          <w:rFonts w:hint="eastAsia" w:asciiTheme="minorEastAsia" w:hAnsiTheme="minorEastAsia" w:eastAsiaTheme="minorEastAsia" w:cstheme="minorEastAsia"/>
          <w:b/>
          <w:bCs/>
          <w:sz w:val="24"/>
          <w:szCs w:val="24"/>
          <w:highlight w:val="green"/>
          <w:u w:val="single"/>
        </w:rPr>
        <w:t>时</w:t>
      </w:r>
      <w:r>
        <w:rPr>
          <w:rFonts w:hint="eastAsia" w:asciiTheme="minorEastAsia" w:hAnsiTheme="minorEastAsia" w:eastAsiaTheme="minorEastAsia" w:cstheme="minorEastAsia"/>
          <w:b/>
          <w:bCs/>
          <w:sz w:val="24"/>
          <w:szCs w:val="24"/>
          <w:highlight w:val="green"/>
          <w:u w:val="single"/>
          <w:lang w:val="en-US" w:eastAsia="zh-CN"/>
        </w:rPr>
        <w:t>0</w:t>
      </w:r>
      <w:r>
        <w:rPr>
          <w:rFonts w:hint="eastAsia" w:asciiTheme="minorEastAsia" w:hAnsiTheme="minorEastAsia" w:eastAsiaTheme="minorEastAsia" w:cstheme="minorEastAsia"/>
          <w:b/>
          <w:bCs/>
          <w:sz w:val="24"/>
          <w:szCs w:val="24"/>
          <w:highlight w:val="green"/>
          <w:u w:val="single"/>
        </w:rPr>
        <w:t>0分（北京时间）</w:t>
      </w:r>
      <w:r>
        <w:rPr>
          <w:rFonts w:hint="eastAsia" w:asciiTheme="minorEastAsia" w:hAnsiTheme="minorEastAsia" w:eastAsiaTheme="minorEastAsia" w:cstheme="minorEastAsia"/>
          <w:sz w:val="24"/>
          <w:szCs w:val="24"/>
        </w:rPr>
        <w:t>前，将电子投标文件上传到“政采云”平台。</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keepNext w:val="0"/>
        <w:keepLines w:val="0"/>
        <w:pageBreakBefore w:val="0"/>
        <w:kinsoku/>
        <w:wordWrap/>
        <w:overflowPunct/>
        <w:topLinePunct w:val="0"/>
        <w:bidi w:val="0"/>
        <w:snapToGrid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一</w:t>
      </w:r>
      <w:r>
        <w:rPr>
          <w:rFonts w:hint="eastAsia" w:asciiTheme="minorEastAsia" w:hAnsiTheme="minorEastAsia" w:eastAsiaTheme="minorEastAsia" w:cstheme="minorEastAsia"/>
          <w:b/>
          <w:sz w:val="24"/>
          <w:szCs w:val="24"/>
        </w:rPr>
        <w:t xml:space="preserve"> 、开标时间和地点：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1、开标日期及时间：</w:t>
      </w:r>
      <w:r>
        <w:rPr>
          <w:rFonts w:hint="eastAsia" w:asciiTheme="minorEastAsia" w:hAnsiTheme="minorEastAsia" w:eastAsiaTheme="minorEastAsia" w:cstheme="minorEastAsia"/>
          <w:b/>
          <w:bCs/>
          <w:sz w:val="24"/>
          <w:szCs w:val="24"/>
          <w:highlight w:val="yellow"/>
          <w:u w:val="single"/>
        </w:rPr>
        <w:t>202</w:t>
      </w:r>
      <w:r>
        <w:rPr>
          <w:rFonts w:hint="eastAsia" w:asciiTheme="minorEastAsia" w:hAnsiTheme="minorEastAsia" w:eastAsiaTheme="minorEastAsia" w:cstheme="minorEastAsia"/>
          <w:b/>
          <w:bCs/>
          <w:sz w:val="24"/>
          <w:szCs w:val="24"/>
          <w:highlight w:val="yellow"/>
          <w:u w:val="single"/>
          <w:lang w:val="en-US" w:eastAsia="zh-CN"/>
        </w:rPr>
        <w:t>3</w:t>
      </w:r>
      <w:r>
        <w:rPr>
          <w:rFonts w:hint="eastAsia" w:asciiTheme="minorEastAsia" w:hAnsiTheme="minorEastAsia" w:eastAsiaTheme="minorEastAsia" w:cstheme="minorEastAsia"/>
          <w:b/>
          <w:bCs/>
          <w:sz w:val="24"/>
          <w:szCs w:val="24"/>
          <w:highlight w:val="yellow"/>
          <w:u w:val="single"/>
        </w:rPr>
        <w:t>年</w:t>
      </w:r>
      <w:r>
        <w:rPr>
          <w:rFonts w:hint="eastAsia" w:asciiTheme="minorEastAsia" w:hAnsiTheme="minorEastAsia" w:eastAsiaTheme="minorEastAsia" w:cstheme="minorEastAsia"/>
          <w:b/>
          <w:bCs/>
          <w:sz w:val="24"/>
          <w:szCs w:val="24"/>
          <w:highlight w:val="yellow"/>
          <w:u w:val="single"/>
          <w:lang w:val="en-US" w:eastAsia="zh-CN"/>
        </w:rPr>
        <w:t>7</w:t>
      </w:r>
      <w:r>
        <w:rPr>
          <w:rFonts w:hint="eastAsia" w:asciiTheme="minorEastAsia" w:hAnsiTheme="minorEastAsia" w:eastAsiaTheme="minorEastAsia" w:cstheme="minorEastAsia"/>
          <w:b/>
          <w:bCs/>
          <w:sz w:val="24"/>
          <w:szCs w:val="24"/>
          <w:highlight w:val="yellow"/>
          <w:u w:val="single"/>
        </w:rPr>
        <w:t>月</w:t>
      </w:r>
      <w:r>
        <w:rPr>
          <w:rFonts w:hint="eastAsia" w:asciiTheme="minorEastAsia" w:hAnsiTheme="minorEastAsia" w:eastAsiaTheme="minorEastAsia" w:cstheme="minorEastAsia"/>
          <w:b/>
          <w:bCs/>
          <w:sz w:val="24"/>
          <w:szCs w:val="24"/>
          <w:highlight w:val="yellow"/>
          <w:u w:val="single"/>
          <w:lang w:val="en-US" w:eastAsia="zh-CN"/>
        </w:rPr>
        <w:t>10</w:t>
      </w:r>
      <w:r>
        <w:rPr>
          <w:rFonts w:hint="eastAsia" w:asciiTheme="minorEastAsia" w:hAnsiTheme="minorEastAsia" w:eastAsiaTheme="minorEastAsia" w:cstheme="minorEastAsia"/>
          <w:b/>
          <w:bCs/>
          <w:sz w:val="24"/>
          <w:szCs w:val="24"/>
          <w:highlight w:val="yellow"/>
          <w:u w:val="single"/>
        </w:rPr>
        <w:t>日</w:t>
      </w:r>
      <w:r>
        <w:rPr>
          <w:rFonts w:hint="eastAsia" w:asciiTheme="minorEastAsia" w:hAnsiTheme="minorEastAsia" w:eastAsiaTheme="minorEastAsia" w:cstheme="minorEastAsia"/>
          <w:b/>
          <w:bCs/>
          <w:sz w:val="24"/>
          <w:szCs w:val="24"/>
          <w:highlight w:val="yellow"/>
          <w:u w:val="single"/>
          <w:lang w:val="en-US" w:eastAsia="zh-CN"/>
        </w:rPr>
        <w:t>上午11</w:t>
      </w:r>
      <w:r>
        <w:rPr>
          <w:rFonts w:hint="eastAsia" w:asciiTheme="minorEastAsia" w:hAnsiTheme="minorEastAsia" w:eastAsiaTheme="minorEastAsia" w:cstheme="minorEastAsia"/>
          <w:b/>
          <w:bCs/>
          <w:sz w:val="24"/>
          <w:szCs w:val="24"/>
          <w:highlight w:val="yellow"/>
          <w:u w:val="single"/>
        </w:rPr>
        <w:t>时</w:t>
      </w:r>
      <w:r>
        <w:rPr>
          <w:rFonts w:hint="eastAsia" w:asciiTheme="minorEastAsia" w:hAnsiTheme="minorEastAsia" w:eastAsiaTheme="minorEastAsia" w:cstheme="minorEastAsia"/>
          <w:b/>
          <w:bCs/>
          <w:sz w:val="24"/>
          <w:szCs w:val="24"/>
          <w:highlight w:val="yellow"/>
          <w:u w:val="single"/>
          <w:lang w:val="en-US" w:eastAsia="zh-CN"/>
        </w:rPr>
        <w:t>0</w:t>
      </w:r>
      <w:r>
        <w:rPr>
          <w:rFonts w:hint="eastAsia" w:asciiTheme="minorEastAsia" w:hAnsiTheme="minorEastAsia" w:eastAsiaTheme="minorEastAsia" w:cstheme="minorEastAsia"/>
          <w:b/>
          <w:bCs/>
          <w:sz w:val="24"/>
          <w:szCs w:val="24"/>
          <w:highlight w:val="yellow"/>
          <w:u w:val="single"/>
        </w:rPr>
        <w:t>0分（北京时间）</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2、开标地点（网址）：</w:t>
      </w:r>
      <w:r>
        <w:rPr>
          <w:rFonts w:hint="eastAsia" w:asciiTheme="minorEastAsia" w:hAnsiTheme="minorEastAsia" w:eastAsiaTheme="minorEastAsia" w:cstheme="minorEastAsia"/>
          <w:sz w:val="24"/>
          <w:szCs w:val="24"/>
          <w:lang w:eastAsia="zh-CN"/>
        </w:rPr>
        <w:t>奇台县政务服务和公共资源交易中心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val="0"/>
          <w:caps w:val="0"/>
          <w:color w:val="000000"/>
          <w:spacing w:val="0"/>
          <w:sz w:val="24"/>
          <w:szCs w:val="24"/>
        </w:rPr>
        <w:t>奇台县天山东部物流园B区北段综合办公楼三楼</w:t>
      </w:r>
      <w:r>
        <w:rPr>
          <w:rFonts w:hint="eastAsia" w:asciiTheme="minorEastAsia" w:hAnsiTheme="minorEastAsia" w:eastAsiaTheme="minorEastAsia" w:cstheme="minorEastAsia"/>
          <w:sz w:val="24"/>
          <w:szCs w:val="24"/>
        </w:rPr>
        <w:t>）（政采云（http://www.zcygov.cn/））</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3、开标时间后30分钟内（</w:t>
      </w:r>
      <w:r>
        <w:rPr>
          <w:rFonts w:hint="eastAsia" w:asciiTheme="minorEastAsia" w:hAnsiTheme="minorEastAsia" w:eastAsiaTheme="minorEastAsia" w:cstheme="minorEastAsia"/>
          <w:b w:val="0"/>
          <w:bCs w:val="0"/>
          <w:sz w:val="24"/>
          <w:szCs w:val="24"/>
          <w:highlight w:val="green"/>
        </w:rPr>
        <w:t>开标日</w:t>
      </w:r>
      <w:r>
        <w:rPr>
          <w:rFonts w:hint="eastAsia" w:asciiTheme="minorEastAsia" w:hAnsiTheme="minorEastAsia" w:eastAsiaTheme="minorEastAsia" w:cstheme="minorEastAsia"/>
          <w:b w:val="0"/>
          <w:bCs w:val="0"/>
          <w:sz w:val="24"/>
          <w:szCs w:val="24"/>
          <w:highlight w:val="green"/>
          <w:lang w:val="en-US" w:eastAsia="zh-CN"/>
        </w:rPr>
        <w:t>上午11</w:t>
      </w:r>
      <w:r>
        <w:rPr>
          <w:rFonts w:hint="eastAsia" w:asciiTheme="minorEastAsia" w:hAnsiTheme="minorEastAsia" w:eastAsiaTheme="minorEastAsia" w:cstheme="minorEastAsia"/>
          <w:b w:val="0"/>
          <w:bCs w:val="0"/>
          <w:sz w:val="24"/>
          <w:szCs w:val="24"/>
          <w:highlight w:val="green"/>
        </w:rPr>
        <w:t>时前</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rPr>
        <w:t>投标人可以登录“政采云”平台，在“项目采购——开标评标”中使用制作投标文件的CA锁解密投标文件。若投标人在规定时间内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因</w:t>
      </w:r>
      <w:r>
        <w:rPr>
          <w:rFonts w:hint="eastAsia" w:asciiTheme="minorEastAsia" w:hAnsiTheme="minorEastAsia" w:eastAsiaTheme="minorEastAsia" w:cstheme="minorEastAsia"/>
          <w:sz w:val="24"/>
          <w:szCs w:val="24"/>
          <w:lang w:val="en-US" w:eastAsia="zh-CN"/>
        </w:rPr>
        <w:t>自身原因</w:t>
      </w:r>
      <w:r>
        <w:rPr>
          <w:rFonts w:hint="eastAsia" w:asciiTheme="minorEastAsia" w:hAnsiTheme="minorEastAsia" w:eastAsiaTheme="minorEastAsia" w:cstheme="minorEastAsia"/>
          <w:sz w:val="24"/>
          <w:szCs w:val="24"/>
        </w:rPr>
        <w:t>无法解密或解密失败的，视为投标人放弃投标。</w:t>
      </w:r>
    </w:p>
    <w:p>
      <w:pPr>
        <w:pStyle w:val="4"/>
        <w:pageBreakBefore w:val="0"/>
        <w:widowControl w:val="0"/>
        <w:kinsoku/>
        <w:wordWrap/>
        <w:overflowPunct/>
        <w:topLinePunct w:val="0"/>
        <w:autoSpaceDE/>
        <w:autoSpaceDN/>
        <w:bidi w:val="0"/>
        <w:adjustRightInd w:val="0"/>
        <w:snapToGrid/>
        <w:spacing w:line="560" w:lineRule="exact"/>
        <w:ind w:left="0" w:leftChars="0" w:right="0" w:rightChars="0" w:firstLine="0" w:firstLineChars="0"/>
        <w:textAlignment w:val="auto"/>
        <w:rPr>
          <w:rFonts w:hint="eastAsia" w:ascii="宋体" w:hAnsi="宋体" w:eastAsia="宋体" w:cs="宋体"/>
          <w:b/>
          <w:bCs w:val="0"/>
          <w:sz w:val="28"/>
          <w:szCs w:val="28"/>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w:t>
      </w:r>
      <w:r>
        <w:rPr>
          <w:rFonts w:hint="eastAsia" w:ascii="宋体" w:hAnsi="宋体" w:eastAsia="宋体" w:cs="宋体"/>
          <w:b/>
          <w:bCs w:val="0"/>
          <w:sz w:val="28"/>
          <w:szCs w:val="28"/>
        </w:rPr>
        <w:t>凡对本次采购提出询问，请按以下方式联系。</w:t>
      </w:r>
    </w:p>
    <w:p>
      <w:pPr>
        <w:pStyle w:val="4"/>
        <w:pageBreakBefore w:val="0"/>
        <w:widowControl w:val="0"/>
        <w:kinsoku/>
        <w:wordWrap/>
        <w:overflowPunct/>
        <w:topLinePunct w:val="0"/>
        <w:autoSpaceDE/>
        <w:autoSpaceDN/>
        <w:bidi w:val="0"/>
        <w:adjustRightInd w:val="0"/>
        <w:snapToGrid/>
        <w:spacing w:line="560" w:lineRule="exact"/>
        <w:ind w:right="0" w:rightChars="0" w:firstLine="482" w:firstLineChars="200"/>
        <w:textAlignment w:val="auto"/>
        <w:rPr>
          <w:rFonts w:hint="eastAsia" w:asciiTheme="minorEastAsia" w:hAnsiTheme="minorEastAsia" w:eastAsiaTheme="minorEastAsia" w:cstheme="minorEastAsia"/>
          <w:b/>
          <w:bCs w:val="0"/>
          <w:sz w:val="24"/>
          <w:szCs w:val="24"/>
        </w:rPr>
      </w:pPr>
      <w:bookmarkStart w:id="0" w:name="_Toc28359096"/>
      <w:bookmarkStart w:id="1" w:name="_Toc35393637"/>
      <w:bookmarkStart w:id="2" w:name="_Toc28359019"/>
      <w:bookmarkStart w:id="3" w:name="_Toc35393806"/>
      <w:r>
        <w:rPr>
          <w:rFonts w:hint="eastAsia" w:asciiTheme="minorEastAsia" w:hAnsiTheme="minorEastAsia" w:eastAsiaTheme="minorEastAsia" w:cstheme="minorEastAsia"/>
          <w:b/>
          <w:bCs w:val="0"/>
          <w:sz w:val="24"/>
          <w:szCs w:val="24"/>
        </w:rPr>
        <w:t>1</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采购人信息</w:t>
      </w:r>
      <w:bookmarkEnd w:id="0"/>
      <w:bookmarkEnd w:id="1"/>
      <w:bookmarkEnd w:id="2"/>
      <w:bookmarkEnd w:id="3"/>
    </w:p>
    <w:p>
      <w:pPr>
        <w:pStyle w:val="8"/>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val="en-US" w:eastAsia="zh-CN"/>
        </w:rPr>
        <w:t>奇台县人民医院</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kern w:val="2"/>
          <w:sz w:val="24"/>
          <w:szCs w:val="24"/>
          <w:lang w:val="en-US" w:eastAsia="zh-CN" w:bidi="ar-SA"/>
        </w:rPr>
        <w:t>昌吉回族自治州奇台县东关街115号</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w:t>
      </w:r>
      <w:r>
        <w:rPr>
          <w:rFonts w:hint="eastAsia" w:asciiTheme="minorEastAsia" w:hAnsiTheme="minorEastAsia" w:eastAsiaTheme="minorEastAsia" w:cstheme="minorEastAsia"/>
          <w:sz w:val="24"/>
          <w:szCs w:val="24"/>
          <w:lang w:val="en-US" w:eastAsia="zh-CN"/>
        </w:rPr>
        <w:t>刘晓亮</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宋体" w:hAnsi="宋体" w:eastAsia="宋体" w:cs="宋体"/>
          <w:kern w:val="2"/>
          <w:sz w:val="28"/>
          <w:szCs w:val="28"/>
          <w:u w:val="single"/>
          <w:lang w:val="en-US" w:eastAsia="zh-CN" w:bidi="ar-SA"/>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kern w:val="2"/>
          <w:sz w:val="24"/>
          <w:szCs w:val="24"/>
          <w:lang w:val="en-US" w:eastAsia="zh-CN" w:bidi="ar-SA"/>
        </w:rPr>
        <w:t xml:space="preserve">13619962371  </w:t>
      </w:r>
      <w:r>
        <w:rPr>
          <w:rFonts w:hint="eastAsia" w:asciiTheme="minorEastAsia" w:hAnsiTheme="minorEastAsia" w:eastAsiaTheme="minorEastAsia" w:cstheme="minorEastAsia"/>
          <w:kern w:val="2"/>
          <w:sz w:val="24"/>
          <w:szCs w:val="24"/>
          <w:u w:val="none"/>
          <w:lang w:val="en-US" w:eastAsia="zh-CN" w:bidi="ar-SA"/>
        </w:rPr>
        <w:t xml:space="preserve">  　</w:t>
      </w:r>
      <w:r>
        <w:rPr>
          <w:rFonts w:hint="eastAsia" w:ascii="宋体" w:hAnsi="宋体" w:eastAsia="宋体" w:cs="宋体"/>
          <w:kern w:val="2"/>
          <w:sz w:val="28"/>
          <w:szCs w:val="28"/>
          <w:u w:val="none"/>
          <w:lang w:val="en-US" w:eastAsia="zh-CN" w:bidi="ar-SA"/>
        </w:rPr>
        <w:t xml:space="preserve"> </w:t>
      </w:r>
      <w:bookmarkStart w:id="4" w:name="_Toc35393807"/>
      <w:bookmarkStart w:id="5" w:name="_Toc35393638"/>
      <w:bookmarkStart w:id="6" w:name="_Toc28359097"/>
      <w:bookmarkStart w:id="7" w:name="_Toc28359020"/>
    </w:p>
    <w:p>
      <w:pPr>
        <w:pageBreakBefore w:val="0"/>
        <w:widowControl w:val="0"/>
        <w:kinsoku/>
        <w:wordWrap/>
        <w:overflowPunct/>
        <w:topLinePunct w:val="0"/>
        <w:autoSpaceDE/>
        <w:autoSpaceDN/>
        <w:bidi w:val="0"/>
        <w:adjustRightInd w:val="0"/>
        <w:snapToGrid/>
        <w:spacing w:line="560" w:lineRule="exact"/>
        <w:ind w:right="0" w:rightChars="0" w:firstLine="482" w:firstLineChars="200"/>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2</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采购代理机构信息</w:t>
      </w:r>
      <w:bookmarkEnd w:id="4"/>
      <w:bookmarkEnd w:id="5"/>
      <w:bookmarkEnd w:id="6"/>
      <w:bookmarkEnd w:id="7"/>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奇台县政务服务和公共资源交易中心</w:t>
      </w:r>
      <w:r>
        <w:rPr>
          <w:rFonts w:hint="eastAsia" w:asciiTheme="minorEastAsia" w:hAnsiTheme="minorEastAsia" w:eastAsiaTheme="minorEastAsia" w:cstheme="minorEastAsia"/>
          <w:sz w:val="24"/>
          <w:szCs w:val="24"/>
          <w:u w:val="single"/>
        </w:rPr>
        <w:t>　</w:t>
      </w:r>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宋体" w:hAnsi="宋体" w:eastAsia="宋体" w:cs="宋体"/>
          <w:sz w:val="28"/>
          <w:szCs w:val="28"/>
          <w:u w:val="single"/>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奇台县天山东部物流园综合楼三楼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u w:val="none"/>
        </w:rPr>
        <w:t>　</w:t>
      </w:r>
      <w:bookmarkStart w:id="8" w:name="_Toc35393808"/>
      <w:bookmarkStart w:id="9" w:name="_Toc28359098"/>
      <w:bookmarkStart w:id="10" w:name="_Toc28359021"/>
      <w:bookmarkStart w:id="11" w:name="_Toc35393639"/>
    </w:p>
    <w:bookmarkEnd w:id="8"/>
    <w:bookmarkEnd w:id="9"/>
    <w:bookmarkEnd w:id="10"/>
    <w:bookmarkEnd w:id="11"/>
    <w:p>
      <w:pPr>
        <w:pStyle w:val="15"/>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u w:val="single"/>
          <w:lang w:val="en-US"/>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 xml:space="preserve"> 王菲菲</w:t>
      </w:r>
      <w:r>
        <w:rPr>
          <w:rFonts w:hint="eastAsia" w:asciiTheme="minorEastAsia" w:hAnsiTheme="minorEastAsia" w:eastAsiaTheme="minorEastAsia" w:cstheme="minorEastAsia"/>
          <w:sz w:val="24"/>
          <w:szCs w:val="24"/>
          <w:u w:val="none"/>
          <w:lang w:val="en-US" w:eastAsia="zh-CN"/>
        </w:rPr>
        <w:t xml:space="preserve">                          </w:t>
      </w:r>
    </w:p>
    <w:p>
      <w:pPr>
        <w:keepNext w:val="0"/>
        <w:keepLines w:val="0"/>
        <w:pageBreakBefore w:val="0"/>
        <w:kinsoku/>
        <w:wordWrap/>
        <w:overflowPunct/>
        <w:topLinePunct w:val="0"/>
        <w:bidi w:val="0"/>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0994-6835004</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　　</w:t>
      </w:r>
    </w:p>
    <w:p>
      <w:pPr>
        <w:keepNext w:val="0"/>
        <w:keepLines w:val="0"/>
        <w:pageBreakBefore w:val="0"/>
        <w:kinsoku/>
        <w:wordWrap/>
        <w:overflowPunct/>
        <w:topLinePunct w:val="0"/>
        <w:bidi w:val="0"/>
        <w:spacing w:line="560" w:lineRule="exact"/>
        <w:ind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同级财政监管部门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奇台县财政局（政府采购监督管理办公室）</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sz w:val="24"/>
          <w:szCs w:val="24"/>
        </w:rPr>
        <w:t xml:space="preserve">    联系人：</w:t>
      </w:r>
      <w:r>
        <w:rPr>
          <w:rFonts w:hint="eastAsia" w:asciiTheme="minorEastAsia" w:hAnsiTheme="minorEastAsia" w:eastAsiaTheme="minorEastAsia" w:cstheme="minorEastAsia"/>
          <w:sz w:val="24"/>
          <w:szCs w:val="24"/>
          <w:lang w:val="en-US" w:eastAsia="zh-CN"/>
        </w:rPr>
        <w:t>杨斌</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0994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7225817</w:t>
      </w:r>
    </w:p>
    <w:p>
      <w:pPr>
        <w:keepNext w:val="0"/>
        <w:keepLines w:val="0"/>
        <w:pageBreakBefore w:val="0"/>
        <w:numPr>
          <w:ilvl w:val="0"/>
          <w:numId w:val="0"/>
        </w:numPr>
        <w:kinsoku/>
        <w:wordWrap/>
        <w:overflowPunct/>
        <w:topLinePunct w:val="0"/>
        <w:bidi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十三、</w:t>
      </w:r>
      <w:r>
        <w:rPr>
          <w:rFonts w:hint="eastAsia" w:asciiTheme="minorEastAsia" w:hAnsiTheme="minorEastAsia" w:eastAsiaTheme="minorEastAsia" w:cstheme="minorEastAsia"/>
          <w:b/>
          <w:sz w:val="24"/>
          <w:szCs w:val="24"/>
        </w:rPr>
        <w:t>落实的政府采购政策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both"/>
        <w:textAlignment w:val="auto"/>
        <w:outlineLvl w:val="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color w:val="auto"/>
          <w:sz w:val="24"/>
          <w:szCs w:val="24"/>
        </w:rPr>
        <w:t>《政府采购促进中小企业发展管理办法》（财库[2020]46号）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《关于政府采购支持监狱企业发展有关问题的通知》(财库[2014]68号)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《关于促进残疾人就业政府采购政策的通知》（财库[2017]141号）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i w:val="0"/>
          <w:caps w:val="0"/>
          <w:color w:val="auto"/>
          <w:spacing w:val="0"/>
          <w:sz w:val="24"/>
          <w:szCs w:val="24"/>
        </w:rPr>
        <w:t>关于进一步加大政府采购支持中小企业力度的通知</w:t>
      </w:r>
      <w:r>
        <w:rPr>
          <w:rFonts w:hint="eastAsia" w:asciiTheme="minorEastAsia" w:hAnsiTheme="minorEastAsia" w:eastAsiaTheme="minorEastAsia" w:cstheme="minorEastAsia"/>
          <w:b w:val="0"/>
          <w:bCs/>
          <w:i w:val="0"/>
          <w:caps w:val="0"/>
          <w:color w:val="auto"/>
          <w:spacing w:val="0"/>
          <w:sz w:val="24"/>
          <w:szCs w:val="24"/>
          <w:lang w:eastAsia="zh-CN"/>
        </w:rPr>
        <w:t>》（</w:t>
      </w:r>
      <w:r>
        <w:rPr>
          <w:rStyle w:val="22"/>
          <w:rFonts w:hint="eastAsia" w:asciiTheme="minorEastAsia" w:hAnsiTheme="minorEastAsia" w:eastAsiaTheme="minorEastAsia" w:cstheme="minorEastAsia"/>
          <w:b w:val="0"/>
          <w:bCs/>
          <w:i w:val="0"/>
          <w:caps w:val="0"/>
          <w:color w:val="auto"/>
          <w:spacing w:val="0"/>
          <w:sz w:val="24"/>
          <w:szCs w:val="24"/>
          <w:shd w:val="clear" w:fill="FFFFFF"/>
        </w:rPr>
        <w:t>财库〔2022〕19号</w:t>
      </w:r>
      <w:r>
        <w:rPr>
          <w:rStyle w:val="22"/>
          <w:rFonts w:hint="eastAsia" w:asciiTheme="minorEastAsia" w:hAnsiTheme="minorEastAsia" w:eastAsiaTheme="minorEastAsia" w:cstheme="minorEastAsia"/>
          <w:b w:val="0"/>
          <w:bCs/>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color w:val="auto"/>
          <w:sz w:val="24"/>
          <w:szCs w:val="24"/>
          <w:lang w:eastAsia="zh-CN"/>
        </w:rPr>
        <w:t>，落实中小微企业发展政策</w:t>
      </w:r>
      <w:r>
        <w:rPr>
          <w:rFonts w:hint="eastAsia" w:asciiTheme="minorEastAsia" w:hAnsiTheme="minorEastAsia" w:eastAsiaTheme="minorEastAsia" w:cstheme="minorEastAsia"/>
          <w:b w:val="0"/>
          <w:bCs/>
          <w:color w:val="auto"/>
          <w:sz w:val="24"/>
          <w:szCs w:val="24"/>
        </w:rPr>
        <w:t>。</w:t>
      </w:r>
    </w:p>
    <w:p>
      <w:pPr>
        <w:pStyle w:val="28"/>
        <w:bidi w:val="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val="0"/>
          <w:sz w:val="24"/>
          <w:szCs w:val="24"/>
          <w:lang w:val="en-US" w:eastAsia="zh-CN"/>
        </w:rPr>
        <w:t>《关于调整优化节能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3、本项目采购标的对应的中小企业划分标准（详见附件2）所属行业：</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宋体" w:hAnsi="宋体" w:eastAsia="宋体" w:cs="宋体"/>
          <w:i w:val="0"/>
          <w:caps w:val="0"/>
          <w:color w:val="070707"/>
          <w:spacing w:val="0"/>
          <w:sz w:val="24"/>
          <w:szCs w:val="24"/>
          <w:highlight w:val="none"/>
          <w:u w:val="none"/>
          <w:lang w:eastAsia="zh-CN"/>
        </w:rPr>
      </w:pPr>
      <w:r>
        <w:rPr>
          <w:rFonts w:hint="eastAsia" w:asciiTheme="minorEastAsia" w:hAnsiTheme="minorEastAsia" w:eastAsiaTheme="minorEastAsia" w:cstheme="minorEastAsia"/>
          <w:b w:val="0"/>
          <w:bCs w:val="0"/>
          <w:sz w:val="24"/>
          <w:szCs w:val="24"/>
          <w:lang w:val="en-US" w:eastAsia="zh-CN"/>
        </w:rPr>
        <w:t>标项1：</w:t>
      </w:r>
      <w:r>
        <w:rPr>
          <w:rFonts w:hint="eastAsia" w:ascii="宋体" w:hAnsi="宋体" w:cs="宋体"/>
          <w:i w:val="0"/>
          <w:caps w:val="0"/>
          <w:color w:val="070707"/>
          <w:spacing w:val="0"/>
          <w:sz w:val="24"/>
          <w:szCs w:val="24"/>
          <w:highlight w:val="none"/>
          <w:u w:val="single"/>
          <w:lang w:val="en-US" w:eastAsia="zh-CN"/>
        </w:rPr>
        <w:t>制造业</w:t>
      </w:r>
      <w:r>
        <w:rPr>
          <w:rFonts w:hint="eastAsia" w:ascii="宋体" w:hAnsi="宋体" w:eastAsia="宋体" w:cs="宋体"/>
          <w:i w:val="0"/>
          <w:caps w:val="0"/>
          <w:color w:val="070707"/>
          <w:spacing w:val="0"/>
          <w:sz w:val="24"/>
          <w:szCs w:val="24"/>
          <w:highlight w:val="none"/>
          <w:u w:val="none"/>
          <w:lang w:eastAsia="zh-CN"/>
        </w:rPr>
        <w:t>；</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宋体" w:hAnsi="宋体" w:eastAsia="宋体" w:cs="宋体"/>
          <w:i w:val="0"/>
          <w:caps w:val="0"/>
          <w:color w:val="070707"/>
          <w:spacing w:val="0"/>
          <w:sz w:val="24"/>
          <w:szCs w:val="24"/>
          <w:highlight w:val="none"/>
          <w:u w:val="none"/>
          <w:lang w:eastAsia="zh-CN"/>
        </w:rPr>
      </w:pPr>
      <w:r>
        <w:rPr>
          <w:rFonts w:hint="eastAsia" w:asciiTheme="minorEastAsia" w:hAnsiTheme="minorEastAsia" w:eastAsiaTheme="minorEastAsia" w:cstheme="minorEastAsia"/>
          <w:b w:val="0"/>
          <w:bCs w:val="0"/>
          <w:sz w:val="24"/>
          <w:szCs w:val="24"/>
          <w:lang w:val="en-US" w:eastAsia="zh-CN"/>
        </w:rPr>
        <w:t>标项2：</w:t>
      </w:r>
      <w:r>
        <w:rPr>
          <w:rFonts w:hint="eastAsia" w:ascii="宋体" w:hAnsi="宋体" w:cs="宋体"/>
          <w:i w:val="0"/>
          <w:caps w:val="0"/>
          <w:color w:val="070707"/>
          <w:spacing w:val="0"/>
          <w:sz w:val="24"/>
          <w:szCs w:val="24"/>
          <w:highlight w:val="none"/>
          <w:u w:val="single"/>
          <w:lang w:val="en-US" w:eastAsia="zh-CN"/>
        </w:rPr>
        <w:t>制造业</w:t>
      </w:r>
      <w:r>
        <w:rPr>
          <w:rFonts w:hint="eastAsia" w:ascii="宋体" w:hAnsi="宋体" w:eastAsia="宋体" w:cs="宋体"/>
          <w:i w:val="0"/>
          <w:caps w:val="0"/>
          <w:color w:val="070707"/>
          <w:spacing w:val="0"/>
          <w:sz w:val="24"/>
          <w:szCs w:val="24"/>
          <w:highlight w:val="none"/>
          <w:u w:val="none"/>
          <w:lang w:eastAsia="zh-CN"/>
        </w:rPr>
        <w:t>；</w:t>
      </w:r>
    </w:p>
    <w:p>
      <w:pPr>
        <w:pageBreakBefore w:val="0"/>
        <w:widowControl w:val="0"/>
        <w:kinsoku/>
        <w:wordWrap/>
        <w:overflowPunct/>
        <w:topLinePunct w:val="0"/>
        <w:autoSpaceDE/>
        <w:autoSpaceDN/>
        <w:bidi w:val="0"/>
        <w:adjustRightInd w:val="0"/>
        <w:snapToGrid/>
        <w:spacing w:line="560" w:lineRule="exact"/>
        <w:ind w:left="0" w:leftChars="0" w:right="0" w:rightChars="0" w:firstLine="482" w:firstLineChars="200"/>
        <w:textAlignment w:val="auto"/>
        <w:rPr>
          <w:rFonts w:hint="eastAsia" w:ascii="宋体" w:hAnsi="宋体" w:eastAsia="宋体" w:cs="宋体"/>
          <w:b/>
          <w:bCs/>
          <w:i w:val="0"/>
          <w:caps w:val="0"/>
          <w:color w:val="070707"/>
          <w:spacing w:val="0"/>
          <w:sz w:val="24"/>
          <w:szCs w:val="24"/>
          <w:highlight w:val="red"/>
          <w:u w:val="none"/>
          <w:lang w:val="en-US" w:eastAsia="zh-CN"/>
        </w:rPr>
      </w:pPr>
      <w:r>
        <w:rPr>
          <w:rFonts w:hint="eastAsia" w:ascii="宋体" w:hAnsi="宋体" w:eastAsia="宋体" w:cs="宋体"/>
          <w:b/>
          <w:bCs/>
          <w:i w:val="0"/>
          <w:caps w:val="0"/>
          <w:color w:val="070707"/>
          <w:spacing w:val="0"/>
          <w:sz w:val="24"/>
          <w:szCs w:val="24"/>
          <w:highlight w:val="red"/>
          <w:u w:val="none"/>
          <w:lang w:val="en-US" w:eastAsia="zh-CN"/>
        </w:rPr>
        <w:t>特别提醒：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sz w:val="24"/>
          <w:szCs w:val="24"/>
          <w:u w:val="single"/>
          <w:lang w:val="en-US" w:eastAsia="zh-CN" w:bidi="zh-CN"/>
        </w:rPr>
        <w:t>奇台县中心人民医院能力提升项目-公共区域能力提升项目</w:t>
      </w:r>
      <w:r>
        <w:rPr>
          <w:rFonts w:hint="eastAsia" w:asciiTheme="minorEastAsia" w:hAnsiTheme="minorEastAsia" w:eastAsiaTheme="minorEastAsia" w:cstheme="minorEastAsia"/>
          <w:b w:val="0"/>
          <w:bCs w:val="0"/>
          <w:sz w:val="24"/>
          <w:szCs w:val="24"/>
          <w:highlight w:val="yellow"/>
          <w:u w:val="none"/>
          <w:lang w:val="en-US" w:eastAsia="zh-CN" w:bidi="zh-CN"/>
        </w:rPr>
        <w:t>标项1</w:t>
      </w:r>
      <w:r>
        <w:rPr>
          <w:rFonts w:hint="eastAsia" w:asciiTheme="minorEastAsia" w:hAnsiTheme="minorEastAsia" w:eastAsiaTheme="minorEastAsia" w:cstheme="minorEastAsia"/>
          <w:b w:val="0"/>
          <w:bCs w:val="0"/>
          <w:sz w:val="24"/>
          <w:szCs w:val="24"/>
          <w:u w:val="none"/>
          <w:lang w:val="en-US" w:eastAsia="zh-CN" w:bidi="zh-CN"/>
        </w:rPr>
        <w:t>不属于专门面向中小企业项目；</w:t>
      </w:r>
      <w:r>
        <w:rPr>
          <w:rFonts w:hint="eastAsia" w:asciiTheme="minorEastAsia" w:hAnsiTheme="minorEastAsia" w:eastAsiaTheme="minorEastAsia" w:cstheme="minorEastAsia"/>
          <w:b w:val="0"/>
          <w:bCs w:val="0"/>
          <w:sz w:val="24"/>
          <w:szCs w:val="24"/>
          <w:highlight w:val="yellow"/>
          <w:u w:val="none"/>
          <w:lang w:val="en-US" w:eastAsia="zh-CN" w:bidi="zh-CN"/>
        </w:rPr>
        <w:t>标项2</w:t>
      </w:r>
      <w:r>
        <w:rPr>
          <w:rFonts w:hint="eastAsia" w:ascii="宋体" w:hAnsi="宋体" w:eastAsia="宋体" w:cs="宋体"/>
          <w:color w:val="000000" w:themeColor="text1"/>
          <w:sz w:val="24"/>
          <w:szCs w:val="24"/>
          <w:lang w:val="en-US" w:eastAsia="zh-CN"/>
          <w14:textFill>
            <w14:solidFill>
              <w14:schemeClr w14:val="tx1"/>
            </w14:solidFill>
          </w14:textFill>
        </w:rPr>
        <w:t>属于100%专门面向</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中小企业预留份额</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项目。</w:t>
      </w:r>
      <w:r>
        <w:rPr>
          <w:rFonts w:hint="eastAsia" w:ascii="宋体" w:hAnsi="宋体" w:eastAsia="宋体" w:cs="宋体"/>
          <w:b/>
          <w:bCs/>
          <w:color w:val="000000" w:themeColor="text1"/>
          <w:sz w:val="24"/>
          <w:szCs w:val="24"/>
          <w:highlight w:val="green"/>
          <w:u w:val="single"/>
          <w14:textFill>
            <w14:solidFill>
              <w14:schemeClr w14:val="tx1"/>
            </w14:solidFill>
          </w14:textFill>
        </w:rPr>
        <w:t>中小企业声明函</w:t>
      </w:r>
      <w:r>
        <w:rPr>
          <w:rFonts w:hint="eastAsia" w:ascii="宋体" w:hAnsi="宋体" w:eastAsia="宋体" w:cs="宋体"/>
          <w:b/>
          <w:bCs/>
          <w:color w:val="000000" w:themeColor="text1"/>
          <w:sz w:val="24"/>
          <w:szCs w:val="24"/>
          <w:highlight w:val="green"/>
          <w:u w:val="single"/>
          <w:lang w:val="en-US" w:eastAsia="zh-CN"/>
          <w14:textFill>
            <w14:solidFill>
              <w14:schemeClr w14:val="tx1"/>
            </w14:solidFill>
          </w14:textFill>
        </w:rPr>
        <w:t>将作为供应商投标资格条件</w:t>
      </w:r>
      <w:r>
        <w:rPr>
          <w:rFonts w:hint="eastAsia" w:ascii="宋体" w:hAnsi="宋体" w:cs="宋体"/>
          <w:b/>
          <w:bCs/>
          <w:color w:val="000000" w:themeColor="text1"/>
          <w:sz w:val="24"/>
          <w:szCs w:val="24"/>
          <w:highlight w:val="green"/>
          <w:u w:val="single"/>
          <w:lang w:val="en-US" w:eastAsia="zh-CN"/>
          <w14:textFill>
            <w14:solidFill>
              <w14:schemeClr w14:val="tx1"/>
            </w14:solidFill>
          </w14:textFill>
        </w:rPr>
        <w:t>（货物类项目中小企业声明是填写货物制造商信息）</w:t>
      </w:r>
      <w:r>
        <w:rPr>
          <w:rFonts w:hint="eastAsia" w:ascii="宋体" w:hAnsi="宋体" w:eastAsia="宋体" w:cs="宋体"/>
          <w:b w:val="0"/>
          <w:bCs w:val="0"/>
          <w:color w:val="000000" w:themeColor="text1"/>
          <w:sz w:val="24"/>
          <w:szCs w:val="24"/>
          <w:highlight w:val="green"/>
          <w:lang w:val="en-US"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请各投标供应商依据</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《政府采购促进中小企业发展管理办法》（财库〔2020〕46号）</w:t>
      </w:r>
      <w:r>
        <w:rPr>
          <w:rFonts w:hint="eastAsia" w:ascii="宋体" w:hAnsi="宋体" w:eastAsia="宋体" w:cs="宋体"/>
          <w:b w:val="0"/>
          <w:bCs w:val="0"/>
          <w:color w:val="000000" w:themeColor="text1"/>
          <w:sz w:val="24"/>
          <w:szCs w:val="24"/>
          <w14:textFill>
            <w14:solidFill>
              <w14:schemeClr w14:val="tx1"/>
            </w14:solidFill>
          </w14:textFill>
        </w:rPr>
        <w:t>第四条</w:t>
      </w:r>
      <w:r>
        <w:rPr>
          <w:rFonts w:hint="eastAsia" w:ascii="宋体" w:hAnsi="宋体" w:eastAsia="宋体" w:cs="宋体"/>
          <w:b w:val="0"/>
          <w:bCs w:val="0"/>
          <w:color w:val="000000" w:themeColor="text1"/>
          <w:sz w:val="24"/>
          <w:szCs w:val="24"/>
          <w:lang w:val="en-US" w:eastAsia="zh-CN"/>
          <w14:textFill>
            <w14:solidFill>
              <w14:schemeClr w14:val="tx1"/>
            </w14:solidFill>
          </w14:textFill>
        </w:rPr>
        <w:t>规定，认真填写</w:t>
      </w:r>
      <w:r>
        <w:rPr>
          <w:rFonts w:hint="eastAsia" w:ascii="宋体" w:hAnsi="宋体" w:eastAsia="宋体" w:cs="宋体"/>
          <w:b w:val="0"/>
          <w:bCs w:val="0"/>
          <w:color w:val="000000" w:themeColor="text1"/>
          <w:sz w:val="24"/>
          <w:szCs w:val="24"/>
          <w14:textFill>
            <w14:solidFill>
              <w14:schemeClr w14:val="tx1"/>
            </w14:solidFill>
          </w14:textFill>
        </w:rPr>
        <w:t>中小企业声明函</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 xml:space="preserve">第四条 在政府采购活动中，供应商提供的货物、工程或者服务符合下列情形的，享受本办法规定的中小企业扶持政策：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（二）在工程采购项目中，工程由中小企业承建，即工程施工单位为中小企业；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（三）在服务采购项目中，服务由中小企业承接，即提供服务的人员为中小企业依照《中华人民共和国劳动合同法》订立劳动合同的从业人员。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highlight w:val="none"/>
          <w:u w:val="wave"/>
          <w14:textFill>
            <w14:solidFill>
              <w14:schemeClr w14:val="tx1"/>
            </w14:solidFill>
          </w14:textFill>
        </w:rPr>
        <w:t>在货物采购项目中，供应商提供的货物既有中小企业制造货物，也有大型企业制造货物的，不享受本办法规定的中小企业扶持政策。</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、其他事项：</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1、</w:t>
      </w:r>
      <w:r>
        <w:rPr>
          <w:rFonts w:hint="eastAsia" w:asciiTheme="minorEastAsia" w:hAnsiTheme="minorEastAsia" w:eastAsiaTheme="minorEastAsia" w:cstheme="minorEastAsia"/>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政府采购网下载专区下载。</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2、</w:t>
      </w:r>
      <w:r>
        <w:rPr>
          <w:rFonts w:hint="eastAsia" w:asciiTheme="minorEastAsia" w:hAnsiTheme="minorEastAsia" w:eastAsiaTheme="minorEastAsia" w:cstheme="minorEastAsia"/>
          <w:kern w:val="0"/>
          <w:sz w:val="24"/>
          <w:szCs w:val="24"/>
        </w:rPr>
        <w:t>若对项目采购电子交易系统操作有疑问，可登录政采（</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kern w:val="0"/>
          <w:sz w:val="24"/>
          <w:szCs w:val="24"/>
        </w:rPr>
        <w:t>），点击右侧咨询小采，获取采小蜜智能服务管家帮助，或拨打政采云服务热线400-881-7190获取热线服务帮助。</w:t>
      </w:r>
    </w:p>
    <w:p>
      <w:pPr>
        <w:spacing w:line="440" w:lineRule="exact"/>
        <w:jc w:val="both"/>
        <w:rPr>
          <w:rFonts w:hint="eastAsia" w:ascii="宋体" w:hAnsi="宋体"/>
          <w:b/>
          <w:sz w:val="32"/>
          <w:szCs w:val="32"/>
        </w:rPr>
      </w:pPr>
      <w:r>
        <w:rPr>
          <w:rFonts w:hint="eastAsia" w:asciiTheme="minorEastAsia" w:hAnsiTheme="minorEastAsia" w:eastAsiaTheme="minorEastAsia" w:cstheme="minorEastAsia"/>
          <w:color w:val="000000"/>
          <w:sz w:val="24"/>
          <w:szCs w:val="24"/>
        </w:rPr>
        <w:t xml:space="preserve">        </w:t>
      </w:r>
    </w:p>
    <w:p>
      <w:pPr>
        <w:rPr>
          <w:rFonts w:hint="eastAsia"/>
        </w:rPr>
      </w:pPr>
    </w:p>
    <w:p>
      <w:pPr>
        <w:spacing w:line="440" w:lineRule="exact"/>
        <w:ind w:firstLine="3213" w:firstLineChars="1000"/>
        <w:jc w:val="both"/>
        <w:rPr>
          <w:rFonts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（二）采购项目预（概）算</w:t>
      </w:r>
    </w:p>
    <w:tbl>
      <w:tblPr>
        <w:tblStyle w:val="25"/>
        <w:tblW w:w="7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9"/>
        <w:gridCol w:w="6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资金</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来源</w:t>
            </w:r>
          </w:p>
        </w:tc>
        <w:tc>
          <w:tcPr>
            <w:tcW w:w="6703" w:type="dxa"/>
            <w:tcBorders>
              <w:tl2br w:val="nil"/>
              <w:tr2bl w:val="nil"/>
            </w:tcBorders>
            <w:shd w:val="clear" w:color="auto" w:fill="auto"/>
            <w:vAlign w:val="center"/>
          </w:tcPr>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☑财政    ☑自筹资金      </w:t>
            </w:r>
          </w:p>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项目资金批复文件□无  ☑有</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val="en-US" w:eastAsia="zh-CN"/>
        </w:rPr>
        <w:t>标项1</w:t>
      </w:r>
      <w:r>
        <w:rPr>
          <w:rFonts w:hint="eastAsia" w:asciiTheme="minorEastAsia" w:hAnsiTheme="minorEastAsia" w:eastAsiaTheme="minorEastAsia" w:cstheme="minorEastAsia"/>
          <w:color w:val="auto"/>
          <w:sz w:val="24"/>
          <w:szCs w:val="24"/>
        </w:rPr>
        <w:t>预算</w:t>
      </w:r>
      <w:r>
        <w:rPr>
          <w:rFonts w:hint="eastAsia" w:asciiTheme="minorEastAsia" w:hAnsiTheme="minorEastAsia" w:eastAsiaTheme="minorEastAsia" w:cstheme="minorEastAsia"/>
          <w:color w:val="auto"/>
          <w:sz w:val="24"/>
          <w:szCs w:val="24"/>
          <w:lang w:val="en-US" w:eastAsia="zh-CN"/>
        </w:rPr>
        <w:t>金额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lang w:val="en-US" w:eastAsia="zh-CN"/>
        </w:rPr>
        <w:t>2109763.41</w:t>
      </w:r>
      <w:r>
        <w:rPr>
          <w:rFonts w:hint="eastAsia" w:asciiTheme="minorEastAsia" w:hAnsiTheme="minorEastAsia" w:eastAsiaTheme="minorEastAsia" w:cstheme="minorEastAsia"/>
          <w:color w:val="auto"/>
          <w:sz w:val="24"/>
          <w:szCs w:val="24"/>
          <w:u w:val="none"/>
          <w:lang w:val="en-US" w:eastAsia="zh-CN"/>
        </w:rPr>
        <w:t>元</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lang w:val="en-US" w:eastAsia="zh-CN"/>
        </w:rPr>
        <w:t>最高限价：</w:t>
      </w:r>
      <w:r>
        <w:rPr>
          <w:rFonts w:hint="eastAsia" w:asciiTheme="minorEastAsia" w:hAnsiTheme="minorEastAsia" w:eastAsiaTheme="minorEastAsia" w:cstheme="minorEastAsia"/>
          <w:color w:val="auto"/>
          <w:sz w:val="24"/>
          <w:szCs w:val="24"/>
          <w:u w:val="single"/>
          <w:lang w:val="en-US" w:eastAsia="zh-CN"/>
        </w:rPr>
        <w:t>2109763.41</w:t>
      </w:r>
      <w:r>
        <w:rPr>
          <w:rFonts w:hint="eastAsia" w:asciiTheme="minorEastAsia" w:hAnsiTheme="minorEastAsia" w:eastAsiaTheme="minorEastAsia" w:cstheme="minorEastAsia"/>
          <w:color w:val="auto"/>
          <w:sz w:val="24"/>
          <w:szCs w:val="24"/>
          <w:u w:val="none"/>
          <w:lang w:val="en-US" w:eastAsia="zh-CN"/>
        </w:rPr>
        <w:t>元</w:t>
      </w:r>
      <w:r>
        <w:rPr>
          <w:rFonts w:hint="eastAsia" w:asciiTheme="minorEastAsia" w:hAnsiTheme="minorEastAsia" w:eastAsiaTheme="minorEastAsia" w:cstheme="minorEastAsia"/>
          <w:color w:val="auto"/>
          <w:sz w:val="24"/>
          <w:szCs w:val="24"/>
          <w:u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480" w:firstLineChars="2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lang w:val="en-US" w:eastAsia="zh-CN"/>
        </w:rPr>
        <w:t>标项2</w:t>
      </w:r>
      <w:r>
        <w:rPr>
          <w:rFonts w:hint="eastAsia" w:asciiTheme="minorEastAsia" w:hAnsiTheme="minorEastAsia" w:eastAsiaTheme="minorEastAsia" w:cstheme="minorEastAsia"/>
          <w:color w:val="auto"/>
          <w:sz w:val="24"/>
          <w:szCs w:val="24"/>
        </w:rPr>
        <w:t>预算</w:t>
      </w:r>
      <w:r>
        <w:rPr>
          <w:rFonts w:hint="eastAsia" w:asciiTheme="minorEastAsia" w:hAnsiTheme="minorEastAsia" w:eastAsiaTheme="minorEastAsia" w:cstheme="minorEastAsia"/>
          <w:color w:val="auto"/>
          <w:sz w:val="24"/>
          <w:szCs w:val="24"/>
          <w:lang w:val="en-US" w:eastAsia="zh-CN"/>
        </w:rPr>
        <w:t>金额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kern w:val="2"/>
          <w:sz w:val="24"/>
          <w:szCs w:val="24"/>
          <w:u w:val="single"/>
          <w:lang w:val="en-US" w:eastAsia="zh-CN" w:bidi="ar-SA"/>
        </w:rPr>
        <w:t>3888228.38</w:t>
      </w:r>
      <w:r>
        <w:rPr>
          <w:rFonts w:hint="eastAsia" w:asciiTheme="minorEastAsia" w:hAnsiTheme="minorEastAsia" w:eastAsiaTheme="minorEastAsia" w:cstheme="minorEastAsia"/>
          <w:color w:val="auto"/>
          <w:kern w:val="2"/>
          <w:sz w:val="24"/>
          <w:szCs w:val="24"/>
          <w:lang w:val="en-US" w:eastAsia="zh-CN" w:bidi="ar-SA"/>
        </w:rPr>
        <w:t>元；最高限价：</w:t>
      </w:r>
      <w:r>
        <w:rPr>
          <w:rFonts w:hint="eastAsia" w:asciiTheme="minorEastAsia" w:hAnsiTheme="minorEastAsia" w:eastAsiaTheme="minorEastAsia" w:cstheme="minorEastAsia"/>
          <w:color w:val="auto"/>
          <w:kern w:val="2"/>
          <w:sz w:val="24"/>
          <w:szCs w:val="24"/>
          <w:u w:val="single"/>
          <w:lang w:val="en-US" w:eastAsia="zh-CN" w:bidi="ar-SA"/>
        </w:rPr>
        <w:t>3888228.38</w:t>
      </w:r>
      <w:r>
        <w:rPr>
          <w:rFonts w:hint="eastAsia" w:asciiTheme="minorEastAsia" w:hAnsiTheme="minorEastAsia" w:eastAsiaTheme="minorEastAsia" w:cstheme="minorEastAsia"/>
          <w:color w:val="auto"/>
          <w:kern w:val="2"/>
          <w:sz w:val="24"/>
          <w:szCs w:val="24"/>
          <w:lang w:val="en-US" w:eastAsia="zh-CN" w:bidi="ar-SA"/>
        </w:rPr>
        <w:t>元</w:t>
      </w:r>
      <w:r>
        <w:rPr>
          <w:rFonts w:hint="eastAsia" w:asciiTheme="minorEastAsia" w:hAnsiTheme="minorEastAsia" w:eastAsiaTheme="minorEastAsia" w:cstheme="minorEastAsia"/>
          <w:color w:val="auto"/>
          <w:sz w:val="24"/>
          <w:szCs w:val="24"/>
          <w:u w:val="none"/>
          <w:lang w:eastAsia="zh-CN"/>
        </w:rPr>
        <w:t>。</w:t>
      </w:r>
    </w:p>
    <w:p>
      <w:pPr>
        <w:numPr>
          <w:ilvl w:val="0"/>
          <w:numId w:val="5"/>
        </w:numPr>
        <w:spacing w:line="560" w:lineRule="exact"/>
        <w:jc w:val="left"/>
        <w:rPr>
          <w:rFonts w:hint="eastAsia" w:asciiTheme="minorEastAsia" w:hAnsiTheme="minorEastAsia" w:eastAsiaTheme="minorEastAsia" w:cstheme="minorEastAsia"/>
          <w:b/>
          <w:bCs/>
          <w:sz w:val="21"/>
          <w:szCs w:val="21"/>
          <w:u w:val="none"/>
          <w:lang w:val="en-US" w:eastAsia="zh-CN" w:bidi="zh-CN"/>
        </w:rPr>
      </w:pPr>
      <w:r>
        <w:rPr>
          <w:rFonts w:hint="eastAsia" w:asciiTheme="minorEastAsia" w:hAnsiTheme="minorEastAsia" w:eastAsiaTheme="minorEastAsia" w:cstheme="minorEastAsia"/>
          <w:b/>
          <w:bCs/>
          <w:color w:val="auto"/>
          <w:sz w:val="28"/>
          <w:szCs w:val="28"/>
          <w:lang w:eastAsia="zh-CN"/>
        </w:rPr>
        <w:t>具体采购内容：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heme="minorEastAsia" w:hAnsiTheme="minorEastAsia" w:eastAsiaTheme="minorEastAsia" w:cstheme="minorEastAsia"/>
          <w:b/>
          <w:bCs/>
          <w:kern w:val="2"/>
          <w:sz w:val="28"/>
          <w:szCs w:val="28"/>
          <w:highlight w:val="yellow"/>
          <w:u w:val="none"/>
          <w:lang w:val="zh-CN" w:eastAsia="zh-CN" w:bidi="zh-CN"/>
        </w:rPr>
      </w:pPr>
      <w:r>
        <w:rPr>
          <w:rFonts w:hint="eastAsia" w:asciiTheme="minorEastAsia" w:hAnsiTheme="minorEastAsia" w:eastAsiaTheme="minorEastAsia" w:cstheme="minorEastAsia"/>
          <w:b/>
          <w:bCs/>
          <w:kern w:val="2"/>
          <w:sz w:val="28"/>
          <w:szCs w:val="28"/>
          <w:highlight w:val="yellow"/>
          <w:u w:val="none"/>
          <w:lang w:val="en-US" w:eastAsia="zh-CN" w:bidi="zh-CN"/>
        </w:rPr>
        <w:t>标项1：</w:t>
      </w:r>
      <w:r>
        <w:rPr>
          <w:rFonts w:hint="eastAsia" w:asciiTheme="minorEastAsia" w:hAnsiTheme="minorEastAsia" w:eastAsiaTheme="minorEastAsia" w:cstheme="minorEastAsia"/>
          <w:b/>
          <w:bCs/>
          <w:kern w:val="2"/>
          <w:sz w:val="28"/>
          <w:szCs w:val="28"/>
          <w:highlight w:val="yellow"/>
          <w:u w:val="none"/>
          <w:lang w:val="zh-CN" w:eastAsia="zh-CN" w:bidi="zh-CN"/>
        </w:rPr>
        <w:t>LED电子大屏采购安装项目及弱电设备安装</w:t>
      </w:r>
    </w:p>
    <w:tbl>
      <w:tblPr>
        <w:tblStyle w:val="25"/>
        <w:tblW w:w="8271" w:type="dxa"/>
        <w:tblInd w:w="0" w:type="dxa"/>
        <w:tblLayout w:type="fixed"/>
        <w:tblCellMar>
          <w:top w:w="15" w:type="dxa"/>
          <w:left w:w="15" w:type="dxa"/>
          <w:bottom w:w="15" w:type="dxa"/>
          <w:right w:w="15" w:type="dxa"/>
        </w:tblCellMar>
      </w:tblPr>
      <w:tblGrid>
        <w:gridCol w:w="645"/>
        <w:gridCol w:w="4193"/>
        <w:gridCol w:w="740"/>
        <w:gridCol w:w="338"/>
        <w:gridCol w:w="780"/>
        <w:gridCol w:w="1575"/>
      </w:tblGrid>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4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名称</w:t>
            </w: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单位</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数量</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交货期</w:t>
            </w:r>
          </w:p>
        </w:tc>
      </w:tr>
      <w:tr>
        <w:tblPrEx>
          <w:tblLayout w:type="fixed"/>
          <w:tblCellMar>
            <w:top w:w="15" w:type="dxa"/>
            <w:left w:w="15" w:type="dxa"/>
            <w:bottom w:w="15" w:type="dxa"/>
            <w:right w:w="15" w:type="dxa"/>
          </w:tblCellMar>
        </w:tblPrEx>
        <w:trPr>
          <w:trHeight w:val="312"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出入口控制机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75"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合同签订后15天（日历日）内完成供货、安装、调试。</w:t>
            </w: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kern w:val="0"/>
                <w:sz w:val="21"/>
                <w:szCs w:val="21"/>
                <w:lang w:bidi="ar"/>
              </w:rPr>
            </w:pPr>
          </w:p>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22" w:hRule="atLeast"/>
        </w:trPr>
        <w:tc>
          <w:tcPr>
            <w:tcW w:w="64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广告道闸</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42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车辆检测器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93"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车辆检测器高温线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44"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软件狗</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34"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微信支付对接费用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元</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74"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出入口控制机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406"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快速道闸</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402"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车辆检测器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425"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tabs>
                <w:tab w:val="left" w:pos="59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车辆检测器高温线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22"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软件狗</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12</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微信支付对接费用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元</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68"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13</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扬声器、音柱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14</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专业功放2*200W</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15</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音频处理器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16</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8路电源时序器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82"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17</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8路调音台</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18</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反馈抑制器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19</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无线会议一拖四鹅颈(方杆)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20</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无线会议一拖二鹅颈(方杆)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21</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24U机柜</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22</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音箱壁架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23</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音响线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100</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24</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音响接头</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25</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音频卡侬</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26</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双10线阵音响</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27</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线阵低音箱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28</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功放</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29</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10寸返听音箱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30</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功放</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31</w:t>
            </w:r>
          </w:p>
        </w:tc>
        <w:tc>
          <w:tcPr>
            <w:tcW w:w="419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补声功放</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音频处理器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电源时序器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20路数字调音台</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2进2出反馈抑制器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无线手拉手会议主机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无线会议主席单元(长杆)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无线会议代表单元(长杆)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专业级八口USB话筒充电器( 配套锂电池使用 )</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一拖二真分集手持话筒</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一拖二真分集领夹话筒</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10口天线信号放大器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42U机柜</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线阵田字架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音箱壁架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音响线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音响接头</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音频卡侬线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音频卡龙线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视频会议终端</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LED屏P1.86</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接收卡</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主控软件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安全模块配电箱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视频处理器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电脑</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配电系统</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59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电缆线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镜面不锈钢饰面</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监控摄像设备</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网络球型摄像机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监控立杆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球机支架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电源适配器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楼层备箱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监控箱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摄像机设备箱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69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POE交换机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光纤收发器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光纤收发器机架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汇聚交换机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光纤收发器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57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55寸液晶拼接单元</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22"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设备支架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落地机柜</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大屏辅材</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高清视频矩阵</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79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控制台(盘)、 操作台、应急台</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工控服务器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六类网线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30000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61"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室外铠装电源线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电缆</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LC跳线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50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光纤跳线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89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光纤配线架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434"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非屏蔽1U理线架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24</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六类水晶头</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盒</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PE地埋管</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通信管沟</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镀锌钢管</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850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室外方形电缆检查井</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座</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5</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外方形电缆检 查井</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座</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3</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PE梅花管</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850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静电地板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99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光缆熔接</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芯</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远程监控软件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系统软件</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核心交换机</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678"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存储服务器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4</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594"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硬盘</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85</w:t>
            </w:r>
          </w:p>
        </w:tc>
        <w:tc>
          <w:tcPr>
            <w:tcW w:w="1575"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机柜</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PDU</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涡轮硬质快速门</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LED显示设备</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31.74</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109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控制电脑</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控制箱</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112</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网线</w:t>
            </w:r>
          </w:p>
        </w:tc>
        <w:tc>
          <w:tcPr>
            <w:tcW w:w="1078"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3"/>
                <w:sz w:val="21"/>
                <w:szCs w:val="21"/>
              </w:rPr>
              <w:t>m</w:t>
            </w:r>
          </w:p>
        </w:tc>
        <w:tc>
          <w:tcPr>
            <w:tcW w:w="78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200</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113</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拆除原有电子屏，运输及安装</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w w:val="89"/>
                <w:sz w:val="21"/>
                <w:szCs w:val="21"/>
              </w:rPr>
              <w:t>1</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114</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2.28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115</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1.56</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116</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1.52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117</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2.28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118</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1.58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119</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0.8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120</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2.8</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172"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121</w:t>
            </w:r>
          </w:p>
        </w:tc>
        <w:tc>
          <w:tcPr>
            <w:tcW w:w="419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显示设备</w:t>
            </w:r>
          </w:p>
        </w:tc>
        <w:tc>
          <w:tcPr>
            <w:tcW w:w="7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12.92</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p>
        </w:tc>
      </w:tr>
    </w:tbl>
    <w:p>
      <w:pPr>
        <w:pStyle w:val="8"/>
        <w:rPr>
          <w:rFonts w:hint="eastAsia" w:asciiTheme="minorEastAsia" w:hAnsiTheme="minorEastAsia" w:eastAsiaTheme="minorEastAsia" w:cstheme="minorEastAsia"/>
          <w:b/>
          <w:bCs/>
          <w:sz w:val="28"/>
          <w:szCs w:val="28"/>
          <w:highlight w:val="yellow"/>
          <w:u w:val="none"/>
          <w:lang w:val="en-US" w:eastAsia="zh-CN" w:bidi="zh-CN"/>
        </w:rPr>
      </w:pPr>
      <w:r>
        <w:rPr>
          <w:rFonts w:hint="eastAsia" w:asciiTheme="minorEastAsia" w:hAnsiTheme="minorEastAsia" w:eastAsiaTheme="minorEastAsia" w:cstheme="minorEastAsia"/>
          <w:b/>
          <w:bCs/>
          <w:sz w:val="28"/>
          <w:szCs w:val="28"/>
          <w:highlight w:val="yellow"/>
          <w:u w:val="none"/>
          <w:lang w:val="en-US" w:eastAsia="zh-CN" w:bidi="zh-CN"/>
        </w:rPr>
        <w:t>标项2办公家具采购</w:t>
      </w:r>
    </w:p>
    <w:tbl>
      <w:tblPr>
        <w:tblStyle w:val="25"/>
        <w:tblW w:w="8271" w:type="dxa"/>
        <w:tblInd w:w="0" w:type="dxa"/>
        <w:tblLayout w:type="fixed"/>
        <w:tblCellMar>
          <w:top w:w="15" w:type="dxa"/>
          <w:left w:w="15" w:type="dxa"/>
          <w:bottom w:w="15" w:type="dxa"/>
          <w:right w:w="15" w:type="dxa"/>
        </w:tblCellMar>
      </w:tblPr>
      <w:tblGrid>
        <w:gridCol w:w="645"/>
        <w:gridCol w:w="4176"/>
        <w:gridCol w:w="797"/>
        <w:gridCol w:w="1003"/>
        <w:gridCol w:w="1650"/>
      </w:tblGrid>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序号</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名称</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单位</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数量</w:t>
            </w:r>
          </w:p>
        </w:tc>
        <w:tc>
          <w:tcPr>
            <w:tcW w:w="16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交货期</w:t>
            </w: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cs="宋体"/>
                <w:sz w:val="21"/>
                <w:szCs w:val="21"/>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r>
              <w:rPr>
                <w:rFonts w:hint="eastAsia" w:ascii="宋体" w:hAnsi="宋体" w:cs="宋体"/>
                <w:kern w:val="0"/>
                <w:sz w:val="21"/>
                <w:szCs w:val="21"/>
                <w:lang w:bidi="ar"/>
              </w:rPr>
              <w:t>合同签订后15天（日历日）内完成供货、安装、调试。</w:t>
            </w: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文件柜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办公椅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弓形椅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三人位沙发</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单人位沙发</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 xml:space="preserve">2 </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茶几</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 xml:space="preserve">2 </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茶水柜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办公桌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文件柜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办公椅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办公桌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人位</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226</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职员椅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306</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钢制文件柜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五节柜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217</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休闲沙发(三人位）</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87</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休闲沙发单人位</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茶几</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71</w:t>
            </w:r>
          </w:p>
        </w:tc>
        <w:tc>
          <w:tcPr>
            <w:tcW w:w="1650"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18</w:t>
            </w:r>
          </w:p>
        </w:tc>
        <w:tc>
          <w:tcPr>
            <w:tcW w:w="1650"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单人床</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床头柜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写字桌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三人位沙发</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组</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单人位沙发</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组</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茶几</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电视柜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衣柜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诊疗桌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诊疗椅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80</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职员椅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273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诊查床</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等候椅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钢木办公桌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重型货架</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57</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308"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高低床</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153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写字桌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54</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学习椅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103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四门更衣柜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299</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kern w:val="0"/>
                <w:sz w:val="21"/>
                <w:szCs w:val="21"/>
                <w:lang w:bidi="ar"/>
              </w:rPr>
            </w:pPr>
          </w:p>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78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茶水柜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沙发单人位</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沙发两人位</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highlight w:val="yellow"/>
              </w:rPr>
            </w:pPr>
            <w:r>
              <w:rPr>
                <w:rFonts w:hint="eastAsia" w:ascii="宋体" w:hAnsi="宋体" w:cs="宋体"/>
                <w:kern w:val="0"/>
                <w:sz w:val="21"/>
                <w:szCs w:val="21"/>
                <w:lang w:bidi="ar"/>
              </w:rPr>
              <w:t>沙发三人位</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茶几</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办公桌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228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49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条凳</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27</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折叠条桌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138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培训椅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276</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餐桌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9</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餐椅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主席台桌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284"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条形会议桌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284"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条形会议桌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礼堂椅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座</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273</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58</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演讲台</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59</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60</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会议桌</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61</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条桌会议椅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32</w:t>
            </w:r>
          </w:p>
        </w:tc>
        <w:tc>
          <w:tcPr>
            <w:tcW w:w="1650" w:type="dxa"/>
            <w:tcBorders>
              <w:left w:val="single" w:color="000000" w:sz="4" w:space="0"/>
              <w:bottom w:val="single" w:color="auto"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62</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会议椅</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90</w:t>
            </w:r>
          </w:p>
        </w:tc>
        <w:tc>
          <w:tcPr>
            <w:tcW w:w="1650"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63</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茶水柜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64</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贵宾沙发</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座</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12</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65</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茶几</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66</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三门更衣柜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178</w:t>
            </w:r>
          </w:p>
        </w:tc>
        <w:tc>
          <w:tcPr>
            <w:tcW w:w="1650" w:type="dxa"/>
            <w:vMerge w:val="continue"/>
            <w:tcBorders>
              <w:left w:val="single" w:color="000000" w:sz="4" w:space="0"/>
              <w:right w:val="single" w:color="000000" w:sz="4" w:space="0"/>
            </w:tcBorders>
            <w:vAlign w:val="center"/>
          </w:tcPr>
          <w:p>
            <w:pPr>
              <w:jc w:val="center"/>
              <w:rPr>
                <w:rFonts w:hint="eastAsia" w:ascii="宋体" w:hAnsi="宋体" w:cs="宋体"/>
                <w:sz w:val="21"/>
                <w:szCs w:val="21"/>
              </w:rPr>
            </w:pPr>
          </w:p>
        </w:tc>
      </w:tr>
      <w:tr>
        <w:tblPrEx>
          <w:tblLayout w:type="fixed"/>
          <w:tblCellMar>
            <w:top w:w="15" w:type="dxa"/>
            <w:left w:w="15" w:type="dxa"/>
            <w:bottom w:w="15" w:type="dxa"/>
            <w:right w:w="15" w:type="dxa"/>
          </w:tblCellMar>
        </w:tblPrEx>
        <w:trPr>
          <w:trHeight w:val="90"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67</w:t>
            </w:r>
          </w:p>
        </w:tc>
        <w:tc>
          <w:tcPr>
            <w:tcW w:w="4176"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四门更衣柜</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100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50</w:t>
            </w:r>
          </w:p>
        </w:tc>
        <w:tc>
          <w:tcPr>
            <w:tcW w:w="1650"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cs="宋体"/>
                <w:sz w:val="21"/>
                <w:szCs w:val="21"/>
              </w:rPr>
            </w:pPr>
          </w:p>
        </w:tc>
      </w:tr>
    </w:tbl>
    <w:p>
      <w:pPr>
        <w:numPr>
          <w:ilvl w:val="0"/>
          <w:numId w:val="0"/>
        </w:numPr>
        <w:spacing w:line="560" w:lineRule="exact"/>
        <w:jc w:val="left"/>
        <w:rPr>
          <w:rFonts w:hint="eastAsia" w:asciiTheme="minorEastAsia" w:hAnsiTheme="minorEastAsia" w:eastAsiaTheme="minorEastAsia" w:cstheme="minorEastAsia"/>
          <w:b/>
          <w:bCs/>
          <w:color w:val="auto"/>
          <w:sz w:val="28"/>
          <w:szCs w:val="28"/>
          <w:lang w:eastAsia="zh-CN"/>
        </w:rPr>
      </w:pPr>
    </w:p>
    <w:p>
      <w:pPr>
        <w:pStyle w:val="15"/>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p>
    <w:p>
      <w:pPr>
        <w:pStyle w:val="15"/>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p>
    <w:p>
      <w:pPr>
        <w:pStyle w:val="15"/>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p>
    <w:p>
      <w:pPr>
        <w:pStyle w:val="15"/>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p>
    <w:p>
      <w:pPr>
        <w:pStyle w:val="15"/>
        <w:rPr>
          <w:rFonts w:hint="eastAsia"/>
          <w:lang w:eastAsia="zh-CN"/>
        </w:rPr>
      </w:pPr>
    </w:p>
    <w:p>
      <w:pPr>
        <w:numPr>
          <w:ilvl w:val="0"/>
          <w:numId w:val="0"/>
        </w:numPr>
        <w:spacing w:line="560" w:lineRule="exact"/>
        <w:jc w:val="left"/>
        <w:rPr>
          <w:rFonts w:hint="eastAsia" w:asciiTheme="minorEastAsia" w:hAnsiTheme="minorEastAsia" w:eastAsiaTheme="minorEastAsia" w:cstheme="minorEastAsia"/>
          <w:b/>
          <w:bCs/>
          <w:color w:val="auto"/>
          <w:sz w:val="28"/>
          <w:szCs w:val="28"/>
          <w:lang w:eastAsia="zh-CN"/>
        </w:rPr>
      </w:pPr>
    </w:p>
    <w:p>
      <w:pPr>
        <w:numPr>
          <w:ilvl w:val="0"/>
          <w:numId w:val="0"/>
        </w:num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（四）</w:t>
      </w:r>
      <w:r>
        <w:rPr>
          <w:rFonts w:hint="eastAsia" w:asciiTheme="minorEastAsia" w:hAnsiTheme="minorEastAsia" w:eastAsiaTheme="minorEastAsia" w:cstheme="minorEastAsia"/>
          <w:b/>
          <w:bCs/>
          <w:color w:val="auto"/>
          <w:sz w:val="28"/>
          <w:szCs w:val="28"/>
        </w:rPr>
        <w:t>商务</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技术要求</w:t>
      </w:r>
    </w:p>
    <w:p>
      <w:pPr>
        <w:pStyle w:val="8"/>
        <w:rPr>
          <w:rFonts w:hint="eastAsia" w:eastAsiaTheme="minorEastAsia"/>
          <w:lang w:val="en-US" w:eastAsia="zh-CN"/>
        </w:rPr>
      </w:pPr>
      <w:r>
        <w:rPr>
          <w:rFonts w:hint="eastAsia" w:asciiTheme="minorEastAsia" w:hAnsiTheme="minorEastAsia" w:eastAsiaTheme="minorEastAsia" w:cstheme="minorEastAsia"/>
          <w:b/>
          <w:bCs/>
          <w:color w:val="auto"/>
          <w:sz w:val="28"/>
          <w:szCs w:val="28"/>
          <w:lang w:val="en-US" w:eastAsia="zh-CN"/>
        </w:rPr>
        <w:t xml:space="preserve">                          I、商务要求</w:t>
      </w:r>
    </w:p>
    <w:tbl>
      <w:tblPr>
        <w:tblStyle w:val="25"/>
        <w:tblW w:w="8814" w:type="dxa"/>
        <w:tblInd w:w="59" w:type="dxa"/>
        <w:tblLayout w:type="fixed"/>
        <w:tblCellMar>
          <w:top w:w="15" w:type="dxa"/>
          <w:left w:w="15" w:type="dxa"/>
          <w:bottom w:w="15" w:type="dxa"/>
          <w:right w:w="15" w:type="dxa"/>
        </w:tblCellMar>
      </w:tblPr>
      <w:tblGrid>
        <w:gridCol w:w="727"/>
        <w:gridCol w:w="1620"/>
        <w:gridCol w:w="6467"/>
      </w:tblGrid>
      <w:tr>
        <w:tblPrEx>
          <w:tblLayout w:type="fixed"/>
        </w:tblPrEx>
        <w:trPr>
          <w:trHeight w:val="450"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bidi="ar"/>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bidi="ar"/>
              </w:rPr>
              <w:t>名称</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bidi="ar"/>
              </w:rPr>
              <w:t>内容</w:t>
            </w:r>
          </w:p>
        </w:tc>
      </w:tr>
      <w:tr>
        <w:tblPrEx>
          <w:tblLayout w:type="fixed"/>
          <w:tblCellMar>
            <w:top w:w="15" w:type="dxa"/>
            <w:left w:w="15" w:type="dxa"/>
            <w:bottom w:w="15" w:type="dxa"/>
            <w:right w:w="15" w:type="dxa"/>
          </w:tblCellMar>
        </w:tblPrEx>
        <w:trPr>
          <w:trHeight w:val="90"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9"/>
                <w:rFonts w:hint="eastAsia" w:asciiTheme="minorEastAsia" w:hAnsiTheme="minorEastAsia" w:eastAsiaTheme="minorEastAsia" w:cstheme="minorEastAsia"/>
                <w:color w:val="auto"/>
                <w:sz w:val="21"/>
                <w:szCs w:val="21"/>
                <w:lang w:bidi="ar"/>
              </w:rPr>
            </w:pPr>
            <w:r>
              <w:rPr>
                <w:rStyle w:val="29"/>
                <w:rFonts w:hint="eastAsia" w:asciiTheme="minorEastAsia" w:hAnsiTheme="minorEastAsia" w:eastAsiaTheme="minorEastAsia" w:cstheme="minorEastAsia"/>
                <w:color w:val="auto"/>
                <w:sz w:val="21"/>
                <w:szCs w:val="21"/>
                <w:lang w:bidi="ar"/>
              </w:rPr>
              <w:t>付款方式</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Style w:val="30"/>
                <w:rFonts w:hint="eastAsia" w:asciiTheme="minorEastAsia" w:hAnsiTheme="minorEastAsia" w:eastAsiaTheme="minorEastAsia" w:cstheme="minorEastAsia"/>
                <w:color w:val="auto"/>
                <w:sz w:val="21"/>
                <w:szCs w:val="21"/>
                <w:lang w:bidi="ar"/>
              </w:rPr>
              <w:t>（付款的时间及比例）</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29"/>
                <w:rFonts w:hint="eastAsia" w:asciiTheme="minorEastAsia" w:hAnsiTheme="minorEastAsia" w:eastAsiaTheme="minorEastAsia" w:cstheme="minorEastAsia"/>
                <w:color w:val="auto"/>
                <w:sz w:val="21"/>
                <w:szCs w:val="21"/>
                <w:lang w:bidi="ar"/>
              </w:rPr>
            </w:pPr>
            <w:r>
              <w:rPr>
                <w:rStyle w:val="29"/>
                <w:rFonts w:hint="eastAsia" w:asciiTheme="minorEastAsia" w:hAnsiTheme="minorEastAsia" w:eastAsiaTheme="minorEastAsia" w:cstheme="minorEastAsia"/>
                <w:color w:val="auto"/>
                <w:sz w:val="21"/>
                <w:szCs w:val="21"/>
                <w:lang w:bidi="ar"/>
              </w:rPr>
              <w:t xml:space="preserve">签订合同付全款的50%，货到后付全款40%，验收、安装调试合格后60天付全款10%。    </w:t>
            </w:r>
          </w:p>
        </w:tc>
      </w:tr>
      <w:tr>
        <w:tblPrEx>
          <w:tblLayout w:type="fixed"/>
        </w:tblPrEx>
        <w:trPr>
          <w:trHeight w:val="706"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Style w:val="29"/>
                <w:rFonts w:hint="eastAsia" w:asciiTheme="minorEastAsia" w:hAnsiTheme="minorEastAsia" w:eastAsiaTheme="minorEastAsia" w:cstheme="minorEastAsia"/>
                <w:color w:val="auto"/>
                <w:sz w:val="21"/>
                <w:szCs w:val="21"/>
                <w:lang w:bidi="ar"/>
              </w:rPr>
              <w:t>交付（实施）的时间（期限）</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合同签订后15天（日历日）内完成供货、安装、调试。</w:t>
            </w:r>
          </w:p>
        </w:tc>
      </w:tr>
      <w:tr>
        <w:tblPrEx>
          <w:tblLayout w:type="fixed"/>
          <w:tblCellMar>
            <w:top w:w="15" w:type="dxa"/>
            <w:left w:w="15" w:type="dxa"/>
            <w:bottom w:w="15" w:type="dxa"/>
            <w:right w:w="15" w:type="dxa"/>
          </w:tblCellMar>
        </w:tblPrEx>
        <w:trPr>
          <w:trHeight w:val="381"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交货（实施）地点</w:t>
            </w:r>
          </w:p>
        </w:tc>
        <w:tc>
          <w:tcPr>
            <w:tcW w:w="646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奇台县中心人民医院指定地点</w:t>
            </w:r>
          </w:p>
        </w:tc>
      </w:tr>
      <w:tr>
        <w:tblPrEx>
          <w:tblLayout w:type="fixed"/>
          <w:tblCellMar>
            <w:top w:w="15" w:type="dxa"/>
            <w:left w:w="15" w:type="dxa"/>
            <w:bottom w:w="15" w:type="dxa"/>
            <w:right w:w="15" w:type="dxa"/>
          </w:tblCellMar>
        </w:tblPrEx>
        <w:trPr>
          <w:trHeight w:val="90"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履约验收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（含验收内容、标准、程序等）</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采购人依据国家有关规定、招标文件、中标人的投标文件以及合同约定的内容和验收标准进行验收，采购人可以邀请相关专家或参加本项目的其他投标人或者第三方机构参与验收。参与验收的投标人或者第三方机构的意见作为验收书的参考资料一并存档。货物类项目因质量问题发生争议时，以质量技术检验检测机构检验结果为准，如产生检验费用，则该费用由过失方承担。</w:t>
            </w:r>
          </w:p>
          <w:p>
            <w:pPr>
              <w:widowControl/>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其他要求：☑无   □有</w:t>
            </w:r>
          </w:p>
        </w:tc>
      </w:tr>
      <w:tr>
        <w:tblPrEx>
          <w:tblLayout w:type="fixed"/>
          <w:tblCellMar>
            <w:top w:w="15" w:type="dxa"/>
            <w:left w:w="15" w:type="dxa"/>
            <w:bottom w:w="15" w:type="dxa"/>
            <w:right w:w="15" w:type="dxa"/>
          </w:tblCellMar>
        </w:tblPrEx>
        <w:trPr>
          <w:trHeight w:val="716"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售后</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服务</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2"/>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自项目验收合格后</w:t>
            </w:r>
            <w:r>
              <w:rPr>
                <w:rStyle w:val="32"/>
                <w:rFonts w:hint="eastAsia" w:asciiTheme="minorEastAsia" w:hAnsiTheme="minorEastAsia" w:eastAsiaTheme="minorEastAsia" w:cstheme="minorEastAsia"/>
                <w:color w:val="auto"/>
                <w:sz w:val="21"/>
                <w:szCs w:val="21"/>
                <w:lang w:bidi="ar"/>
              </w:rPr>
              <w:t xml:space="preserve">  3年   </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售后服务要求：</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1、在质保期内所发生的一切费用由乙方承担。</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2、乙方应提供国内（包括新疆地区）维修站和维修人员的联系电话和地址。提供正规的备品备件价格表。质保期后的维修费用，先维修后付款。零备件的购买，先交货后付款。</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3、设备故障响应时间：1小时电话应答，如遇故障，维修人员应于12小时内到达故障现场处理；须详细注明维修联系人姓名、维修方式（频次）、电话。维修人员需在每次履行维修义务后前往相关科室签署书面维修确认单，经双方签字确认后方可被认为履行完维修义务。书面维修确认单需留存作为合同履行依据。</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4、故障设备修复期限自报修之日计算，不超过3个工作日，逾期由中标公司提供备用机，同时保修期顺延；</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5、质保期内，卖方应按甲方要求随时提供现场服务，同时必须提供设备定期上门巡检服务，须由专业人员完成；在提供设备定期巡检服务时必须留存服务单据，并有每次服务现场甲方科室人员及甲方工程师确认签字。因设备质量问题所造成的一切后果由乙方负责。质保期满后,终生提供免费上门维修服务,只收取配件成本费。</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6、如有维修响应超时、故障设备修复期限超过3个工作日而未提出解决办法、未按规定提供巡检服务、或缺少服务确认单据等情况，甲方有权按比例扣除部分或全部的剩余设备质保款项；</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7、本合同项下货物的免费保修期或与质量相关的其它期限均按照本合同约定方式完成最终验收（最终验收指以采购方（甲方）与中标人签订最终验收文件之日）开始计算。</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8、本合同签订后及货物使用中，如涉及增加或改进安全性的软件升级问题，无论甲方是否知晓或是否向乙方提出，乙方均应当在其刚开始应用该软件时的第一时间内，立即主动地、无条件地给与免费更新并调试完好。</w:t>
            </w:r>
          </w:p>
          <w:p>
            <w:pPr>
              <w:widowControl/>
              <w:jc w:val="left"/>
              <w:textAlignment w:val="center"/>
              <w:rPr>
                <w:rStyle w:val="31"/>
                <w:rFonts w:hint="eastAsia" w:asciiTheme="minorEastAsia" w:hAnsiTheme="minorEastAsia" w:eastAsiaTheme="minorEastAsia" w:cstheme="minorEastAsia"/>
                <w:color w:val="auto"/>
                <w:sz w:val="21"/>
                <w:szCs w:val="21"/>
                <w:lang w:bidi="ar"/>
              </w:rPr>
            </w:pPr>
            <w:r>
              <w:rPr>
                <w:rStyle w:val="31"/>
                <w:rFonts w:hint="eastAsia" w:asciiTheme="minorEastAsia" w:hAnsiTheme="minorEastAsia" w:eastAsiaTheme="minorEastAsia" w:cstheme="minorEastAsia"/>
                <w:color w:val="auto"/>
                <w:sz w:val="21"/>
                <w:szCs w:val="21"/>
                <w:lang w:bidi="ar"/>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widowControl/>
              <w:jc w:val="left"/>
              <w:textAlignment w:val="center"/>
              <w:rPr>
                <w:rFonts w:hint="eastAsia" w:asciiTheme="minorEastAsia" w:hAnsiTheme="minorEastAsia" w:eastAsiaTheme="minorEastAsia" w:cstheme="minorEastAsia"/>
                <w:sz w:val="21"/>
                <w:szCs w:val="21"/>
              </w:rPr>
            </w:pPr>
            <w:r>
              <w:rPr>
                <w:rStyle w:val="31"/>
                <w:rFonts w:hint="eastAsia" w:asciiTheme="minorEastAsia" w:hAnsiTheme="minorEastAsia" w:eastAsiaTheme="minorEastAsia" w:cstheme="minorEastAsia"/>
                <w:color w:val="auto"/>
                <w:sz w:val="21"/>
                <w:szCs w:val="21"/>
                <w:lang w:bidi="ar"/>
              </w:rPr>
              <w:t xml:space="preserve">10、质保期后有责任向甲方说明故障的解决方法，提供优惠的配件供应。提供保修期后无偿技术支持。                       </w:t>
            </w:r>
          </w:p>
        </w:tc>
      </w:tr>
      <w:tr>
        <w:tblPrEx>
          <w:tblLayout w:type="fixed"/>
          <w:tblCellMar>
            <w:top w:w="15" w:type="dxa"/>
            <w:left w:w="15" w:type="dxa"/>
            <w:bottom w:w="15" w:type="dxa"/>
            <w:right w:w="15" w:type="dxa"/>
          </w:tblCellMar>
        </w:tblPrEx>
        <w:trPr>
          <w:trHeight w:val="696"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投标人资</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格要求</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1、投标人必须是符合《中华人民共和国政府采购法》第二十二条的合格</w:t>
            </w:r>
          </w:p>
          <w:p>
            <w:pPr>
              <w:widowControl/>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供应商（1.1具有承担民事责任能力、为中国境内合法成立的法人单位或其他组织；1.2具有良好的商业信誉和健全的财务会计制度；1.3具有履行合同所必需的设备和专业技术能力；1.4有依法缴纳税收和社会保障资金的良好记录；1.5参加政府采购活动前三年内，在经营活动中没有重大违法记录；1.6法律、行政法规规定的其他条件；）</w:t>
            </w:r>
          </w:p>
        </w:tc>
      </w:tr>
      <w:tr>
        <w:tblPrEx>
          <w:tblLayout w:type="fixed"/>
          <w:tblCellMar>
            <w:top w:w="15" w:type="dxa"/>
            <w:left w:w="15" w:type="dxa"/>
            <w:bottom w:w="15" w:type="dxa"/>
            <w:right w:w="15" w:type="dxa"/>
          </w:tblCellMar>
        </w:tblPrEx>
        <w:trPr>
          <w:trHeight w:val="530"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是否接受联合体投标</w:t>
            </w:r>
          </w:p>
        </w:tc>
        <w:tc>
          <w:tcPr>
            <w:tcW w:w="64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1"/>
                <w:szCs w:val="21"/>
              </w:rPr>
            </w:pPr>
            <w:r>
              <w:rPr>
                <w:rStyle w:val="29"/>
                <w:rFonts w:hint="eastAsia" w:asciiTheme="minorEastAsia" w:hAnsiTheme="minorEastAsia" w:eastAsiaTheme="minorEastAsia" w:cstheme="minorEastAsia"/>
                <w:color w:val="auto"/>
                <w:sz w:val="21"/>
                <w:szCs w:val="21"/>
                <w:lang w:bidi="ar"/>
              </w:rPr>
              <w:t xml:space="preserve">☑不接受      </w:t>
            </w:r>
          </w:p>
        </w:tc>
      </w:tr>
      <w:tr>
        <w:tblPrEx>
          <w:tblLayout w:type="fixed"/>
          <w:tblCellMar>
            <w:top w:w="15" w:type="dxa"/>
            <w:left w:w="15" w:type="dxa"/>
            <w:bottom w:w="15" w:type="dxa"/>
            <w:right w:w="15" w:type="dxa"/>
          </w:tblCellMar>
        </w:tblPrEx>
        <w:trPr>
          <w:trHeight w:val="745" w:hRule="atLeast"/>
        </w:trPr>
        <w:tc>
          <w:tcPr>
            <w:tcW w:w="72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6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是否属于专门面向中小企业预留采购份额的采购项目</w:t>
            </w:r>
          </w:p>
        </w:tc>
        <w:tc>
          <w:tcPr>
            <w:tcW w:w="6467" w:type="dxa"/>
            <w:tcBorders>
              <w:top w:val="single" w:color="000000" w:sz="4" w:space="0"/>
              <w:left w:val="single" w:color="000000" w:sz="4" w:space="0"/>
              <w:bottom w:val="single" w:color="auto" w:sz="4" w:space="0"/>
              <w:right w:val="single" w:color="000000" w:sz="4" w:space="0"/>
            </w:tcBorders>
            <w:vAlign w:val="center"/>
          </w:tcPr>
          <w:p>
            <w:pPr>
              <w:pStyle w:val="20"/>
              <w:widowControl/>
              <w:snapToGrid w:val="0"/>
              <w:spacing w:beforeAutospacing="0" w:afterAutospacing="0"/>
              <w:rPr>
                <w:rStyle w:val="29"/>
                <w:rFonts w:hint="eastAsia" w:asciiTheme="minorEastAsia" w:hAnsiTheme="minorEastAsia" w:eastAsiaTheme="minorEastAsia" w:cstheme="minorEastAsia"/>
                <w:color w:val="auto"/>
                <w:sz w:val="21"/>
                <w:szCs w:val="21"/>
                <w:lang w:val="en-US" w:eastAsia="zh-CN" w:bidi="ar"/>
              </w:rPr>
            </w:pPr>
            <w:r>
              <w:rPr>
                <w:rStyle w:val="29"/>
                <w:rFonts w:hint="eastAsia" w:asciiTheme="minorEastAsia" w:hAnsiTheme="minorEastAsia" w:eastAsiaTheme="minorEastAsia" w:cstheme="minorEastAsia"/>
                <w:color w:val="auto"/>
                <w:sz w:val="21"/>
                <w:szCs w:val="21"/>
                <w:highlight w:val="none"/>
                <w:lang w:val="en-US" w:eastAsia="zh-CN" w:bidi="ar"/>
              </w:rPr>
              <w:t>标项1</w:t>
            </w:r>
            <w:r>
              <w:rPr>
                <w:rStyle w:val="29"/>
                <w:rFonts w:hint="eastAsia" w:asciiTheme="minorEastAsia" w:hAnsiTheme="minorEastAsia" w:eastAsiaTheme="minorEastAsia" w:cstheme="minorEastAsia"/>
                <w:color w:val="auto"/>
                <w:sz w:val="21"/>
                <w:szCs w:val="21"/>
                <w:lang w:val="en-US" w:eastAsia="zh-CN" w:bidi="ar"/>
              </w:rPr>
              <w:t>属于不专门面向中小微企业预留项目</w:t>
            </w:r>
          </w:p>
          <w:p>
            <w:pPr>
              <w:pStyle w:val="20"/>
              <w:widowControl/>
              <w:snapToGrid w:val="0"/>
              <w:spacing w:beforeAutospacing="0" w:afterAutospacing="0"/>
              <w:rPr>
                <w:rFonts w:hint="eastAsia" w:asciiTheme="minorEastAsia" w:hAnsiTheme="minorEastAsia" w:eastAsiaTheme="minorEastAsia" w:cstheme="minorEastAsia"/>
                <w:sz w:val="21"/>
                <w:szCs w:val="21"/>
                <w:lang w:eastAsia="zh-CN"/>
              </w:rPr>
            </w:pPr>
            <w:r>
              <w:rPr>
                <w:rStyle w:val="29"/>
                <w:rFonts w:hint="eastAsia" w:asciiTheme="minorEastAsia" w:hAnsiTheme="minorEastAsia" w:eastAsiaTheme="minorEastAsia" w:cstheme="minorEastAsia"/>
                <w:color w:val="auto"/>
                <w:sz w:val="21"/>
                <w:szCs w:val="21"/>
                <w:highlight w:val="none"/>
                <w:lang w:val="en-US" w:eastAsia="zh-CN" w:bidi="ar"/>
              </w:rPr>
              <w:t>标项2</w:t>
            </w:r>
            <w:r>
              <w:rPr>
                <w:rStyle w:val="29"/>
                <w:rFonts w:hint="eastAsia" w:asciiTheme="minorEastAsia" w:hAnsiTheme="minorEastAsia" w:eastAsiaTheme="minorEastAsia" w:cstheme="minorEastAsia"/>
                <w:color w:val="auto"/>
                <w:sz w:val="21"/>
                <w:szCs w:val="21"/>
                <w:lang w:val="en-US" w:eastAsia="zh-CN" w:bidi="ar"/>
              </w:rPr>
              <w:t>属于面向中小企业预留项目</w:t>
            </w:r>
          </w:p>
        </w:tc>
      </w:tr>
      <w:tr>
        <w:tblPrEx>
          <w:tblLayout w:type="fixed"/>
          <w:tblCellMar>
            <w:top w:w="15" w:type="dxa"/>
            <w:left w:w="15" w:type="dxa"/>
            <w:bottom w:w="15" w:type="dxa"/>
            <w:right w:w="15" w:type="dxa"/>
          </w:tblCellMar>
        </w:tblPrEx>
        <w:trPr>
          <w:trHeight w:val="983" w:hRule="atLeast"/>
        </w:trPr>
        <w:tc>
          <w:tcPr>
            <w:tcW w:w="72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中小企业划分标准所属行业</w:t>
            </w:r>
          </w:p>
        </w:tc>
        <w:tc>
          <w:tcPr>
            <w:tcW w:w="6467" w:type="dxa"/>
            <w:tcBorders>
              <w:top w:val="single" w:color="auto" w:sz="4" w:space="0"/>
              <w:left w:val="single" w:color="000000" w:sz="4" w:space="0"/>
              <w:bottom w:val="single" w:color="auto" w:sz="4" w:space="0"/>
              <w:right w:val="single" w:color="000000" w:sz="4" w:space="0"/>
            </w:tcBorders>
            <w:vAlign w:val="center"/>
          </w:tcPr>
          <w:p>
            <w:pPr>
              <w:pStyle w:val="20"/>
              <w:widowControl/>
              <w:snapToGrid w:val="0"/>
              <w:spacing w:beforeAutospacing="0" w:afterAutospacing="0"/>
              <w:rPr>
                <w:rStyle w:val="29"/>
                <w:rFonts w:hint="eastAsia" w:asciiTheme="minorEastAsia" w:hAnsiTheme="minorEastAsia" w:eastAsiaTheme="minorEastAsia" w:cstheme="minorEastAsia"/>
                <w:color w:val="auto"/>
                <w:sz w:val="21"/>
                <w:szCs w:val="21"/>
                <w:u w:val="single"/>
                <w:lang w:bidi="ar"/>
              </w:rPr>
            </w:pPr>
            <w:r>
              <w:rPr>
                <w:rFonts w:hint="eastAsia" w:asciiTheme="minorEastAsia" w:hAnsiTheme="minorEastAsia" w:eastAsiaTheme="minorEastAsia" w:cstheme="minorEastAsia"/>
                <w:sz w:val="21"/>
                <w:szCs w:val="21"/>
              </w:rPr>
              <w:t>第一标包：划分标准</w:t>
            </w:r>
            <w:r>
              <w:rPr>
                <w:rStyle w:val="29"/>
                <w:rFonts w:hint="eastAsia" w:asciiTheme="minorEastAsia" w:hAnsiTheme="minorEastAsia" w:eastAsiaTheme="minorEastAsia" w:cstheme="minorEastAsia"/>
                <w:color w:val="auto"/>
                <w:sz w:val="21"/>
                <w:szCs w:val="21"/>
                <w:lang w:bidi="ar"/>
              </w:rPr>
              <w:t>所属行业：</w:t>
            </w:r>
            <w:r>
              <w:rPr>
                <w:rStyle w:val="29"/>
                <w:rFonts w:hint="eastAsia" w:asciiTheme="minorEastAsia" w:hAnsiTheme="minorEastAsia" w:eastAsiaTheme="minorEastAsia" w:cstheme="minorEastAsia"/>
                <w:color w:val="auto"/>
                <w:sz w:val="21"/>
                <w:szCs w:val="21"/>
                <w:u w:val="single"/>
                <w:lang w:bidi="ar"/>
              </w:rPr>
              <w:t xml:space="preserve"> 制造业  </w:t>
            </w:r>
          </w:p>
          <w:p>
            <w:pPr>
              <w:pStyle w:val="20"/>
              <w:widowControl/>
              <w:snapToGrid w:val="0"/>
              <w:spacing w:beforeAutospacing="0" w:afterAutospacing="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第二标包：划分标准</w:t>
            </w:r>
            <w:r>
              <w:rPr>
                <w:rStyle w:val="29"/>
                <w:rFonts w:hint="eastAsia" w:asciiTheme="minorEastAsia" w:hAnsiTheme="minorEastAsia" w:eastAsiaTheme="minorEastAsia" w:cstheme="minorEastAsia"/>
                <w:color w:val="auto"/>
                <w:sz w:val="21"/>
                <w:szCs w:val="21"/>
                <w:lang w:bidi="ar"/>
              </w:rPr>
              <w:t>所属行业：</w:t>
            </w:r>
            <w:r>
              <w:rPr>
                <w:rStyle w:val="29"/>
                <w:rFonts w:hint="eastAsia" w:asciiTheme="minorEastAsia" w:hAnsiTheme="minorEastAsia" w:eastAsiaTheme="minorEastAsia" w:cstheme="minorEastAsia"/>
                <w:color w:val="auto"/>
                <w:sz w:val="21"/>
                <w:szCs w:val="21"/>
                <w:u w:val="single"/>
                <w:lang w:bidi="ar"/>
              </w:rPr>
              <w:t xml:space="preserve"> 制造业  </w:t>
            </w:r>
          </w:p>
        </w:tc>
      </w:tr>
      <w:tr>
        <w:tblPrEx>
          <w:tblLayout w:type="fixed"/>
          <w:tblCellMar>
            <w:top w:w="15" w:type="dxa"/>
            <w:left w:w="15" w:type="dxa"/>
            <w:bottom w:w="15" w:type="dxa"/>
            <w:right w:w="15" w:type="dxa"/>
          </w:tblCellMar>
        </w:tblPrEx>
        <w:trPr>
          <w:trHeight w:val="90" w:hRule="atLeast"/>
        </w:trPr>
        <w:tc>
          <w:tcPr>
            <w:tcW w:w="72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6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投标报价</w:t>
            </w:r>
          </w:p>
        </w:tc>
        <w:tc>
          <w:tcPr>
            <w:tcW w:w="646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招标报价采用总承包方式，投标人的报价应包括所投产品费用、安装调试费、测试验收费、培训费、运行维护费用、税金、国际国内运输保险、报关清关、开证、办理全套免税手续费用及其他有关的为完成本项目发生的所有费用，采购文件中另有规定的除外。</w:t>
            </w:r>
          </w:p>
        </w:tc>
      </w:tr>
    </w:tbl>
    <w:p>
      <w:pPr>
        <w:pStyle w:val="2"/>
        <w:rPr>
          <w:rFonts w:hint="eastAsia"/>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ind w:firstLine="3654" w:firstLineChars="1300"/>
        <w:jc w:val="left"/>
        <w:rPr>
          <w:rFonts w:hint="eastAsia" w:asciiTheme="minorEastAsia" w:hAnsiTheme="minorEastAsia" w:eastAsiaTheme="minorEastAsia" w:cstheme="minorEastAsia"/>
          <w:b/>
          <w:bCs/>
          <w:sz w:val="28"/>
          <w:szCs w:val="28"/>
          <w:lang w:val="en-US" w:eastAsia="zh-CN"/>
        </w:rPr>
      </w:pPr>
    </w:p>
    <w:p>
      <w:pPr>
        <w:spacing w:line="56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II、</w:t>
      </w:r>
      <w:r>
        <w:rPr>
          <w:rFonts w:hint="eastAsia" w:asciiTheme="minorEastAsia" w:hAnsiTheme="minorEastAsia" w:eastAsiaTheme="minorEastAsia" w:cstheme="minorEastAsia"/>
          <w:b/>
          <w:bCs/>
          <w:sz w:val="28"/>
          <w:szCs w:val="28"/>
        </w:rPr>
        <w:t>技术要求</w:t>
      </w:r>
    </w:p>
    <w:p>
      <w:pPr>
        <w:pStyle w:val="8"/>
        <w:ind w:firstLine="2108" w:firstLineChars="1000"/>
        <w:rPr>
          <w:rFonts w:hint="eastAsia" w:asciiTheme="minorEastAsia" w:hAnsiTheme="minorEastAsia" w:eastAsiaTheme="minorEastAsia" w:cstheme="minorEastAsia"/>
          <w:b/>
          <w:bCs/>
          <w:sz w:val="21"/>
          <w:szCs w:val="21"/>
          <w:u w:val="none"/>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1"/>
          <w:szCs w:val="21"/>
          <w:u w:val="none"/>
          <w:lang w:val="en-US" w:eastAsia="zh-CN" w:bidi="zh-CN"/>
        </w:rPr>
        <w:t>（一）标项1：</w:t>
      </w:r>
      <w:r>
        <w:rPr>
          <w:rFonts w:hint="eastAsia" w:asciiTheme="minorEastAsia" w:hAnsiTheme="minorEastAsia" w:eastAsiaTheme="minorEastAsia" w:cstheme="minorEastAsia"/>
          <w:b/>
          <w:bCs/>
          <w:kern w:val="2"/>
          <w:sz w:val="21"/>
          <w:szCs w:val="21"/>
          <w:u w:val="none"/>
          <w:lang w:val="en-US" w:eastAsia="zh-CN" w:bidi="zh-CN"/>
        </w:rPr>
        <w:t>标项1：</w:t>
      </w:r>
      <w:r>
        <w:rPr>
          <w:rFonts w:hint="eastAsia" w:asciiTheme="minorEastAsia" w:hAnsiTheme="minorEastAsia" w:eastAsiaTheme="minorEastAsia" w:cstheme="minorEastAsia"/>
          <w:b/>
          <w:bCs/>
          <w:kern w:val="2"/>
          <w:sz w:val="21"/>
          <w:szCs w:val="21"/>
          <w:u w:val="none"/>
          <w:lang w:val="zh-CN" w:eastAsia="zh-CN" w:bidi="zh-CN"/>
        </w:rPr>
        <w:t>LED电子大屏采购安装项目及弱电设备安装</w:t>
      </w:r>
    </w:p>
    <w:tbl>
      <w:tblPr>
        <w:tblStyle w:val="25"/>
        <w:tblpPr w:leftFromText="181" w:rightFromText="181" w:vertAnchor="text" w:horzAnchor="page" w:tblpX="965" w:tblpY="838"/>
        <w:tblOverlap w:val="never"/>
        <w:tblW w:w="943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6"/>
        <w:gridCol w:w="1376"/>
        <w:gridCol w:w="6163"/>
        <w:gridCol w:w="35"/>
        <w:gridCol w:w="322"/>
        <w:gridCol w:w="383"/>
        <w:gridCol w:w="230"/>
        <w:gridCol w:w="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c>
          <w:tcPr>
            <w:tcW w:w="606" w:type="dxa"/>
            <w:tcBorders>
              <w:top w:val="single" w:color="auto" w:sz="4" w:space="0"/>
              <w:left w:val="single" w:color="auto" w:sz="4" w:space="0"/>
              <w:bottom w:val="single" w:color="auto" w:sz="4" w:space="0"/>
              <w:right w:val="single" w:color="000000" w:sz="6" w:space="0"/>
            </w:tcBorders>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序号</w:t>
            </w:r>
          </w:p>
        </w:tc>
        <w:tc>
          <w:tcPr>
            <w:tcW w:w="1376" w:type="dxa"/>
            <w:tcBorders>
              <w:top w:val="single" w:color="auto" w:sz="4" w:space="0"/>
              <w:left w:val="single" w:color="000000" w:sz="6" w:space="0"/>
              <w:bottom w:val="single" w:color="auto" w:sz="4" w:space="0"/>
              <w:right w:val="single" w:color="000000" w:sz="6" w:space="0"/>
            </w:tcBorders>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名称</w:t>
            </w:r>
          </w:p>
        </w:tc>
        <w:tc>
          <w:tcPr>
            <w:tcW w:w="6198" w:type="dxa"/>
            <w:gridSpan w:val="2"/>
            <w:tcBorders>
              <w:top w:val="single" w:color="auto" w:sz="4" w:space="0"/>
              <w:left w:val="single" w:color="000000" w:sz="6" w:space="0"/>
              <w:bottom w:val="single" w:color="auto" w:sz="4" w:space="0"/>
              <w:right w:val="single" w:color="000000" w:sz="6" w:space="0"/>
            </w:tcBorders>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技术参数</w:t>
            </w:r>
          </w:p>
        </w:tc>
        <w:tc>
          <w:tcPr>
            <w:tcW w:w="705" w:type="dxa"/>
            <w:gridSpan w:val="2"/>
            <w:tcBorders>
              <w:top w:val="single" w:color="auto" w:sz="4" w:space="0"/>
              <w:left w:val="single" w:color="000000" w:sz="6" w:space="0"/>
              <w:bottom w:val="single" w:color="auto" w:sz="4" w:space="0"/>
              <w:right w:val="single" w:color="000000" w:sz="6" w:space="0"/>
            </w:tcBorders>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单位</w:t>
            </w:r>
          </w:p>
        </w:tc>
        <w:tc>
          <w:tcPr>
            <w:tcW w:w="550" w:type="dxa"/>
            <w:gridSpan w:val="2"/>
            <w:tcBorders>
              <w:top w:val="single" w:color="auto" w:sz="4" w:space="0"/>
              <w:left w:val="single" w:color="000000" w:sz="6" w:space="0"/>
              <w:bottom w:val="single" w:color="auto" w:sz="4" w:space="0"/>
              <w:right w:val="single" w:color="000000" w:sz="6" w:space="0"/>
            </w:tcBorders>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c>
          <w:tcPr>
            <w:tcW w:w="9435" w:type="dxa"/>
            <w:gridSpan w:val="8"/>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智能广告车牌识别系统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出入口控制机</w:t>
            </w:r>
          </w:p>
        </w:tc>
        <w:tc>
          <w:tcPr>
            <w:tcW w:w="6198" w:type="dxa"/>
            <w:gridSpan w:val="2"/>
            <w:vAlign w:val="center"/>
          </w:tcPr>
          <w:p>
            <w:pPr>
              <w:numPr>
                <w:ilvl w:val="0"/>
                <w:numId w:val="6"/>
              </w:numPr>
              <w:adjustRightInd w:val="0"/>
              <w:snapToGrid w:val="0"/>
              <w:jc w:val="left"/>
              <w:rPr>
                <w:rFonts w:hint="eastAsia" w:ascii="宋体" w:hAnsi="宋体" w:cs="宋体"/>
                <w:sz w:val="21"/>
                <w:szCs w:val="21"/>
              </w:rPr>
            </w:pPr>
            <w:r>
              <w:rPr>
                <w:rFonts w:hint="eastAsia" w:ascii="宋体" w:hAnsi="宋体" w:cs="宋体"/>
                <w:sz w:val="21"/>
                <w:szCs w:val="21"/>
              </w:rPr>
              <w:t>识别率:车牌识别，白天/晚上识别率≥99%</w:t>
            </w:r>
          </w:p>
          <w:p>
            <w:pPr>
              <w:numPr>
                <w:ilvl w:val="0"/>
                <w:numId w:val="6"/>
              </w:numPr>
              <w:adjustRightInd w:val="0"/>
              <w:snapToGrid w:val="0"/>
              <w:jc w:val="left"/>
              <w:rPr>
                <w:rFonts w:hint="eastAsia" w:ascii="宋体" w:hAnsi="宋体" w:cs="宋体"/>
                <w:sz w:val="21"/>
                <w:szCs w:val="21"/>
              </w:rPr>
            </w:pPr>
            <w:r>
              <w:rPr>
                <w:rFonts w:hint="eastAsia" w:ascii="宋体" w:hAnsi="宋体" w:cs="宋体"/>
                <w:sz w:val="21"/>
                <w:szCs w:val="21"/>
              </w:rPr>
              <w:t>像≥300万像素抓拍;</w:t>
            </w:r>
          </w:p>
          <w:p>
            <w:pPr>
              <w:numPr>
                <w:ilvl w:val="0"/>
                <w:numId w:val="6"/>
              </w:numPr>
              <w:adjustRightInd w:val="0"/>
              <w:snapToGrid w:val="0"/>
              <w:jc w:val="left"/>
              <w:rPr>
                <w:rFonts w:hint="eastAsia" w:ascii="宋体" w:hAnsi="宋体" w:cs="宋体"/>
                <w:sz w:val="21"/>
                <w:szCs w:val="21"/>
              </w:rPr>
            </w:pPr>
            <w:r>
              <w:rPr>
                <w:rFonts w:hint="eastAsia" w:ascii="宋体" w:hAnsi="宋体" w:cs="宋体"/>
                <w:sz w:val="21"/>
                <w:szCs w:val="21"/>
              </w:rPr>
              <w:t>网络接口配置要求:兼容视频流、地感触发；自动同步；1路开关量输出；黑色防腐烤漆；频闪LED，车牌识别专用；户外高亮LED灯珠，四行显示；带功放，真人录制语音。</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广告道闸</w:t>
            </w:r>
          </w:p>
        </w:tc>
        <w:tc>
          <w:tcPr>
            <w:tcW w:w="6198" w:type="dxa"/>
            <w:gridSpan w:val="2"/>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1.工作电压220V+10% /50HZ</w:t>
            </w:r>
          </w:p>
          <w:p>
            <w:pPr>
              <w:adjustRightInd w:val="0"/>
              <w:snapToGrid w:val="0"/>
              <w:jc w:val="left"/>
              <w:rPr>
                <w:rFonts w:hint="eastAsia" w:ascii="宋体" w:hAnsi="宋体" w:cs="宋体"/>
                <w:sz w:val="21"/>
                <w:szCs w:val="21"/>
              </w:rPr>
            </w:pPr>
            <w:r>
              <w:rPr>
                <w:rFonts w:hint="eastAsia" w:ascii="宋体" w:hAnsi="宋体" w:cs="宋体"/>
                <w:sz w:val="21"/>
                <w:szCs w:val="21"/>
              </w:rPr>
              <w:t>2.电机功率180W</w:t>
            </w:r>
          </w:p>
          <w:p>
            <w:pPr>
              <w:adjustRightInd w:val="0"/>
              <w:snapToGrid w:val="0"/>
              <w:jc w:val="left"/>
              <w:rPr>
                <w:rFonts w:hint="eastAsia" w:ascii="宋体" w:hAnsi="宋体" w:cs="宋体"/>
                <w:sz w:val="21"/>
                <w:szCs w:val="21"/>
              </w:rPr>
            </w:pPr>
            <w:r>
              <w:rPr>
                <w:rFonts w:hint="eastAsia" w:ascii="宋体" w:hAnsi="宋体" w:cs="宋体"/>
                <w:sz w:val="21"/>
                <w:szCs w:val="21"/>
              </w:rPr>
              <w:t>3.使用环境温度-30℃-80℃</w:t>
            </w:r>
          </w:p>
          <w:p>
            <w:pPr>
              <w:adjustRightInd w:val="0"/>
              <w:snapToGrid w:val="0"/>
              <w:jc w:val="left"/>
              <w:rPr>
                <w:rFonts w:hint="eastAsia" w:ascii="宋体" w:hAnsi="宋体" w:cs="宋体"/>
                <w:sz w:val="21"/>
                <w:szCs w:val="21"/>
              </w:rPr>
            </w:pPr>
            <w:r>
              <w:rPr>
                <w:rFonts w:hint="eastAsia" w:ascii="宋体" w:hAnsi="宋体" w:cs="宋体"/>
                <w:sz w:val="21"/>
                <w:szCs w:val="21"/>
              </w:rPr>
              <w:t>4.相对湿度≤95%</w:t>
            </w:r>
          </w:p>
          <w:p>
            <w:pPr>
              <w:adjustRightInd w:val="0"/>
              <w:snapToGrid w:val="0"/>
              <w:jc w:val="left"/>
              <w:rPr>
                <w:rFonts w:hint="eastAsia" w:ascii="宋体" w:hAnsi="宋体" w:cs="宋体"/>
                <w:sz w:val="21"/>
                <w:szCs w:val="21"/>
              </w:rPr>
            </w:pPr>
            <w:r>
              <w:rPr>
                <w:rFonts w:hint="eastAsia" w:ascii="宋体" w:hAnsi="宋体" w:cs="宋体"/>
                <w:sz w:val="21"/>
                <w:szCs w:val="21"/>
              </w:rPr>
              <w:t>5.杆长3.8米(特殊长度可定制)</w:t>
            </w:r>
          </w:p>
          <w:p>
            <w:pPr>
              <w:adjustRightInd w:val="0"/>
              <w:snapToGrid w:val="0"/>
              <w:jc w:val="left"/>
              <w:rPr>
                <w:rFonts w:hint="eastAsia" w:ascii="宋体" w:hAnsi="宋体" w:cs="宋体"/>
                <w:sz w:val="21"/>
                <w:szCs w:val="21"/>
              </w:rPr>
            </w:pPr>
            <w:r>
              <w:rPr>
                <w:rFonts w:hint="eastAsia" w:ascii="宋体" w:hAnsi="宋体" w:cs="宋体"/>
                <w:sz w:val="21"/>
                <w:szCs w:val="21"/>
              </w:rPr>
              <w:t>6.广告翻板块数(块)由杆长而定</w:t>
            </w:r>
          </w:p>
          <w:p>
            <w:pPr>
              <w:adjustRightInd w:val="0"/>
              <w:snapToGrid w:val="0"/>
              <w:jc w:val="left"/>
              <w:rPr>
                <w:rFonts w:hint="eastAsia" w:ascii="宋体" w:hAnsi="宋体" w:cs="宋体"/>
                <w:sz w:val="21"/>
                <w:szCs w:val="21"/>
              </w:rPr>
            </w:pPr>
            <w:r>
              <w:rPr>
                <w:rFonts w:hint="eastAsia" w:ascii="宋体" w:hAnsi="宋体" w:cs="宋体"/>
                <w:sz w:val="21"/>
                <w:szCs w:val="21"/>
              </w:rPr>
              <w:t>7.广告翻板尺寸92mm*830mm</w:t>
            </w:r>
          </w:p>
          <w:p>
            <w:pPr>
              <w:adjustRightInd w:val="0"/>
              <w:snapToGrid w:val="0"/>
              <w:jc w:val="left"/>
              <w:rPr>
                <w:rFonts w:hint="eastAsia" w:ascii="宋体" w:hAnsi="宋体" w:cs="宋体"/>
                <w:sz w:val="21"/>
                <w:szCs w:val="21"/>
              </w:rPr>
            </w:pPr>
            <w:r>
              <w:rPr>
                <w:rFonts w:hint="eastAsia" w:ascii="宋体" w:hAnsi="宋体" w:cs="宋体"/>
                <w:sz w:val="21"/>
                <w:szCs w:val="21"/>
              </w:rPr>
              <w:t>8.灯箱画面尺寸400mm*1040mm</w:t>
            </w:r>
          </w:p>
          <w:p>
            <w:pPr>
              <w:adjustRightInd w:val="0"/>
              <w:snapToGrid w:val="0"/>
              <w:jc w:val="left"/>
              <w:rPr>
                <w:rFonts w:hint="eastAsia" w:ascii="宋体" w:hAnsi="宋体" w:cs="宋体"/>
                <w:sz w:val="21"/>
                <w:szCs w:val="21"/>
              </w:rPr>
            </w:pPr>
            <w:r>
              <w:rPr>
                <w:rFonts w:hint="eastAsia" w:ascii="宋体" w:hAnsi="宋体" w:cs="宋体"/>
                <w:sz w:val="21"/>
                <w:szCs w:val="21"/>
              </w:rPr>
              <w:t>9.LED灯带功率16.7A，200W</w:t>
            </w:r>
          </w:p>
          <w:p>
            <w:pPr>
              <w:adjustRightInd w:val="0"/>
              <w:snapToGrid w:val="0"/>
              <w:jc w:val="left"/>
              <w:rPr>
                <w:rFonts w:hint="eastAsia" w:ascii="宋体" w:hAnsi="宋体" w:cs="宋体"/>
                <w:sz w:val="21"/>
                <w:szCs w:val="21"/>
              </w:rPr>
            </w:pPr>
            <w:r>
              <w:rPr>
                <w:rFonts w:hint="eastAsia" w:ascii="宋体" w:hAnsi="宋体" w:cs="宋体"/>
                <w:sz w:val="21"/>
                <w:szCs w:val="21"/>
              </w:rPr>
              <w:t>10.抬杆后的高度由杆长而定</w:t>
            </w:r>
          </w:p>
          <w:p>
            <w:pPr>
              <w:adjustRightInd w:val="0"/>
              <w:snapToGrid w:val="0"/>
              <w:jc w:val="left"/>
              <w:rPr>
                <w:rFonts w:hint="eastAsia" w:ascii="宋体" w:hAnsi="宋体" w:cs="宋体"/>
                <w:sz w:val="21"/>
                <w:szCs w:val="21"/>
              </w:rPr>
            </w:pPr>
            <w:r>
              <w:rPr>
                <w:rFonts w:hint="eastAsia" w:ascii="宋体" w:hAnsi="宋体" w:cs="宋体"/>
                <w:sz w:val="21"/>
                <w:szCs w:val="21"/>
              </w:rPr>
              <w:t>11.抬杆时间≤5秒(特殊要求可定制)</w:t>
            </w:r>
          </w:p>
          <w:p>
            <w:pPr>
              <w:adjustRightInd w:val="0"/>
              <w:snapToGrid w:val="0"/>
              <w:jc w:val="left"/>
              <w:rPr>
                <w:rFonts w:hint="eastAsia" w:ascii="宋体" w:hAnsi="宋体" w:cs="宋体"/>
                <w:sz w:val="21"/>
                <w:szCs w:val="21"/>
              </w:rPr>
            </w:pPr>
            <w:r>
              <w:rPr>
                <w:rFonts w:hint="eastAsia" w:ascii="宋体" w:hAnsi="宋体" w:cs="宋体"/>
                <w:sz w:val="21"/>
                <w:szCs w:val="21"/>
              </w:rPr>
              <w:t>12.上横梁中心高度1050 mm</w:t>
            </w:r>
          </w:p>
          <w:p>
            <w:pPr>
              <w:adjustRightInd w:val="0"/>
              <w:snapToGrid w:val="0"/>
              <w:jc w:val="left"/>
              <w:rPr>
                <w:rFonts w:hint="eastAsia" w:ascii="宋体" w:hAnsi="宋体" w:cs="宋体"/>
                <w:sz w:val="21"/>
                <w:szCs w:val="21"/>
              </w:rPr>
            </w:pPr>
            <w:r>
              <w:rPr>
                <w:rFonts w:hint="eastAsia" w:ascii="宋体" w:hAnsi="宋体" w:cs="宋体"/>
                <w:sz w:val="21"/>
                <w:szCs w:val="21"/>
              </w:rPr>
              <w:t>13.遥控距离≤40m</w:t>
            </w:r>
          </w:p>
          <w:p>
            <w:pPr>
              <w:adjustRightInd w:val="0"/>
              <w:snapToGrid w:val="0"/>
              <w:jc w:val="left"/>
              <w:rPr>
                <w:rFonts w:hint="eastAsia" w:ascii="宋体" w:hAnsi="宋体" w:cs="宋体"/>
                <w:sz w:val="21"/>
                <w:szCs w:val="21"/>
              </w:rPr>
            </w:pPr>
            <w:r>
              <w:rPr>
                <w:rFonts w:hint="eastAsia" w:ascii="宋体" w:hAnsi="宋体" w:cs="宋体"/>
                <w:sz w:val="21"/>
                <w:szCs w:val="21"/>
              </w:rPr>
              <w:t>14.输入接口+12V电平信号或大于100ms的脉冲信号；驱动电流小于10mA</w:t>
            </w:r>
          </w:p>
          <w:p>
            <w:pPr>
              <w:adjustRightInd w:val="0"/>
              <w:snapToGrid w:val="0"/>
              <w:jc w:val="left"/>
              <w:rPr>
                <w:rFonts w:hint="eastAsia" w:ascii="宋体" w:hAnsi="宋体" w:cs="宋体"/>
                <w:sz w:val="21"/>
                <w:szCs w:val="21"/>
              </w:rPr>
            </w:pPr>
            <w:r>
              <w:rPr>
                <w:rFonts w:hint="eastAsia" w:ascii="宋体" w:hAnsi="宋体" w:cs="宋体"/>
                <w:sz w:val="21"/>
                <w:szCs w:val="21"/>
              </w:rPr>
              <w:t>15.机箱外观尺寸460× 370× 1220mm</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车辆检测器</w:t>
            </w:r>
          </w:p>
        </w:tc>
        <w:tc>
          <w:tcPr>
            <w:tcW w:w="6198" w:type="dxa"/>
            <w:gridSpan w:val="2"/>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三级灵敏度可调；三级可调延时；高可靠、无死机</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车辆检测器高温线</w:t>
            </w:r>
          </w:p>
        </w:tc>
        <w:tc>
          <w:tcPr>
            <w:tcW w:w="6198" w:type="dxa"/>
            <w:gridSpan w:val="2"/>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聚四氟乙烯高温镀银线圈;高Q值;耐高温最高工作温度：105℃最低环境温度：固定敷设-40℃，</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软件狗</w:t>
            </w:r>
          </w:p>
        </w:tc>
        <w:tc>
          <w:tcPr>
            <w:tcW w:w="6198" w:type="dxa"/>
            <w:gridSpan w:val="2"/>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硬件加密锁，配套软件使用</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微信支付对接费用</w:t>
            </w:r>
          </w:p>
        </w:tc>
        <w:tc>
          <w:tcPr>
            <w:tcW w:w="6198" w:type="dxa"/>
            <w:gridSpan w:val="2"/>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申请商户码</w:t>
            </w:r>
          </w:p>
        </w:tc>
        <w:tc>
          <w:tcPr>
            <w:tcW w:w="705"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元</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9435" w:type="dxa"/>
            <w:gridSpan w:val="8"/>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快速道闸车牌识别系统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出入口控制机</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1.识别率:车牌识别，白天/晚上识别率≥99%</w:t>
            </w:r>
          </w:p>
          <w:p>
            <w:pPr>
              <w:adjustRightInd w:val="0"/>
              <w:snapToGrid w:val="0"/>
              <w:jc w:val="left"/>
              <w:rPr>
                <w:rFonts w:hint="eastAsia" w:ascii="宋体" w:hAnsi="宋体" w:cs="宋体"/>
                <w:sz w:val="21"/>
                <w:szCs w:val="21"/>
              </w:rPr>
            </w:pPr>
            <w:r>
              <w:rPr>
                <w:rFonts w:hint="eastAsia" w:ascii="宋体" w:hAnsi="宋体" w:cs="宋体"/>
                <w:sz w:val="21"/>
                <w:szCs w:val="21"/>
              </w:rPr>
              <w:t>2.像素≥300万像素抓拍；</w:t>
            </w:r>
          </w:p>
          <w:p>
            <w:pPr>
              <w:adjustRightInd w:val="0"/>
              <w:snapToGrid w:val="0"/>
              <w:jc w:val="left"/>
              <w:rPr>
                <w:rFonts w:hint="eastAsia" w:ascii="宋体" w:hAnsi="宋体" w:cs="宋体"/>
                <w:sz w:val="21"/>
                <w:szCs w:val="21"/>
              </w:rPr>
            </w:pPr>
            <w:r>
              <w:rPr>
                <w:rFonts w:hint="eastAsia" w:ascii="宋体" w:hAnsi="宋体" w:cs="宋体"/>
                <w:sz w:val="21"/>
                <w:szCs w:val="21"/>
              </w:rPr>
              <w:t>3.网络接口配置要求:兼容视频流、地感触发；自动同步；1路开关量输出；黑色防腐烤漆；频闪LED，车牌识别专用；户外高亮LED灯珠，四行显示；带功放，真人录制语音。</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快速道闸</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1.机芯、电控箱工作温度 :-35℃~+60℃</w:t>
            </w:r>
          </w:p>
          <w:p>
            <w:pPr>
              <w:adjustRightInd w:val="0"/>
              <w:snapToGrid w:val="0"/>
              <w:jc w:val="left"/>
              <w:rPr>
                <w:rFonts w:hint="eastAsia" w:ascii="宋体" w:hAnsi="宋体" w:cs="宋体"/>
                <w:sz w:val="21"/>
                <w:szCs w:val="21"/>
              </w:rPr>
            </w:pPr>
            <w:r>
              <w:rPr>
                <w:rFonts w:hint="eastAsia" w:ascii="宋体" w:hAnsi="宋体" w:cs="宋体"/>
                <w:sz w:val="21"/>
                <w:szCs w:val="21"/>
              </w:rPr>
              <w:t>2.电源:220V± 10%  50/60HZ</w:t>
            </w:r>
          </w:p>
          <w:p>
            <w:pPr>
              <w:adjustRightInd w:val="0"/>
              <w:snapToGrid w:val="0"/>
              <w:jc w:val="left"/>
              <w:rPr>
                <w:rFonts w:hint="eastAsia" w:ascii="宋体" w:hAnsi="宋体" w:cs="宋体"/>
                <w:sz w:val="21"/>
                <w:szCs w:val="21"/>
              </w:rPr>
            </w:pPr>
            <w:r>
              <w:rPr>
                <w:rFonts w:hint="eastAsia" w:ascii="宋体" w:hAnsi="宋体" w:cs="宋体"/>
                <w:sz w:val="21"/>
                <w:szCs w:val="21"/>
              </w:rPr>
              <w:t>3.额定功率:80W</w:t>
            </w:r>
          </w:p>
          <w:p>
            <w:pPr>
              <w:adjustRightInd w:val="0"/>
              <w:snapToGrid w:val="0"/>
              <w:jc w:val="left"/>
              <w:rPr>
                <w:rFonts w:hint="eastAsia" w:ascii="宋体" w:hAnsi="宋体" w:cs="宋体"/>
                <w:sz w:val="21"/>
                <w:szCs w:val="21"/>
              </w:rPr>
            </w:pPr>
            <w:r>
              <w:rPr>
                <w:rFonts w:hint="eastAsia" w:ascii="宋体" w:hAnsi="宋体" w:cs="宋体"/>
                <w:sz w:val="21"/>
                <w:szCs w:val="21"/>
              </w:rPr>
              <w:t>4.电容:9+9uF/450V</w:t>
            </w:r>
          </w:p>
          <w:p>
            <w:pPr>
              <w:adjustRightInd w:val="0"/>
              <w:snapToGrid w:val="0"/>
              <w:jc w:val="left"/>
              <w:rPr>
                <w:rFonts w:hint="eastAsia" w:ascii="宋体" w:hAnsi="宋体" w:cs="宋体"/>
                <w:sz w:val="21"/>
                <w:szCs w:val="21"/>
              </w:rPr>
            </w:pPr>
            <w:r>
              <w:rPr>
                <w:rFonts w:hint="eastAsia" w:ascii="宋体" w:hAnsi="宋体" w:cs="宋体"/>
                <w:sz w:val="21"/>
                <w:szCs w:val="21"/>
              </w:rPr>
              <w:t>5.相对湿度: ≤90%RH</w:t>
            </w:r>
          </w:p>
          <w:p>
            <w:pPr>
              <w:adjustRightInd w:val="0"/>
              <w:snapToGrid w:val="0"/>
              <w:jc w:val="left"/>
              <w:rPr>
                <w:rFonts w:hint="eastAsia" w:ascii="宋体" w:hAnsi="宋体" w:cs="宋体"/>
                <w:sz w:val="21"/>
                <w:szCs w:val="21"/>
              </w:rPr>
            </w:pPr>
            <w:r>
              <w:rPr>
                <w:rFonts w:hint="eastAsia" w:ascii="宋体" w:hAnsi="宋体" w:cs="宋体"/>
                <w:sz w:val="21"/>
                <w:szCs w:val="21"/>
              </w:rPr>
              <w:t>6.遥控距离:空旷条件下＜100M, ≥30M</w:t>
            </w:r>
          </w:p>
          <w:p>
            <w:pPr>
              <w:adjustRightInd w:val="0"/>
              <w:snapToGrid w:val="0"/>
              <w:jc w:val="left"/>
              <w:rPr>
                <w:rFonts w:hint="eastAsia" w:ascii="宋体" w:hAnsi="宋体" w:cs="宋体"/>
                <w:sz w:val="21"/>
                <w:szCs w:val="21"/>
              </w:rPr>
            </w:pPr>
            <w:r>
              <w:rPr>
                <w:rFonts w:hint="eastAsia" w:ascii="宋体" w:hAnsi="宋体" w:cs="宋体"/>
                <w:sz w:val="21"/>
                <w:szCs w:val="21"/>
              </w:rPr>
              <w:t>7.结构:曲臂连杆机芯结构，起落杆运行平稳</w:t>
            </w:r>
          </w:p>
          <w:p>
            <w:pPr>
              <w:adjustRightInd w:val="0"/>
              <w:snapToGrid w:val="0"/>
              <w:jc w:val="left"/>
              <w:rPr>
                <w:rFonts w:hint="eastAsia" w:ascii="宋体" w:hAnsi="宋体" w:cs="宋体"/>
                <w:sz w:val="21"/>
                <w:szCs w:val="21"/>
              </w:rPr>
            </w:pPr>
            <w:r>
              <w:rPr>
                <w:rFonts w:hint="eastAsia" w:ascii="宋体" w:hAnsi="宋体" w:cs="宋体"/>
                <w:sz w:val="21"/>
                <w:szCs w:val="21"/>
              </w:rPr>
              <w:t>8.无线遥控:控制起杆、落杆和停止</w:t>
            </w:r>
          </w:p>
          <w:p>
            <w:pPr>
              <w:adjustRightInd w:val="0"/>
              <w:snapToGrid w:val="0"/>
              <w:jc w:val="left"/>
              <w:rPr>
                <w:rFonts w:hint="eastAsia" w:ascii="宋体" w:hAnsi="宋体" w:cs="宋体"/>
                <w:sz w:val="21"/>
                <w:szCs w:val="21"/>
              </w:rPr>
            </w:pPr>
            <w:r>
              <w:rPr>
                <w:rFonts w:hint="eastAsia" w:ascii="宋体" w:hAnsi="宋体" w:cs="宋体"/>
                <w:sz w:val="21"/>
                <w:szCs w:val="21"/>
              </w:rPr>
              <w:t>9.红外对射防砸(需配红外对射装置)；支持车辆检测防砸(需安装地感装置)；接停车场系统开、关控制信号(要求为干接点信号)；红绿灯接口，干接点输出(可接电流小于10A的红绿灯)；提供限位状态信号给停车场系统(输出COM/NO/NC);延时落杆功能；记忆功能标配</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车辆检测器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三级灵敏度可调；三级可调延时；高可靠、无死机</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车辆检测器高温线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聚四氟乙烯高温镀银线圈;高Q值;耐高温最高工作温度：105℃最低环境温度：固定敷设-40℃。</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软件狗</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硬件加密锁</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微信支付对接费用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申请商户码</w:t>
            </w:r>
          </w:p>
        </w:tc>
        <w:tc>
          <w:tcPr>
            <w:tcW w:w="740" w:type="dxa"/>
            <w:gridSpan w:val="3"/>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元</w:t>
            </w:r>
          </w:p>
        </w:tc>
        <w:tc>
          <w:tcPr>
            <w:tcW w:w="550"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9435" w:type="dxa"/>
            <w:gridSpan w:val="8"/>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会议室音频扩音系统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扬声器、音柱</w:t>
            </w:r>
          </w:p>
        </w:tc>
        <w:tc>
          <w:tcPr>
            <w:tcW w:w="6163" w:type="dxa"/>
            <w:vAlign w:val="center"/>
          </w:tcPr>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类型:全频箱</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频率响应:90Hz-12kHz ± 3dB</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功率:120W(RMS) 240W(PEAK)</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灵敏度:97dB(1W@1M)</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最大声压:118dB(PEAK/1M)</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单元:4*4.5寸低音单元</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阻抗:8欧</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覆盖范围:100°H×100°V</w:t>
            </w:r>
          </w:p>
          <w:p>
            <w:pPr>
              <w:numPr>
                <w:ilvl w:val="0"/>
                <w:numId w:val="7"/>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箱体结构:夹板音箱</w:t>
            </w:r>
          </w:p>
          <w:p>
            <w:pPr>
              <w:adjustRightInd w:val="0"/>
              <w:snapToGrid w:val="0"/>
              <w:jc w:val="left"/>
              <w:rPr>
                <w:rFonts w:hint="eastAsia" w:ascii="宋体" w:hAnsi="宋体" w:cs="宋体"/>
                <w:sz w:val="21"/>
                <w:szCs w:val="21"/>
              </w:rPr>
            </w:pPr>
            <w:r>
              <w:rPr>
                <w:rFonts w:hint="eastAsia" w:ascii="宋体" w:hAnsi="宋体" w:cs="宋体"/>
                <w:sz w:val="21"/>
                <w:szCs w:val="21"/>
              </w:rPr>
              <w:t>10.输入连接:两个NL4接口1(+)1(-)</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专业功放</w:t>
            </w:r>
          </w:p>
        </w:tc>
        <w:tc>
          <w:tcPr>
            <w:tcW w:w="6163" w:type="dxa"/>
            <w:vAlign w:val="center"/>
          </w:tcPr>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额定输出功率:8Ω立体声200W×2</w:t>
            </w:r>
          </w:p>
          <w:p>
            <w:pPr>
              <w:pStyle w:val="8"/>
              <w:numPr>
                <w:ilvl w:val="0"/>
                <w:numId w:val="8"/>
              </w:numPr>
              <w:ind w:left="225" w:hanging="225"/>
              <w:rPr>
                <w:rFonts w:hint="eastAsia" w:ascii="宋体" w:hAnsi="宋体" w:cs="宋体"/>
                <w:sz w:val="21"/>
                <w:szCs w:val="21"/>
              </w:rPr>
            </w:pPr>
            <w:r>
              <w:rPr>
                <w:rFonts w:hint="eastAsia" w:ascii="宋体" w:hAnsi="宋体" w:cs="宋体"/>
                <w:sz w:val="21"/>
                <w:szCs w:val="21"/>
              </w:rPr>
              <w:t xml:space="preserve">额定输出功率:4Ω立体声300W×2     </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电源要求:AC220V(可以定制AC110V)电压范围AC190v-250v 50/60HZ</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结构:2U金属机箱设计</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通道数:2CH</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频率响应:20Hz-20kHz:+/-1dB</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信噪比:≥100dB (A计权)</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输入阻抗:平衡20K 非平衡10K</w:t>
            </w:r>
          </w:p>
          <w:p>
            <w:pPr>
              <w:numPr>
                <w:ilvl w:val="0"/>
                <w:numId w:val="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保护功能:过热、过载、短路、直流输出保护、软起动、冲击限幅</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音频处理器</w:t>
            </w:r>
          </w:p>
        </w:tc>
        <w:tc>
          <w:tcPr>
            <w:tcW w:w="6163" w:type="dxa"/>
            <w:vAlign w:val="center"/>
          </w:tcPr>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音频处理器2进4</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1.输入阻抗:平衡20KΩ</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2.输出阻抗:平衡100Ω</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3.共模拟制比:&gt;70dB(1KHz)</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4.输入范围:≤+25dBu</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5.频率相应:20Hz-20KHz(±0.5dB)</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6.信噪比:&gt;104dB</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7.失真度:﹤0.001%  OUTPUT=0dBu/1KHz</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8.功耗: ≤42.4W</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9.电源:AC110V/220V 50/60Hz</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8路电源时</w:t>
            </w:r>
          </w:p>
          <w:p>
            <w:pPr>
              <w:adjustRightInd w:val="0"/>
              <w:snapToGrid w:val="0"/>
              <w:jc w:val="center"/>
              <w:rPr>
                <w:rFonts w:hint="eastAsia" w:ascii="宋体" w:hAnsi="宋体" w:cs="宋体"/>
                <w:sz w:val="21"/>
                <w:szCs w:val="21"/>
              </w:rPr>
            </w:pPr>
            <w:r>
              <w:rPr>
                <w:rFonts w:hint="eastAsia" w:ascii="宋体" w:hAnsi="宋体" w:cs="宋体"/>
                <w:sz w:val="21"/>
                <w:szCs w:val="21"/>
              </w:rPr>
              <w:t>序器</w:t>
            </w:r>
          </w:p>
        </w:tc>
        <w:tc>
          <w:tcPr>
            <w:tcW w:w="6163" w:type="dxa"/>
            <w:vAlign w:val="center"/>
          </w:tcPr>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额定工作电压 85V~265V 40-60Hz</w:t>
            </w:r>
          </w:p>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整机额定工作电流(25℃)≦60A(连续)</w:t>
            </w:r>
          </w:p>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单通道工作电流(25℃)≦13A(连续)</w:t>
            </w:r>
          </w:p>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单通道峰值电流≦30A</w:t>
            </w:r>
          </w:p>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整机功耗≦8W</w:t>
            </w:r>
          </w:p>
          <w:p>
            <w:pPr>
              <w:numPr>
                <w:ilvl w:val="0"/>
                <w:numId w:val="9"/>
              </w:numPr>
              <w:adjustRightInd w:val="0"/>
              <w:snapToGrid w:val="0"/>
              <w:jc w:val="left"/>
              <w:rPr>
                <w:rFonts w:hint="eastAsia" w:ascii="宋体" w:hAnsi="宋体" w:cs="宋体"/>
                <w:sz w:val="21"/>
                <w:szCs w:val="21"/>
              </w:rPr>
            </w:pPr>
            <w:r>
              <w:rPr>
                <w:rFonts w:hint="eastAsia" w:ascii="宋体" w:hAnsi="宋体" w:cs="宋体"/>
                <w:sz w:val="21"/>
                <w:szCs w:val="21"/>
              </w:rPr>
              <w:t>各通道开关间隔时间1秒，每个通道带开关指示灯1个                  7. 参数显示屏(输入电压值、通道状态),LCD工业级点阵显示屏</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8.机箱高度1.2U (符合机柜安装标准)</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9.前面板指示功能每一通道状态数字显示、每一通道状态指示灯显示、待机、运行、全部旁通</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8路调音台</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1.6单声道话筒输入,4路立体声输入</w:t>
            </w:r>
          </w:p>
          <w:p>
            <w:pPr>
              <w:adjustRightInd w:val="0"/>
              <w:snapToGrid w:val="0"/>
              <w:jc w:val="left"/>
              <w:rPr>
                <w:rFonts w:hint="eastAsia" w:ascii="宋体" w:hAnsi="宋体" w:cs="宋体"/>
                <w:sz w:val="21"/>
                <w:szCs w:val="21"/>
              </w:rPr>
            </w:pPr>
            <w:r>
              <w:rPr>
                <w:rFonts w:hint="eastAsia" w:ascii="宋体" w:hAnsi="宋体" w:cs="宋体"/>
                <w:sz w:val="21"/>
                <w:szCs w:val="21"/>
              </w:rPr>
              <w:t>2.每分路三段均衡可调</w:t>
            </w:r>
          </w:p>
          <w:p>
            <w:pPr>
              <w:adjustRightInd w:val="0"/>
              <w:snapToGrid w:val="0"/>
              <w:jc w:val="left"/>
              <w:rPr>
                <w:rFonts w:hint="eastAsia" w:ascii="宋体" w:hAnsi="宋体" w:cs="宋体"/>
                <w:sz w:val="21"/>
                <w:szCs w:val="21"/>
              </w:rPr>
            </w:pPr>
            <w:r>
              <w:rPr>
                <w:rFonts w:hint="eastAsia" w:ascii="宋体" w:hAnsi="宋体" w:cs="宋体"/>
                <w:sz w:val="21"/>
                <w:szCs w:val="21"/>
              </w:rPr>
              <w:t>3.左右主声输出，效果输出</w:t>
            </w:r>
          </w:p>
          <w:p>
            <w:pPr>
              <w:pStyle w:val="8"/>
              <w:rPr>
                <w:rFonts w:hint="eastAsia" w:ascii="宋体" w:hAnsi="宋体" w:cs="宋体"/>
                <w:sz w:val="21"/>
                <w:szCs w:val="21"/>
              </w:rPr>
            </w:pPr>
            <w:r>
              <w:rPr>
                <w:rFonts w:hint="eastAsia" w:ascii="宋体" w:hAnsi="宋体" w:cs="宋体"/>
                <w:sz w:val="21"/>
                <w:szCs w:val="21"/>
              </w:rPr>
              <w:t xml:space="preserve">4.&gt;=99种DSP效果    </w:t>
            </w:r>
          </w:p>
          <w:p>
            <w:pPr>
              <w:adjustRightInd w:val="0"/>
              <w:snapToGrid w:val="0"/>
              <w:jc w:val="left"/>
              <w:rPr>
                <w:rFonts w:hint="eastAsia" w:ascii="宋体" w:hAnsi="宋体" w:cs="宋体"/>
                <w:sz w:val="21"/>
                <w:szCs w:val="21"/>
              </w:rPr>
            </w:pPr>
            <w:r>
              <w:rPr>
                <w:rFonts w:hint="eastAsia" w:ascii="宋体" w:hAnsi="宋体" w:cs="宋体"/>
                <w:sz w:val="21"/>
                <w:szCs w:val="21"/>
              </w:rPr>
              <w:t>5.单独推子控制MP3音量</w:t>
            </w:r>
          </w:p>
          <w:p>
            <w:pPr>
              <w:adjustRightInd w:val="0"/>
              <w:snapToGrid w:val="0"/>
              <w:jc w:val="left"/>
              <w:rPr>
                <w:rFonts w:hint="eastAsia" w:ascii="宋体" w:hAnsi="宋体" w:cs="宋体"/>
                <w:sz w:val="21"/>
                <w:szCs w:val="21"/>
              </w:rPr>
            </w:pPr>
            <w:r>
              <w:rPr>
                <w:rFonts w:hint="eastAsia" w:ascii="宋体" w:hAnsi="宋体" w:cs="宋体"/>
                <w:sz w:val="21"/>
                <w:szCs w:val="21"/>
              </w:rPr>
              <w:t>6.48V电源</w:t>
            </w:r>
          </w:p>
          <w:p>
            <w:pPr>
              <w:adjustRightInd w:val="0"/>
              <w:snapToGrid w:val="0"/>
              <w:jc w:val="left"/>
              <w:rPr>
                <w:rFonts w:hint="eastAsia" w:ascii="宋体" w:hAnsi="宋体" w:cs="宋体"/>
                <w:sz w:val="21"/>
                <w:szCs w:val="21"/>
              </w:rPr>
            </w:pPr>
            <w:r>
              <w:rPr>
                <w:rFonts w:hint="eastAsia" w:ascii="宋体" w:hAnsi="宋体" w:cs="宋体"/>
                <w:sz w:val="21"/>
                <w:szCs w:val="21"/>
              </w:rPr>
              <w:t>7.总输出7段均衡可调</w:t>
            </w:r>
          </w:p>
          <w:p>
            <w:pPr>
              <w:spacing w:line="260" w:lineRule="exact"/>
              <w:ind w:left="28" w:right="53"/>
              <w:rPr>
                <w:rFonts w:hint="eastAsia" w:ascii="宋体" w:hAnsi="宋体" w:cs="宋体"/>
                <w:sz w:val="21"/>
                <w:szCs w:val="21"/>
              </w:rPr>
            </w:pPr>
            <w:r>
              <w:rPr>
                <w:rFonts w:hint="eastAsia" w:ascii="宋体" w:hAnsi="宋体" w:cs="宋体"/>
                <w:sz w:val="21"/>
                <w:szCs w:val="21"/>
              </w:rPr>
              <w:t xml:space="preserve">8.带蓝牙和录音功能的MP3播放器                </w:t>
            </w:r>
          </w:p>
          <w:p>
            <w:pPr>
              <w:adjustRightInd w:val="0"/>
              <w:snapToGrid w:val="0"/>
              <w:jc w:val="left"/>
              <w:rPr>
                <w:rFonts w:hint="eastAsia" w:ascii="宋体" w:hAnsi="宋体" w:cs="宋体"/>
                <w:sz w:val="21"/>
                <w:szCs w:val="21"/>
              </w:rPr>
            </w:pPr>
            <w:r>
              <w:rPr>
                <w:rFonts w:hint="eastAsia" w:ascii="宋体" w:hAnsi="宋体" w:cs="宋体"/>
                <w:sz w:val="21"/>
                <w:szCs w:val="21"/>
              </w:rPr>
              <w:t>9.两路辅助输出</w:t>
            </w:r>
          </w:p>
        </w:tc>
        <w:tc>
          <w:tcPr>
            <w:tcW w:w="970" w:type="dxa"/>
            <w:gridSpan w:val="4"/>
            <w:vAlign w:val="center"/>
          </w:tcPr>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反馈抑制器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反馈抑制器2进2出</w:t>
            </w:r>
          </w:p>
          <w:p>
            <w:pPr>
              <w:numPr>
                <w:ilvl w:val="0"/>
                <w:numId w:val="10"/>
              </w:numPr>
              <w:adjustRightInd w:val="0"/>
              <w:snapToGrid w:val="0"/>
              <w:jc w:val="left"/>
              <w:rPr>
                <w:rFonts w:hint="eastAsia" w:ascii="宋体" w:hAnsi="宋体" w:cs="宋体"/>
                <w:sz w:val="21"/>
                <w:szCs w:val="21"/>
              </w:rPr>
            </w:pPr>
            <w:r>
              <w:rPr>
                <w:rFonts w:hint="eastAsia" w:ascii="宋体" w:hAnsi="宋体" w:cs="宋体"/>
                <w:sz w:val="21"/>
                <w:szCs w:val="21"/>
              </w:rPr>
              <w:t>输入阻抗:平衡20KΩ</w:t>
            </w:r>
          </w:p>
          <w:p>
            <w:pPr>
              <w:numPr>
                <w:ilvl w:val="0"/>
                <w:numId w:val="10"/>
              </w:numPr>
              <w:adjustRightInd w:val="0"/>
              <w:snapToGrid w:val="0"/>
              <w:jc w:val="left"/>
              <w:rPr>
                <w:rFonts w:hint="eastAsia" w:ascii="宋体" w:hAnsi="宋体" w:cs="宋体"/>
                <w:sz w:val="21"/>
                <w:szCs w:val="21"/>
              </w:rPr>
            </w:pPr>
            <w:r>
              <w:rPr>
                <w:rFonts w:hint="eastAsia" w:ascii="宋体" w:hAnsi="宋体" w:cs="宋体"/>
                <w:sz w:val="21"/>
                <w:szCs w:val="21"/>
              </w:rPr>
              <w:t>输出阻抗:平衡100Ω</w:t>
            </w:r>
          </w:p>
          <w:p>
            <w:pPr>
              <w:numPr>
                <w:ilvl w:val="0"/>
                <w:numId w:val="10"/>
              </w:numPr>
              <w:adjustRightInd w:val="0"/>
              <w:snapToGrid w:val="0"/>
              <w:jc w:val="left"/>
              <w:rPr>
                <w:rFonts w:hint="eastAsia" w:ascii="宋体" w:hAnsi="宋体" w:cs="宋体"/>
                <w:sz w:val="21"/>
                <w:szCs w:val="21"/>
              </w:rPr>
            </w:pPr>
            <w:r>
              <w:rPr>
                <w:rFonts w:hint="eastAsia" w:ascii="宋体" w:hAnsi="宋体" w:cs="宋体"/>
                <w:sz w:val="21"/>
                <w:szCs w:val="21"/>
              </w:rPr>
              <w:t>输入共模拟制比:≥70dB(1KHz)</w:t>
            </w:r>
          </w:p>
          <w:p>
            <w:pPr>
              <w:numPr>
                <w:ilvl w:val="0"/>
                <w:numId w:val="10"/>
              </w:numPr>
              <w:adjustRightInd w:val="0"/>
              <w:snapToGrid w:val="0"/>
              <w:jc w:val="left"/>
              <w:rPr>
                <w:rFonts w:hint="eastAsia" w:ascii="宋体" w:hAnsi="宋体" w:cs="宋体"/>
                <w:sz w:val="21"/>
                <w:szCs w:val="21"/>
              </w:rPr>
            </w:pPr>
            <w:r>
              <w:rPr>
                <w:rFonts w:hint="eastAsia" w:ascii="宋体" w:hAnsi="宋体" w:cs="宋体"/>
                <w:sz w:val="21"/>
                <w:szCs w:val="21"/>
              </w:rPr>
              <w:t>输出范围:≤25dBu</w:t>
            </w:r>
          </w:p>
          <w:p>
            <w:pPr>
              <w:numPr>
                <w:ilvl w:val="0"/>
                <w:numId w:val="10"/>
              </w:numPr>
              <w:adjustRightInd w:val="0"/>
              <w:snapToGrid w:val="0"/>
              <w:jc w:val="left"/>
              <w:rPr>
                <w:rFonts w:hint="eastAsia" w:ascii="宋体" w:hAnsi="宋体" w:cs="宋体"/>
                <w:sz w:val="21"/>
                <w:szCs w:val="21"/>
              </w:rPr>
            </w:pPr>
            <w:r>
              <w:rPr>
                <w:rFonts w:hint="eastAsia" w:ascii="宋体" w:hAnsi="宋体" w:cs="宋体"/>
                <w:sz w:val="21"/>
                <w:szCs w:val="21"/>
              </w:rPr>
              <w:t>频率相应:20Hz-20KHz(-0.5dB)</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无线会议一拖四鹅颈(方杆)</w:t>
            </w:r>
          </w:p>
        </w:tc>
        <w:tc>
          <w:tcPr>
            <w:tcW w:w="6163" w:type="dxa"/>
            <w:vAlign w:val="center"/>
          </w:tcPr>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频率范围:610~670 MHz</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调制方式:FM</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可调范围≥60MHz</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信道数目≥200个</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信道间隔:300KHz</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频率稳定度:±0.005%</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动态范围:100dB</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最大频偏:±45KHz</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音频响应:80Hz-18KHz (±3dB)</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综合失真:≤0.5%</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工作温度:-10℃-+40℃</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无线接口:BNC/50Ω</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杂散抑制:&gt;75dB</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最大输出电平:+10dBV</w:t>
            </w:r>
          </w:p>
          <w:p>
            <w:pPr>
              <w:numPr>
                <w:ilvl w:val="0"/>
                <w:numId w:val="11"/>
              </w:numPr>
              <w:adjustRightInd w:val="0"/>
              <w:snapToGrid w:val="0"/>
              <w:jc w:val="left"/>
              <w:rPr>
                <w:rFonts w:hint="eastAsia" w:ascii="宋体" w:hAnsi="宋体" w:cs="宋体"/>
                <w:sz w:val="21"/>
                <w:szCs w:val="21"/>
              </w:rPr>
            </w:pPr>
            <w:r>
              <w:rPr>
                <w:rFonts w:hint="eastAsia" w:ascii="宋体" w:hAnsi="宋体" w:cs="宋体"/>
                <w:sz w:val="21"/>
                <w:szCs w:val="21"/>
              </w:rPr>
              <w:t>工作电压电流:12V/500mA</w:t>
            </w:r>
          </w:p>
          <w:p>
            <w:pPr>
              <w:adjustRightInd w:val="0"/>
              <w:snapToGrid w:val="0"/>
              <w:jc w:val="left"/>
              <w:rPr>
                <w:rFonts w:hint="eastAsia" w:ascii="宋体" w:hAnsi="宋体" w:cs="宋体"/>
                <w:sz w:val="21"/>
                <w:szCs w:val="21"/>
              </w:rPr>
            </w:pPr>
            <w:r>
              <w:rPr>
                <w:rFonts w:hint="eastAsia" w:ascii="宋体" w:hAnsi="宋体" w:cs="宋体"/>
                <w:sz w:val="21"/>
                <w:szCs w:val="21"/>
              </w:rPr>
              <w:t>16.频率响应:40~18,000Hz</w:t>
            </w:r>
          </w:p>
          <w:p>
            <w:pPr>
              <w:adjustRightInd w:val="0"/>
              <w:snapToGrid w:val="0"/>
              <w:jc w:val="left"/>
              <w:rPr>
                <w:rFonts w:hint="eastAsia" w:ascii="宋体" w:hAnsi="宋体" w:cs="宋体"/>
                <w:sz w:val="21"/>
                <w:szCs w:val="21"/>
              </w:rPr>
            </w:pPr>
            <w:r>
              <w:rPr>
                <w:rFonts w:hint="eastAsia" w:ascii="宋体" w:hAnsi="宋体" w:cs="宋体"/>
                <w:sz w:val="21"/>
                <w:szCs w:val="21"/>
              </w:rPr>
              <w:t>17.使用距离:有效使用距离不小于50米.</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无线会议一拖二鹅颈(方杆)</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1.频率范围:610MHz-670MHz</w:t>
            </w:r>
          </w:p>
          <w:p>
            <w:pPr>
              <w:adjustRightInd w:val="0"/>
              <w:snapToGrid w:val="0"/>
              <w:jc w:val="left"/>
              <w:rPr>
                <w:rFonts w:hint="eastAsia" w:ascii="宋体" w:hAnsi="宋体" w:cs="宋体"/>
                <w:sz w:val="21"/>
                <w:szCs w:val="21"/>
              </w:rPr>
            </w:pPr>
            <w:r>
              <w:rPr>
                <w:rFonts w:hint="eastAsia" w:ascii="宋体" w:hAnsi="宋体" w:cs="宋体"/>
                <w:sz w:val="21"/>
                <w:szCs w:val="21"/>
              </w:rPr>
              <w:t>2.可调范围≥60MHz</w:t>
            </w:r>
          </w:p>
          <w:p>
            <w:pPr>
              <w:adjustRightInd w:val="0"/>
              <w:snapToGrid w:val="0"/>
              <w:jc w:val="left"/>
              <w:rPr>
                <w:rFonts w:hint="eastAsia" w:ascii="宋体" w:hAnsi="宋体" w:cs="宋体"/>
                <w:sz w:val="21"/>
                <w:szCs w:val="21"/>
              </w:rPr>
            </w:pPr>
            <w:r>
              <w:rPr>
                <w:rFonts w:hint="eastAsia" w:ascii="宋体" w:hAnsi="宋体" w:cs="宋体"/>
                <w:sz w:val="21"/>
                <w:szCs w:val="21"/>
              </w:rPr>
              <w:t>3.信道数目≥200个</w:t>
            </w:r>
          </w:p>
          <w:p>
            <w:pPr>
              <w:adjustRightInd w:val="0"/>
              <w:snapToGrid w:val="0"/>
              <w:jc w:val="left"/>
              <w:rPr>
                <w:rFonts w:hint="eastAsia" w:ascii="宋体" w:hAnsi="宋体" w:cs="宋体"/>
                <w:sz w:val="21"/>
                <w:szCs w:val="21"/>
              </w:rPr>
            </w:pPr>
            <w:r>
              <w:rPr>
                <w:rFonts w:hint="eastAsia" w:ascii="宋体" w:hAnsi="宋体" w:cs="宋体"/>
                <w:sz w:val="21"/>
                <w:szCs w:val="21"/>
              </w:rPr>
              <w:t>4.频率稳定度:±0.005%</w:t>
            </w:r>
          </w:p>
          <w:p>
            <w:pPr>
              <w:adjustRightInd w:val="0"/>
              <w:snapToGrid w:val="0"/>
              <w:jc w:val="left"/>
              <w:rPr>
                <w:rFonts w:hint="eastAsia" w:ascii="宋体" w:hAnsi="宋体" w:cs="宋体"/>
                <w:sz w:val="21"/>
                <w:szCs w:val="21"/>
              </w:rPr>
            </w:pPr>
            <w:r>
              <w:rPr>
                <w:rFonts w:hint="eastAsia" w:ascii="宋体" w:hAnsi="宋体" w:cs="宋体"/>
                <w:sz w:val="21"/>
                <w:szCs w:val="21"/>
              </w:rPr>
              <w:t>5.动态范围:100db</w:t>
            </w:r>
          </w:p>
          <w:p>
            <w:pPr>
              <w:adjustRightInd w:val="0"/>
              <w:snapToGrid w:val="0"/>
              <w:jc w:val="left"/>
              <w:rPr>
                <w:rFonts w:hint="eastAsia" w:ascii="宋体" w:hAnsi="宋体" w:cs="宋体"/>
                <w:sz w:val="21"/>
                <w:szCs w:val="21"/>
              </w:rPr>
            </w:pPr>
            <w:r>
              <w:rPr>
                <w:rFonts w:hint="eastAsia" w:ascii="宋体" w:hAnsi="宋体" w:cs="宋体"/>
                <w:sz w:val="21"/>
                <w:szCs w:val="21"/>
              </w:rPr>
              <w:t>6.最大偏移:±45KHZ</w:t>
            </w:r>
          </w:p>
          <w:p>
            <w:pPr>
              <w:adjustRightInd w:val="0"/>
              <w:snapToGrid w:val="0"/>
              <w:jc w:val="left"/>
              <w:rPr>
                <w:rFonts w:hint="eastAsia" w:ascii="宋体" w:hAnsi="宋体" w:cs="宋体"/>
                <w:sz w:val="21"/>
                <w:szCs w:val="21"/>
              </w:rPr>
            </w:pPr>
            <w:r>
              <w:rPr>
                <w:rFonts w:hint="eastAsia" w:ascii="宋体" w:hAnsi="宋体" w:cs="宋体"/>
                <w:sz w:val="21"/>
                <w:szCs w:val="21"/>
              </w:rPr>
              <w:t>7.音频频率响应:40HZ-18KHZ(±2db)</w:t>
            </w:r>
          </w:p>
          <w:p>
            <w:pPr>
              <w:adjustRightInd w:val="0"/>
              <w:snapToGrid w:val="0"/>
              <w:jc w:val="left"/>
              <w:rPr>
                <w:rFonts w:hint="eastAsia" w:ascii="宋体" w:hAnsi="宋体" w:cs="宋体"/>
                <w:sz w:val="21"/>
                <w:szCs w:val="21"/>
              </w:rPr>
            </w:pPr>
            <w:r>
              <w:rPr>
                <w:rFonts w:hint="eastAsia" w:ascii="宋体" w:hAnsi="宋体" w:cs="宋体"/>
                <w:sz w:val="21"/>
                <w:szCs w:val="21"/>
              </w:rPr>
              <w:t>8.综合信噪比:&gt;105db</w:t>
            </w:r>
          </w:p>
          <w:p>
            <w:pPr>
              <w:adjustRightInd w:val="0"/>
              <w:snapToGrid w:val="0"/>
              <w:jc w:val="left"/>
              <w:rPr>
                <w:rFonts w:hint="eastAsia" w:ascii="宋体" w:hAnsi="宋体" w:cs="宋体"/>
                <w:sz w:val="21"/>
                <w:szCs w:val="21"/>
              </w:rPr>
            </w:pPr>
            <w:r>
              <w:rPr>
                <w:rFonts w:hint="eastAsia" w:ascii="宋体" w:hAnsi="宋体" w:cs="宋体"/>
                <w:sz w:val="21"/>
                <w:szCs w:val="21"/>
              </w:rPr>
              <w:t>9.综合失真: ≤0.5%</w:t>
            </w:r>
          </w:p>
          <w:p>
            <w:pPr>
              <w:adjustRightInd w:val="0"/>
              <w:snapToGrid w:val="0"/>
              <w:jc w:val="left"/>
              <w:rPr>
                <w:rFonts w:hint="eastAsia" w:ascii="宋体" w:hAnsi="宋体" w:cs="宋体"/>
                <w:sz w:val="21"/>
                <w:szCs w:val="21"/>
              </w:rPr>
            </w:pPr>
            <w:r>
              <w:rPr>
                <w:rFonts w:hint="eastAsia" w:ascii="宋体" w:hAnsi="宋体" w:cs="宋体"/>
                <w:sz w:val="21"/>
                <w:szCs w:val="21"/>
              </w:rPr>
              <w:t>10.中频:110MHZ.10.7MHZ</w:t>
            </w:r>
          </w:p>
          <w:p>
            <w:pPr>
              <w:adjustRightInd w:val="0"/>
              <w:snapToGrid w:val="0"/>
              <w:jc w:val="left"/>
              <w:rPr>
                <w:rFonts w:hint="eastAsia" w:ascii="宋体" w:hAnsi="宋体" w:cs="宋体"/>
                <w:sz w:val="21"/>
                <w:szCs w:val="21"/>
              </w:rPr>
            </w:pPr>
            <w:r>
              <w:rPr>
                <w:rFonts w:hint="eastAsia" w:ascii="宋体" w:hAnsi="宋体" w:cs="宋体"/>
                <w:sz w:val="21"/>
                <w:szCs w:val="21"/>
              </w:rPr>
              <w:t>11.天线接入:TNC/50Ω</w:t>
            </w:r>
          </w:p>
          <w:p>
            <w:pPr>
              <w:adjustRightInd w:val="0"/>
              <w:snapToGrid w:val="0"/>
              <w:jc w:val="left"/>
              <w:rPr>
                <w:rFonts w:hint="eastAsia" w:ascii="宋体" w:hAnsi="宋体" w:cs="宋体"/>
                <w:sz w:val="21"/>
                <w:szCs w:val="21"/>
              </w:rPr>
            </w:pPr>
            <w:r>
              <w:rPr>
                <w:rFonts w:hint="eastAsia" w:ascii="宋体" w:hAnsi="宋体" w:cs="宋体"/>
                <w:sz w:val="21"/>
                <w:szCs w:val="21"/>
              </w:rPr>
              <w:t>12.灵敏度调节范围:12-32dBuV</w:t>
            </w:r>
          </w:p>
          <w:p>
            <w:pPr>
              <w:adjustRightInd w:val="0"/>
              <w:snapToGrid w:val="0"/>
              <w:jc w:val="left"/>
              <w:rPr>
                <w:rFonts w:hint="eastAsia" w:ascii="宋体" w:hAnsi="宋体" w:cs="宋体"/>
                <w:sz w:val="21"/>
                <w:szCs w:val="21"/>
              </w:rPr>
            </w:pPr>
            <w:r>
              <w:rPr>
                <w:rFonts w:hint="eastAsia" w:ascii="宋体" w:hAnsi="宋体" w:cs="宋体"/>
                <w:sz w:val="21"/>
                <w:szCs w:val="21"/>
              </w:rPr>
              <w:t>13.杂散抑制: ≥75db</w:t>
            </w:r>
          </w:p>
          <w:p>
            <w:pPr>
              <w:adjustRightInd w:val="0"/>
              <w:snapToGrid w:val="0"/>
              <w:jc w:val="left"/>
              <w:rPr>
                <w:rFonts w:hint="eastAsia" w:ascii="宋体" w:hAnsi="宋体" w:cs="宋体"/>
                <w:sz w:val="21"/>
                <w:szCs w:val="21"/>
              </w:rPr>
            </w:pPr>
            <w:r>
              <w:rPr>
                <w:rFonts w:hint="eastAsia" w:ascii="宋体" w:hAnsi="宋体" w:cs="宋体"/>
                <w:sz w:val="21"/>
                <w:szCs w:val="21"/>
              </w:rPr>
              <w:t>14.最大输出电平:+10dbv</w:t>
            </w:r>
          </w:p>
          <w:p>
            <w:pPr>
              <w:adjustRightInd w:val="0"/>
              <w:snapToGrid w:val="0"/>
              <w:jc w:val="left"/>
              <w:rPr>
                <w:rFonts w:hint="eastAsia" w:ascii="宋体" w:hAnsi="宋体" w:cs="宋体"/>
                <w:sz w:val="21"/>
                <w:szCs w:val="21"/>
              </w:rPr>
            </w:pPr>
            <w:r>
              <w:rPr>
                <w:rFonts w:hint="eastAsia" w:ascii="宋体" w:hAnsi="宋体" w:cs="宋体"/>
                <w:sz w:val="21"/>
                <w:szCs w:val="21"/>
              </w:rPr>
              <w:t>15.供电方式:直流12V 400mA输入</w:t>
            </w:r>
          </w:p>
          <w:p>
            <w:pPr>
              <w:adjustRightInd w:val="0"/>
              <w:snapToGrid w:val="0"/>
              <w:jc w:val="left"/>
              <w:rPr>
                <w:rFonts w:hint="eastAsia" w:ascii="宋体" w:hAnsi="宋体" w:cs="宋体"/>
                <w:sz w:val="21"/>
                <w:szCs w:val="21"/>
              </w:rPr>
            </w:pPr>
            <w:r>
              <w:rPr>
                <w:rFonts w:hint="eastAsia" w:ascii="宋体" w:hAnsi="宋体" w:cs="宋体"/>
                <w:sz w:val="21"/>
                <w:szCs w:val="21"/>
              </w:rPr>
              <w:t>16.音频频率响应:40~18,000Hz</w:t>
            </w:r>
          </w:p>
          <w:p>
            <w:pPr>
              <w:adjustRightInd w:val="0"/>
              <w:snapToGrid w:val="0"/>
              <w:jc w:val="left"/>
              <w:rPr>
                <w:rFonts w:hint="eastAsia" w:ascii="宋体" w:hAnsi="宋体" w:cs="宋体"/>
                <w:sz w:val="21"/>
                <w:szCs w:val="21"/>
              </w:rPr>
            </w:pPr>
            <w:r>
              <w:rPr>
                <w:rFonts w:hint="eastAsia" w:ascii="宋体" w:hAnsi="宋体" w:cs="宋体"/>
                <w:sz w:val="21"/>
                <w:szCs w:val="21"/>
              </w:rPr>
              <w:t>17.杂散抑制:-60db</w:t>
            </w:r>
          </w:p>
          <w:p>
            <w:pPr>
              <w:adjustRightInd w:val="0"/>
              <w:snapToGrid w:val="0"/>
              <w:jc w:val="left"/>
              <w:rPr>
                <w:rFonts w:hint="eastAsia" w:ascii="宋体" w:hAnsi="宋体" w:cs="宋体"/>
                <w:sz w:val="21"/>
                <w:szCs w:val="21"/>
              </w:rPr>
            </w:pPr>
            <w:r>
              <w:rPr>
                <w:rFonts w:hint="eastAsia" w:ascii="宋体" w:hAnsi="宋体" w:cs="宋体"/>
                <w:sz w:val="21"/>
                <w:szCs w:val="21"/>
              </w:rPr>
              <w:t>18.电池寿命:≥20小时</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24U机柜</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1.规格:1200（长）×600（宽）×600（高） mm</w:t>
            </w:r>
          </w:p>
          <w:p>
            <w:pPr>
              <w:adjustRightInd w:val="0"/>
              <w:snapToGrid w:val="0"/>
              <w:jc w:val="left"/>
              <w:rPr>
                <w:rFonts w:hint="eastAsia" w:ascii="宋体" w:hAnsi="宋体" w:cs="宋体"/>
                <w:sz w:val="21"/>
                <w:szCs w:val="21"/>
              </w:rPr>
            </w:pPr>
            <w:r>
              <w:rPr>
                <w:rFonts w:hint="eastAsia" w:ascii="宋体" w:hAnsi="宋体" w:cs="宋体"/>
                <w:sz w:val="21"/>
                <w:szCs w:val="21"/>
              </w:rPr>
              <w:t>2.冷轧钢板,静电喷塑 标配,前玻璃侧后为网孔，</w:t>
            </w:r>
          </w:p>
          <w:p>
            <w:pPr>
              <w:adjustRightInd w:val="0"/>
              <w:snapToGrid w:val="0"/>
              <w:jc w:val="left"/>
              <w:rPr>
                <w:rFonts w:hint="eastAsia" w:ascii="宋体" w:hAnsi="宋体" w:cs="宋体"/>
                <w:sz w:val="21"/>
                <w:szCs w:val="21"/>
              </w:rPr>
            </w:pPr>
            <w:r>
              <w:rPr>
                <w:rFonts w:hint="eastAsia" w:ascii="宋体" w:hAnsi="宋体" w:cs="宋体"/>
                <w:sz w:val="21"/>
                <w:szCs w:val="21"/>
              </w:rPr>
              <w:t>可同时放置功放、调音台、话放等多种专业音频设备，适用于包房、歌厅、会议室等室内使用。</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音箱壁架</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1.规格尺寸:可自由伸缩、最短330mm、最长430mm，钢板厚度3MM左右</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2.多角度调节:可左右摇摆，倾斜角度分别为：25 度(约)、45度(约)</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3.承重能力:每对可承受重量≥80公斤。每只可以挂单15寸音箱</w:t>
            </w:r>
          </w:p>
          <w:p>
            <w:pPr>
              <w:tabs>
                <w:tab w:val="left" w:pos="220"/>
              </w:tabs>
              <w:adjustRightInd w:val="0"/>
              <w:snapToGrid w:val="0"/>
              <w:jc w:val="left"/>
              <w:rPr>
                <w:rFonts w:hint="eastAsia" w:ascii="宋体" w:hAnsi="宋体" w:cs="宋体"/>
                <w:sz w:val="21"/>
                <w:szCs w:val="21"/>
              </w:rPr>
            </w:pPr>
            <w:r>
              <w:rPr>
                <w:rFonts w:hint="eastAsia" w:ascii="宋体" w:hAnsi="宋体" w:cs="宋体"/>
                <w:sz w:val="21"/>
                <w:szCs w:val="21"/>
              </w:rPr>
              <w:t>4.悬挂方式:加强型音箱墙壁安装支架，适合会议室、学校、上墙；下面带螺丝孔</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音响线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规格VVP2*1.0屏蔽电缆;</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音响接头</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规格:材质无氧铜，接口导体：镀锡无氧纯铜。</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音频卡侬</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规格：φ6mm 2芯，外芯：φ0.12*62芯铜芯，内芯：φ0.12mm*29芯*2铜芯。</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双10线阵音响</w:t>
            </w:r>
          </w:p>
        </w:tc>
        <w:tc>
          <w:tcPr>
            <w:tcW w:w="6163" w:type="dxa"/>
            <w:vAlign w:val="center"/>
          </w:tcPr>
          <w:p>
            <w:pPr>
              <w:numPr>
                <w:ilvl w:val="0"/>
                <w:numId w:val="12"/>
              </w:numPr>
              <w:adjustRightInd w:val="0"/>
              <w:snapToGrid w:val="0"/>
              <w:jc w:val="left"/>
              <w:rPr>
                <w:rFonts w:hint="eastAsia" w:ascii="宋体" w:hAnsi="宋体" w:cs="宋体"/>
                <w:sz w:val="21"/>
                <w:szCs w:val="21"/>
              </w:rPr>
            </w:pPr>
            <w:r>
              <w:rPr>
                <w:rFonts w:hint="eastAsia" w:ascii="宋体" w:hAnsi="宋体" w:cs="宋体"/>
                <w:sz w:val="21"/>
                <w:szCs w:val="21"/>
              </w:rPr>
              <w:t>频率响应:LF 85-2000 Hz/ HF 2000-20000Hz</w:t>
            </w:r>
          </w:p>
          <w:p>
            <w:pPr>
              <w:numPr>
                <w:ilvl w:val="0"/>
                <w:numId w:val="12"/>
              </w:numPr>
              <w:adjustRightInd w:val="0"/>
              <w:snapToGrid w:val="0"/>
              <w:jc w:val="left"/>
              <w:rPr>
                <w:rFonts w:hint="eastAsia" w:ascii="宋体" w:hAnsi="宋体" w:cs="宋体"/>
                <w:sz w:val="21"/>
                <w:szCs w:val="21"/>
              </w:rPr>
            </w:pPr>
            <w:r>
              <w:rPr>
                <w:rFonts w:hint="eastAsia" w:ascii="宋体" w:hAnsi="宋体" w:cs="宋体"/>
                <w:sz w:val="21"/>
                <w:szCs w:val="21"/>
              </w:rPr>
              <w:t>功率:LF 2×300W(RMS) 1200W (PEAK)/HF 2×60W(RMS) 240W (PEAK)</w:t>
            </w:r>
          </w:p>
          <w:p>
            <w:pPr>
              <w:adjustRightInd w:val="0"/>
              <w:snapToGrid w:val="0"/>
              <w:jc w:val="left"/>
              <w:rPr>
                <w:rFonts w:hint="eastAsia" w:ascii="宋体" w:hAnsi="宋体" w:cs="宋体"/>
                <w:sz w:val="21"/>
                <w:szCs w:val="21"/>
              </w:rPr>
            </w:pPr>
            <w:r>
              <w:rPr>
                <w:rFonts w:hint="eastAsia" w:ascii="宋体" w:hAnsi="宋体" w:cs="宋体"/>
                <w:sz w:val="21"/>
                <w:szCs w:val="21"/>
              </w:rPr>
              <w:t>3.灵敏度:LF100dB (1W@1M)/HF110dB(1W@1M)</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4.最大声压:LF128dB(PEAK/1M)/HF131dB(PEAK/1M)</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5.低音扬声器:2×10英寸(65毫米音圈)</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6.高音扬声器:2×1.75英寸(44毫米音圈)</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7.阻抗:LF 16欧姆/HF 16欧姆</w:t>
            </w:r>
          </w:p>
          <w:p>
            <w:pPr>
              <w:adjustRightInd w:val="0"/>
              <w:snapToGrid w:val="0"/>
              <w:jc w:val="left"/>
              <w:rPr>
                <w:rFonts w:hint="eastAsia" w:ascii="宋体" w:hAnsi="宋体" w:cs="宋体"/>
                <w:sz w:val="21"/>
                <w:szCs w:val="21"/>
              </w:rPr>
            </w:pPr>
            <w:r>
              <w:rPr>
                <w:rFonts w:hint="eastAsia" w:ascii="宋体" w:hAnsi="宋体" w:cs="宋体"/>
                <w:sz w:val="21"/>
                <w:szCs w:val="21"/>
              </w:rPr>
              <w:t>8.箱体结构:15mm 桦木 夹板</w:t>
            </w:r>
          </w:p>
          <w:p>
            <w:pPr>
              <w:adjustRightInd w:val="0"/>
              <w:snapToGrid w:val="0"/>
              <w:jc w:val="left"/>
              <w:rPr>
                <w:rFonts w:hint="eastAsia" w:ascii="宋体" w:hAnsi="宋体" w:cs="宋体"/>
                <w:sz w:val="21"/>
                <w:szCs w:val="21"/>
              </w:rPr>
            </w:pPr>
            <w:r>
              <w:rPr>
                <w:rFonts w:hint="eastAsia" w:ascii="宋体" w:hAnsi="宋体" w:cs="宋体"/>
                <w:sz w:val="21"/>
                <w:szCs w:val="21"/>
              </w:rPr>
              <w:t>9.输入连接:2 * NL8   speakon LF 1(+)1(-)HF 2(+)2 (-)</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线阵低音箱</w:t>
            </w:r>
          </w:p>
        </w:tc>
        <w:tc>
          <w:tcPr>
            <w:tcW w:w="6163" w:type="dxa"/>
            <w:vAlign w:val="center"/>
          </w:tcPr>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频率响应:35Hz-150Hz ± 3dB</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功率:600W(RMS) 1200W (PEAK)</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 xml:space="preserve">灵敏度:102dB(1W@1M) </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最大声压:130dB(PEAK/1M)</w:t>
            </w:r>
          </w:p>
          <w:p>
            <w:pPr>
              <w:adjustRightInd w:val="0"/>
              <w:snapToGrid w:val="0"/>
              <w:jc w:val="left"/>
              <w:rPr>
                <w:rFonts w:hint="eastAsia" w:ascii="宋体" w:hAnsi="宋体" w:cs="宋体"/>
                <w:sz w:val="21"/>
                <w:szCs w:val="21"/>
              </w:rPr>
            </w:pPr>
            <w:r>
              <w:rPr>
                <w:rFonts w:hint="eastAsia" w:ascii="宋体" w:hAnsi="宋体" w:cs="宋体"/>
                <w:sz w:val="21"/>
                <w:szCs w:val="21"/>
              </w:rPr>
              <w:t>7.低音单元:1×18寸100 芯超低单元</w:t>
            </w:r>
          </w:p>
          <w:p>
            <w:pPr>
              <w:adjustRightInd w:val="0"/>
              <w:snapToGrid w:val="0"/>
              <w:jc w:val="left"/>
              <w:rPr>
                <w:rFonts w:hint="eastAsia" w:ascii="宋体" w:hAnsi="宋体" w:cs="宋体"/>
                <w:sz w:val="21"/>
                <w:szCs w:val="21"/>
              </w:rPr>
            </w:pPr>
            <w:r>
              <w:rPr>
                <w:rFonts w:hint="eastAsia" w:ascii="宋体" w:hAnsi="宋体" w:cs="宋体"/>
                <w:sz w:val="21"/>
                <w:szCs w:val="21"/>
              </w:rPr>
              <w:t>8.阻抗≥8欧</w:t>
            </w:r>
          </w:p>
          <w:p>
            <w:pPr>
              <w:adjustRightInd w:val="0"/>
              <w:snapToGrid w:val="0"/>
              <w:jc w:val="left"/>
              <w:rPr>
                <w:rFonts w:hint="eastAsia" w:ascii="宋体" w:hAnsi="宋体" w:cs="宋体"/>
                <w:sz w:val="21"/>
                <w:szCs w:val="21"/>
              </w:rPr>
            </w:pPr>
            <w:r>
              <w:rPr>
                <w:rFonts w:hint="eastAsia" w:ascii="宋体" w:hAnsi="宋体" w:cs="宋体"/>
                <w:sz w:val="21"/>
                <w:szCs w:val="21"/>
              </w:rPr>
              <w:t>9.箱体结构:波罗的海桦木夹板</w:t>
            </w:r>
          </w:p>
          <w:p>
            <w:pPr>
              <w:adjustRightInd w:val="0"/>
              <w:snapToGrid w:val="0"/>
              <w:jc w:val="left"/>
              <w:rPr>
                <w:rFonts w:hint="eastAsia" w:ascii="宋体" w:hAnsi="宋体" w:cs="宋体"/>
                <w:sz w:val="21"/>
                <w:szCs w:val="21"/>
              </w:rPr>
            </w:pPr>
            <w:r>
              <w:rPr>
                <w:rFonts w:hint="eastAsia" w:ascii="宋体" w:hAnsi="宋体" w:cs="宋体"/>
                <w:sz w:val="21"/>
                <w:szCs w:val="21"/>
              </w:rPr>
              <w:t>10.输入连接:两个NL4接口 1(+)1(-)</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功放</w:t>
            </w:r>
          </w:p>
        </w:tc>
        <w:tc>
          <w:tcPr>
            <w:tcW w:w="6163" w:type="dxa"/>
            <w:vAlign w:val="center"/>
          </w:tcPr>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类型:功放2*1000W</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额定输出功率:8Ω立体声1000W×2</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电源要求:AC220V(可以定制AC110V)电压范围 AC190v-250v 50/60HZ</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结构:2U金属机箱设计</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通道数:2CH</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谐波失真(1kHz,8ohms ):&lt;0.1%</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频率响应:20Hz-20kHz:+/-1dB</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灵敏度:0.775V</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信噪比: ≥100dB</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阻尼系数:(≥300@8 ohms)</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转换速率:25V/US</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输入阻抗:平衡20K</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通道隔离度:60dB</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输出级:Class-2H</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LED指示灯:电源/信号/失真/削波</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散热系统:双变速风扇，从前到后排风；</w:t>
            </w:r>
          </w:p>
          <w:p>
            <w:pPr>
              <w:numPr>
                <w:ilvl w:val="0"/>
                <w:numId w:val="14"/>
              </w:numPr>
              <w:adjustRightInd w:val="0"/>
              <w:snapToGrid w:val="0"/>
              <w:jc w:val="left"/>
              <w:rPr>
                <w:rFonts w:hint="eastAsia" w:ascii="宋体" w:hAnsi="宋体" w:cs="宋体"/>
                <w:sz w:val="21"/>
                <w:szCs w:val="21"/>
              </w:rPr>
            </w:pPr>
            <w:r>
              <w:rPr>
                <w:rFonts w:hint="eastAsia" w:ascii="宋体" w:hAnsi="宋体" w:cs="宋体"/>
                <w:sz w:val="21"/>
                <w:szCs w:val="21"/>
              </w:rPr>
              <w:t>保护功能:过热，过载，短路，直流输出保护，软起动，冲击限幅。</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10寸返听音箱</w:t>
            </w:r>
          </w:p>
        </w:tc>
        <w:tc>
          <w:tcPr>
            <w:tcW w:w="6163" w:type="dxa"/>
            <w:vAlign w:val="center"/>
          </w:tcPr>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频响范围:70Hz~19KHz</w:t>
            </w:r>
          </w:p>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低音:LF:10"× 1 (156 Magnet 65mm)</w:t>
            </w:r>
          </w:p>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高音:HF:44mm× 1 (115Magnet)</w:t>
            </w:r>
          </w:p>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额定功率:250W</w:t>
            </w:r>
          </w:p>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峰值功率:1000W</w:t>
            </w:r>
          </w:p>
          <w:p>
            <w:pPr>
              <w:numPr>
                <w:ilvl w:val="0"/>
                <w:numId w:val="15"/>
              </w:numPr>
              <w:adjustRightInd w:val="0"/>
              <w:snapToGrid w:val="0"/>
              <w:jc w:val="left"/>
              <w:rPr>
                <w:rFonts w:hint="eastAsia" w:ascii="宋体" w:hAnsi="宋体" w:cs="宋体"/>
                <w:sz w:val="21"/>
                <w:szCs w:val="21"/>
              </w:rPr>
            </w:pPr>
            <w:r>
              <w:rPr>
                <w:rFonts w:hint="eastAsia" w:ascii="宋体" w:hAnsi="宋体" w:cs="宋体"/>
                <w:sz w:val="21"/>
                <w:szCs w:val="21"/>
              </w:rPr>
              <w:t>阻抗:8Ω</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灵敏度:96dB (1w@1m)</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连续声压级:120dB ( Cmax@1m)</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最大声压级:126dB ( Pmax@1m)</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扩散角度:90°Hor× 70°Ver (HF-Horn)</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箱体材质:15mm(0.6")PLYwood</w:t>
            </w:r>
          </w:p>
          <w:p>
            <w:pPr>
              <w:numPr>
                <w:ilvl w:val="0"/>
                <w:numId w:val="13"/>
              </w:numPr>
              <w:adjustRightInd w:val="0"/>
              <w:snapToGrid w:val="0"/>
              <w:jc w:val="left"/>
              <w:rPr>
                <w:rFonts w:hint="eastAsia" w:ascii="宋体" w:hAnsi="宋体" w:cs="宋体"/>
                <w:sz w:val="21"/>
                <w:szCs w:val="21"/>
              </w:rPr>
            </w:pPr>
            <w:r>
              <w:rPr>
                <w:rFonts w:hint="eastAsia" w:ascii="宋体" w:hAnsi="宋体" w:cs="宋体"/>
                <w:sz w:val="21"/>
                <w:szCs w:val="21"/>
              </w:rPr>
              <w:t>连接方法:SPEAKON NL 4× 2</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功放</w:t>
            </w:r>
          </w:p>
        </w:tc>
        <w:tc>
          <w:tcPr>
            <w:tcW w:w="6163" w:type="dxa"/>
            <w:vAlign w:val="center"/>
          </w:tcPr>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类型:返听2*400W</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额定桥接输出功率:8Ω 桥接1950W</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电源要求:AC220V (可以定制AC110V)电压范围 AC190v-250v 50/60HZ</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结构:2U金属机箱设计</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通道数:2CH</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谐波失真(1kHz,8ohms):&lt;0.01%</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频率响应:20Hz-20kHz:+/-1dB</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信噪比:≥100dB (A计权)</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阻尼系数:(≥300@8ohms)</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转换速率:25V/US</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输入阻抗:平衡20K 非平衡10K</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通道隔离度:60dB@8ohms1Khz</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输出级:Class-2H</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LED指示灯:电源/信号/失真/削波</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散热系统:双变速风扇，从前到后排风；</w:t>
            </w:r>
          </w:p>
          <w:p>
            <w:pPr>
              <w:pStyle w:val="43"/>
              <w:numPr>
                <w:ilvl w:val="0"/>
                <w:numId w:val="16"/>
              </w:numPr>
              <w:adjustRightInd w:val="0"/>
              <w:snapToGrid w:val="0"/>
              <w:ind w:left="0" w:firstLine="0" w:firstLineChars="0"/>
              <w:jc w:val="left"/>
              <w:rPr>
                <w:rFonts w:hint="eastAsia" w:ascii="宋体" w:hAnsi="宋体" w:cs="宋体"/>
                <w:sz w:val="21"/>
                <w:szCs w:val="21"/>
              </w:rPr>
            </w:pPr>
            <w:r>
              <w:rPr>
                <w:rFonts w:hint="eastAsia" w:ascii="宋体" w:hAnsi="宋体" w:cs="宋体"/>
                <w:sz w:val="21"/>
                <w:szCs w:val="21"/>
              </w:rPr>
              <w:t>保护功能:过热、过载、短路、直流输出保护，软起动支持冲击限幅；</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音箱</w:t>
            </w:r>
          </w:p>
        </w:tc>
        <w:tc>
          <w:tcPr>
            <w:tcW w:w="6163" w:type="dxa"/>
            <w:vAlign w:val="center"/>
          </w:tcPr>
          <w:p>
            <w:pPr>
              <w:numPr>
                <w:ilvl w:val="0"/>
                <w:numId w:val="17"/>
              </w:numPr>
              <w:adjustRightInd w:val="0"/>
              <w:snapToGrid w:val="0"/>
              <w:jc w:val="left"/>
              <w:rPr>
                <w:rFonts w:hint="eastAsia" w:ascii="宋体" w:hAnsi="宋体" w:cs="宋体"/>
                <w:sz w:val="21"/>
                <w:szCs w:val="21"/>
              </w:rPr>
            </w:pPr>
            <w:r>
              <w:rPr>
                <w:rFonts w:hint="eastAsia" w:ascii="宋体" w:hAnsi="宋体" w:cs="宋体"/>
                <w:sz w:val="21"/>
                <w:szCs w:val="21"/>
              </w:rPr>
              <w:t>频率响应:58Hz-20kHz±3dB</w:t>
            </w:r>
          </w:p>
          <w:p>
            <w:pPr>
              <w:adjustRightInd w:val="0"/>
              <w:snapToGrid w:val="0"/>
              <w:jc w:val="left"/>
              <w:rPr>
                <w:rFonts w:hint="eastAsia" w:ascii="宋体" w:hAnsi="宋体" w:cs="宋体"/>
                <w:sz w:val="21"/>
                <w:szCs w:val="21"/>
              </w:rPr>
            </w:pPr>
            <w:r>
              <w:rPr>
                <w:rFonts w:hint="eastAsia" w:ascii="宋体" w:hAnsi="宋体" w:cs="宋体"/>
                <w:sz w:val="21"/>
                <w:szCs w:val="21"/>
              </w:rPr>
              <w:t>4.额定功率:400W(RMS)</w:t>
            </w:r>
          </w:p>
          <w:p>
            <w:pPr>
              <w:adjustRightInd w:val="0"/>
              <w:snapToGrid w:val="0"/>
              <w:jc w:val="left"/>
              <w:rPr>
                <w:rFonts w:hint="eastAsia" w:ascii="宋体" w:hAnsi="宋体" w:cs="宋体"/>
                <w:sz w:val="21"/>
                <w:szCs w:val="21"/>
              </w:rPr>
            </w:pPr>
            <w:r>
              <w:rPr>
                <w:rFonts w:hint="eastAsia" w:ascii="宋体" w:hAnsi="宋体" w:cs="宋体"/>
                <w:sz w:val="21"/>
                <w:szCs w:val="21"/>
              </w:rPr>
              <w:t>5.峰值功率:800W(PEAK)</w:t>
            </w:r>
          </w:p>
          <w:p>
            <w:pPr>
              <w:adjustRightInd w:val="0"/>
              <w:snapToGrid w:val="0"/>
              <w:jc w:val="left"/>
              <w:rPr>
                <w:rFonts w:hint="eastAsia" w:ascii="宋体" w:hAnsi="宋体" w:cs="宋体"/>
                <w:sz w:val="21"/>
                <w:szCs w:val="21"/>
              </w:rPr>
            </w:pPr>
            <w:r>
              <w:rPr>
                <w:rFonts w:hint="eastAsia" w:ascii="宋体" w:hAnsi="宋体" w:cs="宋体"/>
                <w:sz w:val="21"/>
                <w:szCs w:val="21"/>
              </w:rPr>
              <w:t>6.灵敏度:97dB</w:t>
            </w:r>
          </w:p>
          <w:p>
            <w:pPr>
              <w:adjustRightInd w:val="0"/>
              <w:snapToGrid w:val="0"/>
              <w:jc w:val="left"/>
              <w:rPr>
                <w:rFonts w:hint="eastAsia" w:ascii="宋体" w:hAnsi="宋体" w:cs="宋体"/>
                <w:sz w:val="21"/>
                <w:szCs w:val="21"/>
              </w:rPr>
            </w:pPr>
            <w:r>
              <w:rPr>
                <w:rFonts w:hint="eastAsia" w:ascii="宋体" w:hAnsi="宋体" w:cs="宋体"/>
                <w:sz w:val="21"/>
                <w:szCs w:val="21"/>
              </w:rPr>
              <w:t>7.最大声压:124dB(PEAK/1M)</w:t>
            </w:r>
          </w:p>
          <w:p>
            <w:pPr>
              <w:adjustRightInd w:val="0"/>
              <w:snapToGrid w:val="0"/>
              <w:jc w:val="left"/>
              <w:rPr>
                <w:rFonts w:hint="eastAsia" w:ascii="宋体" w:hAnsi="宋体" w:cs="宋体"/>
                <w:sz w:val="21"/>
                <w:szCs w:val="21"/>
              </w:rPr>
            </w:pPr>
            <w:r>
              <w:rPr>
                <w:rFonts w:hint="eastAsia" w:ascii="宋体" w:hAnsi="宋体" w:cs="宋体"/>
                <w:sz w:val="21"/>
                <w:szCs w:val="21"/>
              </w:rPr>
              <w:t>8.低音单元:12寸75芯低音单元</w:t>
            </w:r>
          </w:p>
          <w:p>
            <w:pPr>
              <w:adjustRightInd w:val="0"/>
              <w:snapToGrid w:val="0"/>
              <w:jc w:val="left"/>
              <w:rPr>
                <w:rFonts w:hint="eastAsia" w:ascii="宋体" w:hAnsi="宋体" w:cs="宋体"/>
                <w:sz w:val="21"/>
                <w:szCs w:val="21"/>
              </w:rPr>
            </w:pPr>
            <w:r>
              <w:rPr>
                <w:rFonts w:hint="eastAsia" w:ascii="宋体" w:hAnsi="宋体" w:cs="宋体"/>
                <w:sz w:val="21"/>
                <w:szCs w:val="21"/>
              </w:rPr>
              <w:t>9.高音单元:1.75寸44芯高音单元</w:t>
            </w:r>
          </w:p>
          <w:p>
            <w:pPr>
              <w:adjustRightInd w:val="0"/>
              <w:snapToGrid w:val="0"/>
              <w:jc w:val="left"/>
              <w:rPr>
                <w:rFonts w:hint="eastAsia" w:ascii="宋体" w:hAnsi="宋体" w:cs="宋体"/>
                <w:sz w:val="21"/>
                <w:szCs w:val="21"/>
              </w:rPr>
            </w:pPr>
            <w:r>
              <w:rPr>
                <w:rFonts w:hint="eastAsia" w:ascii="宋体" w:hAnsi="宋体" w:cs="宋体"/>
                <w:sz w:val="21"/>
                <w:szCs w:val="21"/>
              </w:rPr>
              <w:t>10.阻抗:8欧</w:t>
            </w:r>
          </w:p>
          <w:p>
            <w:pPr>
              <w:adjustRightInd w:val="0"/>
              <w:snapToGrid w:val="0"/>
              <w:jc w:val="left"/>
              <w:rPr>
                <w:rFonts w:hint="eastAsia" w:ascii="宋体" w:hAnsi="宋体" w:cs="宋体"/>
                <w:sz w:val="21"/>
                <w:szCs w:val="21"/>
              </w:rPr>
            </w:pPr>
            <w:r>
              <w:rPr>
                <w:rFonts w:hint="eastAsia" w:ascii="宋体" w:hAnsi="宋体" w:cs="宋体"/>
                <w:sz w:val="21"/>
                <w:szCs w:val="21"/>
              </w:rPr>
              <w:t>11.高音保护:PTC 联动保 护装置</w:t>
            </w:r>
          </w:p>
          <w:p>
            <w:pPr>
              <w:adjustRightInd w:val="0"/>
              <w:snapToGrid w:val="0"/>
              <w:jc w:val="left"/>
              <w:rPr>
                <w:rFonts w:hint="eastAsia" w:ascii="宋体" w:hAnsi="宋体" w:cs="宋体"/>
                <w:sz w:val="21"/>
                <w:szCs w:val="21"/>
              </w:rPr>
            </w:pPr>
            <w:r>
              <w:rPr>
                <w:rFonts w:hint="eastAsia" w:ascii="宋体" w:hAnsi="宋体" w:cs="宋体"/>
                <w:sz w:val="21"/>
                <w:szCs w:val="21"/>
              </w:rPr>
              <w:t>12.覆盖范围:80°H× 50°V</w:t>
            </w:r>
          </w:p>
          <w:p>
            <w:pPr>
              <w:adjustRightInd w:val="0"/>
              <w:snapToGrid w:val="0"/>
              <w:jc w:val="left"/>
              <w:rPr>
                <w:rFonts w:hint="eastAsia" w:ascii="宋体" w:hAnsi="宋体" w:cs="宋体"/>
                <w:sz w:val="21"/>
                <w:szCs w:val="21"/>
              </w:rPr>
            </w:pPr>
            <w:r>
              <w:rPr>
                <w:rFonts w:hint="eastAsia" w:ascii="宋体" w:hAnsi="宋体" w:cs="宋体"/>
                <w:sz w:val="21"/>
                <w:szCs w:val="21"/>
              </w:rPr>
              <w:t>13.箱体结构:波罗的海桦 木夹板音箱连接</w:t>
            </w:r>
          </w:p>
          <w:p>
            <w:pPr>
              <w:adjustRightInd w:val="0"/>
              <w:snapToGrid w:val="0"/>
              <w:jc w:val="left"/>
              <w:rPr>
                <w:rFonts w:hint="eastAsia" w:ascii="宋体" w:hAnsi="宋体" w:cs="宋体"/>
                <w:sz w:val="21"/>
                <w:szCs w:val="21"/>
              </w:rPr>
            </w:pPr>
            <w:r>
              <w:rPr>
                <w:rFonts w:hint="eastAsia" w:ascii="宋体" w:hAnsi="宋体" w:cs="宋体"/>
                <w:sz w:val="21"/>
                <w:szCs w:val="21"/>
              </w:rPr>
              <w:t>14.输入连接:两个NL4接 口1(+)1(-)</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补声功放</w:t>
            </w:r>
          </w:p>
        </w:tc>
        <w:tc>
          <w:tcPr>
            <w:tcW w:w="6163" w:type="dxa"/>
            <w:vAlign w:val="center"/>
          </w:tcPr>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额定输出功率:8Ω立体 声600W× 2</w:t>
            </w:r>
          </w:p>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额定输出功率:4Ω立体 声1050W× 2</w:t>
            </w:r>
          </w:p>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额定桥接输出功率:8Ω 桥接1950W</w:t>
            </w:r>
          </w:p>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电源要求:AC220V (可以定制AC110V)电压范围 AC190v-250v 50/60HZ</w:t>
            </w:r>
          </w:p>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结构:2U金属机箱设计</w:t>
            </w:r>
          </w:p>
          <w:p>
            <w:pPr>
              <w:numPr>
                <w:ilvl w:val="0"/>
                <w:numId w:val="18"/>
              </w:numPr>
              <w:adjustRightInd w:val="0"/>
              <w:snapToGrid w:val="0"/>
              <w:jc w:val="left"/>
              <w:rPr>
                <w:rFonts w:hint="eastAsia" w:ascii="宋体" w:hAnsi="宋体" w:cs="宋体"/>
                <w:sz w:val="21"/>
                <w:szCs w:val="21"/>
              </w:rPr>
            </w:pPr>
            <w:r>
              <w:rPr>
                <w:rFonts w:hint="eastAsia" w:ascii="宋体" w:hAnsi="宋体" w:cs="宋体"/>
                <w:sz w:val="21"/>
                <w:szCs w:val="21"/>
              </w:rPr>
              <w:t>通道数:2CH</w:t>
            </w:r>
          </w:p>
          <w:p>
            <w:pPr>
              <w:adjustRightInd w:val="0"/>
              <w:snapToGrid w:val="0"/>
              <w:jc w:val="left"/>
              <w:rPr>
                <w:rFonts w:hint="eastAsia" w:ascii="宋体" w:hAnsi="宋体" w:cs="宋体"/>
                <w:sz w:val="21"/>
                <w:szCs w:val="21"/>
              </w:rPr>
            </w:pPr>
            <w:r>
              <w:rPr>
                <w:rFonts w:hint="eastAsia" w:ascii="宋体" w:hAnsi="宋体" w:cs="宋体"/>
                <w:sz w:val="21"/>
                <w:szCs w:val="21"/>
              </w:rPr>
              <w:t>8.谐波失真(1kHz,8ohms ):&lt;0.01%</w:t>
            </w:r>
          </w:p>
          <w:p>
            <w:pPr>
              <w:adjustRightInd w:val="0"/>
              <w:snapToGrid w:val="0"/>
              <w:jc w:val="left"/>
              <w:rPr>
                <w:rFonts w:hint="eastAsia" w:ascii="宋体" w:hAnsi="宋体" w:cs="宋体"/>
                <w:sz w:val="21"/>
                <w:szCs w:val="21"/>
              </w:rPr>
            </w:pPr>
            <w:r>
              <w:rPr>
                <w:rFonts w:hint="eastAsia" w:ascii="宋体" w:hAnsi="宋体" w:cs="宋体"/>
                <w:sz w:val="21"/>
                <w:szCs w:val="21"/>
              </w:rPr>
              <w:t>9.频率响应:20Hz-20kHz:+/-1dB</w:t>
            </w:r>
          </w:p>
          <w:p>
            <w:pPr>
              <w:adjustRightInd w:val="0"/>
              <w:snapToGrid w:val="0"/>
              <w:jc w:val="left"/>
              <w:rPr>
                <w:rFonts w:hint="eastAsia" w:ascii="宋体" w:hAnsi="宋体" w:cs="宋体"/>
                <w:sz w:val="21"/>
                <w:szCs w:val="21"/>
              </w:rPr>
            </w:pPr>
            <w:r>
              <w:rPr>
                <w:rFonts w:hint="eastAsia" w:ascii="宋体" w:hAnsi="宋体" w:cs="宋体"/>
                <w:sz w:val="21"/>
                <w:szCs w:val="21"/>
              </w:rPr>
              <w:t>10.灵敏度:0.775V</w:t>
            </w:r>
          </w:p>
          <w:p>
            <w:pPr>
              <w:adjustRightInd w:val="0"/>
              <w:snapToGrid w:val="0"/>
              <w:jc w:val="left"/>
              <w:rPr>
                <w:rFonts w:hint="eastAsia" w:ascii="宋体" w:hAnsi="宋体" w:cs="宋体"/>
                <w:sz w:val="21"/>
                <w:szCs w:val="21"/>
              </w:rPr>
            </w:pPr>
            <w:r>
              <w:rPr>
                <w:rFonts w:hint="eastAsia" w:ascii="宋体" w:hAnsi="宋体" w:cs="宋体"/>
                <w:sz w:val="21"/>
                <w:szCs w:val="21"/>
              </w:rPr>
              <w:t>11.信噪比: ≥100dB (A计权)</w:t>
            </w:r>
          </w:p>
          <w:p>
            <w:pPr>
              <w:adjustRightInd w:val="0"/>
              <w:snapToGrid w:val="0"/>
              <w:jc w:val="left"/>
              <w:rPr>
                <w:rFonts w:hint="eastAsia" w:ascii="宋体" w:hAnsi="宋体" w:cs="宋体"/>
                <w:sz w:val="21"/>
                <w:szCs w:val="21"/>
              </w:rPr>
            </w:pPr>
            <w:r>
              <w:rPr>
                <w:rFonts w:hint="eastAsia" w:ascii="宋体" w:hAnsi="宋体" w:cs="宋体"/>
                <w:sz w:val="21"/>
                <w:szCs w:val="21"/>
              </w:rPr>
              <w:t>12.阻尼系数:(≥300@8ohms)</w:t>
            </w:r>
          </w:p>
          <w:p>
            <w:pPr>
              <w:adjustRightInd w:val="0"/>
              <w:snapToGrid w:val="0"/>
              <w:jc w:val="left"/>
              <w:rPr>
                <w:rFonts w:hint="eastAsia" w:ascii="宋体" w:hAnsi="宋体" w:cs="宋体"/>
                <w:sz w:val="21"/>
                <w:szCs w:val="21"/>
              </w:rPr>
            </w:pPr>
            <w:r>
              <w:rPr>
                <w:rFonts w:hint="eastAsia" w:ascii="宋体" w:hAnsi="宋体" w:cs="宋体"/>
                <w:sz w:val="21"/>
                <w:szCs w:val="21"/>
              </w:rPr>
              <w:t>13.转换速率:25V/US</w:t>
            </w:r>
          </w:p>
          <w:p>
            <w:pPr>
              <w:adjustRightInd w:val="0"/>
              <w:snapToGrid w:val="0"/>
              <w:jc w:val="left"/>
              <w:rPr>
                <w:rFonts w:hint="eastAsia" w:ascii="宋体" w:hAnsi="宋体" w:cs="宋体"/>
                <w:sz w:val="21"/>
                <w:szCs w:val="21"/>
              </w:rPr>
            </w:pPr>
            <w:r>
              <w:rPr>
                <w:rFonts w:hint="eastAsia" w:ascii="宋体" w:hAnsi="宋体" w:cs="宋体"/>
                <w:sz w:val="21"/>
                <w:szCs w:val="21"/>
              </w:rPr>
              <w:t>14.输入阻抗:平衡20K 非平衡10K</w:t>
            </w:r>
          </w:p>
          <w:p>
            <w:pPr>
              <w:adjustRightInd w:val="0"/>
              <w:snapToGrid w:val="0"/>
              <w:jc w:val="left"/>
              <w:rPr>
                <w:rFonts w:hint="eastAsia" w:ascii="宋体" w:hAnsi="宋体" w:cs="宋体"/>
                <w:sz w:val="21"/>
                <w:szCs w:val="21"/>
              </w:rPr>
            </w:pPr>
            <w:r>
              <w:rPr>
                <w:rFonts w:hint="eastAsia" w:ascii="宋体" w:hAnsi="宋体" w:cs="宋体"/>
                <w:sz w:val="21"/>
                <w:szCs w:val="21"/>
              </w:rPr>
              <w:t>15.通道隔离度:60dB@8ohms 1Khz</w:t>
            </w:r>
          </w:p>
          <w:p>
            <w:pPr>
              <w:adjustRightInd w:val="0"/>
              <w:snapToGrid w:val="0"/>
              <w:jc w:val="left"/>
              <w:rPr>
                <w:rFonts w:hint="eastAsia" w:ascii="宋体" w:hAnsi="宋体" w:cs="宋体"/>
                <w:sz w:val="21"/>
                <w:szCs w:val="21"/>
              </w:rPr>
            </w:pPr>
            <w:r>
              <w:rPr>
                <w:rFonts w:hint="eastAsia" w:ascii="宋体" w:hAnsi="宋体" w:cs="宋体"/>
                <w:sz w:val="21"/>
                <w:szCs w:val="21"/>
              </w:rPr>
              <w:t>16.输出级:Class-2H</w:t>
            </w:r>
          </w:p>
          <w:p>
            <w:pPr>
              <w:adjustRightInd w:val="0"/>
              <w:snapToGrid w:val="0"/>
              <w:jc w:val="left"/>
              <w:rPr>
                <w:rFonts w:hint="eastAsia" w:ascii="宋体" w:hAnsi="宋体" w:cs="宋体"/>
                <w:sz w:val="21"/>
                <w:szCs w:val="21"/>
              </w:rPr>
            </w:pPr>
            <w:r>
              <w:rPr>
                <w:rFonts w:hint="eastAsia" w:ascii="宋体" w:hAnsi="宋体" w:cs="宋体"/>
                <w:sz w:val="21"/>
                <w:szCs w:val="21"/>
              </w:rPr>
              <w:t>17.LED指示灯:具备电源/信号/失真/削波的指示灯</w:t>
            </w:r>
          </w:p>
          <w:p>
            <w:pPr>
              <w:adjustRightInd w:val="0"/>
              <w:snapToGrid w:val="0"/>
              <w:jc w:val="left"/>
              <w:rPr>
                <w:rFonts w:hint="eastAsia" w:ascii="宋体" w:hAnsi="宋体" w:cs="宋体"/>
                <w:sz w:val="21"/>
                <w:szCs w:val="21"/>
              </w:rPr>
            </w:pPr>
            <w:r>
              <w:rPr>
                <w:rFonts w:hint="eastAsia" w:ascii="宋体" w:hAnsi="宋体" w:cs="宋体"/>
                <w:sz w:val="21"/>
                <w:szCs w:val="21"/>
              </w:rPr>
              <w:t>18.散热系统:双变速风扇，从前到后排风</w:t>
            </w:r>
          </w:p>
          <w:p>
            <w:pPr>
              <w:adjustRightInd w:val="0"/>
              <w:snapToGrid w:val="0"/>
              <w:jc w:val="left"/>
              <w:rPr>
                <w:rFonts w:hint="eastAsia" w:ascii="宋体" w:hAnsi="宋体" w:cs="宋体"/>
                <w:sz w:val="21"/>
                <w:szCs w:val="21"/>
              </w:rPr>
            </w:pPr>
            <w:r>
              <w:rPr>
                <w:rFonts w:hint="eastAsia" w:ascii="宋体" w:hAnsi="宋体" w:cs="宋体"/>
                <w:sz w:val="21"/>
                <w:szCs w:val="21"/>
              </w:rPr>
              <w:t>19.保护功能:过热、过载、短路、直流输出保护；软起动支持冲击限幅 ；</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音频处理器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1.2.96KHz采样频率，32-bit DSP处理器，24-bit A/D及D/A转换</w:t>
            </w:r>
          </w:p>
          <w:p>
            <w:pPr>
              <w:adjustRightInd w:val="0"/>
              <w:snapToGrid w:val="0"/>
              <w:jc w:val="left"/>
              <w:rPr>
                <w:rFonts w:hint="eastAsia" w:ascii="宋体" w:hAnsi="宋体" w:cs="宋体"/>
                <w:sz w:val="21"/>
                <w:szCs w:val="21"/>
              </w:rPr>
            </w:pPr>
            <w:r>
              <w:rPr>
                <w:rFonts w:hint="eastAsia" w:ascii="宋体" w:hAnsi="宋体" w:cs="宋体"/>
                <w:sz w:val="21"/>
                <w:szCs w:val="21"/>
              </w:rPr>
              <w:t>3.设备支持功能单独锁定，可根据现场要求任意开放或锁定某一个单独的功能，防止误操作和数据保密；</w:t>
            </w:r>
          </w:p>
          <w:p>
            <w:pPr>
              <w:adjustRightInd w:val="0"/>
              <w:snapToGrid w:val="0"/>
              <w:jc w:val="left"/>
              <w:rPr>
                <w:rFonts w:hint="eastAsia" w:ascii="宋体" w:hAnsi="宋体" w:cs="宋体"/>
                <w:sz w:val="21"/>
                <w:szCs w:val="21"/>
              </w:rPr>
            </w:pPr>
            <w:r>
              <w:rPr>
                <w:rFonts w:hint="eastAsia" w:ascii="宋体" w:hAnsi="宋体" w:cs="宋体"/>
                <w:sz w:val="21"/>
                <w:szCs w:val="21"/>
              </w:rPr>
              <w:t>4.输入阻抗：平衡20KΩ</w:t>
            </w:r>
          </w:p>
          <w:p>
            <w:pPr>
              <w:adjustRightInd w:val="0"/>
              <w:snapToGrid w:val="0"/>
              <w:jc w:val="left"/>
              <w:rPr>
                <w:rFonts w:hint="eastAsia" w:ascii="宋体" w:hAnsi="宋体" w:cs="宋体"/>
                <w:sz w:val="21"/>
                <w:szCs w:val="21"/>
              </w:rPr>
            </w:pPr>
            <w:r>
              <w:rPr>
                <w:rFonts w:hint="eastAsia" w:ascii="宋体" w:hAnsi="宋体" w:cs="宋体"/>
                <w:sz w:val="21"/>
                <w:szCs w:val="21"/>
              </w:rPr>
              <w:t>5.输出阻抗：平衡100Ω</w:t>
            </w:r>
          </w:p>
          <w:p>
            <w:pPr>
              <w:adjustRightInd w:val="0"/>
              <w:snapToGrid w:val="0"/>
              <w:jc w:val="left"/>
              <w:rPr>
                <w:rFonts w:hint="eastAsia" w:ascii="宋体" w:hAnsi="宋体" w:cs="宋体"/>
                <w:sz w:val="21"/>
                <w:szCs w:val="21"/>
              </w:rPr>
            </w:pPr>
            <w:r>
              <w:rPr>
                <w:rFonts w:hint="eastAsia" w:ascii="宋体" w:hAnsi="宋体" w:cs="宋体"/>
                <w:sz w:val="21"/>
                <w:szCs w:val="21"/>
              </w:rPr>
              <w:t>6.共模拟制比：&gt;70dB(1KHz)</w:t>
            </w:r>
          </w:p>
          <w:p>
            <w:pPr>
              <w:adjustRightInd w:val="0"/>
              <w:snapToGrid w:val="0"/>
              <w:jc w:val="left"/>
              <w:rPr>
                <w:rFonts w:hint="eastAsia" w:ascii="宋体" w:hAnsi="宋体" w:cs="宋体"/>
                <w:sz w:val="21"/>
                <w:szCs w:val="21"/>
              </w:rPr>
            </w:pPr>
            <w:r>
              <w:rPr>
                <w:rFonts w:hint="eastAsia" w:ascii="宋体" w:hAnsi="宋体" w:cs="宋体"/>
                <w:sz w:val="21"/>
                <w:szCs w:val="21"/>
              </w:rPr>
              <w:t>7.输入范围：≤+25dBu</w:t>
            </w:r>
          </w:p>
          <w:p>
            <w:pPr>
              <w:adjustRightInd w:val="0"/>
              <w:snapToGrid w:val="0"/>
              <w:jc w:val="left"/>
              <w:rPr>
                <w:rFonts w:hint="eastAsia" w:ascii="宋体" w:hAnsi="宋体" w:cs="宋体"/>
                <w:sz w:val="21"/>
                <w:szCs w:val="21"/>
              </w:rPr>
            </w:pPr>
            <w:r>
              <w:rPr>
                <w:rFonts w:hint="eastAsia" w:ascii="宋体" w:hAnsi="宋体" w:cs="宋体"/>
                <w:sz w:val="21"/>
                <w:szCs w:val="21"/>
              </w:rPr>
              <w:t>8.频率相应：20Hz-20KHz(±0.5dB)</w:t>
            </w:r>
          </w:p>
          <w:p>
            <w:pPr>
              <w:adjustRightInd w:val="0"/>
              <w:snapToGrid w:val="0"/>
              <w:jc w:val="left"/>
              <w:rPr>
                <w:rFonts w:hint="eastAsia" w:ascii="宋体" w:hAnsi="宋体" w:cs="宋体"/>
                <w:sz w:val="21"/>
                <w:szCs w:val="21"/>
              </w:rPr>
            </w:pPr>
            <w:r>
              <w:rPr>
                <w:rFonts w:hint="eastAsia" w:ascii="宋体" w:hAnsi="宋体" w:cs="宋体"/>
                <w:sz w:val="21"/>
                <w:szCs w:val="21"/>
              </w:rPr>
              <w:t>9.信噪比：&gt;104dB@1KHz 0dBu</w:t>
            </w:r>
          </w:p>
          <w:p>
            <w:pPr>
              <w:adjustRightInd w:val="0"/>
              <w:snapToGrid w:val="0"/>
              <w:jc w:val="left"/>
              <w:rPr>
                <w:rFonts w:hint="eastAsia" w:ascii="宋体" w:hAnsi="宋体" w:cs="宋体"/>
                <w:sz w:val="21"/>
                <w:szCs w:val="21"/>
              </w:rPr>
            </w:pPr>
            <w:r>
              <w:rPr>
                <w:rFonts w:hint="eastAsia" w:ascii="宋体" w:hAnsi="宋体" w:cs="宋体"/>
                <w:sz w:val="21"/>
                <w:szCs w:val="21"/>
              </w:rPr>
              <w:t>10.失真度：﹤0.001% OUTPUT=0dBu/1KHz</w:t>
            </w:r>
          </w:p>
          <w:p>
            <w:pPr>
              <w:adjustRightInd w:val="0"/>
              <w:snapToGrid w:val="0"/>
              <w:jc w:val="left"/>
              <w:rPr>
                <w:rFonts w:hint="eastAsia" w:ascii="宋体" w:hAnsi="宋体" w:cs="宋体"/>
                <w:sz w:val="21"/>
                <w:szCs w:val="21"/>
              </w:rPr>
            </w:pPr>
            <w:r>
              <w:rPr>
                <w:rFonts w:hint="eastAsia" w:ascii="宋体" w:hAnsi="宋体" w:cs="宋体"/>
                <w:sz w:val="21"/>
                <w:szCs w:val="21"/>
              </w:rPr>
              <w:t>11.信道分离度：&gt;104dB (1KHz)</w:t>
            </w:r>
          </w:p>
          <w:p>
            <w:pPr>
              <w:adjustRightInd w:val="0"/>
              <w:snapToGrid w:val="0"/>
              <w:jc w:val="left"/>
              <w:rPr>
                <w:rFonts w:hint="eastAsia" w:ascii="宋体" w:hAnsi="宋体" w:cs="宋体"/>
                <w:sz w:val="21"/>
                <w:szCs w:val="21"/>
              </w:rPr>
            </w:pPr>
            <w:r>
              <w:rPr>
                <w:rFonts w:hint="eastAsia" w:ascii="宋体" w:hAnsi="宋体" w:cs="宋体"/>
                <w:sz w:val="21"/>
                <w:szCs w:val="21"/>
              </w:rPr>
              <w:t>12.功耗：≤42.4W</w:t>
            </w:r>
          </w:p>
          <w:p>
            <w:pPr>
              <w:adjustRightInd w:val="0"/>
              <w:snapToGrid w:val="0"/>
              <w:jc w:val="left"/>
              <w:rPr>
                <w:rFonts w:hint="eastAsia" w:ascii="宋体" w:hAnsi="宋体" w:cs="宋体"/>
                <w:sz w:val="21"/>
                <w:szCs w:val="21"/>
              </w:rPr>
            </w:pPr>
            <w:r>
              <w:rPr>
                <w:rFonts w:hint="eastAsia" w:ascii="宋体" w:hAnsi="宋体" w:cs="宋体"/>
                <w:sz w:val="21"/>
                <w:szCs w:val="21"/>
              </w:rPr>
              <w:t>13.电源:AC110V/220V 50/60Hz</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电源时序器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1.工作电压 单相AC220V(±20%)</w:t>
            </w:r>
          </w:p>
          <w:p>
            <w:pPr>
              <w:adjustRightInd w:val="0"/>
              <w:snapToGrid w:val="0"/>
              <w:jc w:val="left"/>
              <w:rPr>
                <w:rFonts w:hint="eastAsia" w:ascii="宋体" w:hAnsi="宋体" w:cs="宋体"/>
                <w:sz w:val="21"/>
                <w:szCs w:val="21"/>
              </w:rPr>
            </w:pPr>
            <w:r>
              <w:rPr>
                <w:rFonts w:hint="eastAsia" w:ascii="宋体" w:hAnsi="宋体" w:cs="宋体"/>
                <w:sz w:val="21"/>
                <w:szCs w:val="21"/>
              </w:rPr>
              <w:t>3.工作频率 50Hz或60Hz</w:t>
            </w:r>
          </w:p>
          <w:p>
            <w:pPr>
              <w:adjustRightInd w:val="0"/>
              <w:snapToGrid w:val="0"/>
              <w:jc w:val="left"/>
              <w:rPr>
                <w:rFonts w:hint="eastAsia" w:ascii="宋体" w:hAnsi="宋体" w:cs="宋体"/>
                <w:sz w:val="21"/>
                <w:szCs w:val="21"/>
              </w:rPr>
            </w:pPr>
            <w:r>
              <w:rPr>
                <w:rFonts w:hint="eastAsia" w:ascii="宋体" w:hAnsi="宋体" w:cs="宋体"/>
                <w:sz w:val="21"/>
                <w:szCs w:val="21"/>
              </w:rPr>
              <w:t>4.CPU采用ARM核32位处理器</w:t>
            </w:r>
          </w:p>
          <w:p>
            <w:pPr>
              <w:adjustRightInd w:val="0"/>
              <w:snapToGrid w:val="0"/>
              <w:jc w:val="left"/>
              <w:rPr>
                <w:rFonts w:hint="eastAsia" w:ascii="宋体" w:hAnsi="宋体" w:cs="宋体"/>
                <w:sz w:val="21"/>
                <w:szCs w:val="21"/>
              </w:rPr>
            </w:pPr>
            <w:r>
              <w:rPr>
                <w:rFonts w:hint="eastAsia" w:ascii="宋体" w:hAnsi="宋体" w:cs="宋体"/>
                <w:sz w:val="21"/>
                <w:szCs w:val="21"/>
              </w:rPr>
              <w:t>5.系统参数显示方式 2× 16 LCD蓝色背光液晶显示</w:t>
            </w:r>
          </w:p>
          <w:p>
            <w:pPr>
              <w:adjustRightInd w:val="0"/>
              <w:snapToGrid w:val="0"/>
              <w:jc w:val="left"/>
              <w:rPr>
                <w:rFonts w:hint="eastAsia" w:ascii="宋体" w:hAnsi="宋体" w:cs="宋体"/>
                <w:sz w:val="21"/>
                <w:szCs w:val="21"/>
              </w:rPr>
            </w:pPr>
            <w:r>
              <w:rPr>
                <w:rFonts w:hint="eastAsia" w:ascii="宋体" w:hAnsi="宋体" w:cs="宋体"/>
                <w:sz w:val="21"/>
                <w:szCs w:val="21"/>
              </w:rPr>
              <w:t>6.电源输入：连接单相3芯 接线座，可外接3芯单相电缆</w:t>
            </w:r>
          </w:p>
          <w:p>
            <w:pPr>
              <w:adjustRightInd w:val="0"/>
              <w:snapToGrid w:val="0"/>
              <w:jc w:val="left"/>
              <w:rPr>
                <w:rFonts w:hint="eastAsia" w:ascii="宋体" w:hAnsi="宋体" w:cs="宋体"/>
                <w:sz w:val="21"/>
                <w:szCs w:val="21"/>
              </w:rPr>
            </w:pPr>
            <w:r>
              <w:rPr>
                <w:rFonts w:hint="eastAsia" w:ascii="宋体" w:hAnsi="宋体" w:cs="宋体"/>
                <w:sz w:val="21"/>
                <w:szCs w:val="21"/>
              </w:rPr>
              <w:t>7.时序通道：8通道独立控制的时序通道，8通道独立常开控制，8通道独立具有硬件开关式应急停止设置</w:t>
            </w:r>
          </w:p>
          <w:p>
            <w:pPr>
              <w:adjustRightInd w:val="0"/>
              <w:snapToGrid w:val="0"/>
              <w:jc w:val="left"/>
              <w:rPr>
                <w:rFonts w:hint="eastAsia" w:ascii="宋体" w:hAnsi="宋体" w:cs="宋体"/>
                <w:sz w:val="21"/>
                <w:szCs w:val="21"/>
              </w:rPr>
            </w:pPr>
            <w:r>
              <w:rPr>
                <w:rFonts w:hint="eastAsia" w:ascii="宋体" w:hAnsi="宋体" w:cs="宋体"/>
                <w:sz w:val="21"/>
                <w:szCs w:val="21"/>
              </w:rPr>
              <w:t>8.RFI/EMI电源滤波器 带电源滤波器</w:t>
            </w:r>
          </w:p>
        </w:tc>
        <w:tc>
          <w:tcPr>
            <w:tcW w:w="970" w:type="dxa"/>
            <w:gridSpan w:val="4"/>
            <w:vAlign w:val="center"/>
          </w:tcPr>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1" w:hRule="atLeast"/>
        </w:trPr>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20路数字调音台</w:t>
            </w:r>
          </w:p>
        </w:tc>
        <w:tc>
          <w:tcPr>
            <w:tcW w:w="6163" w:type="dxa"/>
            <w:vAlign w:val="center"/>
          </w:tcPr>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20路信号输入(16路MIC输入，1组立体声输入，一组数字输入:光纤/声卡，MP3)</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输入通道声像调节</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MIC输入增益调节(数字增)</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+48V幻象电源(MIC通道均可独立打开关闭)</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每个输入通道都内置5 段参均衡，压限器，噪声门，高低通，延时，输通道声像平衡调节</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通道参数快速拷贝功能</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输入输出EQ ON/OFF</w:t>
            </w:r>
          </w:p>
          <w:p>
            <w:pPr>
              <w:numPr>
                <w:ilvl w:val="0"/>
                <w:numId w:val="19"/>
              </w:numPr>
              <w:adjustRightInd w:val="0"/>
              <w:snapToGrid w:val="0"/>
              <w:jc w:val="left"/>
              <w:rPr>
                <w:rFonts w:hint="eastAsia" w:ascii="宋体" w:hAnsi="宋体" w:cs="宋体"/>
                <w:sz w:val="21"/>
                <w:szCs w:val="21"/>
              </w:rPr>
            </w:pPr>
            <w:r>
              <w:rPr>
                <w:rFonts w:hint="eastAsia" w:ascii="宋体" w:hAnsi="宋体" w:cs="宋体"/>
                <w:sz w:val="21"/>
                <w:szCs w:val="21"/>
              </w:rPr>
              <w:t>各通道均设有多功能菜单，哑音和监听</w:t>
            </w:r>
          </w:p>
          <w:p>
            <w:pPr>
              <w:adjustRightInd w:val="0"/>
              <w:snapToGrid w:val="0"/>
              <w:jc w:val="left"/>
              <w:rPr>
                <w:rFonts w:hint="eastAsia" w:ascii="宋体" w:hAnsi="宋体" w:cs="宋体"/>
                <w:sz w:val="21"/>
                <w:szCs w:val="21"/>
              </w:rPr>
            </w:pPr>
            <w:r>
              <w:rPr>
                <w:rFonts w:hint="eastAsia" w:ascii="宋体" w:hAnsi="宋体" w:cs="宋体"/>
                <w:sz w:val="21"/>
                <w:szCs w:val="21"/>
              </w:rPr>
              <w:t>11.通道均设有程100MM 电动推杆，信号、峰值灯(16个ALPS电动推子)</w:t>
            </w:r>
          </w:p>
          <w:p>
            <w:pPr>
              <w:adjustRightInd w:val="0"/>
              <w:snapToGrid w:val="0"/>
              <w:jc w:val="left"/>
              <w:rPr>
                <w:rFonts w:hint="eastAsia" w:ascii="宋体" w:hAnsi="宋体" w:cs="宋体"/>
                <w:sz w:val="21"/>
                <w:szCs w:val="21"/>
              </w:rPr>
            </w:pPr>
            <w:r>
              <w:rPr>
                <w:rFonts w:hint="eastAsia" w:ascii="宋体" w:hAnsi="宋体" w:cs="宋体"/>
                <w:sz w:val="21"/>
                <w:szCs w:val="21"/>
              </w:rPr>
              <w:t>12.10路信号输出(立体声主输出,8路AUX输出)</w:t>
            </w:r>
          </w:p>
          <w:p>
            <w:pPr>
              <w:adjustRightInd w:val="0"/>
              <w:snapToGrid w:val="0"/>
              <w:jc w:val="left"/>
              <w:rPr>
                <w:rFonts w:hint="eastAsia" w:ascii="宋体" w:hAnsi="宋体" w:cs="宋体"/>
                <w:sz w:val="21"/>
                <w:szCs w:val="21"/>
              </w:rPr>
            </w:pPr>
            <w:r>
              <w:rPr>
                <w:rFonts w:hint="eastAsia" w:ascii="宋体" w:hAnsi="宋体" w:cs="宋体"/>
                <w:sz w:val="21"/>
                <w:szCs w:val="21"/>
              </w:rPr>
              <w:t>13.AUX输出(推子前/后)</w:t>
            </w:r>
          </w:p>
          <w:p>
            <w:pPr>
              <w:adjustRightInd w:val="0"/>
              <w:snapToGrid w:val="0"/>
              <w:jc w:val="left"/>
              <w:rPr>
                <w:rFonts w:hint="eastAsia" w:ascii="宋体" w:hAnsi="宋体" w:cs="宋体"/>
                <w:sz w:val="21"/>
                <w:szCs w:val="21"/>
              </w:rPr>
            </w:pPr>
            <w:r>
              <w:rPr>
                <w:rFonts w:hint="eastAsia" w:ascii="宋体" w:hAnsi="宋体" w:cs="宋体"/>
                <w:sz w:val="21"/>
                <w:szCs w:val="21"/>
              </w:rPr>
              <w:t>14.每个输出通道处理:高低通滤波，15段参数均衡，压缩器，延时，相位</w:t>
            </w:r>
          </w:p>
          <w:p>
            <w:pPr>
              <w:adjustRightInd w:val="0"/>
              <w:snapToGrid w:val="0"/>
              <w:jc w:val="left"/>
              <w:rPr>
                <w:rFonts w:hint="eastAsia" w:ascii="宋体" w:hAnsi="宋体" w:cs="宋体"/>
                <w:sz w:val="21"/>
                <w:szCs w:val="21"/>
              </w:rPr>
            </w:pPr>
            <w:r>
              <w:rPr>
                <w:rFonts w:hint="eastAsia" w:ascii="宋体" w:hAnsi="宋体" w:cs="宋体"/>
                <w:sz w:val="21"/>
                <w:szCs w:val="21"/>
              </w:rPr>
              <w:t>15.数字录音功能</w:t>
            </w:r>
          </w:p>
          <w:p>
            <w:pPr>
              <w:adjustRightInd w:val="0"/>
              <w:snapToGrid w:val="0"/>
              <w:jc w:val="left"/>
              <w:rPr>
                <w:rFonts w:hint="eastAsia" w:ascii="宋体" w:hAnsi="宋体" w:cs="宋体"/>
                <w:sz w:val="21"/>
                <w:szCs w:val="21"/>
              </w:rPr>
            </w:pPr>
            <w:r>
              <w:rPr>
                <w:rFonts w:hint="eastAsia" w:ascii="宋体" w:hAnsi="宋体" w:cs="宋体"/>
                <w:sz w:val="21"/>
                <w:szCs w:val="21"/>
              </w:rPr>
              <w:t>16.双排3色12段电平指示灯</w:t>
            </w:r>
          </w:p>
          <w:p>
            <w:pPr>
              <w:adjustRightInd w:val="0"/>
              <w:snapToGrid w:val="0"/>
              <w:jc w:val="left"/>
              <w:rPr>
                <w:rFonts w:hint="eastAsia" w:ascii="宋体" w:hAnsi="宋体" w:cs="宋体"/>
                <w:sz w:val="21"/>
                <w:szCs w:val="21"/>
              </w:rPr>
            </w:pPr>
            <w:r>
              <w:rPr>
                <w:rFonts w:hint="eastAsia" w:ascii="宋体" w:hAnsi="宋体" w:cs="宋体"/>
                <w:sz w:val="21"/>
                <w:szCs w:val="21"/>
              </w:rPr>
              <w:t xml:space="preserve">17.内置声卡(MP3、Android、PC直接播放、录音) </w:t>
            </w:r>
          </w:p>
          <w:p>
            <w:pPr>
              <w:adjustRightInd w:val="0"/>
              <w:snapToGrid w:val="0"/>
              <w:jc w:val="left"/>
              <w:rPr>
                <w:rFonts w:hint="eastAsia" w:ascii="宋体" w:hAnsi="宋体" w:cs="宋体"/>
                <w:sz w:val="21"/>
                <w:szCs w:val="21"/>
              </w:rPr>
            </w:pPr>
            <w:r>
              <w:rPr>
                <w:rFonts w:hint="eastAsia" w:ascii="宋体" w:hAnsi="宋体" w:cs="宋体"/>
                <w:sz w:val="21"/>
                <w:szCs w:val="21"/>
              </w:rPr>
              <w:t>18.具备4个快捷场景调用模式；</w:t>
            </w:r>
          </w:p>
          <w:p>
            <w:pPr>
              <w:adjustRightInd w:val="0"/>
              <w:snapToGrid w:val="0"/>
              <w:jc w:val="left"/>
              <w:rPr>
                <w:rFonts w:hint="eastAsia" w:ascii="宋体" w:hAnsi="宋体" w:cs="宋体"/>
                <w:sz w:val="21"/>
                <w:szCs w:val="21"/>
              </w:rPr>
            </w:pPr>
            <w:r>
              <w:rPr>
                <w:rFonts w:hint="eastAsia" w:ascii="宋体" w:hAnsi="宋体" w:cs="宋体"/>
                <w:sz w:val="21"/>
                <w:szCs w:val="21"/>
              </w:rPr>
              <w:t>19.内置两个独立的DSP效果器</w:t>
            </w:r>
          </w:p>
          <w:p>
            <w:pPr>
              <w:adjustRightInd w:val="0"/>
              <w:snapToGrid w:val="0"/>
              <w:jc w:val="left"/>
              <w:rPr>
                <w:rFonts w:hint="eastAsia" w:ascii="宋体" w:hAnsi="宋体" w:cs="宋体"/>
                <w:sz w:val="21"/>
                <w:szCs w:val="21"/>
              </w:rPr>
            </w:pPr>
            <w:r>
              <w:rPr>
                <w:rFonts w:hint="eastAsia" w:ascii="宋体" w:hAnsi="宋体" w:cs="宋体"/>
                <w:sz w:val="21"/>
                <w:szCs w:val="21"/>
              </w:rPr>
              <w:t>20.两层翻页，简化操作，使用更方便</w:t>
            </w:r>
          </w:p>
          <w:p>
            <w:pPr>
              <w:adjustRightInd w:val="0"/>
              <w:snapToGrid w:val="0"/>
              <w:jc w:val="left"/>
              <w:rPr>
                <w:rFonts w:hint="eastAsia" w:ascii="宋体" w:hAnsi="宋体" w:cs="宋体"/>
                <w:sz w:val="21"/>
                <w:szCs w:val="21"/>
              </w:rPr>
            </w:pPr>
            <w:r>
              <w:rPr>
                <w:rFonts w:hint="eastAsia" w:ascii="宋体" w:hAnsi="宋体" w:cs="宋体"/>
                <w:sz w:val="21"/>
                <w:szCs w:val="21"/>
              </w:rPr>
              <w:t>21.FX踏板开关接口</w:t>
            </w:r>
          </w:p>
          <w:p>
            <w:pPr>
              <w:adjustRightInd w:val="0"/>
              <w:snapToGrid w:val="0"/>
              <w:jc w:val="left"/>
              <w:rPr>
                <w:rFonts w:hint="eastAsia" w:ascii="宋体" w:hAnsi="宋体" w:cs="宋体"/>
                <w:sz w:val="21"/>
                <w:szCs w:val="21"/>
              </w:rPr>
            </w:pPr>
            <w:r>
              <w:rPr>
                <w:rFonts w:hint="eastAsia" w:ascii="宋体" w:hAnsi="宋体" w:cs="宋体"/>
                <w:sz w:val="21"/>
                <w:szCs w:val="21"/>
              </w:rPr>
              <w:t>22.光纤输入/输出</w:t>
            </w:r>
          </w:p>
          <w:p>
            <w:pPr>
              <w:adjustRightInd w:val="0"/>
              <w:snapToGrid w:val="0"/>
              <w:jc w:val="left"/>
              <w:rPr>
                <w:rFonts w:hint="eastAsia" w:ascii="宋体" w:hAnsi="宋体" w:cs="宋体"/>
                <w:sz w:val="21"/>
                <w:szCs w:val="21"/>
              </w:rPr>
            </w:pPr>
            <w:r>
              <w:rPr>
                <w:rFonts w:hint="eastAsia" w:ascii="宋体" w:hAnsi="宋体" w:cs="宋体"/>
                <w:sz w:val="21"/>
                <w:szCs w:val="21"/>
              </w:rPr>
              <w:t>23.多操作系统操控软件(IOS系统，Android系统，WINDOWS系统)</w:t>
            </w:r>
          </w:p>
          <w:p>
            <w:pPr>
              <w:adjustRightInd w:val="0"/>
              <w:snapToGrid w:val="0"/>
              <w:jc w:val="left"/>
              <w:rPr>
                <w:rFonts w:hint="eastAsia" w:ascii="宋体" w:hAnsi="宋体" w:cs="宋体"/>
                <w:sz w:val="21"/>
                <w:szCs w:val="21"/>
              </w:rPr>
            </w:pPr>
            <w:r>
              <w:rPr>
                <w:rFonts w:hint="eastAsia" w:ascii="宋体" w:hAnsi="宋体" w:cs="宋体"/>
                <w:sz w:val="21"/>
                <w:szCs w:val="21"/>
              </w:rPr>
              <w:t>24.支持有线网口调节(或外接路由器无线调节)</w:t>
            </w:r>
          </w:p>
          <w:p>
            <w:pPr>
              <w:adjustRightInd w:val="0"/>
              <w:snapToGrid w:val="0"/>
              <w:jc w:val="left"/>
              <w:rPr>
                <w:rFonts w:hint="eastAsia" w:ascii="宋体" w:hAnsi="宋体" w:cs="宋体"/>
                <w:sz w:val="21"/>
                <w:szCs w:val="21"/>
              </w:rPr>
            </w:pPr>
            <w:r>
              <w:rPr>
                <w:rFonts w:hint="eastAsia" w:ascii="宋体" w:hAnsi="宋体" w:cs="宋体"/>
                <w:sz w:val="21"/>
                <w:szCs w:val="21"/>
              </w:rPr>
              <w:t>25.7寸1024*600电容触摸显示屏</w:t>
            </w:r>
          </w:p>
          <w:p>
            <w:pPr>
              <w:adjustRightInd w:val="0"/>
              <w:snapToGrid w:val="0"/>
              <w:jc w:val="left"/>
              <w:rPr>
                <w:rFonts w:hint="eastAsia" w:ascii="宋体" w:hAnsi="宋体" w:cs="宋体"/>
                <w:sz w:val="21"/>
                <w:szCs w:val="21"/>
              </w:rPr>
            </w:pPr>
            <w:r>
              <w:rPr>
                <w:rFonts w:hint="eastAsia" w:ascii="宋体" w:hAnsi="宋体" w:cs="宋体"/>
                <w:sz w:val="21"/>
                <w:szCs w:val="21"/>
              </w:rPr>
              <w:t>26.用户可自定义层，输出混合编辑功能</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2进2出反馈抑制器</w:t>
            </w:r>
          </w:p>
        </w:tc>
        <w:tc>
          <w:tcPr>
            <w:tcW w:w="6163" w:type="dxa"/>
            <w:vAlign w:val="center"/>
          </w:tcPr>
          <w:p>
            <w:pPr>
              <w:numPr>
                <w:ilvl w:val="0"/>
                <w:numId w:val="20"/>
              </w:numPr>
              <w:adjustRightInd w:val="0"/>
              <w:snapToGrid w:val="0"/>
              <w:jc w:val="left"/>
              <w:rPr>
                <w:rFonts w:hint="eastAsia" w:ascii="宋体" w:hAnsi="宋体" w:cs="宋体"/>
                <w:sz w:val="21"/>
                <w:szCs w:val="21"/>
              </w:rPr>
            </w:pPr>
            <w:r>
              <w:rPr>
                <w:rFonts w:hint="eastAsia" w:ascii="宋体" w:hAnsi="宋体" w:cs="宋体"/>
                <w:sz w:val="21"/>
                <w:szCs w:val="21"/>
              </w:rPr>
              <w:t>输入阻抗:平衡20KΩ</w:t>
            </w:r>
          </w:p>
          <w:p>
            <w:pPr>
              <w:numPr>
                <w:ilvl w:val="0"/>
                <w:numId w:val="20"/>
              </w:numPr>
              <w:adjustRightInd w:val="0"/>
              <w:snapToGrid w:val="0"/>
              <w:jc w:val="left"/>
              <w:rPr>
                <w:rFonts w:hint="eastAsia" w:ascii="宋体" w:hAnsi="宋体" w:cs="宋体"/>
                <w:sz w:val="21"/>
                <w:szCs w:val="21"/>
              </w:rPr>
            </w:pPr>
            <w:r>
              <w:rPr>
                <w:rFonts w:hint="eastAsia" w:ascii="宋体" w:hAnsi="宋体" w:cs="宋体"/>
                <w:sz w:val="21"/>
                <w:szCs w:val="21"/>
              </w:rPr>
              <w:t>输出阻抗:平衡100Ω</w:t>
            </w:r>
          </w:p>
          <w:p>
            <w:pPr>
              <w:numPr>
                <w:ilvl w:val="0"/>
                <w:numId w:val="20"/>
              </w:numPr>
              <w:adjustRightInd w:val="0"/>
              <w:snapToGrid w:val="0"/>
              <w:jc w:val="left"/>
              <w:rPr>
                <w:rFonts w:hint="eastAsia" w:ascii="宋体" w:hAnsi="宋体" w:cs="宋体"/>
                <w:sz w:val="21"/>
                <w:szCs w:val="21"/>
              </w:rPr>
            </w:pPr>
            <w:r>
              <w:rPr>
                <w:rFonts w:hint="eastAsia" w:ascii="宋体" w:hAnsi="宋体" w:cs="宋体"/>
                <w:sz w:val="21"/>
                <w:szCs w:val="21"/>
              </w:rPr>
              <w:t>输入共模拟制比:≥70 dB(1KHz)</w:t>
            </w:r>
          </w:p>
          <w:p>
            <w:pPr>
              <w:numPr>
                <w:ilvl w:val="0"/>
                <w:numId w:val="20"/>
              </w:numPr>
              <w:adjustRightInd w:val="0"/>
              <w:snapToGrid w:val="0"/>
              <w:jc w:val="left"/>
              <w:rPr>
                <w:rFonts w:hint="eastAsia" w:ascii="宋体" w:hAnsi="宋体" w:cs="宋体"/>
                <w:sz w:val="21"/>
                <w:szCs w:val="21"/>
              </w:rPr>
            </w:pPr>
            <w:r>
              <w:rPr>
                <w:rFonts w:hint="eastAsia" w:ascii="宋体" w:hAnsi="宋体" w:cs="宋体"/>
                <w:sz w:val="21"/>
                <w:szCs w:val="21"/>
              </w:rPr>
              <w:t>输出范围:≤25dBu</w:t>
            </w:r>
          </w:p>
          <w:p>
            <w:pPr>
              <w:numPr>
                <w:ilvl w:val="0"/>
                <w:numId w:val="20"/>
              </w:numPr>
              <w:adjustRightInd w:val="0"/>
              <w:snapToGrid w:val="0"/>
              <w:jc w:val="left"/>
              <w:rPr>
                <w:rFonts w:hint="eastAsia" w:ascii="宋体" w:hAnsi="宋体" w:cs="宋体"/>
                <w:sz w:val="21"/>
                <w:szCs w:val="21"/>
              </w:rPr>
            </w:pPr>
            <w:r>
              <w:rPr>
                <w:rFonts w:hint="eastAsia" w:ascii="宋体" w:hAnsi="宋体" w:cs="宋体"/>
                <w:sz w:val="21"/>
                <w:szCs w:val="21"/>
              </w:rPr>
              <w:t>频率相应:20Hz-20KHz(-0.5dB)</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无线手拉手会议主机</w:t>
            </w:r>
          </w:p>
        </w:tc>
        <w:tc>
          <w:tcPr>
            <w:tcW w:w="6163" w:type="dxa"/>
            <w:vAlign w:val="center"/>
          </w:tcPr>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载波频段:UHF640MHz-690MHz</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调制方式:FM</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工作有效距离&gt;=60米</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震荡方式:PLL相位锁定频率合成</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灵敏度:在偏移度等于25KHz,输入6dBv时，S/N&gt;60dB</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频带宽度:30MHz</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最大偏移度:±45KHz</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综合信噪比S/N:&gt;105dB</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综合T.H.D:&lt;0.7%@1KHz</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综合频率响应:45Hz-18KHz±1dB</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供电:AC220 40W</w:t>
            </w:r>
          </w:p>
          <w:p>
            <w:pPr>
              <w:numPr>
                <w:ilvl w:val="0"/>
                <w:numId w:val="21"/>
              </w:numPr>
              <w:adjustRightInd w:val="0"/>
              <w:snapToGrid w:val="0"/>
              <w:ind w:firstLine="0"/>
              <w:jc w:val="left"/>
              <w:rPr>
                <w:rFonts w:hint="eastAsia" w:ascii="宋体" w:hAnsi="宋体" w:cs="宋体"/>
                <w:sz w:val="21"/>
                <w:szCs w:val="21"/>
              </w:rPr>
            </w:pPr>
            <w:r>
              <w:rPr>
                <w:rFonts w:hint="eastAsia" w:ascii="宋体" w:hAnsi="宋体" w:cs="宋体"/>
                <w:sz w:val="21"/>
                <w:szCs w:val="21"/>
              </w:rPr>
              <w:t>输出插座:XLR平行式及6.3不平行式插座</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无线会议主席单元(长杆)</w:t>
            </w:r>
          </w:p>
        </w:tc>
        <w:tc>
          <w:tcPr>
            <w:tcW w:w="6163" w:type="dxa"/>
            <w:vAlign w:val="center"/>
          </w:tcPr>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金属底座质感高档，内置锂电池，USB便携充电；无需频繁更换电池。</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采用内置高保真电容音头</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麦克风开启时，音头具备工作指示灯</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载波频段:UHF640MKz-690MHz</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振荡方式:PLL相位锁定频率合成</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谐波辐射:&lt;-65dBm</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频带宽度:30MHz</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最大偏移度:±45KHz</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传感器:电容式、单指向性/超指向性</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RF功率输出:15mW</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电池:内置1000mA锂电池/USB直接供电</w:t>
            </w:r>
          </w:p>
          <w:p>
            <w:pPr>
              <w:numPr>
                <w:ilvl w:val="0"/>
                <w:numId w:val="22"/>
              </w:numPr>
              <w:adjustRightInd w:val="0"/>
              <w:snapToGrid w:val="0"/>
              <w:jc w:val="left"/>
              <w:rPr>
                <w:rFonts w:hint="eastAsia" w:ascii="宋体" w:hAnsi="宋体" w:cs="宋体"/>
                <w:sz w:val="21"/>
                <w:szCs w:val="21"/>
              </w:rPr>
            </w:pPr>
            <w:r>
              <w:rPr>
                <w:rFonts w:hint="eastAsia" w:ascii="宋体" w:hAnsi="宋体" w:cs="宋体"/>
                <w:sz w:val="21"/>
                <w:szCs w:val="21"/>
              </w:rPr>
              <w:t>电流消耗:&lt;200mA</w:t>
            </w:r>
          </w:p>
          <w:p>
            <w:pPr>
              <w:adjustRightInd w:val="0"/>
              <w:snapToGrid w:val="0"/>
              <w:jc w:val="left"/>
              <w:rPr>
                <w:rFonts w:hint="eastAsia" w:ascii="宋体" w:hAnsi="宋体" w:cs="宋体"/>
                <w:sz w:val="21"/>
                <w:szCs w:val="21"/>
              </w:rPr>
            </w:pPr>
            <w:r>
              <w:rPr>
                <w:rFonts w:hint="eastAsia" w:ascii="宋体" w:hAnsi="宋体" w:cs="宋体"/>
                <w:sz w:val="21"/>
                <w:szCs w:val="21"/>
              </w:rPr>
              <w:t>14.电池可连续工作时间:≥8小时</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支</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无线会议代表单元(长杆)</w:t>
            </w:r>
          </w:p>
        </w:tc>
        <w:tc>
          <w:tcPr>
            <w:tcW w:w="6163" w:type="dxa"/>
            <w:vAlign w:val="center"/>
          </w:tcPr>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金属底座质感高档,内置锂电池,USB便携充电;采用内置高保真电容音头</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麦克风开启时，音头具备工作指示灯</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载波频段:UHF640MKz-690MHz</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振荡方式:PLL相位锁定频率合成</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谐波辐射:&lt;-65dBm</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频带宽度:30MHz</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最大偏移度:±45KHz</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传感器:电容式、单指向性/超指向性</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RF功率输出:15mW</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电池:内置1000mA锂电池/USB直接供电</w:t>
            </w:r>
          </w:p>
          <w:p>
            <w:pPr>
              <w:numPr>
                <w:ilvl w:val="0"/>
                <w:numId w:val="23"/>
              </w:numPr>
              <w:adjustRightInd w:val="0"/>
              <w:snapToGrid w:val="0"/>
              <w:jc w:val="left"/>
              <w:rPr>
                <w:rFonts w:hint="eastAsia" w:ascii="宋体" w:hAnsi="宋体" w:cs="宋体"/>
                <w:sz w:val="21"/>
                <w:szCs w:val="21"/>
              </w:rPr>
            </w:pPr>
            <w:r>
              <w:rPr>
                <w:rFonts w:hint="eastAsia" w:ascii="宋体" w:hAnsi="宋体" w:cs="宋体"/>
                <w:sz w:val="21"/>
                <w:szCs w:val="21"/>
              </w:rPr>
              <w:t>电流消耗:&lt;200mA</w:t>
            </w:r>
          </w:p>
          <w:p>
            <w:pPr>
              <w:adjustRightInd w:val="0"/>
              <w:snapToGrid w:val="0"/>
              <w:jc w:val="left"/>
              <w:rPr>
                <w:rFonts w:hint="eastAsia" w:ascii="宋体" w:hAnsi="宋体" w:cs="宋体"/>
                <w:sz w:val="21"/>
                <w:szCs w:val="21"/>
              </w:rPr>
            </w:pPr>
            <w:r>
              <w:rPr>
                <w:rFonts w:hint="eastAsia" w:ascii="宋体" w:hAnsi="宋体" w:cs="宋体"/>
                <w:sz w:val="21"/>
                <w:szCs w:val="21"/>
              </w:rPr>
              <w:t>12.电池可连续工作时间:≥8小时</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支</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专业级八口USB话筒充电器( 配套锂电池使用 )</w:t>
            </w:r>
          </w:p>
        </w:tc>
        <w:tc>
          <w:tcPr>
            <w:tcW w:w="6163" w:type="dxa"/>
            <w:vAlign w:val="center"/>
          </w:tcPr>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电源输入:AC 100V-240V 50-60Hz</w:t>
            </w:r>
          </w:p>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输出接口:USB×8</w:t>
            </w:r>
          </w:p>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USB单口输出:2.4A(MAX)</w:t>
            </w:r>
          </w:p>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USB单口输出:5V</w:t>
            </w:r>
          </w:p>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输出总电流:8A</w:t>
            </w:r>
          </w:p>
          <w:p>
            <w:pPr>
              <w:numPr>
                <w:ilvl w:val="0"/>
                <w:numId w:val="24"/>
              </w:numPr>
              <w:adjustRightInd w:val="0"/>
              <w:snapToGrid w:val="0"/>
              <w:jc w:val="left"/>
              <w:rPr>
                <w:rFonts w:hint="eastAsia" w:ascii="宋体" w:hAnsi="宋体" w:cs="宋体"/>
                <w:sz w:val="21"/>
                <w:szCs w:val="21"/>
              </w:rPr>
            </w:pPr>
            <w:r>
              <w:rPr>
                <w:rFonts w:hint="eastAsia" w:ascii="宋体" w:hAnsi="宋体" w:cs="宋体"/>
                <w:sz w:val="21"/>
                <w:szCs w:val="21"/>
              </w:rPr>
              <w:t>输出总功率:40W</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一拖二真分集手持话筒</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精确锁定接收机的工作频点</w:t>
            </w:r>
          </w:p>
          <w:p>
            <w:pPr>
              <w:adjustRightInd w:val="0"/>
              <w:snapToGrid w:val="0"/>
              <w:jc w:val="left"/>
              <w:rPr>
                <w:rFonts w:hint="eastAsia" w:ascii="宋体" w:hAnsi="宋体" w:cs="宋体"/>
                <w:sz w:val="21"/>
                <w:szCs w:val="21"/>
              </w:rPr>
            </w:pPr>
            <w:r>
              <w:rPr>
                <w:rFonts w:hint="eastAsia" w:ascii="宋体" w:hAnsi="宋体" w:cs="宋体"/>
                <w:sz w:val="21"/>
                <w:szCs w:val="21"/>
              </w:rPr>
              <w:t>1.载波频段:UHF640-690MHz</w:t>
            </w:r>
          </w:p>
          <w:p>
            <w:pPr>
              <w:adjustRightInd w:val="0"/>
              <w:snapToGrid w:val="0"/>
              <w:jc w:val="left"/>
              <w:rPr>
                <w:rFonts w:hint="eastAsia" w:ascii="宋体" w:hAnsi="宋体" w:cs="宋体"/>
                <w:sz w:val="21"/>
                <w:szCs w:val="21"/>
              </w:rPr>
            </w:pPr>
            <w:r>
              <w:rPr>
                <w:rFonts w:hint="eastAsia" w:ascii="宋体" w:hAnsi="宋体" w:cs="宋体"/>
                <w:sz w:val="21"/>
                <w:szCs w:val="21"/>
              </w:rPr>
              <w:t>2.振荡方式:PLL相位锁定频率合成(synthesized )                      3.谐波辐射:＜-63dBm</w:t>
            </w:r>
          </w:p>
          <w:p>
            <w:pPr>
              <w:adjustRightInd w:val="0"/>
              <w:snapToGrid w:val="0"/>
              <w:jc w:val="left"/>
              <w:rPr>
                <w:rFonts w:hint="eastAsia" w:ascii="宋体" w:hAnsi="宋体" w:cs="宋体"/>
                <w:sz w:val="21"/>
                <w:szCs w:val="21"/>
              </w:rPr>
            </w:pPr>
            <w:r>
              <w:rPr>
                <w:rFonts w:hint="eastAsia" w:ascii="宋体" w:hAnsi="宋体" w:cs="宋体"/>
                <w:sz w:val="21"/>
                <w:szCs w:val="21"/>
              </w:rPr>
              <w:t>4.频带宽度:40MHz</w:t>
            </w:r>
          </w:p>
          <w:p>
            <w:pPr>
              <w:adjustRightInd w:val="0"/>
              <w:snapToGrid w:val="0"/>
              <w:jc w:val="left"/>
              <w:rPr>
                <w:rFonts w:hint="eastAsia" w:ascii="宋体" w:hAnsi="宋体" w:cs="宋体"/>
                <w:sz w:val="21"/>
                <w:szCs w:val="21"/>
              </w:rPr>
            </w:pPr>
            <w:r>
              <w:rPr>
                <w:rFonts w:hint="eastAsia" w:ascii="宋体" w:hAnsi="宋体" w:cs="宋体"/>
                <w:sz w:val="21"/>
                <w:szCs w:val="21"/>
              </w:rPr>
              <w:t>5.最大偏移度:±45KHz</w:t>
            </w:r>
          </w:p>
          <w:p>
            <w:pPr>
              <w:adjustRightInd w:val="0"/>
              <w:snapToGrid w:val="0"/>
              <w:jc w:val="left"/>
              <w:rPr>
                <w:rFonts w:hint="eastAsia" w:ascii="宋体" w:hAnsi="宋体" w:cs="宋体"/>
                <w:sz w:val="21"/>
                <w:szCs w:val="21"/>
              </w:rPr>
            </w:pPr>
            <w:r>
              <w:rPr>
                <w:rFonts w:hint="eastAsia" w:ascii="宋体" w:hAnsi="宋体" w:cs="宋体"/>
                <w:sz w:val="21"/>
                <w:szCs w:val="21"/>
              </w:rPr>
              <w:t>6.音头:动圈式,心型指向性</w:t>
            </w:r>
          </w:p>
          <w:p>
            <w:pPr>
              <w:adjustRightInd w:val="0"/>
              <w:snapToGrid w:val="0"/>
              <w:jc w:val="left"/>
              <w:rPr>
                <w:rFonts w:hint="eastAsia" w:ascii="宋体" w:hAnsi="宋体" w:cs="宋体"/>
                <w:sz w:val="21"/>
                <w:szCs w:val="21"/>
              </w:rPr>
            </w:pPr>
            <w:r>
              <w:rPr>
                <w:rFonts w:hint="eastAsia" w:ascii="宋体" w:hAnsi="宋体" w:cs="宋体"/>
                <w:sz w:val="21"/>
                <w:szCs w:val="21"/>
              </w:rPr>
              <w:t>7.RF功率输出:8mW；8mW/15mW</w:t>
            </w:r>
          </w:p>
          <w:p>
            <w:pPr>
              <w:adjustRightInd w:val="0"/>
              <w:snapToGrid w:val="0"/>
              <w:jc w:val="left"/>
              <w:rPr>
                <w:rFonts w:hint="eastAsia" w:ascii="宋体" w:hAnsi="宋体" w:cs="宋体"/>
                <w:sz w:val="21"/>
                <w:szCs w:val="21"/>
              </w:rPr>
            </w:pPr>
            <w:r>
              <w:rPr>
                <w:rFonts w:hint="eastAsia" w:ascii="宋体" w:hAnsi="宋体" w:cs="宋体"/>
                <w:sz w:val="21"/>
                <w:szCs w:val="21"/>
              </w:rPr>
              <w:t>8.电池:AA X 2</w:t>
            </w:r>
          </w:p>
          <w:p>
            <w:pPr>
              <w:adjustRightInd w:val="0"/>
              <w:snapToGrid w:val="0"/>
              <w:jc w:val="left"/>
              <w:rPr>
                <w:rFonts w:hint="eastAsia" w:ascii="宋体" w:hAnsi="宋体" w:cs="宋体"/>
                <w:sz w:val="21"/>
                <w:szCs w:val="21"/>
              </w:rPr>
            </w:pPr>
            <w:r>
              <w:rPr>
                <w:rFonts w:hint="eastAsia" w:ascii="宋体" w:hAnsi="宋体" w:cs="宋体"/>
                <w:sz w:val="21"/>
                <w:szCs w:val="21"/>
              </w:rPr>
              <w:t>9.电流消耗:90mA</w:t>
            </w:r>
          </w:p>
          <w:p>
            <w:pPr>
              <w:adjustRightInd w:val="0"/>
              <w:snapToGrid w:val="0"/>
              <w:jc w:val="left"/>
              <w:rPr>
                <w:rFonts w:hint="eastAsia" w:ascii="宋体" w:hAnsi="宋体" w:cs="宋体"/>
                <w:sz w:val="21"/>
                <w:szCs w:val="21"/>
              </w:rPr>
            </w:pPr>
            <w:r>
              <w:rPr>
                <w:rFonts w:hint="eastAsia" w:ascii="宋体" w:hAnsi="宋体" w:cs="宋体"/>
                <w:sz w:val="21"/>
                <w:szCs w:val="21"/>
              </w:rPr>
              <w:t>10.电池使用:≥10小时；</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一拖二真分集领夹话筒</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1.200个UHF频点可选用，真正分集式抗干扰操作</w:t>
            </w:r>
          </w:p>
          <w:p>
            <w:pPr>
              <w:adjustRightInd w:val="0"/>
              <w:snapToGrid w:val="0"/>
              <w:jc w:val="left"/>
              <w:rPr>
                <w:rFonts w:hint="eastAsia" w:ascii="宋体" w:hAnsi="宋体" w:cs="宋体"/>
                <w:sz w:val="21"/>
                <w:szCs w:val="21"/>
              </w:rPr>
            </w:pPr>
            <w:r>
              <w:rPr>
                <w:rFonts w:hint="eastAsia" w:ascii="宋体" w:hAnsi="宋体" w:cs="宋体"/>
                <w:sz w:val="21"/>
                <w:szCs w:val="21"/>
              </w:rPr>
              <w:t>2.4支天线最远可达300米</w:t>
            </w:r>
          </w:p>
          <w:p>
            <w:pPr>
              <w:adjustRightInd w:val="0"/>
              <w:snapToGrid w:val="0"/>
              <w:jc w:val="left"/>
              <w:rPr>
                <w:rFonts w:hint="eastAsia" w:ascii="宋体" w:hAnsi="宋体" w:cs="宋体"/>
                <w:sz w:val="21"/>
                <w:szCs w:val="21"/>
              </w:rPr>
            </w:pPr>
            <w:r>
              <w:rPr>
                <w:rFonts w:hint="eastAsia" w:ascii="宋体" w:hAnsi="宋体" w:cs="宋体"/>
                <w:sz w:val="21"/>
                <w:szCs w:val="21"/>
              </w:rPr>
              <w:t>3.具有【SET】功能切换按键</w:t>
            </w:r>
          </w:p>
          <w:p>
            <w:pPr>
              <w:adjustRightInd w:val="0"/>
              <w:snapToGrid w:val="0"/>
              <w:jc w:val="left"/>
              <w:rPr>
                <w:rFonts w:hint="eastAsia" w:ascii="宋体" w:hAnsi="宋体" w:cs="宋体"/>
                <w:sz w:val="21"/>
                <w:szCs w:val="21"/>
              </w:rPr>
            </w:pPr>
            <w:r>
              <w:rPr>
                <w:rFonts w:hint="eastAsia" w:ascii="宋体" w:hAnsi="宋体" w:cs="宋体"/>
                <w:sz w:val="21"/>
                <w:szCs w:val="21"/>
              </w:rPr>
              <w:t>4.具有【IR】红外线自动对频功能，只要一按SET 按键，就能立即使发射器自动精确锁定接收机的工作频点</w:t>
            </w:r>
          </w:p>
          <w:p>
            <w:pPr>
              <w:adjustRightInd w:val="0"/>
              <w:snapToGrid w:val="0"/>
              <w:jc w:val="left"/>
              <w:rPr>
                <w:rFonts w:hint="eastAsia" w:ascii="宋体" w:hAnsi="宋体" w:cs="宋体"/>
                <w:sz w:val="21"/>
                <w:szCs w:val="21"/>
              </w:rPr>
            </w:pPr>
            <w:r>
              <w:rPr>
                <w:rFonts w:hint="eastAsia" w:ascii="宋体" w:hAnsi="宋体" w:cs="宋体"/>
                <w:sz w:val="21"/>
                <w:szCs w:val="21"/>
              </w:rPr>
              <w:t>5.载波频段:UHF640-690 MHz</w:t>
            </w:r>
          </w:p>
          <w:p>
            <w:pPr>
              <w:adjustRightInd w:val="0"/>
              <w:snapToGrid w:val="0"/>
              <w:jc w:val="left"/>
              <w:rPr>
                <w:rFonts w:hint="eastAsia" w:ascii="宋体" w:hAnsi="宋体" w:cs="宋体"/>
                <w:sz w:val="21"/>
                <w:szCs w:val="21"/>
              </w:rPr>
            </w:pPr>
            <w:r>
              <w:rPr>
                <w:rFonts w:hint="eastAsia" w:ascii="宋体" w:hAnsi="宋体" w:cs="宋体"/>
                <w:sz w:val="21"/>
                <w:szCs w:val="21"/>
              </w:rPr>
              <w:t>6.振荡方式:PLL相位锁定频率合成(synthesized )                      7.谐波辐射:＜-63dBm</w:t>
            </w:r>
          </w:p>
          <w:p>
            <w:pPr>
              <w:adjustRightInd w:val="0"/>
              <w:snapToGrid w:val="0"/>
              <w:jc w:val="left"/>
              <w:rPr>
                <w:rFonts w:hint="eastAsia" w:ascii="宋体" w:hAnsi="宋体" w:cs="宋体"/>
                <w:sz w:val="21"/>
                <w:szCs w:val="21"/>
              </w:rPr>
            </w:pPr>
            <w:r>
              <w:rPr>
                <w:rFonts w:hint="eastAsia" w:ascii="宋体" w:hAnsi="宋体" w:cs="宋体"/>
                <w:sz w:val="21"/>
                <w:szCs w:val="21"/>
              </w:rPr>
              <w:t>8.频带宽度:40MHz</w:t>
            </w:r>
          </w:p>
          <w:p>
            <w:pPr>
              <w:adjustRightInd w:val="0"/>
              <w:snapToGrid w:val="0"/>
              <w:jc w:val="left"/>
              <w:rPr>
                <w:rFonts w:hint="eastAsia" w:ascii="宋体" w:hAnsi="宋体" w:cs="宋体"/>
                <w:sz w:val="21"/>
                <w:szCs w:val="21"/>
              </w:rPr>
            </w:pPr>
            <w:r>
              <w:rPr>
                <w:rFonts w:hint="eastAsia" w:ascii="宋体" w:hAnsi="宋体" w:cs="宋体"/>
                <w:sz w:val="21"/>
                <w:szCs w:val="21"/>
              </w:rPr>
              <w:t>9.最大偏移度:±45KHz</w:t>
            </w:r>
          </w:p>
          <w:p>
            <w:pPr>
              <w:adjustRightInd w:val="0"/>
              <w:snapToGrid w:val="0"/>
              <w:jc w:val="left"/>
              <w:rPr>
                <w:rFonts w:hint="eastAsia" w:ascii="宋体" w:hAnsi="宋体" w:cs="宋体"/>
                <w:sz w:val="21"/>
                <w:szCs w:val="21"/>
              </w:rPr>
            </w:pPr>
            <w:r>
              <w:rPr>
                <w:rFonts w:hint="eastAsia" w:ascii="宋体" w:hAnsi="宋体" w:cs="宋体"/>
                <w:sz w:val="21"/>
                <w:szCs w:val="21"/>
              </w:rPr>
              <w:t>10.音头:电容式</w:t>
            </w:r>
          </w:p>
          <w:p>
            <w:pPr>
              <w:adjustRightInd w:val="0"/>
              <w:snapToGrid w:val="0"/>
              <w:jc w:val="left"/>
              <w:rPr>
                <w:rFonts w:hint="eastAsia" w:ascii="宋体" w:hAnsi="宋体" w:cs="宋体"/>
                <w:sz w:val="21"/>
                <w:szCs w:val="21"/>
              </w:rPr>
            </w:pPr>
            <w:r>
              <w:rPr>
                <w:rFonts w:hint="eastAsia" w:ascii="宋体" w:hAnsi="宋体" w:cs="宋体"/>
                <w:sz w:val="21"/>
                <w:szCs w:val="21"/>
              </w:rPr>
              <w:t>11.RF功率输出:8mW/15mW</w:t>
            </w:r>
          </w:p>
          <w:p>
            <w:pPr>
              <w:adjustRightInd w:val="0"/>
              <w:snapToGrid w:val="0"/>
              <w:jc w:val="left"/>
              <w:rPr>
                <w:rFonts w:hint="eastAsia" w:ascii="宋体" w:hAnsi="宋体" w:cs="宋体"/>
                <w:sz w:val="21"/>
                <w:szCs w:val="21"/>
              </w:rPr>
            </w:pPr>
            <w:r>
              <w:rPr>
                <w:rFonts w:hint="eastAsia" w:ascii="宋体" w:hAnsi="宋体" w:cs="宋体"/>
                <w:sz w:val="21"/>
                <w:szCs w:val="21"/>
              </w:rPr>
              <w:t>12.电池:AA X 2</w:t>
            </w:r>
          </w:p>
          <w:p>
            <w:pPr>
              <w:adjustRightInd w:val="0"/>
              <w:snapToGrid w:val="0"/>
              <w:jc w:val="left"/>
              <w:rPr>
                <w:rFonts w:hint="eastAsia" w:ascii="宋体" w:hAnsi="宋体" w:cs="宋体"/>
                <w:sz w:val="21"/>
                <w:szCs w:val="21"/>
              </w:rPr>
            </w:pPr>
            <w:r>
              <w:rPr>
                <w:rFonts w:hint="eastAsia" w:ascii="宋体" w:hAnsi="宋体" w:cs="宋体"/>
                <w:sz w:val="21"/>
                <w:szCs w:val="21"/>
              </w:rPr>
              <w:t>13.电流消耗:90mA</w:t>
            </w:r>
          </w:p>
          <w:p>
            <w:pPr>
              <w:adjustRightInd w:val="0"/>
              <w:snapToGrid w:val="0"/>
              <w:jc w:val="left"/>
              <w:rPr>
                <w:rFonts w:hint="eastAsia" w:ascii="宋体" w:hAnsi="宋体" w:cs="宋体"/>
                <w:sz w:val="21"/>
                <w:szCs w:val="21"/>
              </w:rPr>
            </w:pPr>
            <w:r>
              <w:rPr>
                <w:rFonts w:hint="eastAsia" w:ascii="宋体" w:hAnsi="宋体" w:cs="宋体"/>
                <w:sz w:val="21"/>
                <w:szCs w:val="21"/>
              </w:rPr>
              <w:t>14.电池使用:≥10小时；</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10口天线信号放大器</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1.天线信号分配系统配备5路、</w:t>
            </w:r>
          </w:p>
          <w:p>
            <w:pPr>
              <w:adjustRightInd w:val="0"/>
              <w:snapToGrid w:val="0"/>
              <w:jc w:val="left"/>
              <w:rPr>
                <w:rFonts w:hint="eastAsia" w:ascii="宋体" w:hAnsi="宋体" w:cs="宋体"/>
                <w:sz w:val="21"/>
                <w:szCs w:val="21"/>
              </w:rPr>
            </w:pPr>
            <w:r>
              <w:rPr>
                <w:rFonts w:hint="eastAsia" w:ascii="宋体" w:hAnsi="宋体" w:cs="宋体"/>
                <w:sz w:val="21"/>
                <w:szCs w:val="21"/>
              </w:rPr>
              <w:t>2.宽频UHF(470-960MHz )，</w:t>
            </w:r>
          </w:p>
          <w:p>
            <w:pPr>
              <w:adjustRightInd w:val="0"/>
              <w:snapToGrid w:val="0"/>
              <w:jc w:val="left"/>
              <w:rPr>
                <w:rFonts w:hint="eastAsia" w:ascii="宋体" w:hAnsi="宋体" w:cs="宋体"/>
                <w:sz w:val="21"/>
                <w:szCs w:val="21"/>
              </w:rPr>
            </w:pPr>
            <w:r>
              <w:rPr>
                <w:rFonts w:hint="eastAsia" w:ascii="宋体" w:hAnsi="宋体" w:cs="宋体"/>
                <w:sz w:val="21"/>
                <w:szCs w:val="21"/>
              </w:rPr>
              <w:t>3.外置4组12V/1A DC电流(直流电源)</w:t>
            </w:r>
          </w:p>
          <w:p>
            <w:pPr>
              <w:adjustRightInd w:val="0"/>
              <w:snapToGrid w:val="0"/>
              <w:jc w:val="left"/>
              <w:rPr>
                <w:rFonts w:hint="eastAsia" w:ascii="宋体" w:hAnsi="宋体" w:cs="宋体"/>
                <w:sz w:val="21"/>
                <w:szCs w:val="21"/>
              </w:rPr>
            </w:pPr>
            <w:r>
              <w:rPr>
                <w:rFonts w:hint="eastAsia" w:ascii="宋体" w:hAnsi="宋体" w:cs="宋体"/>
                <w:sz w:val="21"/>
                <w:szCs w:val="21"/>
              </w:rPr>
              <w:t>4.频率范围:500-950MHz</w:t>
            </w:r>
          </w:p>
          <w:p>
            <w:pPr>
              <w:adjustRightInd w:val="0"/>
              <w:snapToGrid w:val="0"/>
              <w:jc w:val="left"/>
              <w:rPr>
                <w:rFonts w:hint="eastAsia" w:ascii="宋体" w:hAnsi="宋体" w:cs="宋体"/>
                <w:sz w:val="21"/>
                <w:szCs w:val="21"/>
              </w:rPr>
            </w:pPr>
            <w:r>
              <w:rPr>
                <w:rFonts w:hint="eastAsia" w:ascii="宋体" w:hAnsi="宋体" w:cs="宋体"/>
                <w:sz w:val="21"/>
                <w:szCs w:val="21"/>
              </w:rPr>
              <w:t>5.增益:+6-9dB(Center Band)</w:t>
            </w:r>
          </w:p>
          <w:p>
            <w:pPr>
              <w:adjustRightInd w:val="0"/>
              <w:snapToGrid w:val="0"/>
              <w:jc w:val="left"/>
              <w:rPr>
                <w:rFonts w:hint="eastAsia" w:ascii="宋体" w:hAnsi="宋体" w:cs="宋体"/>
                <w:sz w:val="21"/>
                <w:szCs w:val="21"/>
              </w:rPr>
            </w:pPr>
            <w:r>
              <w:rPr>
                <w:rFonts w:hint="eastAsia" w:ascii="宋体" w:hAnsi="宋体" w:cs="宋体"/>
                <w:sz w:val="21"/>
                <w:szCs w:val="21"/>
              </w:rPr>
              <w:t>6.输出阻抗:15dBmin</w:t>
            </w:r>
          </w:p>
          <w:p>
            <w:pPr>
              <w:adjustRightInd w:val="0"/>
              <w:snapToGrid w:val="0"/>
              <w:jc w:val="left"/>
              <w:rPr>
                <w:rFonts w:hint="eastAsia" w:ascii="宋体" w:hAnsi="宋体" w:cs="宋体"/>
                <w:sz w:val="21"/>
                <w:szCs w:val="21"/>
              </w:rPr>
            </w:pPr>
            <w:r>
              <w:rPr>
                <w:rFonts w:hint="eastAsia" w:ascii="宋体" w:hAnsi="宋体" w:cs="宋体"/>
                <w:sz w:val="21"/>
                <w:szCs w:val="21"/>
              </w:rPr>
              <w:t>7.阻抗:50Ω</w:t>
            </w:r>
          </w:p>
          <w:p>
            <w:pPr>
              <w:adjustRightInd w:val="0"/>
              <w:snapToGrid w:val="0"/>
              <w:jc w:val="left"/>
              <w:rPr>
                <w:rFonts w:hint="eastAsia" w:ascii="宋体" w:hAnsi="宋体" w:cs="宋体"/>
                <w:sz w:val="21"/>
                <w:szCs w:val="21"/>
              </w:rPr>
            </w:pPr>
            <w:r>
              <w:rPr>
                <w:rFonts w:hint="eastAsia" w:ascii="宋体" w:hAnsi="宋体" w:cs="宋体"/>
                <w:sz w:val="21"/>
                <w:szCs w:val="21"/>
              </w:rPr>
              <w:t>8.输入截断点:+22dBm</w:t>
            </w:r>
          </w:p>
          <w:p>
            <w:pPr>
              <w:adjustRightInd w:val="0"/>
              <w:snapToGrid w:val="0"/>
              <w:jc w:val="left"/>
              <w:rPr>
                <w:rFonts w:hint="eastAsia" w:ascii="宋体" w:hAnsi="宋体" w:cs="宋体"/>
                <w:sz w:val="21"/>
                <w:szCs w:val="21"/>
              </w:rPr>
            </w:pPr>
            <w:r>
              <w:rPr>
                <w:rFonts w:hint="eastAsia" w:ascii="宋体" w:hAnsi="宋体" w:cs="宋体"/>
                <w:sz w:val="21"/>
                <w:szCs w:val="21"/>
              </w:rPr>
              <w:t>9.频宽:450MHz</w:t>
            </w:r>
          </w:p>
          <w:p>
            <w:pPr>
              <w:adjustRightInd w:val="0"/>
              <w:snapToGrid w:val="0"/>
              <w:jc w:val="left"/>
              <w:rPr>
                <w:rFonts w:hint="eastAsia" w:ascii="宋体" w:hAnsi="宋体" w:cs="宋体"/>
                <w:sz w:val="21"/>
                <w:szCs w:val="21"/>
              </w:rPr>
            </w:pPr>
            <w:r>
              <w:rPr>
                <w:rFonts w:hint="eastAsia" w:ascii="宋体" w:hAnsi="宋体" w:cs="宋体"/>
                <w:sz w:val="21"/>
                <w:szCs w:val="21"/>
              </w:rPr>
              <w:t>10.插座:BNC female</w:t>
            </w:r>
          </w:p>
          <w:p>
            <w:pPr>
              <w:adjustRightInd w:val="0"/>
              <w:snapToGrid w:val="0"/>
              <w:jc w:val="left"/>
              <w:rPr>
                <w:rFonts w:hint="eastAsia" w:ascii="宋体" w:hAnsi="宋体" w:cs="宋体"/>
                <w:sz w:val="21"/>
                <w:szCs w:val="21"/>
              </w:rPr>
            </w:pPr>
            <w:r>
              <w:rPr>
                <w:rFonts w:hint="eastAsia" w:ascii="宋体" w:hAnsi="宋体" w:cs="宋体"/>
                <w:sz w:val="21"/>
                <w:szCs w:val="21"/>
              </w:rPr>
              <w:t>12.电源供应:100-240V/50/60Hz</w:t>
            </w:r>
          </w:p>
          <w:p>
            <w:pPr>
              <w:adjustRightInd w:val="0"/>
              <w:snapToGrid w:val="0"/>
              <w:jc w:val="left"/>
              <w:rPr>
                <w:rFonts w:hint="eastAsia" w:ascii="宋体" w:hAnsi="宋体" w:cs="宋体"/>
                <w:sz w:val="21"/>
                <w:szCs w:val="21"/>
              </w:rPr>
            </w:pPr>
            <w:r>
              <w:rPr>
                <w:rFonts w:hint="eastAsia" w:ascii="宋体" w:hAnsi="宋体" w:cs="宋体"/>
                <w:sz w:val="21"/>
                <w:szCs w:val="21"/>
              </w:rPr>
              <w:t>13.噪声比:4.0dB Type(Center Band)</w:t>
            </w:r>
          </w:p>
          <w:p>
            <w:pPr>
              <w:adjustRightInd w:val="0"/>
              <w:snapToGrid w:val="0"/>
              <w:jc w:val="left"/>
              <w:rPr>
                <w:rFonts w:hint="eastAsia" w:ascii="宋体" w:hAnsi="宋体" w:cs="宋体"/>
                <w:sz w:val="21"/>
                <w:szCs w:val="21"/>
              </w:rPr>
            </w:pPr>
            <w:r>
              <w:rPr>
                <w:rFonts w:hint="eastAsia" w:ascii="宋体" w:hAnsi="宋体" w:cs="宋体"/>
                <w:sz w:val="21"/>
                <w:szCs w:val="21"/>
              </w:rPr>
              <w:t>14.电源供应:100-240V/50/60Hz</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42U机柜</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1.规格:2000mm（长）×600mm（宽）×800mm（高）</w:t>
            </w:r>
          </w:p>
          <w:p>
            <w:pPr>
              <w:adjustRightInd w:val="0"/>
              <w:snapToGrid w:val="0"/>
              <w:jc w:val="left"/>
              <w:rPr>
                <w:rFonts w:hint="eastAsia" w:ascii="宋体" w:hAnsi="宋体" w:cs="宋体"/>
                <w:sz w:val="21"/>
                <w:szCs w:val="21"/>
              </w:rPr>
            </w:pPr>
            <w:r>
              <w:rPr>
                <w:rFonts w:hint="eastAsia" w:ascii="宋体" w:hAnsi="宋体" w:cs="宋体"/>
                <w:sz w:val="21"/>
                <w:szCs w:val="21"/>
              </w:rPr>
              <w:t>2.冷轧钢板静电喷塑标配</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线阵田字架</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1.材质:钢结构+表面电镀；</w:t>
            </w:r>
          </w:p>
          <w:p>
            <w:pPr>
              <w:adjustRightInd w:val="0"/>
              <w:snapToGrid w:val="0"/>
              <w:jc w:val="left"/>
              <w:rPr>
                <w:rFonts w:hint="eastAsia" w:ascii="宋体" w:hAnsi="宋体" w:cs="宋体"/>
                <w:sz w:val="21"/>
                <w:szCs w:val="21"/>
              </w:rPr>
            </w:pPr>
            <w:r>
              <w:rPr>
                <w:rFonts w:hint="eastAsia" w:ascii="宋体" w:hAnsi="宋体" w:cs="宋体"/>
                <w:sz w:val="21"/>
                <w:szCs w:val="21"/>
              </w:rPr>
              <w:t>2.专业结构:采用共支点结构，连接紧密稳固，并且采用高强度材料。</w:t>
            </w:r>
          </w:p>
          <w:p>
            <w:pPr>
              <w:adjustRightInd w:val="0"/>
              <w:snapToGrid w:val="0"/>
              <w:jc w:val="left"/>
              <w:rPr>
                <w:rFonts w:hint="eastAsia" w:ascii="宋体" w:hAnsi="宋体" w:cs="宋体"/>
                <w:sz w:val="21"/>
                <w:szCs w:val="21"/>
              </w:rPr>
            </w:pPr>
            <w:r>
              <w:rPr>
                <w:rFonts w:hint="eastAsia" w:ascii="宋体" w:hAnsi="宋体" w:cs="宋体"/>
                <w:sz w:val="21"/>
                <w:szCs w:val="21"/>
              </w:rPr>
              <w:t>3.性能描述:采用钢结构型材，表面经过镀锌喷漆处理，安装方便，结构合理稳固。</w:t>
            </w:r>
          </w:p>
          <w:p>
            <w:pPr>
              <w:adjustRightInd w:val="0"/>
              <w:snapToGrid w:val="0"/>
              <w:jc w:val="left"/>
              <w:rPr>
                <w:rFonts w:hint="eastAsia" w:ascii="宋体" w:hAnsi="宋体" w:cs="宋体"/>
                <w:sz w:val="21"/>
                <w:szCs w:val="21"/>
              </w:rPr>
            </w:pPr>
            <w:r>
              <w:rPr>
                <w:rFonts w:hint="eastAsia" w:ascii="宋体" w:hAnsi="宋体" w:cs="宋体"/>
                <w:sz w:val="21"/>
                <w:szCs w:val="21"/>
              </w:rPr>
              <w:t>4.外观:搭建速度快，安全稳定，运输方面，不占位置。</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音箱壁架</w:t>
            </w:r>
          </w:p>
        </w:tc>
        <w:tc>
          <w:tcPr>
            <w:tcW w:w="6163" w:type="dxa"/>
            <w:vAlign w:val="center"/>
          </w:tcPr>
          <w:p>
            <w:pPr>
              <w:numPr>
                <w:ilvl w:val="0"/>
                <w:numId w:val="25"/>
              </w:numPr>
              <w:adjustRightInd w:val="0"/>
              <w:snapToGrid w:val="0"/>
              <w:jc w:val="left"/>
              <w:rPr>
                <w:rFonts w:hint="eastAsia" w:ascii="宋体" w:hAnsi="宋体" w:cs="宋体"/>
                <w:sz w:val="21"/>
                <w:szCs w:val="21"/>
              </w:rPr>
            </w:pPr>
            <w:r>
              <w:rPr>
                <w:rFonts w:hint="eastAsia" w:ascii="宋体" w:hAnsi="宋体" w:cs="宋体"/>
                <w:sz w:val="21"/>
                <w:szCs w:val="21"/>
              </w:rPr>
              <w:t>规格尺寸:可自由伸缩、最短330mm、最长430mm，钢板厚度3MM左右。</w:t>
            </w:r>
          </w:p>
          <w:p>
            <w:pPr>
              <w:numPr>
                <w:ilvl w:val="0"/>
                <w:numId w:val="25"/>
              </w:numPr>
              <w:adjustRightInd w:val="0"/>
              <w:snapToGrid w:val="0"/>
              <w:jc w:val="left"/>
              <w:rPr>
                <w:rFonts w:hint="eastAsia" w:ascii="宋体" w:hAnsi="宋体" w:cs="宋体"/>
                <w:sz w:val="21"/>
                <w:szCs w:val="21"/>
              </w:rPr>
            </w:pPr>
            <w:r>
              <w:rPr>
                <w:rFonts w:hint="eastAsia" w:ascii="宋体" w:hAnsi="宋体" w:cs="宋体"/>
                <w:sz w:val="21"/>
                <w:szCs w:val="21"/>
              </w:rPr>
              <w:t>多角度调节:可左右摇摆，倾斜角度分别为：≥25度</w:t>
            </w:r>
          </w:p>
          <w:p>
            <w:pPr>
              <w:numPr>
                <w:ilvl w:val="0"/>
                <w:numId w:val="25"/>
              </w:numPr>
              <w:adjustRightInd w:val="0"/>
              <w:snapToGrid w:val="0"/>
              <w:jc w:val="left"/>
              <w:rPr>
                <w:rFonts w:hint="eastAsia" w:ascii="宋体" w:hAnsi="宋体" w:cs="宋体"/>
                <w:sz w:val="21"/>
                <w:szCs w:val="21"/>
              </w:rPr>
            </w:pPr>
            <w:r>
              <w:rPr>
                <w:rFonts w:hint="eastAsia" w:ascii="宋体" w:hAnsi="宋体" w:cs="宋体"/>
                <w:sz w:val="21"/>
                <w:szCs w:val="21"/>
              </w:rPr>
              <w:t>承重能力:每对可承受重量&gt;=80公斤。</w:t>
            </w:r>
          </w:p>
          <w:p>
            <w:pPr>
              <w:adjustRightInd w:val="0"/>
              <w:snapToGrid w:val="0"/>
              <w:jc w:val="left"/>
              <w:rPr>
                <w:rFonts w:hint="eastAsia" w:ascii="宋体" w:hAnsi="宋体" w:cs="宋体"/>
                <w:sz w:val="21"/>
                <w:szCs w:val="21"/>
              </w:rPr>
            </w:pPr>
            <w:r>
              <w:rPr>
                <w:rFonts w:hint="eastAsia" w:ascii="宋体" w:hAnsi="宋体" w:cs="宋体"/>
                <w:sz w:val="21"/>
                <w:szCs w:val="21"/>
              </w:rPr>
              <w:t>4.下面带螺丝孔的，安装上拖板。</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音响线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 xml:space="preserve">规格: VVP2*1.0 </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音响接头</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产品材质：高度无氧铜接口，导体：镀锡无氧纯铜</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音频卡侬线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1.焊脚纯铜材料表面24K金处理</w:t>
            </w:r>
          </w:p>
          <w:p>
            <w:pPr>
              <w:adjustRightInd w:val="0"/>
              <w:snapToGrid w:val="0"/>
              <w:jc w:val="left"/>
              <w:rPr>
                <w:rFonts w:hint="eastAsia" w:ascii="宋体" w:hAnsi="宋体" w:cs="宋体"/>
                <w:sz w:val="21"/>
                <w:szCs w:val="21"/>
              </w:rPr>
            </w:pPr>
            <w:r>
              <w:rPr>
                <w:rFonts w:hint="eastAsia" w:ascii="宋体" w:hAnsi="宋体" w:cs="宋体"/>
                <w:sz w:val="21"/>
                <w:szCs w:val="21"/>
              </w:rPr>
              <w:t xml:space="preserve">2.增强电流强度        </w:t>
            </w:r>
          </w:p>
          <w:p>
            <w:pPr>
              <w:adjustRightInd w:val="0"/>
              <w:snapToGrid w:val="0"/>
              <w:jc w:val="left"/>
              <w:rPr>
                <w:rFonts w:hint="eastAsia" w:ascii="宋体" w:hAnsi="宋体" w:cs="宋体"/>
                <w:sz w:val="21"/>
                <w:szCs w:val="21"/>
              </w:rPr>
            </w:pPr>
            <w:r>
              <w:rPr>
                <w:rFonts w:hint="eastAsia" w:ascii="宋体" w:hAnsi="宋体" w:cs="宋体"/>
                <w:sz w:val="21"/>
                <w:szCs w:val="21"/>
              </w:rPr>
              <w:t>3.提高导电性能并减少阻力。音响接头:S-2</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音频卡龙线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1.焊脚纯铜材料表面24K金处理</w:t>
            </w:r>
          </w:p>
          <w:p>
            <w:pPr>
              <w:adjustRightInd w:val="0"/>
              <w:snapToGrid w:val="0"/>
              <w:jc w:val="left"/>
              <w:rPr>
                <w:rFonts w:hint="eastAsia" w:ascii="宋体" w:hAnsi="宋体" w:cs="宋体"/>
                <w:sz w:val="21"/>
                <w:szCs w:val="21"/>
              </w:rPr>
            </w:pPr>
            <w:r>
              <w:rPr>
                <w:rFonts w:hint="eastAsia" w:ascii="宋体" w:hAnsi="宋体" w:cs="宋体"/>
                <w:sz w:val="21"/>
                <w:szCs w:val="21"/>
              </w:rPr>
              <w:t xml:space="preserve">2.增强电流强度        </w:t>
            </w:r>
          </w:p>
          <w:p>
            <w:pPr>
              <w:adjustRightInd w:val="0"/>
              <w:snapToGrid w:val="0"/>
              <w:jc w:val="left"/>
              <w:rPr>
                <w:rFonts w:hint="eastAsia" w:ascii="宋体" w:hAnsi="宋体" w:cs="宋体"/>
                <w:sz w:val="21"/>
                <w:szCs w:val="21"/>
              </w:rPr>
            </w:pPr>
            <w:r>
              <w:rPr>
                <w:rFonts w:hint="eastAsia" w:ascii="宋体" w:hAnsi="宋体" w:cs="宋体"/>
                <w:sz w:val="21"/>
                <w:szCs w:val="21"/>
              </w:rPr>
              <w:t>3.提高导电性能并减少阻力。音响接头:S-2</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视频会议终端</w:t>
            </w:r>
          </w:p>
        </w:tc>
        <w:tc>
          <w:tcPr>
            <w:tcW w:w="6163" w:type="dxa"/>
            <w:vAlign w:val="center"/>
          </w:tcPr>
          <w:p>
            <w:pPr>
              <w:tabs>
                <w:tab w:val="left" w:pos="118"/>
              </w:tabs>
              <w:adjustRightInd w:val="0"/>
              <w:snapToGrid w:val="0"/>
              <w:jc w:val="left"/>
              <w:rPr>
                <w:rFonts w:hint="eastAsia" w:ascii="宋体" w:hAnsi="宋体" w:cs="宋体"/>
                <w:sz w:val="21"/>
                <w:szCs w:val="21"/>
              </w:rPr>
            </w:pPr>
            <w:r>
              <w:rPr>
                <w:rFonts w:hint="eastAsia" w:ascii="宋体" w:hAnsi="宋体" w:cs="宋体"/>
                <w:sz w:val="21"/>
                <w:szCs w:val="21"/>
              </w:rPr>
              <w:t>1.分体式视频会议终端，最高视频分辨率支持至1080p 60fps。含12倍光学变焦摄像机、全向麦克风(含线缆)、遥控器、摄像机控制供电二合一线缆、电源、 3×HDMI线缆、1×五类网线，设备享受厂家3年免费服务。高清视频与内容体验。</w:t>
            </w:r>
          </w:p>
          <w:p>
            <w:pPr>
              <w:tabs>
                <w:tab w:val="left" w:pos="118"/>
              </w:tabs>
              <w:adjustRightInd w:val="0"/>
              <w:snapToGrid w:val="0"/>
              <w:jc w:val="left"/>
              <w:rPr>
                <w:rFonts w:hint="eastAsia" w:ascii="宋体" w:hAnsi="宋体" w:cs="宋体"/>
                <w:sz w:val="21"/>
                <w:szCs w:val="21"/>
              </w:rPr>
            </w:pPr>
            <w:r>
              <w:rPr>
                <w:rFonts w:hint="eastAsia" w:ascii="宋体" w:hAnsi="宋体" w:cs="宋体"/>
                <w:sz w:val="21"/>
                <w:szCs w:val="21"/>
              </w:rPr>
              <w:t>2.1080P60帧主流+1080P60帧双流同时传输</w:t>
            </w:r>
          </w:p>
          <w:p>
            <w:pPr>
              <w:tabs>
                <w:tab w:val="left" w:pos="118"/>
              </w:tabs>
              <w:adjustRightInd w:val="0"/>
              <w:snapToGrid w:val="0"/>
              <w:jc w:val="left"/>
              <w:rPr>
                <w:rFonts w:hint="eastAsia" w:ascii="宋体" w:hAnsi="宋体" w:cs="宋体"/>
                <w:sz w:val="21"/>
                <w:szCs w:val="21"/>
              </w:rPr>
            </w:pPr>
            <w:r>
              <w:rPr>
                <w:rFonts w:hint="eastAsia" w:ascii="宋体" w:hAnsi="宋体" w:cs="宋体"/>
                <w:sz w:val="21"/>
                <w:szCs w:val="21"/>
              </w:rPr>
              <w:t>3.终端采用为嵌入式操作系统，非PC结构;通讯协议符合ITU H.323 以及IETF SIP标准，会议速率为64Kbps-6Mbps之间动态可调;视频要求支持H.264 Hogh Profile协议，支持G.711、G.722、G.722.1、G.722.1C音频编码协议;支持屏蔽固定频率非人声;支持RCA音频输入和输出接口，可以与调音台、功放等音频设备对接；</w:t>
            </w:r>
          </w:p>
          <w:p>
            <w:pPr>
              <w:tabs>
                <w:tab w:val="left" w:pos="118"/>
              </w:tabs>
              <w:adjustRightInd w:val="0"/>
              <w:snapToGrid w:val="0"/>
              <w:jc w:val="left"/>
              <w:rPr>
                <w:rFonts w:hint="eastAsia" w:ascii="宋体" w:hAnsi="宋体" w:cs="宋体"/>
                <w:sz w:val="21"/>
                <w:szCs w:val="21"/>
              </w:rPr>
            </w:pPr>
            <w:r>
              <w:rPr>
                <w:rFonts w:hint="eastAsia" w:ascii="宋体" w:hAnsi="宋体" w:cs="宋体"/>
                <w:sz w:val="21"/>
                <w:szCs w:val="21"/>
              </w:rPr>
              <w:t>支持在首页UI显示会议列表;支持通讯录功能并可以设置常用联系人; 日志反馈支持在终端UI界面直接反馈问题;支持通过终端管理界面查看远程图像，控制摄像头切换预置位;支持通过遥控器进行切换，支持视频和双流均为1080P;视频和双流均为1080P;提供产品国家3C、支持12倍光学变焦，72°视角，支持1920 x1080p 60帧/秒的高清视频输出。摄像机标配RS232控制接口，支持VISCA协议，标配HDMI视频接口；</w:t>
            </w:r>
          </w:p>
          <w:p>
            <w:pPr>
              <w:tabs>
                <w:tab w:val="left" w:pos="118"/>
              </w:tabs>
              <w:adjustRightInd w:val="0"/>
              <w:snapToGrid w:val="0"/>
              <w:jc w:val="left"/>
              <w:rPr>
                <w:rFonts w:hint="eastAsia" w:ascii="宋体" w:hAnsi="宋体" w:cs="宋体"/>
                <w:sz w:val="21"/>
                <w:szCs w:val="21"/>
              </w:rPr>
            </w:pPr>
            <w:r>
              <w:rPr>
                <w:rFonts w:hint="eastAsia" w:ascii="宋体" w:hAnsi="宋体" w:cs="宋体"/>
                <w:sz w:val="21"/>
                <w:szCs w:val="21"/>
              </w:rPr>
              <w:t>4.全向数字麦克风：10米拾音，智能降噪，10米拾音半径，单支麦克风可以覆盖100平米及以上。</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LED屏P1.86</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1.像素点间距：≤1.8mm</w:t>
            </w:r>
          </w:p>
          <w:p>
            <w:pPr>
              <w:adjustRightInd w:val="0"/>
              <w:snapToGrid w:val="0"/>
              <w:jc w:val="left"/>
              <w:rPr>
                <w:rFonts w:hint="eastAsia" w:ascii="宋体" w:hAnsi="宋体" w:cs="宋体"/>
                <w:sz w:val="21"/>
                <w:szCs w:val="21"/>
              </w:rPr>
            </w:pPr>
            <w:r>
              <w:rPr>
                <w:rFonts w:hint="eastAsia" w:ascii="宋体" w:hAnsi="宋体" w:cs="宋体"/>
                <w:sz w:val="21"/>
                <w:szCs w:val="21"/>
              </w:rPr>
              <w:t>2.像素密度：≥288906 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3.单元板分辨率：≥14792 Dots</w:t>
            </w:r>
          </w:p>
          <w:p>
            <w:pPr>
              <w:adjustRightInd w:val="0"/>
              <w:snapToGrid w:val="0"/>
              <w:jc w:val="left"/>
              <w:rPr>
                <w:rFonts w:hint="eastAsia" w:ascii="宋体" w:hAnsi="宋体" w:cs="宋体"/>
                <w:sz w:val="21"/>
                <w:szCs w:val="21"/>
              </w:rPr>
            </w:pPr>
            <w:r>
              <w:rPr>
                <w:rFonts w:hint="eastAsia" w:ascii="宋体" w:hAnsi="宋体" w:cs="宋体"/>
                <w:sz w:val="21"/>
                <w:szCs w:val="21"/>
              </w:rPr>
              <w:t>4.显示效果：4K超清显示、色温均匀性好、亮度均匀性好，对比度高、色域广</w:t>
            </w:r>
          </w:p>
          <w:p>
            <w:pPr>
              <w:adjustRightInd w:val="0"/>
              <w:snapToGrid w:val="0"/>
              <w:jc w:val="left"/>
              <w:rPr>
                <w:rFonts w:hint="eastAsia" w:ascii="宋体" w:hAnsi="宋体" w:cs="宋体"/>
                <w:sz w:val="21"/>
                <w:szCs w:val="21"/>
              </w:rPr>
            </w:pPr>
            <w:r>
              <w:rPr>
                <w:rFonts w:hint="eastAsia" w:ascii="宋体" w:hAnsi="宋体" w:cs="宋体"/>
                <w:sz w:val="21"/>
                <w:szCs w:val="21"/>
              </w:rPr>
              <w:t>5.驱动方式：恒流驱动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6.供电方式：支持电源均流DC4.2V～DC5V，供电支持电源双输出电压DC2.8V/DC3.8V</w:t>
            </w:r>
          </w:p>
          <w:p>
            <w:pPr>
              <w:adjustRightInd w:val="0"/>
              <w:snapToGrid w:val="0"/>
              <w:jc w:val="left"/>
              <w:rPr>
                <w:rFonts w:hint="eastAsia" w:ascii="宋体" w:hAnsi="宋体" w:cs="宋体"/>
                <w:sz w:val="21"/>
                <w:szCs w:val="21"/>
              </w:rPr>
            </w:pPr>
            <w:r>
              <w:rPr>
                <w:rFonts w:hint="eastAsia" w:ascii="宋体" w:hAnsi="宋体" w:cs="宋体"/>
                <w:sz w:val="21"/>
                <w:szCs w:val="21"/>
              </w:rPr>
              <w:t>7.整屏平整度：≤0.04mm</w:t>
            </w:r>
          </w:p>
          <w:p>
            <w:pPr>
              <w:adjustRightInd w:val="0"/>
              <w:snapToGrid w:val="0"/>
              <w:jc w:val="left"/>
              <w:rPr>
                <w:rFonts w:hint="eastAsia" w:ascii="宋体" w:hAnsi="宋体" w:cs="宋体"/>
                <w:sz w:val="21"/>
                <w:szCs w:val="21"/>
              </w:rPr>
            </w:pPr>
            <w:r>
              <w:rPr>
                <w:rFonts w:hint="eastAsia" w:ascii="宋体" w:hAnsi="宋体" w:cs="宋体"/>
                <w:sz w:val="21"/>
                <w:szCs w:val="21"/>
              </w:rPr>
              <w:t>8.模组平整度：≤0.03mm</w:t>
            </w:r>
          </w:p>
          <w:p>
            <w:pPr>
              <w:adjustRightInd w:val="0"/>
              <w:snapToGrid w:val="0"/>
              <w:jc w:val="left"/>
              <w:rPr>
                <w:rFonts w:hint="eastAsia" w:ascii="宋体" w:hAnsi="宋体" w:cs="宋体"/>
                <w:sz w:val="21"/>
                <w:szCs w:val="21"/>
              </w:rPr>
            </w:pPr>
            <w:r>
              <w:rPr>
                <w:rFonts w:hint="eastAsia" w:ascii="宋体" w:hAnsi="宋体" w:cs="宋体"/>
                <w:sz w:val="21"/>
                <w:szCs w:val="21"/>
              </w:rPr>
              <w:t>9.拼接缝：≤0.03mm</w:t>
            </w:r>
          </w:p>
          <w:p>
            <w:pPr>
              <w:adjustRightInd w:val="0"/>
              <w:snapToGrid w:val="0"/>
              <w:jc w:val="left"/>
              <w:rPr>
                <w:rFonts w:hint="eastAsia" w:ascii="宋体" w:hAnsi="宋体" w:cs="宋体"/>
                <w:sz w:val="21"/>
                <w:szCs w:val="21"/>
              </w:rPr>
            </w:pPr>
            <w:r>
              <w:rPr>
                <w:rFonts w:hint="eastAsia" w:ascii="宋体" w:hAnsi="宋体" w:cs="宋体"/>
                <w:sz w:val="21"/>
                <w:szCs w:val="21"/>
              </w:rPr>
              <w:t>10.白平衡亮度：≥750Cd/m²</w:t>
            </w:r>
          </w:p>
          <w:p>
            <w:pPr>
              <w:adjustRightInd w:val="0"/>
              <w:snapToGrid w:val="0"/>
              <w:jc w:val="left"/>
              <w:rPr>
                <w:rFonts w:hint="eastAsia" w:ascii="宋体" w:hAnsi="宋体" w:cs="宋体"/>
                <w:sz w:val="21"/>
                <w:szCs w:val="21"/>
              </w:rPr>
            </w:pPr>
            <w:r>
              <w:rPr>
                <w:rFonts w:hint="eastAsia" w:ascii="宋体" w:hAnsi="宋体" w:cs="宋体"/>
                <w:sz w:val="21"/>
                <w:szCs w:val="21"/>
              </w:rPr>
              <w:t>11.亮度均匀性：≥99%</w:t>
            </w:r>
          </w:p>
          <w:p>
            <w:pPr>
              <w:adjustRightInd w:val="0"/>
              <w:snapToGrid w:val="0"/>
              <w:jc w:val="left"/>
              <w:rPr>
                <w:rFonts w:hint="eastAsia" w:ascii="宋体" w:hAnsi="宋体" w:cs="宋体"/>
                <w:sz w:val="21"/>
                <w:szCs w:val="21"/>
              </w:rPr>
            </w:pPr>
            <w:r>
              <w:rPr>
                <w:rFonts w:hint="eastAsia" w:ascii="宋体" w:hAnsi="宋体" w:cs="宋体"/>
                <w:sz w:val="21"/>
                <w:szCs w:val="21"/>
              </w:rPr>
              <w:t>12.色度均匀性：±0.001Cx、Cy内</w:t>
            </w:r>
          </w:p>
          <w:p>
            <w:pPr>
              <w:adjustRightInd w:val="0"/>
              <w:snapToGrid w:val="0"/>
              <w:jc w:val="left"/>
              <w:rPr>
                <w:rFonts w:hint="eastAsia" w:ascii="宋体" w:hAnsi="宋体" w:cs="宋体"/>
                <w:sz w:val="21"/>
                <w:szCs w:val="21"/>
              </w:rPr>
            </w:pPr>
            <w:r>
              <w:rPr>
                <w:rFonts w:hint="eastAsia" w:ascii="宋体" w:hAnsi="宋体" w:cs="宋体"/>
                <w:sz w:val="21"/>
                <w:szCs w:val="21"/>
              </w:rPr>
              <w:t>13.色温：800-18000K</w:t>
            </w:r>
          </w:p>
          <w:p>
            <w:pPr>
              <w:adjustRightInd w:val="0"/>
              <w:snapToGrid w:val="0"/>
              <w:jc w:val="left"/>
              <w:rPr>
                <w:rFonts w:hint="eastAsia" w:ascii="宋体" w:hAnsi="宋体" w:cs="宋体"/>
                <w:sz w:val="21"/>
                <w:szCs w:val="21"/>
              </w:rPr>
            </w:pPr>
            <w:r>
              <w:rPr>
                <w:rFonts w:hint="eastAsia" w:ascii="宋体" w:hAnsi="宋体" w:cs="宋体"/>
                <w:sz w:val="21"/>
                <w:szCs w:val="21"/>
              </w:rPr>
              <w:t>14.水平视角：≥170°</w:t>
            </w:r>
          </w:p>
          <w:p>
            <w:pPr>
              <w:adjustRightInd w:val="0"/>
              <w:snapToGrid w:val="0"/>
              <w:jc w:val="left"/>
              <w:rPr>
                <w:rFonts w:hint="eastAsia" w:ascii="宋体" w:hAnsi="宋体" w:cs="宋体"/>
                <w:sz w:val="21"/>
                <w:szCs w:val="21"/>
              </w:rPr>
            </w:pPr>
            <w:r>
              <w:rPr>
                <w:rFonts w:hint="eastAsia" w:ascii="宋体" w:hAnsi="宋体" w:cs="宋体"/>
                <w:sz w:val="21"/>
                <w:szCs w:val="21"/>
              </w:rPr>
              <w:t>15.垂直视角：≥170°</w:t>
            </w:r>
          </w:p>
          <w:p>
            <w:pPr>
              <w:adjustRightInd w:val="0"/>
              <w:snapToGrid w:val="0"/>
              <w:jc w:val="left"/>
              <w:rPr>
                <w:rFonts w:hint="eastAsia" w:ascii="宋体" w:hAnsi="宋体" w:cs="宋体"/>
                <w:sz w:val="21"/>
                <w:szCs w:val="21"/>
              </w:rPr>
            </w:pPr>
            <w:r>
              <w:rPr>
                <w:rFonts w:hint="eastAsia" w:ascii="宋体" w:hAnsi="宋体" w:cs="宋体"/>
                <w:sz w:val="21"/>
                <w:szCs w:val="21"/>
              </w:rPr>
              <w:t>16.对比度：≥9000：1</w:t>
            </w:r>
          </w:p>
          <w:p>
            <w:pPr>
              <w:adjustRightInd w:val="0"/>
              <w:snapToGrid w:val="0"/>
              <w:jc w:val="left"/>
              <w:rPr>
                <w:rFonts w:hint="eastAsia" w:ascii="宋体" w:hAnsi="宋体" w:cs="宋体"/>
                <w:sz w:val="21"/>
                <w:szCs w:val="21"/>
              </w:rPr>
            </w:pPr>
            <w:r>
              <w:rPr>
                <w:rFonts w:hint="eastAsia" w:ascii="宋体" w:hAnsi="宋体" w:cs="宋体"/>
                <w:sz w:val="21"/>
                <w:szCs w:val="21"/>
              </w:rPr>
              <w:t>17.刷新率：≥3840Hz</w:t>
            </w:r>
          </w:p>
          <w:p>
            <w:pPr>
              <w:adjustRightInd w:val="0"/>
              <w:snapToGrid w:val="0"/>
              <w:jc w:val="left"/>
              <w:rPr>
                <w:rFonts w:hint="eastAsia" w:ascii="宋体" w:hAnsi="宋体" w:cs="宋体"/>
                <w:sz w:val="21"/>
                <w:szCs w:val="21"/>
              </w:rPr>
            </w:pPr>
            <w:r>
              <w:rPr>
                <w:rFonts w:hint="eastAsia" w:ascii="宋体" w:hAnsi="宋体" w:cs="宋体"/>
                <w:sz w:val="21"/>
                <w:szCs w:val="21"/>
              </w:rPr>
              <w:t>18.像素失控率：&lt;1/100000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19.发光点中心偏距：＜0.8%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20.峰值功耗：≤300W/m²</w:t>
            </w:r>
          </w:p>
          <w:p>
            <w:pPr>
              <w:adjustRightInd w:val="0"/>
              <w:snapToGrid w:val="0"/>
              <w:jc w:val="left"/>
              <w:rPr>
                <w:rFonts w:hint="eastAsia" w:ascii="宋体" w:hAnsi="宋体" w:cs="宋体"/>
                <w:sz w:val="21"/>
                <w:szCs w:val="21"/>
              </w:rPr>
            </w:pPr>
            <w:r>
              <w:rPr>
                <w:rFonts w:hint="eastAsia" w:ascii="宋体" w:hAnsi="宋体" w:cs="宋体"/>
                <w:sz w:val="21"/>
                <w:szCs w:val="21"/>
              </w:rPr>
              <w:t>21.平均功耗：≤120W/m²</w:t>
            </w:r>
          </w:p>
          <w:p>
            <w:pPr>
              <w:adjustRightInd w:val="0"/>
              <w:snapToGrid w:val="0"/>
              <w:jc w:val="left"/>
              <w:rPr>
                <w:rFonts w:hint="eastAsia" w:ascii="宋体" w:hAnsi="宋体" w:cs="宋体"/>
                <w:sz w:val="21"/>
                <w:szCs w:val="21"/>
              </w:rPr>
            </w:pPr>
            <w:r>
              <w:rPr>
                <w:rFonts w:hint="eastAsia" w:ascii="宋体" w:hAnsi="宋体" w:cs="宋体"/>
                <w:sz w:val="21"/>
                <w:szCs w:val="21"/>
              </w:rPr>
              <w:t>22.最大电流：≤5A</w:t>
            </w:r>
          </w:p>
          <w:p>
            <w:pPr>
              <w:adjustRightInd w:val="0"/>
              <w:snapToGrid w:val="0"/>
              <w:jc w:val="left"/>
              <w:rPr>
                <w:rFonts w:hint="eastAsia" w:ascii="宋体" w:hAnsi="宋体" w:cs="宋体"/>
                <w:sz w:val="21"/>
                <w:szCs w:val="21"/>
              </w:rPr>
            </w:pPr>
            <w:r>
              <w:rPr>
                <w:rFonts w:hint="eastAsia" w:ascii="宋体" w:hAnsi="宋体" w:cs="宋体"/>
                <w:sz w:val="21"/>
                <w:szCs w:val="21"/>
              </w:rPr>
              <w:t>23.电流增益：电流增益调节范围：1%～199%，电流增益调节级别≥8位</w:t>
            </w:r>
          </w:p>
          <w:p>
            <w:pPr>
              <w:adjustRightInd w:val="0"/>
              <w:snapToGrid w:val="0"/>
              <w:jc w:val="left"/>
              <w:rPr>
                <w:rFonts w:hint="eastAsia" w:ascii="宋体" w:hAnsi="宋体" w:cs="宋体"/>
                <w:sz w:val="21"/>
                <w:szCs w:val="21"/>
              </w:rPr>
            </w:pPr>
            <w:r>
              <w:rPr>
                <w:rFonts w:hint="eastAsia" w:ascii="宋体" w:hAnsi="宋体" w:cs="宋体"/>
                <w:sz w:val="21"/>
                <w:szCs w:val="21"/>
              </w:rPr>
              <w:t>24.具有列下消隐功能、倍频刷新率提升2/4/8倍、低灰偏色改善</w:t>
            </w:r>
          </w:p>
          <w:p>
            <w:pPr>
              <w:adjustRightInd w:val="0"/>
              <w:snapToGrid w:val="0"/>
              <w:jc w:val="left"/>
              <w:rPr>
                <w:rFonts w:hint="eastAsia" w:ascii="宋体" w:hAnsi="宋体" w:cs="宋体"/>
                <w:sz w:val="21"/>
                <w:szCs w:val="21"/>
              </w:rPr>
            </w:pPr>
            <w:r>
              <w:rPr>
                <w:rFonts w:hint="eastAsia" w:ascii="宋体" w:hAnsi="宋体" w:cs="宋体"/>
                <w:sz w:val="21"/>
                <w:szCs w:val="21"/>
              </w:rPr>
              <w:t>25.★色温为6500K时，100%、75%、50%、25%四档电平白场调节色温误差≤200K</w:t>
            </w:r>
          </w:p>
          <w:p>
            <w:pPr>
              <w:adjustRightInd w:val="0"/>
              <w:snapToGrid w:val="0"/>
              <w:jc w:val="left"/>
              <w:rPr>
                <w:rFonts w:hint="eastAsia" w:ascii="宋体" w:hAnsi="宋体" w:cs="宋体"/>
                <w:sz w:val="21"/>
                <w:szCs w:val="21"/>
              </w:rPr>
            </w:pPr>
            <w:r>
              <w:rPr>
                <w:rFonts w:hint="eastAsia" w:ascii="宋体" w:hAnsi="宋体" w:cs="宋体"/>
                <w:sz w:val="21"/>
                <w:szCs w:val="21"/>
              </w:rPr>
              <w:t>29.★屏幕表面光反射率：照度=10Lux/5600K条件下，显示屏屏幕表面光反射率（单位面积反射亮度）＜3.0cd/m²</w:t>
            </w:r>
          </w:p>
          <w:p>
            <w:pPr>
              <w:adjustRightInd w:val="0"/>
              <w:snapToGrid w:val="0"/>
              <w:jc w:val="left"/>
              <w:rPr>
                <w:rFonts w:hint="eastAsia" w:ascii="宋体" w:hAnsi="宋体" w:cs="宋体"/>
                <w:sz w:val="21"/>
                <w:szCs w:val="21"/>
              </w:rPr>
            </w:pPr>
            <w:r>
              <w:rPr>
                <w:rFonts w:hint="eastAsia" w:ascii="宋体" w:hAnsi="宋体" w:cs="宋体"/>
                <w:sz w:val="21"/>
                <w:szCs w:val="21"/>
              </w:rPr>
              <w:t>30.绝缘电阻：在器具输入插座端或者电源引入端子与外壳裸露金属部件之间的绝缘电阻在正常大气条件下应≥100MΩ，湿热条件下应≥2MΩ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31.抗拉强度：≥230Mpa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32.屈服强度：≥170Mpa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33.★灰度等级：采用16bit技术</w:t>
            </w:r>
          </w:p>
          <w:p>
            <w:pPr>
              <w:adjustRightInd w:val="0"/>
              <w:snapToGrid w:val="0"/>
              <w:jc w:val="left"/>
              <w:rPr>
                <w:rFonts w:hint="eastAsia" w:ascii="宋体" w:hAnsi="宋体" w:cs="宋体"/>
                <w:sz w:val="21"/>
                <w:szCs w:val="21"/>
              </w:rPr>
            </w:pPr>
            <w:r>
              <w:rPr>
                <w:rFonts w:hint="eastAsia" w:ascii="宋体" w:hAnsi="宋体" w:cs="宋体"/>
                <w:sz w:val="21"/>
                <w:szCs w:val="21"/>
              </w:rPr>
              <w:t>34.采用EPWM 灰阶控制技术提升低灰视觉效果，100%亮度时，16bit灰度；70%亮度，16bit灰度；50%亮度，16bit灰度；20%亮度，14bit灰度，显示画面无单列或单行像素失控现象；支持0-100%亮度时，8-16bits灰度自定义设置</w:t>
            </w:r>
          </w:p>
          <w:p>
            <w:pPr>
              <w:adjustRightInd w:val="0"/>
              <w:snapToGrid w:val="0"/>
              <w:jc w:val="left"/>
              <w:rPr>
                <w:rFonts w:hint="eastAsia" w:ascii="宋体" w:hAnsi="宋体" w:cs="宋体"/>
                <w:sz w:val="21"/>
                <w:szCs w:val="21"/>
              </w:rPr>
            </w:pPr>
            <w:r>
              <w:rPr>
                <w:rFonts w:hint="eastAsia" w:ascii="宋体" w:hAnsi="宋体" w:cs="宋体"/>
                <w:sz w:val="21"/>
                <w:szCs w:val="21"/>
              </w:rPr>
              <w:t>35、支持鬼影消除、首行暗亮消除、低灰偏色补偿、低灰均匀性、低灰横条纹消除、慢速开启、十字架消除、去坏点、毛毛虫消除、余辉消除、亮度缓慢变亮功能</w:t>
            </w:r>
          </w:p>
          <w:p>
            <w:pPr>
              <w:adjustRightInd w:val="0"/>
              <w:snapToGrid w:val="0"/>
              <w:jc w:val="left"/>
              <w:rPr>
                <w:rFonts w:hint="eastAsia" w:ascii="宋体" w:hAnsi="宋体" w:cs="宋体"/>
                <w:sz w:val="21"/>
                <w:szCs w:val="21"/>
              </w:rPr>
            </w:pPr>
            <w:r>
              <w:rPr>
                <w:rFonts w:hint="eastAsia" w:ascii="宋体" w:hAnsi="宋体" w:cs="宋体"/>
                <w:sz w:val="21"/>
                <w:szCs w:val="21"/>
              </w:rPr>
              <w:t>36.抗电强度：在器具输入插座端与屏正面之间施加试验电压3kv/50Hz，保持1min，不应出现飞弧和击穿现象</w:t>
            </w:r>
          </w:p>
          <w:p>
            <w:pPr>
              <w:adjustRightInd w:val="0"/>
              <w:snapToGrid w:val="0"/>
              <w:jc w:val="left"/>
              <w:rPr>
                <w:rFonts w:hint="eastAsia" w:ascii="宋体" w:hAnsi="宋体" w:cs="宋体"/>
                <w:sz w:val="21"/>
                <w:szCs w:val="21"/>
              </w:rPr>
            </w:pPr>
            <w:r>
              <w:rPr>
                <w:rFonts w:hint="eastAsia" w:ascii="宋体" w:hAnsi="宋体" w:cs="宋体"/>
                <w:sz w:val="21"/>
                <w:szCs w:val="21"/>
              </w:rPr>
              <w:t>37.LED显示屏图像质量主观评价优、支持4K超清技术、HDR高动态光照渲染技术；</w:t>
            </w:r>
          </w:p>
          <w:p>
            <w:pPr>
              <w:adjustRightInd w:val="0"/>
              <w:snapToGrid w:val="0"/>
              <w:jc w:val="left"/>
              <w:rPr>
                <w:rFonts w:hint="eastAsia" w:ascii="宋体" w:hAnsi="宋体" w:cs="宋体"/>
                <w:sz w:val="21"/>
                <w:szCs w:val="21"/>
              </w:rPr>
            </w:pPr>
            <w:r>
              <w:rPr>
                <w:rFonts w:hint="eastAsia" w:ascii="宋体" w:hAnsi="宋体" w:cs="宋体"/>
                <w:sz w:val="21"/>
                <w:szCs w:val="21"/>
              </w:rPr>
              <w:t>38.具有多点测温系统、通讯检测、电源检测、可实现远程监督控制，对可能发生的潜在故障记录日志，并向操作员发出警报信息；</w:t>
            </w:r>
          </w:p>
          <w:p>
            <w:pPr>
              <w:pStyle w:val="12"/>
              <w:ind w:firstLine="0" w:firstLineChars="0"/>
              <w:rPr>
                <w:rFonts w:hint="eastAsia" w:ascii="宋体" w:hAnsi="宋体" w:cs="宋体"/>
                <w:sz w:val="21"/>
                <w:szCs w:val="21"/>
              </w:rPr>
            </w:pPr>
            <w:r>
              <w:rPr>
                <w:rFonts w:hint="eastAsia" w:ascii="宋体" w:hAnsi="宋体" w:cs="宋体"/>
                <w:sz w:val="21"/>
                <w:szCs w:val="21"/>
              </w:rPr>
              <w:t>39.★高海拔工作试验：5000米海拔环境下，产品可正常工作</w:t>
            </w:r>
          </w:p>
          <w:p>
            <w:pPr>
              <w:pStyle w:val="12"/>
              <w:ind w:firstLine="0" w:firstLineChars="0"/>
              <w:rPr>
                <w:rFonts w:hint="eastAsia" w:ascii="宋体" w:hAnsi="宋体" w:cs="宋体"/>
                <w:sz w:val="21"/>
                <w:szCs w:val="21"/>
              </w:rPr>
            </w:pPr>
            <w:r>
              <w:rPr>
                <w:rFonts w:hint="eastAsia" w:ascii="宋体" w:hAnsi="宋体" w:cs="宋体"/>
                <w:sz w:val="21"/>
                <w:szCs w:val="21"/>
              </w:rPr>
              <w:t>40.★滑石粉密度：2KG/m3网孔径75um使用次数：小于20次，实验时间8H。试验后检查样品无进尘现象。屏幕防尘等级符合IP6X（防尘）</w:t>
            </w:r>
          </w:p>
          <w:p>
            <w:pPr>
              <w:pStyle w:val="12"/>
              <w:ind w:firstLine="0" w:firstLineChars="0"/>
              <w:rPr>
                <w:rFonts w:hint="eastAsia" w:ascii="宋体" w:hAnsi="宋体" w:cs="宋体"/>
                <w:sz w:val="21"/>
                <w:szCs w:val="21"/>
              </w:rPr>
            </w:pPr>
            <w:r>
              <w:rPr>
                <w:rFonts w:hint="eastAsia" w:ascii="宋体" w:hAnsi="宋体" w:cs="宋体"/>
                <w:sz w:val="21"/>
                <w:szCs w:val="21"/>
              </w:rPr>
              <w:t>41.★为不影响屏体周边人员的健康，要求投标人所投LED显示屏在正常工作中，显示屏1m范围内，前后左右4个位置噪音不大于1.4dB；所投LED显示屏观看舒适度需符合：“人眼视觉舒适度(VICO)1级，基本无疲劳感。</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接收卡</w:t>
            </w:r>
          </w:p>
        </w:tc>
        <w:tc>
          <w:tcPr>
            <w:tcW w:w="6163" w:type="dxa"/>
            <w:vAlign w:val="center"/>
          </w:tcPr>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1.支持所有常规芯片、PWM芯片和灯饰芯片；</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2.支持静态屏、1/2~1/3 2扫之间的任意扫描类型；                      3.支持任意抽点，支持数据偏移，可轻松实现各种异型屏、球形屏、创意显示屏；</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4.单卡支持32组RGB信号输出；</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5.支持超大带载面积；</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6.先进设计，优质元器件，全自动高低温老化测试，零故障出厂；</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7.支持DC3.3V~6V超宽工作电压，有效减弱电压波动带来的影响；</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8.支持电源反接保护电路；</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9.支持卡莱特Z系列、S系列、C系列等所有发送设备。</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10.集成HUB75，无需再配转接板，更方便，成本更低；</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11.减少接插连接件，减少故障点，故障率更低；</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12.支持常规芯片实现高刷新、高灰度、高亮度；</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13.全新灰度引擎，低灰度表现更佳；</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14.细节处理更完美，可消除单元板设计引起的某行偏暗、低灰偏红、鬼影等细节问题；</w:t>
            </w:r>
          </w:p>
          <w:p>
            <w:pPr>
              <w:adjustRightInd w:val="0"/>
              <w:snapToGrid w:val="0"/>
              <w:jc w:val="left"/>
              <w:rPr>
                <w:rFonts w:hint="eastAsia" w:ascii="宋体" w:hAnsi="宋体" w:cs="宋体"/>
                <w:sz w:val="21"/>
                <w:szCs w:val="21"/>
              </w:rPr>
            </w:pPr>
            <w:r>
              <w:rPr>
                <w:rFonts w:hint="eastAsia" w:ascii="宋体" w:hAnsi="宋体" w:cs="宋体"/>
                <w:sz w:val="21"/>
                <w:szCs w:val="21"/>
              </w:rPr>
              <w:t>15.支持14bit精度逐点校正；</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主控软件</w:t>
            </w:r>
          </w:p>
        </w:tc>
        <w:tc>
          <w:tcPr>
            <w:tcW w:w="6163" w:type="dxa"/>
            <w:vAlign w:val="center"/>
          </w:tcPr>
          <w:p>
            <w:pPr>
              <w:numPr>
                <w:ilvl w:val="0"/>
                <w:numId w:val="26"/>
              </w:numPr>
              <w:adjustRightInd w:val="0"/>
              <w:snapToGrid w:val="0"/>
              <w:jc w:val="left"/>
              <w:rPr>
                <w:rFonts w:hint="eastAsia" w:ascii="宋体" w:hAnsi="宋体" w:cs="宋体"/>
                <w:sz w:val="21"/>
                <w:szCs w:val="21"/>
              </w:rPr>
            </w:pPr>
            <w:r>
              <w:rPr>
                <w:rFonts w:hint="eastAsia" w:ascii="宋体" w:hAnsi="宋体" w:cs="宋体"/>
                <w:sz w:val="21"/>
                <w:szCs w:val="21"/>
              </w:rPr>
              <w:t>软件功能丰富、性能优越，兼具良好的操作界面，易学易用。支持视频、音频、图像、文字、Flash、Gif 等形式的媒 体文件播放;支持 Microsoft office的Word、Excel、PPT显示; 支持时钟、计时、天气预报显示;支持外部视频信号(TV、AV、S-Video、复合视频)播放;支持多页面多分区节目编辑;软件提供了丰富灵活的视频切换功能、分区特效，以及三维特效动画，让显示屏的显示效果得到完美展现；控制系统软件可检测电脑系统，快速检测电脑运行环境，解决软件运行时异常问题，确保软件的正常运行；</w:t>
            </w:r>
          </w:p>
          <w:p>
            <w:pPr>
              <w:numPr>
                <w:ilvl w:val="0"/>
                <w:numId w:val="26"/>
              </w:numPr>
              <w:adjustRightInd w:val="0"/>
              <w:snapToGrid w:val="0"/>
              <w:jc w:val="left"/>
              <w:rPr>
                <w:rFonts w:hint="eastAsia" w:ascii="宋体" w:hAnsi="宋体" w:cs="宋体"/>
                <w:sz w:val="21"/>
                <w:szCs w:val="21"/>
              </w:rPr>
            </w:pPr>
            <w:r>
              <w:rPr>
                <w:rFonts w:hint="eastAsia" w:ascii="宋体" w:hAnsi="宋体" w:cs="宋体"/>
                <w:sz w:val="21"/>
                <w:szCs w:val="21"/>
              </w:rPr>
              <w:t>控制系统播放软件满足 GB/T25000.51-2016,《系统与软件工程系统与软件质量要求和评价〈SQuaRE〉第51部分:就续可用软件产品〈RUSP〉的质量要求和测试细则》的检测标准；</w:t>
            </w:r>
          </w:p>
          <w:p>
            <w:pPr>
              <w:numPr>
                <w:ilvl w:val="0"/>
                <w:numId w:val="26"/>
              </w:numPr>
              <w:adjustRightInd w:val="0"/>
              <w:snapToGrid w:val="0"/>
              <w:jc w:val="left"/>
              <w:rPr>
                <w:rFonts w:hint="eastAsia" w:ascii="宋体" w:hAnsi="宋体" w:cs="宋体"/>
                <w:sz w:val="21"/>
                <w:szCs w:val="21"/>
              </w:rPr>
            </w:pPr>
            <w:r>
              <w:rPr>
                <w:rFonts w:hint="eastAsia" w:ascii="宋体" w:hAnsi="宋体" w:cs="宋体"/>
                <w:sz w:val="21"/>
                <w:szCs w:val="21"/>
              </w:rPr>
              <w:t>控制系统软件支持多语言，支持中文，英文、法语、西班牙语、日语、韩语、葡萄语、俄语、瑞典语等多种语言；</w:t>
            </w:r>
          </w:p>
          <w:p>
            <w:pPr>
              <w:numPr>
                <w:ilvl w:val="0"/>
                <w:numId w:val="26"/>
              </w:numPr>
              <w:adjustRightInd w:val="0"/>
              <w:snapToGrid w:val="0"/>
              <w:jc w:val="left"/>
              <w:rPr>
                <w:rFonts w:hint="eastAsia" w:ascii="宋体" w:hAnsi="宋体" w:cs="宋体"/>
                <w:sz w:val="21"/>
                <w:szCs w:val="21"/>
              </w:rPr>
            </w:pPr>
            <w:r>
              <w:rPr>
                <w:rFonts w:hint="eastAsia" w:ascii="宋体" w:hAnsi="宋体" w:cs="宋体"/>
                <w:sz w:val="21"/>
                <w:szCs w:val="21"/>
              </w:rPr>
              <w:t>控制系统软件可快速探测出发送卡序号、数量、型号、版本信息、输入视频信号、发送卡程序，发送卡可治之高速USB级联。</w:t>
            </w:r>
          </w:p>
          <w:p>
            <w:pPr>
              <w:pStyle w:val="8"/>
              <w:rPr>
                <w:rFonts w:hint="eastAsia" w:ascii="宋体" w:hAnsi="宋体" w:cs="宋体"/>
                <w:sz w:val="21"/>
                <w:szCs w:val="21"/>
              </w:rPr>
            </w:pPr>
            <w:r>
              <w:rPr>
                <w:rFonts w:hint="eastAsia" w:ascii="宋体" w:hAnsi="宋体" w:cs="宋体"/>
                <w:sz w:val="21"/>
                <w:szCs w:val="21"/>
              </w:rPr>
              <w:t>以提供CNAS的第三方厂家检测报告为准。</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安全模块配电箱</w:t>
            </w:r>
          </w:p>
        </w:tc>
        <w:tc>
          <w:tcPr>
            <w:tcW w:w="6163" w:type="dxa"/>
            <w:vAlign w:val="center"/>
          </w:tcPr>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工作目的:保证显示信息的安装可靠</w:t>
            </w:r>
          </w:p>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工作电压:12VDC/24VDC ± 10%</w:t>
            </w:r>
          </w:p>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电路:内置电压和电流保护</w:t>
            </w:r>
          </w:p>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通电关闭保护、断电开启，嵌入式安装，</w:t>
            </w:r>
          </w:p>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具有电缆对地漏电流实时检测功能和强电侵入告警的漏电自举功能</w:t>
            </w:r>
          </w:p>
          <w:p>
            <w:pPr>
              <w:numPr>
                <w:ilvl w:val="0"/>
                <w:numId w:val="27"/>
              </w:numPr>
              <w:adjustRightInd w:val="0"/>
              <w:snapToGrid w:val="0"/>
              <w:jc w:val="left"/>
              <w:rPr>
                <w:rFonts w:hint="eastAsia" w:ascii="宋体" w:hAnsi="宋体" w:cs="宋体"/>
                <w:sz w:val="21"/>
                <w:szCs w:val="21"/>
              </w:rPr>
            </w:pPr>
            <w:r>
              <w:rPr>
                <w:rFonts w:hint="eastAsia" w:ascii="宋体" w:hAnsi="宋体" w:cs="宋体"/>
                <w:sz w:val="21"/>
                <w:szCs w:val="21"/>
              </w:rPr>
              <w:t>设备具备1路可远程控制的220V电源输出</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视频处理器</w:t>
            </w:r>
          </w:p>
        </w:tc>
        <w:tc>
          <w:tcPr>
            <w:tcW w:w="6163" w:type="dxa"/>
            <w:vAlign w:val="center"/>
          </w:tcPr>
          <w:p>
            <w:pPr>
              <w:numPr>
                <w:ilvl w:val="0"/>
                <w:numId w:val="28"/>
              </w:numPr>
              <w:adjustRightInd w:val="0"/>
              <w:snapToGrid w:val="0"/>
              <w:jc w:val="left"/>
              <w:rPr>
                <w:rFonts w:hint="eastAsia" w:ascii="宋体" w:hAnsi="宋体" w:cs="宋体"/>
                <w:sz w:val="21"/>
                <w:szCs w:val="21"/>
              </w:rPr>
            </w:pPr>
            <w:r>
              <w:rPr>
                <w:rFonts w:hint="eastAsia" w:ascii="宋体" w:hAnsi="宋体" w:cs="宋体"/>
                <w:sz w:val="21"/>
                <w:szCs w:val="21"/>
              </w:rPr>
              <w:t xml:space="preserve">具有1路HDMI和2路DVI；                      </w:t>
            </w:r>
          </w:p>
          <w:p>
            <w:pPr>
              <w:numPr>
                <w:ilvl w:val="0"/>
                <w:numId w:val="28"/>
              </w:numPr>
              <w:adjustRightInd w:val="0"/>
              <w:snapToGrid w:val="0"/>
              <w:jc w:val="left"/>
              <w:rPr>
                <w:rFonts w:hint="eastAsia" w:ascii="宋体" w:hAnsi="宋体" w:cs="宋体"/>
                <w:sz w:val="21"/>
                <w:szCs w:val="21"/>
              </w:rPr>
            </w:pPr>
            <w:r>
              <w:rPr>
                <w:rFonts w:hint="eastAsia" w:ascii="宋体" w:hAnsi="宋体" w:cs="宋体"/>
                <w:sz w:val="21"/>
                <w:szCs w:val="21"/>
              </w:rPr>
              <w:t>最大输入分辨率1920×1200@60Hz，支持分辨率任意设置；</w:t>
            </w:r>
          </w:p>
          <w:p>
            <w:pPr>
              <w:numPr>
                <w:ilvl w:val="0"/>
                <w:numId w:val="28"/>
              </w:numPr>
              <w:adjustRightInd w:val="0"/>
              <w:snapToGrid w:val="0"/>
              <w:jc w:val="left"/>
              <w:rPr>
                <w:rFonts w:hint="eastAsia" w:ascii="宋体" w:hAnsi="宋体" w:cs="宋体"/>
                <w:sz w:val="21"/>
                <w:szCs w:val="21"/>
              </w:rPr>
            </w:pPr>
            <w:r>
              <w:rPr>
                <w:rFonts w:hint="eastAsia" w:ascii="宋体" w:hAnsi="宋体" w:cs="宋体"/>
                <w:sz w:val="21"/>
                <w:szCs w:val="21"/>
              </w:rPr>
              <w:t>最大带载260万像素，最宽可达4096点，或最高可达2560点；</w:t>
            </w:r>
          </w:p>
          <w:p>
            <w:pPr>
              <w:adjustRightInd w:val="0"/>
              <w:snapToGrid w:val="0"/>
              <w:jc w:val="left"/>
              <w:rPr>
                <w:rFonts w:hint="eastAsia" w:ascii="宋体" w:hAnsi="宋体" w:cs="宋体"/>
                <w:sz w:val="21"/>
                <w:szCs w:val="21"/>
              </w:rPr>
            </w:pPr>
            <w:r>
              <w:rPr>
                <w:rFonts w:hint="eastAsia" w:ascii="宋体" w:hAnsi="宋体" w:cs="宋体"/>
                <w:sz w:val="21"/>
                <w:szCs w:val="21"/>
              </w:rPr>
              <w:t>4.支持画面偏移；</w:t>
            </w:r>
          </w:p>
          <w:p>
            <w:pPr>
              <w:adjustRightInd w:val="0"/>
              <w:snapToGrid w:val="0"/>
              <w:jc w:val="left"/>
              <w:rPr>
                <w:rFonts w:hint="eastAsia" w:ascii="宋体" w:hAnsi="宋体" w:cs="宋体"/>
                <w:sz w:val="21"/>
                <w:szCs w:val="21"/>
              </w:rPr>
            </w:pPr>
            <w:r>
              <w:rPr>
                <w:rFonts w:hint="eastAsia" w:ascii="宋体" w:hAnsi="宋体" w:cs="宋体"/>
                <w:sz w:val="21"/>
                <w:szCs w:val="21"/>
              </w:rPr>
              <w:t>5.双USB 2.0高速通讯接口，用于电脑调试和主控间任意级联；</w:t>
            </w:r>
          </w:p>
          <w:p>
            <w:pPr>
              <w:adjustRightInd w:val="0"/>
              <w:snapToGrid w:val="0"/>
              <w:jc w:val="left"/>
              <w:rPr>
                <w:rFonts w:hint="eastAsia" w:ascii="宋体" w:hAnsi="宋体" w:cs="宋体"/>
                <w:sz w:val="21"/>
                <w:szCs w:val="21"/>
              </w:rPr>
            </w:pPr>
            <w:r>
              <w:rPr>
                <w:rFonts w:hint="eastAsia" w:ascii="宋体" w:hAnsi="宋体" w:cs="宋体"/>
                <w:sz w:val="21"/>
                <w:szCs w:val="21"/>
              </w:rPr>
              <w:t>6.支持低亮高灰；</w:t>
            </w:r>
          </w:p>
          <w:p>
            <w:pPr>
              <w:adjustRightInd w:val="0"/>
              <w:snapToGrid w:val="0"/>
              <w:jc w:val="left"/>
              <w:rPr>
                <w:rFonts w:hint="eastAsia" w:ascii="宋体" w:hAnsi="宋体" w:cs="宋体"/>
                <w:sz w:val="21"/>
                <w:szCs w:val="21"/>
              </w:rPr>
            </w:pPr>
            <w:r>
              <w:rPr>
                <w:rFonts w:hint="eastAsia" w:ascii="宋体" w:hAnsi="宋体" w:cs="宋体"/>
                <w:sz w:val="21"/>
                <w:szCs w:val="21"/>
              </w:rPr>
              <w:t>7.支持HDCP1.4；</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电脑</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1.台式机箱i5-12400F-、8GB内存(双内存插槽)</w:t>
            </w:r>
          </w:p>
          <w:p>
            <w:pPr>
              <w:adjustRightInd w:val="0"/>
              <w:snapToGrid w:val="0"/>
              <w:jc w:val="left"/>
              <w:rPr>
                <w:rFonts w:hint="eastAsia" w:ascii="宋体" w:hAnsi="宋体" w:cs="宋体"/>
                <w:sz w:val="21"/>
                <w:szCs w:val="21"/>
              </w:rPr>
            </w:pPr>
            <w:r>
              <w:rPr>
                <w:rFonts w:hint="eastAsia" w:ascii="宋体" w:hAnsi="宋体" w:cs="宋体"/>
                <w:sz w:val="21"/>
                <w:szCs w:val="21"/>
              </w:rPr>
              <w:t>2.1TB HD 7200RPM 3.5" SATA3硬盘、2G独立显卡、集成1000M网卡、防水键盘、USB鼠标、DVDRW、配23.8寸显示器，带低蓝光，质保五年。</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配电系统</w:t>
            </w:r>
          </w:p>
        </w:tc>
        <w:tc>
          <w:tcPr>
            <w:tcW w:w="6163" w:type="dxa"/>
            <w:vAlign w:val="center"/>
          </w:tcPr>
          <w:p>
            <w:pPr>
              <w:numPr>
                <w:ilvl w:val="0"/>
                <w:numId w:val="29"/>
              </w:numPr>
              <w:adjustRightInd w:val="0"/>
              <w:snapToGrid w:val="0"/>
              <w:jc w:val="left"/>
              <w:rPr>
                <w:rFonts w:hint="eastAsia" w:ascii="宋体" w:hAnsi="宋体" w:cs="宋体"/>
                <w:sz w:val="21"/>
                <w:szCs w:val="21"/>
              </w:rPr>
            </w:pPr>
            <w:r>
              <w:rPr>
                <w:rFonts w:hint="eastAsia" w:ascii="宋体" w:hAnsi="宋体" w:cs="宋体"/>
                <w:sz w:val="21"/>
                <w:szCs w:val="21"/>
              </w:rPr>
              <w:t>直通柜，具有过压、过流、短路保护、异常报警功能应配备带分布逐级上电功能，对整屏的电源上电 顺序进行优化，可设定分区上电间隔时间，防止瞬间冲击导致相关设备异常；</w:t>
            </w:r>
          </w:p>
          <w:p>
            <w:pPr>
              <w:numPr>
                <w:ilvl w:val="0"/>
                <w:numId w:val="29"/>
              </w:numPr>
              <w:adjustRightInd w:val="0"/>
              <w:snapToGrid w:val="0"/>
              <w:jc w:val="left"/>
              <w:rPr>
                <w:rFonts w:hint="eastAsia" w:ascii="宋体" w:hAnsi="宋体" w:cs="宋体"/>
                <w:sz w:val="21"/>
                <w:szCs w:val="21"/>
              </w:rPr>
            </w:pPr>
            <w:r>
              <w:rPr>
                <w:rFonts w:hint="eastAsia" w:ascii="宋体" w:hAnsi="宋体" w:cs="宋体"/>
                <w:sz w:val="21"/>
                <w:szCs w:val="21"/>
              </w:rPr>
              <w:t>按钮上电、手动就地控制，可实现远程控制配电设备，开关LED显示屏；</w:t>
            </w:r>
          </w:p>
          <w:p>
            <w:pPr>
              <w:numPr>
                <w:ilvl w:val="0"/>
                <w:numId w:val="29"/>
              </w:numPr>
              <w:adjustRightInd w:val="0"/>
              <w:snapToGrid w:val="0"/>
              <w:jc w:val="left"/>
              <w:rPr>
                <w:rFonts w:hint="eastAsia" w:ascii="宋体" w:hAnsi="宋体" w:cs="宋体"/>
                <w:sz w:val="21"/>
                <w:szCs w:val="21"/>
              </w:rPr>
            </w:pPr>
            <w:r>
              <w:rPr>
                <w:rFonts w:hint="eastAsia" w:ascii="宋体" w:hAnsi="宋体" w:cs="宋体"/>
                <w:sz w:val="21"/>
                <w:szCs w:val="21"/>
              </w:rPr>
              <w:t>装有时控器，实现定时开关机；</w:t>
            </w:r>
          </w:p>
          <w:p>
            <w:pPr>
              <w:adjustRightInd w:val="0"/>
              <w:snapToGrid w:val="0"/>
              <w:jc w:val="left"/>
              <w:rPr>
                <w:rFonts w:hint="eastAsia" w:ascii="宋体" w:hAnsi="宋体" w:cs="宋体"/>
                <w:sz w:val="21"/>
                <w:szCs w:val="21"/>
              </w:rPr>
            </w:pPr>
            <w:r>
              <w:rPr>
                <w:rFonts w:hint="eastAsia" w:ascii="宋体" w:hAnsi="宋体" w:cs="宋体"/>
                <w:sz w:val="21"/>
                <w:szCs w:val="21"/>
              </w:rPr>
              <w:t>4.含多功能卡智能上电系统。</w:t>
            </w:r>
          </w:p>
          <w:p>
            <w:pPr>
              <w:adjustRightInd w:val="0"/>
              <w:snapToGrid w:val="0"/>
              <w:jc w:val="left"/>
              <w:rPr>
                <w:rFonts w:hint="eastAsia" w:ascii="宋体" w:hAnsi="宋体" w:cs="宋体"/>
                <w:sz w:val="21"/>
                <w:szCs w:val="21"/>
              </w:rPr>
            </w:pPr>
            <w:r>
              <w:rPr>
                <w:rFonts w:hint="eastAsia" w:ascii="宋体" w:hAnsi="宋体" w:cs="宋体"/>
                <w:sz w:val="21"/>
                <w:szCs w:val="21"/>
              </w:rPr>
              <w:t>5.配电柜额定工作电压:380V,额定绝缘660V,频率50HZ</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电缆线</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型号:三项五线，红\绿 \蓝\黄\双色，优质BV2线。线径要求：国标铜线。</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镜面不锈钢饰面</w:t>
            </w:r>
          </w:p>
        </w:tc>
        <w:tc>
          <w:tcPr>
            <w:tcW w:w="6163" w:type="dxa"/>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1.类型:钢结构带不锈刚包边</w:t>
            </w:r>
          </w:p>
          <w:p>
            <w:pPr>
              <w:adjustRightInd w:val="0"/>
              <w:snapToGrid w:val="0"/>
              <w:jc w:val="left"/>
              <w:rPr>
                <w:rFonts w:hint="eastAsia" w:ascii="宋体" w:hAnsi="宋体" w:cs="宋体"/>
                <w:sz w:val="21"/>
                <w:szCs w:val="21"/>
              </w:rPr>
            </w:pPr>
            <w:r>
              <w:rPr>
                <w:rFonts w:hint="eastAsia" w:ascii="宋体" w:hAnsi="宋体" w:cs="宋体"/>
                <w:sz w:val="21"/>
                <w:szCs w:val="21"/>
              </w:rPr>
              <w:t>2.确保整体美观</w:t>
            </w:r>
          </w:p>
          <w:p>
            <w:pPr>
              <w:adjustRightInd w:val="0"/>
              <w:snapToGrid w:val="0"/>
              <w:jc w:val="left"/>
              <w:rPr>
                <w:rFonts w:hint="eastAsia" w:ascii="宋体" w:hAnsi="宋体" w:cs="宋体"/>
                <w:sz w:val="21"/>
                <w:szCs w:val="21"/>
              </w:rPr>
            </w:pPr>
            <w:r>
              <w:rPr>
                <w:rFonts w:hint="eastAsia" w:ascii="宋体" w:hAnsi="宋体" w:cs="宋体"/>
                <w:sz w:val="21"/>
                <w:szCs w:val="21"/>
              </w:rPr>
              <w:t>3.需核准现场钢结构焊接等辅助材料</w:t>
            </w:r>
          </w:p>
          <w:p>
            <w:pPr>
              <w:widowControl/>
              <w:adjustRightInd w:val="0"/>
              <w:snapToGrid w:val="0"/>
              <w:jc w:val="left"/>
              <w:rPr>
                <w:rFonts w:hint="eastAsia" w:ascii="宋体" w:hAnsi="宋体" w:cs="宋体"/>
                <w:sz w:val="21"/>
                <w:szCs w:val="21"/>
              </w:rPr>
            </w:pPr>
            <w:r>
              <w:rPr>
                <w:rFonts w:hint="eastAsia" w:ascii="宋体" w:hAnsi="宋体" w:cs="宋体"/>
                <w:sz w:val="21"/>
                <w:szCs w:val="21"/>
              </w:rPr>
              <w:t>4.显示屏框架必须考虑重力荷载、温度、美观等，</w:t>
            </w:r>
          </w:p>
          <w:p>
            <w:pPr>
              <w:widowControl/>
              <w:adjustRightInd w:val="0"/>
              <w:snapToGrid w:val="0"/>
              <w:jc w:val="left"/>
              <w:rPr>
                <w:rFonts w:hint="eastAsia" w:ascii="宋体" w:hAnsi="宋体" w:cs="宋体"/>
                <w:sz w:val="21"/>
                <w:szCs w:val="21"/>
              </w:rPr>
            </w:pPr>
            <w:r>
              <w:rPr>
                <w:rFonts w:hint="eastAsia" w:ascii="宋体" w:hAnsi="宋体" w:cs="宋体"/>
                <w:sz w:val="21"/>
                <w:szCs w:val="21"/>
              </w:rPr>
              <w:t>5.外装饰采用不锈钢包边。含包边尺寸:长4.3米，高2.06米（边框7公分）</w:t>
            </w:r>
          </w:p>
        </w:tc>
        <w:tc>
          <w:tcPr>
            <w:tcW w:w="970" w:type="dxa"/>
            <w:gridSpan w:val="4"/>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9435" w:type="dxa"/>
            <w:gridSpan w:val="8"/>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监控系统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监控摄像设备</w:t>
            </w:r>
          </w:p>
        </w:tc>
        <w:tc>
          <w:tcPr>
            <w:tcW w:w="6520" w:type="dxa"/>
            <w:gridSpan w:val="3"/>
            <w:vAlign w:val="center"/>
          </w:tcPr>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靶面尺寸检查：靶面尺寸1/2.8英寸</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像素&gt;=200万；</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最大分辨率：1920×1080；</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镜头类型：定焦；</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视频压缩标准：H.265;H.264;H.264B;MJPEG（仅辅码流支持）；</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默认分辨率下默认码流：4096kbps（1080P）；</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低照等级：星光；</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供电方式：DC12V</w:t>
            </w:r>
          </w:p>
          <w:p>
            <w:pPr>
              <w:numPr>
                <w:ilvl w:val="0"/>
                <w:numId w:val="30"/>
              </w:numPr>
              <w:adjustRightInd w:val="0"/>
              <w:snapToGrid w:val="0"/>
              <w:jc w:val="left"/>
              <w:rPr>
                <w:rFonts w:hint="eastAsia" w:ascii="宋体" w:hAnsi="宋体" w:cs="宋体"/>
                <w:sz w:val="21"/>
                <w:szCs w:val="21"/>
              </w:rPr>
            </w:pPr>
            <w:r>
              <w:rPr>
                <w:rFonts w:hint="eastAsia" w:ascii="宋体" w:hAnsi="宋体" w:cs="宋体"/>
                <w:sz w:val="21"/>
                <w:szCs w:val="21"/>
              </w:rPr>
              <w:t>支持绊线入侵，区域入侵,内置高效红外补光灯，最大红外监控距离50米</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网络球型摄像机</w:t>
            </w:r>
          </w:p>
        </w:tc>
        <w:tc>
          <w:tcPr>
            <w:tcW w:w="6520" w:type="dxa"/>
            <w:gridSpan w:val="3"/>
            <w:vAlign w:val="center"/>
          </w:tcPr>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传感器：1/2.8英寸CMOS；</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像素&gt;=200万；</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最大分辨率：1920×1080；</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最低照度：彩色：0.005lux/F1.6黑白：0.0005lux/F1.60Lux（红外灯开启）；</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补光类型：红外；</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防抖功能：电子防抖；</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透雾功能：电子透雾；</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球机尺寸：6寸；</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接口类型：RJ45接口;供电支持绊线入侵，支持区域入侵，支持穿越围栏，支持徘徊检测，支持物品遗留，支持物品搬移，支持快速移动，支持停车检测，支持人员聚集，支持人车分类报警</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支持20倍光学变倍，16倍数字变倍</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支持H.265编码，实现超低码流传输</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内置150米红外灯补光，采用倍率与红外灯功率匹配算法，补光效果更均匀</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水平方向360°连续旋转，垂直方向-20°～90°自动翻转180°后连续监视,无监视盲区</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支持300个预置位，8条巡航路径，5条巡迹路径</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支持IP66防护等级，6000V防雷、防浪涌和防突波保护</w:t>
            </w:r>
          </w:p>
          <w:p>
            <w:pPr>
              <w:numPr>
                <w:ilvl w:val="0"/>
                <w:numId w:val="31"/>
              </w:numPr>
              <w:adjustRightInd w:val="0"/>
              <w:snapToGrid w:val="0"/>
              <w:ind w:firstLine="0"/>
              <w:jc w:val="left"/>
              <w:rPr>
                <w:rFonts w:hint="eastAsia" w:ascii="宋体" w:hAnsi="宋体" w:cs="宋体"/>
                <w:sz w:val="21"/>
                <w:szCs w:val="21"/>
              </w:rPr>
            </w:pPr>
            <w:r>
              <w:rPr>
                <w:rFonts w:hint="eastAsia" w:ascii="宋体" w:hAnsi="宋体" w:cs="宋体"/>
                <w:sz w:val="21"/>
                <w:szCs w:val="21"/>
              </w:rPr>
              <w:t>支持AC24V±10%宽电压输入</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监控立杆</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标准立杆带横臂。</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根</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球机支架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1.产品材质 铝合金</w:t>
            </w:r>
          </w:p>
          <w:p>
            <w:pPr>
              <w:pStyle w:val="8"/>
              <w:rPr>
                <w:rFonts w:hint="eastAsia" w:ascii="宋体" w:hAnsi="宋体" w:cs="宋体"/>
                <w:sz w:val="21"/>
                <w:szCs w:val="21"/>
              </w:rPr>
            </w:pPr>
            <w:r>
              <w:rPr>
                <w:rFonts w:hint="eastAsia" w:ascii="宋体" w:hAnsi="宋体" w:cs="宋体"/>
                <w:sz w:val="21"/>
                <w:szCs w:val="21"/>
              </w:rPr>
              <w:t>2.适配机型 6寸球、8寸球(具体型号以选型为准)</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电源适配器</w:t>
            </w:r>
          </w:p>
        </w:tc>
        <w:tc>
          <w:tcPr>
            <w:tcW w:w="6520" w:type="dxa"/>
            <w:gridSpan w:val="3"/>
            <w:vAlign w:val="center"/>
          </w:tcPr>
          <w:p>
            <w:pPr>
              <w:numPr>
                <w:ilvl w:val="0"/>
                <w:numId w:val="32"/>
              </w:numPr>
              <w:adjustRightInd w:val="0"/>
              <w:snapToGrid w:val="0"/>
              <w:jc w:val="left"/>
              <w:rPr>
                <w:rFonts w:hint="eastAsia" w:ascii="宋体" w:hAnsi="宋体" w:cs="宋体"/>
                <w:sz w:val="21"/>
                <w:szCs w:val="21"/>
              </w:rPr>
            </w:pPr>
            <w:r>
              <w:rPr>
                <w:rFonts w:hint="eastAsia" w:ascii="宋体" w:hAnsi="宋体" w:cs="宋体"/>
                <w:sz w:val="21"/>
                <w:szCs w:val="21"/>
              </w:rPr>
              <w:t>防水设计</w:t>
            </w:r>
          </w:p>
          <w:p>
            <w:pPr>
              <w:numPr>
                <w:ilvl w:val="0"/>
                <w:numId w:val="32"/>
              </w:numPr>
              <w:adjustRightInd w:val="0"/>
              <w:snapToGrid w:val="0"/>
              <w:jc w:val="left"/>
              <w:rPr>
                <w:rFonts w:hint="eastAsia" w:ascii="宋体" w:hAnsi="宋体" w:cs="宋体"/>
                <w:sz w:val="21"/>
                <w:szCs w:val="21"/>
              </w:rPr>
            </w:pPr>
            <w:r>
              <w:rPr>
                <w:rFonts w:hint="eastAsia" w:ascii="宋体" w:hAnsi="宋体" w:cs="宋体"/>
                <w:sz w:val="21"/>
                <w:szCs w:val="21"/>
              </w:rPr>
              <w:t>安装方便，采用壁挂式安装</w:t>
            </w:r>
          </w:p>
          <w:p>
            <w:pPr>
              <w:numPr>
                <w:ilvl w:val="0"/>
                <w:numId w:val="32"/>
              </w:numPr>
              <w:adjustRightInd w:val="0"/>
              <w:snapToGrid w:val="0"/>
              <w:jc w:val="left"/>
              <w:rPr>
                <w:rFonts w:hint="eastAsia" w:ascii="宋体" w:hAnsi="宋体" w:cs="宋体"/>
                <w:sz w:val="21"/>
                <w:szCs w:val="21"/>
              </w:rPr>
            </w:pPr>
            <w:r>
              <w:rPr>
                <w:rFonts w:hint="eastAsia" w:ascii="宋体" w:hAnsi="宋体" w:cs="宋体"/>
                <w:sz w:val="21"/>
                <w:szCs w:val="21"/>
              </w:rPr>
              <w:t>内置有藏线功能，如可放置网络接头</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楼层备箱</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规格:1000*600*600mm，材质：铁质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监控箱</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规格:200*300*400mm，材质：铁质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摄像机设备箱</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规格:200*300*400mm，材质：铁质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POE交换机</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千兆无管理 POE交换机，包转发率26.78Mpps，交换容量36Gbps ，24个千兆电口，2个千兆光口， MAC：8K，19英寸1U标准机架，金属外壳，静音款， POE+输出功率191W</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光纤收发器</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支持IEEE80 2.3, IEEE802.3u,10BaseT,100BaseTX, 100Base-FX标准标准；</w:t>
            </w:r>
          </w:p>
          <w:p>
            <w:pPr>
              <w:adjustRightInd w:val="0"/>
              <w:snapToGrid w:val="0"/>
              <w:jc w:val="left"/>
              <w:rPr>
                <w:rFonts w:hint="eastAsia" w:ascii="宋体" w:hAnsi="宋体" w:cs="宋体"/>
                <w:sz w:val="21"/>
                <w:szCs w:val="21"/>
              </w:rPr>
            </w:pPr>
            <w:r>
              <w:rPr>
                <w:rFonts w:hint="eastAsia" w:ascii="宋体" w:hAnsi="宋体" w:cs="宋体"/>
                <w:sz w:val="21"/>
                <w:szCs w:val="21"/>
              </w:rPr>
              <w:t>支持128Kb 数据缓冲；支持IEEE 802.3X全双工和半双工背压流量控制； 支持MDI/MDI-X平行线和交叉线自动切换；支持最大传输数据包长1600 bytes；</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光纤收发器机架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机架最多可同时插入14个光纤收发模块，每个光收发模块可以不同类型。</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汇聚交换机</w:t>
            </w:r>
          </w:p>
        </w:tc>
        <w:tc>
          <w:tcPr>
            <w:tcW w:w="6520" w:type="dxa"/>
            <w:gridSpan w:val="3"/>
            <w:vAlign w:val="center"/>
          </w:tcPr>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交换容量≥2.5Tbps；包转发率≥700Mpps</w:t>
            </w:r>
          </w:p>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支持24个万兆SFP+端口，2个40G QSFP+端口，支持业务扩展插槽数≥1，支持可插拔的双电源</w:t>
            </w:r>
          </w:p>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支持MAC地址≥288K、支持ARP表项≥44K、支持IPv4 FIB≥128K、支持IPv6 FIB≥64K</w:t>
            </w:r>
          </w:p>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支持静态路由、RIP V1 /2、OSPF、IS-IS、BGP、RIPng、OSPFv3、BGP4+、ISISv6</w:t>
            </w:r>
          </w:p>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支持纵向虚拟化，作为父节点管理纵向子节点、作为纵向子节点零配置即插即用</w:t>
            </w:r>
          </w:p>
          <w:p>
            <w:pPr>
              <w:numPr>
                <w:ilvl w:val="0"/>
                <w:numId w:val="33"/>
              </w:numPr>
              <w:adjustRightInd w:val="0"/>
              <w:snapToGrid w:val="0"/>
              <w:jc w:val="left"/>
              <w:rPr>
                <w:rFonts w:hint="eastAsia" w:ascii="宋体" w:hAnsi="宋体" w:cs="宋体"/>
                <w:sz w:val="21"/>
                <w:szCs w:val="21"/>
              </w:rPr>
            </w:pPr>
            <w:r>
              <w:rPr>
                <w:rFonts w:hint="eastAsia" w:ascii="宋体" w:hAnsi="宋体" w:cs="宋体"/>
                <w:sz w:val="21"/>
                <w:szCs w:val="21"/>
              </w:rPr>
              <w:t>支持VLAN功能，支持VLAN二层网关、三层网关、支持BGP EVPN，实现自动建立隧道</w:t>
            </w:r>
          </w:p>
          <w:p>
            <w:pPr>
              <w:adjustRightInd w:val="0"/>
              <w:snapToGrid w:val="0"/>
              <w:jc w:val="left"/>
              <w:rPr>
                <w:rFonts w:hint="eastAsia" w:ascii="宋体" w:hAnsi="宋体" w:cs="宋体"/>
                <w:sz w:val="21"/>
                <w:szCs w:val="21"/>
              </w:rPr>
            </w:pPr>
            <w:r>
              <w:rPr>
                <w:rFonts w:hint="eastAsia" w:ascii="宋体" w:hAnsi="宋体" w:cs="宋体"/>
                <w:sz w:val="21"/>
                <w:szCs w:val="21"/>
              </w:rPr>
              <w:t>7.支持4K个VLAN，支持Guest VLAN、Voice VLAN，支持基于MAC/协议/IP 子网/策略/端口的VLAN</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光纤收发器</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1.支持IEEE802.3,IEEE802.3u,10BaseT,100BaseTX, 100  Base-FX标准标准；</w:t>
            </w:r>
          </w:p>
          <w:p>
            <w:pPr>
              <w:adjustRightInd w:val="0"/>
              <w:snapToGrid w:val="0"/>
              <w:jc w:val="left"/>
              <w:rPr>
                <w:rFonts w:hint="eastAsia" w:ascii="宋体" w:hAnsi="宋体" w:cs="宋体"/>
                <w:sz w:val="21"/>
                <w:szCs w:val="21"/>
              </w:rPr>
            </w:pPr>
            <w:r>
              <w:rPr>
                <w:rFonts w:hint="eastAsia" w:ascii="宋体" w:hAnsi="宋体" w:cs="宋体"/>
                <w:sz w:val="21"/>
                <w:szCs w:val="21"/>
              </w:rPr>
              <w:t>2.支持128Kb数据缓冲；支持IEEE 802.3X全双工和半双工背压流量控制；</w:t>
            </w:r>
          </w:p>
          <w:p>
            <w:pPr>
              <w:adjustRightInd w:val="0"/>
              <w:snapToGrid w:val="0"/>
              <w:jc w:val="left"/>
              <w:rPr>
                <w:rFonts w:hint="eastAsia" w:ascii="宋体" w:hAnsi="宋体" w:cs="宋体"/>
                <w:sz w:val="21"/>
                <w:szCs w:val="21"/>
              </w:rPr>
            </w:pPr>
            <w:r>
              <w:rPr>
                <w:rFonts w:hint="eastAsia" w:ascii="宋体" w:hAnsi="宋体" w:cs="宋体"/>
                <w:sz w:val="21"/>
                <w:szCs w:val="21"/>
              </w:rPr>
              <w:t>3.支持MDI/MDI-X平行线和交叉线自动切换；支持最大传输数据包长1600 bytes；</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55寸液晶拼接单元</w:t>
            </w:r>
          </w:p>
        </w:tc>
        <w:tc>
          <w:tcPr>
            <w:tcW w:w="6520" w:type="dxa"/>
            <w:gridSpan w:val="3"/>
            <w:vAlign w:val="center"/>
          </w:tcPr>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1.产品尺寸:55寸</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2.双边拼缝:3.5mm</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3.分辨率:1920*1080</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4.亮度:500cd/m2</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5.输入接口:VGA(D-Sub)*1、CVBS(BNC)*2、DVI-D* 6.HDMI*1、RS232(RJ45)*1、USB(升级和多媒体 )*1</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6.输出接口:CVBS(BNC)*2 、RS232(RJ45)*1应具有数字降噪、自动显示格式匹配、手动白平衡调节等功能</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设备支架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55寸3.5mm底座式前维护支架</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落地机柜</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42U标准网络落地机柜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大屏辅材</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大屏拼接器，高清线，PDU等</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高清视频矩阵</w:t>
            </w:r>
          </w:p>
        </w:tc>
        <w:tc>
          <w:tcPr>
            <w:tcW w:w="6520" w:type="dxa"/>
            <w:gridSpan w:val="3"/>
            <w:vAlign w:val="center"/>
          </w:tcPr>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1.采用H.264或MPEG4视频 压缩标准，支持双码流技术，可变码流，支持复合流和视频流编码，且音频和视频同步；           支持80路高清视频编码能力(满配)或320路标清视 频编码能力(满配)；</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2.支持4K点对点输出显示 ；</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3.支持300W/500W/800W/1 200W解码；</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4.满配最大支持80路3840 *2160@30fps/320路1080p @30fps及以下标清视频解 码能力；</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5.支持解码H.265，满配最大支持320路H.265的1080P解码输出；</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6.支持解码SVAC和非标码流；</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7.支持1/4/6/8/9/16/25/36画面分割显示；支持自由分割；               8.支持鱼眼矫正；</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9.支持60个显示屏的任意拼接；</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10.支持液晶屏/DLP屏/小间距LED屏显示；</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11.支持开窗和漫游功能，单屏支持16个窗口；</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12.单屏和融合窗口都支持1/4/6/8/9/16/25/36分割；支持自由分割；</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13.支持电视墙布局；</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14.支持高清底图显示；</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15.支持高清全景拼接；</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16.支持80路1080P网络视 频接入、存储及转发；</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17.支持网络级联；</w:t>
            </w:r>
          </w:p>
          <w:p>
            <w:pPr>
              <w:tabs>
                <w:tab w:val="left" w:pos="120"/>
              </w:tabs>
              <w:adjustRightInd w:val="0"/>
              <w:snapToGrid w:val="0"/>
              <w:jc w:val="left"/>
              <w:rPr>
                <w:rFonts w:hint="eastAsia" w:ascii="宋体" w:hAnsi="宋体" w:cs="宋体"/>
                <w:sz w:val="21"/>
                <w:szCs w:val="21"/>
              </w:rPr>
            </w:pPr>
            <w:r>
              <w:rPr>
                <w:rFonts w:hint="eastAsia" w:ascii="宋体" w:hAnsi="宋体" w:cs="宋体"/>
                <w:sz w:val="21"/>
                <w:szCs w:val="21"/>
              </w:rPr>
              <w:t>18.支持TCP/IP协议，支持RTP/RTSP/RTCP/TCP/UDP/DHCP等网络协议；</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控制台(盘)、 操作台、应急台</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2.规格:3联操作台，主体采用优质冷轧钢板，厚度1.2-1.5MM</w:t>
            </w:r>
          </w:p>
          <w:p>
            <w:pPr>
              <w:adjustRightInd w:val="0"/>
              <w:snapToGrid w:val="0"/>
              <w:jc w:val="left"/>
              <w:rPr>
                <w:rFonts w:hint="eastAsia" w:ascii="宋体" w:hAnsi="宋体" w:cs="宋体"/>
                <w:sz w:val="21"/>
                <w:szCs w:val="21"/>
              </w:rPr>
            </w:pPr>
            <w:r>
              <w:rPr>
                <w:rFonts w:hint="eastAsia" w:ascii="宋体" w:hAnsi="宋体" w:cs="宋体"/>
                <w:sz w:val="21"/>
                <w:szCs w:val="21"/>
              </w:rPr>
              <w:t>3.类型:台面为防火板面</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工控服务器</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规格:E5双核，内存32G，512SSD+1TBHDD，27寸IPS显示器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六类网线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六类网线  国标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光缆</w:t>
            </w:r>
          </w:p>
        </w:tc>
        <w:tc>
          <w:tcPr>
            <w:tcW w:w="6520" w:type="dxa"/>
            <w:gridSpan w:val="3"/>
            <w:vAlign w:val="center"/>
          </w:tcPr>
          <w:p>
            <w:pPr>
              <w:numPr>
                <w:ilvl w:val="0"/>
                <w:numId w:val="34"/>
              </w:numPr>
              <w:adjustRightInd w:val="0"/>
              <w:snapToGrid w:val="0"/>
              <w:jc w:val="left"/>
              <w:rPr>
                <w:rFonts w:hint="eastAsia" w:ascii="宋体" w:hAnsi="宋体" w:cs="宋体"/>
                <w:sz w:val="21"/>
                <w:szCs w:val="21"/>
              </w:rPr>
            </w:pPr>
            <w:r>
              <w:rPr>
                <w:rFonts w:hint="eastAsia" w:ascii="宋体" w:hAnsi="宋体" w:cs="宋体"/>
                <w:sz w:val="21"/>
                <w:szCs w:val="21"/>
              </w:rPr>
              <w:t>名称:48芯室外铠装直埋光缆</w:t>
            </w:r>
          </w:p>
          <w:p>
            <w:pPr>
              <w:adjustRightInd w:val="0"/>
              <w:snapToGrid w:val="0"/>
              <w:jc w:val="left"/>
              <w:rPr>
                <w:rFonts w:hint="eastAsia" w:ascii="宋体" w:hAnsi="宋体" w:cs="宋体"/>
                <w:sz w:val="21"/>
                <w:szCs w:val="21"/>
              </w:rPr>
            </w:pPr>
            <w:r>
              <w:rPr>
                <w:rFonts w:hint="eastAsia" w:ascii="宋体" w:hAnsi="宋体" w:cs="宋体"/>
                <w:sz w:val="21"/>
                <w:szCs w:val="21"/>
              </w:rPr>
              <w:t>2.规格:GYTA53-48B1电信级</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光缆</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1.名称:24芯室外铠装直埋光缆</w:t>
            </w:r>
          </w:p>
          <w:p>
            <w:pPr>
              <w:adjustRightInd w:val="0"/>
              <w:snapToGrid w:val="0"/>
              <w:jc w:val="left"/>
              <w:rPr>
                <w:rFonts w:hint="eastAsia" w:ascii="宋体" w:hAnsi="宋体" w:cs="宋体"/>
                <w:sz w:val="21"/>
                <w:szCs w:val="21"/>
              </w:rPr>
            </w:pPr>
            <w:r>
              <w:rPr>
                <w:rFonts w:hint="eastAsia" w:ascii="宋体" w:hAnsi="宋体" w:cs="宋体"/>
                <w:sz w:val="21"/>
                <w:szCs w:val="21"/>
              </w:rPr>
              <w:t>2.规格:GYTA53-48B1电信级</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室外铠装电源线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KVV3*4.0mm2国标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 w:hRule="atLeast"/>
        </w:trPr>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电缆</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RVV2*2.5mm2国标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电缆</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RVV3*1.5 mm2国标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LC跳线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类别:5米电信级</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条</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光纤跳线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类别:3米电信级</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条</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光纤配线架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规格:电信级，1U，48 芯</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非屏蔽1U理线架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规格:线缆管理架(24槽带盖)</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p>
          <w:p>
            <w:pPr>
              <w:adjustRightInd w:val="0"/>
              <w:snapToGrid w:val="0"/>
              <w:jc w:val="center"/>
              <w:rPr>
                <w:rFonts w:hint="eastAsia" w:ascii="宋体" w:hAnsi="宋体" w:cs="宋体"/>
                <w:sz w:val="21"/>
                <w:szCs w:val="21"/>
              </w:rPr>
            </w:pPr>
            <w:r>
              <w:rPr>
                <w:rFonts w:hint="eastAsia" w:ascii="宋体" w:hAnsi="宋体" w:cs="宋体"/>
                <w:sz w:val="21"/>
                <w:szCs w:val="21"/>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六类水晶头</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类型:非屏蔽</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盒</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PE地埋管</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规格:管径32</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通信管沟</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1.挖沟深度:管网开沟深2米宽1.8米，水泥地面切割，沟底操平，下面垫层 20cm，上面垫层20cm，0.6沙子</w:t>
            </w:r>
          </w:p>
          <w:p>
            <w:pPr>
              <w:adjustRightInd w:val="0"/>
              <w:snapToGrid w:val="0"/>
              <w:jc w:val="left"/>
              <w:rPr>
                <w:rFonts w:hint="eastAsia" w:ascii="宋体" w:hAnsi="宋体" w:cs="宋体"/>
                <w:sz w:val="21"/>
                <w:szCs w:val="21"/>
              </w:rPr>
            </w:pPr>
            <w:r>
              <w:rPr>
                <w:rFonts w:hint="eastAsia" w:ascii="宋体" w:hAnsi="宋体" w:cs="宋体"/>
                <w:sz w:val="21"/>
                <w:szCs w:val="21"/>
              </w:rPr>
              <w:t>2.回填要求:夯实</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镀锌钢管</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规格:国标150</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室外方形电缆检查井</w:t>
            </w:r>
          </w:p>
        </w:tc>
        <w:tc>
          <w:tcPr>
            <w:tcW w:w="6520" w:type="dxa"/>
            <w:gridSpan w:val="3"/>
            <w:vAlign w:val="center"/>
          </w:tcPr>
          <w:p>
            <w:pPr>
              <w:numPr>
                <w:ilvl w:val="0"/>
                <w:numId w:val="35"/>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井截面、深度:内径长度3m,宽度1.5m,深度2m</w:t>
            </w:r>
          </w:p>
          <w:p>
            <w:pPr>
              <w:adjustRightInd w:val="0"/>
              <w:snapToGrid w:val="0"/>
              <w:jc w:val="left"/>
              <w:rPr>
                <w:rFonts w:hint="eastAsia" w:ascii="宋体" w:hAnsi="宋体" w:cs="宋体"/>
                <w:sz w:val="21"/>
                <w:szCs w:val="21"/>
              </w:rPr>
            </w:pPr>
            <w:r>
              <w:rPr>
                <w:rFonts w:hint="eastAsia" w:ascii="宋体" w:hAnsi="宋体" w:cs="宋体"/>
                <w:sz w:val="21"/>
                <w:szCs w:val="21"/>
              </w:rPr>
              <w:t>2.砖品种、规格、强度等级:标准砖</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座</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外方形电缆检 查井</w:t>
            </w:r>
          </w:p>
        </w:tc>
        <w:tc>
          <w:tcPr>
            <w:tcW w:w="6520" w:type="dxa"/>
            <w:gridSpan w:val="3"/>
            <w:vAlign w:val="center"/>
          </w:tcPr>
          <w:p>
            <w:pPr>
              <w:numPr>
                <w:ilvl w:val="0"/>
                <w:numId w:val="36"/>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井截面、深度:内径长度3m,宽度1.5m,深度2m</w:t>
            </w:r>
          </w:p>
          <w:p>
            <w:pPr>
              <w:adjustRightInd w:val="0"/>
              <w:snapToGrid w:val="0"/>
              <w:jc w:val="left"/>
              <w:rPr>
                <w:rFonts w:hint="eastAsia" w:ascii="宋体" w:hAnsi="宋体" w:cs="宋体"/>
                <w:sz w:val="21"/>
                <w:szCs w:val="21"/>
              </w:rPr>
            </w:pPr>
            <w:r>
              <w:rPr>
                <w:rFonts w:hint="eastAsia" w:ascii="宋体" w:hAnsi="宋体" w:cs="宋体"/>
                <w:sz w:val="21"/>
                <w:szCs w:val="21"/>
              </w:rPr>
              <w:t>3.砖品种、规格、强度等级:标准砖</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座</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PE梅花管</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材质与规格:PE七孔梅花管</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静电地板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支架高度、材料种类:600*600*35PVC防静电地板</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光缆熔接</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类别:热熔</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芯</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远程监控软件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类型:监控管理软件</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管理存储二合一，单台设备接入支持1000个IP/3000个通道；</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支持B/S、C/S客户端访问平台；</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支持多个客户端同时访问平台；</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支持单网卡同时接入700Mbps，存储700Mbps，转发700Mbps；支持分布式部署，双机备份，N+M备份；</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支持云存储，支持直存、转存模式；</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支持手机APP查看前端摄像机实时图像及录像，电子地图、告警处理、人员识别等功能；</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支持设备树的弹出、漫游、拉伸及回归；</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支持设备树的设备节点显示(须勾选使能)，在离线数通道展示相应 设备节点下；</w:t>
            </w:r>
          </w:p>
          <w:p>
            <w:pPr>
              <w:numPr>
                <w:ilvl w:val="0"/>
                <w:numId w:val="37"/>
              </w:numPr>
              <w:adjustRightInd w:val="0"/>
              <w:snapToGrid w:val="0"/>
              <w:jc w:val="left"/>
              <w:rPr>
                <w:rFonts w:hint="eastAsia" w:ascii="宋体" w:hAnsi="宋体" w:cs="宋体"/>
                <w:sz w:val="21"/>
                <w:szCs w:val="21"/>
              </w:rPr>
            </w:pPr>
            <w:r>
              <w:rPr>
                <w:rFonts w:hint="eastAsia" w:ascii="宋体" w:hAnsi="宋体" w:cs="宋体"/>
                <w:sz w:val="21"/>
                <w:szCs w:val="21"/>
              </w:rPr>
              <w:t>支持以组织、收藏形式布局设备资源；</w:t>
            </w:r>
          </w:p>
          <w:p>
            <w:pPr>
              <w:adjustRightInd w:val="0"/>
              <w:snapToGrid w:val="0"/>
              <w:jc w:val="left"/>
              <w:rPr>
                <w:rFonts w:hint="eastAsia" w:ascii="宋体" w:hAnsi="宋体" w:cs="宋体"/>
                <w:sz w:val="21"/>
                <w:szCs w:val="21"/>
              </w:rPr>
            </w:pPr>
            <w:r>
              <w:rPr>
                <w:rFonts w:hint="eastAsia" w:ascii="宋体" w:hAnsi="宋体" w:cs="宋体"/>
                <w:sz w:val="21"/>
                <w:szCs w:val="21"/>
              </w:rPr>
              <w:t>10.支持流媒体视频流的转发、回放及下载；</w:t>
            </w:r>
          </w:p>
          <w:p>
            <w:pPr>
              <w:tabs>
                <w:tab w:val="left" w:pos="420"/>
              </w:tabs>
              <w:adjustRightInd w:val="0"/>
              <w:snapToGrid w:val="0"/>
              <w:jc w:val="left"/>
              <w:rPr>
                <w:rFonts w:hint="eastAsia" w:ascii="宋体" w:hAnsi="宋体" w:cs="宋体"/>
                <w:sz w:val="21"/>
                <w:szCs w:val="21"/>
              </w:rPr>
            </w:pPr>
            <w:r>
              <w:rPr>
                <w:rFonts w:hint="eastAsia" w:ascii="宋体" w:hAnsi="宋体" w:cs="宋体"/>
                <w:sz w:val="21"/>
                <w:szCs w:val="21"/>
              </w:rPr>
              <w:t>11.支持获取RTSP、RTMP协议实时码流(VLC网络串流)；</w:t>
            </w:r>
          </w:p>
          <w:p>
            <w:pPr>
              <w:adjustRightInd w:val="0"/>
              <w:snapToGrid w:val="0"/>
              <w:jc w:val="left"/>
              <w:rPr>
                <w:rFonts w:hint="eastAsia" w:ascii="宋体" w:hAnsi="宋体" w:cs="宋体"/>
                <w:sz w:val="21"/>
                <w:szCs w:val="21"/>
              </w:rPr>
            </w:pPr>
            <w:r>
              <w:rPr>
                <w:rFonts w:hint="eastAsia" w:ascii="宋体" w:hAnsi="宋体" w:cs="宋体"/>
                <w:sz w:val="21"/>
                <w:szCs w:val="21"/>
              </w:rPr>
              <w:t>12.支持1/4/6/8/9/13/16/20/25/36/64多分屏画面显示；                 13.支持九档屏显比例:满屏、1：1、4：3、3：4、5：4、4：5、9：16及64：9；</w:t>
            </w:r>
          </w:p>
          <w:p>
            <w:pPr>
              <w:adjustRightInd w:val="0"/>
              <w:snapToGrid w:val="0"/>
              <w:jc w:val="left"/>
              <w:rPr>
                <w:rFonts w:hint="eastAsia" w:ascii="宋体" w:hAnsi="宋体" w:cs="宋体"/>
                <w:sz w:val="21"/>
                <w:szCs w:val="21"/>
              </w:rPr>
            </w:pPr>
            <w:r>
              <w:rPr>
                <w:rFonts w:hint="eastAsia" w:ascii="宋体" w:hAnsi="宋体" w:cs="宋体"/>
                <w:sz w:val="21"/>
                <w:szCs w:val="21"/>
              </w:rPr>
              <w:t>14.支持去雾、去噪、去偏色及夜视增强灵敏度的视频增强；</w:t>
            </w:r>
          </w:p>
          <w:p>
            <w:pPr>
              <w:adjustRightInd w:val="0"/>
              <w:snapToGrid w:val="0"/>
              <w:jc w:val="left"/>
              <w:rPr>
                <w:rFonts w:hint="eastAsia" w:ascii="宋体" w:hAnsi="宋体" w:cs="宋体"/>
                <w:sz w:val="21"/>
                <w:szCs w:val="21"/>
              </w:rPr>
            </w:pPr>
            <w:r>
              <w:rPr>
                <w:rFonts w:hint="eastAsia" w:ascii="宋体" w:hAnsi="宋体" w:cs="宋体"/>
                <w:sz w:val="21"/>
                <w:szCs w:val="21"/>
              </w:rPr>
              <w:t>15.支持平台与前端设备的语音对讲；</w:t>
            </w:r>
          </w:p>
          <w:p>
            <w:pPr>
              <w:adjustRightInd w:val="0"/>
              <w:snapToGrid w:val="0"/>
              <w:jc w:val="left"/>
              <w:rPr>
                <w:rFonts w:hint="eastAsia" w:ascii="宋体" w:hAnsi="宋体" w:cs="宋体"/>
                <w:sz w:val="21"/>
                <w:szCs w:val="21"/>
              </w:rPr>
            </w:pPr>
            <w:r>
              <w:rPr>
                <w:rFonts w:hint="eastAsia" w:ascii="宋体" w:hAnsi="宋体" w:cs="宋体"/>
                <w:sz w:val="21"/>
                <w:szCs w:val="21"/>
              </w:rPr>
              <w:t>16.支持平台对前端设备的语音广播；</w:t>
            </w:r>
          </w:p>
          <w:p>
            <w:pPr>
              <w:adjustRightInd w:val="0"/>
              <w:snapToGrid w:val="0"/>
              <w:jc w:val="left"/>
              <w:rPr>
                <w:rFonts w:hint="eastAsia" w:ascii="宋体" w:hAnsi="宋体" w:cs="宋体"/>
                <w:sz w:val="21"/>
                <w:szCs w:val="21"/>
              </w:rPr>
            </w:pPr>
            <w:r>
              <w:rPr>
                <w:rFonts w:hint="eastAsia" w:ascii="宋体" w:hAnsi="宋体" w:cs="宋体"/>
                <w:sz w:val="21"/>
                <w:szCs w:val="21"/>
              </w:rPr>
              <w:t>17.支持卡口过车信息接收及记录；</w:t>
            </w:r>
          </w:p>
          <w:p>
            <w:pPr>
              <w:adjustRightInd w:val="0"/>
              <w:snapToGrid w:val="0"/>
              <w:jc w:val="left"/>
              <w:rPr>
                <w:rFonts w:hint="eastAsia" w:ascii="宋体" w:hAnsi="宋体" w:cs="宋体"/>
                <w:sz w:val="21"/>
                <w:szCs w:val="21"/>
              </w:rPr>
            </w:pPr>
            <w:r>
              <w:rPr>
                <w:rFonts w:hint="eastAsia" w:ascii="宋体" w:hAnsi="宋体" w:cs="宋体"/>
                <w:sz w:val="21"/>
                <w:szCs w:val="21"/>
              </w:rPr>
              <w:t>18.支持车辆信息列表、大图、统计显示及其导出；</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系统软件</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1.类型:智能巡查系统</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2.巡检人员随身携带，用于巡检，一般根据巡检人员的数量以及班次确定使用量。射频感应，感应距离5CM左右。坚固耐用，一体胶胆，密封防水，防震；超低功耗设计，智能5秒自检功能，带电池更换记录，时间出错记录等。</w:t>
            </w:r>
          </w:p>
          <w:p>
            <w:pPr>
              <w:adjustRightInd w:val="0"/>
              <w:snapToGrid w:val="0"/>
              <w:jc w:val="left"/>
              <w:rPr>
                <w:rFonts w:hint="eastAsia" w:ascii="宋体" w:hAnsi="宋体" w:cs="宋体"/>
                <w:sz w:val="21"/>
                <w:szCs w:val="21"/>
              </w:rPr>
            </w:pPr>
            <w:r>
              <w:rPr>
                <w:rFonts w:hint="eastAsia" w:ascii="宋体" w:hAnsi="宋体" w:cs="宋体"/>
                <w:sz w:val="21"/>
                <w:szCs w:val="21"/>
              </w:rPr>
              <w:t>3.采用RFID感应读卡技术，读取成功时，有声光提示，数据存储满时有提示功能</w:t>
            </w:r>
          </w:p>
          <w:p>
            <w:pPr>
              <w:adjustRightInd w:val="0"/>
              <w:snapToGrid w:val="0"/>
              <w:jc w:val="left"/>
              <w:rPr>
                <w:rFonts w:hint="eastAsia" w:ascii="宋体" w:hAnsi="宋体" w:cs="宋体"/>
                <w:sz w:val="21"/>
                <w:szCs w:val="21"/>
              </w:rPr>
            </w:pPr>
            <w:r>
              <w:rPr>
                <w:rFonts w:hint="eastAsia" w:ascii="宋体" w:hAnsi="宋体" w:cs="宋体"/>
                <w:sz w:val="21"/>
                <w:szCs w:val="21"/>
              </w:rPr>
              <w:t>4.金属外壳，防水、防振和防低温设计</w:t>
            </w:r>
          </w:p>
          <w:p>
            <w:pPr>
              <w:adjustRightInd w:val="0"/>
              <w:snapToGrid w:val="0"/>
              <w:jc w:val="left"/>
              <w:rPr>
                <w:rFonts w:hint="eastAsia" w:ascii="宋体" w:hAnsi="宋体" w:cs="宋体"/>
                <w:sz w:val="21"/>
                <w:szCs w:val="21"/>
              </w:rPr>
            </w:pPr>
            <w:r>
              <w:rPr>
                <w:rFonts w:hint="eastAsia" w:ascii="宋体" w:hAnsi="宋体" w:cs="宋体"/>
                <w:sz w:val="21"/>
                <w:szCs w:val="21"/>
              </w:rPr>
              <w:t>5.LED强光手电功能，满足夜间使用需求</w:t>
            </w:r>
          </w:p>
          <w:p>
            <w:pPr>
              <w:adjustRightInd w:val="0"/>
              <w:snapToGrid w:val="0"/>
              <w:jc w:val="left"/>
              <w:rPr>
                <w:rFonts w:hint="eastAsia" w:ascii="宋体" w:hAnsi="宋体" w:cs="宋体"/>
                <w:sz w:val="21"/>
                <w:szCs w:val="21"/>
              </w:rPr>
            </w:pPr>
            <w:r>
              <w:rPr>
                <w:rFonts w:hint="eastAsia" w:ascii="宋体" w:hAnsi="宋体" w:cs="宋体"/>
                <w:sz w:val="21"/>
                <w:szCs w:val="21"/>
              </w:rPr>
              <w:t>6.读卡频率:125k，读卡距离：3-5cm，读卡响应时间：≤0.3s</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7.采用USB通讯方式，直接与电脑数据交换，速率高，稳定可靠</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8.57600BPS的标准下快速、稳定的数据传输，也具有给巡检器校时等功能</w:t>
            </w:r>
          </w:p>
          <w:p>
            <w:pPr>
              <w:tabs>
                <w:tab w:val="left" w:pos="312"/>
              </w:tabs>
              <w:adjustRightInd w:val="0"/>
              <w:snapToGrid w:val="0"/>
              <w:jc w:val="left"/>
              <w:rPr>
                <w:rFonts w:hint="eastAsia" w:ascii="宋体" w:hAnsi="宋体" w:cs="宋体"/>
                <w:sz w:val="21"/>
                <w:szCs w:val="21"/>
              </w:rPr>
            </w:pPr>
            <w:r>
              <w:rPr>
                <w:rFonts w:hint="eastAsia" w:ascii="宋体" w:hAnsi="宋体" w:cs="宋体"/>
                <w:sz w:val="21"/>
                <w:szCs w:val="21"/>
              </w:rPr>
              <w:t>9.安全可靠，掉电后数据保10年不丢失</w:t>
            </w:r>
          </w:p>
          <w:p>
            <w:pPr>
              <w:adjustRightInd w:val="0"/>
              <w:snapToGrid w:val="0"/>
              <w:jc w:val="left"/>
              <w:rPr>
                <w:rFonts w:hint="eastAsia" w:ascii="宋体" w:hAnsi="宋体" w:cs="宋体"/>
                <w:sz w:val="21"/>
                <w:szCs w:val="21"/>
              </w:rPr>
            </w:pPr>
            <w:r>
              <w:rPr>
                <w:rFonts w:hint="eastAsia" w:ascii="宋体" w:hAnsi="宋体" w:cs="宋体"/>
                <w:sz w:val="21"/>
                <w:szCs w:val="21"/>
              </w:rPr>
              <w:t>10.超低功耗，低电流量，电池寿命1年以上(正常读卡每天300次),可充电；</w:t>
            </w:r>
          </w:p>
          <w:p>
            <w:pPr>
              <w:adjustRightInd w:val="0"/>
              <w:snapToGrid w:val="0"/>
              <w:jc w:val="left"/>
              <w:rPr>
                <w:rFonts w:hint="eastAsia" w:ascii="宋体" w:hAnsi="宋体" w:cs="宋体"/>
                <w:sz w:val="21"/>
                <w:szCs w:val="21"/>
              </w:rPr>
            </w:pPr>
            <w:r>
              <w:rPr>
                <w:rFonts w:hint="eastAsia" w:ascii="宋体" w:hAnsi="宋体" w:cs="宋体"/>
                <w:sz w:val="21"/>
                <w:szCs w:val="21"/>
              </w:rPr>
              <w:t>11.防护等级:IP55</w:t>
            </w:r>
          </w:p>
          <w:p>
            <w:pPr>
              <w:adjustRightInd w:val="0"/>
              <w:snapToGrid w:val="0"/>
              <w:jc w:val="left"/>
              <w:rPr>
                <w:rFonts w:hint="eastAsia" w:ascii="宋体" w:hAnsi="宋体" w:cs="宋体"/>
                <w:sz w:val="21"/>
                <w:szCs w:val="21"/>
              </w:rPr>
            </w:pPr>
            <w:r>
              <w:rPr>
                <w:rFonts w:hint="eastAsia" w:ascii="宋体" w:hAnsi="宋体" w:cs="宋体"/>
                <w:sz w:val="21"/>
                <w:szCs w:val="21"/>
              </w:rPr>
              <w:t>12.工作温度范围:-40℃-70℃,工作湿度范围：30% -95%</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核心交换机</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1.交换容量≥38.4/16 8Tbps，包转发率≥7200/36000Mpps ；</w:t>
            </w:r>
          </w:p>
          <w:p>
            <w:pPr>
              <w:adjustRightInd w:val="0"/>
              <w:snapToGrid w:val="0"/>
              <w:jc w:val="left"/>
              <w:rPr>
                <w:rFonts w:hint="eastAsia" w:ascii="宋体" w:hAnsi="宋体" w:cs="宋体"/>
                <w:sz w:val="21"/>
                <w:szCs w:val="21"/>
              </w:rPr>
            </w:pPr>
            <w:r>
              <w:rPr>
                <w:rFonts w:hint="eastAsia" w:ascii="宋体" w:hAnsi="宋体" w:cs="宋体"/>
                <w:sz w:val="21"/>
                <w:szCs w:val="21"/>
              </w:rPr>
              <w:t>2.主控引擎≥2；整机业务板槽位数≥3；</w:t>
            </w:r>
          </w:p>
          <w:p>
            <w:pPr>
              <w:adjustRightInd w:val="0"/>
              <w:snapToGrid w:val="0"/>
              <w:jc w:val="left"/>
              <w:rPr>
                <w:rFonts w:hint="eastAsia" w:ascii="宋体" w:hAnsi="宋体" w:cs="宋体"/>
                <w:sz w:val="21"/>
                <w:szCs w:val="21"/>
              </w:rPr>
            </w:pPr>
            <w:r>
              <w:rPr>
                <w:rFonts w:hint="eastAsia" w:ascii="宋体" w:hAnsi="宋体" w:cs="宋体"/>
                <w:sz w:val="21"/>
                <w:szCs w:val="21"/>
              </w:rPr>
              <w:t>3.支持静态路由RIP、RIPng、OSPF、OSPFv3、 BGP、BGP4+、ISIS、ISISv6；支持路由协议多实例；</w:t>
            </w:r>
          </w:p>
          <w:p>
            <w:pPr>
              <w:adjustRightInd w:val="0"/>
              <w:snapToGrid w:val="0"/>
              <w:jc w:val="left"/>
              <w:rPr>
                <w:rFonts w:hint="eastAsia" w:ascii="宋体" w:hAnsi="宋体" w:cs="宋体"/>
                <w:sz w:val="21"/>
                <w:szCs w:val="21"/>
              </w:rPr>
            </w:pPr>
            <w:r>
              <w:rPr>
                <w:rFonts w:hint="eastAsia" w:ascii="宋体" w:hAnsi="宋体" w:cs="宋体"/>
                <w:sz w:val="21"/>
                <w:szCs w:val="21"/>
              </w:rPr>
              <w:t>4.支持独立的硬件监控模块,控制平面和监控平面物理槽位分离，支持1+ 1备份，能集中监控板卡、风扇、电源、环境，调节能耗 ；</w:t>
            </w:r>
          </w:p>
          <w:p>
            <w:pPr>
              <w:adjustRightInd w:val="0"/>
              <w:snapToGrid w:val="0"/>
              <w:jc w:val="left"/>
              <w:rPr>
                <w:rFonts w:hint="eastAsia" w:ascii="宋体" w:hAnsi="宋体" w:cs="宋体"/>
                <w:sz w:val="21"/>
                <w:szCs w:val="21"/>
              </w:rPr>
            </w:pPr>
            <w:r>
              <w:rPr>
                <w:rFonts w:hint="eastAsia" w:ascii="宋体" w:hAnsi="宋体" w:cs="宋体"/>
                <w:sz w:val="21"/>
                <w:szCs w:val="21"/>
              </w:rPr>
              <w:t>5.支持MPLSL3VPN、MPLSL2VPN(VPLS，VLL)、MPLS-TE、MPLS QoS；</w:t>
            </w:r>
          </w:p>
          <w:p>
            <w:pPr>
              <w:adjustRightInd w:val="0"/>
              <w:snapToGrid w:val="0"/>
              <w:jc w:val="left"/>
              <w:rPr>
                <w:rFonts w:hint="eastAsia" w:ascii="宋体" w:hAnsi="宋体" w:cs="宋体"/>
                <w:sz w:val="21"/>
                <w:szCs w:val="21"/>
              </w:rPr>
            </w:pPr>
            <w:r>
              <w:rPr>
                <w:rFonts w:hint="eastAsia" w:ascii="宋体" w:hAnsi="宋体" w:cs="宋体"/>
                <w:sz w:val="21"/>
                <w:szCs w:val="21"/>
              </w:rPr>
              <w:t>6.支持真实业务流的实 时检测技术，秒级快速故障定位；</w:t>
            </w:r>
          </w:p>
          <w:p>
            <w:pPr>
              <w:adjustRightInd w:val="0"/>
              <w:snapToGrid w:val="0"/>
              <w:jc w:val="left"/>
              <w:rPr>
                <w:rFonts w:hint="eastAsia" w:ascii="宋体" w:hAnsi="宋体" w:cs="宋体"/>
                <w:sz w:val="21"/>
                <w:szCs w:val="21"/>
              </w:rPr>
            </w:pPr>
            <w:r>
              <w:rPr>
                <w:rFonts w:hint="eastAsia" w:ascii="宋体" w:hAnsi="宋体" w:cs="宋体"/>
                <w:sz w:val="21"/>
                <w:szCs w:val="21"/>
              </w:rPr>
              <w:t>7.支持IPv6过渡技术，IPv4/IPv6双栈，支持IPv 6 DHCP SERVER, IPv6   DHCP Relay, DHCP Snooping；</w:t>
            </w:r>
          </w:p>
          <w:p>
            <w:pPr>
              <w:adjustRightInd w:val="0"/>
              <w:snapToGrid w:val="0"/>
              <w:jc w:val="left"/>
              <w:rPr>
                <w:rFonts w:hint="eastAsia" w:ascii="宋体" w:hAnsi="宋体" w:cs="宋体"/>
                <w:sz w:val="21"/>
                <w:szCs w:val="21"/>
              </w:rPr>
            </w:pPr>
            <w:r>
              <w:rPr>
                <w:rFonts w:hint="eastAsia" w:ascii="宋体" w:hAnsi="宋体" w:cs="宋体"/>
                <w:sz w:val="21"/>
                <w:szCs w:val="21"/>
              </w:rPr>
              <w:t>8.支持硬件BFD/OAM，3.3ms稳定均匀发包检测，提高设备的可靠性；</w:t>
            </w:r>
          </w:p>
          <w:p>
            <w:pPr>
              <w:adjustRightInd w:val="0"/>
              <w:snapToGrid w:val="0"/>
              <w:jc w:val="left"/>
              <w:rPr>
                <w:rFonts w:hint="eastAsia" w:ascii="宋体" w:hAnsi="宋体" w:cs="宋体"/>
                <w:sz w:val="21"/>
                <w:szCs w:val="21"/>
              </w:rPr>
            </w:pPr>
            <w:r>
              <w:rPr>
                <w:rFonts w:hint="eastAsia" w:ascii="宋体" w:hAnsi="宋体" w:cs="宋体"/>
                <w:sz w:val="21"/>
                <w:szCs w:val="21"/>
              </w:rPr>
              <w:t>9.支持VLAN二层网关、三层网关，支持BGP EVPN，支持分布式 Anycast 网关；</w:t>
            </w:r>
          </w:p>
          <w:p>
            <w:pPr>
              <w:adjustRightInd w:val="0"/>
              <w:snapToGrid w:val="0"/>
              <w:jc w:val="left"/>
              <w:rPr>
                <w:rFonts w:hint="eastAsia" w:ascii="宋体" w:hAnsi="宋体" w:cs="宋体"/>
                <w:sz w:val="21"/>
                <w:szCs w:val="21"/>
              </w:rPr>
            </w:pPr>
            <w:r>
              <w:rPr>
                <w:rFonts w:hint="eastAsia" w:ascii="宋体" w:hAnsi="宋体" w:cs="宋体"/>
                <w:sz w:val="21"/>
                <w:szCs w:val="21"/>
              </w:rPr>
              <w:t>10.支持MAC、802.1X、Portal多种认证方式进行统一用户管理；</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存储服务器</w:t>
            </w:r>
          </w:p>
        </w:tc>
        <w:tc>
          <w:tcPr>
            <w:tcW w:w="6520" w:type="dxa"/>
            <w:gridSpan w:val="3"/>
            <w:vAlign w:val="center"/>
          </w:tcPr>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主处理器：工业级嵌入式微控制器；</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操作系统：嵌入式Linux 操作系统；</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操作界面：WEB方式，本地GUI操作；</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接入路数：128路；</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硬盘接口：24个，SATA3.0，单盘最大10T；</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分辨率：12MP/8MP/6MP/5 MP/4MP/3MP/1080P/960P/ 720P/D1/CIF/QCIF；</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解码能力：16路1080P@30 fps；</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多路回放：最大支持16路回放；</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报警输入：16路；</w:t>
            </w:r>
          </w:p>
          <w:p>
            <w:pPr>
              <w:numPr>
                <w:ilvl w:val="0"/>
                <w:numId w:val="38"/>
              </w:numPr>
              <w:adjustRightInd w:val="0"/>
              <w:snapToGrid w:val="0"/>
              <w:ind w:left="220" w:hanging="225"/>
              <w:jc w:val="left"/>
              <w:rPr>
                <w:rFonts w:hint="eastAsia" w:ascii="宋体" w:hAnsi="宋体" w:cs="宋体"/>
                <w:sz w:val="21"/>
                <w:szCs w:val="21"/>
              </w:rPr>
            </w:pPr>
            <w:r>
              <w:rPr>
                <w:rFonts w:hint="eastAsia" w:ascii="宋体" w:hAnsi="宋体" w:cs="宋体"/>
                <w:sz w:val="21"/>
                <w:szCs w:val="21"/>
              </w:rPr>
              <w:t>报警输出：8路；</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画面分割：屏一：1/4/8/ 9/16/25/36/64 屏二：1/ 4/8/9/16；</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前智能分析：支持前智能人脸检测、周界防范、通用行为分析、人数统计、热度图、SMD；</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后智能分析：支持后智能人脸检测、通用行为分析、车牌识别、视频质量诊断；</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音频输入：1路，RCA输入口；</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音频输出：1路，RCA输出口；</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HDMI接口：2个；</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VGA接口：1个；网络接口：4个，RJ45 10/100/1000Mbps自适应以太网口；人脸检测后智能性能(1080P)(路数)：2路；</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人脸检测前智能性能(路数)：24路；</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人脸识别前智能性能(路数)：24路；</w:t>
            </w:r>
          </w:p>
          <w:p>
            <w:pPr>
              <w:numPr>
                <w:ilvl w:val="0"/>
                <w:numId w:val="38"/>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结构化前智能性能(路数)：12路</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硬盘</w:t>
            </w:r>
          </w:p>
        </w:tc>
        <w:tc>
          <w:tcPr>
            <w:tcW w:w="6520" w:type="dxa"/>
            <w:gridSpan w:val="3"/>
            <w:vAlign w:val="center"/>
          </w:tcPr>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单盘容量 8TB</w:t>
            </w:r>
          </w:p>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转速 5400RPM</w:t>
            </w:r>
          </w:p>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尺寸 3.5inch</w:t>
            </w:r>
          </w:p>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硬盘接口SATA</w:t>
            </w:r>
          </w:p>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缓存256M</w:t>
            </w:r>
          </w:p>
          <w:p>
            <w:pPr>
              <w:numPr>
                <w:ilvl w:val="0"/>
                <w:numId w:val="39"/>
              </w:numPr>
              <w:tabs>
                <w:tab w:val="left" w:pos="220"/>
                <w:tab w:val="clear" w:pos="312"/>
              </w:tabs>
              <w:adjustRightInd w:val="0"/>
              <w:snapToGrid w:val="0"/>
              <w:jc w:val="left"/>
              <w:rPr>
                <w:rFonts w:hint="eastAsia" w:ascii="宋体" w:hAnsi="宋体" w:cs="宋体"/>
                <w:sz w:val="21"/>
                <w:szCs w:val="21"/>
              </w:rPr>
            </w:pPr>
            <w:r>
              <w:rPr>
                <w:rFonts w:hint="eastAsia" w:ascii="宋体" w:hAnsi="宋体" w:cs="宋体"/>
                <w:sz w:val="21"/>
                <w:szCs w:val="21"/>
              </w:rPr>
              <w:t>质保时间：三年</w:t>
            </w:r>
          </w:p>
          <w:p>
            <w:pPr>
              <w:adjustRightInd w:val="0"/>
              <w:snapToGrid w:val="0"/>
              <w:jc w:val="left"/>
              <w:rPr>
                <w:rFonts w:hint="eastAsia" w:ascii="宋体" w:hAnsi="宋体" w:cs="宋体"/>
                <w:sz w:val="21"/>
                <w:szCs w:val="21"/>
              </w:rPr>
            </w:pPr>
            <w:r>
              <w:rPr>
                <w:rFonts w:hint="eastAsia" w:ascii="宋体" w:hAnsi="宋体" w:cs="宋体"/>
                <w:sz w:val="21"/>
                <w:szCs w:val="21"/>
              </w:rPr>
              <w:t>7.平均故障间隔时间（H）100万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机柜</w:t>
            </w:r>
          </w:p>
        </w:tc>
        <w:tc>
          <w:tcPr>
            <w:tcW w:w="6520" w:type="dxa"/>
            <w:gridSpan w:val="3"/>
            <w:vAlign w:val="center"/>
          </w:tcPr>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42U机柜</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国际流行的透明钢化玻璃前门，玻璃上下两边丝印网纹;</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前后为圆形通风孔的上下框;</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可同时安装脚轮和支脚;</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结构坚固，最大静载达800KG(带支脚）;</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可关闭的上部、下部多处走线通道，底部大走线孔尺寸可按需调整;</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可选配安装底座，达到固定机柜、底部过线、底部送冷风、防鼠的要求;</w:t>
            </w:r>
          </w:p>
          <w:p>
            <w:pPr>
              <w:numPr>
                <w:ilvl w:val="0"/>
                <w:numId w:val="40"/>
              </w:numPr>
              <w:adjustRightInd w:val="0"/>
              <w:snapToGrid w:val="0"/>
              <w:ind w:left="225" w:hanging="225"/>
              <w:jc w:val="left"/>
              <w:rPr>
                <w:rFonts w:hint="eastAsia" w:ascii="宋体" w:hAnsi="宋体" w:cs="宋体"/>
                <w:sz w:val="21"/>
                <w:szCs w:val="21"/>
              </w:rPr>
            </w:pPr>
            <w:r>
              <w:rPr>
                <w:rFonts w:hint="eastAsia" w:ascii="宋体" w:hAnsi="宋体" w:cs="宋体"/>
                <w:sz w:val="21"/>
                <w:szCs w:val="21"/>
              </w:rPr>
              <w:t>可方便拆卸的左右侧门和前后门;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PDU</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规格:16A 8孔</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个</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9435" w:type="dxa"/>
            <w:gridSpan w:val="8"/>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涡轮硬质快速门系统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涡轮硬质快速门</w:t>
            </w:r>
          </w:p>
        </w:tc>
        <w:tc>
          <w:tcPr>
            <w:tcW w:w="6520" w:type="dxa"/>
            <w:gridSpan w:val="3"/>
            <w:vAlign w:val="center"/>
          </w:tcPr>
          <w:p>
            <w:pPr>
              <w:numPr>
                <w:ilvl w:val="0"/>
                <w:numId w:val="41"/>
              </w:numPr>
              <w:adjustRightInd w:val="0"/>
              <w:snapToGrid w:val="0"/>
              <w:jc w:val="left"/>
              <w:rPr>
                <w:rFonts w:hint="eastAsia" w:ascii="宋体" w:hAnsi="宋体" w:cs="宋体"/>
                <w:sz w:val="21"/>
                <w:szCs w:val="21"/>
              </w:rPr>
            </w:pPr>
            <w:r>
              <w:rPr>
                <w:rFonts w:hint="eastAsia" w:ascii="宋体" w:hAnsi="宋体" w:cs="宋体"/>
                <w:sz w:val="21"/>
                <w:szCs w:val="21"/>
              </w:rPr>
              <w:t>快速门专用电机:功率0.75KW-1.5KW</w:t>
            </w:r>
          </w:p>
          <w:p>
            <w:pPr>
              <w:numPr>
                <w:ilvl w:val="0"/>
                <w:numId w:val="41"/>
              </w:numPr>
              <w:adjustRightInd w:val="0"/>
              <w:snapToGrid w:val="0"/>
              <w:jc w:val="left"/>
              <w:rPr>
                <w:rFonts w:hint="eastAsia" w:ascii="宋体" w:hAnsi="宋体" w:cs="宋体"/>
                <w:sz w:val="21"/>
                <w:szCs w:val="21"/>
              </w:rPr>
            </w:pPr>
            <w:r>
              <w:rPr>
                <w:rFonts w:hint="eastAsia" w:ascii="宋体" w:hAnsi="宋体" w:cs="宋体"/>
                <w:sz w:val="21"/>
                <w:szCs w:val="21"/>
              </w:rPr>
              <w:t xml:space="preserve">控制系统:二相220V功率0.75-1.5KW,控制箱上带有主电源控制开关，急停按钮，手动自动转换按钮，手动控制上升下降按钮。                   </w:t>
            </w:r>
          </w:p>
          <w:p>
            <w:pPr>
              <w:numPr>
                <w:ilvl w:val="0"/>
                <w:numId w:val="41"/>
              </w:numPr>
              <w:adjustRightInd w:val="0"/>
              <w:snapToGrid w:val="0"/>
              <w:jc w:val="left"/>
              <w:rPr>
                <w:rFonts w:hint="eastAsia" w:ascii="宋体" w:hAnsi="宋体" w:cs="宋体"/>
                <w:sz w:val="21"/>
                <w:szCs w:val="21"/>
              </w:rPr>
            </w:pPr>
            <w:r>
              <w:rPr>
                <w:rFonts w:hint="eastAsia" w:ascii="宋体" w:hAnsi="宋体" w:cs="宋体"/>
                <w:sz w:val="21"/>
                <w:szCs w:val="21"/>
              </w:rPr>
              <w:t>铝合金门体:铝合金门板壁厚0.8mm,厚度为40mm ,门帘为分体装配结构：断桥隔热的铝合金门板、多层次密封胶条、消音承重铰链、聚氨酯导向轮等几个部分组成；门体运行时是通过聚氨酯材质的导向轮在铝合金轨道内滑动。</w:t>
            </w:r>
          </w:p>
          <w:p>
            <w:pPr>
              <w:numPr>
                <w:ilvl w:val="0"/>
                <w:numId w:val="41"/>
              </w:numPr>
              <w:adjustRightInd w:val="0"/>
              <w:snapToGrid w:val="0"/>
              <w:jc w:val="left"/>
              <w:rPr>
                <w:rFonts w:hint="eastAsia" w:ascii="宋体" w:hAnsi="宋体" w:cs="宋体"/>
                <w:sz w:val="21"/>
                <w:szCs w:val="21"/>
              </w:rPr>
            </w:pPr>
            <w:r>
              <w:rPr>
                <w:rFonts w:hint="eastAsia" w:ascii="宋体" w:hAnsi="宋体" w:cs="宋体"/>
                <w:sz w:val="21"/>
                <w:szCs w:val="21"/>
              </w:rPr>
              <w:t>导轨:数控折弯一次成型，板材选用优质镀锌材料，轨道厚度为 2.5mm,铝合金轨道厚度5.0mm</w:t>
            </w:r>
          </w:p>
          <w:p>
            <w:pPr>
              <w:adjustRightInd w:val="0"/>
              <w:snapToGrid w:val="0"/>
              <w:jc w:val="left"/>
              <w:rPr>
                <w:rFonts w:hint="eastAsia" w:ascii="宋体" w:hAnsi="宋体" w:cs="宋体"/>
                <w:sz w:val="21"/>
                <w:szCs w:val="21"/>
              </w:rPr>
            </w:pPr>
            <w:r>
              <w:rPr>
                <w:rFonts w:hint="eastAsia" w:ascii="宋体" w:hAnsi="宋体" w:cs="宋体"/>
                <w:sz w:val="21"/>
                <w:szCs w:val="21"/>
              </w:rPr>
              <w:t>5.限位器:伺服内置绝对值编码器控制，精准定位。</w:t>
            </w:r>
          </w:p>
          <w:p>
            <w:pPr>
              <w:adjustRightInd w:val="0"/>
              <w:snapToGrid w:val="0"/>
              <w:jc w:val="left"/>
              <w:rPr>
                <w:rFonts w:hint="eastAsia" w:ascii="宋体" w:hAnsi="宋体" w:cs="宋体"/>
                <w:sz w:val="21"/>
                <w:szCs w:val="21"/>
              </w:rPr>
            </w:pPr>
            <w:r>
              <w:rPr>
                <w:rFonts w:hint="eastAsia" w:ascii="宋体" w:hAnsi="宋体" w:cs="宋体"/>
                <w:sz w:val="21"/>
                <w:szCs w:val="21"/>
              </w:rPr>
              <w:t>6.透视窗:优质的聚碳酸酯板，双层结构的设计既保证门体内外的保温效果，又保持了良好的透明性采光效果，其内外清晰可见，外观彰显档次。厚度为2.0mm。</w:t>
            </w:r>
          </w:p>
          <w:p>
            <w:pPr>
              <w:adjustRightInd w:val="0"/>
              <w:snapToGrid w:val="0"/>
              <w:jc w:val="left"/>
              <w:rPr>
                <w:rFonts w:hint="eastAsia" w:ascii="宋体" w:hAnsi="宋体" w:cs="宋体"/>
                <w:sz w:val="21"/>
                <w:szCs w:val="21"/>
              </w:rPr>
            </w:pPr>
            <w:r>
              <w:rPr>
                <w:rFonts w:hint="eastAsia" w:ascii="宋体" w:hAnsi="宋体" w:cs="宋体"/>
                <w:sz w:val="21"/>
                <w:szCs w:val="21"/>
              </w:rPr>
              <w:t>7.光电安全保护装置:门框两侧设有对射电眼，快速门下方有障碍物 时，门体保持开启状态；当门体下降时有物体通过，门体会开启到开启位置，待下方无障碍物时再延时下降。</w:t>
            </w:r>
          </w:p>
          <w:p>
            <w:pPr>
              <w:adjustRightInd w:val="0"/>
              <w:snapToGrid w:val="0"/>
              <w:jc w:val="left"/>
              <w:rPr>
                <w:rFonts w:hint="eastAsia" w:ascii="宋体" w:hAnsi="宋体" w:cs="宋体"/>
                <w:sz w:val="21"/>
                <w:szCs w:val="21"/>
              </w:rPr>
            </w:pPr>
            <w:r>
              <w:rPr>
                <w:rFonts w:hint="eastAsia" w:ascii="宋体" w:hAnsi="宋体" w:cs="宋体"/>
                <w:sz w:val="21"/>
                <w:szCs w:val="21"/>
              </w:rPr>
              <w:t>8.平衡系统:两侧门柱内部配平衡弹簧，和门板重量保持一定的平衡性，同 时减轻电机运行时的负载，运行顺畅自如。</w:t>
            </w:r>
          </w:p>
          <w:p>
            <w:pPr>
              <w:adjustRightInd w:val="0"/>
              <w:snapToGrid w:val="0"/>
              <w:jc w:val="left"/>
              <w:rPr>
                <w:rFonts w:hint="eastAsia" w:ascii="宋体" w:hAnsi="宋体" w:cs="宋体"/>
                <w:sz w:val="21"/>
                <w:szCs w:val="21"/>
              </w:rPr>
            </w:pPr>
            <w:r>
              <w:rPr>
                <w:rFonts w:hint="eastAsia" w:ascii="宋体" w:hAnsi="宋体" w:cs="宋体"/>
                <w:sz w:val="21"/>
                <w:szCs w:val="21"/>
              </w:rPr>
              <w:t>9.门体牵引:采用高品质耐磨高强度滚子链条结构，门体通过同步链条带动 进入可以快速变速的涡轮机构。</w:t>
            </w:r>
          </w:p>
          <w:p>
            <w:pPr>
              <w:adjustRightInd w:val="0"/>
              <w:snapToGrid w:val="0"/>
              <w:jc w:val="left"/>
              <w:rPr>
                <w:rFonts w:hint="eastAsia" w:ascii="宋体" w:hAnsi="宋体" w:cs="宋体"/>
                <w:sz w:val="21"/>
                <w:szCs w:val="21"/>
              </w:rPr>
            </w:pPr>
            <w:r>
              <w:rPr>
                <w:rFonts w:hint="eastAsia" w:ascii="宋体" w:hAnsi="宋体" w:cs="宋体"/>
                <w:sz w:val="21"/>
                <w:szCs w:val="21"/>
              </w:rPr>
              <w:t>10.开启方式:雷达感应装置：感应区内，车到人到，门自动开启；地磁开启装置：感应区内，车到门自动开启。</w:t>
            </w:r>
          </w:p>
          <w:p>
            <w:pPr>
              <w:adjustRightInd w:val="0"/>
              <w:snapToGrid w:val="0"/>
              <w:jc w:val="left"/>
              <w:rPr>
                <w:rFonts w:hint="eastAsia" w:ascii="宋体" w:hAnsi="宋体" w:cs="宋体"/>
                <w:sz w:val="21"/>
                <w:szCs w:val="21"/>
              </w:rPr>
            </w:pPr>
            <w:r>
              <w:rPr>
                <w:rFonts w:hint="eastAsia" w:ascii="宋体" w:hAnsi="宋体" w:cs="宋体"/>
                <w:sz w:val="21"/>
                <w:szCs w:val="21"/>
              </w:rPr>
              <w:t>11.开启速度:每秒0.6m-1.5m的开闭速度(m/s)，高频关闭(800~2000次一天)按钮。</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套</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LED显示设备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1、像素点间距：≤2.0mm</w:t>
            </w:r>
          </w:p>
          <w:p>
            <w:pPr>
              <w:adjustRightInd w:val="0"/>
              <w:snapToGrid w:val="0"/>
              <w:jc w:val="left"/>
              <w:rPr>
                <w:rFonts w:hint="eastAsia" w:ascii="宋体" w:hAnsi="宋体" w:cs="宋体"/>
                <w:sz w:val="21"/>
                <w:szCs w:val="21"/>
              </w:rPr>
            </w:pPr>
            <w:r>
              <w:rPr>
                <w:rFonts w:hint="eastAsia" w:ascii="宋体" w:hAnsi="宋体" w:cs="宋体"/>
                <w:sz w:val="21"/>
                <w:szCs w:val="21"/>
              </w:rPr>
              <w:t>2、像素密度：≥250000 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3、单元板分辨率：≥12800 Dots</w:t>
            </w:r>
          </w:p>
          <w:p>
            <w:pPr>
              <w:adjustRightInd w:val="0"/>
              <w:snapToGrid w:val="0"/>
              <w:jc w:val="left"/>
              <w:rPr>
                <w:rFonts w:hint="eastAsia" w:ascii="宋体" w:hAnsi="宋体" w:cs="宋体"/>
                <w:sz w:val="21"/>
                <w:szCs w:val="21"/>
              </w:rPr>
            </w:pPr>
            <w:r>
              <w:rPr>
                <w:rFonts w:hint="eastAsia" w:ascii="宋体" w:hAnsi="宋体" w:cs="宋体"/>
                <w:sz w:val="21"/>
                <w:szCs w:val="21"/>
              </w:rPr>
              <w:t>4、显示效果：4K超清显示、色温均匀性好、亮度均匀性好，对比度高、色域广</w:t>
            </w:r>
          </w:p>
          <w:p>
            <w:pPr>
              <w:adjustRightInd w:val="0"/>
              <w:snapToGrid w:val="0"/>
              <w:jc w:val="left"/>
              <w:rPr>
                <w:rFonts w:hint="eastAsia" w:ascii="宋体" w:hAnsi="宋体" w:cs="宋体"/>
                <w:sz w:val="21"/>
                <w:szCs w:val="21"/>
              </w:rPr>
            </w:pPr>
            <w:r>
              <w:rPr>
                <w:rFonts w:hint="eastAsia" w:ascii="宋体" w:hAnsi="宋体" w:cs="宋体"/>
                <w:sz w:val="21"/>
                <w:szCs w:val="21"/>
              </w:rPr>
              <w:t>5、驱动方式：恒流驱动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6、供电方式：支持电源均流DC4.2V～DC5V，供电支持电源双输出电压DC2.8V/DC3.8V</w:t>
            </w:r>
          </w:p>
          <w:p>
            <w:pPr>
              <w:adjustRightInd w:val="0"/>
              <w:snapToGrid w:val="0"/>
              <w:jc w:val="left"/>
              <w:rPr>
                <w:rFonts w:hint="eastAsia" w:ascii="宋体" w:hAnsi="宋体" w:cs="宋体"/>
                <w:sz w:val="21"/>
                <w:szCs w:val="21"/>
              </w:rPr>
            </w:pPr>
            <w:r>
              <w:rPr>
                <w:rFonts w:hint="eastAsia" w:ascii="宋体" w:hAnsi="宋体" w:cs="宋体"/>
                <w:sz w:val="21"/>
                <w:szCs w:val="21"/>
              </w:rPr>
              <w:t>7、整屏平整度：≤0.04mm</w:t>
            </w:r>
          </w:p>
          <w:p>
            <w:pPr>
              <w:adjustRightInd w:val="0"/>
              <w:snapToGrid w:val="0"/>
              <w:jc w:val="left"/>
              <w:rPr>
                <w:rFonts w:hint="eastAsia" w:ascii="宋体" w:hAnsi="宋体" w:cs="宋体"/>
                <w:sz w:val="21"/>
                <w:szCs w:val="21"/>
              </w:rPr>
            </w:pPr>
            <w:r>
              <w:rPr>
                <w:rFonts w:hint="eastAsia" w:ascii="宋体" w:hAnsi="宋体" w:cs="宋体"/>
                <w:sz w:val="21"/>
                <w:szCs w:val="21"/>
              </w:rPr>
              <w:t>8、模组平整度：≤0.03mm</w:t>
            </w:r>
          </w:p>
          <w:p>
            <w:pPr>
              <w:adjustRightInd w:val="0"/>
              <w:snapToGrid w:val="0"/>
              <w:jc w:val="left"/>
              <w:rPr>
                <w:rFonts w:hint="eastAsia" w:ascii="宋体" w:hAnsi="宋体" w:cs="宋体"/>
                <w:sz w:val="21"/>
                <w:szCs w:val="21"/>
              </w:rPr>
            </w:pPr>
            <w:r>
              <w:rPr>
                <w:rFonts w:hint="eastAsia" w:ascii="宋体" w:hAnsi="宋体" w:cs="宋体"/>
                <w:sz w:val="21"/>
                <w:szCs w:val="21"/>
              </w:rPr>
              <w:t>9、拼接缝：≤0.03mm</w:t>
            </w:r>
          </w:p>
          <w:p>
            <w:pPr>
              <w:adjustRightInd w:val="0"/>
              <w:snapToGrid w:val="0"/>
              <w:jc w:val="left"/>
              <w:rPr>
                <w:rFonts w:hint="eastAsia" w:ascii="宋体" w:hAnsi="宋体" w:cs="宋体"/>
                <w:sz w:val="21"/>
                <w:szCs w:val="21"/>
              </w:rPr>
            </w:pPr>
            <w:r>
              <w:rPr>
                <w:rFonts w:hint="eastAsia" w:ascii="宋体" w:hAnsi="宋体" w:cs="宋体"/>
                <w:sz w:val="21"/>
                <w:szCs w:val="21"/>
              </w:rPr>
              <w:t>10、白平衡亮度：≥750Cd/m²</w:t>
            </w:r>
          </w:p>
          <w:p>
            <w:pPr>
              <w:adjustRightInd w:val="0"/>
              <w:snapToGrid w:val="0"/>
              <w:jc w:val="left"/>
              <w:rPr>
                <w:rFonts w:hint="eastAsia" w:ascii="宋体" w:hAnsi="宋体" w:cs="宋体"/>
                <w:sz w:val="21"/>
                <w:szCs w:val="21"/>
              </w:rPr>
            </w:pPr>
            <w:r>
              <w:rPr>
                <w:rFonts w:hint="eastAsia" w:ascii="宋体" w:hAnsi="宋体" w:cs="宋体"/>
                <w:sz w:val="21"/>
                <w:szCs w:val="21"/>
              </w:rPr>
              <w:t>11、亮度均匀性：≥99%</w:t>
            </w:r>
          </w:p>
          <w:p>
            <w:pPr>
              <w:adjustRightInd w:val="0"/>
              <w:snapToGrid w:val="0"/>
              <w:jc w:val="left"/>
              <w:rPr>
                <w:rFonts w:hint="eastAsia" w:ascii="宋体" w:hAnsi="宋体" w:cs="宋体"/>
                <w:sz w:val="21"/>
                <w:szCs w:val="21"/>
              </w:rPr>
            </w:pPr>
            <w:r>
              <w:rPr>
                <w:rFonts w:hint="eastAsia" w:ascii="宋体" w:hAnsi="宋体" w:cs="宋体"/>
                <w:sz w:val="21"/>
                <w:szCs w:val="21"/>
              </w:rPr>
              <w:t>12、色度均匀性：±0.001Cx、Cy内</w:t>
            </w:r>
          </w:p>
          <w:p>
            <w:pPr>
              <w:adjustRightInd w:val="0"/>
              <w:snapToGrid w:val="0"/>
              <w:jc w:val="left"/>
              <w:rPr>
                <w:rFonts w:hint="eastAsia" w:ascii="宋体" w:hAnsi="宋体" w:cs="宋体"/>
                <w:sz w:val="21"/>
                <w:szCs w:val="21"/>
              </w:rPr>
            </w:pPr>
            <w:r>
              <w:rPr>
                <w:rFonts w:hint="eastAsia" w:ascii="宋体" w:hAnsi="宋体" w:cs="宋体"/>
                <w:sz w:val="21"/>
                <w:szCs w:val="21"/>
              </w:rPr>
              <w:t>13、色温：800-18000K</w:t>
            </w:r>
          </w:p>
          <w:p>
            <w:pPr>
              <w:adjustRightInd w:val="0"/>
              <w:snapToGrid w:val="0"/>
              <w:jc w:val="left"/>
              <w:rPr>
                <w:rFonts w:hint="eastAsia" w:ascii="宋体" w:hAnsi="宋体" w:cs="宋体"/>
                <w:sz w:val="21"/>
                <w:szCs w:val="21"/>
              </w:rPr>
            </w:pPr>
            <w:r>
              <w:rPr>
                <w:rFonts w:hint="eastAsia" w:ascii="宋体" w:hAnsi="宋体" w:cs="宋体"/>
                <w:sz w:val="21"/>
                <w:szCs w:val="21"/>
              </w:rPr>
              <w:t>14、水平视角：≥170°</w:t>
            </w:r>
          </w:p>
          <w:p>
            <w:pPr>
              <w:adjustRightInd w:val="0"/>
              <w:snapToGrid w:val="0"/>
              <w:jc w:val="left"/>
              <w:rPr>
                <w:rFonts w:hint="eastAsia" w:ascii="宋体" w:hAnsi="宋体" w:cs="宋体"/>
                <w:sz w:val="21"/>
                <w:szCs w:val="21"/>
              </w:rPr>
            </w:pPr>
            <w:r>
              <w:rPr>
                <w:rFonts w:hint="eastAsia" w:ascii="宋体" w:hAnsi="宋体" w:cs="宋体"/>
                <w:sz w:val="21"/>
                <w:szCs w:val="21"/>
              </w:rPr>
              <w:t>15、垂直视角：≥170°</w:t>
            </w:r>
          </w:p>
          <w:p>
            <w:pPr>
              <w:adjustRightInd w:val="0"/>
              <w:snapToGrid w:val="0"/>
              <w:jc w:val="left"/>
              <w:rPr>
                <w:rFonts w:hint="eastAsia" w:ascii="宋体" w:hAnsi="宋体" w:cs="宋体"/>
                <w:sz w:val="21"/>
                <w:szCs w:val="21"/>
              </w:rPr>
            </w:pPr>
            <w:r>
              <w:rPr>
                <w:rFonts w:hint="eastAsia" w:ascii="宋体" w:hAnsi="宋体" w:cs="宋体"/>
                <w:sz w:val="21"/>
                <w:szCs w:val="21"/>
              </w:rPr>
              <w:t>16、对比度：≥9000：1</w:t>
            </w:r>
          </w:p>
          <w:p>
            <w:pPr>
              <w:adjustRightInd w:val="0"/>
              <w:snapToGrid w:val="0"/>
              <w:jc w:val="left"/>
              <w:rPr>
                <w:rFonts w:hint="eastAsia" w:ascii="宋体" w:hAnsi="宋体" w:cs="宋体"/>
                <w:sz w:val="21"/>
                <w:szCs w:val="21"/>
              </w:rPr>
            </w:pPr>
            <w:r>
              <w:rPr>
                <w:rFonts w:hint="eastAsia" w:ascii="宋体" w:hAnsi="宋体" w:cs="宋体"/>
                <w:sz w:val="21"/>
                <w:szCs w:val="21"/>
              </w:rPr>
              <w:t>17、刷新率：≥3840Hz</w:t>
            </w:r>
          </w:p>
          <w:p>
            <w:pPr>
              <w:adjustRightInd w:val="0"/>
              <w:snapToGrid w:val="0"/>
              <w:jc w:val="left"/>
              <w:rPr>
                <w:rFonts w:hint="eastAsia" w:ascii="宋体" w:hAnsi="宋体" w:cs="宋体"/>
                <w:sz w:val="21"/>
                <w:szCs w:val="21"/>
              </w:rPr>
            </w:pPr>
            <w:r>
              <w:rPr>
                <w:rFonts w:hint="eastAsia" w:ascii="宋体" w:hAnsi="宋体" w:cs="宋体"/>
                <w:sz w:val="21"/>
                <w:szCs w:val="21"/>
              </w:rPr>
              <w:t>18、像素失控率：&lt;1/100000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19、发光点中心偏距：＜0.8%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20、峰值功耗：≤300W/m²</w:t>
            </w:r>
          </w:p>
          <w:p>
            <w:pPr>
              <w:adjustRightInd w:val="0"/>
              <w:snapToGrid w:val="0"/>
              <w:jc w:val="left"/>
              <w:rPr>
                <w:rFonts w:hint="eastAsia" w:ascii="宋体" w:hAnsi="宋体" w:cs="宋体"/>
                <w:sz w:val="21"/>
                <w:szCs w:val="21"/>
              </w:rPr>
            </w:pPr>
            <w:r>
              <w:rPr>
                <w:rFonts w:hint="eastAsia" w:ascii="宋体" w:hAnsi="宋体" w:cs="宋体"/>
                <w:sz w:val="21"/>
                <w:szCs w:val="21"/>
              </w:rPr>
              <w:t>21、平均功耗：≤120W/m²</w:t>
            </w:r>
          </w:p>
          <w:p>
            <w:pPr>
              <w:adjustRightInd w:val="0"/>
              <w:snapToGrid w:val="0"/>
              <w:jc w:val="left"/>
              <w:rPr>
                <w:rFonts w:hint="eastAsia" w:ascii="宋体" w:hAnsi="宋体" w:cs="宋体"/>
                <w:sz w:val="21"/>
                <w:szCs w:val="21"/>
              </w:rPr>
            </w:pPr>
            <w:r>
              <w:rPr>
                <w:rFonts w:hint="eastAsia" w:ascii="宋体" w:hAnsi="宋体" w:cs="宋体"/>
                <w:sz w:val="21"/>
                <w:szCs w:val="21"/>
              </w:rPr>
              <w:t>22、最大电流：≤5A</w:t>
            </w:r>
          </w:p>
          <w:p>
            <w:pPr>
              <w:adjustRightInd w:val="0"/>
              <w:snapToGrid w:val="0"/>
              <w:jc w:val="left"/>
              <w:rPr>
                <w:rFonts w:hint="eastAsia" w:ascii="宋体" w:hAnsi="宋体" w:cs="宋体"/>
                <w:sz w:val="21"/>
                <w:szCs w:val="21"/>
              </w:rPr>
            </w:pPr>
            <w:r>
              <w:rPr>
                <w:rFonts w:hint="eastAsia" w:ascii="宋体" w:hAnsi="宋体" w:cs="宋体"/>
                <w:sz w:val="21"/>
                <w:szCs w:val="21"/>
              </w:rPr>
              <w:t>23、电流增益：电流增益调节范围：1%～199%，电流增益调节级别≥8位</w:t>
            </w:r>
          </w:p>
          <w:p>
            <w:pPr>
              <w:adjustRightInd w:val="0"/>
              <w:snapToGrid w:val="0"/>
              <w:jc w:val="left"/>
              <w:rPr>
                <w:rFonts w:hint="eastAsia" w:ascii="宋体" w:hAnsi="宋体" w:cs="宋体"/>
                <w:sz w:val="21"/>
                <w:szCs w:val="21"/>
              </w:rPr>
            </w:pPr>
            <w:r>
              <w:rPr>
                <w:rFonts w:hint="eastAsia" w:ascii="宋体" w:hAnsi="宋体" w:cs="宋体"/>
                <w:sz w:val="21"/>
                <w:szCs w:val="21"/>
              </w:rPr>
              <w:t>24、具有列下消隐功能、倍频刷新率提升2/4/8倍、低灰偏色改善</w:t>
            </w:r>
          </w:p>
          <w:p>
            <w:pPr>
              <w:adjustRightInd w:val="0"/>
              <w:snapToGrid w:val="0"/>
              <w:jc w:val="left"/>
              <w:rPr>
                <w:rFonts w:hint="eastAsia" w:ascii="宋体" w:hAnsi="宋体" w:cs="宋体"/>
                <w:sz w:val="21"/>
                <w:szCs w:val="21"/>
              </w:rPr>
            </w:pPr>
            <w:r>
              <w:rPr>
                <w:rFonts w:hint="eastAsia" w:ascii="宋体" w:hAnsi="宋体" w:cs="宋体"/>
                <w:sz w:val="21"/>
                <w:szCs w:val="21"/>
              </w:rPr>
              <w:t>25、色温为6500K时，100%、75%、50%、25%四档电平白场调节色温误差≤200K</w:t>
            </w:r>
          </w:p>
          <w:p>
            <w:pPr>
              <w:adjustRightInd w:val="0"/>
              <w:snapToGrid w:val="0"/>
              <w:jc w:val="left"/>
              <w:rPr>
                <w:rFonts w:hint="eastAsia" w:ascii="宋体" w:hAnsi="宋体" w:cs="宋体"/>
                <w:sz w:val="21"/>
                <w:szCs w:val="21"/>
              </w:rPr>
            </w:pPr>
            <w:r>
              <w:rPr>
                <w:rFonts w:hint="eastAsia" w:ascii="宋体" w:hAnsi="宋体" w:cs="宋体"/>
                <w:sz w:val="21"/>
                <w:szCs w:val="21"/>
              </w:rPr>
              <w:t>26、PCB板材采用玻璃化温度≥150℃的覆铜板；PCB板采用FR-4材质，电路采用多层设计，</w:t>
            </w:r>
          </w:p>
          <w:p>
            <w:pPr>
              <w:adjustRightInd w:val="0"/>
              <w:snapToGrid w:val="0"/>
              <w:jc w:val="left"/>
              <w:rPr>
                <w:rFonts w:hint="eastAsia" w:ascii="宋体" w:hAnsi="宋体" w:cs="宋体"/>
                <w:sz w:val="21"/>
                <w:szCs w:val="21"/>
              </w:rPr>
            </w:pPr>
            <w:r>
              <w:rPr>
                <w:rFonts w:hint="eastAsia" w:ascii="宋体" w:hAnsi="宋体" w:cs="宋体"/>
                <w:sz w:val="21"/>
                <w:szCs w:val="21"/>
              </w:rPr>
              <w:t>27、每个灯芯的波长误差值在±1nm以内，每个灯芯的亮度误差在5%以内</w:t>
            </w:r>
          </w:p>
          <w:p>
            <w:pPr>
              <w:adjustRightInd w:val="0"/>
              <w:snapToGrid w:val="0"/>
              <w:jc w:val="left"/>
              <w:rPr>
                <w:rFonts w:hint="eastAsia" w:ascii="宋体" w:hAnsi="宋体" w:cs="宋体"/>
                <w:sz w:val="21"/>
                <w:szCs w:val="21"/>
              </w:rPr>
            </w:pPr>
            <w:r>
              <w:rPr>
                <w:rFonts w:hint="eastAsia" w:ascii="宋体" w:hAnsi="宋体" w:cs="宋体"/>
                <w:sz w:val="21"/>
                <w:szCs w:val="21"/>
              </w:rPr>
              <w:t>28、具有H2S宽动态处理技术，解决主控机二次重复播放时的衰减等现象</w:t>
            </w:r>
          </w:p>
          <w:p>
            <w:pPr>
              <w:adjustRightInd w:val="0"/>
              <w:snapToGrid w:val="0"/>
              <w:jc w:val="left"/>
              <w:rPr>
                <w:rFonts w:hint="eastAsia" w:ascii="宋体" w:hAnsi="宋体" w:cs="宋体"/>
                <w:sz w:val="21"/>
                <w:szCs w:val="21"/>
              </w:rPr>
            </w:pPr>
            <w:r>
              <w:rPr>
                <w:rFonts w:hint="eastAsia" w:ascii="宋体" w:hAnsi="宋体" w:cs="宋体"/>
                <w:sz w:val="21"/>
                <w:szCs w:val="21"/>
              </w:rPr>
              <w:t>29、屏幕表面光反射率：照度=10Lux/5600K条件下，显示屏屏幕表面光反射率（单位面积反射亮度）＜3.0cd/m²</w:t>
            </w:r>
          </w:p>
          <w:p>
            <w:pPr>
              <w:adjustRightInd w:val="0"/>
              <w:snapToGrid w:val="0"/>
              <w:jc w:val="left"/>
              <w:rPr>
                <w:rFonts w:hint="eastAsia" w:ascii="宋体" w:hAnsi="宋体" w:cs="宋体"/>
                <w:sz w:val="21"/>
                <w:szCs w:val="21"/>
              </w:rPr>
            </w:pPr>
            <w:r>
              <w:rPr>
                <w:rFonts w:hint="eastAsia" w:ascii="宋体" w:hAnsi="宋体" w:cs="宋体"/>
                <w:sz w:val="21"/>
                <w:szCs w:val="21"/>
              </w:rPr>
              <w:t>30、绝缘电阻：在器具输入插座端或者电源引入端子与外壳裸露金属部件之间的绝缘电阻在正常大气条件下应≥100MΩ，湿热条件下应≥2MΩ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31、抗拉强度：≥230Mpa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32、屈服强度：≥170Mpa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33、灰度等级：采用16bit技术</w:t>
            </w:r>
          </w:p>
          <w:p>
            <w:pPr>
              <w:adjustRightInd w:val="0"/>
              <w:snapToGrid w:val="0"/>
              <w:jc w:val="left"/>
              <w:rPr>
                <w:rFonts w:hint="eastAsia" w:ascii="宋体" w:hAnsi="宋体" w:cs="宋体"/>
                <w:sz w:val="21"/>
                <w:szCs w:val="21"/>
              </w:rPr>
            </w:pPr>
            <w:r>
              <w:rPr>
                <w:rFonts w:hint="eastAsia" w:ascii="宋体" w:hAnsi="宋体" w:cs="宋体"/>
                <w:sz w:val="21"/>
                <w:szCs w:val="21"/>
              </w:rPr>
              <w:t>34、采用EPWM灰阶控制技术提升低灰视觉效果，100%亮度时，16bit灰度；70%亮度，16bit灰度；50%亮度，16bit灰度；20%亮度，14bit灰度，显示画面无单列或单行像素失控现象；支持0-100%亮度时，8-16bits灰度自定义设置</w:t>
            </w:r>
          </w:p>
          <w:p>
            <w:pPr>
              <w:adjustRightInd w:val="0"/>
              <w:snapToGrid w:val="0"/>
              <w:jc w:val="left"/>
              <w:rPr>
                <w:rFonts w:hint="eastAsia" w:ascii="宋体" w:hAnsi="宋体" w:cs="宋体"/>
                <w:sz w:val="21"/>
                <w:szCs w:val="21"/>
              </w:rPr>
            </w:pPr>
            <w:r>
              <w:rPr>
                <w:rFonts w:hint="eastAsia" w:ascii="宋体" w:hAnsi="宋体" w:cs="宋体"/>
                <w:sz w:val="21"/>
                <w:szCs w:val="21"/>
              </w:rPr>
              <w:t>35、支持鬼影消除、首行暗亮消除、低灰偏色补偿、低灰均匀性、低灰横条纹消除、慢速开启、十字架消除、去坏点、毛毛虫消除、余辉消除、亮度缓慢变亮功能</w:t>
            </w:r>
          </w:p>
          <w:p>
            <w:pPr>
              <w:adjustRightInd w:val="0"/>
              <w:snapToGrid w:val="0"/>
              <w:jc w:val="left"/>
              <w:rPr>
                <w:rFonts w:hint="eastAsia" w:ascii="宋体" w:hAnsi="宋体" w:cs="宋体"/>
                <w:sz w:val="21"/>
                <w:szCs w:val="21"/>
              </w:rPr>
            </w:pPr>
            <w:r>
              <w:rPr>
                <w:rFonts w:hint="eastAsia" w:ascii="宋体" w:hAnsi="宋体" w:cs="宋体"/>
                <w:sz w:val="21"/>
                <w:szCs w:val="21"/>
              </w:rPr>
              <w:t>36、抗电强度：在器具输入插座端与屏正面之间施加试验电压3kv/50Hz，保持1min，不应出现飞弧和击穿现象</w:t>
            </w:r>
          </w:p>
          <w:p>
            <w:pPr>
              <w:adjustRightInd w:val="0"/>
              <w:snapToGrid w:val="0"/>
              <w:jc w:val="left"/>
              <w:rPr>
                <w:rFonts w:hint="eastAsia" w:ascii="宋体" w:hAnsi="宋体" w:cs="宋体"/>
                <w:sz w:val="21"/>
                <w:szCs w:val="21"/>
              </w:rPr>
            </w:pPr>
            <w:r>
              <w:rPr>
                <w:rFonts w:hint="eastAsia" w:ascii="宋体" w:hAnsi="宋体" w:cs="宋体"/>
                <w:sz w:val="21"/>
                <w:szCs w:val="21"/>
              </w:rPr>
              <w:t>37、LED显示屏图像质量主观评价优、支持4K超清技术、HDR高动态光照渲染技术；含视屏处理器</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31.74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控制电脑</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1.台式机箱 i5-12400F -、8GB 内存 (双内存插槽 )</w:t>
            </w:r>
          </w:p>
          <w:p>
            <w:pPr>
              <w:adjustRightInd w:val="0"/>
              <w:snapToGrid w:val="0"/>
              <w:jc w:val="left"/>
              <w:rPr>
                <w:rFonts w:hint="eastAsia" w:ascii="宋体" w:hAnsi="宋体" w:cs="宋体"/>
                <w:sz w:val="21"/>
                <w:szCs w:val="21"/>
              </w:rPr>
            </w:pPr>
            <w:r>
              <w:rPr>
                <w:rFonts w:hint="eastAsia" w:ascii="宋体" w:hAnsi="宋体" w:cs="宋体"/>
                <w:sz w:val="21"/>
                <w:szCs w:val="21"/>
              </w:rPr>
              <w:t>2.1TB HD 7200RPM3.5" SATA3硬盘、2G独立显卡、集成1000M网卡、防水键盘、USB鼠标、DVDRW、配23.8寸显示器，带低蓝光质保五年。</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4</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控制箱</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控制箱及电缆 按需定制</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台</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5</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网线</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六类国标</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6</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拆除原有电子屏，运输及安装</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拆除原有电子屏，运输及安装</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项</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7</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8</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9</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10</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13</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60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w:t>
            </w:r>
          </w:p>
        </w:tc>
        <w:tc>
          <w:tcPr>
            <w:tcW w:w="1376"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显示设备</w:t>
            </w:r>
          </w:p>
        </w:tc>
        <w:tc>
          <w:tcPr>
            <w:tcW w:w="6520" w:type="dxa"/>
            <w:gridSpan w:val="3"/>
            <w:vAlign w:val="center"/>
          </w:tcPr>
          <w:p>
            <w:pPr>
              <w:adjustRightInd w:val="0"/>
              <w:snapToGrid w:val="0"/>
              <w:jc w:val="left"/>
              <w:rPr>
                <w:rFonts w:hint="eastAsia" w:ascii="宋体" w:hAnsi="宋体" w:cs="宋体"/>
                <w:sz w:val="21"/>
                <w:szCs w:val="21"/>
              </w:rPr>
            </w:pPr>
            <w:r>
              <w:rPr>
                <w:rFonts w:hint="eastAsia" w:ascii="宋体" w:hAnsi="宋体" w:cs="宋体"/>
                <w:sz w:val="21"/>
                <w:szCs w:val="21"/>
              </w:rPr>
              <w:t>1.像素点间距：≤4.75mm</w:t>
            </w:r>
          </w:p>
          <w:p>
            <w:pPr>
              <w:adjustRightInd w:val="0"/>
              <w:snapToGrid w:val="0"/>
              <w:jc w:val="left"/>
              <w:rPr>
                <w:rFonts w:hint="eastAsia" w:ascii="宋体" w:hAnsi="宋体" w:cs="宋体"/>
                <w:sz w:val="21"/>
                <w:szCs w:val="21"/>
              </w:rPr>
            </w:pPr>
            <w:r>
              <w:rPr>
                <w:rFonts w:hint="eastAsia" w:ascii="宋体" w:hAnsi="宋体" w:cs="宋体"/>
                <w:sz w:val="21"/>
                <w:szCs w:val="21"/>
              </w:rPr>
              <w:t>2.像素密度：≥44321Dots/m2</w:t>
            </w:r>
          </w:p>
          <w:p>
            <w:pPr>
              <w:adjustRightInd w:val="0"/>
              <w:snapToGrid w:val="0"/>
              <w:jc w:val="left"/>
              <w:rPr>
                <w:rFonts w:hint="eastAsia" w:ascii="宋体" w:hAnsi="宋体" w:cs="宋体"/>
                <w:sz w:val="21"/>
                <w:szCs w:val="21"/>
              </w:rPr>
            </w:pPr>
            <w:r>
              <w:rPr>
                <w:rFonts w:hint="eastAsia" w:ascii="宋体" w:hAnsi="宋体" w:cs="宋体"/>
                <w:sz w:val="21"/>
                <w:szCs w:val="21"/>
              </w:rPr>
              <w:t>3.单元板分辨率：≥2048Dots</w:t>
            </w:r>
          </w:p>
          <w:p>
            <w:pPr>
              <w:adjustRightInd w:val="0"/>
              <w:snapToGrid w:val="0"/>
              <w:jc w:val="left"/>
              <w:rPr>
                <w:rFonts w:hint="eastAsia" w:ascii="宋体" w:hAnsi="宋体" w:cs="宋体"/>
                <w:sz w:val="21"/>
                <w:szCs w:val="21"/>
              </w:rPr>
            </w:pPr>
            <w:r>
              <w:rPr>
                <w:rFonts w:hint="eastAsia" w:ascii="宋体" w:hAnsi="宋体" w:cs="宋体"/>
                <w:sz w:val="21"/>
                <w:szCs w:val="21"/>
              </w:rPr>
              <w:t>4.像素构成：1R</w:t>
            </w:r>
          </w:p>
          <w:p>
            <w:pPr>
              <w:adjustRightInd w:val="0"/>
              <w:snapToGrid w:val="0"/>
              <w:jc w:val="left"/>
              <w:rPr>
                <w:rFonts w:hint="eastAsia" w:ascii="宋体" w:hAnsi="宋体" w:cs="宋体"/>
                <w:sz w:val="21"/>
                <w:szCs w:val="21"/>
              </w:rPr>
            </w:pPr>
            <w:r>
              <w:rPr>
                <w:rFonts w:hint="eastAsia" w:ascii="宋体" w:hAnsi="宋体" w:cs="宋体"/>
                <w:sz w:val="21"/>
                <w:szCs w:val="21"/>
              </w:rPr>
              <w:t>5.显示效果：色温均匀性好、亮度匀性好，对比度高</w:t>
            </w:r>
          </w:p>
          <w:p>
            <w:pPr>
              <w:adjustRightInd w:val="0"/>
              <w:snapToGrid w:val="0"/>
              <w:jc w:val="left"/>
              <w:rPr>
                <w:rFonts w:hint="eastAsia" w:ascii="宋体" w:hAnsi="宋体" w:cs="宋体"/>
                <w:sz w:val="21"/>
                <w:szCs w:val="21"/>
              </w:rPr>
            </w:pPr>
            <w:r>
              <w:rPr>
                <w:rFonts w:hint="eastAsia" w:ascii="宋体" w:hAnsi="宋体" w:cs="宋体"/>
                <w:sz w:val="21"/>
                <w:szCs w:val="21"/>
              </w:rPr>
              <w:t>6.驱动方式：恒流驱动</w:t>
            </w:r>
          </w:p>
          <w:p>
            <w:pPr>
              <w:adjustRightInd w:val="0"/>
              <w:snapToGrid w:val="0"/>
              <w:jc w:val="left"/>
              <w:rPr>
                <w:rFonts w:hint="eastAsia" w:ascii="宋体" w:hAnsi="宋体" w:cs="宋体"/>
                <w:sz w:val="21"/>
                <w:szCs w:val="21"/>
              </w:rPr>
            </w:pPr>
            <w:r>
              <w:rPr>
                <w:rFonts w:hint="eastAsia" w:ascii="宋体" w:hAnsi="宋体" w:cs="宋体"/>
                <w:sz w:val="21"/>
                <w:szCs w:val="21"/>
              </w:rPr>
              <w:t>7.供电方式：支持电源均流DC4.2V～DC5V</w:t>
            </w:r>
          </w:p>
          <w:p>
            <w:pPr>
              <w:adjustRightInd w:val="0"/>
              <w:snapToGrid w:val="0"/>
              <w:jc w:val="left"/>
              <w:rPr>
                <w:rFonts w:hint="eastAsia" w:ascii="宋体" w:hAnsi="宋体" w:cs="宋体"/>
                <w:sz w:val="21"/>
                <w:szCs w:val="21"/>
              </w:rPr>
            </w:pPr>
            <w:r>
              <w:rPr>
                <w:rFonts w:hint="eastAsia" w:ascii="宋体" w:hAnsi="宋体" w:cs="宋体"/>
                <w:sz w:val="21"/>
                <w:szCs w:val="21"/>
              </w:rPr>
              <w:t>8.整屏平整度：≤0.01mm</w:t>
            </w:r>
          </w:p>
          <w:p>
            <w:pPr>
              <w:adjustRightInd w:val="0"/>
              <w:snapToGrid w:val="0"/>
              <w:jc w:val="left"/>
              <w:rPr>
                <w:rFonts w:hint="eastAsia" w:ascii="宋体" w:hAnsi="宋体" w:cs="宋体"/>
                <w:sz w:val="21"/>
                <w:szCs w:val="21"/>
              </w:rPr>
            </w:pPr>
            <w:r>
              <w:rPr>
                <w:rFonts w:hint="eastAsia" w:ascii="宋体" w:hAnsi="宋体" w:cs="宋体"/>
                <w:sz w:val="21"/>
                <w:szCs w:val="21"/>
              </w:rPr>
              <w:t>9.模组平整度：≤0.01mm</w:t>
            </w:r>
          </w:p>
          <w:p>
            <w:pPr>
              <w:adjustRightInd w:val="0"/>
              <w:snapToGrid w:val="0"/>
              <w:jc w:val="left"/>
              <w:rPr>
                <w:rFonts w:hint="eastAsia" w:ascii="宋体" w:hAnsi="宋体" w:cs="宋体"/>
                <w:sz w:val="21"/>
                <w:szCs w:val="21"/>
              </w:rPr>
            </w:pPr>
            <w:r>
              <w:rPr>
                <w:rFonts w:hint="eastAsia" w:ascii="宋体" w:hAnsi="宋体" w:cs="宋体"/>
                <w:sz w:val="21"/>
                <w:szCs w:val="21"/>
              </w:rPr>
              <w:t>10.拼接缝：≤0.01mm</w:t>
            </w:r>
          </w:p>
          <w:p>
            <w:pPr>
              <w:adjustRightInd w:val="0"/>
              <w:snapToGrid w:val="0"/>
              <w:jc w:val="left"/>
              <w:rPr>
                <w:rFonts w:hint="eastAsia" w:ascii="宋体" w:hAnsi="宋体" w:cs="宋体"/>
                <w:sz w:val="21"/>
                <w:szCs w:val="21"/>
              </w:rPr>
            </w:pPr>
            <w:r>
              <w:rPr>
                <w:rFonts w:hint="eastAsia" w:ascii="宋体" w:hAnsi="宋体" w:cs="宋体"/>
                <w:sz w:val="21"/>
                <w:szCs w:val="21"/>
              </w:rPr>
              <w:t>11.模组套件:无螺丝工艺套件</w:t>
            </w:r>
          </w:p>
          <w:p>
            <w:pPr>
              <w:adjustRightInd w:val="0"/>
              <w:snapToGrid w:val="0"/>
              <w:jc w:val="left"/>
              <w:rPr>
                <w:rFonts w:hint="eastAsia" w:ascii="宋体" w:hAnsi="宋体" w:cs="宋体"/>
                <w:sz w:val="21"/>
                <w:szCs w:val="21"/>
              </w:rPr>
            </w:pPr>
            <w:r>
              <w:rPr>
                <w:rFonts w:hint="eastAsia" w:ascii="宋体" w:hAnsi="宋体" w:cs="宋体"/>
                <w:sz w:val="21"/>
                <w:szCs w:val="21"/>
              </w:rPr>
              <w:t>12.白平衡亮度：≥270Cd/m²</w:t>
            </w:r>
          </w:p>
          <w:p>
            <w:pPr>
              <w:adjustRightInd w:val="0"/>
              <w:snapToGrid w:val="0"/>
              <w:jc w:val="left"/>
              <w:rPr>
                <w:rFonts w:hint="eastAsia" w:ascii="宋体" w:hAnsi="宋体" w:cs="宋体"/>
                <w:sz w:val="21"/>
                <w:szCs w:val="21"/>
              </w:rPr>
            </w:pPr>
            <w:r>
              <w:rPr>
                <w:rFonts w:hint="eastAsia" w:ascii="宋体" w:hAnsi="宋体" w:cs="宋体"/>
                <w:sz w:val="21"/>
                <w:szCs w:val="21"/>
              </w:rPr>
              <w:t>13.亮度均匀性：≥98%</w:t>
            </w:r>
          </w:p>
          <w:p>
            <w:pPr>
              <w:adjustRightInd w:val="0"/>
              <w:snapToGrid w:val="0"/>
              <w:jc w:val="left"/>
              <w:rPr>
                <w:rFonts w:hint="eastAsia" w:ascii="宋体" w:hAnsi="宋体" w:cs="宋体"/>
                <w:sz w:val="21"/>
                <w:szCs w:val="21"/>
              </w:rPr>
            </w:pPr>
            <w:r>
              <w:rPr>
                <w:rFonts w:hint="eastAsia" w:ascii="宋体" w:hAnsi="宋体" w:cs="宋体"/>
                <w:sz w:val="21"/>
                <w:szCs w:val="21"/>
              </w:rPr>
              <w:t>14.色度均匀性：±0.002Cx、Cy内</w:t>
            </w:r>
          </w:p>
          <w:p>
            <w:pPr>
              <w:adjustRightInd w:val="0"/>
              <w:snapToGrid w:val="0"/>
              <w:jc w:val="left"/>
              <w:rPr>
                <w:rFonts w:hint="eastAsia" w:ascii="宋体" w:hAnsi="宋体" w:cs="宋体"/>
                <w:sz w:val="21"/>
                <w:szCs w:val="21"/>
              </w:rPr>
            </w:pPr>
            <w:r>
              <w:rPr>
                <w:rFonts w:hint="eastAsia" w:ascii="宋体" w:hAnsi="宋体" w:cs="宋体"/>
                <w:sz w:val="21"/>
                <w:szCs w:val="21"/>
              </w:rPr>
              <w:t>15.水平视角：≥160°</w:t>
            </w:r>
          </w:p>
          <w:p>
            <w:pPr>
              <w:adjustRightInd w:val="0"/>
              <w:snapToGrid w:val="0"/>
              <w:jc w:val="left"/>
              <w:rPr>
                <w:rFonts w:hint="eastAsia" w:ascii="宋体" w:hAnsi="宋体" w:cs="宋体"/>
                <w:sz w:val="21"/>
                <w:szCs w:val="21"/>
              </w:rPr>
            </w:pPr>
            <w:r>
              <w:rPr>
                <w:rFonts w:hint="eastAsia" w:ascii="宋体" w:hAnsi="宋体" w:cs="宋体"/>
                <w:sz w:val="21"/>
                <w:szCs w:val="21"/>
              </w:rPr>
              <w:t>16.垂直视角：≥160°</w:t>
            </w:r>
          </w:p>
          <w:p>
            <w:pPr>
              <w:adjustRightInd w:val="0"/>
              <w:snapToGrid w:val="0"/>
              <w:jc w:val="left"/>
              <w:rPr>
                <w:rFonts w:hint="eastAsia" w:ascii="宋体" w:hAnsi="宋体" w:cs="宋体"/>
                <w:sz w:val="21"/>
                <w:szCs w:val="21"/>
              </w:rPr>
            </w:pPr>
            <w:r>
              <w:rPr>
                <w:rFonts w:hint="eastAsia" w:ascii="宋体" w:hAnsi="宋体" w:cs="宋体"/>
                <w:sz w:val="21"/>
                <w:szCs w:val="21"/>
              </w:rPr>
              <w:t>17.对比度：≥6000：1</w:t>
            </w:r>
          </w:p>
          <w:p>
            <w:pPr>
              <w:adjustRightInd w:val="0"/>
              <w:snapToGrid w:val="0"/>
              <w:jc w:val="left"/>
              <w:rPr>
                <w:rFonts w:hint="eastAsia" w:ascii="宋体" w:hAnsi="宋体" w:cs="宋体"/>
                <w:sz w:val="21"/>
                <w:szCs w:val="21"/>
              </w:rPr>
            </w:pPr>
            <w:r>
              <w:rPr>
                <w:rFonts w:hint="eastAsia" w:ascii="宋体" w:hAnsi="宋体" w:cs="宋体"/>
                <w:sz w:val="21"/>
                <w:szCs w:val="21"/>
              </w:rPr>
              <w:t>18.刷新率：≥960Hz</w:t>
            </w:r>
          </w:p>
          <w:p>
            <w:pPr>
              <w:adjustRightInd w:val="0"/>
              <w:snapToGrid w:val="0"/>
              <w:jc w:val="left"/>
              <w:rPr>
                <w:rFonts w:hint="eastAsia" w:ascii="宋体" w:hAnsi="宋体" w:cs="宋体"/>
                <w:sz w:val="21"/>
                <w:szCs w:val="21"/>
              </w:rPr>
            </w:pPr>
            <w:r>
              <w:rPr>
                <w:rFonts w:hint="eastAsia" w:ascii="宋体" w:hAnsi="宋体" w:cs="宋体"/>
                <w:sz w:val="21"/>
                <w:szCs w:val="21"/>
              </w:rPr>
              <w:t>19.像素失控率：&lt;1/100000</w:t>
            </w:r>
          </w:p>
          <w:p>
            <w:pPr>
              <w:adjustRightInd w:val="0"/>
              <w:snapToGrid w:val="0"/>
              <w:jc w:val="left"/>
              <w:rPr>
                <w:rFonts w:hint="eastAsia" w:ascii="宋体" w:hAnsi="宋体" w:cs="宋体"/>
                <w:sz w:val="21"/>
                <w:szCs w:val="21"/>
              </w:rPr>
            </w:pPr>
            <w:r>
              <w:rPr>
                <w:rFonts w:hint="eastAsia" w:ascii="宋体" w:hAnsi="宋体" w:cs="宋体"/>
                <w:sz w:val="21"/>
                <w:szCs w:val="21"/>
              </w:rPr>
              <w:t>20.发光点中心偏距：＜0.8%</w:t>
            </w:r>
          </w:p>
          <w:p>
            <w:pPr>
              <w:adjustRightInd w:val="0"/>
              <w:snapToGrid w:val="0"/>
              <w:jc w:val="left"/>
              <w:rPr>
                <w:rFonts w:hint="eastAsia" w:ascii="宋体" w:hAnsi="宋体" w:cs="宋体"/>
                <w:sz w:val="21"/>
                <w:szCs w:val="21"/>
              </w:rPr>
            </w:pPr>
            <w:r>
              <w:rPr>
                <w:rFonts w:hint="eastAsia" w:ascii="宋体" w:hAnsi="宋体" w:cs="宋体"/>
                <w:sz w:val="21"/>
                <w:szCs w:val="21"/>
              </w:rPr>
              <w:t>21.峰值功耗：≤190W/m²</w:t>
            </w:r>
          </w:p>
          <w:p>
            <w:pPr>
              <w:adjustRightInd w:val="0"/>
              <w:snapToGrid w:val="0"/>
              <w:jc w:val="left"/>
              <w:rPr>
                <w:rFonts w:hint="eastAsia" w:ascii="宋体" w:hAnsi="宋体" w:cs="宋体"/>
                <w:sz w:val="21"/>
                <w:szCs w:val="21"/>
              </w:rPr>
            </w:pPr>
            <w:r>
              <w:rPr>
                <w:rFonts w:hint="eastAsia" w:ascii="宋体" w:hAnsi="宋体" w:cs="宋体"/>
                <w:sz w:val="21"/>
                <w:szCs w:val="21"/>
              </w:rPr>
              <w:t>22.平均功耗：≤70W/m²</w:t>
            </w:r>
          </w:p>
          <w:p>
            <w:pPr>
              <w:adjustRightInd w:val="0"/>
              <w:snapToGrid w:val="0"/>
              <w:jc w:val="left"/>
              <w:rPr>
                <w:rFonts w:hint="eastAsia" w:ascii="宋体" w:hAnsi="宋体" w:cs="宋体"/>
                <w:sz w:val="21"/>
                <w:szCs w:val="21"/>
              </w:rPr>
            </w:pPr>
            <w:r>
              <w:rPr>
                <w:rFonts w:hint="eastAsia" w:ascii="宋体" w:hAnsi="宋体" w:cs="宋体"/>
                <w:sz w:val="21"/>
                <w:szCs w:val="21"/>
              </w:rPr>
              <w:t>23.最大电流：≤5A</w:t>
            </w:r>
          </w:p>
          <w:p>
            <w:pPr>
              <w:adjustRightInd w:val="0"/>
              <w:snapToGrid w:val="0"/>
              <w:jc w:val="left"/>
              <w:rPr>
                <w:rFonts w:hint="eastAsia" w:ascii="宋体" w:hAnsi="宋体" w:cs="宋体"/>
                <w:sz w:val="21"/>
                <w:szCs w:val="21"/>
              </w:rPr>
            </w:pPr>
            <w:r>
              <w:rPr>
                <w:rFonts w:hint="eastAsia" w:ascii="宋体" w:hAnsi="宋体" w:cs="宋体"/>
                <w:sz w:val="21"/>
                <w:szCs w:val="21"/>
              </w:rPr>
              <w:t>24.PCB板材采用玻璃化温度≥150℃的覆铜板</w:t>
            </w:r>
          </w:p>
          <w:p>
            <w:pPr>
              <w:adjustRightInd w:val="0"/>
              <w:snapToGrid w:val="0"/>
              <w:jc w:val="left"/>
              <w:rPr>
                <w:rFonts w:hint="eastAsia" w:ascii="宋体" w:hAnsi="宋体" w:cs="宋体"/>
                <w:sz w:val="21"/>
                <w:szCs w:val="21"/>
              </w:rPr>
            </w:pPr>
            <w:r>
              <w:rPr>
                <w:rFonts w:hint="eastAsia" w:ascii="宋体" w:hAnsi="宋体" w:cs="宋体"/>
                <w:sz w:val="21"/>
                <w:szCs w:val="21"/>
              </w:rPr>
              <w:t>25.绝缘电阻：在器具输入插座端或者电源引入端子与外壳裸露金属部件之间的绝缘电阻在正常大气条件下应≥100MΩ，湿热条件下应≥2MΩ</w:t>
            </w:r>
          </w:p>
          <w:p>
            <w:pPr>
              <w:adjustRightInd w:val="0"/>
              <w:snapToGrid w:val="0"/>
              <w:jc w:val="left"/>
              <w:rPr>
                <w:rFonts w:hint="eastAsia" w:ascii="宋体" w:hAnsi="宋体" w:cs="宋体"/>
                <w:sz w:val="21"/>
                <w:szCs w:val="21"/>
              </w:rPr>
            </w:pPr>
            <w:r>
              <w:rPr>
                <w:rFonts w:hint="eastAsia" w:ascii="宋体" w:hAnsi="宋体" w:cs="宋体"/>
                <w:sz w:val="21"/>
                <w:szCs w:val="21"/>
              </w:rPr>
              <w:t>26.抗拉强度：≥230Mpa</w:t>
            </w:r>
          </w:p>
          <w:p>
            <w:pPr>
              <w:adjustRightInd w:val="0"/>
              <w:snapToGrid w:val="0"/>
              <w:jc w:val="left"/>
              <w:rPr>
                <w:rFonts w:hint="eastAsia" w:ascii="宋体" w:hAnsi="宋体" w:cs="宋体"/>
                <w:sz w:val="21"/>
                <w:szCs w:val="21"/>
              </w:rPr>
            </w:pPr>
            <w:r>
              <w:rPr>
                <w:rFonts w:hint="eastAsia" w:ascii="宋体" w:hAnsi="宋体" w:cs="宋体"/>
                <w:sz w:val="21"/>
                <w:szCs w:val="21"/>
              </w:rPr>
              <w:t>27.屈服强度：≥170Mpa</w:t>
            </w:r>
          </w:p>
          <w:p>
            <w:pPr>
              <w:adjustRightInd w:val="0"/>
              <w:snapToGrid w:val="0"/>
              <w:jc w:val="left"/>
              <w:rPr>
                <w:rFonts w:hint="eastAsia" w:ascii="宋体" w:hAnsi="宋体" w:cs="宋体"/>
                <w:sz w:val="21"/>
                <w:szCs w:val="21"/>
              </w:rPr>
            </w:pPr>
            <w:r>
              <w:rPr>
                <w:rFonts w:hint="eastAsia" w:ascii="宋体" w:hAnsi="宋体" w:cs="宋体"/>
                <w:sz w:val="21"/>
                <w:szCs w:val="21"/>
              </w:rPr>
              <w:t>28.灰度等级：采用8bit技术</w:t>
            </w:r>
          </w:p>
          <w:p>
            <w:pPr>
              <w:adjustRightInd w:val="0"/>
              <w:snapToGrid w:val="0"/>
              <w:jc w:val="left"/>
              <w:rPr>
                <w:rFonts w:hint="eastAsia" w:ascii="宋体" w:hAnsi="宋体" w:cs="宋体"/>
                <w:sz w:val="21"/>
                <w:szCs w:val="21"/>
              </w:rPr>
            </w:pPr>
            <w:r>
              <w:rPr>
                <w:rFonts w:hint="eastAsia" w:ascii="宋体" w:hAnsi="宋体" w:cs="宋体"/>
                <w:sz w:val="21"/>
                <w:szCs w:val="21"/>
              </w:rPr>
              <w:t>29.防护性能：具有防静电、防电磁干扰、防腐蚀、防霉菌、防虫、防潮、抗震动、抗雷击等功能；具有电源过压、过流、断电保护、分布上电措施</w:t>
            </w:r>
          </w:p>
          <w:p>
            <w:pPr>
              <w:adjustRightInd w:val="0"/>
              <w:snapToGrid w:val="0"/>
              <w:jc w:val="left"/>
              <w:rPr>
                <w:rFonts w:hint="eastAsia" w:ascii="宋体" w:hAnsi="宋体" w:cs="宋体"/>
                <w:sz w:val="21"/>
                <w:szCs w:val="21"/>
              </w:rPr>
            </w:pPr>
            <w:r>
              <w:rPr>
                <w:rFonts w:hint="eastAsia" w:ascii="宋体" w:hAnsi="宋体" w:cs="宋体"/>
                <w:sz w:val="21"/>
                <w:szCs w:val="21"/>
              </w:rPr>
              <w:t>30.LED显示屏通过在正常环境下168h不间断运行无故障的老化测试</w:t>
            </w:r>
          </w:p>
          <w:p>
            <w:pPr>
              <w:adjustRightInd w:val="0"/>
              <w:snapToGrid w:val="0"/>
              <w:jc w:val="left"/>
              <w:rPr>
                <w:rFonts w:hint="eastAsia" w:ascii="宋体" w:hAnsi="宋体" w:cs="宋体"/>
                <w:sz w:val="21"/>
                <w:szCs w:val="21"/>
              </w:rPr>
            </w:pPr>
            <w:r>
              <w:rPr>
                <w:rFonts w:hint="eastAsia" w:ascii="宋体" w:hAnsi="宋体" w:cs="宋体"/>
                <w:sz w:val="21"/>
                <w:szCs w:val="21"/>
              </w:rPr>
              <w:t>31.使用寿命：≥100000h</w:t>
            </w:r>
          </w:p>
          <w:p>
            <w:pPr>
              <w:adjustRightInd w:val="0"/>
              <w:snapToGrid w:val="0"/>
              <w:jc w:val="left"/>
              <w:rPr>
                <w:rFonts w:hint="eastAsia" w:ascii="宋体" w:hAnsi="宋体" w:cs="宋体"/>
                <w:sz w:val="21"/>
                <w:szCs w:val="21"/>
              </w:rPr>
            </w:pPr>
            <w:r>
              <w:rPr>
                <w:rFonts w:hint="eastAsia" w:ascii="宋体" w:hAnsi="宋体" w:cs="宋体"/>
                <w:sz w:val="21"/>
                <w:szCs w:val="21"/>
              </w:rPr>
              <w:t>32.平均无故障时间：MTBF平均无故障时间≥20000h；MTTR平均修复时间≤4分钟</w:t>
            </w:r>
          </w:p>
          <w:p>
            <w:pPr>
              <w:adjustRightInd w:val="0"/>
              <w:snapToGrid w:val="0"/>
              <w:jc w:val="left"/>
              <w:rPr>
                <w:rFonts w:hint="eastAsia" w:ascii="宋体" w:hAnsi="宋体" w:cs="宋体"/>
                <w:sz w:val="21"/>
                <w:szCs w:val="21"/>
              </w:rPr>
            </w:pPr>
            <w:r>
              <w:rPr>
                <w:rFonts w:hint="eastAsia" w:ascii="宋体" w:hAnsi="宋体" w:cs="宋体"/>
                <w:sz w:val="21"/>
                <w:szCs w:val="21"/>
              </w:rPr>
              <w:t>33.屏幕温升：最高亮度（白平衡）持续工作4小时，模组表面温升小于20K</w:t>
            </w:r>
          </w:p>
          <w:p>
            <w:pPr>
              <w:adjustRightInd w:val="0"/>
              <w:snapToGrid w:val="0"/>
              <w:jc w:val="left"/>
              <w:rPr>
                <w:rFonts w:hint="eastAsia" w:ascii="宋体" w:hAnsi="宋体" w:cs="宋体"/>
                <w:sz w:val="21"/>
                <w:szCs w:val="21"/>
              </w:rPr>
            </w:pPr>
            <w:r>
              <w:rPr>
                <w:rFonts w:hint="eastAsia" w:ascii="宋体" w:hAnsi="宋体" w:cs="宋体"/>
                <w:sz w:val="21"/>
                <w:szCs w:val="21"/>
              </w:rPr>
              <w:t>34.为确保屏体在不同的环境下仍可正常启动工作，要求投标人所投LED显示屏须通过零下40℃和高温80℃的环境运行12h产品能正常工作。</w:t>
            </w:r>
          </w:p>
        </w:tc>
        <w:tc>
          <w:tcPr>
            <w:tcW w:w="613" w:type="dxa"/>
            <w:gridSpan w:val="2"/>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m2</w:t>
            </w:r>
          </w:p>
        </w:tc>
        <w:tc>
          <w:tcPr>
            <w:tcW w:w="320" w:type="dxa"/>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12.92</w:t>
            </w:r>
          </w:p>
        </w:tc>
      </w:tr>
    </w:tbl>
    <w:p>
      <w:pPr>
        <w:rPr>
          <w:rFonts w:hint="eastAsia" w:asciiTheme="minorEastAsia" w:hAnsiTheme="minorEastAsia" w:eastAsiaTheme="minorEastAsia" w:cstheme="minorEastAsia"/>
          <w:b w:val="0"/>
          <w:bCs w:val="0"/>
          <w:sz w:val="21"/>
          <w:szCs w:val="21"/>
          <w:u w:val="none"/>
          <w:lang w:val="en-US" w:eastAsia="zh-CN" w:bidi="zh-CN"/>
        </w:rPr>
      </w:pPr>
    </w:p>
    <w:p>
      <w:pPr>
        <w:pStyle w:val="15"/>
        <w:rPr>
          <w:rFonts w:hint="eastAsia" w:asciiTheme="minorEastAsia" w:hAnsiTheme="minorEastAsia" w:eastAsiaTheme="minorEastAsia" w:cstheme="minorEastAsia"/>
          <w:b w:val="0"/>
          <w:bCs w:val="0"/>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pStyle w:val="15"/>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asciiTheme="minorEastAsia" w:hAnsiTheme="minorEastAsia" w:eastAsiaTheme="minorEastAsia" w:cstheme="minorEastAsia"/>
          <w:b/>
          <w:bCs/>
          <w:sz w:val="21"/>
          <w:szCs w:val="21"/>
          <w:u w:val="none"/>
          <w:lang w:val="en-US" w:eastAsia="zh-CN" w:bidi="zh-CN"/>
        </w:rPr>
      </w:pPr>
    </w:p>
    <w:p>
      <w:pPr>
        <w:numPr>
          <w:ilvl w:val="0"/>
          <w:numId w:val="0"/>
        </w:numPr>
        <w:rPr>
          <w:rFonts w:hint="eastAsia"/>
          <w:lang w:val="en-US" w:eastAsia="zh-CN"/>
        </w:rPr>
      </w:pPr>
      <w:r>
        <w:rPr>
          <w:rFonts w:hint="eastAsia" w:asciiTheme="minorEastAsia" w:hAnsiTheme="minorEastAsia" w:eastAsiaTheme="minorEastAsia" w:cstheme="minorEastAsia"/>
          <w:b/>
          <w:bCs/>
          <w:sz w:val="21"/>
          <w:szCs w:val="21"/>
          <w:u w:val="none"/>
          <w:lang w:val="en-US" w:eastAsia="zh-CN" w:bidi="zh-CN"/>
        </w:rPr>
        <w:t>（二）标项2办公家具采购</w:t>
      </w:r>
    </w:p>
    <w:tbl>
      <w:tblPr>
        <w:tblStyle w:val="25"/>
        <w:tblpPr w:leftFromText="180" w:rightFromText="180" w:vertAnchor="text" w:horzAnchor="page" w:tblpX="1053" w:tblpY="593"/>
        <w:tblOverlap w:val="never"/>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6452"/>
        <w:gridCol w:w="70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b/>
                <w:bCs/>
                <w:sz w:val="21"/>
                <w:szCs w:val="21"/>
              </w:rPr>
            </w:pPr>
            <w:r>
              <w:rPr>
                <w:rFonts w:hint="eastAsia" w:ascii="宋体" w:hAnsi="宋体" w:cs="宋体"/>
                <w:b/>
                <w:bCs/>
                <w:kern w:val="0"/>
                <w:sz w:val="21"/>
                <w:szCs w:val="21"/>
                <w:lang w:bidi="ar"/>
              </w:rPr>
              <w:t>序号</w:t>
            </w:r>
          </w:p>
        </w:tc>
        <w:tc>
          <w:tcPr>
            <w:tcW w:w="1276" w:type="dxa"/>
            <w:vAlign w:val="center"/>
          </w:tcPr>
          <w:p>
            <w:pPr>
              <w:widowControl/>
              <w:adjustRightInd w:val="0"/>
              <w:snapToGrid w:val="0"/>
              <w:jc w:val="center"/>
              <w:textAlignment w:val="center"/>
              <w:rPr>
                <w:rFonts w:hint="eastAsia" w:ascii="宋体" w:hAnsi="宋体" w:cs="宋体"/>
                <w:b/>
                <w:bCs/>
                <w:sz w:val="21"/>
                <w:szCs w:val="21"/>
              </w:rPr>
            </w:pPr>
            <w:r>
              <w:rPr>
                <w:rFonts w:hint="eastAsia" w:ascii="宋体" w:hAnsi="宋体" w:cs="宋体"/>
                <w:b/>
                <w:bCs/>
                <w:kern w:val="0"/>
                <w:sz w:val="21"/>
                <w:szCs w:val="21"/>
                <w:lang w:bidi="ar"/>
              </w:rPr>
              <w:t>名称</w:t>
            </w:r>
          </w:p>
        </w:tc>
        <w:tc>
          <w:tcPr>
            <w:tcW w:w="6452" w:type="dxa"/>
            <w:vAlign w:val="center"/>
          </w:tcPr>
          <w:p>
            <w:pPr>
              <w:widowControl/>
              <w:adjustRightInd w:val="0"/>
              <w:snapToGrid w:val="0"/>
              <w:jc w:val="center"/>
              <w:textAlignment w:val="center"/>
              <w:rPr>
                <w:rFonts w:hint="eastAsia" w:ascii="宋体" w:hAnsi="宋体" w:cs="宋体"/>
                <w:b/>
                <w:bCs/>
                <w:sz w:val="21"/>
                <w:szCs w:val="21"/>
              </w:rPr>
            </w:pPr>
            <w:r>
              <w:rPr>
                <w:rFonts w:hint="eastAsia" w:ascii="宋体" w:hAnsi="宋体" w:cs="宋体"/>
                <w:b/>
                <w:bCs/>
                <w:kern w:val="0"/>
                <w:sz w:val="21"/>
                <w:szCs w:val="21"/>
                <w:lang w:bidi="ar"/>
              </w:rPr>
              <w:t>技术参数</w:t>
            </w:r>
          </w:p>
        </w:tc>
        <w:tc>
          <w:tcPr>
            <w:tcW w:w="700" w:type="dxa"/>
            <w:vAlign w:val="center"/>
          </w:tcPr>
          <w:p>
            <w:pPr>
              <w:widowControl/>
              <w:adjustRightInd w:val="0"/>
              <w:snapToGrid w:val="0"/>
              <w:jc w:val="center"/>
              <w:textAlignment w:val="center"/>
              <w:rPr>
                <w:rFonts w:hint="eastAsia" w:ascii="宋体" w:hAnsi="宋体" w:cs="宋体"/>
                <w:b/>
                <w:bCs/>
                <w:sz w:val="21"/>
                <w:szCs w:val="21"/>
              </w:rPr>
            </w:pPr>
            <w:r>
              <w:rPr>
                <w:rFonts w:hint="eastAsia" w:ascii="宋体" w:hAnsi="宋体" w:cs="宋体"/>
                <w:b/>
                <w:bCs/>
                <w:kern w:val="0"/>
                <w:sz w:val="21"/>
                <w:szCs w:val="21"/>
                <w:lang w:bidi="ar"/>
              </w:rPr>
              <w:t>单位</w:t>
            </w:r>
          </w:p>
        </w:tc>
        <w:tc>
          <w:tcPr>
            <w:tcW w:w="763" w:type="dxa"/>
            <w:vAlign w:val="center"/>
          </w:tcPr>
          <w:p>
            <w:pPr>
              <w:widowControl/>
              <w:adjustRightInd w:val="0"/>
              <w:snapToGrid w:val="0"/>
              <w:jc w:val="center"/>
              <w:textAlignment w:val="center"/>
              <w:rPr>
                <w:rFonts w:hint="eastAsia" w:ascii="宋体" w:hAnsi="宋体" w:cs="宋体"/>
                <w:b/>
                <w:bCs/>
                <w:sz w:val="21"/>
                <w:szCs w:val="21"/>
              </w:rPr>
            </w:pPr>
            <w:r>
              <w:rPr>
                <w:rFonts w:hint="eastAsia" w:ascii="宋体" w:hAnsi="宋体" w:cs="宋体"/>
                <w:b/>
                <w:bCs/>
                <w:kern w:val="0"/>
                <w:sz w:val="21"/>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规格：2000*900*760mm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1.基材：采用环保刨花板制作；</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饰面：采用三聚氰胺板饰面，表面耐划痕：大于90%的连续划痕，表面耐磨：磨耗值：14mg/100r，图案纹表面情况：保留50%以上花纹，试验合格，甲醛释放量（人造板及其制品中甲醛释放限量）＜0.3mg/m³，试验合格，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2.封边：封边：采用PVC封边条；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3.台面、侧板厚度为50mm，其他部件板材厚度不低于16mm，桌面带铝合金毛刷线盒；</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4.五金件：采用三节式静音阻尼轨道、阻尼式铰链，铝合金拉手、连接件等配件。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文件柜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规格：2000*480*2000mm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1.基材：采用刨花板制作；</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2.饰面：采用三聚氰胺板饰面；</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4.基材各板件加工工艺及厚度：侧板厚度18mm、顶板厚度18mm、门板厚度18mm，，柜内带活动隔板，高度可调，隔板厚度18mm；</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5.五金件：采用三节式静音阻尼轨道、阻尼式铰链，铝合金拉手、连接件等配件。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规格：常规</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1.饰面：采用环保西皮饰面，回弹力好，经久耐用的优点，干态气味2级，湿态气味2级，撕裂力≥30N，PH值≥4；</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2.靠背、座板：采用15mm多层曲木板热压成型，根据人体工程学原理设计；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3.海绵：采用高密度一次发泡成型海绵，75%压缩永久变形：≤5%，密度≥45KG/m³，游离甲醛小于20mg/kg；</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4.气压杆：气杆壁厚为2.0mm双永防爆电镀气杆；</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5.脚轮：铝合金五星脚，采用静音防滑PU轮，耐磨灵活；</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6.多段锁定底盘，壁厚为2.0MM，带后仰无级锁定功能。</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弓形椅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规格：460*605*900mm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1.饰面：采用环保西皮饰面，回弹力好，经久耐用的优点，干态气味2级，湿态气味2级，撕裂力≥30N，PH值≥4；</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2.靠背、座板：座板：采用15mm多层曲木板热压成型，根据人体工程学原理设计；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3.海棉：采用高密度一次发泡成型海绵，75%压缩永久变形：≤5%，密度≥45KG/m³，游离甲醛小于20mg/kg；</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4.椅架：采用φ25mm，壁厚2.5mm电镀金属弓形椅架。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三人位沙发</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规格：三人位#1910W*850D*790H</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1.饰面：采用环保西皮饰面，回弹力好，经久耐用的优点，干态气味2级，湿态气味2级，撕裂力≥30N，PH值≥4；</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2.海绵：采用高密度一次发泡成型海绵，75%压缩永久变形：≤5%，密度≥45KG/m³，游离甲醛小于20mg/kg；</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3.框架：沙发内架采用实木框架，经干燥、防腐、防虫处理；</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4.底部框架：采用电镀钢脚架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单人位沙发</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规格：单人位#910W*850D*790H</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1.饰面：采用环保西皮饰面，回弹力好，经久耐用的优点，干态气味2级，湿态气味2级，撕裂力≥30N，PH值≥4；</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2.海绵：采用高密度一次发泡成型海绵，75%压缩永久变形：≤5%，密度≥45KG/m³，游离甲醛小于20mg/kg；</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3.框架：沙发内架采用实木框架，经干燥、防腐、防虫处理；</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4.底部框架：采用电镀钢脚架。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茶几</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规格：1200*600*450mm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1.基材：采用刨花板制作，板材厚度25mm；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2.饰面：采用三聚氰胺板饰面，具有耐污、耐刻划、易清洁等特点；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4.五金件：采用五金配件；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8</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茶水柜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规格：1200*400*800mm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1.基材：采用环保刨花板制作，台面、侧板厚度采用18mm，其他部位采用不低于16mm；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2.饰面：采用三聚氰胺板饰面，具有耐污、耐刻划、易清洁等特点；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4.门铰采用液压式门铰，铝合金拉手，使用寿命10万次，采用锁具。</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规格：1600*800*760mm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1.基材：采用环保刨花板制作；</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2.饰面：采用三聚氰胺板饰面；</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4.台面、侧板厚度为50mm，其他部件板材厚度不低于16mm；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5.规格：桌面带铝合金毛刷线盒；</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 xml:space="preserve">6.★导轨：垂直向下静载荷(过载)：300N，10次试验后合格，金属涂层耐腐蚀等级：中性盐雾试验(NSS)，连续喷雾500h合格； </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7.锁具：采用锁具，金属涂层耐腐蚀等级：中性盐雾试验(NSS)，连续喷雾≥500h，10级试验后合格；</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8.铰链：采用铰链，金属涂层耐腐蚀等级：中性盐雾试验(NSS)，连续喷雾500h，10级试验后合格。</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文件柜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规格：1200*480*2000mm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1.基材：采用刨花板制作；</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2.饰面：采用三聚氰胺板饰面；</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4.基材各板件加工工艺及厚度：侧板厚度18mm、顶板厚度18mm、门板厚度18mm，，柜内带活动隔板，高度可调，隔板厚度18mm；</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5.★铰链，垂直静载荷（过载)：A型门，30kg，10次试验后合格，金属涂层耐腐蚀等级：中性盐雾试验(NSS)，连续喷雾500h，10级试验后合格。</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规格：640*690*1100-1200mm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1.头枕：采用PP材质，配网眼布，宽度310mm；高度170mm；可依据使用需求上下调节；</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2.椅背：采用pp材质，配网眼布、可滑动PP材质腰靠；宽度470mm;高度600mm；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3.扶手：采用PA+GF材质;扶手长248mm;宽75mm；独立扶手高310mm；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4.座包：采用Q201定型棉；9层12MM定型板；PP材质胶壳；SF-203布；座宽530mm，座深540mm;坐高450-520mm；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5.底盘：3.0mm厚的原为锁定底盘；</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6.椅脚：过测试340脚+60PU轮；</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7.气杆：过测试100#气杆。</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规格：1600*1600*1100mm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1.基材：采用刨花板，桌面厚度25mm，桌面预留直径60mm穿线孔，配穿线盒，桌下挡板用七字码连接，桌上挡板为闪银色喷漆处理；</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副柜：顶板及固定层板采用25mm厚刨花板，其余板材厚度16mm，上部为两个空格；下部一侧有放主机箱位置，一侧上面为空格，下面为对开门，门内有活动层板一块；副柜下带30高底脚，主机箱位置后板上装百叶窗通风件；</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3.饰面：采用三聚氰胺板制作，具有耐污、耐刻划、易清洁等特点；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4.封边：采用PVC封边条；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5.桌腿：口字型结构，采用60*30*1.5矩形管制作，连接梁采用50*25*1.5矩形管，内衬25*1.2方管，桌腿封板采用16mm刨花板，桌脚下有可调平底脚；</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6.带桌面及桌下挡板，采用七字码与桌面连接；</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7.五金件：采用五金配件，阻尼式铰链，门锁锁头为黑色，钥匙为可折叠的透明手柄</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人位</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3" w:hRule="atLeast"/>
        </w:trPr>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职员椅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规格：660（±10）*590（±10）*1030（±10）mm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1.面料：采用涤纶专业办公网眼布饰面，透气性强，手感舒适，回弹性好；</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2.海绵：采用高密度一次发泡成型海绵，75%压缩永久变形：≤5%，密度≥45KG/m³，游离甲醛小于20mg/kg；</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3.座板：采用9层12mm厚定型板高频热压成型，板材承受压力达300KG，经防潮、防腐、防蛀、防火等环保处理，座宽530mm，座深540mm；坐高450mm；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4.椅背框架：采用pp 材质制作，可滑动 PP 材质腰靠；宽度470mm，高度 600mm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5.扶手：采用PA+GF材质制作，固定扶手，扶手经圆滑处理，扶手长248mm，宽75mm，独立扶手高310mm；</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6.椅架：采用φ25*1.8MM（套管），经除油、除锈、磷化、酸洗、静电粉末喷涂处理。</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钢制文件柜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规格：900*400*1850mm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1.柜体：采用0.8mm厚冷轧钢板，拉手采用内凹扣手，柜内隔板活动可调，可根据个性须求灵活使用；</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2.上门共二块活动隔板，可上下调节，上门为对开玻璃门，采用5mm玻璃，下门为钢制柜门,内凹扣手，明锁扣；</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3.柜门内装有减震垫，以减轻关门时的噪音，采用可拆卸隐藏式静音镀锌合页；</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4.钢制件外表面处理工艺：全部采用除油、除锈、磷化、清洗、静电喷涂；外观：焊接与连接部位牢固、可靠，产品外露部件均无尖锐棱角。</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五节柜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规格：900*370*2050mm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1.柜体：采用0.8mm厚冷轧钢板，拉手采用内凹扣手；</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2.柜门内装有减震垫，以减轻关门时的噪音，采用可拆卸隐藏式静音镀锌合页；</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3.钢制件外表面处理工艺：全部采用除油、除锈、磷化、清洗、静电喷涂；外观：焊接与连接部位牢固、可靠，产品外露部件均无尖锐棱。</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套</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休闲沙发(三人位）</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规格：三人位</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1.饰面：采用西皮饰面，游离甲醛≤30mg/kg，挥发性有机物（VOC)≤20mg/kg；</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2.框架：采用实木框架，蛇形静音弹簧，底脚采用不锈钢材质，造型美观，结实耐用；</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3.海棉：采用高密度一次发泡成型海绵，75%压缩永久变形：≤5%，密度≥45KG/m³，游离甲醛小于20mg/kg%。</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休闲沙发单人位</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规格：单人位</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1.饰面：采用环保西皮饰面，回弹力好，经久耐用的优点，干态气味2级，湿态气味2级，撕裂力≥30N，PH值≥4；</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2.框架：采用实木框架，蛇形静音弹簧，底脚采用不锈钢材质，造型美观，结实耐用；</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3.海绵：采用阻燃海绵，甲醛释放量≤0.025mg/㎡h；TVOC未检出，抗引燃特性-阴燃的香烟试件表面未发现续燃或阴燃现象，回弹率≥40%。</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个</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18</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茶几</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规格：1200*600*450mm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2.饰面：采用三聚氰胺板制作，具有耐污、耐刻划、易清洁等特点；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3.封边：采用PVC封边条；</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4.茶几架：方框采用钢制55*55*1.5三角形钢管，底部带调平脚，结构稳固；连接横梁采用50*25*1.5矩形钢管，底部带脚垫。</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规格：3600*1500*760mm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1.基材：采用刨花板；</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2.饰面：采用三聚氰胺板制作，具有耐污、耐刻划、易清洁等特点；</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3.封边：采用PVC封边，封边圆滑处理，无毛刺、棱角，颜色同板材颜色一致，封边牢固、无毛刺；</w:t>
            </w:r>
          </w:p>
          <w:p>
            <w:pPr>
              <w:widowControl/>
              <w:adjustRightInd w:val="0"/>
              <w:snapToGrid w:val="0"/>
              <w:jc w:val="left"/>
              <w:textAlignment w:val="center"/>
              <w:rPr>
                <w:rFonts w:hint="eastAsia" w:ascii="宋体" w:hAnsi="宋体" w:cs="宋体"/>
                <w:sz w:val="21"/>
                <w:szCs w:val="21"/>
              </w:rPr>
            </w:pPr>
            <w:r>
              <w:rPr>
                <w:rFonts w:hint="eastAsia" w:ascii="宋体" w:hAnsi="宋体" w:cs="宋体"/>
                <w:kern w:val="0"/>
                <w:sz w:val="21"/>
                <w:szCs w:val="21"/>
                <w:lang w:bidi="ar"/>
              </w:rPr>
              <w:t>4.桌架：方框采用钢制55*55*1.5三角形钢管，底部带调平脚，结构稳固；连接横梁采用50*25*1.5矩形钢管，底部带脚垫。</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规格：640*680*960mm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1.面料：采用优</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质涤纶专业办公网眼布饰面，透气性强，手感舒适，回弹性好；</w:t>
            </w:r>
            <w:r>
              <w:rPr>
                <w:rFonts w:hint="eastAsia" w:ascii="宋体" w:hAnsi="宋体" w:cs="宋体"/>
                <w:kern w:val="0"/>
                <w:sz w:val="21"/>
                <w:szCs w:val="21"/>
                <w:lang w:bidi="ar"/>
              </w:rPr>
              <w:br w:type="textWrapping"/>
            </w:r>
            <w:r>
              <w:rPr>
                <w:rFonts w:hint="eastAsia" w:ascii="宋体" w:hAnsi="宋体" w:cs="宋体"/>
                <w:kern w:val="0"/>
                <w:sz w:val="21"/>
                <w:szCs w:val="21"/>
                <w:lang w:bidi="ar"/>
              </w:rPr>
              <w:t>2.海绵：采用高密度一次发泡成型海绵，75%压缩永久变形：≤5%，密度≥45KG/m³，游离甲醛小于20mg/kg%；</w:t>
            </w:r>
            <w:r>
              <w:rPr>
                <w:rFonts w:hint="eastAsia" w:ascii="宋体" w:hAnsi="宋体" w:cs="宋体"/>
                <w:kern w:val="0"/>
                <w:sz w:val="21"/>
                <w:szCs w:val="21"/>
                <w:lang w:bidi="ar"/>
              </w:rPr>
              <w:br w:type="textWrapping"/>
            </w:r>
            <w:r>
              <w:rPr>
                <w:rFonts w:hint="eastAsia" w:ascii="宋体" w:hAnsi="宋体" w:cs="宋体"/>
                <w:kern w:val="0"/>
                <w:sz w:val="21"/>
                <w:szCs w:val="21"/>
                <w:lang w:bidi="ar"/>
              </w:rPr>
              <w:t>3.座板：采用15mm多层曲木板热压成型，根据人体工程学原理设计；</w:t>
            </w:r>
            <w:r>
              <w:rPr>
                <w:rFonts w:hint="eastAsia" w:ascii="宋体" w:hAnsi="宋体" w:cs="宋体"/>
                <w:kern w:val="0"/>
                <w:sz w:val="21"/>
                <w:szCs w:val="21"/>
                <w:lang w:bidi="ar"/>
              </w:rPr>
              <w:br w:type="textWrapping"/>
            </w:r>
            <w:r>
              <w:rPr>
                <w:rFonts w:hint="eastAsia" w:ascii="宋体" w:hAnsi="宋体" w:cs="宋体"/>
                <w:kern w:val="0"/>
                <w:sz w:val="21"/>
                <w:szCs w:val="21"/>
                <w:lang w:bidi="ar"/>
              </w:rPr>
              <w:t>4.椅背：采用pp材质，配网眼布；</w:t>
            </w:r>
            <w:r>
              <w:rPr>
                <w:rFonts w:hint="eastAsia" w:ascii="宋体" w:hAnsi="宋体" w:cs="宋体"/>
                <w:kern w:val="0"/>
                <w:sz w:val="21"/>
                <w:szCs w:val="21"/>
                <w:lang w:bidi="ar"/>
              </w:rPr>
              <w:br w:type="textWrapping"/>
            </w:r>
            <w:r>
              <w:rPr>
                <w:rFonts w:hint="eastAsia" w:ascii="宋体" w:hAnsi="宋体" w:cs="宋体"/>
                <w:kern w:val="0"/>
                <w:sz w:val="21"/>
                <w:szCs w:val="21"/>
                <w:lang w:bidi="ar"/>
              </w:rPr>
              <w:t>5.椅架采用φ25*2.0mm钢制弓形椅架；</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把</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562"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单人床</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规格：2000*1500*900mm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2.饰面：采用环保三聚氰胺板饰面，具有耐污、耐刻划、易清洁、防潮、防水、无甲醛、不易变形等特点；</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3.结构：床箱采用高箱床，侧板、床尾、床屏均采用25mm三聚氰胺板，其余采用18mm三聚氰胺板，床箱内部设计成井字形结构分隔成多个储物箱便于储物，床板采用18mm三聚氰胺板；</w:t>
            </w:r>
            <w:r>
              <w:rPr>
                <w:rFonts w:hint="eastAsia" w:ascii="宋体" w:hAnsi="宋体" w:cs="宋体"/>
                <w:kern w:val="0"/>
                <w:sz w:val="21"/>
                <w:szCs w:val="21"/>
                <w:lang w:bidi="ar"/>
              </w:rPr>
              <w:br w:type="textWrapping"/>
            </w:r>
            <w:r>
              <w:rPr>
                <w:rFonts w:hint="eastAsia" w:ascii="宋体" w:hAnsi="宋体" w:cs="宋体"/>
                <w:kern w:val="0"/>
                <w:sz w:val="21"/>
                <w:szCs w:val="21"/>
                <w:lang w:bidi="ar"/>
              </w:rPr>
              <w:t>4.封边采用PVC封边条，经180°高温热熔牢固不易脱落，无毛刺、棱角；</w:t>
            </w:r>
            <w:r>
              <w:rPr>
                <w:rFonts w:hint="eastAsia" w:ascii="宋体" w:hAnsi="宋体" w:cs="宋体"/>
                <w:kern w:val="0"/>
                <w:sz w:val="21"/>
                <w:szCs w:val="21"/>
                <w:lang w:bidi="ar"/>
              </w:rPr>
              <w:br w:type="textWrapping"/>
            </w:r>
            <w:r>
              <w:rPr>
                <w:rFonts w:hint="eastAsia" w:ascii="宋体" w:hAnsi="宋体" w:cs="宋体"/>
                <w:kern w:val="0"/>
                <w:sz w:val="21"/>
                <w:szCs w:val="21"/>
                <w:lang w:bidi="ar"/>
              </w:rPr>
              <w:t>5.床垫采用环保5cm环保椰棕棕垫，透气防潮，防螨抗菌，弹性舒适；</w:t>
            </w:r>
            <w:r>
              <w:rPr>
                <w:rFonts w:hint="eastAsia" w:ascii="宋体" w:hAnsi="宋体" w:cs="宋体"/>
                <w:kern w:val="0"/>
                <w:sz w:val="21"/>
                <w:szCs w:val="21"/>
                <w:lang w:bidi="ar"/>
              </w:rPr>
              <w:br w:type="textWrapping"/>
            </w:r>
            <w:r>
              <w:rPr>
                <w:rFonts w:hint="eastAsia" w:ascii="宋体" w:hAnsi="宋体" w:cs="宋体"/>
                <w:kern w:val="0"/>
                <w:sz w:val="21"/>
                <w:szCs w:val="21"/>
                <w:lang w:bidi="ar"/>
              </w:rPr>
              <w:t>6.五金件采用环保锌合金材质，不易滑牙，坚固耐用；</w:t>
            </w:r>
          </w:p>
        </w:tc>
        <w:tc>
          <w:tcPr>
            <w:tcW w:w="700"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张</w:t>
            </w:r>
          </w:p>
        </w:tc>
        <w:tc>
          <w:tcPr>
            <w:tcW w:w="763" w:type="dxa"/>
            <w:vAlign w:val="center"/>
          </w:tcPr>
          <w:p>
            <w:pPr>
              <w:widowControl/>
              <w:adjustRightInd w:val="0"/>
              <w:snapToGrid w:val="0"/>
              <w:jc w:val="center"/>
              <w:textAlignment w:val="center"/>
              <w:rPr>
                <w:rFonts w:hint="eastAsia" w:ascii="宋体" w:hAnsi="宋体" w:cs="宋体"/>
                <w:sz w:val="21"/>
                <w:szCs w:val="21"/>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床头柜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规格：450*500*450mm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2.饰面：采用环保三聚氰胺板饰面；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3.封边采用PVC封边条，不易脱落，无毛刺、棱角；</w:t>
            </w:r>
            <w:r>
              <w:rPr>
                <w:rFonts w:hint="eastAsia" w:ascii="宋体" w:hAnsi="宋体" w:cs="宋体"/>
                <w:kern w:val="0"/>
                <w:sz w:val="21"/>
                <w:szCs w:val="21"/>
                <w:lang w:bidi="ar"/>
              </w:rPr>
              <w:br w:type="textWrapping"/>
            </w:r>
            <w:r>
              <w:rPr>
                <w:rFonts w:hint="eastAsia" w:ascii="宋体" w:hAnsi="宋体" w:cs="宋体"/>
                <w:kern w:val="0"/>
                <w:sz w:val="21"/>
                <w:szCs w:val="21"/>
                <w:lang w:bidi="ar"/>
              </w:rPr>
              <w:t>4.结构：顶板、侧板、背板、抽屉面板均采用18mm三聚氰胺板制作，抽屉面板采用45°斜切封边工艺处理；侧板铣型处理；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5.五金件：采用三节式静音阻尼导轨；</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个</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写字桌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1.基材：采用环保刨花板制作，桌面预留直径60mm穿线孔，配穿线盒；</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2.饰面：采用环保三聚氰胺板饰面；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3.封边采用PVC封边条，不易脱落，无毛刺、棱角；</w:t>
            </w:r>
            <w:r>
              <w:rPr>
                <w:rFonts w:hint="eastAsia" w:ascii="宋体" w:hAnsi="宋体" w:cs="宋体"/>
                <w:kern w:val="0"/>
                <w:sz w:val="21"/>
                <w:szCs w:val="21"/>
                <w:lang w:bidi="ar"/>
              </w:rPr>
              <w:br w:type="textWrapping"/>
            </w:r>
            <w:r>
              <w:rPr>
                <w:rFonts w:hint="eastAsia" w:ascii="宋体" w:hAnsi="宋体" w:cs="宋体"/>
                <w:kern w:val="0"/>
                <w:sz w:val="21"/>
                <w:szCs w:val="21"/>
                <w:lang w:bidi="ar"/>
              </w:rPr>
              <w:t>4.结构：桌面板、左侧桌腿采用25mm厚三聚氰胺板制作，背板、抽屉面板及侧板采用18mm厚三聚氰胺板制作，抽屉面板采用45°斜切封边工艺处理，桌底安装30mm高柜脚；</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5.五金件：采用三节式静音阻尼导轨，符合GB/T3324-2017《木家具通用技术条件》标准；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三人位沙发</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规格：2380*920*880mm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1.饰面：采用布料饰面，染色牢度-耐水色牢度沾色：4-5级、变色：4-5级，甲醛含量未检出（检出限：20mg/kg），PH值：4.0-8.5；</w:t>
            </w:r>
            <w:r>
              <w:rPr>
                <w:rFonts w:hint="eastAsia" w:ascii="宋体" w:hAnsi="宋体" w:cs="宋体"/>
                <w:kern w:val="0"/>
                <w:sz w:val="21"/>
                <w:szCs w:val="21"/>
                <w:lang w:bidi="ar"/>
              </w:rPr>
              <w:br w:type="textWrapping"/>
            </w:r>
            <w:r>
              <w:rPr>
                <w:rFonts w:hint="eastAsia" w:ascii="宋体" w:hAnsi="宋体" w:cs="宋体"/>
                <w:kern w:val="0"/>
                <w:sz w:val="21"/>
                <w:szCs w:val="21"/>
                <w:lang w:bidi="ar"/>
              </w:rPr>
              <w:t>2.框架：采用实木框架，蛇形静音弹簧，底脚采用不锈钢材质，造型美观，结实耐用；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3.海棉：采用高密度一次发泡成型海绵，75%压缩永久变形：≤5%，密度≥45KG/m³，游离甲醛小于20mg/kg%；</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组</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单人位沙发</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规格：1240*920*880mm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1.饰面：采用布料饰面，手感舒适，透气性强，抗静电、防污染，回弹力好，经久耐用的优点，染色牢度-耐水色牢度沾色：4-5级、变色：4-5级，甲醛含量未检出（检出限：20mg/kg），PH值：4.0-8.5；</w:t>
            </w:r>
            <w:r>
              <w:rPr>
                <w:rFonts w:hint="eastAsia" w:ascii="宋体" w:hAnsi="宋体" w:cs="宋体"/>
                <w:kern w:val="0"/>
                <w:sz w:val="21"/>
                <w:szCs w:val="21"/>
                <w:lang w:bidi="ar"/>
              </w:rPr>
              <w:br w:type="textWrapping"/>
            </w:r>
            <w:r>
              <w:rPr>
                <w:rFonts w:hint="eastAsia" w:ascii="宋体" w:hAnsi="宋体" w:cs="宋体"/>
                <w:kern w:val="0"/>
                <w:sz w:val="21"/>
                <w:szCs w:val="21"/>
                <w:lang w:bidi="ar"/>
              </w:rPr>
              <w:t>2.框架：采用实木框架，蛇形静音弹簧，底脚采用不锈钢材质，造型美观，结实耐用；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3.海棉：采用高密度一次发泡成型海绵，海绵密度≥51kg/m³，回弹性≥49%；</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组</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茶几</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规格：200*600*450mm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1.台面：采用岩板制作，耐热、易清洁；</w:t>
            </w:r>
            <w:r>
              <w:rPr>
                <w:rFonts w:hint="eastAsia" w:ascii="宋体" w:hAnsi="宋体" w:cs="宋体"/>
                <w:kern w:val="0"/>
                <w:sz w:val="21"/>
                <w:szCs w:val="21"/>
                <w:lang w:bidi="ar"/>
              </w:rPr>
              <w:br w:type="textWrapping"/>
            </w:r>
            <w:r>
              <w:rPr>
                <w:rFonts w:hint="eastAsia" w:ascii="宋体" w:hAnsi="宋体" w:cs="宋体"/>
                <w:kern w:val="0"/>
                <w:sz w:val="21"/>
                <w:szCs w:val="21"/>
                <w:lang w:bidi="ar"/>
              </w:rPr>
              <w:t>2.桌架：采用钢制框架，经除油、除锈、磷化、酸洗、静电粉末喷涂；</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电视柜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规格：1600*400*600mm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2.饰面：采用环保三聚氰胺板饰面；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3.封边采用PVC封边条，不易脱落，无毛刺、棱角；</w:t>
            </w:r>
            <w:r>
              <w:rPr>
                <w:rFonts w:hint="eastAsia" w:ascii="宋体" w:hAnsi="宋体" w:cs="宋体"/>
                <w:kern w:val="0"/>
                <w:sz w:val="21"/>
                <w:szCs w:val="21"/>
                <w:lang w:bidi="ar"/>
              </w:rPr>
              <w:br w:type="textWrapping"/>
            </w:r>
            <w:r>
              <w:rPr>
                <w:rFonts w:hint="eastAsia" w:ascii="宋体" w:hAnsi="宋体" w:cs="宋体"/>
                <w:kern w:val="0"/>
                <w:sz w:val="21"/>
                <w:szCs w:val="21"/>
                <w:lang w:bidi="ar"/>
              </w:rPr>
              <w:t>4.结构：顶板、侧板、中立板、背板、抽屉面板均采用18mm三聚氰胺板制作，抽屉面板采用，45°斜切封边工艺处理，柜脚采用80mm高铝合金锥形可调柜脚；</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5.五金件：采用三节式静音阻尼导轨；</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28</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衣柜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规格：2000*500*2000mm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1.基材：采用刨花板制作；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2.饰面：采用环保三聚氰胺板饰面；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3.封边采用PVC封边条，不易脱落，无毛刺、棱角；</w:t>
            </w:r>
            <w:r>
              <w:rPr>
                <w:rFonts w:hint="eastAsia" w:ascii="宋体" w:hAnsi="宋体" w:cs="宋体"/>
                <w:kern w:val="0"/>
                <w:sz w:val="21"/>
                <w:szCs w:val="21"/>
                <w:lang w:bidi="ar"/>
              </w:rPr>
              <w:br w:type="textWrapping"/>
            </w:r>
            <w:r>
              <w:rPr>
                <w:rFonts w:hint="eastAsia" w:ascii="宋体" w:hAnsi="宋体" w:cs="宋体"/>
                <w:kern w:val="0"/>
                <w:sz w:val="21"/>
                <w:szCs w:val="21"/>
                <w:lang w:bidi="ar"/>
              </w:rPr>
              <w:t>4.结构：顶板、底板采用25mm三聚氰胺板制作，侧板、门板、隔板采用18mm三聚氰胺板制作，分上下门，上门装96mm黑色拉手，下门装1000mm黑色拉手；柜内挂衣杆采用φ19*1.0mm304#不锈钢制作；柜内一侧长衣服和短衣服能分别放置，中间上下均放置挂衣杆，另一侧放置4块固定层板；</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5.五金件：采用不锈钢液压铰链，轻音降噪，强劲、灵活、稳定、耐用易调节，拉手采用实心铝合金。</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诊疗桌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规格：1600*1500*760</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1.基材：采用刨花板，桌面及副柜台面板材厚度25mm，其余板材厚度16mm；</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2.饰面：采用木纹色三聚氰胺板饰面；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3.封边：见光面采用PVC封边，经全自动封边工艺处理；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4.结构/配置：弧形桌面+Φ350圆盘脚+φ76圆管腿+弧形钢吊挡板+副柜（上单据格下1带锁抽屉+主机柜+带锁单门柜）+φ50铝管支撑+塑料键盘架；</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5.五金配件：采用五金配件，三节路轨（滑轨）。三合一连接件 耐腐蚀；锁：耐腐蚀。(阻尼）门铰：金属件外观要求，电镀层，表面应无剥落、返锈、毛刺。</w:t>
            </w:r>
            <w:r>
              <w:rPr>
                <w:rFonts w:hint="eastAsia" w:ascii="宋体" w:hAnsi="宋体" w:cs="宋体"/>
                <w:kern w:val="0"/>
                <w:sz w:val="21"/>
                <w:szCs w:val="21"/>
                <w:lang w:bidi="ar"/>
              </w:rPr>
              <w:br w:type="textWrapping"/>
            </w:r>
            <w:r>
              <w:rPr>
                <w:rFonts w:hint="eastAsia" w:ascii="宋体" w:hAnsi="宋体" w:cs="宋体"/>
                <w:kern w:val="0"/>
                <w:sz w:val="21"/>
                <w:szCs w:val="21"/>
                <w:lang w:bidi="ar"/>
              </w:rPr>
              <w:t>6.腿部带隔潮垫，防潮、耐磨。</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诊疗椅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规格：常规</w:t>
            </w:r>
            <w:r>
              <w:rPr>
                <w:rFonts w:hint="eastAsia" w:ascii="宋体" w:hAnsi="宋体" w:cs="宋体"/>
                <w:kern w:val="0"/>
                <w:sz w:val="21"/>
                <w:szCs w:val="21"/>
                <w:lang w:bidi="ar"/>
              </w:rPr>
              <w:br w:type="textWrapping"/>
            </w:r>
            <w:r>
              <w:rPr>
                <w:rFonts w:hint="eastAsia" w:ascii="宋体" w:hAnsi="宋体" w:cs="宋体"/>
                <w:kern w:val="0"/>
                <w:sz w:val="21"/>
                <w:szCs w:val="21"/>
                <w:lang w:bidi="ar"/>
              </w:rPr>
              <w:t>1.椅座采用环保型全新PP聚丙烯材料色母通过注塑机一体成型压铸，塑料邻苯二甲酸酯未检出；塑料重金属：可溶性铅、可溶性镉、可溶性铬、可溶性汞均未检出；</w:t>
            </w:r>
            <w:r>
              <w:rPr>
                <w:rFonts w:hint="eastAsia" w:ascii="宋体" w:hAnsi="宋体" w:cs="宋体"/>
                <w:kern w:val="0"/>
                <w:sz w:val="21"/>
                <w:szCs w:val="21"/>
                <w:lang w:bidi="ar"/>
              </w:rPr>
              <w:br w:type="textWrapping"/>
            </w:r>
            <w:r>
              <w:rPr>
                <w:rFonts w:hint="eastAsia" w:ascii="宋体" w:hAnsi="宋体" w:cs="宋体"/>
                <w:kern w:val="0"/>
                <w:sz w:val="21"/>
                <w:szCs w:val="21"/>
                <w:lang w:bidi="ar"/>
              </w:rPr>
              <w:t>2.椅表面采用时尚菱形砖石状纹路，产品柔韧性好，耐冲击性强，耐消毒剂，防水易洁，适用于医院室内室外</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3.结构/配置：椅子由塑背、连接板、脚架三个部分组成，可承重60-200公斤；椅整体净重约5.8公斤；</w:t>
            </w:r>
            <w:r>
              <w:rPr>
                <w:rFonts w:hint="eastAsia" w:ascii="宋体" w:hAnsi="宋体" w:cs="宋体"/>
                <w:kern w:val="0"/>
                <w:sz w:val="21"/>
                <w:szCs w:val="21"/>
                <w:lang w:bidi="ar"/>
              </w:rPr>
              <w:br w:type="textWrapping"/>
            </w:r>
            <w:r>
              <w:rPr>
                <w:rFonts w:hint="eastAsia" w:ascii="宋体" w:hAnsi="宋体" w:cs="宋体"/>
                <w:kern w:val="0"/>
                <w:sz w:val="21"/>
                <w:szCs w:val="21"/>
                <w:lang w:bidi="ar"/>
              </w:rPr>
              <w:t>4.五金配件：钢质螺帽、螺丝，表面镀镍。</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职员椅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规格：640*680*950-1050mm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1.面料：采用涤纶专业办公网眼布饰面，透气性强，手感舒适，回弹性好；</w:t>
            </w:r>
            <w:r>
              <w:rPr>
                <w:rFonts w:hint="eastAsia" w:ascii="宋体" w:hAnsi="宋体" w:cs="宋体"/>
                <w:kern w:val="0"/>
                <w:sz w:val="21"/>
                <w:szCs w:val="21"/>
                <w:lang w:bidi="ar"/>
              </w:rPr>
              <w:br w:type="textWrapping"/>
            </w:r>
            <w:r>
              <w:rPr>
                <w:rFonts w:hint="eastAsia" w:ascii="宋体" w:hAnsi="宋体" w:cs="宋体"/>
                <w:kern w:val="0"/>
                <w:sz w:val="21"/>
                <w:szCs w:val="21"/>
                <w:lang w:bidi="ar"/>
              </w:rPr>
              <w:t>2.黑色尼龙加24%玻璃纤维背架，8mm加厚L码尾板倾仰，12mm封边座板加PP底壳；</w:t>
            </w:r>
            <w:r>
              <w:rPr>
                <w:rFonts w:hint="eastAsia" w:ascii="宋体" w:hAnsi="宋体" w:cs="宋体"/>
                <w:kern w:val="0"/>
                <w:sz w:val="21"/>
                <w:szCs w:val="21"/>
                <w:lang w:bidi="ar"/>
              </w:rPr>
              <w:br w:type="textWrapping"/>
            </w:r>
            <w:r>
              <w:rPr>
                <w:rFonts w:hint="eastAsia" w:ascii="宋体" w:hAnsi="宋体" w:cs="宋体"/>
                <w:kern w:val="0"/>
                <w:sz w:val="21"/>
                <w:szCs w:val="21"/>
                <w:lang w:bidi="ar"/>
              </w:rPr>
              <w:t>3.海绵：采用高密度一次发泡成型海绵，75%压缩永久变形：≤5%，密度≥45KG/m³，游离甲醛小于20mg/kg；</w:t>
            </w:r>
            <w:r>
              <w:rPr>
                <w:rFonts w:hint="eastAsia" w:ascii="宋体" w:hAnsi="宋体" w:cs="宋体"/>
                <w:kern w:val="0"/>
                <w:sz w:val="21"/>
                <w:szCs w:val="21"/>
                <w:lang w:bidi="ar"/>
              </w:rPr>
              <w:br w:type="textWrapping"/>
            </w:r>
            <w:r>
              <w:rPr>
                <w:rFonts w:hint="eastAsia" w:ascii="宋体" w:hAnsi="宋体" w:cs="宋体"/>
                <w:kern w:val="0"/>
                <w:sz w:val="21"/>
                <w:szCs w:val="21"/>
                <w:lang w:bidi="ar"/>
              </w:rPr>
              <w:t>4.座板：采用15mm多层曲木板热压成型，甲醛释放量≤0.6mg/L；</w:t>
            </w:r>
            <w:r>
              <w:rPr>
                <w:rFonts w:hint="eastAsia" w:ascii="宋体" w:hAnsi="宋体" w:cs="宋体"/>
                <w:kern w:val="0"/>
                <w:sz w:val="21"/>
                <w:szCs w:val="21"/>
                <w:lang w:bidi="ar"/>
              </w:rPr>
              <w:br w:type="textWrapping"/>
            </w:r>
            <w:r>
              <w:rPr>
                <w:rFonts w:hint="eastAsia" w:ascii="宋体" w:hAnsi="宋体" w:cs="宋体"/>
                <w:kern w:val="0"/>
                <w:sz w:val="21"/>
                <w:szCs w:val="21"/>
                <w:lang w:bidi="ar"/>
              </w:rPr>
              <w:t>5.扶手：扶手采用PU材料制作而成，手感舒适，扶手圆弧处理；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6.气压杆：气杆壁厚为2.0mm双永防爆电镀气杆；</w:t>
            </w:r>
            <w:r>
              <w:rPr>
                <w:rFonts w:hint="eastAsia" w:ascii="宋体" w:hAnsi="宋体" w:cs="宋体"/>
                <w:kern w:val="0"/>
                <w:sz w:val="21"/>
                <w:szCs w:val="21"/>
                <w:lang w:bidi="ar"/>
              </w:rPr>
              <w:br w:type="textWrapping"/>
            </w:r>
            <w:r>
              <w:rPr>
                <w:rFonts w:hint="eastAsia" w:ascii="宋体" w:hAnsi="宋体" w:cs="宋体"/>
                <w:kern w:val="0"/>
                <w:sz w:val="21"/>
                <w:szCs w:val="21"/>
                <w:lang w:bidi="ar"/>
              </w:rPr>
              <w:t>7.脚轮：尼龙五星脚，采用静音防滑PU轮，耐磨灵活；</w:t>
            </w:r>
            <w:r>
              <w:rPr>
                <w:rFonts w:hint="eastAsia" w:ascii="宋体" w:hAnsi="宋体" w:cs="宋体"/>
                <w:kern w:val="0"/>
                <w:sz w:val="21"/>
                <w:szCs w:val="21"/>
                <w:lang w:bidi="ar"/>
              </w:rPr>
              <w:br w:type="textWrapping"/>
            </w:r>
            <w:r>
              <w:rPr>
                <w:rFonts w:hint="eastAsia" w:ascii="宋体" w:hAnsi="宋体" w:cs="宋体"/>
                <w:kern w:val="0"/>
                <w:sz w:val="21"/>
                <w:szCs w:val="21"/>
                <w:lang w:bidi="ar"/>
              </w:rPr>
              <w:t>8.多段锁定底盘，壁厚为2.0MM，带后仰无级锁定功能；</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诊查床</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规格：2000*600*700mm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1.床架采用￠38×1.2不锈钢圆管弯制而成带胶脚垫。</w:t>
            </w:r>
            <w:r>
              <w:rPr>
                <w:rFonts w:hint="eastAsia" w:ascii="宋体" w:hAnsi="宋体" w:cs="宋体"/>
                <w:kern w:val="0"/>
                <w:sz w:val="21"/>
                <w:szCs w:val="21"/>
                <w:lang w:bidi="ar"/>
              </w:rPr>
              <w:br w:type="textWrapping"/>
            </w:r>
            <w:r>
              <w:rPr>
                <w:rFonts w:hint="eastAsia" w:ascii="宋体" w:hAnsi="宋体" w:cs="宋体"/>
                <w:kern w:val="0"/>
                <w:sz w:val="21"/>
                <w:szCs w:val="21"/>
                <w:lang w:bidi="ar"/>
              </w:rPr>
              <w:t>2.床面板底层采用高密度防火木板，厚度为15mm，强度高，透气性能好；内面采用高弹性海绵，厚度为40mm；外套为皮革。</w:t>
            </w:r>
            <w:r>
              <w:rPr>
                <w:rFonts w:hint="eastAsia" w:ascii="宋体" w:hAnsi="宋体" w:cs="宋体"/>
                <w:kern w:val="0"/>
                <w:sz w:val="21"/>
                <w:szCs w:val="21"/>
                <w:lang w:bidi="ar"/>
              </w:rPr>
              <w:br w:type="textWrapping"/>
            </w:r>
            <w:r>
              <w:rPr>
                <w:rFonts w:hint="eastAsia" w:ascii="宋体" w:hAnsi="宋体" w:cs="宋体"/>
                <w:kern w:val="0"/>
                <w:sz w:val="21"/>
                <w:szCs w:val="21"/>
                <w:lang w:bidi="ar"/>
              </w:rPr>
              <w:t>3.床板连接头采用钢件，耐磨，运作无噪音，防折断。背板采用齿条升降，可升降角度为0°至60°。</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等候椅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规格：三座</w:t>
            </w:r>
            <w:r>
              <w:rPr>
                <w:rFonts w:hint="eastAsia" w:ascii="宋体" w:hAnsi="宋体" w:cs="宋体"/>
                <w:kern w:val="0"/>
                <w:sz w:val="21"/>
                <w:szCs w:val="21"/>
                <w:lang w:bidi="ar"/>
              </w:rPr>
              <w:br w:type="textWrapping"/>
            </w:r>
            <w:r>
              <w:rPr>
                <w:rFonts w:hint="eastAsia" w:ascii="宋体" w:hAnsi="宋体" w:cs="宋体"/>
                <w:kern w:val="0"/>
                <w:sz w:val="21"/>
                <w:szCs w:val="21"/>
                <w:lang w:bidi="ar"/>
              </w:rPr>
              <w:t>1.椅座：采用1.0mm冷轧钢板，除锈处理后，表面喷闪光银专用金属漆。</w:t>
            </w:r>
            <w:r>
              <w:rPr>
                <w:rFonts w:hint="eastAsia" w:ascii="宋体" w:hAnsi="宋体" w:cs="宋体"/>
                <w:kern w:val="0"/>
                <w:sz w:val="21"/>
                <w:szCs w:val="21"/>
                <w:lang w:bidi="ar"/>
              </w:rPr>
              <w:br w:type="textWrapping"/>
            </w:r>
            <w:r>
              <w:rPr>
                <w:rFonts w:hint="eastAsia" w:ascii="宋体" w:hAnsi="宋体" w:cs="宋体"/>
                <w:kern w:val="0"/>
                <w:sz w:val="21"/>
                <w:szCs w:val="21"/>
                <w:lang w:bidi="ar"/>
              </w:rPr>
              <w:t>扶手/脚：采用冷轧钢焊接成型，表面喷闪光银专用金属；</w:t>
            </w:r>
            <w:r>
              <w:rPr>
                <w:rFonts w:hint="eastAsia" w:ascii="宋体" w:hAnsi="宋体" w:cs="宋体"/>
                <w:kern w:val="0"/>
                <w:sz w:val="21"/>
                <w:szCs w:val="21"/>
                <w:lang w:bidi="ar"/>
              </w:rPr>
              <w:br w:type="textWrapping"/>
            </w:r>
            <w:r>
              <w:rPr>
                <w:rFonts w:hint="eastAsia" w:ascii="宋体" w:hAnsi="宋体" w:cs="宋体"/>
                <w:kern w:val="0"/>
                <w:sz w:val="21"/>
                <w:szCs w:val="21"/>
                <w:lang w:bidi="ar"/>
              </w:rPr>
              <w:t>2.横梁：1.2mm(非国标)厚三角型钢管，喷涂空调户外漆粉，能承受风吹、雨淋和日照的考验；</w:t>
            </w:r>
            <w:r>
              <w:rPr>
                <w:rFonts w:hint="eastAsia" w:ascii="宋体" w:hAnsi="宋体" w:cs="宋体"/>
                <w:kern w:val="0"/>
                <w:sz w:val="21"/>
                <w:szCs w:val="21"/>
                <w:lang w:bidi="ar"/>
              </w:rPr>
              <w:br w:type="textWrapping"/>
            </w:r>
            <w:r>
              <w:rPr>
                <w:rFonts w:hint="eastAsia" w:ascii="宋体" w:hAnsi="宋体" w:cs="宋体"/>
                <w:kern w:val="0"/>
                <w:sz w:val="21"/>
                <w:szCs w:val="21"/>
                <w:lang w:bidi="ar"/>
              </w:rPr>
              <w:t>3.饰面：采用环保西皮饰面，回弹力好，经久耐用的优点，干态气味2级，湿态气味2级，撕裂力≥30N，PH值≥4；</w:t>
            </w:r>
            <w:r>
              <w:rPr>
                <w:rFonts w:hint="eastAsia" w:ascii="宋体" w:hAnsi="宋体" w:cs="宋体"/>
                <w:kern w:val="0"/>
                <w:sz w:val="21"/>
                <w:szCs w:val="21"/>
                <w:lang w:bidi="ar"/>
              </w:rPr>
              <w:br w:type="textWrapping"/>
            </w:r>
            <w:r>
              <w:rPr>
                <w:rFonts w:hint="eastAsia" w:ascii="宋体" w:hAnsi="宋体" w:cs="宋体"/>
                <w:kern w:val="0"/>
                <w:sz w:val="21"/>
                <w:szCs w:val="21"/>
                <w:lang w:bidi="ar"/>
              </w:rPr>
              <w:t>4.海绵：采用阻燃海绵。</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钢木办公桌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规格：1200*600*780mm</w:t>
            </w:r>
            <w:r>
              <w:rPr>
                <w:rFonts w:hint="eastAsia" w:ascii="宋体" w:hAnsi="宋体" w:cs="宋体"/>
                <w:kern w:val="0"/>
                <w:sz w:val="21"/>
                <w:szCs w:val="21"/>
                <w:lang w:bidi="ar"/>
              </w:rPr>
              <w:br w:type="textWrapping"/>
            </w:r>
            <w:r>
              <w:rPr>
                <w:rFonts w:hint="eastAsia" w:ascii="宋体" w:hAnsi="宋体" w:cs="宋体"/>
                <w:kern w:val="0"/>
                <w:sz w:val="21"/>
                <w:szCs w:val="21"/>
                <w:lang w:bidi="ar"/>
              </w:rPr>
              <w:t>1.桌面：采用厚度为1.2mm冷轧钢板制作；内衬实木颗粒板提高桌面平整度，桌体经过静音技术处理，无金属噪声；</w:t>
            </w:r>
            <w:r>
              <w:rPr>
                <w:rFonts w:hint="eastAsia" w:ascii="宋体" w:hAnsi="宋体" w:cs="宋体"/>
                <w:kern w:val="0"/>
                <w:sz w:val="21"/>
                <w:szCs w:val="21"/>
                <w:lang w:bidi="ar"/>
              </w:rPr>
              <w:br w:type="textWrapping"/>
            </w:r>
            <w:r>
              <w:rPr>
                <w:rFonts w:hint="eastAsia" w:ascii="宋体" w:hAnsi="宋体" w:cs="宋体"/>
                <w:kern w:val="0"/>
                <w:sz w:val="21"/>
                <w:szCs w:val="21"/>
                <w:lang w:bidi="ar"/>
              </w:rPr>
              <w:t>2.桌体：采用1.0mm冷轧钢板制作，柜体带透气孔；</w:t>
            </w:r>
            <w:r>
              <w:rPr>
                <w:rFonts w:hint="eastAsia" w:ascii="宋体" w:hAnsi="宋体" w:cs="宋体"/>
                <w:kern w:val="0"/>
                <w:sz w:val="21"/>
                <w:szCs w:val="21"/>
                <w:lang w:bidi="ar"/>
              </w:rPr>
              <w:br w:type="textWrapping"/>
            </w:r>
            <w:r>
              <w:rPr>
                <w:rFonts w:hint="eastAsia" w:ascii="宋体" w:hAnsi="宋体" w:cs="宋体"/>
                <w:kern w:val="0"/>
                <w:sz w:val="21"/>
                <w:szCs w:val="21"/>
                <w:lang w:bidi="ar"/>
              </w:rPr>
              <w:t>3.桌脚：采用1.5mm冷轧钢板制作；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4.抽屉使用内凹扣手，采用1.0mm冷轧钢板，桌面带1个穿线孔；</w:t>
            </w:r>
            <w:r>
              <w:rPr>
                <w:rFonts w:hint="eastAsia" w:ascii="宋体" w:hAnsi="宋体" w:cs="宋体"/>
                <w:kern w:val="0"/>
                <w:sz w:val="21"/>
                <w:szCs w:val="21"/>
                <w:lang w:bidi="ar"/>
              </w:rPr>
              <w:br w:type="textWrapping"/>
            </w:r>
            <w:r>
              <w:rPr>
                <w:rFonts w:hint="eastAsia" w:ascii="宋体" w:hAnsi="宋体" w:cs="宋体"/>
                <w:kern w:val="0"/>
                <w:sz w:val="21"/>
                <w:szCs w:val="21"/>
                <w:lang w:bidi="ar"/>
              </w:rPr>
              <w:t>5.金属部分经浸泡或喷淋脱脂、除锈、磷化后，高压静电喷塑；</w:t>
            </w:r>
            <w:r>
              <w:rPr>
                <w:rFonts w:hint="eastAsia" w:ascii="宋体" w:hAnsi="宋体" w:cs="宋体"/>
                <w:kern w:val="0"/>
                <w:sz w:val="21"/>
                <w:szCs w:val="21"/>
                <w:lang w:bidi="ar"/>
              </w:rPr>
              <w:br w:type="textWrapping"/>
            </w:r>
            <w:r>
              <w:rPr>
                <w:rFonts w:hint="eastAsia" w:ascii="宋体" w:hAnsi="宋体" w:cs="宋体"/>
                <w:kern w:val="0"/>
                <w:sz w:val="21"/>
                <w:szCs w:val="21"/>
                <w:lang w:bidi="ar"/>
              </w:rPr>
              <w:t>6.钢制件外表面处理工艺：钢制件表面处理工艺：全部采用除油、除锈、磷化、清洗、防锈、静电喷涂；可防腐蚀、耐老化，表面光洁、美观；外观：焊接与连接部位牢固、可靠，产品外露部件均无尖锐棱角，表面防腐蚀、耐老化，光洁、美观，造型细腻流畅，结构精密坚实；</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重型货架</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规格：2000*600*2000mm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1.立柱：采用国标1.5mm冷轧钢板冲孔折弯成型，立柱由横撑.斜撑连接而成，承载能力强，不易造成变形；</w:t>
            </w:r>
            <w:r>
              <w:rPr>
                <w:rFonts w:hint="eastAsia" w:ascii="宋体" w:hAnsi="宋体" w:cs="宋体"/>
                <w:kern w:val="0"/>
                <w:sz w:val="21"/>
                <w:szCs w:val="21"/>
                <w:lang w:bidi="ar"/>
              </w:rPr>
              <w:br w:type="textWrapping"/>
            </w:r>
            <w:r>
              <w:rPr>
                <w:rFonts w:hint="eastAsia" w:ascii="宋体" w:hAnsi="宋体" w:cs="宋体"/>
                <w:kern w:val="0"/>
                <w:sz w:val="21"/>
                <w:szCs w:val="21"/>
                <w:lang w:bidi="ar"/>
              </w:rPr>
              <w:t>2.立柱做开孔设计，与横梁采用螺栓连接，安全可靠，安装便捷；货架结构为全拼接型；组合式，可拆装.升降；</w:t>
            </w:r>
            <w:r>
              <w:rPr>
                <w:rFonts w:hint="eastAsia" w:ascii="宋体" w:hAnsi="宋体" w:cs="宋体"/>
                <w:kern w:val="0"/>
                <w:sz w:val="21"/>
                <w:szCs w:val="21"/>
                <w:lang w:bidi="ar"/>
              </w:rPr>
              <w:br w:type="textWrapping"/>
            </w:r>
            <w:r>
              <w:rPr>
                <w:rFonts w:hint="eastAsia" w:ascii="宋体" w:hAnsi="宋体" w:cs="宋体"/>
                <w:kern w:val="0"/>
                <w:sz w:val="21"/>
                <w:szCs w:val="21"/>
                <w:lang w:bidi="ar"/>
              </w:rPr>
              <w:t>3.层板：采用国标1.0mm冷轧钢板，防腐防锈，坚固耐用，美观防静电；多根加强筋；受力均匀，货架整体可以拆装，整架共五层四格，每层节距可以调节；</w:t>
            </w:r>
            <w:r>
              <w:rPr>
                <w:rFonts w:hint="eastAsia" w:ascii="宋体" w:hAnsi="宋体" w:cs="宋体"/>
                <w:kern w:val="0"/>
                <w:sz w:val="21"/>
                <w:szCs w:val="21"/>
                <w:lang w:bidi="ar"/>
              </w:rPr>
              <w:br w:type="textWrapping"/>
            </w:r>
            <w:r>
              <w:rPr>
                <w:rFonts w:hint="eastAsia" w:ascii="宋体" w:hAnsi="宋体" w:cs="宋体"/>
                <w:kern w:val="0"/>
                <w:sz w:val="21"/>
                <w:szCs w:val="21"/>
                <w:lang w:bidi="ar"/>
              </w:rPr>
              <w:t>4.整个产品经下料、冲切、折弯、组焊、打磨、脱脂、酸洗、磷化、表调、高压静电喷塑几个环节处理；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5.结构紧凑，稳定性良好。</w:t>
            </w:r>
            <w:r>
              <w:rPr>
                <w:rFonts w:hint="eastAsia" w:ascii="宋体" w:hAnsi="宋体" w:cs="宋体"/>
                <w:kern w:val="0"/>
                <w:sz w:val="21"/>
                <w:szCs w:val="21"/>
                <w:lang w:bidi="ar"/>
              </w:rPr>
              <w:br w:type="textWrapping"/>
            </w:r>
            <w:r>
              <w:rPr>
                <w:rFonts w:hint="eastAsia" w:ascii="宋体" w:hAnsi="宋体" w:cs="宋体"/>
                <w:kern w:val="0"/>
                <w:sz w:val="21"/>
                <w:szCs w:val="21"/>
                <w:lang w:bidi="ar"/>
              </w:rPr>
              <w:t>6.焊接牢靠、外露部分表面清爽、无色差、无漏喷、无尖锐、无毛刺。</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高低床</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规格：2050*900*1850mm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床头立柱：采用规格为65*65mm八边形钢管制作；床头设计不伤人，底部佩戴高强度塑胶套，安全耐用，有害物质限量(产品涂层和覆面层中可溶性重金属)：可溶性铅、可溶性镉、可溶性铬、可溶性汞均未检出，乙酸盐雾试验(AASS)连续喷雾280h以上，镀(涂)层对基体的保护等级为10级，镀（涂）层本身耐腐蚀等级为10级；</w:t>
            </w:r>
            <w:r>
              <w:rPr>
                <w:rFonts w:hint="eastAsia" w:ascii="宋体" w:hAnsi="宋体" w:cs="宋体"/>
                <w:kern w:val="0"/>
                <w:sz w:val="21"/>
                <w:szCs w:val="21"/>
                <w:lang w:bidi="ar"/>
              </w:rPr>
              <w:br w:type="textWrapping"/>
            </w:r>
            <w:r>
              <w:rPr>
                <w:rFonts w:hint="eastAsia" w:ascii="宋体" w:hAnsi="宋体" w:cs="宋体"/>
                <w:kern w:val="0"/>
                <w:sz w:val="21"/>
                <w:szCs w:val="21"/>
                <w:lang w:bidi="ar"/>
              </w:rPr>
              <w:t>2.床帮:采用30*90*1.5mmD型钢管制作而成，钢管下方为半径15mm的圆弧设计，防止锐角碰头；</w:t>
            </w:r>
            <w:r>
              <w:rPr>
                <w:rFonts w:hint="eastAsia" w:ascii="宋体" w:hAnsi="宋体" w:cs="宋体"/>
                <w:kern w:val="0"/>
                <w:sz w:val="21"/>
                <w:szCs w:val="21"/>
                <w:lang w:bidi="ar"/>
              </w:rPr>
              <w:br w:type="textWrapping"/>
            </w:r>
            <w:r>
              <w:rPr>
                <w:rFonts w:hint="eastAsia" w:ascii="宋体" w:hAnsi="宋体" w:cs="宋体"/>
                <w:kern w:val="0"/>
                <w:sz w:val="21"/>
                <w:szCs w:val="21"/>
                <w:lang w:bidi="ar"/>
              </w:rPr>
              <w:t>3.床帮与床头立柱连接方式:采用厚度2mm钢板三面挂件连接，三面成型尺寸为15+42+15，长度≥237.5mm；</w:t>
            </w:r>
            <w:r>
              <w:rPr>
                <w:rFonts w:hint="eastAsia" w:ascii="宋体" w:hAnsi="宋体" w:cs="宋体"/>
                <w:kern w:val="0"/>
                <w:sz w:val="21"/>
                <w:szCs w:val="21"/>
                <w:lang w:bidi="ar"/>
              </w:rPr>
              <w:br w:type="textWrapping"/>
            </w:r>
            <w:r>
              <w:rPr>
                <w:rFonts w:hint="eastAsia" w:ascii="宋体" w:hAnsi="宋体" w:cs="宋体"/>
                <w:kern w:val="0"/>
                <w:sz w:val="21"/>
                <w:szCs w:val="21"/>
                <w:lang w:bidi="ar"/>
              </w:rPr>
              <w:t>4.床头档板：采用冷轧钢板模压翻边成型，成型尺寸≥670*275*0.6mm，翻边高度为17mm，中间向下拉拱门型凹槽，成型尺寸≥575*235mm，拱门型内部反向拉伸两个矩形，尺寸135*45mm，下方压制被褥限高警示线；</w:t>
            </w:r>
            <w:r>
              <w:rPr>
                <w:rFonts w:hint="eastAsia" w:ascii="宋体" w:hAnsi="宋体" w:cs="宋体"/>
                <w:kern w:val="0"/>
                <w:sz w:val="21"/>
                <w:szCs w:val="21"/>
                <w:lang w:bidi="ar"/>
              </w:rPr>
              <w:br w:type="textWrapping"/>
            </w:r>
            <w:r>
              <w:rPr>
                <w:rFonts w:hint="eastAsia" w:ascii="宋体" w:hAnsi="宋体" w:cs="宋体"/>
                <w:kern w:val="0"/>
                <w:sz w:val="21"/>
                <w:szCs w:val="21"/>
                <w:lang w:bidi="ar"/>
              </w:rPr>
              <w:t>5.前床帮护栏:护栏外框采用规格为25*25*1.5mm钢制方管制作，竖管采用规格为20*20*1.2mm方管制作，护栏结构分左、中、右三格挡，左、右两格挡分上、下结构，上部镂空，下部封板采用高强度聚乙烯材料中空吹塑一体成型，护栏高度不得低于300mm，长度尺寸≥1300mm，中间封板采用高强度聚乙烯材料中空吹塑一体成型，最中心为圆形造型，内边具有被褥警示线标志，与钢架连接采用预埋螺母工艺；</w:t>
            </w:r>
            <w:r>
              <w:rPr>
                <w:rFonts w:hint="eastAsia" w:ascii="宋体" w:hAnsi="宋体" w:cs="宋体"/>
                <w:kern w:val="0"/>
                <w:sz w:val="21"/>
                <w:szCs w:val="21"/>
                <w:lang w:bidi="ar"/>
              </w:rPr>
              <w:br w:type="textWrapping"/>
            </w:r>
            <w:r>
              <w:rPr>
                <w:rFonts w:hint="eastAsia" w:ascii="宋体" w:hAnsi="宋体" w:cs="宋体"/>
                <w:kern w:val="0"/>
                <w:sz w:val="21"/>
                <w:szCs w:val="21"/>
                <w:lang w:bidi="ar"/>
              </w:rPr>
              <w:t>6.床铺横梁：采用规格为30*20*1.2mm矩形钢管制作，五根均匀分布，两端有塑料套固定床撑功能，不易随便滑动、拔取，具有减震、降噪功能，承重性好；</w:t>
            </w:r>
            <w:r>
              <w:rPr>
                <w:rFonts w:hint="eastAsia" w:ascii="宋体" w:hAnsi="宋体" w:cs="宋体"/>
                <w:kern w:val="0"/>
                <w:sz w:val="21"/>
                <w:szCs w:val="21"/>
                <w:lang w:bidi="ar"/>
              </w:rPr>
              <w:br w:type="textWrapping"/>
            </w:r>
            <w:r>
              <w:rPr>
                <w:rFonts w:hint="eastAsia" w:ascii="宋体" w:hAnsi="宋体" w:cs="宋体"/>
                <w:kern w:val="0"/>
                <w:sz w:val="21"/>
                <w:szCs w:val="21"/>
                <w:lang w:bidi="ar"/>
              </w:rPr>
              <w:t>7.床梯：采用爬梯，国标管材，竖梁采用25*25*1.2mm方管制作，踏板成型尺寸350*74*30mm,采用厚度≥1.5mm的冷轧钢板一次模压成型，形状和规格为：踩踏面由四条宽度12mm，高度2mm的凸槽组成四方框，中部由一条凹槽组成，两端各有五个直径10mm，高度2mm凸起圆台组成。具有防滑功能。</w:t>
            </w:r>
            <w:r>
              <w:rPr>
                <w:rFonts w:hint="eastAsia" w:ascii="宋体" w:hAnsi="宋体" w:cs="宋体"/>
                <w:kern w:val="0"/>
                <w:sz w:val="21"/>
                <w:szCs w:val="21"/>
                <w:lang w:bidi="ar"/>
              </w:rPr>
              <w:br w:type="textWrapping"/>
            </w:r>
            <w:r>
              <w:rPr>
                <w:rFonts w:hint="eastAsia" w:ascii="宋体" w:hAnsi="宋体" w:cs="宋体"/>
                <w:kern w:val="0"/>
                <w:sz w:val="21"/>
                <w:szCs w:val="21"/>
                <w:lang w:bidi="ar"/>
              </w:rPr>
              <w:t>8.床板：采用实木多层板制作，厚度为12mm；</w:t>
            </w:r>
            <w:r>
              <w:rPr>
                <w:rFonts w:hint="eastAsia" w:ascii="宋体" w:hAnsi="宋体" w:cs="宋体"/>
                <w:kern w:val="0"/>
                <w:sz w:val="21"/>
                <w:szCs w:val="21"/>
                <w:lang w:bidi="ar"/>
              </w:rPr>
              <w:br w:type="textWrapping"/>
            </w:r>
            <w:r>
              <w:rPr>
                <w:rFonts w:hint="eastAsia" w:ascii="宋体" w:hAnsi="宋体" w:cs="宋体"/>
                <w:kern w:val="0"/>
                <w:sz w:val="21"/>
                <w:szCs w:val="21"/>
                <w:lang w:bidi="ar"/>
              </w:rPr>
              <w:t>9.钢制件表面处理工艺：全部采用除油、除锈、磷化、清洗、防锈、静电喷涂；焊接与连接部位牢固、可靠，产品外露部件均无尖锐棱角，表面防腐蚀、耐老化，结构精密坚实，金属件表面涂层冲击强度：冲击高度40cm，应无剥落、裂纹或皱纹，金属件表面涂层附着力：1级，金属件表面涂层耐湿热：（47±1）℃，（96±2）％RH，48h，应无锈蚀、鼓泡、剥落现象；</w:t>
            </w:r>
            <w:r>
              <w:rPr>
                <w:rFonts w:hint="eastAsia" w:ascii="宋体" w:hAnsi="宋体" w:cs="宋体"/>
                <w:kern w:val="0"/>
                <w:sz w:val="21"/>
                <w:szCs w:val="21"/>
                <w:lang w:bidi="ar"/>
              </w:rPr>
              <w:br w:type="textWrapping"/>
            </w:r>
            <w:r>
              <w:rPr>
                <w:rFonts w:hint="eastAsia" w:ascii="宋体" w:hAnsi="宋体" w:cs="宋体"/>
                <w:kern w:val="0"/>
                <w:sz w:val="21"/>
                <w:szCs w:val="21"/>
                <w:lang w:bidi="ar"/>
              </w:rPr>
              <w:t>10.涂层要求：涂层外观：无花斑、无“桔皮”，不允许有肉眼能见机械杂质、污浊、气泡、针孔；</w:t>
            </w:r>
            <w:r>
              <w:rPr>
                <w:rFonts w:hint="eastAsia" w:ascii="宋体" w:hAnsi="宋体" w:cs="宋体"/>
                <w:kern w:val="0"/>
                <w:sz w:val="21"/>
                <w:szCs w:val="21"/>
                <w:lang w:bidi="ar"/>
              </w:rPr>
              <w:br w:type="textWrapping"/>
            </w:r>
            <w:r>
              <w:rPr>
                <w:rFonts w:hint="eastAsia" w:ascii="宋体" w:hAnsi="宋体" w:cs="宋体"/>
                <w:kern w:val="0"/>
                <w:sz w:val="21"/>
                <w:szCs w:val="21"/>
                <w:lang w:bidi="ar"/>
              </w:rPr>
              <w:t>11.★产品有害物质(家具涂层可迁移元素)八大重金属均未检出，中性盐雾试验(NSS)连续喷雾450h以上，达到10级，抗菌性能抑菌率不小于99%，培养时间不小于40h；</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写字桌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1.桌面：采用1.0mm冷轧钢板制作，内衬刨花板提高桌面平整性；</w:t>
            </w:r>
            <w:r>
              <w:rPr>
                <w:rFonts w:hint="eastAsia" w:ascii="宋体" w:hAnsi="宋体" w:cs="宋体"/>
                <w:kern w:val="0"/>
                <w:sz w:val="21"/>
                <w:szCs w:val="21"/>
                <w:lang w:bidi="ar"/>
              </w:rPr>
              <w:br w:type="textWrapping"/>
            </w:r>
            <w:r>
              <w:rPr>
                <w:rFonts w:hint="eastAsia" w:ascii="宋体" w:hAnsi="宋体" w:cs="宋体"/>
                <w:kern w:val="0"/>
                <w:sz w:val="21"/>
                <w:szCs w:val="21"/>
                <w:lang w:bidi="ar"/>
              </w:rPr>
              <w:t>2.抽屉：采用0.8mm钢板，导轨采用三节式静音导轨，抽拉舒畅无噪音，内凹扣手，明锁扣；</w:t>
            </w:r>
            <w:r>
              <w:rPr>
                <w:rFonts w:hint="eastAsia" w:ascii="宋体" w:hAnsi="宋体" w:cs="宋体"/>
                <w:kern w:val="0"/>
                <w:sz w:val="21"/>
                <w:szCs w:val="21"/>
                <w:lang w:bidi="ar"/>
              </w:rPr>
              <w:br w:type="textWrapping"/>
            </w:r>
            <w:r>
              <w:rPr>
                <w:rFonts w:hint="eastAsia" w:ascii="宋体" w:hAnsi="宋体" w:cs="宋体"/>
                <w:kern w:val="0"/>
                <w:sz w:val="21"/>
                <w:szCs w:val="21"/>
                <w:lang w:bidi="ar"/>
              </w:rPr>
              <w:t>3.桌架：采用40*40*1.5mm钢制方管制作，横撑采用40*25*1.5mm钢管制作；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4.钢制部分经过脱脂、除油、除锈、磷化处理，表面采用高压静电喷塑，美观耐用，具有耐腐蚀、耐磨、耐高温等特性；</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38</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学习椅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规格：宽520mm*460mm*835mm（±5mm）。</w:t>
            </w:r>
            <w:r>
              <w:rPr>
                <w:rFonts w:hint="eastAsia" w:ascii="宋体" w:hAnsi="宋体" w:cs="宋体"/>
                <w:kern w:val="0"/>
                <w:sz w:val="21"/>
                <w:szCs w:val="21"/>
                <w:lang w:bidi="ar"/>
              </w:rPr>
              <w:br w:type="textWrapping"/>
            </w:r>
            <w:r>
              <w:rPr>
                <w:rFonts w:hint="eastAsia" w:ascii="宋体" w:hAnsi="宋体" w:cs="宋体"/>
                <w:kern w:val="0"/>
                <w:sz w:val="21"/>
                <w:szCs w:val="21"/>
                <w:lang w:bidi="ar"/>
              </w:rPr>
              <w:t>1.椅脚：采用铝合金压铸一体成型，Z字形。</w:t>
            </w:r>
            <w:r>
              <w:rPr>
                <w:rFonts w:hint="eastAsia" w:ascii="宋体" w:hAnsi="宋体" w:cs="宋体"/>
                <w:kern w:val="0"/>
                <w:sz w:val="21"/>
                <w:szCs w:val="21"/>
                <w:lang w:bidi="ar"/>
              </w:rPr>
              <w:br w:type="textWrapping"/>
            </w:r>
            <w:r>
              <w:rPr>
                <w:rFonts w:hint="eastAsia" w:ascii="宋体" w:hAnsi="宋体" w:cs="宋体"/>
                <w:kern w:val="0"/>
                <w:sz w:val="21"/>
                <w:szCs w:val="21"/>
                <w:lang w:bidi="ar"/>
              </w:rPr>
              <w:t>2.地脚：长430mm、高440mm（±5mm），单个椅脚重量不少于1.4KG。</w:t>
            </w:r>
            <w:r>
              <w:rPr>
                <w:rFonts w:hint="eastAsia" w:ascii="宋体" w:hAnsi="宋体" w:cs="宋体"/>
                <w:kern w:val="0"/>
                <w:sz w:val="21"/>
                <w:szCs w:val="21"/>
                <w:lang w:bidi="ar"/>
              </w:rPr>
              <w:br w:type="textWrapping"/>
            </w:r>
            <w:r>
              <w:rPr>
                <w:rFonts w:hint="eastAsia" w:ascii="宋体" w:hAnsi="宋体" w:cs="宋体"/>
                <w:kern w:val="0"/>
                <w:sz w:val="21"/>
                <w:szCs w:val="21"/>
                <w:lang w:bidi="ar"/>
              </w:rPr>
              <w:t>3.椅脚连接件：椅脚采用穿透式连接，两个Z字形椅脚底部由一根Φ38*16椭圆形铝型材，在椅脚两侧用2个内六角螺丝固定而成，减少椅子晃动，提高椅子牢固性。Z字形椅脚底部配有塑料脚垫，预防椅子滑动、保护地面减少划痕和减少噪音产生。</w:t>
            </w:r>
            <w:r>
              <w:rPr>
                <w:rFonts w:hint="eastAsia" w:ascii="宋体" w:hAnsi="宋体" w:cs="宋体"/>
                <w:kern w:val="0"/>
                <w:sz w:val="21"/>
                <w:szCs w:val="21"/>
                <w:lang w:bidi="ar"/>
              </w:rPr>
              <w:br w:type="textWrapping"/>
            </w:r>
            <w:r>
              <w:rPr>
                <w:rFonts w:hint="eastAsia" w:ascii="宋体" w:hAnsi="宋体" w:cs="宋体"/>
                <w:kern w:val="0"/>
                <w:sz w:val="21"/>
                <w:szCs w:val="21"/>
                <w:lang w:bidi="ar"/>
              </w:rPr>
              <w:t>4.★椅面：采用胶合板，含水率＜6.5%，静曲强度顺纹≥31MPa，静曲强度横纹≥26MPa，弹性模量顺纹≥5500MPa，弹性模量横纹≥3500MPa，挥发性有机化合物(72h)苯、甲苯、二甲苯、总挥发性有机化合物(TVOC)均未检出，人造板及其甲醛释放量达ENF级,甲醛释放量未检出；</w:t>
            </w:r>
            <w:r>
              <w:rPr>
                <w:rFonts w:hint="eastAsia" w:ascii="宋体" w:hAnsi="宋体" w:cs="宋体"/>
                <w:kern w:val="0"/>
                <w:sz w:val="21"/>
                <w:szCs w:val="21"/>
                <w:lang w:bidi="ar"/>
              </w:rPr>
              <w:br w:type="textWrapping"/>
            </w:r>
            <w:r>
              <w:rPr>
                <w:rFonts w:hint="eastAsia" w:ascii="宋体" w:hAnsi="宋体" w:cs="宋体"/>
                <w:kern w:val="0"/>
                <w:sz w:val="21"/>
                <w:szCs w:val="21"/>
                <w:lang w:bidi="ar"/>
              </w:rPr>
              <w:t>5.座托：采用铝合金压铸一体成型，座托长378mm（±2mm）、宽278mm（±2mm）重量不少于0.6KG。 座托两侧采用2个M8*30内六角螺丝连接Z字型椅脚。椅面由四个M6*16mm螺丝固定在座托上，方便简单，牢固耐用。</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四门更衣柜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规格：900*480*1850mm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1.柜体：采用国标0.8mm厚冷轧钢板，柜体边框采用12mm薄边工艺制作，拉手采用内凹拉手，采用扣手锁具，柜内隔板活动可调，可根据个性需求灵活使用；</w:t>
            </w:r>
            <w:r>
              <w:rPr>
                <w:rFonts w:hint="eastAsia" w:ascii="宋体" w:hAnsi="宋体" w:cs="宋体"/>
                <w:kern w:val="0"/>
                <w:sz w:val="21"/>
                <w:szCs w:val="21"/>
                <w:lang w:bidi="ar"/>
              </w:rPr>
              <w:br w:type="textWrapping"/>
            </w:r>
            <w:r>
              <w:rPr>
                <w:rFonts w:hint="eastAsia" w:ascii="宋体" w:hAnsi="宋体" w:cs="宋体"/>
                <w:kern w:val="0"/>
                <w:sz w:val="21"/>
                <w:szCs w:val="21"/>
                <w:lang w:bidi="ar"/>
              </w:rPr>
              <w:t>2.柜内带活动隔板，仪容镜及挂衣杆一根，隔板活动可调；</w:t>
            </w:r>
            <w:r>
              <w:rPr>
                <w:rFonts w:hint="eastAsia" w:ascii="宋体" w:hAnsi="宋体" w:cs="宋体"/>
                <w:kern w:val="0"/>
                <w:sz w:val="21"/>
                <w:szCs w:val="21"/>
                <w:lang w:bidi="ar"/>
              </w:rPr>
              <w:br w:type="textWrapping"/>
            </w:r>
            <w:r>
              <w:rPr>
                <w:rFonts w:hint="eastAsia" w:ascii="宋体" w:hAnsi="宋体" w:cs="宋体"/>
                <w:kern w:val="0"/>
                <w:sz w:val="21"/>
                <w:szCs w:val="21"/>
                <w:lang w:bidi="ar"/>
              </w:rPr>
              <w:t>3.柜门内装有减震垫，以减轻关门时的噪音，采用专用可拆卸隐藏式静音镀锌合页和暗扣手柜锁；柜门做百叶窗式透气设计，采用明锁扣。</w:t>
            </w:r>
            <w:r>
              <w:rPr>
                <w:rFonts w:hint="eastAsia" w:ascii="宋体" w:hAnsi="宋体" w:cs="宋体"/>
                <w:kern w:val="0"/>
                <w:sz w:val="21"/>
                <w:szCs w:val="21"/>
                <w:lang w:bidi="ar"/>
              </w:rPr>
              <w:br w:type="textWrapping"/>
            </w:r>
            <w:r>
              <w:rPr>
                <w:rFonts w:hint="eastAsia" w:ascii="宋体" w:hAnsi="宋体" w:cs="宋体"/>
                <w:kern w:val="0"/>
                <w:sz w:val="21"/>
                <w:szCs w:val="21"/>
                <w:lang w:bidi="ar"/>
              </w:rPr>
              <w:t>4.钢制件外表面处理工艺：全部采用除油、除锈、磷化、清洗、防锈、静电喷涂；</w:t>
            </w:r>
            <w:r>
              <w:rPr>
                <w:rFonts w:hint="eastAsia" w:ascii="宋体" w:hAnsi="宋体" w:cs="宋体"/>
                <w:kern w:val="0"/>
                <w:sz w:val="21"/>
                <w:szCs w:val="21"/>
                <w:lang w:bidi="ar"/>
              </w:rPr>
              <w:br w:type="textWrapping"/>
            </w:r>
            <w:r>
              <w:rPr>
                <w:rFonts w:hint="eastAsia" w:ascii="宋体" w:hAnsi="宋体" w:cs="宋体"/>
                <w:kern w:val="0"/>
                <w:sz w:val="21"/>
                <w:szCs w:val="21"/>
                <w:lang w:bidi="ar"/>
              </w:rPr>
              <w:t>5.外形美观、大方，结构紧凑，稳定性良好，外观：无花斑、无桔皮，表面平整光滑、无毛刺、无锐角，色泽清爽纹理清晰；</w:t>
            </w:r>
            <w:r>
              <w:rPr>
                <w:rFonts w:hint="eastAsia" w:ascii="宋体" w:hAnsi="宋体" w:cs="宋体"/>
                <w:kern w:val="0"/>
                <w:sz w:val="21"/>
                <w:szCs w:val="21"/>
                <w:lang w:bidi="ar"/>
              </w:rPr>
              <w:br w:type="textWrapping"/>
            </w:r>
            <w:r>
              <w:rPr>
                <w:rFonts w:hint="eastAsia" w:ascii="宋体" w:hAnsi="宋体" w:cs="宋体"/>
                <w:kern w:val="0"/>
                <w:sz w:val="21"/>
                <w:szCs w:val="21"/>
                <w:lang w:bidi="ar"/>
              </w:rPr>
              <w:t>6.★钢制柜有害物质限量(产品涂层和覆面层中可溶性重金属)：可溶性铅、可溶性镉、可溶性铬、可溶性汞均未检出，抗菌性能抑菌率达到99%，测试时间40h以上；</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个</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规格：6000*2000*760mm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1.★基材：采用中密度纤维板，板材经烘干、防腐、防虫处理，甲醛释放量符合人造板及其制品甲醛释放量分级，Enf级≤0.02mg/m(测试平衡稳定时间54h)，挥发性有机化合物(72h)：总挥发性有机化合物 (TVOC)未检出；苯、甲苯、二甲苯未检出，板材含水率≤8，吸水厚度膨胀率：≤3%；板材密度：≥0.6g/cm³；板内密度偏差：≤1.2%；</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2.饰面：采用樱桃木皮，厚度为0.6MM；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3.结构：长方形桌面+箱体式下装，台面厚度80mm，支撑脚厚度80mm，支撑脚之间连板厚度25mm，配2个多功能静音阻尼式翻转线盒，走线整体隐藏，安全合理；</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规格：6800*2000*760mm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1.基材：采用中密度纤维板，板材经烘干、防腐、防虫处理，甲醛释放量符合人造板及其制品甲醛释放量分级，Enf级≤0.02mg/m，板材含水率≤8，板材密度：≥0.6g/cm³；</w:t>
            </w:r>
            <w:r>
              <w:rPr>
                <w:rFonts w:hint="eastAsia" w:ascii="宋体" w:hAnsi="宋体" w:cs="宋体"/>
                <w:kern w:val="0"/>
                <w:sz w:val="21"/>
                <w:szCs w:val="21"/>
                <w:lang w:bidi="ar"/>
              </w:rPr>
              <w:br w:type="textWrapping"/>
            </w:r>
            <w:r>
              <w:rPr>
                <w:rFonts w:hint="eastAsia" w:ascii="宋体" w:hAnsi="宋体" w:cs="宋体"/>
                <w:kern w:val="0"/>
                <w:sz w:val="21"/>
                <w:szCs w:val="21"/>
                <w:lang w:bidi="ar"/>
              </w:rPr>
              <w:t>2.结构：长方形桌面+箱体式下装，台面厚度80mm，支撑脚厚度80mm，支撑脚之间连板厚度25mm，配2个多功能静音阻尼式翻转线盒，走线整体隐藏，安全合理；</w:t>
            </w:r>
            <w:r>
              <w:rPr>
                <w:rFonts w:hint="eastAsia" w:ascii="宋体" w:hAnsi="宋体" w:cs="宋体"/>
                <w:kern w:val="0"/>
                <w:sz w:val="21"/>
                <w:szCs w:val="21"/>
                <w:lang w:bidi="ar"/>
              </w:rPr>
              <w:br w:type="textWrapping"/>
            </w:r>
            <w:r>
              <w:rPr>
                <w:rFonts w:hint="eastAsia" w:ascii="宋体" w:hAnsi="宋体" w:cs="宋体"/>
                <w:kern w:val="0"/>
                <w:sz w:val="21"/>
                <w:szCs w:val="21"/>
                <w:lang w:bidi="ar"/>
              </w:rPr>
              <w:t>3.油漆：采用环保水性漆。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规格：常规</w:t>
            </w:r>
            <w:r>
              <w:rPr>
                <w:rFonts w:hint="eastAsia" w:ascii="宋体" w:hAnsi="宋体" w:cs="宋体"/>
                <w:kern w:val="0"/>
                <w:sz w:val="21"/>
                <w:szCs w:val="21"/>
                <w:lang w:bidi="ar"/>
              </w:rPr>
              <w:br w:type="textWrapping"/>
            </w:r>
            <w:r>
              <w:rPr>
                <w:rFonts w:hint="eastAsia" w:ascii="宋体" w:hAnsi="宋体" w:cs="宋体"/>
                <w:kern w:val="0"/>
                <w:sz w:val="21"/>
                <w:szCs w:val="21"/>
                <w:lang w:bidi="ar"/>
              </w:rPr>
              <w:t>1.椅架：采用经烘干.防腐.防虫处理后橡木制作，表面无结疤.腐朽变质，甲醛释放量≤0.15mg/L，木材抗弯强度≥80Mpa不易变形开裂，扶手面倒角合理；</w:t>
            </w:r>
            <w:r>
              <w:rPr>
                <w:rFonts w:hint="eastAsia" w:ascii="宋体" w:hAnsi="宋体" w:cs="宋体"/>
                <w:kern w:val="0"/>
                <w:sz w:val="21"/>
                <w:szCs w:val="21"/>
                <w:lang w:bidi="ar"/>
              </w:rPr>
              <w:br w:type="textWrapping"/>
            </w:r>
            <w:r>
              <w:rPr>
                <w:rFonts w:hint="eastAsia" w:ascii="宋体" w:hAnsi="宋体" w:cs="宋体"/>
                <w:kern w:val="0"/>
                <w:sz w:val="21"/>
                <w:szCs w:val="21"/>
                <w:lang w:bidi="ar"/>
              </w:rPr>
              <w:t>2.覆面：采用环保西皮饰面，回弹力好，经久耐用的优点；</w:t>
            </w:r>
            <w:r>
              <w:rPr>
                <w:rFonts w:hint="eastAsia" w:ascii="宋体" w:hAnsi="宋体" w:cs="宋体"/>
                <w:kern w:val="0"/>
                <w:sz w:val="21"/>
                <w:szCs w:val="21"/>
                <w:lang w:bidi="ar"/>
              </w:rPr>
              <w:br w:type="textWrapping"/>
            </w:r>
            <w:r>
              <w:rPr>
                <w:rFonts w:hint="eastAsia" w:ascii="宋体" w:hAnsi="宋体" w:cs="宋体"/>
                <w:kern w:val="0"/>
                <w:sz w:val="21"/>
                <w:szCs w:val="21"/>
                <w:lang w:bidi="ar"/>
              </w:rPr>
              <w:t>3.★海绵：采用阻燃海绵，甲醛释放量≤0.025mg/㎡h；TVOC未检出，抗引燃特性-阴燃的香烟试件表面未发现续燃或阴燃现象，回弹率≥40%；</w:t>
            </w:r>
            <w:r>
              <w:rPr>
                <w:rFonts w:hint="eastAsia" w:ascii="宋体" w:hAnsi="宋体" w:cs="宋体"/>
                <w:kern w:val="0"/>
                <w:sz w:val="21"/>
                <w:szCs w:val="21"/>
                <w:lang w:bidi="ar"/>
              </w:rPr>
              <w:br w:type="textWrapping"/>
            </w:r>
            <w:r>
              <w:rPr>
                <w:rFonts w:hint="eastAsia" w:ascii="宋体" w:hAnsi="宋体" w:cs="宋体"/>
                <w:kern w:val="0"/>
                <w:sz w:val="21"/>
                <w:szCs w:val="21"/>
                <w:lang w:bidi="ar"/>
              </w:rPr>
              <w:t>4.座板：采用18mm多层曲木板热压成型；</w:t>
            </w:r>
            <w:r>
              <w:rPr>
                <w:rFonts w:hint="eastAsia" w:ascii="宋体" w:hAnsi="宋体" w:cs="宋体"/>
                <w:kern w:val="0"/>
                <w:sz w:val="21"/>
                <w:szCs w:val="21"/>
                <w:lang w:bidi="ar"/>
              </w:rPr>
              <w:br w:type="textWrapping"/>
            </w:r>
            <w:r>
              <w:rPr>
                <w:rFonts w:hint="eastAsia" w:ascii="宋体" w:hAnsi="宋体" w:cs="宋体"/>
                <w:kern w:val="0"/>
                <w:sz w:val="21"/>
                <w:szCs w:val="21"/>
                <w:lang w:bidi="ar"/>
              </w:rPr>
              <w:t>5.油漆：采用环保水性漆。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茶水柜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规格：1200*400*860mm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2.饰面：采用樱桃木皮，厚度为0.6MM；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3.顶板、侧板：厚度为25mm，中立板、层板、门板厚度为18mm；</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4.油漆：采用环保水性漆；</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5.五金件：采用三节式静音导轨、铰链、连接件及锁具，抽拉顺畅无噪音；液压式门铰，无碰撞、噪音；</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沙发单人位</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规格：单人位#820W*810D*740H</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1.饰面：采用环保西皮饰面；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2.框架：采用实木框架，蛇形静音弹簧，底脚采用不锈钢材质，造型美观，结实耐用；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3.海棉：采用高密度一次发泡成型海绵，75%压缩永久变形：≤5%，密度≥45KG/m³，游离甲醛小于20mg/kg%；</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个</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沙发两人位</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规格：双人位#1400W*810D*740H</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1.饰面：采用环保西皮饰面；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2.框架：采用实木框架，蛇形静音弹簧，底脚采用不锈钢材质，造型美观，结实耐用；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3.海棉：采用高密度一次发泡成型海绵，75%压缩永久变形：≤5%，密度≥45KG/m³，游离甲醛小于20mg/kg%；</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个</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沙发三人位</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规格：三人位#1900W*810D*740H</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1.饰面：采用环保西皮饰面；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2.框架：采用实木框架，蛇形静音弹簧，底脚采用不锈钢材质，造型美观，结实耐用；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3.海棉：采用高密度一次发泡成型海绵，75%压缩永久变形：≤5%，密度≥45KG/m³，游离甲醛小于20mg/kg%；</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个</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茶几</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规格：1380*680*450mm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1、台面：采用中密度纤维板；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2、木皮：采用樱桃木皮，厚度为0.6MM；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3、脚架：采用经烘干.防腐.防虫处理后橡木制作而成，表面无结疤.腐朽变质，不易变形开裂；</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48</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办公桌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规格：1400*600*760mm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含水率：6%-7%，2h吸水厚度膨胀率：≤1%，静曲强度：≥19Mpa，内胶合强度：≥0.8Mpa，表面胶合强度：≥1.7Mpa，握螺钉力：板面握螺钉力≥1700N；板边握螺钉力≥1300N，挥发性有机化合物(72h)：总挥发性有机化合物 (TVOC)：≤20μg/m³未检出；苯未检出；甲苯未检出；二甲苯未检出，人造板及其制品甲醛释放量分级：Enf级≤0.015mg/m³，测试平衡稳定时间不少于52h；</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2.饰面：采用三聚氰胺板饰面，甲醛释放量（人造板及其制品中甲醛释放限量）＜0.3mg/m³，试验合格，具有耐污、耐刻划、易清洁等特点；</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3.封边：采用PVC封边条；</w:t>
            </w:r>
            <w:r>
              <w:rPr>
                <w:rFonts w:hint="eastAsia" w:ascii="宋体" w:hAnsi="宋体" w:cs="宋体"/>
                <w:kern w:val="0"/>
                <w:sz w:val="21"/>
                <w:szCs w:val="21"/>
                <w:lang w:bidi="ar"/>
              </w:rPr>
              <w:br w:type="textWrapping"/>
            </w:r>
            <w:r>
              <w:rPr>
                <w:rFonts w:hint="eastAsia" w:ascii="宋体" w:hAnsi="宋体" w:cs="宋体"/>
                <w:kern w:val="0"/>
                <w:sz w:val="21"/>
                <w:szCs w:val="21"/>
                <w:lang w:bidi="ar"/>
              </w:rPr>
              <w:t>4.主桌：桌面厚度25mm，配160*80铝合金毛刷线盒；桌腿方框采用钢制60*30*1.5矩形钢管，连接横梁采用50*25*1.5矩形钢管，采用卡槽连接结构，底部带调平脚，结构稳固；桌腿封板采用刨花板，前挡板采用0.7mm冷轧钢板制作；</w:t>
            </w:r>
            <w:r>
              <w:rPr>
                <w:rFonts w:hint="eastAsia" w:ascii="宋体" w:hAnsi="宋体" w:cs="宋体"/>
                <w:kern w:val="0"/>
                <w:sz w:val="21"/>
                <w:szCs w:val="21"/>
                <w:lang w:bidi="ar"/>
              </w:rPr>
              <w:br w:type="textWrapping"/>
            </w:r>
            <w:r>
              <w:rPr>
                <w:rFonts w:hint="eastAsia" w:ascii="宋体" w:hAnsi="宋体" w:cs="宋体"/>
                <w:kern w:val="0"/>
                <w:sz w:val="21"/>
                <w:szCs w:val="21"/>
                <w:lang w:bidi="ar"/>
              </w:rPr>
              <w:t>5.三抽活动柜：柜体采用0.8mm冷轧钢板制作，导轨采用三节式全展钢珠静音式导轨，每个抽屉可以独立承受40kg的重量，柜底部带封板。</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条凳</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规格：1200*400*390mm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1、凳面：采用原木；经烘干、防腐、防虫处理，表面无结疤、腐朽变质，含水率小于11％，不易变形开裂；表面清漆处理；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2.凳架：采用40*40*1.5mm电焊钢管制作，结实稳定；</w:t>
            </w:r>
            <w:r>
              <w:rPr>
                <w:rFonts w:hint="eastAsia" w:ascii="宋体" w:hAnsi="宋体" w:cs="宋体"/>
                <w:kern w:val="0"/>
                <w:sz w:val="21"/>
                <w:szCs w:val="21"/>
                <w:lang w:bidi="ar"/>
              </w:rPr>
              <w:br w:type="textWrapping"/>
            </w:r>
            <w:r>
              <w:rPr>
                <w:rFonts w:hint="eastAsia" w:ascii="宋体" w:hAnsi="宋体" w:cs="宋体"/>
                <w:kern w:val="0"/>
                <w:sz w:val="21"/>
                <w:szCs w:val="21"/>
                <w:lang w:bidi="ar"/>
              </w:rPr>
              <w:t>3.脚垫：采用ABS工程塑料制作，防滑、防潮、降噪；</w:t>
            </w:r>
            <w:r>
              <w:rPr>
                <w:rFonts w:hint="eastAsia" w:ascii="宋体" w:hAnsi="宋体" w:cs="宋体"/>
                <w:kern w:val="0"/>
                <w:sz w:val="21"/>
                <w:szCs w:val="21"/>
                <w:lang w:bidi="ar"/>
              </w:rPr>
              <w:br w:type="textWrapping"/>
            </w:r>
            <w:r>
              <w:rPr>
                <w:rFonts w:hint="eastAsia" w:ascii="宋体" w:hAnsi="宋体" w:cs="宋体"/>
                <w:kern w:val="0"/>
                <w:sz w:val="21"/>
                <w:szCs w:val="21"/>
                <w:lang w:bidi="ar"/>
              </w:rPr>
              <w:t>4.钢制件外表面处理工艺：全部采用除油、除锈、磷化、清洗、静电喷涂；</w:t>
            </w:r>
            <w:r>
              <w:rPr>
                <w:rFonts w:hint="eastAsia" w:ascii="宋体" w:hAnsi="宋体" w:cs="宋体"/>
                <w:kern w:val="0"/>
                <w:sz w:val="21"/>
                <w:szCs w:val="21"/>
                <w:lang w:bidi="ar"/>
              </w:rPr>
              <w:br w:type="textWrapping"/>
            </w:r>
            <w:r>
              <w:rPr>
                <w:rFonts w:hint="eastAsia" w:ascii="宋体" w:hAnsi="宋体" w:cs="宋体"/>
                <w:kern w:val="0"/>
                <w:sz w:val="21"/>
                <w:szCs w:val="21"/>
                <w:lang w:bidi="ar"/>
              </w:rPr>
              <w:t>5.涂层要求 ：涂层外观：无花斑、无“桔皮”，不允许有肉眼能见机械杂质、污浊、气泡、针孔。</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折叠条桌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规格：1200*450*760mm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1.基材：采用环保刨花板制作，桌面厚度25mm，前挡板厚度16mm；</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2.饰面：采用木纹色三聚氰胺板饰面；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3.封边：见光面采用PVC封边，经全自动封边工艺处理；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4.★胶粘剂:胶粘剂对人体无刺激、具有耐水、耐油、耐酸、耐碱的特点，总挥发性有机物≤60g/L；游离甲醛、苯、甲苯+乙苯+二甲苯未检出；</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5.桌架：一级冷轧钢管，顶板为1.5mm钢板冲压成型，立柱50*25*T1.5方通，层板为0.8mm钢板冲压折边，表面全处理后高温静电喷涂。手按折叠开关，带刹车PU静音轮。前挡板高度300mm；</w:t>
            </w:r>
            <w:r>
              <w:rPr>
                <w:rFonts w:hint="eastAsia" w:ascii="宋体" w:hAnsi="宋体" w:cs="宋体"/>
                <w:kern w:val="0"/>
                <w:sz w:val="21"/>
                <w:szCs w:val="21"/>
                <w:lang w:bidi="ar"/>
              </w:rPr>
              <w:br w:type="textWrapping"/>
            </w:r>
            <w:r>
              <w:rPr>
                <w:rFonts w:hint="eastAsia" w:ascii="宋体" w:hAnsi="宋体" w:cs="宋体"/>
                <w:kern w:val="0"/>
                <w:sz w:val="21"/>
                <w:szCs w:val="21"/>
                <w:lang w:bidi="ar"/>
              </w:rPr>
              <w:t>6.五金配件：采用五金件；</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培训椅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规格：500*550*830mm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1.面料：采用阻燃网布，手感舒适，透气性强，抗静电、防污染；</w:t>
            </w:r>
            <w:r>
              <w:rPr>
                <w:rFonts w:hint="eastAsia" w:ascii="宋体" w:hAnsi="宋体" w:cs="宋体"/>
                <w:kern w:val="0"/>
                <w:sz w:val="21"/>
                <w:szCs w:val="21"/>
                <w:lang w:bidi="ar"/>
              </w:rPr>
              <w:br w:type="textWrapping"/>
            </w:r>
            <w:r>
              <w:rPr>
                <w:rFonts w:hint="eastAsia" w:ascii="宋体" w:hAnsi="宋体" w:cs="宋体"/>
                <w:kern w:val="0"/>
                <w:sz w:val="21"/>
                <w:szCs w:val="21"/>
                <w:lang w:bidi="ar"/>
              </w:rPr>
              <w:t>2.海绵：采用高密度一次发泡成型海绵，75%压缩永久变形：≤5%，密度≥45KG/m³，游离甲醛小于20mg/kg；</w:t>
            </w:r>
            <w:r>
              <w:rPr>
                <w:rFonts w:hint="eastAsia" w:ascii="宋体" w:hAnsi="宋体" w:cs="宋体"/>
                <w:kern w:val="0"/>
                <w:sz w:val="21"/>
                <w:szCs w:val="21"/>
                <w:lang w:bidi="ar"/>
              </w:rPr>
              <w:br w:type="textWrapping"/>
            </w:r>
            <w:r>
              <w:rPr>
                <w:rFonts w:hint="eastAsia" w:ascii="宋体" w:hAnsi="宋体" w:cs="宋体"/>
                <w:kern w:val="0"/>
                <w:sz w:val="21"/>
                <w:szCs w:val="21"/>
                <w:lang w:bidi="ar"/>
              </w:rPr>
              <w:t>3.椅背:塑胶背框,网布,靠背可轻仰；</w:t>
            </w:r>
            <w:r>
              <w:rPr>
                <w:rFonts w:hint="eastAsia" w:ascii="宋体" w:hAnsi="宋体" w:cs="宋体"/>
                <w:kern w:val="0"/>
                <w:sz w:val="21"/>
                <w:szCs w:val="21"/>
                <w:lang w:bidi="ar"/>
              </w:rPr>
              <w:br w:type="textWrapping"/>
            </w:r>
            <w:r>
              <w:rPr>
                <w:rFonts w:hint="eastAsia" w:ascii="宋体" w:hAnsi="宋体" w:cs="宋体"/>
                <w:kern w:val="0"/>
                <w:sz w:val="21"/>
                <w:szCs w:val="21"/>
                <w:lang w:bidi="ar"/>
              </w:rPr>
              <w:t>4.椅架：采用31*19*1.5mm喷涂金属椅架，椅脚带PP软垫，防止划伤地面；</w:t>
            </w:r>
            <w:r>
              <w:rPr>
                <w:rFonts w:hint="eastAsia" w:ascii="宋体" w:hAnsi="宋体" w:cs="宋体"/>
                <w:kern w:val="0"/>
                <w:sz w:val="21"/>
                <w:szCs w:val="21"/>
                <w:lang w:bidi="ar"/>
              </w:rPr>
              <w:br w:type="textWrapping"/>
            </w:r>
            <w:r>
              <w:rPr>
                <w:rFonts w:hint="eastAsia" w:ascii="宋体" w:hAnsi="宋体" w:cs="宋体"/>
                <w:kern w:val="0"/>
                <w:sz w:val="21"/>
                <w:szCs w:val="21"/>
                <w:lang w:bidi="ar"/>
              </w:rPr>
              <w:t>5.钢制件外表面处理工艺：全部采用除油、除锈、磷化、清洗、静电喷涂；外观：焊接与连接部位牢固、可靠，产品外露部件均无尖锐棱角；</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餐桌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规格：1200*600*760mm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1.基材：采用环保刨花板制作，桌面厚度25mm，前挡板厚度16mm；</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2.饰面：采用木纹色三聚氰胺板饰面；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3.封边：见光面采用PVC封边，经全自动封边工艺处理；</w:t>
            </w:r>
            <w:r>
              <w:rPr>
                <w:rFonts w:hint="eastAsia" w:ascii="宋体" w:hAnsi="宋体" w:cs="宋体"/>
                <w:kern w:val="0"/>
                <w:sz w:val="21"/>
                <w:szCs w:val="21"/>
                <w:lang w:bidi="ar"/>
              </w:rPr>
              <w:br w:type="textWrapping"/>
            </w:r>
            <w:r>
              <w:rPr>
                <w:rFonts w:hint="eastAsia" w:ascii="宋体" w:hAnsi="宋体" w:cs="宋体"/>
                <w:kern w:val="0"/>
                <w:sz w:val="21"/>
                <w:szCs w:val="21"/>
                <w:lang w:bidi="ar"/>
              </w:rPr>
              <w:t>4.桌架采用40*40矩形不锈钢桌架；</w:t>
            </w:r>
            <w:r>
              <w:rPr>
                <w:rFonts w:hint="eastAsia" w:ascii="宋体" w:hAnsi="宋体" w:cs="宋体"/>
                <w:kern w:val="0"/>
                <w:sz w:val="21"/>
                <w:szCs w:val="21"/>
                <w:lang w:bidi="ar"/>
              </w:rPr>
              <w:br w:type="textWrapping"/>
            </w:r>
            <w:r>
              <w:rPr>
                <w:rFonts w:hint="eastAsia" w:ascii="宋体" w:hAnsi="宋体" w:cs="宋体"/>
                <w:kern w:val="0"/>
                <w:sz w:val="21"/>
                <w:szCs w:val="21"/>
                <w:lang w:bidi="ar"/>
              </w:rPr>
              <w:t>5.餐桌桌面尺寸、对角线、平整度误差小于2mm，座底脚着地平稳性偏差小于2mm；</w:t>
            </w:r>
            <w:r>
              <w:rPr>
                <w:rFonts w:hint="eastAsia" w:ascii="宋体" w:hAnsi="宋体" w:cs="宋体"/>
                <w:kern w:val="0"/>
                <w:sz w:val="21"/>
                <w:szCs w:val="21"/>
                <w:lang w:bidi="ar"/>
              </w:rPr>
              <w:br w:type="textWrapping"/>
            </w:r>
            <w:r>
              <w:rPr>
                <w:rFonts w:hint="eastAsia" w:ascii="宋体" w:hAnsi="宋体" w:cs="宋体"/>
                <w:kern w:val="0"/>
                <w:sz w:val="21"/>
                <w:szCs w:val="21"/>
                <w:lang w:bidi="ar"/>
              </w:rPr>
              <w:t>6.餐桌桌面板无凹陷、压痕、裂痕、开胶等缺陷，桌面翘曲度、平整度小于2mm，桌面长期使用不出现塌陷、开胶现象，完全达到防火要求；</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餐椅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规格：400*470*440mm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1.座板：采用10mm厚多层曲木板热压弯曲一次成型，外形美观，结构牢固耐用。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2.椅架采用25mm不锈钢圆管，管壁厚度达2.0mm。坚固、美观、防生锈。椅子底部增加防滑脚垫，要求防滑、耐磨损。</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主席台桌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规格：2100*700*780mm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2.饰面：采用金柚木皮，厚度为0.6MM；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3.结构：台面厚度60mm，配多功能静音阻尼式翻转线盒，走线整体隐藏，安全合理，侧脚板厚度25mm，前挡板厚度25mm，中立板、抽地板厚18mm；</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4.★油漆：采用环保水性油漆，VOC含量：≤85g/L，甲醛含量：未检出，总铅(Pb)含量(限色漆、腻子和醇酸清漆)、乙二醇醚及醚醋总和含量、烷基酚聚氧乙烯醚总和含量/(mg/kg)未检出；</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5.五金件：采用五金件；</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条形会议桌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规格：1800*400*760mm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2.饰面：采用金柚木皮，厚度为0.6MM；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3.结构：台面厚度25mm，走线整体隐藏，安全合理，侧脚板厚度25mm，前挡板厚度25mm高度600mm，中立板、抽地板厚18mm；</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4.油漆：采用环保水性油漆；</w:t>
            </w:r>
            <w:r>
              <w:rPr>
                <w:rFonts w:hint="eastAsia" w:ascii="宋体" w:hAnsi="宋体" w:cs="宋体"/>
                <w:kern w:val="0"/>
                <w:sz w:val="21"/>
                <w:szCs w:val="21"/>
                <w:lang w:bidi="ar"/>
              </w:rPr>
              <w:br w:type="textWrapping"/>
            </w:r>
            <w:r>
              <w:rPr>
                <w:rFonts w:hint="eastAsia" w:ascii="宋体" w:hAnsi="宋体" w:cs="宋体"/>
                <w:kern w:val="0"/>
                <w:sz w:val="21"/>
                <w:szCs w:val="21"/>
                <w:lang w:bidi="ar"/>
              </w:rPr>
              <w:t>5.五金件：采用五金件；</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条形会议桌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2.饰面：采用金柚木皮，厚度为0.6MM；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3.结构：台面厚度25mm，走线整体隐藏，安全合理，侧脚板厚度25mm，前挡板厚度25mm高度600mm，中立板、抽地板厚18mm；</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4.油漆：采用环保水性油漆。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62" w:type="dxa"/>
            <w:vMerge w:val="restart"/>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58</w:t>
            </w:r>
          </w:p>
        </w:tc>
        <w:tc>
          <w:tcPr>
            <w:tcW w:w="1276" w:type="dxa"/>
            <w:vMerge w:val="restart"/>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礼堂椅</w:t>
            </w:r>
          </w:p>
        </w:tc>
        <w:tc>
          <w:tcPr>
            <w:tcW w:w="6452" w:type="dxa"/>
            <w:vMerge w:val="restart"/>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中心距：580mm±5mm、总高1040mm±10mm、座椅深度为570mm±10mm、座打开整体深度为760mm±10mm、写字板打开深度为840mm±10mm、座内宽500mm±5mm、座深470mm±10mm、座高460mm±10mm、扶手高620mm±10mm、扶手宽80mm±5mm、建议最小行距900mm-1000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1.座椅带写字板。座椅排位参照后附座椅尺寸图，中心距560/585±10mm；椅子高度860±10mm; 座高450±10mm;座包打开深度670±10mm；扶手宽度50±10mm;扶手高度620±5mm。</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2.面料：选用麻绒面料；</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3.座/背海绵：应选用高密度环保聚氨酯定型海绵原料；</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4.座/背外板：背外板应选用不小于12mm高密度多层胶合板，经高温高压模具压制成型，造型稳定、受力好。背外板与背包采用卡扣式连接，与扶手采用角码螺丝锁紧连接，角码由冷轧钢材折弯成型，连接牢固，便于拆装及定位。座外壳采用PP(聚丙烯)加玻纤多元素复合材料经模具一体注塑成型，卡扣式安装设计；表面磨砂麻面处理；内部应设计多组加强筋结构。</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 扶手：扶手盖选用榉木/橡胶木木材有线分割而成，表面涂5层高档环保聚氨酯油漆。椅脚、扶手框架应选用冷轧钢板折弯，机械手焊接成型，扶手框用改善声学效能的中空结构设计，结构强度高。</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6.座包回复机构：座椅采用重力自动回复机构设计，重力块由2块8mm厚+1块3mm厚碳素结构钢板焊接而成，特别设计有防撞消音垫，精确定位，可靠无噪音，使用寿命≥30万次。</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7. 写字板：配置反恐写字板，紧急情况，观众突然起立的惯性即可推动写字板翻转回位。写字板板面采用多层板做基材，面贴防火板，整体黑色设计，耐划耐刮。写字板回收过程设计有限位功能，开合自然，运动流畅，写字板不会随意摇晃产生噪音。</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8.钢材：座椅扶手箱连接件及站脚等连接件所有的钢材都使用冷轧板冲压成型；</w:t>
            </w:r>
          </w:p>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9.★座椅声学要求：座椅产品满足GB/T 20247-2006《声学混响室吸声测量》的要求，必须经第三方专业测试机构出具的混响室座椅吸声性能测试合格，测试座椅不低于18把座椅，空座及满座吸声系数尽量接近，提供以下要求涉及的国家认可的检验中心所出具的权威检测报告复印件并加盖厂家公章;</w:t>
            </w:r>
            <w:r>
              <w:rPr>
                <w:rFonts w:hint="eastAsia" w:ascii="宋体" w:hAnsi="宋体" w:cs="宋体"/>
                <w:kern w:val="0"/>
                <w:sz w:val="21"/>
                <w:szCs w:val="21"/>
                <w:lang w:bidi="ar"/>
              </w:rPr>
              <w:br w:type="textWrapping"/>
            </w:r>
            <w:r>
              <w:rPr>
                <w:rFonts w:hint="eastAsia" w:ascii="宋体" w:hAnsi="宋体" w:cs="宋体"/>
                <w:kern w:val="0"/>
                <w:sz w:val="21"/>
                <w:szCs w:val="21"/>
                <w:lang w:bidi="ar"/>
              </w:rPr>
              <w:t>频率（Hz） 125 250 500 1000 2000 4000</w:t>
            </w:r>
            <w:r>
              <w:rPr>
                <w:rFonts w:hint="eastAsia" w:ascii="宋体" w:hAnsi="宋体" w:cs="宋体"/>
                <w:kern w:val="0"/>
                <w:sz w:val="21"/>
                <w:szCs w:val="21"/>
                <w:lang w:bidi="ar"/>
              </w:rPr>
              <w:br w:type="textWrapping"/>
            </w:r>
            <w:r>
              <w:rPr>
                <w:rFonts w:hint="eastAsia" w:ascii="宋体" w:hAnsi="宋体" w:cs="宋体"/>
                <w:kern w:val="0"/>
                <w:sz w:val="21"/>
                <w:szCs w:val="21"/>
                <w:lang w:bidi="ar"/>
              </w:rPr>
              <w:t>单个座椅吸声系数 0.2～0.3 0.3～0.4 0.5～0.6 0.6～0.7 0.6～0.8 0.6～0.8。</w:t>
            </w:r>
          </w:p>
        </w:tc>
        <w:tc>
          <w:tcPr>
            <w:tcW w:w="700" w:type="dxa"/>
            <w:vMerge w:val="restart"/>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座</w:t>
            </w:r>
          </w:p>
        </w:tc>
        <w:tc>
          <w:tcPr>
            <w:tcW w:w="763" w:type="dxa"/>
            <w:vMerge w:val="restart"/>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62" w:type="dxa"/>
            <w:vMerge w:val="continue"/>
            <w:vAlign w:val="center"/>
          </w:tcPr>
          <w:p>
            <w:pPr>
              <w:widowControl/>
              <w:adjustRightInd w:val="0"/>
              <w:snapToGrid w:val="0"/>
              <w:jc w:val="left"/>
              <w:textAlignment w:val="center"/>
              <w:rPr>
                <w:rFonts w:hint="eastAsia" w:ascii="宋体" w:hAnsi="宋体" w:cs="宋体"/>
                <w:kern w:val="0"/>
                <w:sz w:val="21"/>
                <w:szCs w:val="21"/>
                <w:lang w:bidi="ar"/>
              </w:rPr>
            </w:pPr>
          </w:p>
        </w:tc>
        <w:tc>
          <w:tcPr>
            <w:tcW w:w="1276" w:type="dxa"/>
            <w:vMerge w:val="continue"/>
            <w:vAlign w:val="center"/>
          </w:tcPr>
          <w:p>
            <w:pPr>
              <w:widowControl/>
              <w:adjustRightInd w:val="0"/>
              <w:snapToGrid w:val="0"/>
              <w:jc w:val="center"/>
              <w:textAlignment w:val="center"/>
              <w:rPr>
                <w:rFonts w:hint="eastAsia" w:ascii="宋体" w:hAnsi="宋体" w:cs="宋体"/>
                <w:kern w:val="0"/>
                <w:sz w:val="21"/>
                <w:szCs w:val="21"/>
                <w:lang w:bidi="ar"/>
              </w:rPr>
            </w:pPr>
          </w:p>
        </w:tc>
        <w:tc>
          <w:tcPr>
            <w:tcW w:w="6452" w:type="dxa"/>
            <w:vMerge w:val="continue"/>
            <w:vAlign w:val="center"/>
          </w:tcPr>
          <w:p>
            <w:pPr>
              <w:widowControl/>
              <w:adjustRightInd w:val="0"/>
              <w:snapToGrid w:val="0"/>
              <w:jc w:val="left"/>
              <w:textAlignment w:val="center"/>
              <w:rPr>
                <w:rFonts w:hint="eastAsia" w:ascii="宋体" w:hAnsi="宋体" w:cs="宋体"/>
                <w:kern w:val="0"/>
                <w:sz w:val="21"/>
                <w:szCs w:val="21"/>
                <w:lang w:bidi="ar"/>
              </w:rPr>
            </w:pPr>
          </w:p>
        </w:tc>
        <w:tc>
          <w:tcPr>
            <w:tcW w:w="700" w:type="dxa"/>
            <w:vMerge w:val="continue"/>
            <w:vAlign w:val="center"/>
          </w:tcPr>
          <w:p>
            <w:pPr>
              <w:widowControl/>
              <w:adjustRightInd w:val="0"/>
              <w:snapToGrid w:val="0"/>
              <w:jc w:val="left"/>
              <w:textAlignment w:val="center"/>
              <w:rPr>
                <w:rFonts w:hint="eastAsia" w:ascii="宋体" w:hAnsi="宋体" w:cs="宋体"/>
                <w:kern w:val="0"/>
                <w:sz w:val="21"/>
                <w:szCs w:val="21"/>
                <w:lang w:bidi="ar"/>
              </w:rPr>
            </w:pPr>
          </w:p>
        </w:tc>
        <w:tc>
          <w:tcPr>
            <w:tcW w:w="763" w:type="dxa"/>
            <w:vMerge w:val="continue"/>
            <w:vAlign w:val="center"/>
          </w:tcPr>
          <w:p>
            <w:pPr>
              <w:widowControl/>
              <w:adjustRightInd w:val="0"/>
              <w:snapToGrid w:val="0"/>
              <w:jc w:val="left"/>
              <w:textAlignment w:val="center"/>
              <w:rPr>
                <w:rFonts w:hint="eastAsia" w:ascii="宋体" w:hAnsi="宋体" w:cs="宋体"/>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59</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演讲台</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规格：800*600*1150mm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2.饰面：采用金柚木皮，厚度为0.6MM；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3.油漆：采用环保水性漆。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60</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会议桌</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规格：9800*2200*760mm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2.饰面：采用樱桃木皮，厚度为0.6MM；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长方形桌面+箱体式下装，台面厚度80mm，支撑脚厚度80mm，支撑脚之间连板厚度25mm，配2个多功能静音阻尼式翻转线盒（含2个无线充电座模块、4个五孔电源模块、2个USB数据模块、2个无线充电转换器），走线整体隐藏，安全合理；</w:t>
            </w:r>
            <w:r>
              <w:rPr>
                <w:rFonts w:hint="eastAsia" w:ascii="宋体" w:hAnsi="宋体" w:cs="宋体"/>
                <w:kern w:val="0"/>
                <w:sz w:val="21"/>
                <w:szCs w:val="21"/>
                <w:lang w:bidi="ar"/>
              </w:rPr>
              <w:br w:type="textWrapping"/>
            </w:r>
            <w:r>
              <w:rPr>
                <w:rFonts w:hint="eastAsia" w:ascii="宋体" w:hAnsi="宋体" w:cs="宋体"/>
                <w:kern w:val="0"/>
                <w:sz w:val="21"/>
                <w:szCs w:val="21"/>
                <w:lang w:bidi="ar"/>
              </w:rPr>
              <w:t xml:space="preserve">4.油漆：采用环保水性漆。 </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61</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条桌会议椅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规格：1400*450*760mm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2.饰面：采用樱桃木皮，厚度为0.8MM；</w:t>
            </w:r>
            <w:r>
              <w:rPr>
                <w:rFonts w:hint="eastAsia" w:ascii="宋体" w:hAnsi="宋体" w:cs="宋体"/>
                <w:kern w:val="0"/>
                <w:sz w:val="21"/>
                <w:szCs w:val="21"/>
                <w:lang w:bidi="ar"/>
              </w:rPr>
              <w:br w:type="textWrapping"/>
            </w:r>
            <w:r>
              <w:rPr>
                <w:rFonts w:hint="eastAsia" w:ascii="宋体" w:hAnsi="宋体" w:cs="宋体"/>
                <w:kern w:val="0"/>
                <w:sz w:val="21"/>
                <w:szCs w:val="21"/>
                <w:lang w:bidi="ar"/>
              </w:rPr>
              <w:t>3.结构：台面厚度25mm，走线整体隐藏，安全合理，侧脚板厚度25mm，前挡板厚度25mm高度600mm，中立板、抽地板厚18mm；</w:t>
            </w:r>
            <w:r>
              <w:rPr>
                <w:rFonts w:hint="eastAsia" w:ascii="宋体" w:hAnsi="宋体" w:cs="宋体"/>
                <w:kern w:val="0"/>
                <w:sz w:val="21"/>
                <w:szCs w:val="21"/>
                <w:lang w:bidi="ar"/>
              </w:rPr>
              <w:br w:type="textWrapping"/>
            </w:r>
            <w:r>
              <w:rPr>
                <w:rFonts w:hint="eastAsia" w:ascii="宋体" w:hAnsi="宋体" w:cs="宋体"/>
                <w:kern w:val="0"/>
                <w:sz w:val="21"/>
                <w:szCs w:val="21"/>
                <w:lang w:bidi="ar"/>
              </w:rPr>
              <w:t xml:space="preserve">4.油漆：采用环保水性漆。 </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62</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会议椅</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规格：610*680*980mm</w:t>
            </w:r>
            <w:r>
              <w:rPr>
                <w:rFonts w:hint="eastAsia" w:ascii="宋体" w:hAnsi="宋体" w:cs="宋体"/>
                <w:kern w:val="0"/>
                <w:sz w:val="21"/>
                <w:szCs w:val="21"/>
                <w:lang w:bidi="ar"/>
              </w:rPr>
              <w:br w:type="textWrapping"/>
            </w:r>
            <w:r>
              <w:rPr>
                <w:rFonts w:hint="eastAsia" w:ascii="宋体" w:hAnsi="宋体" w:cs="宋体"/>
                <w:kern w:val="0"/>
                <w:sz w:val="21"/>
                <w:szCs w:val="21"/>
                <w:lang w:bidi="ar"/>
              </w:rPr>
              <w:t>1.饰面：采用环保西皮饰面；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2.靠背、座板：座板：采用15mm多层曲木板热压成型；</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3.海棉：采用阻燃海绵；</w:t>
            </w:r>
            <w:r>
              <w:rPr>
                <w:rFonts w:hint="eastAsia" w:ascii="宋体" w:hAnsi="宋体" w:cs="宋体"/>
                <w:kern w:val="0"/>
                <w:sz w:val="21"/>
                <w:szCs w:val="21"/>
                <w:lang w:bidi="ar"/>
              </w:rPr>
              <w:br w:type="textWrapping"/>
            </w:r>
            <w:r>
              <w:rPr>
                <w:rFonts w:hint="eastAsia" w:ascii="宋体" w:hAnsi="宋体" w:cs="宋体"/>
                <w:kern w:val="0"/>
                <w:sz w:val="21"/>
                <w:szCs w:val="21"/>
                <w:lang w:bidi="ar"/>
              </w:rPr>
              <w:t>4.椅架：采用φ25mm，壁厚2.5mm电镀金属弓形椅架；</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把</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63</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茶水柜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规格：1200*400*800mm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1.基材：采用中密度纤维板；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2.饰面：采用樱桃木皮，厚度 0.6mm；</w:t>
            </w:r>
            <w:r>
              <w:rPr>
                <w:rFonts w:hint="eastAsia" w:ascii="宋体" w:hAnsi="宋体" w:cs="宋体"/>
                <w:kern w:val="0"/>
                <w:sz w:val="21"/>
                <w:szCs w:val="21"/>
                <w:lang w:bidi="ar"/>
              </w:rPr>
              <w:br w:type="textWrapping"/>
            </w:r>
            <w:r>
              <w:rPr>
                <w:rFonts w:hint="eastAsia" w:ascii="宋体" w:hAnsi="宋体" w:cs="宋体"/>
                <w:kern w:val="0"/>
                <w:sz w:val="21"/>
                <w:szCs w:val="21"/>
                <w:lang w:bidi="ar"/>
              </w:rPr>
              <w:t>3.采用环保水性漆；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64</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贵宾沙发</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规格：常规</w:t>
            </w:r>
            <w:r>
              <w:rPr>
                <w:rFonts w:hint="eastAsia" w:ascii="宋体" w:hAnsi="宋体" w:cs="宋体"/>
                <w:kern w:val="0"/>
                <w:sz w:val="21"/>
                <w:szCs w:val="21"/>
                <w:lang w:bidi="ar"/>
              </w:rPr>
              <w:br w:type="textWrapping"/>
            </w:r>
            <w:r>
              <w:rPr>
                <w:rFonts w:hint="eastAsia" w:ascii="宋体" w:hAnsi="宋体" w:cs="宋体"/>
                <w:kern w:val="0"/>
                <w:sz w:val="21"/>
                <w:szCs w:val="21"/>
                <w:lang w:bidi="ar"/>
              </w:rPr>
              <w:t>1.框架：采用经烘干.防腐.防虫处理后橡木制作而成，榫卯结构。表面无结疤.腐朽变质；</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2.饰面：采用布料饰面；</w:t>
            </w:r>
            <w:r>
              <w:rPr>
                <w:rFonts w:hint="eastAsia" w:ascii="宋体" w:hAnsi="宋体" w:cs="宋体"/>
                <w:kern w:val="0"/>
                <w:sz w:val="21"/>
                <w:szCs w:val="21"/>
                <w:lang w:bidi="ar"/>
              </w:rPr>
              <w:br w:type="textWrapping"/>
            </w:r>
            <w:r>
              <w:rPr>
                <w:rFonts w:hint="eastAsia" w:ascii="宋体" w:hAnsi="宋体" w:cs="宋体"/>
                <w:kern w:val="0"/>
                <w:sz w:val="21"/>
                <w:szCs w:val="21"/>
                <w:lang w:bidi="ar"/>
              </w:rPr>
              <w:t>3.海棉：采用阻燃海绵；</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座</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65</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茶几</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规格：680*480*560mm</w:t>
            </w:r>
            <w:r>
              <w:rPr>
                <w:rFonts w:hint="eastAsia" w:ascii="宋体" w:hAnsi="宋体" w:cs="宋体"/>
                <w:kern w:val="0"/>
                <w:sz w:val="21"/>
                <w:szCs w:val="21"/>
                <w:lang w:bidi="ar"/>
              </w:rPr>
              <w:br w:type="textWrapping"/>
            </w:r>
            <w:r>
              <w:rPr>
                <w:rFonts w:hint="eastAsia" w:ascii="宋体" w:hAnsi="宋体" w:cs="宋体"/>
                <w:kern w:val="0"/>
                <w:sz w:val="21"/>
                <w:szCs w:val="21"/>
                <w:lang w:bidi="ar"/>
              </w:rPr>
              <w:t>1.台面：采用中密度纤维板；</w:t>
            </w:r>
            <w:r>
              <w:rPr>
                <w:rFonts w:hint="eastAsia" w:ascii="宋体" w:hAnsi="宋体" w:cs="宋体"/>
                <w:kern w:val="0"/>
                <w:sz w:val="21"/>
                <w:szCs w:val="21"/>
                <w:lang w:bidi="ar"/>
              </w:rPr>
              <w:br w:type="textWrapping"/>
            </w:r>
            <w:r>
              <w:rPr>
                <w:rFonts w:hint="eastAsia" w:ascii="宋体" w:hAnsi="宋体" w:cs="宋体"/>
                <w:kern w:val="0"/>
                <w:sz w:val="21"/>
                <w:szCs w:val="21"/>
                <w:lang w:bidi="ar"/>
              </w:rPr>
              <w:t>2.饰面：采用胡桃木实木木皮贴面，木皮厚度0.8mm,纹理清晰自然，色泽一致，木孔分布均匀，表面平整光滑，耐磨性好，近色实木封边，经干燥工艺处理，不变形，不开裂；</w:t>
            </w:r>
            <w:r>
              <w:rPr>
                <w:rFonts w:hint="eastAsia" w:ascii="宋体" w:hAnsi="宋体" w:cs="宋体"/>
                <w:kern w:val="0"/>
                <w:sz w:val="21"/>
                <w:szCs w:val="21"/>
                <w:lang w:bidi="ar"/>
              </w:rPr>
              <w:br w:type="textWrapping"/>
            </w:r>
            <w:r>
              <w:rPr>
                <w:rFonts w:hint="eastAsia" w:ascii="宋体" w:hAnsi="宋体" w:cs="宋体"/>
                <w:kern w:val="0"/>
                <w:sz w:val="21"/>
                <w:szCs w:val="21"/>
                <w:lang w:bidi="ar"/>
              </w:rPr>
              <w:t>3.脚架：采用经烘干.防腐.防虫处理后橡木制作而成，表面无结疤.腐朽变质，不易变形开裂；</w:t>
            </w:r>
            <w:r>
              <w:rPr>
                <w:rFonts w:hint="eastAsia" w:ascii="宋体" w:hAnsi="宋体" w:cs="宋体"/>
                <w:kern w:val="0"/>
                <w:sz w:val="21"/>
                <w:szCs w:val="21"/>
                <w:lang w:bidi="ar"/>
              </w:rPr>
              <w:br w:type="textWrapping"/>
            </w:r>
            <w:r>
              <w:rPr>
                <w:rFonts w:hint="eastAsia" w:ascii="宋体" w:hAnsi="宋体" w:cs="宋体"/>
                <w:kern w:val="0"/>
                <w:sz w:val="21"/>
                <w:szCs w:val="21"/>
                <w:lang w:bidi="ar"/>
              </w:rPr>
              <w:t>4.油漆：采用环保水性漆。</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张</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66</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三门更衣柜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规格：1200*480*1850mm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1.柜体：采用国标0.8mm厚冷轧钢板，拉手采用内凹拉手，采用扣手锁具，柜内隔板活动可调，可根据个性需求灵活使用；</w:t>
            </w:r>
            <w:r>
              <w:rPr>
                <w:rFonts w:hint="eastAsia" w:ascii="宋体" w:hAnsi="宋体" w:cs="宋体"/>
                <w:kern w:val="0"/>
                <w:sz w:val="21"/>
                <w:szCs w:val="21"/>
                <w:lang w:bidi="ar"/>
              </w:rPr>
              <w:br w:type="textWrapping"/>
            </w:r>
            <w:r>
              <w:rPr>
                <w:rFonts w:hint="eastAsia" w:ascii="宋体" w:hAnsi="宋体" w:cs="宋体"/>
                <w:kern w:val="0"/>
                <w:sz w:val="21"/>
                <w:szCs w:val="21"/>
                <w:lang w:bidi="ar"/>
              </w:rPr>
              <w:t>2.柜内带活动隔板，挂衣杆一根，隔板活动可调；</w:t>
            </w:r>
            <w:r>
              <w:rPr>
                <w:rFonts w:hint="eastAsia" w:ascii="宋体" w:hAnsi="宋体" w:cs="宋体"/>
                <w:kern w:val="0"/>
                <w:sz w:val="21"/>
                <w:szCs w:val="21"/>
                <w:lang w:bidi="ar"/>
              </w:rPr>
              <w:br w:type="textWrapping"/>
            </w:r>
            <w:r>
              <w:rPr>
                <w:rFonts w:hint="eastAsia" w:ascii="宋体" w:hAnsi="宋体" w:cs="宋体"/>
                <w:kern w:val="0"/>
                <w:sz w:val="21"/>
                <w:szCs w:val="21"/>
                <w:lang w:bidi="ar"/>
              </w:rPr>
              <w:t>3.柜门内装有减震垫，以减轻关门时的噪音，采用专用可拆卸隐藏式静音镀锌合页和暗扣手柜锁；柜门做百叶窗式透气设计，采用明锁扣。</w:t>
            </w:r>
            <w:r>
              <w:rPr>
                <w:rFonts w:hint="eastAsia" w:ascii="宋体" w:hAnsi="宋体" w:cs="宋体"/>
                <w:kern w:val="0"/>
                <w:sz w:val="21"/>
                <w:szCs w:val="21"/>
                <w:lang w:bidi="ar"/>
              </w:rPr>
              <w:br w:type="textWrapping"/>
            </w:r>
            <w:r>
              <w:rPr>
                <w:rFonts w:hint="eastAsia" w:ascii="宋体" w:hAnsi="宋体" w:cs="宋体"/>
                <w:kern w:val="0"/>
                <w:sz w:val="21"/>
                <w:szCs w:val="21"/>
                <w:lang w:bidi="ar"/>
              </w:rPr>
              <w:t xml:space="preserve">4.钢制件外表面处理工艺：全部采用除油、除锈、磷化、清洗、防锈、静电喷涂。 </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67</w:t>
            </w:r>
          </w:p>
        </w:tc>
        <w:tc>
          <w:tcPr>
            <w:tcW w:w="1276" w:type="dxa"/>
            <w:vAlign w:val="center"/>
          </w:tcPr>
          <w:p>
            <w:pPr>
              <w:widowControl/>
              <w:adjustRightInd w:val="0"/>
              <w:snapToGrid w:val="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四门更衣柜</w:t>
            </w:r>
          </w:p>
        </w:tc>
        <w:tc>
          <w:tcPr>
            <w:tcW w:w="6452"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规格：1200*480*1850mm</w:t>
            </w:r>
            <w:r>
              <w:rPr>
                <w:rFonts w:hint="eastAsia" w:ascii="宋体" w:hAnsi="宋体" w:cs="宋体"/>
                <w:kern w:val="0"/>
                <w:sz w:val="21"/>
                <w:szCs w:val="21"/>
                <w:lang w:bidi="ar"/>
              </w:rPr>
              <w:br w:type="textWrapping"/>
            </w:r>
            <w:r>
              <w:rPr>
                <w:rFonts w:hint="eastAsia" w:ascii="宋体" w:hAnsi="宋体" w:cs="宋体"/>
                <w:kern w:val="0"/>
                <w:sz w:val="21"/>
                <w:szCs w:val="21"/>
                <w:lang w:bidi="ar"/>
              </w:rPr>
              <w:t>1.柜体：采用国标0.8mm厚冷轧钢板，拉手采用内凹拉手，采用扣手锁具，柜内隔板活动可调，可根据个性需求灵活使用；</w:t>
            </w:r>
            <w:r>
              <w:rPr>
                <w:rFonts w:hint="eastAsia" w:ascii="宋体" w:hAnsi="宋体" w:cs="宋体"/>
                <w:kern w:val="0"/>
                <w:sz w:val="21"/>
                <w:szCs w:val="21"/>
                <w:lang w:bidi="ar"/>
              </w:rPr>
              <w:br w:type="textWrapping"/>
            </w:r>
            <w:r>
              <w:rPr>
                <w:rFonts w:hint="eastAsia" w:ascii="宋体" w:hAnsi="宋体" w:cs="宋体"/>
                <w:kern w:val="0"/>
                <w:sz w:val="21"/>
                <w:szCs w:val="21"/>
                <w:lang w:bidi="ar"/>
              </w:rPr>
              <w:t>2.柜内带活动隔板，挂衣杆一根，隔板活动可调；</w:t>
            </w:r>
            <w:r>
              <w:rPr>
                <w:rFonts w:hint="eastAsia" w:ascii="宋体" w:hAnsi="宋体" w:cs="宋体"/>
                <w:kern w:val="0"/>
                <w:sz w:val="21"/>
                <w:szCs w:val="21"/>
                <w:lang w:bidi="ar"/>
              </w:rPr>
              <w:br w:type="textWrapping"/>
            </w:r>
            <w:r>
              <w:rPr>
                <w:rFonts w:hint="eastAsia" w:ascii="宋体" w:hAnsi="宋体" w:cs="宋体"/>
                <w:kern w:val="0"/>
                <w:sz w:val="21"/>
                <w:szCs w:val="21"/>
                <w:lang w:bidi="ar"/>
              </w:rPr>
              <w:t>3.柜门内装有减震垫，以减轻关门时的噪音，采用专用可拆卸隐藏式静音镀锌合页和暗扣手柜锁；柜门做百叶窗式透气设计，采用明锁扣。</w:t>
            </w:r>
            <w:r>
              <w:rPr>
                <w:rFonts w:hint="eastAsia" w:ascii="宋体" w:hAnsi="宋体" w:cs="宋体"/>
                <w:kern w:val="0"/>
                <w:sz w:val="21"/>
                <w:szCs w:val="21"/>
                <w:lang w:bidi="ar"/>
              </w:rPr>
              <w:br w:type="textWrapping"/>
            </w:r>
            <w:r>
              <w:rPr>
                <w:rFonts w:hint="eastAsia" w:ascii="宋体" w:hAnsi="宋体" w:cs="宋体"/>
                <w:kern w:val="0"/>
                <w:sz w:val="21"/>
                <w:szCs w:val="21"/>
                <w:lang w:bidi="ar"/>
              </w:rPr>
              <w:t>4.钢制件外表面处理工艺：全部采用除油、除锈、磷化、清洗、防锈、静电喷涂。</w:t>
            </w:r>
          </w:p>
        </w:tc>
        <w:tc>
          <w:tcPr>
            <w:tcW w:w="700"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套</w:t>
            </w:r>
          </w:p>
        </w:tc>
        <w:tc>
          <w:tcPr>
            <w:tcW w:w="763" w:type="dxa"/>
            <w:vAlign w:val="center"/>
          </w:tcPr>
          <w:p>
            <w:pPr>
              <w:widowControl/>
              <w:adjustRightInd w:val="0"/>
              <w:snapToGrid w:val="0"/>
              <w:jc w:val="left"/>
              <w:textAlignment w:val="center"/>
              <w:rPr>
                <w:rFonts w:hint="eastAsia" w:ascii="宋体" w:hAnsi="宋体" w:cs="宋体"/>
                <w:kern w:val="0"/>
                <w:sz w:val="21"/>
                <w:szCs w:val="21"/>
                <w:lang w:bidi="ar"/>
              </w:rPr>
            </w:pPr>
            <w:r>
              <w:rPr>
                <w:rFonts w:hint="eastAsia" w:ascii="宋体" w:hAnsi="宋体" w:cs="宋体"/>
                <w:kern w:val="0"/>
                <w:sz w:val="21"/>
                <w:szCs w:val="21"/>
                <w:lang w:bidi="ar"/>
              </w:rPr>
              <w:t>50</w:t>
            </w:r>
          </w:p>
        </w:tc>
      </w:tr>
    </w:tbl>
    <w:p>
      <w:pPr>
        <w:rPr>
          <w:rFonts w:hint="eastAsia" w:asciiTheme="minorEastAsia" w:hAnsiTheme="minorEastAsia" w:eastAsiaTheme="minorEastAsia" w:cstheme="minorEastAsia"/>
          <w:b w:val="0"/>
          <w:bCs w:val="0"/>
          <w:sz w:val="21"/>
          <w:szCs w:val="21"/>
          <w:u w:val="none"/>
          <w:lang w:val="en-US" w:eastAsia="zh-CN" w:bidi="zh-CN"/>
        </w:rPr>
      </w:pPr>
    </w:p>
    <w:p>
      <w:pPr>
        <w:rPr>
          <w:rFonts w:hint="eastAsia"/>
        </w:rPr>
      </w:pPr>
    </w:p>
    <w:p>
      <w:pPr>
        <w:pStyle w:val="8"/>
        <w:rPr>
          <w:rFonts w:hint="eastAsia"/>
        </w:rPr>
      </w:pPr>
    </w:p>
    <w:p>
      <w:pPr>
        <w:rPr>
          <w:rFonts w:hint="eastAsia"/>
        </w:rPr>
        <w:sectPr>
          <w:headerReference r:id="rId4" w:type="first"/>
          <w:footerReference r:id="rId6" w:type="first"/>
          <w:headerReference r:id="rId3" w:type="default"/>
          <w:footerReference r:id="rId5" w:type="default"/>
          <w:pgSz w:w="11906" w:h="16838"/>
          <w:pgMar w:top="1440" w:right="1440" w:bottom="1440" w:left="1440" w:header="737" w:footer="737" w:gutter="0"/>
          <w:pgBorders>
            <w:top w:val="none" w:sz="0" w:space="0"/>
            <w:left w:val="none" w:sz="0" w:space="0"/>
            <w:bottom w:val="none" w:sz="0" w:space="0"/>
            <w:right w:val="none" w:sz="0" w:space="0"/>
          </w:pgBorders>
          <w:pgNumType w:fmt="decimal" w:start="1"/>
          <w:cols w:space="720" w:num="1"/>
          <w:titlePg/>
          <w:rtlGutter w:val="0"/>
          <w:docGrid w:linePitch="312" w:charSpace="0"/>
        </w:sectPr>
      </w:pPr>
    </w:p>
    <w:p>
      <w:pPr>
        <w:spacing w:line="440" w:lineRule="exact"/>
        <w:jc w:val="center"/>
        <w:rPr>
          <w:rFonts w:ascii="宋体" w:hAnsi="宋体"/>
          <w:b/>
          <w:color w:val="000000"/>
          <w:sz w:val="30"/>
          <w:szCs w:val="30"/>
        </w:rPr>
      </w:pPr>
      <w:r>
        <w:rPr>
          <w:rFonts w:hint="eastAsia" w:ascii="宋体" w:hAnsi="宋体"/>
          <w:b/>
          <w:sz w:val="32"/>
          <w:szCs w:val="32"/>
        </w:rPr>
        <w:t>第三部分  投标人须知</w:t>
      </w: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25"/>
        <w:tblW w:w="90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8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项目名称：</w:t>
            </w:r>
            <w:r>
              <w:rPr>
                <w:rFonts w:hint="eastAsia" w:asciiTheme="minorEastAsia" w:hAnsiTheme="minorEastAsia" w:eastAsiaTheme="minorEastAsia" w:cstheme="minorEastAsia"/>
                <w:b/>
                <w:sz w:val="21"/>
                <w:szCs w:val="21"/>
                <w:lang w:val="en-US" w:eastAsia="zh-CN"/>
              </w:rPr>
              <w:t>奇台县中心人民医院能力提升项目-公共区域能力提升项目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8118" w:type="dxa"/>
            <w:tcBorders>
              <w:top w:val="single" w:color="auto" w:sz="4" w:space="0"/>
              <w:left w:val="single" w:color="auto" w:sz="4" w:space="0"/>
              <w:bottom w:val="single" w:color="auto" w:sz="4" w:space="0"/>
              <w:right w:val="single" w:color="auto" w:sz="4" w:space="0"/>
            </w:tcBorders>
            <w:vAlign w:val="center"/>
          </w:tcPr>
          <w:p>
            <w:pPr>
              <w:wordWrap w:val="0"/>
              <w:spacing w:line="560" w:lineRule="exac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sz w:val="21"/>
                <w:szCs w:val="21"/>
              </w:rPr>
              <w:t>采购编号：</w:t>
            </w:r>
            <w:r>
              <w:rPr>
                <w:rFonts w:hint="eastAsia" w:asciiTheme="minorEastAsia" w:hAnsiTheme="minorEastAsia" w:eastAsiaTheme="minorEastAsia" w:cstheme="minorEastAsia"/>
                <w:color w:val="auto"/>
                <w:sz w:val="21"/>
                <w:szCs w:val="21"/>
                <w:highlight w:val="none"/>
                <w:lang w:val="en-US" w:eastAsia="zh-CN"/>
              </w:rPr>
              <w:t>QTCG-2023-017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采购单位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奇台县人民医院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采购方式：</w:t>
            </w:r>
            <w:r>
              <w:rPr>
                <w:rFonts w:hint="eastAsia" w:asciiTheme="minorEastAsia" w:hAnsiTheme="minorEastAsia" w:eastAsiaTheme="minorEastAsia" w:cstheme="minorEastAsia"/>
                <w:b w:val="0"/>
                <w:bCs/>
                <w:sz w:val="21"/>
                <w:szCs w:val="21"/>
                <w:lang w:val="en-US" w:eastAsia="zh-CN"/>
              </w:rPr>
              <w:t>公开招标（本项目分2个标项，潜在供应商可根据自身情况投报标项）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资金来源：</w:t>
            </w:r>
            <w:r>
              <w:rPr>
                <w:rFonts w:hint="eastAsia" w:asciiTheme="minorEastAsia" w:hAnsiTheme="minorEastAsia" w:eastAsiaTheme="minorEastAsia" w:cstheme="minorEastAsia"/>
                <w:b w:val="0"/>
                <w:bCs/>
                <w:sz w:val="21"/>
                <w:szCs w:val="21"/>
                <w:lang w:val="en-US" w:eastAsia="zh-CN"/>
              </w:rPr>
              <w:t>标项1为财政资金；标项2为自筹资金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最高限价：</w:t>
            </w:r>
            <w:r>
              <w:rPr>
                <w:rFonts w:hint="eastAsia" w:asciiTheme="minorEastAsia" w:hAnsiTheme="minorEastAsia" w:eastAsiaTheme="minorEastAsia" w:cstheme="minorEastAsia"/>
                <w:b w:val="0"/>
                <w:bCs/>
                <w:sz w:val="21"/>
                <w:szCs w:val="21"/>
                <w:lang w:val="en-US" w:eastAsia="zh-CN"/>
              </w:rPr>
              <w:t>标项1最高限价：2109763.41元；标项2最高限价：3888228.38元。</w:t>
            </w:r>
            <w:r>
              <w:rPr>
                <w:rFonts w:hint="eastAsia" w:asciiTheme="minorEastAsia" w:hAnsiTheme="minorEastAsia" w:eastAsiaTheme="minorEastAsia" w:cstheme="minorEastAsia"/>
                <w:b/>
                <w:bCs/>
                <w:sz w:val="21"/>
                <w:szCs w:val="21"/>
              </w:rPr>
              <w:t>超过</w:t>
            </w:r>
            <w:r>
              <w:rPr>
                <w:rFonts w:hint="eastAsia" w:asciiTheme="minorEastAsia" w:hAnsiTheme="minorEastAsia" w:eastAsiaTheme="minorEastAsia" w:cstheme="minorEastAsia"/>
                <w:b/>
                <w:sz w:val="21"/>
                <w:szCs w:val="21"/>
              </w:rPr>
              <w:t>最高限价</w:t>
            </w:r>
            <w:r>
              <w:rPr>
                <w:rFonts w:hint="eastAsia" w:asciiTheme="minorEastAsia" w:hAnsiTheme="minorEastAsia" w:eastAsiaTheme="minorEastAsia" w:cstheme="minorEastAsia"/>
                <w:b/>
                <w:bCs/>
                <w:sz w:val="21"/>
                <w:szCs w:val="21"/>
              </w:rPr>
              <w:t>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8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投标保证金：</w:t>
            </w:r>
            <w:r>
              <w:rPr>
                <w:rFonts w:hint="eastAsia" w:asciiTheme="minorEastAsia" w:hAnsiTheme="minorEastAsia" w:eastAsiaTheme="minorEastAsia" w:cstheme="minorEastAsia"/>
                <w:color w:val="000000"/>
                <w:sz w:val="21"/>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811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质保期：</w:t>
            </w:r>
            <w:r>
              <w:rPr>
                <w:rFonts w:hint="default" w:asciiTheme="minorEastAsia" w:hAnsiTheme="minorEastAsia" w:eastAsiaTheme="minorEastAsia" w:cstheme="minorEastAsia"/>
                <w:color w:val="000000"/>
                <w:sz w:val="21"/>
                <w:szCs w:val="21"/>
              </w:rPr>
              <w:t xml:space="preserve">自项目验收合格后3年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10</w:t>
            </w:r>
          </w:p>
        </w:tc>
        <w:tc>
          <w:tcPr>
            <w:tcW w:w="81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hint="eastAsia" w:asciiTheme="minorEastAsia" w:hAnsiTheme="minorEastAsia" w:eastAsiaTheme="minorEastAsia" w:cstheme="minorEastAsia"/>
                <w:b/>
                <w:bCs/>
                <w:sz w:val="21"/>
                <w:szCs w:val="21"/>
                <w:lang w:val="en-US" w:eastAsia="zh-CN"/>
              </w:rPr>
            </w:pPr>
            <w:r>
              <w:rPr>
                <w:rStyle w:val="29"/>
                <w:rFonts w:hint="default"/>
                <w:b/>
                <w:bCs/>
                <w:color w:val="auto"/>
                <w:sz w:val="21"/>
                <w:szCs w:val="21"/>
                <w:lang w:bidi="ar"/>
              </w:rPr>
              <w:t>付款方式</w:t>
            </w:r>
            <w:r>
              <w:rPr>
                <w:rStyle w:val="30"/>
                <w:rFonts w:hint="default"/>
                <w:b/>
                <w:bCs/>
                <w:color w:val="auto"/>
                <w:sz w:val="21"/>
                <w:szCs w:val="21"/>
                <w:lang w:bidi="ar"/>
              </w:rPr>
              <w:t>（付款的时间及比例</w:t>
            </w:r>
            <w:r>
              <w:rPr>
                <w:rStyle w:val="30"/>
                <w:rFonts w:hint="eastAsia"/>
                <w:b/>
                <w:bCs/>
                <w:color w:val="auto"/>
                <w:sz w:val="21"/>
                <w:szCs w:val="21"/>
                <w:lang w:eastAsia="zh-CN" w:bidi="ar"/>
              </w:rPr>
              <w:t>）：</w:t>
            </w:r>
            <w:r>
              <w:rPr>
                <w:rStyle w:val="29"/>
                <w:rFonts w:hint="default"/>
                <w:color w:val="auto"/>
                <w:sz w:val="21"/>
                <w:szCs w:val="21"/>
                <w:lang w:bidi="ar"/>
              </w:rPr>
              <w:t>签订合同付全款的50%，货到后付全款40%，验收、安装调试合格后60天付全款10%。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8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专门面向中小企业招标：</w:t>
            </w:r>
            <w:r>
              <w:rPr>
                <w:rFonts w:hint="eastAsia" w:asciiTheme="minorEastAsia" w:hAnsiTheme="minorEastAsia" w:eastAsiaTheme="minorEastAsia" w:cstheme="minorEastAsia"/>
                <w:b/>
                <w:sz w:val="21"/>
                <w:szCs w:val="21"/>
                <w:highlight w:val="yellow"/>
                <w:lang w:val="en-US" w:eastAsia="zh-CN"/>
              </w:rPr>
              <w:t>标项1</w:t>
            </w:r>
            <w:r>
              <w:rPr>
                <w:rFonts w:hint="eastAsia" w:asciiTheme="minorEastAsia" w:hAnsiTheme="minorEastAsia" w:eastAsiaTheme="minorEastAsia" w:cstheme="minorEastAsia"/>
                <w:b w:val="0"/>
                <w:bCs/>
                <w:sz w:val="21"/>
                <w:szCs w:val="21"/>
                <w:lang w:val="en-US" w:eastAsia="zh-CN"/>
              </w:rPr>
              <w:t>属于不面向中小企业预留项目</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highlight w:val="yellow"/>
                <w:lang w:val="en-US" w:eastAsia="zh-CN"/>
              </w:rPr>
              <w:t>标项2</w:t>
            </w:r>
            <w:r>
              <w:rPr>
                <w:rFonts w:hint="eastAsia" w:asciiTheme="minorEastAsia" w:hAnsiTheme="minorEastAsia" w:eastAsiaTheme="minorEastAsia" w:cstheme="minorEastAsia"/>
                <w:b w:val="0"/>
                <w:bCs/>
                <w:sz w:val="21"/>
                <w:szCs w:val="21"/>
                <w:lang w:val="en-US" w:eastAsia="zh-CN"/>
              </w:rPr>
              <w:t>属于专门面向中小企业预留项目（中小企业声明函将作为供应商投标资格条件（货物类项目中小企业声明是填写货物制造商信息），请各投标供应商依据《政府采购促进中小企业发展管理办法》（财库〔2020〕46号）第四条规定，认真填写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811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投标截止时间及地点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开标时间及地点：</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评审办法：</w:t>
            </w:r>
            <w:r>
              <w:rPr>
                <w:rFonts w:hint="eastAsia" w:asciiTheme="minorEastAsia" w:hAnsiTheme="minorEastAsia" w:eastAsiaTheme="minorEastAsia" w:cstheme="minorEastAsia"/>
                <w:sz w:val="21"/>
                <w:szCs w:val="21"/>
                <w:lang w:val="en-US" w:eastAsia="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相同品牌：</w:t>
            </w:r>
            <w:r>
              <w:rPr>
                <w:rFonts w:hint="eastAsia" w:asciiTheme="minorEastAsia" w:hAnsiTheme="minorEastAsia" w:eastAsiaTheme="minorEastAsia" w:cstheme="minorEastAsia"/>
                <w:b w:val="0"/>
                <w:bCs/>
                <w:sz w:val="21"/>
                <w:szCs w:val="21"/>
                <w:lang w:val="en-US" w:eastAsia="zh-CN"/>
              </w:rPr>
              <w:t>提供相同品牌产品且通过资格审查、符合性审查的不同投标人参加同一合同项下的投标，按一家投标人计算，评审后得分最高的同品牌投标人获得中标人推荐资格；评审得分相同的，有采购人或者采购人委托评标委员会按照招标文件规定的方式确定一个投标人获得中标人推荐资格，招标文件未规定的采取随机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现场勘察：</w:t>
            </w:r>
            <w:r>
              <w:rPr>
                <w:rFonts w:hint="eastAsia" w:asciiTheme="minorEastAsia" w:hAnsiTheme="minorEastAsia" w:eastAsiaTheme="minorEastAsia" w:cstheme="minorEastAsia"/>
                <w:b w:val="0"/>
                <w:bCs/>
                <w:sz w:val="21"/>
                <w:szCs w:val="21"/>
                <w:lang w:val="en-US" w:eastAsia="zh-CN"/>
              </w:rPr>
              <w:t>标项1需现场勘查，不组织集中踏勘，投标人可于公告之日起自行联系采购人前往项目现场进行踏勘。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投标有效期：90天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结果公告：</w:t>
            </w:r>
            <w:r>
              <w:rPr>
                <w:rFonts w:hint="eastAsia" w:asciiTheme="minorEastAsia" w:hAnsiTheme="minorEastAsia" w:eastAsiaTheme="minorEastAsia" w:cstheme="minorEastAsia"/>
                <w:sz w:val="21"/>
                <w:szCs w:val="21"/>
              </w:rPr>
              <w:t>结果公告</w:t>
            </w:r>
            <w:r>
              <w:rPr>
                <w:rFonts w:hint="eastAsia" w:asciiTheme="minorEastAsia" w:hAnsiTheme="minorEastAsia" w:eastAsiaTheme="minorEastAsia" w:cstheme="minorEastAsia"/>
                <w:sz w:val="21"/>
                <w:szCs w:val="21"/>
                <w:lang w:eastAsia="zh-CN"/>
              </w:rPr>
              <w:t>在新疆</w:t>
            </w:r>
            <w:r>
              <w:rPr>
                <w:rFonts w:hint="eastAsia" w:asciiTheme="minorEastAsia" w:hAnsiTheme="minorEastAsia" w:eastAsiaTheme="minorEastAsia" w:cstheme="minorEastAsia"/>
                <w:sz w:val="21"/>
                <w:szCs w:val="21"/>
              </w:rPr>
              <w:t>政府采购网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http://www.ccgp-xinjiang.gov.cn/</w:t>
            </w:r>
            <w:r>
              <w:rPr>
                <w:rFonts w:hint="eastAsia" w:asciiTheme="minorEastAsia" w:hAnsiTheme="minorEastAsia" w:eastAsiaTheme="minorEastAsia" w:cstheme="minorEastAsia"/>
                <w:sz w:val="21"/>
                <w:szCs w:val="21"/>
                <w:lang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签订合同时间：</w:t>
            </w:r>
            <w:r>
              <w:rPr>
                <w:rFonts w:hint="eastAsia" w:asciiTheme="minorEastAsia" w:hAnsiTheme="minorEastAsia" w:eastAsiaTheme="minorEastAsia" w:cstheme="minorEastAsia"/>
                <w:sz w:val="21"/>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投标文件有效期：</w:t>
            </w:r>
            <w:r>
              <w:rPr>
                <w:rFonts w:hint="eastAsia" w:asciiTheme="minorEastAsia" w:hAnsiTheme="minorEastAsia" w:eastAsiaTheme="minorEastAsia" w:cstheme="minorEastAsia"/>
                <w:color w:val="000000"/>
                <w:sz w:val="21"/>
                <w:szCs w:val="21"/>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cs="宋体"/>
                <w:sz w:val="21"/>
                <w:szCs w:val="21"/>
                <w:lang w:val="en-US" w:eastAsia="zh-CN"/>
              </w:rPr>
              <w:t>注意事项：</w:t>
            </w:r>
            <w:r>
              <w:rPr>
                <w:rFonts w:hint="eastAsia" w:cs="宋体"/>
                <w:color w:val="000000"/>
                <w:sz w:val="21"/>
                <w:szCs w:val="21"/>
                <w:highlight w:val="none"/>
                <w:lang w:val="en-US" w:eastAsia="zh-CN"/>
              </w:rPr>
              <w:t>供应商须仔细阅读招标文件的所有条款。供应商应对字体置黑的条款、标注颜色部分条款、注有“投标无效”字样的条款以及加注“</w:t>
            </w:r>
            <w:r>
              <w:rPr>
                <w:rFonts w:hint="eastAsia" w:ascii="宋体" w:hAnsi="宋体" w:eastAsia="宋体" w:cs="宋体"/>
                <w:sz w:val="21"/>
                <w:szCs w:val="21"/>
                <w:highlight w:val="none"/>
              </w:rPr>
              <w:t>★</w:t>
            </w:r>
            <w:r>
              <w:rPr>
                <w:rFonts w:hint="eastAsia" w:cs="宋体"/>
                <w:color w:val="000000"/>
                <w:sz w:val="21"/>
                <w:szCs w:val="21"/>
                <w:highlight w:val="none"/>
                <w:lang w:val="en-US" w:eastAsia="zh-CN"/>
              </w:rPr>
              <w:t>”条款引起重视，如不满足此类条款规定，供应商自行承担责任。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解释：</w:t>
            </w:r>
            <w:r>
              <w:rPr>
                <w:rFonts w:hint="eastAsia" w:asciiTheme="minorEastAsia" w:hAnsiTheme="minorEastAsia" w:eastAsiaTheme="minorEastAsia" w:cstheme="minorEastAsia"/>
                <w:sz w:val="21"/>
                <w:szCs w:val="21"/>
              </w:rPr>
              <w:t>本招标文件的解释权属于</w:t>
            </w:r>
            <w:r>
              <w:rPr>
                <w:rFonts w:hint="eastAsia" w:asciiTheme="minorEastAsia" w:hAnsiTheme="minorEastAsia" w:eastAsiaTheme="minorEastAsia" w:cstheme="minorEastAsia"/>
                <w:sz w:val="21"/>
                <w:szCs w:val="21"/>
                <w:lang w:val="en-US" w:eastAsia="zh-CN"/>
              </w:rPr>
              <w:t>奇台</w:t>
            </w:r>
            <w:r>
              <w:rPr>
                <w:rFonts w:hint="eastAsia" w:asciiTheme="minorEastAsia" w:hAnsiTheme="minorEastAsia" w:eastAsiaTheme="minorEastAsia" w:cstheme="minorEastAsia"/>
                <w:sz w:val="21"/>
                <w:szCs w:val="21"/>
                <w:lang w:eastAsia="zh-CN"/>
              </w:rPr>
              <w:t>县政资中心、招标</w:t>
            </w:r>
            <w:r>
              <w:rPr>
                <w:rFonts w:hint="eastAsia" w:asciiTheme="minorEastAsia" w:hAnsiTheme="minorEastAsia" w:eastAsiaTheme="minorEastAsia" w:cstheme="minorEastAsia"/>
                <w:sz w:val="21"/>
                <w:szCs w:val="21"/>
              </w:rPr>
              <w:t>采购单位。</w:t>
            </w:r>
          </w:p>
        </w:tc>
      </w:tr>
    </w:tbl>
    <w:p>
      <w:pPr>
        <w:widowControl/>
        <w:jc w:val="left"/>
        <w:rPr>
          <w:rFonts w:ascii="宋体" w:hAnsi="宋体"/>
          <w:szCs w:val="21"/>
        </w:rPr>
      </w:pPr>
    </w:p>
    <w:p>
      <w:pPr>
        <w:widowControl/>
        <w:jc w:val="left"/>
        <w:rPr>
          <w:rFonts w:ascii="宋体" w:hAnsi="宋体"/>
          <w:szCs w:val="21"/>
        </w:rPr>
      </w:pPr>
    </w:p>
    <w:p>
      <w:pPr>
        <w:widowControl/>
        <w:spacing w:line="440" w:lineRule="exact"/>
        <w:jc w:val="left"/>
        <w:rPr>
          <w:rFonts w:ascii="宋体" w:hAnsi="宋体"/>
          <w:b/>
          <w:szCs w:val="21"/>
        </w:rPr>
      </w:pPr>
      <w:r>
        <w:rPr>
          <w:rFonts w:ascii="宋体" w:hAnsi="宋体"/>
          <w:szCs w:val="21"/>
        </w:rPr>
        <w:br w:type="page"/>
      </w:r>
      <w:r>
        <w:rPr>
          <w:rFonts w:hint="eastAsia" w:ascii="宋体" w:hAnsi="宋体"/>
          <w:b/>
          <w:szCs w:val="21"/>
        </w:rPr>
        <w:t>一、说明：</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b/>
          <w:bCs/>
          <w:color w:val="000000"/>
          <w:szCs w:val="21"/>
        </w:rPr>
        <w:t>采购</w:t>
      </w:r>
      <w:r>
        <w:rPr>
          <w:rFonts w:hint="eastAsia" w:ascii="宋体" w:hAnsi="宋体"/>
          <w:b/>
          <w:bCs/>
          <w:color w:val="000000"/>
          <w:szCs w:val="21"/>
        </w:rPr>
        <w:t>代理机构：</w:t>
      </w:r>
      <w:r>
        <w:rPr>
          <w:rFonts w:hint="eastAsia" w:ascii="宋体" w:hAnsi="宋体"/>
          <w:color w:val="000000"/>
          <w:szCs w:val="21"/>
          <w:lang w:eastAsia="zh-CN"/>
        </w:rPr>
        <w:t>奇台县政务服务和公共资源交易中心</w:t>
      </w:r>
      <w:r>
        <w:rPr>
          <w:rFonts w:hint="eastAsia" w:ascii="宋体" w:hAnsi="宋体"/>
          <w:color w:val="000000"/>
          <w:szCs w:val="21"/>
        </w:rPr>
        <w:t>为本项目集中采购代理机构。</w:t>
      </w:r>
    </w:p>
    <w:p>
      <w:pPr>
        <w:spacing w:line="440" w:lineRule="exact"/>
        <w:ind w:firstLine="420" w:firstLineChars="200"/>
        <w:rPr>
          <w:rFonts w:hint="eastAsia" w:ascii="宋体" w:hAnsi="宋体"/>
          <w:color w:val="000000"/>
          <w:szCs w:val="21"/>
          <w:lang w:eastAsia="zh-CN"/>
        </w:rPr>
      </w:pPr>
      <w:r>
        <w:rPr>
          <w:rFonts w:ascii="宋体" w:hAnsi="宋体"/>
          <w:color w:val="000000"/>
          <w:szCs w:val="21"/>
        </w:rPr>
        <w:t>2</w:t>
      </w:r>
      <w:r>
        <w:rPr>
          <w:rFonts w:hint="eastAsia" w:ascii="宋体" w:hAnsi="宋体"/>
          <w:color w:val="000000"/>
          <w:szCs w:val="21"/>
        </w:rPr>
        <w:t>、</w:t>
      </w:r>
      <w:r>
        <w:rPr>
          <w:rFonts w:hint="eastAsia" w:ascii="宋体" w:hAnsi="宋体"/>
          <w:b/>
          <w:bCs/>
          <w:color w:val="000000"/>
          <w:szCs w:val="21"/>
        </w:rPr>
        <w:t>采购人</w:t>
      </w:r>
      <w:r>
        <w:rPr>
          <w:rFonts w:hint="eastAsia" w:ascii="宋体" w:hAnsi="宋体"/>
          <w:color w:val="000000"/>
          <w:szCs w:val="21"/>
        </w:rPr>
        <w:t>：</w:t>
      </w:r>
      <w:r>
        <w:rPr>
          <w:rFonts w:hint="eastAsia" w:ascii="宋体" w:hAnsi="宋体"/>
          <w:color w:val="000000"/>
          <w:szCs w:val="21"/>
          <w:lang w:val="en-US" w:eastAsia="zh-CN"/>
        </w:rPr>
        <w:t>奇台县人民医院</w:t>
      </w:r>
    </w:p>
    <w:p>
      <w:pPr>
        <w:spacing w:line="440" w:lineRule="exact"/>
        <w:ind w:firstLine="420" w:firstLineChars="200"/>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 w:val="21"/>
          <w:szCs w:val="21"/>
        </w:rPr>
        <w:t>投标人</w:t>
      </w:r>
      <w:r>
        <w:rPr>
          <w:rFonts w:hint="eastAsia" w:asciiTheme="minorEastAsia" w:hAnsiTheme="minorEastAsia" w:eastAsiaTheme="minorEastAsia" w:cstheme="minorEastAsia"/>
          <w:sz w:val="21"/>
          <w:szCs w:val="21"/>
        </w:rPr>
        <w:t>：</w:t>
      </w:r>
      <w:r>
        <w:rPr>
          <w:rFonts w:hint="eastAsia"/>
        </w:rPr>
        <w:t>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二、采购方式</w:t>
      </w:r>
    </w:p>
    <w:p>
      <w:pPr>
        <w:spacing w:line="440" w:lineRule="exact"/>
        <w:ind w:firstLine="420" w:firstLineChars="200"/>
        <w:rPr>
          <w:rFonts w:ascii="宋体" w:hAnsi="宋体"/>
          <w:color w:val="000000"/>
          <w:szCs w:val="21"/>
        </w:rPr>
      </w:pPr>
      <w:r>
        <w:rPr>
          <w:rFonts w:ascii="宋体" w:hAnsi="宋体"/>
          <w:color w:val="000000"/>
          <w:szCs w:val="21"/>
        </w:rPr>
        <w:t>本次</w:t>
      </w:r>
      <w:r>
        <w:rPr>
          <w:rFonts w:hint="eastAsia" w:ascii="宋体" w:hAnsi="宋体"/>
          <w:color w:val="000000"/>
          <w:szCs w:val="21"/>
        </w:rPr>
        <w:t>采购</w:t>
      </w:r>
      <w:r>
        <w:rPr>
          <w:rFonts w:ascii="宋体" w:hAnsi="宋体"/>
          <w:color w:val="000000"/>
          <w:szCs w:val="21"/>
        </w:rPr>
        <w:t>采用公开招标方式进行。</w:t>
      </w:r>
    </w:p>
    <w:p>
      <w:pPr>
        <w:spacing w:line="440" w:lineRule="exact"/>
        <w:rPr>
          <w:rFonts w:ascii="宋体" w:hAnsi="宋体"/>
          <w:b/>
          <w:color w:val="000000"/>
          <w:szCs w:val="21"/>
          <w:highlight w:val="none"/>
        </w:rPr>
      </w:pPr>
      <w:r>
        <w:rPr>
          <w:rFonts w:hint="eastAsia" w:ascii="宋体" w:hAnsi="宋体"/>
          <w:b/>
          <w:color w:val="000000"/>
          <w:szCs w:val="21"/>
          <w:highlight w:val="none"/>
        </w:rPr>
        <w:t>三、投标委托</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如投标人代表不是法定代表人，须有法定代表人出具的授权委托书（格式见</w:t>
      </w:r>
      <w:r>
        <w:rPr>
          <w:rFonts w:hint="eastAsia" w:ascii="宋体" w:hAnsi="宋体"/>
          <w:color w:val="000000"/>
          <w:szCs w:val="21"/>
          <w:highlight w:val="none"/>
        </w:rPr>
        <w:t>附件</w:t>
      </w:r>
      <w:r>
        <w:rPr>
          <w:rFonts w:ascii="宋体" w:hAnsi="宋体"/>
          <w:color w:val="000000"/>
          <w:szCs w:val="21"/>
          <w:highlight w:val="none"/>
        </w:rPr>
        <w:t>）。</w:t>
      </w:r>
    </w:p>
    <w:p>
      <w:pPr>
        <w:spacing w:line="440" w:lineRule="exact"/>
        <w:ind w:firstLine="420" w:firstLineChars="200"/>
        <w:rPr>
          <w:kern w:val="2"/>
          <w:highlight w:val="none"/>
        </w:rPr>
      </w:pPr>
      <w:r>
        <w:rPr>
          <w:rFonts w:hint="eastAsia" w:ascii="宋体" w:hAnsi="宋体"/>
          <w:color w:val="000000"/>
          <w:szCs w:val="21"/>
          <w:highlight w:val="none"/>
        </w:rPr>
        <w:t>2、</w:t>
      </w:r>
      <w:r>
        <w:rPr>
          <w:rFonts w:hint="eastAsia"/>
          <w:kern w:val="2"/>
          <w:highlight w:val="none"/>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五、联合体投标</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本项目不接受联合体投标。</w:t>
      </w:r>
    </w:p>
    <w:p>
      <w:pPr>
        <w:spacing w:line="440" w:lineRule="exact"/>
        <w:rPr>
          <w:rFonts w:ascii="宋体" w:hAnsi="宋体" w:cs="宋体"/>
          <w:b/>
          <w:kern w:val="0"/>
          <w:szCs w:val="21"/>
        </w:rPr>
      </w:pPr>
      <w:r>
        <w:rPr>
          <w:rFonts w:hint="eastAsia" w:ascii="宋体" w:hAnsi="宋体"/>
          <w:b/>
          <w:szCs w:val="21"/>
        </w:rPr>
        <w:t>六、</w:t>
      </w:r>
      <w:r>
        <w:rPr>
          <w:rFonts w:hint="eastAsia" w:ascii="宋体" w:hAnsi="宋体" w:cs="宋体"/>
          <w:b/>
          <w:kern w:val="0"/>
          <w:szCs w:val="21"/>
        </w:rPr>
        <w:t>转包</w:t>
      </w:r>
    </w:p>
    <w:p>
      <w:pPr>
        <w:spacing w:line="440" w:lineRule="exact"/>
        <w:ind w:firstLine="420" w:firstLineChars="200"/>
        <w:rPr>
          <w:rFonts w:ascii="宋体" w:hAnsi="宋体" w:cs="宋体"/>
          <w:kern w:val="0"/>
          <w:szCs w:val="21"/>
        </w:rPr>
      </w:pPr>
      <w:r>
        <w:rPr>
          <w:rFonts w:hint="eastAsia" w:ascii="宋体" w:hAnsi="宋体" w:cs="宋体"/>
          <w:kern w:val="0"/>
          <w:szCs w:val="21"/>
        </w:rPr>
        <w:t>1、</w:t>
      </w:r>
      <w:r>
        <w:rPr>
          <w:rFonts w:ascii="宋体" w:hAnsi="宋体" w:cs="宋体"/>
          <w:kern w:val="0"/>
          <w:szCs w:val="21"/>
        </w:rPr>
        <w:t>本项目不允许转包。</w:t>
      </w:r>
    </w:p>
    <w:p>
      <w:pPr>
        <w:spacing w:line="440" w:lineRule="exact"/>
        <w:rPr>
          <w:rFonts w:ascii="宋体" w:hAnsi="宋体"/>
          <w:b/>
          <w:szCs w:val="21"/>
        </w:rPr>
      </w:pPr>
      <w:r>
        <w:rPr>
          <w:rFonts w:hint="eastAsia" w:ascii="宋体" w:hAnsi="宋体"/>
          <w:b/>
          <w:szCs w:val="21"/>
        </w:rPr>
        <w:t>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hint="eastAsia" w:ascii="宋体" w:hAnsi="宋体" w:eastAsia="宋体"/>
          <w:szCs w:val="21"/>
          <w:lang w:eastAsia="zh-CN"/>
        </w:rPr>
      </w:pPr>
      <w:r>
        <w:rPr>
          <w:rFonts w:hint="eastAsia" w:ascii="宋体" w:hAnsi="宋体"/>
          <w:szCs w:val="21"/>
        </w:rPr>
        <w:t>1、</w:t>
      </w:r>
      <w:r>
        <w:rPr>
          <w:rFonts w:ascii="宋体" w:hAnsi="宋体"/>
          <w:szCs w:val="21"/>
        </w:rPr>
        <w:t>招标</w:t>
      </w:r>
      <w:r>
        <w:rPr>
          <w:rFonts w:hint="eastAsia" w:ascii="宋体" w:hAnsi="宋体"/>
          <w:szCs w:val="21"/>
          <w:lang w:val="en-US" w:eastAsia="zh-CN"/>
        </w:rPr>
        <w:t>邀请</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7、其它相关内容</w:t>
      </w:r>
    </w:p>
    <w:p>
      <w:pPr>
        <w:spacing w:line="440" w:lineRule="exact"/>
        <w:ind w:firstLine="420" w:firstLineChars="200"/>
        <w:rPr>
          <w:rFonts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ascii="宋体" w:hAnsi="宋体"/>
          <w:szCs w:val="21"/>
        </w:rPr>
      </w:pPr>
      <w:r>
        <w:rPr>
          <w:rFonts w:hint="eastAsia" w:ascii="宋体" w:hAnsi="宋体"/>
          <w:szCs w:val="21"/>
        </w:rPr>
        <w:t>（二）投标人的风险</w:t>
      </w:r>
    </w:p>
    <w:p>
      <w:pPr>
        <w:spacing w:line="440" w:lineRule="exact"/>
        <w:ind w:firstLine="420" w:firstLineChars="200"/>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ascii="宋体" w:hAnsi="宋体"/>
          <w:color w:val="000000"/>
          <w:szCs w:val="21"/>
        </w:rPr>
      </w:pPr>
      <w:r>
        <w:rPr>
          <w:rFonts w:hint="eastAsia" w:ascii="宋体" w:hAnsi="宋体"/>
          <w:color w:val="000000"/>
          <w:szCs w:val="21"/>
        </w:rPr>
        <w:t>（三）招标文件的澄清与修改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napToGrid w:val="0"/>
        <w:spacing w:line="440" w:lineRule="exact"/>
        <w:outlineLvl w:val="2"/>
        <w:rPr>
          <w:rFonts w:ascii="宋体" w:hAnsi="宋体"/>
          <w:b/>
          <w:szCs w:val="21"/>
        </w:rPr>
      </w:pPr>
      <w:r>
        <w:rPr>
          <w:rFonts w:hint="eastAsia" w:ascii="宋体" w:hAnsi="宋体"/>
          <w:b/>
          <w:szCs w:val="21"/>
        </w:rPr>
        <w:t>八</w:t>
      </w:r>
      <w:r>
        <w:rPr>
          <w:rFonts w:ascii="宋体" w:hAnsi="宋体"/>
          <w:b/>
          <w:szCs w:val="21"/>
        </w:rPr>
        <w:t>、投标文件的编制</w:t>
      </w:r>
    </w:p>
    <w:p>
      <w:pPr>
        <w:snapToGrid w:val="0"/>
        <w:spacing w:line="440" w:lineRule="exact"/>
        <w:ind w:firstLine="211" w:firstLineChars="100"/>
        <w:outlineLvl w:val="2"/>
        <w:rPr>
          <w:rFonts w:ascii="宋体" w:hAnsi="宋体"/>
          <w:b/>
          <w:szCs w:val="21"/>
        </w:rPr>
      </w:pPr>
      <w:r>
        <w:rPr>
          <w:rFonts w:hint="eastAsia" w:ascii="宋体" w:hAnsi="宋体"/>
          <w:b/>
          <w:szCs w:val="21"/>
        </w:rPr>
        <w:t>（一）投标文件的形式</w:t>
      </w:r>
    </w:p>
    <w:p>
      <w:pPr>
        <w:pStyle w:val="15"/>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1．投标文件为电子投标文件。</w:t>
      </w:r>
    </w:p>
    <w:p>
      <w:pPr>
        <w:pStyle w:val="15"/>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2．电子投标文件，按“政采云供应商项目采购-电子招投标操作指南”及本招标文件要求制作、加密并递交。</w:t>
      </w:r>
    </w:p>
    <w:p>
      <w:pPr>
        <w:snapToGrid w:val="0"/>
        <w:spacing w:line="440" w:lineRule="exact"/>
        <w:ind w:firstLine="211" w:firstLineChars="100"/>
        <w:outlineLvl w:val="2"/>
        <w:rPr>
          <w:rFonts w:ascii="宋体" w:hAnsi="宋体" w:cs="宋体"/>
          <w:szCs w:val="21"/>
        </w:rPr>
      </w:pPr>
      <w:r>
        <w:rPr>
          <w:rFonts w:hint="eastAsia" w:ascii="宋体" w:hAnsi="宋体"/>
          <w:b/>
          <w:szCs w:val="21"/>
        </w:rPr>
        <w:t>（二）投标文件的组成</w:t>
      </w:r>
    </w:p>
    <w:p>
      <w:pPr>
        <w:spacing w:line="440" w:lineRule="exact"/>
        <w:ind w:firstLine="420" w:firstLineChars="200"/>
        <w:rPr>
          <w:rFonts w:ascii="宋体" w:hAnsi="宋体"/>
          <w:szCs w:val="21"/>
        </w:rPr>
      </w:pPr>
      <w:r>
        <w:rPr>
          <w:rFonts w:hint="eastAsia" w:ascii="宋体" w:hAnsi="宋体"/>
          <w:szCs w:val="21"/>
        </w:rPr>
        <w:t>投标文件由商务</w:t>
      </w:r>
      <w:r>
        <w:rPr>
          <w:rFonts w:hint="eastAsia" w:ascii="宋体" w:hAnsi="宋体"/>
          <w:szCs w:val="21"/>
          <w:lang w:eastAsia="zh-CN"/>
        </w:rPr>
        <w:t>、</w:t>
      </w:r>
      <w:r>
        <w:rPr>
          <w:rFonts w:hint="eastAsia" w:ascii="宋体" w:hAnsi="宋体"/>
          <w:szCs w:val="21"/>
        </w:rPr>
        <w:t>技术文件和报价文件</w:t>
      </w:r>
      <w:r>
        <w:rPr>
          <w:rFonts w:hint="eastAsia" w:ascii="宋体" w:hAnsi="宋体"/>
          <w:szCs w:val="21"/>
          <w:lang w:val="en-US" w:eastAsia="zh-CN"/>
        </w:rPr>
        <w:t>三</w:t>
      </w:r>
      <w:r>
        <w:rPr>
          <w:rFonts w:hint="eastAsia" w:ascii="宋体" w:hAnsi="宋体"/>
          <w:szCs w:val="21"/>
        </w:rPr>
        <w:t>部份组成。</w:t>
      </w:r>
      <w:r>
        <w:rPr>
          <w:rFonts w:hint="eastAsia" w:ascii="宋体" w:hAnsi="宋体" w:cs="宋体"/>
          <w:b/>
          <w:bCs/>
        </w:rPr>
        <w:t>电子投标文件中所须加盖公章部分均采用CA签章。</w:t>
      </w:r>
    </w:p>
    <w:p>
      <w:pPr>
        <w:spacing w:line="440" w:lineRule="exact"/>
        <w:ind w:firstLine="420" w:firstLineChars="200"/>
        <w:rPr>
          <w:rFonts w:ascii="宋体" w:hAnsi="宋体"/>
          <w:szCs w:val="21"/>
        </w:rPr>
      </w:pPr>
      <w:r>
        <w:rPr>
          <w:rFonts w:hint="eastAsia" w:ascii="宋体" w:hAnsi="宋体"/>
          <w:szCs w:val="21"/>
        </w:rPr>
        <w:t>投标文件由商务技术文件和报价文件二部份组成。</w:t>
      </w:r>
      <w:r>
        <w:rPr>
          <w:rFonts w:hint="eastAsia" w:ascii="宋体" w:hAnsi="宋体" w:cs="宋体"/>
          <w:b/>
          <w:bCs/>
        </w:rPr>
        <w:t>电子投标文件中所须加盖公章部分均采用CA签章。</w:t>
      </w:r>
    </w:p>
    <w:p>
      <w:pPr>
        <w:keepNext w:val="0"/>
        <w:keepLines w:val="0"/>
        <w:pageBreakBefore w:val="0"/>
        <w:widowControl w:val="0"/>
        <w:numPr>
          <w:ilvl w:val="0"/>
          <w:numId w:val="42"/>
        </w:numPr>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资格审查</w:t>
      </w:r>
      <w:r>
        <w:rPr>
          <w:rFonts w:hint="eastAsia" w:asciiTheme="minorEastAsia" w:hAnsiTheme="minorEastAsia" w:eastAsiaTheme="minorEastAsia" w:cstheme="minorEastAsia"/>
          <w:b/>
          <w:bCs/>
          <w:color w:val="auto"/>
          <w:sz w:val="21"/>
          <w:szCs w:val="21"/>
          <w:highlight w:val="none"/>
          <w:lang w:eastAsia="zh-CN"/>
        </w:rPr>
        <w:t>文件</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1、</w:t>
      </w:r>
      <w:r>
        <w:rPr>
          <w:rFonts w:hint="eastAsia" w:asciiTheme="minorEastAsia" w:hAnsiTheme="minorEastAsia" w:eastAsiaTheme="minorEastAsia" w:cstheme="minorEastAsia"/>
          <w:iCs/>
          <w:color w:val="auto"/>
          <w:sz w:val="21"/>
          <w:szCs w:val="21"/>
          <w:highlight w:val="none"/>
        </w:rPr>
        <w:t>法人单位或者其他组织的营业执照等证明文件，自然人的身份证明</w:t>
      </w:r>
      <w:r>
        <w:rPr>
          <w:rFonts w:hint="eastAsia" w:asciiTheme="minorEastAsia" w:hAnsiTheme="minorEastAsia" w:eastAsiaTheme="minorEastAsia" w:cstheme="minorEastAsia"/>
          <w:iCs/>
          <w:color w:val="auto"/>
          <w:sz w:val="21"/>
          <w:szCs w:val="21"/>
          <w:highlight w:val="none"/>
          <w:lang w:eastAsia="zh-CN"/>
        </w:rPr>
        <w:t>；</w:t>
      </w:r>
    </w:p>
    <w:p>
      <w:pPr>
        <w:pStyle w:val="8"/>
        <w:keepNext w:val="0"/>
        <w:keepLines w:val="0"/>
        <w:pageBreakBefore w:val="0"/>
        <w:widowControl w:val="0"/>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2、</w:t>
      </w:r>
      <w:r>
        <w:rPr>
          <w:rFonts w:hint="eastAsia" w:asciiTheme="minorEastAsia" w:hAnsiTheme="minorEastAsia" w:eastAsiaTheme="minorEastAsia" w:cstheme="minorEastAsia"/>
          <w:iCs/>
          <w:color w:val="auto"/>
          <w:sz w:val="21"/>
          <w:szCs w:val="21"/>
          <w:highlight w:val="none"/>
        </w:rPr>
        <w:t>法定代表人资格证明书</w:t>
      </w:r>
      <w:r>
        <w:rPr>
          <w:rFonts w:hint="eastAsia" w:asciiTheme="minorEastAsia" w:hAnsiTheme="minorEastAsia" w:eastAsiaTheme="minorEastAsia" w:cstheme="minorEastAsia"/>
          <w:iCs/>
          <w:color w:val="auto"/>
          <w:sz w:val="21"/>
          <w:szCs w:val="21"/>
          <w:highlight w:val="none"/>
          <w:lang w:eastAsia="zh-CN"/>
        </w:rPr>
        <w:t>、</w:t>
      </w:r>
      <w:r>
        <w:rPr>
          <w:rFonts w:hint="eastAsia" w:asciiTheme="minorEastAsia" w:hAnsiTheme="minorEastAsia" w:eastAsiaTheme="minorEastAsia" w:cstheme="minorEastAsia"/>
          <w:iCs/>
          <w:color w:val="auto"/>
          <w:sz w:val="21"/>
          <w:szCs w:val="21"/>
          <w:highlight w:val="none"/>
        </w:rPr>
        <w:t>法人代表授权书</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3、</w:t>
      </w:r>
      <w:r>
        <w:rPr>
          <w:rFonts w:hint="eastAsia" w:asciiTheme="minorEastAsia" w:hAnsiTheme="minorEastAsia" w:eastAsiaTheme="minorEastAsia" w:cstheme="minorEastAsia"/>
          <w:iCs/>
          <w:color w:val="auto"/>
          <w:sz w:val="21"/>
          <w:szCs w:val="21"/>
          <w:highlight w:val="none"/>
        </w:rPr>
        <w:t>最近一个年度的财务状况报告</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4、</w:t>
      </w:r>
      <w:r>
        <w:rPr>
          <w:rFonts w:hint="eastAsia" w:asciiTheme="minorEastAsia" w:hAnsiTheme="minorEastAsia" w:eastAsiaTheme="minorEastAsia" w:cstheme="minorEastAsia"/>
          <w:iCs/>
          <w:color w:val="auto"/>
          <w:sz w:val="21"/>
          <w:szCs w:val="21"/>
          <w:highlight w:val="none"/>
        </w:rPr>
        <w:t>依法缴纳税收和社会保障资金的相关材料</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5、</w:t>
      </w:r>
      <w:r>
        <w:rPr>
          <w:rFonts w:hint="eastAsia" w:asciiTheme="minorEastAsia" w:hAnsiTheme="minorEastAsia" w:eastAsiaTheme="minorEastAsia" w:cstheme="minorEastAsia"/>
          <w:iCs/>
          <w:color w:val="auto"/>
          <w:sz w:val="21"/>
          <w:szCs w:val="21"/>
          <w:highlight w:val="none"/>
        </w:rPr>
        <w:t>具备履行合同所必需的设备和专业技术能力的书面声明</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6、参加政府采购活动前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default"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7、中小企业声明涵</w:t>
      </w:r>
      <w:r>
        <w:rPr>
          <w:rFonts w:hint="eastAsia" w:asciiTheme="minorEastAsia" w:hAnsiTheme="minorEastAsia" w:eastAsiaTheme="minorEastAsia" w:cstheme="minorEastAsia"/>
          <w:iCs/>
          <w:color w:val="auto"/>
          <w:sz w:val="21"/>
          <w:szCs w:val="21"/>
          <w:highlight w:val="yellow"/>
          <w:lang w:val="en-US" w:eastAsia="zh-CN"/>
        </w:rPr>
        <w:t>（标项2必须提供中小企业声明函）</w:t>
      </w:r>
      <w:r>
        <w:rPr>
          <w:rFonts w:hint="eastAsia" w:asciiTheme="minorEastAsia" w:hAnsiTheme="minorEastAsia" w:eastAsiaTheme="minorEastAsia" w:cstheme="minorEastAsia"/>
          <w:iCs/>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val="0"/>
          <w:bCs w:val="0"/>
          <w:iCs/>
          <w:color w:val="auto"/>
          <w:sz w:val="21"/>
          <w:szCs w:val="21"/>
          <w:highlight w:val="none"/>
        </w:rPr>
        <w:t>开标一览表</w:t>
      </w:r>
      <w:r>
        <w:rPr>
          <w:rFonts w:hint="eastAsia" w:asciiTheme="minorEastAsia" w:hAnsiTheme="minorEastAsia" w:eastAsiaTheme="minorEastAsia" w:cstheme="minorEastAsia"/>
          <w:b w:val="0"/>
          <w:bCs w:val="0"/>
          <w:i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default"/>
          <w:sz w:val="21"/>
          <w:szCs w:val="21"/>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rPr>
        <w:t>投标产品配置与分项报价表</w:t>
      </w:r>
      <w:r>
        <w:rPr>
          <w:rFonts w:hint="eastAsia" w:asciiTheme="minorEastAsia" w:hAnsiTheme="minorEastAsia" w:eastAsiaTheme="minorEastAsia" w:cstheme="minorEastAsia"/>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三、商务文件</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w:t>
      </w:r>
      <w:r>
        <w:rPr>
          <w:rFonts w:hint="eastAsia" w:asciiTheme="minorEastAsia" w:hAnsiTheme="minorEastAsia" w:eastAsiaTheme="minorEastAsia" w:cstheme="minorEastAsia"/>
          <w:b w:val="0"/>
          <w:bCs w:val="0"/>
          <w:i w:val="0"/>
          <w:iCs w:val="0"/>
          <w:color w:val="auto"/>
          <w:sz w:val="21"/>
          <w:szCs w:val="21"/>
          <w:highlight w:val="none"/>
          <w:lang w:val="zh-CN" w:eastAsia="zh-CN"/>
        </w:rPr>
        <w:t>投标函</w:t>
      </w:r>
      <w:r>
        <w:rPr>
          <w:rFonts w:hint="eastAsia" w:asciiTheme="minorEastAsia" w:hAnsiTheme="minorEastAsia" w:eastAsiaTheme="minorEastAsia" w:cstheme="minorEastAsia"/>
          <w:b w:val="0"/>
          <w:bCs w:val="0"/>
          <w:i w:val="0"/>
          <w:iCs w:val="0"/>
          <w:color w:val="auto"/>
          <w:sz w:val="21"/>
          <w:szCs w:val="21"/>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2、商务条款响应及偏离表；</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3、节能和环境标志产品证明材料清单；</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4、类似项目一览表；</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default"/>
          <w:sz w:val="21"/>
          <w:szCs w:val="21"/>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5、售后服务方案；</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四</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技术文件</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1、技术参数响应及偏离表；</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2、项目设计方案；</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3、项目实施方案；</w:t>
      </w:r>
    </w:p>
    <w:p>
      <w:pPr>
        <w:pStyle w:val="14"/>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4、项目培训方案；</w:t>
      </w:r>
    </w:p>
    <w:p>
      <w:pPr>
        <w:rPr>
          <w:rFonts w:hint="default"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 xml:space="preserve">    五、供应商认为有必要提供资料</w:t>
      </w:r>
    </w:p>
    <w:p>
      <w:pPr>
        <w:spacing w:line="440" w:lineRule="exact"/>
        <w:ind w:firstLine="422" w:firstLineChars="200"/>
        <w:rPr>
          <w:rFonts w:hint="default" w:ascii="宋体" w:hAnsi="宋体"/>
          <w:b/>
          <w:color w:val="auto"/>
          <w:szCs w:val="21"/>
          <w:highlight w:val="green"/>
          <w:u w:val="single"/>
          <w:lang w:val="en-US" w:eastAsia="zh-CN"/>
        </w:rPr>
      </w:pPr>
      <w:r>
        <w:rPr>
          <w:rFonts w:hint="eastAsia" w:ascii="宋体" w:hAnsi="宋体"/>
          <w:b/>
          <w:color w:val="auto"/>
          <w:szCs w:val="21"/>
          <w:highlight w:val="green"/>
        </w:rPr>
        <w:t>注：</w:t>
      </w:r>
      <w:r>
        <w:rPr>
          <w:rFonts w:hint="eastAsia" w:ascii="宋体" w:hAnsi="宋体"/>
          <w:b/>
          <w:color w:val="auto"/>
          <w:szCs w:val="21"/>
          <w:highlight w:val="green"/>
          <w:u w:val="single"/>
          <w:lang w:val="en-US" w:eastAsia="zh-CN"/>
        </w:rPr>
        <w:t>1、以上投标文件商务文件、技术文件格式，供应商可根据各标项评分细则制作。</w:t>
      </w:r>
    </w:p>
    <w:p>
      <w:pPr>
        <w:spacing w:line="440" w:lineRule="exact"/>
        <w:ind w:firstLine="843" w:firstLineChars="400"/>
        <w:rPr>
          <w:rFonts w:ascii="宋体" w:hAnsi="宋体"/>
          <w:b/>
          <w:color w:val="auto"/>
          <w:szCs w:val="21"/>
          <w:highlight w:val="green"/>
        </w:rPr>
      </w:pPr>
      <w:r>
        <w:rPr>
          <w:rFonts w:hint="eastAsia" w:ascii="宋体" w:hAnsi="宋体"/>
          <w:b/>
          <w:color w:val="auto"/>
          <w:szCs w:val="21"/>
          <w:highlight w:val="green"/>
          <w:u w:val="single"/>
          <w:lang w:val="en-US" w:eastAsia="zh-CN"/>
        </w:rPr>
        <w:t>2、</w:t>
      </w:r>
      <w:r>
        <w:rPr>
          <w:rFonts w:hint="eastAsia" w:ascii="宋体" w:hAnsi="宋体"/>
          <w:b/>
          <w:color w:val="auto"/>
          <w:szCs w:val="21"/>
          <w:highlight w:val="green"/>
          <w:u w:val="single"/>
        </w:rPr>
        <w:t>投标人须按以上顺序</w:t>
      </w:r>
      <w:r>
        <w:rPr>
          <w:rFonts w:hint="eastAsia" w:ascii="宋体" w:hAnsi="宋体"/>
          <w:b/>
          <w:color w:val="auto"/>
          <w:szCs w:val="21"/>
          <w:highlight w:val="green"/>
          <w:u w:val="single"/>
          <w:lang w:eastAsia="zh-CN"/>
        </w:rPr>
        <w:t>制作</w:t>
      </w:r>
      <w:r>
        <w:rPr>
          <w:rFonts w:hint="eastAsia" w:ascii="宋体" w:hAnsi="宋体"/>
          <w:b/>
          <w:color w:val="auto"/>
          <w:szCs w:val="21"/>
          <w:highlight w:val="green"/>
          <w:u w:val="single"/>
        </w:rPr>
        <w:t>投标资料，如未按要求</w:t>
      </w:r>
      <w:r>
        <w:rPr>
          <w:rFonts w:hint="eastAsia" w:ascii="宋体" w:hAnsi="宋体"/>
          <w:b/>
          <w:color w:val="auto"/>
          <w:szCs w:val="21"/>
          <w:highlight w:val="green"/>
          <w:u w:val="single"/>
          <w:lang w:eastAsia="zh-CN"/>
        </w:rPr>
        <w:t>规定</w:t>
      </w:r>
      <w:r>
        <w:rPr>
          <w:rFonts w:hint="eastAsia" w:ascii="宋体" w:hAnsi="宋体"/>
          <w:b/>
          <w:color w:val="auto"/>
          <w:szCs w:val="21"/>
          <w:highlight w:val="green"/>
          <w:u w:val="single"/>
        </w:rPr>
        <w:t>导致产生不利于投标人评标结果的，后果由投标人自行负责。</w:t>
      </w:r>
    </w:p>
    <w:p>
      <w:pPr>
        <w:snapToGrid w:val="0"/>
        <w:spacing w:line="440" w:lineRule="exact"/>
        <w:ind w:firstLine="422" w:firstLineChars="200"/>
        <w:jc w:val="left"/>
        <w:rPr>
          <w:rFonts w:ascii="宋体" w:hAnsi="宋体" w:cs="宋体"/>
          <w:b/>
          <w:bCs/>
          <w:szCs w:val="21"/>
        </w:rPr>
      </w:pPr>
      <w:r>
        <w:rPr>
          <w:rFonts w:hint="eastAsia" w:ascii="宋体" w:hAnsi="宋体" w:cs="宋体"/>
          <w:b/>
          <w:bCs/>
          <w:szCs w:val="21"/>
        </w:rPr>
        <w:t>★电子投标文件中所须加盖公章部分均采用CA签章。</w:t>
      </w:r>
    </w:p>
    <w:p>
      <w:pPr>
        <w:spacing w:line="440" w:lineRule="exact"/>
        <w:ind w:firstLine="105" w:firstLineChars="50"/>
        <w:rPr>
          <w:rFonts w:ascii="宋体" w:hAnsi="宋体"/>
          <w:color w:val="000000"/>
          <w:szCs w:val="21"/>
        </w:rPr>
      </w:pPr>
      <w:r>
        <w:rPr>
          <w:rFonts w:hint="eastAsia" w:ascii="宋体" w:hAnsi="宋体"/>
          <w:color w:val="000000"/>
          <w:szCs w:val="21"/>
        </w:rPr>
        <w:t>（二）投标文件的语言及计量</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2、投标计量单位，招标文件已有明确规定的，使用招标文件规定的计量单位；招标文件没有规定的，应采用中华人民共和国法定计量单位（货币单位：人民币元），否则视同未响应。</w:t>
      </w:r>
    </w:p>
    <w:p>
      <w:pPr>
        <w:spacing w:line="440" w:lineRule="exact"/>
        <w:ind w:firstLine="105" w:firstLineChars="50"/>
        <w:rPr>
          <w:rFonts w:ascii="宋体" w:hAnsi="宋体"/>
          <w:color w:val="000000"/>
          <w:szCs w:val="21"/>
        </w:rPr>
      </w:pPr>
      <w:r>
        <w:rPr>
          <w:rFonts w:hint="eastAsia" w:ascii="宋体" w:hAnsi="宋体"/>
          <w:color w:val="000000"/>
          <w:szCs w:val="21"/>
        </w:rPr>
        <w:t>（三）投标报价</w:t>
      </w:r>
    </w:p>
    <w:p>
      <w:pPr>
        <w:spacing w:line="440" w:lineRule="exact"/>
        <w:ind w:firstLine="420" w:firstLineChars="200"/>
        <w:rPr>
          <w:rFonts w:ascii="宋体" w:hAnsi="宋体"/>
          <w:color w:val="000000"/>
          <w:szCs w:val="21"/>
        </w:rPr>
      </w:pPr>
      <w:r>
        <w:rPr>
          <w:rFonts w:hint="eastAsia" w:ascii="宋体" w:hAnsi="宋体"/>
          <w:color w:val="000000"/>
          <w:szCs w:val="21"/>
        </w:rPr>
        <w:t>1、投标报价应按招标文件中相关附表格式填写。</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3、投标文件只允许有一个报价，有选择的或有条件的报价将不予接受。</w:t>
      </w:r>
    </w:p>
    <w:p>
      <w:pPr>
        <w:spacing w:line="440" w:lineRule="exact"/>
        <w:ind w:firstLine="105" w:firstLineChars="50"/>
        <w:rPr>
          <w:rFonts w:ascii="宋体" w:hAnsi="宋体"/>
          <w:color w:val="000000"/>
          <w:szCs w:val="21"/>
        </w:rPr>
      </w:pPr>
      <w:r>
        <w:rPr>
          <w:rFonts w:hint="eastAsia" w:ascii="宋体" w:hAnsi="宋体"/>
          <w:color w:val="000000"/>
          <w:szCs w:val="21"/>
        </w:rPr>
        <w:t>（四）投标文件的有效期</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90</w:t>
      </w:r>
      <w:r>
        <w:rPr>
          <w:rFonts w:hint="eastAsia" w:ascii="宋体" w:hAnsi="宋体"/>
          <w:color w:val="000000"/>
          <w:szCs w:val="21"/>
        </w:rPr>
        <w:t>天投标文件应保持有效。有效期不足的投标文件将被拒绝。</w:t>
      </w:r>
    </w:p>
    <w:p>
      <w:pPr>
        <w:spacing w:line="440" w:lineRule="exact"/>
        <w:ind w:firstLine="525" w:firstLineChars="250"/>
        <w:rPr>
          <w:rFonts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40" w:lineRule="exact"/>
        <w:ind w:firstLine="525" w:firstLineChars="250"/>
        <w:rPr>
          <w:rFonts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40" w:lineRule="exact"/>
        <w:ind w:firstLine="525" w:firstLineChars="250"/>
        <w:rPr>
          <w:rFonts w:ascii="宋体" w:hAnsi="宋体"/>
          <w:color w:val="000000"/>
          <w:szCs w:val="21"/>
        </w:rPr>
      </w:pPr>
      <w:r>
        <w:rPr>
          <w:rFonts w:hint="eastAsia" w:ascii="宋体" w:hAnsi="宋体"/>
          <w:color w:val="000000"/>
          <w:szCs w:val="21"/>
        </w:rPr>
        <w:t>4、中标人的投标文件自开标之日起至合同履行完毕止均应保持有效。</w:t>
      </w:r>
    </w:p>
    <w:p>
      <w:pPr>
        <w:spacing w:line="440" w:lineRule="exact"/>
        <w:ind w:firstLine="105" w:firstLineChars="50"/>
        <w:rPr>
          <w:rFonts w:ascii="宋体" w:hAnsi="宋体"/>
          <w:color w:val="000000"/>
          <w:szCs w:val="21"/>
        </w:rPr>
      </w:pPr>
      <w:r>
        <w:rPr>
          <w:rFonts w:hint="eastAsia" w:ascii="宋体" w:hAnsi="宋体"/>
          <w:color w:val="000000"/>
          <w:szCs w:val="21"/>
        </w:rPr>
        <w:t>（五）投标保证金：本项目不收取投标保证金。</w:t>
      </w:r>
    </w:p>
    <w:p>
      <w:pPr>
        <w:spacing w:line="440" w:lineRule="exact"/>
        <w:ind w:firstLine="105" w:firstLineChars="50"/>
        <w:rPr>
          <w:rFonts w:ascii="宋体" w:hAnsi="宋体"/>
          <w:color w:val="000000"/>
          <w:szCs w:val="21"/>
        </w:rPr>
      </w:pPr>
      <w:r>
        <w:rPr>
          <w:rFonts w:hint="eastAsia" w:ascii="宋体" w:hAnsi="宋体"/>
          <w:color w:val="000000"/>
          <w:szCs w:val="21"/>
        </w:rPr>
        <w:t>（六）投标文件的签署和份数</w:t>
      </w:r>
    </w:p>
    <w:p>
      <w:pPr>
        <w:spacing w:line="440" w:lineRule="exact"/>
        <w:ind w:firstLine="420" w:firstLineChars="200"/>
        <w:jc w:val="left"/>
        <w:rPr>
          <w:rFonts w:ascii="宋体" w:hAnsi="宋体"/>
          <w:bCs/>
          <w:szCs w:val="21"/>
        </w:rPr>
      </w:pPr>
      <w:r>
        <w:rPr>
          <w:rFonts w:hint="eastAsia" w:ascii="宋体" w:hAnsi="宋体"/>
          <w:bCs/>
          <w:szCs w:val="21"/>
        </w:rPr>
        <w:t>1、投标人应按本采购文件规定的格式和顺序编制投标文件并标注页码，投标文件内容不完整、编排混乱、未正确关联定位导致投标文件被误读、漏读或者查找不到相关内容的，是投标人的责任。</w:t>
      </w:r>
    </w:p>
    <w:p>
      <w:pPr>
        <w:spacing w:line="440" w:lineRule="exact"/>
        <w:ind w:firstLine="422" w:firstLineChars="200"/>
        <w:jc w:val="left"/>
        <w:rPr>
          <w:rFonts w:ascii="宋体" w:hAnsi="宋体"/>
          <w:b/>
          <w:szCs w:val="21"/>
        </w:rPr>
      </w:pPr>
      <w:r>
        <w:rPr>
          <w:rFonts w:hint="eastAsia" w:ascii="宋体" w:hAnsi="宋体"/>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40" w:lineRule="exact"/>
        <w:ind w:firstLine="210" w:firstLineChars="100"/>
        <w:rPr>
          <w:rFonts w:ascii="宋体" w:hAnsi="宋体"/>
          <w:szCs w:val="21"/>
        </w:rPr>
      </w:pPr>
      <w:r>
        <w:rPr>
          <w:rFonts w:hint="eastAsia" w:ascii="宋体" w:hAnsi="宋体"/>
          <w:szCs w:val="21"/>
        </w:rPr>
        <w:t>（七）投标文件的包装、递交、修改和撤回</w:t>
      </w:r>
    </w:p>
    <w:p>
      <w:pPr>
        <w:adjustRightInd w:val="0"/>
        <w:snapToGrid w:val="0"/>
        <w:spacing w:line="440" w:lineRule="exact"/>
        <w:ind w:firstLine="420" w:firstLineChars="200"/>
        <w:jc w:val="left"/>
        <w:rPr>
          <w:rFonts w:ascii="宋体" w:hAnsi="宋体"/>
          <w:szCs w:val="21"/>
          <w:highlight w:val="green"/>
          <w:u w:val="single"/>
        </w:rPr>
      </w:pPr>
      <w:r>
        <w:rPr>
          <w:rFonts w:hint="eastAsia" w:ascii="宋体" w:hAnsi="宋体"/>
          <w:szCs w:val="21"/>
        </w:rPr>
        <w:t>1、电子投标文件</w:t>
      </w:r>
      <w:r>
        <w:rPr>
          <w:rFonts w:hint="eastAsia" w:ascii="宋体" w:hAnsi="宋体"/>
          <w:szCs w:val="21"/>
          <w:highlight w:val="green"/>
          <w:u w:val="single"/>
        </w:rPr>
        <w:t>：供应商应根据“项目采购-电子招投标操作指南”及本招标文件规定的格式和顺序编制电子投标文件并进行关联定位。</w:t>
      </w:r>
    </w:p>
    <w:p>
      <w:pPr>
        <w:adjustRightInd w:val="0"/>
        <w:snapToGrid w:val="0"/>
        <w:spacing w:line="440" w:lineRule="exact"/>
        <w:ind w:firstLine="420"/>
        <w:jc w:val="left"/>
        <w:rPr>
          <w:rFonts w:ascii="宋体" w:hAnsi="宋体"/>
          <w:szCs w:val="21"/>
        </w:rPr>
      </w:pPr>
      <w:r>
        <w:rPr>
          <w:rFonts w:hint="eastAsia" w:ascii="宋体" w:hAnsi="宋体"/>
          <w:szCs w:val="21"/>
        </w:rPr>
        <w:t>2、</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40" w:lineRule="exact"/>
        <w:ind w:firstLine="210" w:firstLineChars="100"/>
        <w:rPr>
          <w:rFonts w:ascii="宋体" w:hAnsi="宋体"/>
          <w:szCs w:val="21"/>
        </w:rPr>
      </w:pPr>
      <w:r>
        <w:rPr>
          <w:rFonts w:hint="eastAsia" w:ascii="宋体" w:hAnsi="宋体"/>
          <w:szCs w:val="21"/>
        </w:rPr>
        <w:t>（八）投标无效的情形</w:t>
      </w:r>
    </w:p>
    <w:p>
      <w:pPr>
        <w:spacing w:line="44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w:t>
      </w:r>
      <w:r>
        <w:rPr>
          <w:rFonts w:ascii="宋体" w:hAnsi="宋体"/>
          <w:b/>
          <w:bCs/>
          <w:szCs w:val="21"/>
          <w:highlight w:val="yellow"/>
        </w:rPr>
        <w:t>无效投标</w:t>
      </w:r>
      <w:r>
        <w:rPr>
          <w:rFonts w:ascii="宋体" w:hAnsi="宋体"/>
          <w:szCs w:val="21"/>
        </w:rPr>
        <w:t>文件，不得进入评标：</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）未按照招标文件的要求签署、盖章的</w:t>
      </w:r>
      <w:r>
        <w:rPr>
          <w:rFonts w:hint="eastAsia" w:ascii="宋体" w:hAnsi="宋体"/>
          <w:szCs w:val="21"/>
        </w:rPr>
        <w:t>,</w:t>
      </w:r>
      <w:r>
        <w:rPr>
          <w:rFonts w:hint="eastAsia" w:ascii="宋体" w:hAnsi="宋体"/>
          <w:b/>
          <w:szCs w:val="21"/>
        </w:rPr>
        <w:t>影响投标效力的</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）不具备招标文件中规定资格要求的；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）不符合法律、法规和招标文件中规定的其他实质性要求的；</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、投标文件有下述情形之一的，属于重大偏差，视为未能对招标文件做出实质性的响应，作无效标处理。</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1）投标文件载明的招标项目完成期限超过招标文件规定的期限；</w:t>
      </w:r>
    </w:p>
    <w:p>
      <w:pPr>
        <w:spacing w:line="440" w:lineRule="exact"/>
        <w:ind w:firstLine="420" w:firstLineChars="200"/>
        <w:rPr>
          <w:rFonts w:ascii="宋体" w:hAnsi="宋体"/>
          <w:szCs w:val="21"/>
        </w:rPr>
      </w:pPr>
      <w:r>
        <w:rPr>
          <w:rFonts w:hint="eastAsia" w:ascii="宋体" w:hAnsi="宋体"/>
          <w:szCs w:val="21"/>
        </w:rPr>
        <w:t>（2）带“★”的款项不能满足招标文件要求的；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）投标文件附有招标人不能接受的条件；</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）经评标委员会评审技术方案不可行的；</w:t>
      </w:r>
    </w:p>
    <w:p>
      <w:pPr>
        <w:keepNext/>
        <w:keepLines/>
        <w:widowControl/>
        <w:wordWrap w:val="0"/>
        <w:topLinePunct/>
        <w:spacing w:line="500" w:lineRule="exact"/>
        <w:ind w:firstLine="420" w:firstLineChars="200"/>
        <w:jc w:val="left"/>
        <w:rPr>
          <w:rFonts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lang w:eastAsia="zh-CN"/>
        </w:rPr>
        <w:t>（</w:t>
      </w:r>
      <w:r>
        <w:rPr>
          <w:rFonts w:hint="eastAsia" w:ascii="宋体" w:hAnsi="宋体"/>
          <w:szCs w:val="21"/>
        </w:rPr>
        <w:t>评标委员会认为投标人的报价明显低于其他通过符合性审查投标人的报价，有可能影响产品质量或者不能诚信履约的，将要求其在合理的时间内作出说明，必要时提交相关证明材料；投标人不能证明其报价合理性的，评标委员会应当将其作为无效投标处理</w:t>
      </w:r>
      <w:r>
        <w:rPr>
          <w:rFonts w:hint="eastAsia" w:ascii="宋体" w:hAnsi="宋体"/>
          <w:szCs w:val="21"/>
          <w:lang w:eastAsia="zh-CN"/>
        </w:rPr>
        <w:t>）</w:t>
      </w:r>
      <w:r>
        <w:rPr>
          <w:rFonts w:hint="eastAsia" w:ascii="宋体" w:hAnsi="宋体"/>
          <w:szCs w:val="21"/>
        </w:rPr>
        <w:t xml:space="preserve">  </w:t>
      </w:r>
    </w:p>
    <w:p>
      <w:pPr>
        <w:spacing w:line="440" w:lineRule="exact"/>
        <w:ind w:firstLine="420" w:firstLineChars="200"/>
        <w:rPr>
          <w:rFonts w:ascii="宋体" w:hAnsi="宋体"/>
          <w:szCs w:val="21"/>
        </w:rPr>
      </w:pPr>
      <w:r>
        <w:rPr>
          <w:rFonts w:hint="eastAsia" w:ascii="宋体" w:hAnsi="宋体"/>
          <w:szCs w:val="21"/>
        </w:rPr>
        <w:t>3、特别说明：</w:t>
      </w:r>
    </w:p>
    <w:p>
      <w:pPr>
        <w:spacing w:line="440" w:lineRule="exact"/>
        <w:ind w:firstLine="420" w:firstLineChars="200"/>
        <w:rPr>
          <w:rFonts w:ascii="宋体" w:hAnsi="宋体"/>
          <w:szCs w:val="21"/>
        </w:rPr>
      </w:pPr>
      <w:r>
        <w:rPr>
          <w:rFonts w:hint="eastAsia" w:ascii="宋体" w:hAnsi="宋体"/>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22" w:firstLineChars="200"/>
        <w:rPr>
          <w:rFonts w:ascii="宋体" w:hAnsi="宋体"/>
          <w:b/>
          <w:bCs/>
          <w:szCs w:val="21"/>
        </w:rPr>
      </w:pPr>
      <w:r>
        <w:rPr>
          <w:rFonts w:hint="eastAsia" w:ascii="宋体" w:hAnsi="宋体"/>
          <w:b/>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20" w:firstLineChars="200"/>
        <w:rPr>
          <w:rFonts w:ascii="宋体" w:hAnsi="宋体"/>
          <w:b w:val="0"/>
          <w:bCs w:val="0"/>
          <w:szCs w:val="21"/>
        </w:rPr>
      </w:pPr>
      <w:r>
        <w:rPr>
          <w:rFonts w:hint="eastAsia" w:ascii="宋体" w:hAnsi="宋体"/>
          <w:b w:val="0"/>
          <w:bCs w:val="0"/>
          <w:szCs w:val="21"/>
        </w:rPr>
        <w:t>非单一产品采购项目，根据采购项目技术构成、产品价格比重等合理确定核心产品。多家投标人提供的核心产品品牌相同的，按前款处理。</w:t>
      </w:r>
    </w:p>
    <w:p>
      <w:pPr>
        <w:spacing w:line="44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w:t>
      </w:r>
    </w:p>
    <w:p>
      <w:pPr>
        <w:spacing w:line="440" w:lineRule="exact"/>
        <w:ind w:firstLine="211" w:firstLineChars="100"/>
        <w:rPr>
          <w:rFonts w:ascii="宋体" w:hAnsi="宋体"/>
          <w:b/>
          <w:snapToGrid w:val="0"/>
          <w:szCs w:val="21"/>
        </w:rPr>
      </w:pPr>
      <w:r>
        <w:rPr>
          <w:rFonts w:hint="eastAsia" w:ascii="宋体" w:hAnsi="宋体"/>
          <w:b/>
          <w:szCs w:val="21"/>
        </w:rPr>
        <w:t>九、开标</w:t>
      </w:r>
    </w:p>
    <w:p>
      <w:pPr>
        <w:adjustRightInd w:val="0"/>
        <w:snapToGrid w:val="0"/>
        <w:spacing w:line="440" w:lineRule="exact"/>
        <w:ind w:firstLine="211" w:firstLineChars="100"/>
        <w:outlineLvl w:val="1"/>
        <w:rPr>
          <w:rFonts w:ascii="宋体" w:hAnsi="宋体"/>
          <w:color w:val="000000"/>
          <w:szCs w:val="21"/>
        </w:rPr>
      </w:pPr>
      <w:r>
        <w:rPr>
          <w:rFonts w:hint="eastAsia" w:ascii="宋体" w:hAnsi="宋体"/>
          <w:b/>
          <w:szCs w:val="21"/>
        </w:rPr>
        <w:t>（一）开标准备</w:t>
      </w:r>
    </w:p>
    <w:p>
      <w:pPr>
        <w:pStyle w:val="15"/>
        <w:adjustRightInd w:val="0"/>
        <w:snapToGrid w:val="0"/>
        <w:spacing w:beforeLines="0" w:afterLines="0" w:line="440" w:lineRule="exact"/>
        <w:ind w:firstLine="422" w:firstLineChars="200"/>
        <w:rPr>
          <w:rFonts w:hAnsi="宋体" w:cs="宋体"/>
          <w:b/>
          <w:bCs/>
          <w:sz w:val="21"/>
          <w:szCs w:val="21"/>
        </w:rPr>
      </w:pPr>
      <w:r>
        <w:rPr>
          <w:rFonts w:hint="eastAsia" w:hAnsi="宋体" w:cs="宋体"/>
          <w:b/>
          <w:bCs/>
          <w:sz w:val="21"/>
          <w:szCs w:val="21"/>
        </w:rPr>
        <w:t>采购代理机构将在规定的时间和地点进行开标，</w:t>
      </w:r>
      <w:r>
        <w:rPr>
          <w:rFonts w:hint="eastAsia" w:hAnsi="宋体" w:cs="宋体"/>
          <w:b/>
          <w:sz w:val="21"/>
          <w:szCs w:val="21"/>
        </w:rPr>
        <w:t>本项目实行不见面开标，投标人无需前往</w:t>
      </w:r>
      <w:r>
        <w:rPr>
          <w:rFonts w:hint="eastAsia" w:ascii="宋体" w:hAnsi="宋体" w:eastAsia="宋体" w:cs="宋体"/>
          <w:b/>
          <w:bCs/>
          <w:sz w:val="21"/>
          <w:szCs w:val="21"/>
          <w:lang w:eastAsia="zh-CN"/>
        </w:rPr>
        <w:t>奇台县天山东部物流园</w:t>
      </w:r>
      <w:r>
        <w:rPr>
          <w:rFonts w:hint="eastAsia" w:ascii="宋体" w:hAnsi="宋体" w:eastAsia="宋体" w:cs="宋体"/>
          <w:b/>
          <w:bCs/>
          <w:sz w:val="21"/>
          <w:szCs w:val="21"/>
          <w:lang w:val="en-US" w:eastAsia="zh-CN"/>
        </w:rPr>
        <w:t>B区</w:t>
      </w:r>
      <w:r>
        <w:rPr>
          <w:rFonts w:hint="eastAsia" w:ascii="宋体" w:hAnsi="宋体" w:eastAsia="宋体" w:cs="宋体"/>
          <w:b/>
          <w:bCs/>
          <w:sz w:val="21"/>
          <w:szCs w:val="21"/>
          <w:lang w:eastAsia="zh-CN"/>
        </w:rPr>
        <w:t>北段综合办公楼三楼公共资源交易大厅</w:t>
      </w:r>
      <w:r>
        <w:rPr>
          <w:rFonts w:hint="eastAsia" w:hAnsi="宋体" w:cs="宋体"/>
          <w:b/>
          <w:sz w:val="21"/>
          <w:szCs w:val="21"/>
        </w:rPr>
        <w:t>，只需在开标时间做好开标准备（如投标文件的解密和投标价格的确认），确保联系方式的畅通。</w:t>
      </w:r>
    </w:p>
    <w:p>
      <w:pPr>
        <w:adjustRightInd w:val="0"/>
        <w:snapToGrid w:val="0"/>
        <w:spacing w:line="440" w:lineRule="exact"/>
        <w:ind w:firstLine="211" w:firstLineChars="100"/>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1、投标截止时间后，投标人登录政采云平台，用“项目采购-开标评标”功能对电子投标文件进行在线解密，在线解密电子投标文件时间为开标时间起</w:t>
      </w:r>
      <w:r>
        <w:rPr>
          <w:rFonts w:hint="eastAsia" w:hAnsi="宋体"/>
          <w:sz w:val="21"/>
          <w:szCs w:val="21"/>
          <w:highlight w:val="green"/>
          <w:u w:val="single"/>
        </w:rPr>
        <w:t>30</w:t>
      </w:r>
      <w:r>
        <w:rPr>
          <w:rFonts w:hint="eastAsia" w:hAnsi="宋体"/>
          <w:sz w:val="21"/>
          <w:szCs w:val="21"/>
        </w:rPr>
        <w:t>分钟内；</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2、采购人或评标委员对投标人的资格进行审查；</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3、评标委员会对符合性进行审查；</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4、评标委员会对商务技术响应文件进行评审；</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5、在系统上公开资格和商务技术评审结果；</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6、在系统上公开报价开标情况；</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7、评标委员会对报价情况进行评审；</w:t>
      </w:r>
    </w:p>
    <w:p>
      <w:pPr>
        <w:pStyle w:val="15"/>
        <w:adjustRightInd w:val="0"/>
        <w:snapToGrid w:val="0"/>
        <w:spacing w:beforeLines="0" w:afterLines="0" w:line="440" w:lineRule="exact"/>
        <w:ind w:firstLine="420" w:firstLineChars="200"/>
        <w:rPr>
          <w:rFonts w:hAnsi="宋体"/>
          <w:sz w:val="21"/>
          <w:szCs w:val="21"/>
        </w:rPr>
      </w:pPr>
      <w:r>
        <w:rPr>
          <w:rFonts w:hint="eastAsia" w:hAnsi="宋体"/>
          <w:sz w:val="21"/>
          <w:szCs w:val="21"/>
        </w:rPr>
        <w:t>8、在系统上公布评审结果。</w:t>
      </w:r>
    </w:p>
    <w:p>
      <w:pPr>
        <w:adjustRightInd w:val="0"/>
        <w:snapToGrid w:val="0"/>
        <w:spacing w:line="440" w:lineRule="exact"/>
        <w:ind w:firstLine="422" w:firstLineChars="200"/>
        <w:jc w:val="left"/>
        <w:rPr>
          <w:rFonts w:ascii="宋体" w:hAnsi="宋体"/>
          <w:b/>
          <w:color w:val="000000"/>
          <w:szCs w:val="21"/>
        </w:rPr>
      </w:pPr>
      <w:r>
        <w:rPr>
          <w:rFonts w:hint="eastAsia" w:ascii="宋体" w:hAnsi="宋体" w:cs="宋体"/>
          <w:b/>
          <w:color w:val="000000"/>
          <w:kern w:val="0"/>
          <w:szCs w:val="21"/>
        </w:rPr>
        <w:t>政府采购云平台</w:t>
      </w:r>
      <w:r>
        <w:rPr>
          <w:rFonts w:hint="eastAsia" w:ascii="宋体" w:hAnsi="宋体"/>
          <w:b/>
          <w:color w:val="000000"/>
          <w:szCs w:val="21"/>
        </w:rPr>
        <w:t>如对电子化开标及评审程序有调整的，按调整后的程序操作。</w:t>
      </w:r>
    </w:p>
    <w:p>
      <w:pPr>
        <w:spacing w:line="440" w:lineRule="exact"/>
        <w:ind w:firstLine="422" w:firstLineChars="200"/>
        <w:jc w:val="left"/>
        <w:rPr>
          <w:rFonts w:hAnsi="宋体" w:cs="宋体"/>
          <w:b/>
          <w:bCs/>
          <w:szCs w:val="21"/>
        </w:rPr>
      </w:pPr>
      <w:r>
        <w:rPr>
          <w:rFonts w:hint="eastAsia" w:hAnsi="宋体" w:cs="宋体"/>
          <w:b/>
          <w:bCs/>
          <w:szCs w:val="21"/>
        </w:rPr>
        <w:t>注：（1）开标过程需投标人确认的事宜，通过政采云平台或电子邮箱发送邮件等方式进行，请投标人在开标期间做好相应的准备。</w:t>
      </w:r>
    </w:p>
    <w:p>
      <w:pPr>
        <w:spacing w:line="440" w:lineRule="exact"/>
        <w:ind w:firstLine="630" w:firstLineChars="300"/>
        <w:jc w:val="left"/>
        <w:rPr>
          <w:rFonts w:ascii="宋体" w:hAnsi="宋体"/>
          <w:color w:val="000000"/>
          <w:szCs w:val="21"/>
        </w:rPr>
      </w:pPr>
      <w:r>
        <w:rPr>
          <w:rFonts w:hint="eastAsia" w:hAnsi="宋体" w:cs="宋体"/>
          <w:bCs/>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40" w:lineRule="exact"/>
        <w:jc w:val="left"/>
        <w:rPr>
          <w:rFonts w:ascii="宋体" w:hAnsi="宋体"/>
          <w:b/>
          <w:bCs/>
          <w:color w:val="000000"/>
          <w:szCs w:val="21"/>
        </w:rPr>
      </w:pPr>
      <w:r>
        <w:rPr>
          <w:rFonts w:hint="eastAsia" w:ascii="宋体" w:hAnsi="宋体"/>
          <w:b/>
          <w:bCs/>
          <w:color w:val="000000"/>
          <w:szCs w:val="21"/>
        </w:rPr>
        <w:t>（三）特别说明</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本项目采用政采云电子投标开标及评审程序，但有下情形之一的，按以下情况处理：</w:t>
      </w:r>
    </w:p>
    <w:p>
      <w:pPr>
        <w:adjustRightInd w:val="0"/>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（1）电子交易平台发生故障而无法登录访问的；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（2）因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（3）电子交易平台应用或数据库出现错误，不能进行正常操作的；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（4）电子交易平台发现严重安全漏洞，有潜在泄密危险；</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（5）病毒</w:t>
      </w:r>
      <w:r>
        <w:rPr>
          <w:rFonts w:hint="eastAsia" w:ascii="宋体" w:hAnsi="宋体"/>
          <w:color w:val="000000"/>
          <w:szCs w:val="21"/>
          <w:lang w:eastAsia="zh-CN"/>
        </w:rPr>
        <w:t>攻击</w:t>
      </w:r>
      <w:r>
        <w:rPr>
          <w:rFonts w:hint="eastAsia" w:ascii="宋体" w:hAnsi="宋体"/>
          <w:color w:val="000000"/>
          <w:szCs w:val="21"/>
        </w:rPr>
        <w:t xml:space="preserve">导致不能进行正常操作的； </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（6）其他无法保证电子交易的公平、公正和安全的情况。</w:t>
      </w:r>
    </w:p>
    <w:p>
      <w:pPr>
        <w:adjustRightInd w:val="0"/>
        <w:snapToGrid w:val="0"/>
        <w:spacing w:line="440" w:lineRule="exact"/>
        <w:ind w:firstLine="420" w:firstLineChars="200"/>
        <w:jc w:val="left"/>
        <w:rPr>
          <w:rFonts w:ascii="宋体" w:hAnsi="宋体" w:cs="宋体"/>
          <w:b/>
          <w:szCs w:val="21"/>
        </w:rPr>
      </w:pPr>
      <w:r>
        <w:rPr>
          <w:rFonts w:hint="eastAsia" w:ascii="宋体" w:hAnsi="宋体"/>
          <w:color w:val="000000"/>
          <w:szCs w:val="21"/>
        </w:rPr>
        <w:t xml:space="preserve"> 出现前款规定情形，不影响采购公平、公正性的，采购人（或代理机构）可以待上述情形消除后继续组织电子交易活动。</w:t>
      </w:r>
    </w:p>
    <w:p>
      <w:pPr>
        <w:spacing w:line="440" w:lineRule="exact"/>
        <w:ind w:firstLine="211" w:firstLineChars="100"/>
        <w:rPr>
          <w:rFonts w:ascii="宋体" w:hAnsi="宋体"/>
          <w:b/>
          <w:szCs w:val="21"/>
        </w:rPr>
      </w:pPr>
      <w:r>
        <w:rPr>
          <w:rFonts w:hint="eastAsia" w:ascii="宋体" w:hAnsi="宋体"/>
          <w:b/>
          <w:szCs w:val="21"/>
        </w:rPr>
        <w:t>十、评标</w:t>
      </w:r>
    </w:p>
    <w:p>
      <w:pPr>
        <w:spacing w:line="44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40" w:lineRule="exact"/>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pStyle w:val="15"/>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（1）采购人或者</w:t>
      </w:r>
      <w:r>
        <w:rPr>
          <w:rFonts w:hint="eastAsia" w:hAnsi="宋体" w:cs="Times New Roman"/>
          <w:sz w:val="21"/>
          <w:szCs w:val="21"/>
          <w:lang w:val="en-US"/>
        </w:rPr>
        <w:t>评标委员会</w:t>
      </w:r>
      <w:r>
        <w:rPr>
          <w:rFonts w:hint="eastAsia" w:hAnsi="宋体"/>
          <w:sz w:val="21"/>
          <w:szCs w:val="21"/>
          <w:lang w:val="en-US"/>
        </w:rPr>
        <w:t>对投标人的资格进行审查。符合下列条件之一的，资格性审查不合格：</w:t>
      </w:r>
    </w:p>
    <w:p>
      <w:pPr>
        <w:pStyle w:val="15"/>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一是不符合政府采购法第22条规定；</w:t>
      </w:r>
    </w:p>
    <w:p>
      <w:pPr>
        <w:pStyle w:val="15"/>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二是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p>
    <w:p>
      <w:pPr>
        <w:pStyle w:val="15"/>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三是不符合特定资格条件的（若有）；</w:t>
      </w:r>
    </w:p>
    <w:p>
      <w:pPr>
        <w:spacing w:line="440" w:lineRule="exact"/>
        <w:jc w:val="left"/>
        <w:rPr>
          <w:rFonts w:ascii="宋体" w:hAnsi="宋体"/>
          <w:szCs w:val="21"/>
        </w:rPr>
      </w:pPr>
      <w:r>
        <w:rPr>
          <w:rFonts w:hint="eastAsia" w:ascii="宋体" w:hAnsi="宋体"/>
          <w:szCs w:val="21"/>
        </w:rPr>
        <w:t xml:space="preserve">   （2</w:t>
      </w:r>
      <w:r>
        <w:rPr>
          <w:rFonts w:ascii="宋体" w:hAnsi="宋体"/>
          <w:szCs w:val="21"/>
        </w:rPr>
        <w:t>）评标委员会审查投标文件的实质性内容是否符合招标文件的实质性要求。</w:t>
      </w:r>
      <w:r>
        <w:rPr>
          <w:rFonts w:hint="eastAsia" w:ascii="宋体" w:hAnsi="宋体"/>
          <w:szCs w:val="21"/>
        </w:rPr>
        <w:t>符合下列条件之一的，</w:t>
      </w:r>
      <w:r>
        <w:rPr>
          <w:rFonts w:hint="eastAsia" w:ascii="宋体" w:hAnsi="宋体"/>
          <w:b/>
          <w:bCs/>
          <w:szCs w:val="21"/>
          <w:highlight w:val="yellow"/>
        </w:rPr>
        <w:t>符合性审查不合格</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一是未按要求提供投标函、开标一览表、投标分项报价表的；</w:t>
      </w:r>
    </w:p>
    <w:p>
      <w:pPr>
        <w:spacing w:line="440" w:lineRule="exact"/>
        <w:ind w:firstLine="420" w:firstLineChars="200"/>
        <w:jc w:val="left"/>
        <w:rPr>
          <w:rFonts w:ascii="宋体" w:hAnsi="宋体"/>
          <w:szCs w:val="21"/>
        </w:rPr>
      </w:pPr>
      <w:r>
        <w:rPr>
          <w:rFonts w:hint="eastAsia" w:ascii="宋体" w:hAnsi="宋体"/>
          <w:szCs w:val="21"/>
        </w:rPr>
        <w:t>二是应当提供法定代表人授权书而未提供的；</w:t>
      </w:r>
    </w:p>
    <w:p>
      <w:pPr>
        <w:spacing w:line="440" w:lineRule="exact"/>
        <w:ind w:firstLine="420" w:firstLineChars="200"/>
        <w:jc w:val="left"/>
        <w:rPr>
          <w:rFonts w:ascii="宋体" w:hAnsi="宋体"/>
          <w:szCs w:val="21"/>
        </w:rPr>
      </w:pPr>
      <w:r>
        <w:rPr>
          <w:rFonts w:hint="eastAsia" w:ascii="宋体" w:hAnsi="宋体"/>
          <w:szCs w:val="21"/>
        </w:rPr>
        <w:t>三是投标有效期少于招标文件要求的；</w:t>
      </w:r>
    </w:p>
    <w:p>
      <w:pPr>
        <w:spacing w:line="440" w:lineRule="exact"/>
        <w:ind w:firstLine="420" w:firstLineChars="200"/>
        <w:jc w:val="left"/>
        <w:rPr>
          <w:rFonts w:ascii="宋体" w:hAnsi="宋体"/>
          <w:szCs w:val="21"/>
        </w:rPr>
      </w:pPr>
      <w:r>
        <w:rPr>
          <w:rFonts w:hint="eastAsia" w:ascii="宋体" w:hAnsi="宋体"/>
          <w:szCs w:val="21"/>
        </w:rPr>
        <w:t>四是投标人应填写全称，加盖与全称相一致的公章（不得加盖带有“专用章”等字样的印章），未按规定签署、盖章的，影响投标效力的；</w:t>
      </w:r>
    </w:p>
    <w:p>
      <w:pPr>
        <w:spacing w:line="440" w:lineRule="exact"/>
        <w:ind w:firstLine="420" w:firstLineChars="200"/>
        <w:jc w:val="left"/>
        <w:rPr>
          <w:rFonts w:ascii="宋体" w:hAnsi="宋体"/>
          <w:szCs w:val="21"/>
        </w:rPr>
      </w:pPr>
      <w:r>
        <w:rPr>
          <w:rFonts w:hint="eastAsia" w:ascii="宋体" w:hAnsi="宋体"/>
          <w:szCs w:val="21"/>
        </w:rPr>
        <w:t>五是投标文件未按要求编制，内容缺失、不完整，导致无法评审的；</w:t>
      </w:r>
    </w:p>
    <w:p>
      <w:pPr>
        <w:spacing w:line="440" w:lineRule="exact"/>
        <w:ind w:firstLine="420" w:firstLineChars="200"/>
        <w:jc w:val="left"/>
        <w:rPr>
          <w:rFonts w:ascii="宋体" w:hAnsi="宋体"/>
          <w:szCs w:val="21"/>
        </w:rPr>
      </w:pPr>
      <w:r>
        <w:rPr>
          <w:rFonts w:hint="eastAsia" w:ascii="宋体" w:hAnsi="宋体"/>
          <w:szCs w:val="21"/>
        </w:rPr>
        <w:t>六是投标价格错误且不同意按招标文件要求进行修正的；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投标人代表拒绝澄清或者澄清的内容改变了投标文件的实质性内容的，评标委员会有权对该投标文件作出不利于投标人的评判。</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40" w:lineRule="exact"/>
        <w:ind w:firstLine="210" w:firstLineChars="100"/>
        <w:rPr>
          <w:rFonts w:ascii="宋体" w:hAnsi="宋体"/>
          <w:color w:val="000000"/>
          <w:szCs w:val="21"/>
        </w:rPr>
      </w:pPr>
      <w:r>
        <w:rPr>
          <w:rFonts w:hint="eastAsia" w:ascii="宋体" w:hAnsi="宋体"/>
          <w:color w:val="000000"/>
          <w:szCs w:val="21"/>
        </w:rPr>
        <w:t>3、澄清问题的形式</w:t>
      </w:r>
    </w:p>
    <w:p>
      <w:pPr>
        <w:spacing w:line="44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4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40" w:lineRule="exact"/>
        <w:ind w:firstLine="630" w:firstLineChars="300"/>
        <w:rPr>
          <w:rFonts w:ascii="宋体" w:hAnsi="宋体"/>
          <w:szCs w:val="21"/>
        </w:rPr>
      </w:pPr>
      <w:r>
        <w:rPr>
          <w:rFonts w:hint="eastAsia" w:ascii="宋体" w:hAnsi="宋体"/>
          <w:szCs w:val="21"/>
        </w:rPr>
        <w:t>（1）、开标一览表总价与投标报价明细表汇总数不一致的，</w:t>
      </w:r>
      <w:r>
        <w:rPr>
          <w:rFonts w:hint="eastAsia" w:ascii="宋体" w:hAnsi="宋体" w:cs="Arial"/>
          <w:kern w:val="0"/>
          <w:szCs w:val="21"/>
        </w:rPr>
        <w:t>以开标一览表为准；</w:t>
      </w:r>
    </w:p>
    <w:p>
      <w:pPr>
        <w:spacing w:line="440" w:lineRule="exact"/>
        <w:ind w:firstLine="630" w:firstLineChars="300"/>
        <w:rPr>
          <w:rFonts w:ascii="宋体" w:hAnsi="宋体"/>
          <w:szCs w:val="21"/>
        </w:rPr>
      </w:pPr>
      <w:r>
        <w:rPr>
          <w:rFonts w:hint="eastAsia" w:ascii="宋体" w:hAnsi="宋体"/>
          <w:szCs w:val="21"/>
        </w:rPr>
        <w:t>（2）</w:t>
      </w:r>
      <w:r>
        <w:rPr>
          <w:rFonts w:ascii="宋体" w:hAnsi="宋体"/>
          <w:szCs w:val="21"/>
        </w:rPr>
        <w:t>投标文件的大写金额和小写金额不一致的，以大写金额为准；</w:t>
      </w:r>
    </w:p>
    <w:p>
      <w:pPr>
        <w:spacing w:line="440" w:lineRule="exact"/>
        <w:ind w:firstLine="630" w:firstLineChars="3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440" w:lineRule="exact"/>
        <w:ind w:firstLine="630" w:firstLineChars="3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tabs>
          <w:tab w:val="left" w:pos="0"/>
        </w:tabs>
        <w:spacing w:line="440" w:lineRule="exact"/>
        <w:ind w:firstLine="420" w:firstLineChars="200"/>
        <w:rPr>
          <w:rFonts w:ascii="宋体" w:hAnsi="宋体"/>
          <w:bCs/>
          <w:szCs w:val="21"/>
        </w:rPr>
      </w:pP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40" w:lineRule="exact"/>
        <w:ind w:firstLine="211" w:firstLineChars="100"/>
        <w:rPr>
          <w:rFonts w:ascii="宋体" w:hAnsi="宋体"/>
          <w:b/>
          <w:szCs w:val="21"/>
        </w:rPr>
      </w:pPr>
      <w:r>
        <w:rPr>
          <w:rFonts w:hint="eastAsia" w:ascii="宋体" w:hAnsi="宋体"/>
          <w:b/>
          <w:szCs w:val="21"/>
        </w:rPr>
        <w:t>十一、定标</w:t>
      </w:r>
    </w:p>
    <w:p>
      <w:pPr>
        <w:spacing w:line="440" w:lineRule="exact"/>
        <w:ind w:firstLine="420" w:firstLineChars="200"/>
        <w:rPr>
          <w:rFonts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40" w:lineRule="exact"/>
        <w:ind w:firstLine="420" w:firstLineChars="200"/>
        <w:rPr>
          <w:rFonts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40" w:lineRule="exact"/>
        <w:ind w:firstLine="420" w:firstLineChars="200"/>
        <w:rPr>
          <w:rFonts w:ascii="宋体" w:hAnsi="宋体"/>
          <w:color w:val="000000"/>
          <w:szCs w:val="21"/>
        </w:rPr>
      </w:pPr>
      <w:r>
        <w:rPr>
          <w:rFonts w:hint="eastAsia" w:ascii="宋体" w:hAnsi="宋体"/>
          <w:color w:val="000000"/>
          <w:szCs w:val="21"/>
        </w:rPr>
        <w:t>3、采购代理机构自中标人确定之日起2个工作日内，在发布招标公告的网站上对中标结</w:t>
      </w:r>
      <w:r>
        <w:rPr>
          <w:rFonts w:hint="eastAsia" w:ascii="宋体" w:hAnsi="宋体"/>
          <w:szCs w:val="21"/>
        </w:rPr>
        <w:t>果进行公告。</w:t>
      </w:r>
    </w:p>
    <w:p>
      <w:pPr>
        <w:spacing w:line="440" w:lineRule="exact"/>
        <w:ind w:firstLine="420" w:firstLineChars="200"/>
        <w:rPr>
          <w:rFonts w:ascii="宋体" w:hAnsi="宋体"/>
          <w:szCs w:val="21"/>
        </w:rPr>
      </w:pPr>
      <w:r>
        <w:rPr>
          <w:rFonts w:hint="eastAsia" w:ascii="宋体" w:hAnsi="宋体"/>
          <w:szCs w:val="21"/>
        </w:rPr>
        <w:t>4、凡发现中标人有下列行为之一的，将移交政府采购监督管理部门依法处理：</w:t>
      </w:r>
    </w:p>
    <w:p>
      <w:pPr>
        <w:spacing w:line="440" w:lineRule="exact"/>
        <w:ind w:firstLine="630" w:firstLineChars="300"/>
        <w:rPr>
          <w:rFonts w:ascii="宋体" w:hAnsi="宋体"/>
          <w:szCs w:val="21"/>
        </w:rPr>
      </w:pPr>
      <w:r>
        <w:rPr>
          <w:rFonts w:hint="eastAsia" w:ascii="宋体" w:hAnsi="宋体"/>
          <w:szCs w:val="21"/>
        </w:rPr>
        <w:t>（1）提供虚假材料谋取中标的；</w:t>
      </w:r>
    </w:p>
    <w:p>
      <w:pPr>
        <w:spacing w:line="440" w:lineRule="exact"/>
        <w:ind w:firstLine="630" w:firstLineChars="300"/>
        <w:rPr>
          <w:rFonts w:ascii="宋体" w:hAnsi="宋体"/>
          <w:szCs w:val="21"/>
        </w:rPr>
      </w:pPr>
      <w:r>
        <w:rPr>
          <w:rFonts w:hint="eastAsia" w:ascii="宋体" w:hAnsi="宋体"/>
          <w:szCs w:val="21"/>
        </w:rPr>
        <w:t>（2）采取不正当手段诋毁、排挤其他投标人的；</w:t>
      </w:r>
    </w:p>
    <w:p>
      <w:pPr>
        <w:spacing w:line="440" w:lineRule="exact"/>
        <w:ind w:firstLine="630" w:firstLineChars="300"/>
        <w:rPr>
          <w:rFonts w:ascii="宋体" w:hAnsi="宋体"/>
          <w:szCs w:val="21"/>
        </w:rPr>
      </w:pPr>
      <w:r>
        <w:rPr>
          <w:rFonts w:hint="eastAsia" w:ascii="宋体" w:hAnsi="宋体"/>
          <w:szCs w:val="21"/>
        </w:rPr>
        <w:t>（3）与采购人、其他投标人或者采购代理机构工作人员恶意串通的；</w:t>
      </w:r>
    </w:p>
    <w:p>
      <w:pPr>
        <w:spacing w:line="440" w:lineRule="exact"/>
        <w:ind w:firstLine="630" w:firstLineChars="300"/>
        <w:rPr>
          <w:rFonts w:ascii="宋体" w:hAnsi="宋体"/>
          <w:szCs w:val="21"/>
        </w:rPr>
      </w:pPr>
      <w:r>
        <w:rPr>
          <w:rFonts w:hint="eastAsia" w:ascii="宋体" w:hAnsi="宋体"/>
          <w:szCs w:val="21"/>
        </w:rPr>
        <w:t>（4）向采购人或采购代理机构人员行贿或者提供其他不正当利益的；</w:t>
      </w:r>
    </w:p>
    <w:p>
      <w:pPr>
        <w:spacing w:line="440" w:lineRule="exact"/>
        <w:ind w:firstLine="630" w:firstLineChars="300"/>
        <w:rPr>
          <w:rFonts w:ascii="宋体" w:hAnsi="宋体"/>
          <w:szCs w:val="21"/>
        </w:rPr>
      </w:pPr>
      <w:r>
        <w:rPr>
          <w:rFonts w:hint="eastAsia" w:ascii="宋体" w:hAnsi="宋体"/>
          <w:szCs w:val="21"/>
        </w:rPr>
        <w:t>（5）拒绝有关部门监督检查或者提供虚假情况的；</w:t>
      </w:r>
    </w:p>
    <w:p>
      <w:pPr>
        <w:spacing w:line="44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440" w:lineRule="exact"/>
        <w:rPr>
          <w:rFonts w:ascii="宋体" w:hAnsi="宋体"/>
          <w:b/>
          <w:szCs w:val="21"/>
        </w:rPr>
      </w:pPr>
      <w:r>
        <w:rPr>
          <w:rFonts w:hint="eastAsia" w:ascii="宋体" w:hAnsi="宋体"/>
          <w:b/>
          <w:szCs w:val="21"/>
        </w:rPr>
        <w:t>十二、合同签订</w:t>
      </w:r>
    </w:p>
    <w:p>
      <w:pPr>
        <w:spacing w:line="440" w:lineRule="exact"/>
        <w:ind w:firstLine="420" w:firstLineChars="200"/>
        <w:rPr>
          <w:rFonts w:ascii="宋体" w:hAnsi="宋体"/>
        </w:rPr>
      </w:pPr>
      <w:r>
        <w:rPr>
          <w:rFonts w:hint="eastAsia" w:ascii="宋体" w:hAnsi="宋体"/>
        </w:rPr>
        <w:t>1、采购人与中标人应当按《中标（成交）通知书》中规定的时间内签订政府采购合同。</w:t>
      </w:r>
      <w:r>
        <w:rPr>
          <w:rFonts w:ascii="Arial" w:cs="Arial"/>
          <w:color w:val="000000"/>
          <w:szCs w:val="21"/>
        </w:rPr>
        <w:t>采购文件、中标人的投标文件</w:t>
      </w:r>
      <w:r>
        <w:rPr>
          <w:rFonts w:hint="eastAsia" w:ascii="Arial" w:cs="Arial"/>
          <w:color w:val="000000"/>
          <w:szCs w:val="21"/>
        </w:rPr>
        <w:t>、</w:t>
      </w:r>
      <w:r>
        <w:rPr>
          <w:rFonts w:ascii="Arial" w:cs="Arial"/>
          <w:color w:val="000000"/>
          <w:szCs w:val="21"/>
        </w:rPr>
        <w:t>评标过程中有关的澄清文</w:t>
      </w:r>
      <w:r>
        <w:rPr>
          <w:rFonts w:hint="eastAsia" w:ascii="Arial" w:cs="Arial"/>
          <w:color w:val="000000"/>
          <w:szCs w:val="21"/>
        </w:rPr>
        <w:t>件及</w:t>
      </w:r>
      <w:r>
        <w:rPr>
          <w:rFonts w:hint="eastAsia" w:ascii="宋体" w:hAnsi="宋体"/>
        </w:rPr>
        <w:t>投标时的承诺是政府采购合同的组成部分。</w:t>
      </w:r>
    </w:p>
    <w:p>
      <w:pPr>
        <w:spacing w:line="440" w:lineRule="exact"/>
        <w:ind w:firstLine="420" w:firstLineChars="200"/>
        <w:rPr>
          <w:rFonts w:ascii="Arial" w:hAnsi="Arial" w:cs="Arial"/>
          <w:color w:val="000000"/>
          <w:szCs w:val="21"/>
        </w:rPr>
      </w:pPr>
      <w:r>
        <w:rPr>
          <w:rFonts w:ascii="Arial" w:cs="Arial"/>
          <w:color w:val="000000"/>
          <w:szCs w:val="21"/>
        </w:rPr>
        <w:t>所签订的合同不得对采购文件确定的事项和中标人投标文件作实质性修改。</w:t>
      </w:r>
    </w:p>
    <w:p>
      <w:pPr>
        <w:spacing w:line="440" w:lineRule="exact"/>
        <w:ind w:firstLine="420" w:firstLineChars="200"/>
        <w:rPr>
          <w:rFonts w:ascii="Arial" w:hAnsi="Arial" w:cs="Arial"/>
          <w:color w:val="000000"/>
          <w:szCs w:val="21"/>
        </w:rPr>
      </w:pPr>
      <w:r>
        <w:rPr>
          <w:rFonts w:ascii="Arial" w:cs="Arial"/>
          <w:color w:val="000000"/>
          <w:szCs w:val="21"/>
        </w:rPr>
        <w:t>采购人不得向中标人提出任何不合理的要求作为签订合同的条件。</w:t>
      </w:r>
    </w:p>
    <w:p>
      <w:pPr>
        <w:spacing w:line="440" w:lineRule="exact"/>
        <w:ind w:firstLine="420" w:firstLineChars="200"/>
        <w:rPr>
          <w:rFonts w:ascii="Arial" w:hAnsi="Arial" w:cs="Arial"/>
          <w:color w:val="000000"/>
          <w:szCs w:val="21"/>
        </w:rPr>
      </w:pPr>
      <w:r>
        <w:rPr>
          <w:rFonts w:ascii="Arial" w:hAnsi="Arial" w:cs="Arial"/>
          <w:color w:val="000000"/>
          <w:szCs w:val="21"/>
        </w:rPr>
        <w:t>2</w:t>
      </w:r>
      <w:r>
        <w:rPr>
          <w:rFonts w:ascii="Arial" w:cs="Arial"/>
          <w:color w:val="000000"/>
          <w:szCs w:val="21"/>
        </w:rPr>
        <w:t>、采购人在签订合同时，在</w:t>
      </w:r>
      <w:r>
        <w:rPr>
          <w:rFonts w:hint="eastAsia" w:ascii="Arial" w:cs="Arial"/>
          <w:color w:val="000000"/>
          <w:szCs w:val="21"/>
        </w:rPr>
        <w:t>法律规定的</w:t>
      </w:r>
      <w:r>
        <w:rPr>
          <w:rFonts w:ascii="Arial" w:cs="Arial"/>
          <w:color w:val="000000"/>
          <w:szCs w:val="21"/>
        </w:rPr>
        <w:t>合同金额变更范围内，有权变更采购项目的数量和服务内容，但不能对单价或其他条款和条件作任何改变。如需审批的办理相关审批手续。</w:t>
      </w:r>
    </w:p>
    <w:p>
      <w:pPr>
        <w:spacing w:line="440" w:lineRule="exact"/>
        <w:ind w:firstLine="420" w:firstLineChars="200"/>
        <w:rPr>
          <w:rFonts w:hint="eastAsia" w:ascii="宋体" w:hAnsi="宋体"/>
        </w:rPr>
      </w:pPr>
      <w:r>
        <w:rPr>
          <w:rFonts w:hint="eastAsia" w:ascii="Arial" w:hAnsi="Arial" w:cs="Arial"/>
          <w:color w:val="000000"/>
          <w:szCs w:val="21"/>
        </w:rPr>
        <w:t>3</w:t>
      </w:r>
      <w:r>
        <w:rPr>
          <w:rFonts w:ascii="Arial" w:cs="Arial"/>
          <w:color w:val="000000"/>
          <w:szCs w:val="21"/>
        </w:rPr>
        <w:t>、</w:t>
      </w:r>
      <w:r>
        <w:rPr>
          <w:rFonts w:hint="eastAsia" w:ascii="宋体" w:hAnsi="宋体"/>
        </w:rPr>
        <w:t>中标人拖延、拒签合同的,将被取消中标资格并上报监管部门。</w:t>
      </w:r>
    </w:p>
    <w:p>
      <w:pPr>
        <w:spacing w:line="440" w:lineRule="exact"/>
        <w:ind w:firstLine="420" w:firstLineChars="200"/>
        <w:rPr>
          <w:rFonts w:ascii="宋体" w:hAnsi="宋体"/>
        </w:rPr>
      </w:pPr>
      <w:r>
        <w:rPr>
          <w:rFonts w:hint="eastAsia" w:ascii="宋体" w:hAnsi="宋体"/>
        </w:rPr>
        <w:t>4、中标人在与采购人签订合同后，中标人应在所承诺的期限内履行合同，因中标人的原因造成逾期的，应承担损失，具体违约处罚由合同双方约定。</w:t>
      </w:r>
    </w:p>
    <w:p>
      <w:pPr>
        <w:spacing w:line="440" w:lineRule="exact"/>
        <w:ind w:firstLine="420" w:firstLineChars="200"/>
        <w:rPr>
          <w:rFonts w:ascii="宋体" w:hAnsi="宋体"/>
        </w:rPr>
      </w:pPr>
      <w:r>
        <w:rPr>
          <w:rFonts w:hint="eastAsia" w:ascii="宋体" w:hAnsi="宋体"/>
        </w:rPr>
        <w:t>5、采购人按照规定及时将采购合同上传至政采云系统，完成合同备案并进行合同公示。</w:t>
      </w:r>
    </w:p>
    <w:p>
      <w:pPr>
        <w:spacing w:line="440" w:lineRule="exact"/>
        <w:rPr>
          <w:rFonts w:ascii="宋体" w:hAnsi="宋体"/>
        </w:rPr>
      </w:pPr>
      <w:r>
        <w:rPr>
          <w:rFonts w:hint="eastAsia" w:ascii="宋体" w:hAnsi="宋体"/>
          <w:b/>
          <w:bCs/>
          <w:szCs w:val="21"/>
        </w:rPr>
        <w:t>十三、</w:t>
      </w:r>
      <w:r>
        <w:rPr>
          <w:rFonts w:ascii="宋体" w:hAnsi="宋体"/>
          <w:b/>
          <w:bCs/>
          <w:szCs w:val="21"/>
        </w:rPr>
        <w:t>质疑和投诉</w:t>
      </w: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40" w:lineRule="exact"/>
        <w:ind w:firstLine="420" w:firstLineChars="200"/>
        <w:rPr>
          <w:rFonts w:ascii="宋体" w:hAnsi="宋体"/>
          <w:szCs w:val="21"/>
        </w:rPr>
      </w:pPr>
      <w:r>
        <w:rPr>
          <w:rFonts w:hint="eastAsia" w:ascii="宋体" w:hAnsi="宋体"/>
          <w:szCs w:val="21"/>
        </w:rPr>
        <w:t>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40" w:lineRule="exact"/>
        <w:ind w:firstLine="420" w:firstLineChars="200"/>
        <w:rPr>
          <w:rFonts w:ascii="宋体" w:hAnsi="宋体"/>
          <w:b/>
          <w:bCs/>
          <w:szCs w:val="21"/>
        </w:rPr>
      </w:pPr>
      <w:r>
        <w:rPr>
          <w:rFonts w:hint="eastAsia" w:ascii="宋体" w:hAnsi="宋体"/>
          <w:szCs w:val="21"/>
        </w:rPr>
        <w:t>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40" w:lineRule="exact"/>
        <w:ind w:firstLine="420" w:firstLineChars="200"/>
        <w:rPr>
          <w:rFonts w:ascii="宋体" w:hAnsi="宋体" w:cs="宋体"/>
          <w:szCs w:val="21"/>
          <w:highlight w:val="green"/>
        </w:rPr>
      </w:pPr>
      <w:r>
        <w:rPr>
          <w:rFonts w:hint="eastAsia" w:ascii="宋体" w:hAnsi="宋体"/>
          <w:szCs w:val="21"/>
        </w:rPr>
        <w:t>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40" w:lineRule="exact"/>
        <w:rPr>
          <w:rFonts w:ascii="宋体" w:hAnsi="宋体"/>
          <w:b/>
          <w:bCs/>
          <w:szCs w:val="21"/>
        </w:rPr>
      </w:pPr>
      <w:r>
        <w:rPr>
          <w:rFonts w:hint="eastAsia" w:ascii="宋体" w:hAnsi="宋体"/>
          <w:b/>
          <w:bCs/>
          <w:szCs w:val="21"/>
        </w:rPr>
        <w:t>十四、其他说明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1、</w:t>
      </w:r>
      <w:r>
        <w:rPr>
          <w:rFonts w:ascii="宋体" w:hAnsi="宋体"/>
          <w:szCs w:val="21"/>
        </w:rPr>
        <w:t>参加政府采购活动的中小企业（含中型、小型、微型企业，其他地方同）应当同时符合以下条件：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（1）符合中小企业划分标准（具体见工信部联企业[2011]300号）；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（2）在货物采购项目中，货物由中小企业制造，即货物由中小企业生产且使用该中小企业商号或者注册商标；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）在服务采购项目中，服务由中小企业承接，即提供服务的人员为中小企业依照《中华人民共和国劳动合同法》 订立劳动合同的从业人员。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在货物采购项目中，供应商提供的货物既有中小企业制造货物，也有大型企业制造货物的，不享受本办法规定的中小企业扶持政策。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以联合体形式参加政府采购活动，联合体各方均为中小 企业的，联合体视同中小企业。其中，联合体各方均为小微 企业的，联合体视同小微企业。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w:t>
      </w:r>
      <w:r>
        <w:rPr>
          <w:rFonts w:hint="eastAsia" w:ascii="宋体" w:hAnsi="宋体"/>
          <w:szCs w:val="21"/>
          <w:lang w:val="en-US" w:eastAsia="zh-CN"/>
        </w:rPr>
        <w:t>5</w:t>
      </w:r>
      <w:r>
        <w:rPr>
          <w:rFonts w:ascii="宋体" w:hAnsi="宋体"/>
          <w:szCs w:val="21"/>
        </w:rPr>
        <w:t>）小型、微型企业提供中型企业制造的货物的，视同为中型企业。</w:t>
      </w:r>
    </w:p>
    <w:p>
      <w:pPr>
        <w:spacing w:line="44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40" w:lineRule="exact"/>
        <w:rPr>
          <w:rFonts w:ascii="宋体" w:hAnsi="宋体"/>
          <w:szCs w:val="21"/>
        </w:rPr>
      </w:pPr>
      <w:r>
        <w:rPr>
          <w:rFonts w:hint="eastAsia" w:ascii="宋体" w:hAnsi="宋体"/>
          <w:szCs w:val="21"/>
        </w:rPr>
        <w:t xml:space="preserve">   3、</w:t>
      </w:r>
      <w:r>
        <w:rPr>
          <w:rFonts w:ascii="宋体" w:hAnsi="宋体"/>
          <w:szCs w:val="21"/>
        </w:rPr>
        <w:t>对于非专门面向中小企业的项目，对小型和微型企业产品的价格</w:t>
      </w:r>
      <w:r>
        <w:rPr>
          <w:rFonts w:hint="eastAsia" w:ascii="宋体" w:hAnsi="宋体"/>
          <w:szCs w:val="21"/>
        </w:rPr>
        <w:t>可</w:t>
      </w:r>
      <w:r>
        <w:rPr>
          <w:rFonts w:ascii="宋体" w:hAnsi="宋体"/>
          <w:szCs w:val="21"/>
        </w:rPr>
        <w:t>给予</w:t>
      </w:r>
      <w:r>
        <w:rPr>
          <w:rFonts w:ascii="宋体" w:hAnsi="宋体"/>
          <w:b w:val="0"/>
          <w:bCs w:val="0"/>
          <w:szCs w:val="21"/>
          <w:highlight w:val="none"/>
          <w:u w:val="none"/>
        </w:rPr>
        <w:t>10%</w:t>
      </w:r>
      <w:r>
        <w:rPr>
          <w:rFonts w:ascii="宋体" w:hAnsi="宋体"/>
          <w:szCs w:val="21"/>
        </w:rPr>
        <w:t>的扣除，用扣除后的价格参与评审。具体扣除比例见第</w:t>
      </w:r>
      <w:r>
        <w:rPr>
          <w:rFonts w:hint="eastAsia" w:ascii="宋体" w:hAnsi="宋体"/>
          <w:szCs w:val="21"/>
        </w:rPr>
        <w:t>四</w:t>
      </w:r>
      <w:r>
        <w:rPr>
          <w:rFonts w:ascii="宋体" w:hAnsi="宋体"/>
          <w:szCs w:val="21"/>
        </w:rPr>
        <w:t>部分评标标准（如</w:t>
      </w:r>
      <w:r>
        <w:rPr>
          <w:rFonts w:hint="eastAsia" w:ascii="宋体" w:hAnsi="宋体"/>
          <w:szCs w:val="21"/>
        </w:rPr>
        <w:t>采用</w:t>
      </w:r>
      <w:r>
        <w:rPr>
          <w:rFonts w:ascii="宋体" w:hAnsi="宋体"/>
          <w:szCs w:val="21"/>
        </w:rPr>
        <w:t>）。</w:t>
      </w:r>
    </w:p>
    <w:p>
      <w:pPr>
        <w:spacing w:line="440" w:lineRule="exact"/>
        <w:rPr>
          <w:rFonts w:ascii="宋体" w:hAnsi="宋体"/>
          <w:szCs w:val="21"/>
        </w:rPr>
      </w:pPr>
      <w:r>
        <w:rPr>
          <w:rFonts w:hint="eastAsia" w:ascii="宋体" w:hAnsi="宋体"/>
          <w:szCs w:val="21"/>
        </w:rPr>
        <w:t xml:space="preserve">   4、</w:t>
      </w:r>
      <w:r>
        <w:rPr>
          <w:rFonts w:ascii="宋体" w:hAnsi="宋体"/>
          <w:szCs w:val="21"/>
        </w:rPr>
        <w:t>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用扣除后的价格参与评审。是否给予联合体价格扣除及具体扣除比例见第</w:t>
      </w:r>
      <w:r>
        <w:rPr>
          <w:rFonts w:hint="eastAsia" w:ascii="宋体" w:hAnsi="宋体"/>
          <w:szCs w:val="21"/>
        </w:rPr>
        <w:t>四</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szCs w:val="21"/>
        </w:rPr>
        <w:t>。</w:t>
      </w:r>
    </w:p>
    <w:p>
      <w:pPr>
        <w:spacing w:line="440" w:lineRule="exact"/>
        <w:rPr>
          <w:rFonts w:ascii="宋体" w:hAnsi="宋体"/>
          <w:b w:val="0"/>
          <w:bCs w:val="0"/>
          <w:szCs w:val="21"/>
          <w:highlight w:val="green"/>
          <w:u w:val="single"/>
        </w:rPr>
      </w:pPr>
      <w:r>
        <w:rPr>
          <w:rFonts w:hint="eastAsia" w:ascii="宋体" w:hAnsi="宋体"/>
          <w:szCs w:val="21"/>
        </w:rPr>
        <w:t xml:space="preserve">   5、</w:t>
      </w:r>
      <w:r>
        <w:rPr>
          <w:rFonts w:ascii="宋体" w:hAnsi="宋体"/>
          <w:b w:val="0"/>
          <w:bCs w:val="0"/>
          <w:szCs w:val="21"/>
          <w:highlight w:val="green"/>
          <w:u w:val="single"/>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40" w:lineRule="exact"/>
        <w:ind w:firstLine="210" w:firstLineChars="100"/>
        <w:rPr>
          <w:rFonts w:ascii="宋体" w:hAnsi="宋体"/>
          <w:szCs w:val="21"/>
        </w:rPr>
      </w:pPr>
      <w:r>
        <w:rPr>
          <w:rFonts w:hint="eastAsia" w:ascii="宋体" w:hAnsi="宋体"/>
          <w:szCs w:val="21"/>
        </w:rPr>
        <w:t>（二）、根据《财政部司法部关于政府采购支持监狱企业发展有关问题的通知》（财库〔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号）规定，监狱企业视同小型、微型企业。监狱企业参加政府采购活动时，应当提供由省级以上监狱管理局、戒毒管理局出具的属于监狱企业的证明文件。</w:t>
      </w:r>
    </w:p>
    <w:p>
      <w:pPr>
        <w:spacing w:line="440" w:lineRule="exact"/>
        <w:ind w:firstLine="210" w:firstLineChars="100"/>
        <w:rPr>
          <w:rFonts w:ascii="宋体" w:hAnsi="宋体"/>
          <w:szCs w:val="21"/>
        </w:rPr>
      </w:pPr>
      <w:r>
        <w:rPr>
          <w:rFonts w:hint="eastAsia" w:ascii="宋体" w:hAnsi="宋体"/>
          <w:szCs w:val="21"/>
        </w:rPr>
        <w:t>（三)、执行《三部门联合发布关于促进残疾人就业政府采购政策的通知》</w:t>
      </w:r>
      <w:r>
        <w:rPr>
          <w:rFonts w:ascii="宋体" w:hAnsi="宋体"/>
          <w:szCs w:val="21"/>
        </w:rPr>
        <w:t>,</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pStyle w:val="28"/>
        <w:bidi w:val="0"/>
        <w:ind w:left="0" w:leftChars="0" w:firstLine="210" w:firstLineChars="100"/>
        <w:rPr>
          <w:rFonts w:ascii="宋体" w:hAnsi="宋体"/>
          <w:b/>
          <w:snapToGrid w:val="0"/>
          <w:kern w:val="0"/>
          <w:sz w:val="24"/>
        </w:rPr>
      </w:pPr>
      <w:r>
        <w:rPr>
          <w:rFonts w:hint="eastAsia" w:ascii="宋体" w:hAnsi="宋体" w:eastAsia="宋体" w:cs="Times New Roman"/>
          <w:kern w:val="2"/>
          <w:sz w:val="21"/>
          <w:szCs w:val="21"/>
          <w:lang w:val="en-US" w:eastAsia="zh-CN" w:bidi="ar-SA"/>
        </w:rPr>
        <w:t>(四）、依据《关于调整优化节能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号），落实国家节能环保政策。若本次采购的产品属于节能产品、环境标志产品政府强制采购品目清单的，投标人须在投标文件中提供所投标产品</w:t>
      </w:r>
      <w:r>
        <w:rPr>
          <w:rFonts w:hint="eastAsia" w:ascii="宋体" w:hAnsi="宋体" w:eastAsia="宋体" w:cs="Times New Roman"/>
          <w:b/>
          <w:bCs/>
          <w:kern w:val="2"/>
          <w:sz w:val="21"/>
          <w:szCs w:val="21"/>
          <w:lang w:val="en-US" w:eastAsia="zh-CN" w:bidi="ar-SA"/>
        </w:rPr>
        <w:t>由国家确定的认证机构</w:t>
      </w:r>
      <w:r>
        <w:rPr>
          <w:rFonts w:hint="eastAsia" w:ascii="宋体" w:hAnsi="宋体" w:eastAsia="宋体" w:cs="Times New Roman"/>
          <w:kern w:val="2"/>
          <w:sz w:val="21"/>
          <w:szCs w:val="21"/>
          <w:lang w:val="en-US" w:eastAsia="zh-CN" w:bidi="ar-SA"/>
        </w:rPr>
        <w:t xml:space="preserve">出具的、处于有效期之内的节能产品或环境标志产品认证证书或相关截图等证明材料。 </w:t>
      </w:r>
    </w:p>
    <w:p>
      <w:pPr>
        <w:spacing w:line="440" w:lineRule="exact"/>
        <w:ind w:firstLine="210" w:firstLineChars="100"/>
        <w:rPr>
          <w:rFonts w:ascii="宋体" w:hAnsi="宋体"/>
          <w:szCs w:val="21"/>
        </w:rPr>
      </w:pPr>
      <w:r>
        <w:rPr>
          <w:rFonts w:hint="eastAsia" w:ascii="宋体" w:hAnsi="宋体"/>
          <w:szCs w:val="21"/>
        </w:rPr>
        <w:t>(五)、关于分公司投标</w:t>
      </w:r>
    </w:p>
    <w:p>
      <w:pPr>
        <w:spacing w:line="44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授权书须加盖总公司公章。总公司可就本项目或此类项目在一定范围或时间内出具授权书。已由总公司授权的</w:t>
      </w:r>
      <w:r>
        <w:rPr>
          <w:rFonts w:hint="eastAsia" w:ascii="宋体" w:hAnsi="宋体"/>
          <w:szCs w:val="21"/>
          <w:lang w:eastAsia="zh-CN"/>
        </w:rPr>
        <w:t>，</w:t>
      </w:r>
      <w:r>
        <w:rPr>
          <w:rFonts w:hint="eastAsia" w:ascii="宋体" w:hAnsi="宋体"/>
          <w:szCs w:val="21"/>
        </w:rPr>
        <w:t>总公司取得的相关资质证书对分公司有效。</w:t>
      </w:r>
    </w:p>
    <w:p>
      <w:pPr>
        <w:spacing w:line="440" w:lineRule="exact"/>
        <w:ind w:firstLine="210" w:firstLineChars="100"/>
        <w:rPr>
          <w:rFonts w:ascii="宋体" w:hAnsi="宋体"/>
          <w:szCs w:val="21"/>
        </w:rPr>
      </w:pPr>
      <w:r>
        <w:rPr>
          <w:rFonts w:hint="eastAsia" w:ascii="宋体" w:hAnsi="宋体"/>
          <w:szCs w:val="21"/>
        </w:rPr>
        <w:t>(六)、关于知识产权</w:t>
      </w:r>
    </w:p>
    <w:p>
      <w:pPr>
        <w:spacing w:line="44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40" w:lineRule="exact"/>
        <w:rPr>
          <w:rFonts w:ascii="宋体" w:hAnsi="宋体"/>
          <w:szCs w:val="21"/>
        </w:rPr>
      </w:pPr>
      <w:r>
        <w:rPr>
          <w:rFonts w:hint="eastAsia" w:ascii="宋体" w:hAnsi="宋体"/>
          <w:szCs w:val="21"/>
        </w:rPr>
        <w:t xml:space="preserve">   2、投标报价应包含所有应向所有权人支付的专利权、商标权或其它知识产权的一切相关费用。</w:t>
      </w:r>
    </w:p>
    <w:p>
      <w:pPr>
        <w:spacing w:line="44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pPr>
    </w:p>
    <w:p>
      <w:pPr>
        <w:spacing w:line="440" w:lineRule="exact"/>
        <w:rPr>
          <w:rFonts w:ascii="宋体" w:hAnsi="宋体"/>
          <w:szCs w:val="21"/>
        </w:rPr>
      </w:pPr>
    </w:p>
    <w:p>
      <w:pPr>
        <w:spacing w:line="420" w:lineRule="exact"/>
      </w:pPr>
    </w:p>
    <w:p>
      <w:pPr>
        <w:spacing w:line="420" w:lineRule="exact"/>
        <w:ind w:firstLine="630" w:firstLineChars="300"/>
        <w:rPr>
          <w:rFonts w:ascii="宋体" w:hAnsi="宋体"/>
          <w:szCs w:val="21"/>
        </w:rPr>
      </w:pPr>
    </w:p>
    <w:p>
      <w:pPr>
        <w:spacing w:line="420" w:lineRule="exact"/>
      </w:pPr>
    </w:p>
    <w:p>
      <w:pPr>
        <w:widowControl/>
        <w:jc w:val="left"/>
        <w:rPr>
          <w:rFonts w:ascii="宋体" w:hAnsi="宋体"/>
          <w:b/>
          <w:sz w:val="32"/>
          <w:szCs w:val="32"/>
        </w:rPr>
      </w:pPr>
      <w:r>
        <w:rPr>
          <w:rFonts w:ascii="宋体" w:hAnsi="宋体"/>
          <w:b/>
          <w:sz w:val="32"/>
          <w:szCs w:val="32"/>
        </w:rPr>
        <w:br w:type="page"/>
      </w:r>
    </w:p>
    <w:p>
      <w:pPr>
        <w:spacing w:line="440" w:lineRule="exact"/>
        <w:jc w:val="center"/>
        <w:rPr>
          <w:rFonts w:ascii="宋体" w:hAnsi="宋体"/>
          <w:b/>
          <w:color w:val="FF0000"/>
          <w:sz w:val="32"/>
          <w:szCs w:val="32"/>
        </w:rPr>
      </w:pPr>
      <w:r>
        <w:rPr>
          <w:rFonts w:hint="eastAsia" w:ascii="宋体" w:hAnsi="宋体"/>
          <w:b/>
          <w:sz w:val="32"/>
          <w:szCs w:val="32"/>
        </w:rPr>
        <w:t>第四部分  评标办法及评分标准</w:t>
      </w:r>
    </w:p>
    <w:p>
      <w:pPr>
        <w:spacing w:line="440" w:lineRule="exact"/>
        <w:jc w:val="center"/>
        <w:rPr>
          <w:rFonts w:ascii="宋体" w:hAnsi="宋体"/>
          <w:b/>
          <w:sz w:val="32"/>
          <w:szCs w:val="32"/>
        </w:rPr>
      </w:pPr>
    </w:p>
    <w:p>
      <w:pPr>
        <w:spacing w:line="460" w:lineRule="exact"/>
        <w:ind w:firstLine="210" w:firstLineChars="100"/>
        <w:rPr>
          <w:rFonts w:ascii="宋体" w:hAnsi="宋体"/>
          <w:color w:val="000000"/>
        </w:rPr>
      </w:pPr>
      <w:r>
        <w:rPr>
          <w:rFonts w:hint="eastAsia" w:ascii="宋体" w:hAnsi="宋体"/>
          <w:bCs/>
          <w:szCs w:val="21"/>
        </w:rPr>
        <w:t>一、</w:t>
      </w:r>
      <w:r>
        <w:rPr>
          <w:rFonts w:hint="eastAsia" w:ascii="宋体" w:hAnsi="宋体"/>
          <w:bCs/>
          <w:color w:val="000000"/>
        </w:rPr>
        <w:t>评标原则</w:t>
      </w:r>
    </w:p>
    <w:p>
      <w:pPr>
        <w:spacing w:line="460" w:lineRule="exact"/>
        <w:ind w:firstLine="420" w:firstLineChars="200"/>
        <w:rPr>
          <w:rFonts w:ascii="宋体" w:hAnsi="宋体"/>
          <w:color w:val="000000"/>
        </w:rPr>
      </w:pPr>
      <w:r>
        <w:rPr>
          <w:rFonts w:hint="eastAsia" w:ascii="宋体" w:hAnsi="宋体"/>
          <w:color w:val="000000"/>
        </w:rPr>
        <w:t>1、公平、公正的对待所有投标人</w:t>
      </w:r>
    </w:p>
    <w:p>
      <w:pPr>
        <w:spacing w:line="460" w:lineRule="exact"/>
        <w:ind w:firstLine="420" w:firstLineChars="200"/>
        <w:rPr>
          <w:rFonts w:ascii="宋体" w:hAnsi="宋体"/>
          <w:color w:val="000000"/>
        </w:rPr>
      </w:pPr>
      <w:r>
        <w:rPr>
          <w:rFonts w:hint="eastAsia" w:ascii="宋体" w:hAnsi="宋体"/>
          <w:color w:val="000000"/>
        </w:rPr>
        <w:t>2、本项目评标方法为综合评分法；</w:t>
      </w:r>
    </w:p>
    <w:p>
      <w:pPr>
        <w:spacing w:line="460" w:lineRule="exact"/>
        <w:rPr>
          <w:rFonts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numPr>
          <w:ilvl w:val="0"/>
          <w:numId w:val="43"/>
        </w:numPr>
        <w:spacing w:line="440" w:lineRule="exact"/>
        <w:ind w:firstLine="420"/>
        <w:rPr>
          <w:rFonts w:hint="eastAsia" w:ascii="宋体" w:hAnsi="宋体"/>
          <w:b/>
          <w:bCs/>
          <w:color w:val="000000"/>
        </w:rPr>
      </w:pPr>
      <w:r>
        <w:rPr>
          <w:rFonts w:hint="eastAsia" w:ascii="宋体" w:hAnsi="宋体"/>
          <w:b/>
          <w:bCs/>
          <w:color w:val="000000"/>
        </w:rPr>
        <w:t>综合评分法的评标细则</w:t>
      </w:r>
    </w:p>
    <w:p>
      <w:pPr>
        <w:pStyle w:val="2"/>
        <w:numPr>
          <w:ilvl w:val="0"/>
          <w:numId w:val="0"/>
        </w:numPr>
      </w:pPr>
    </w:p>
    <w:p>
      <w:pPr>
        <w:jc w:val="left"/>
        <w:rPr>
          <w:rFonts w:hint="eastAsia" w:asciiTheme="minorEastAsia" w:hAnsiTheme="minorEastAsia" w:eastAsiaTheme="minorEastAsia" w:cstheme="minorEastAsia"/>
          <w:b/>
          <w:bCs/>
          <w:color w:val="000000"/>
          <w:sz w:val="21"/>
          <w:szCs w:val="21"/>
          <w:highlight w:val="yellow"/>
        </w:rPr>
      </w:pPr>
      <w:r>
        <w:rPr>
          <w:rFonts w:hint="eastAsia" w:asciiTheme="minorEastAsia" w:hAnsiTheme="minorEastAsia" w:eastAsiaTheme="minorEastAsia" w:cstheme="minorEastAsia"/>
          <w:b/>
          <w:bCs/>
          <w:sz w:val="21"/>
          <w:szCs w:val="21"/>
          <w:highlight w:val="yellow"/>
          <w:lang w:val="en-US" w:eastAsia="zh-CN"/>
        </w:rPr>
        <w:t>（一）、LED电子大屏采购安装项目及弱电设备安装评分标准</w:t>
      </w:r>
    </w:p>
    <w:p>
      <w:pPr>
        <w:pStyle w:val="2"/>
        <w:numPr>
          <w:ilvl w:val="0"/>
          <w:numId w:val="0"/>
        </w:numPr>
        <w:ind w:firstLine="1800" w:firstLineChars="1000"/>
        <w:rPr>
          <w:rFonts w:hint="eastAsia" w:eastAsia="宋体"/>
          <w:lang w:eastAsia="zh-CN"/>
        </w:rPr>
      </w:pPr>
    </w:p>
    <w:tbl>
      <w:tblPr>
        <w:tblStyle w:val="2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077"/>
        <w:gridCol w:w="5782"/>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333" w:type="dxa"/>
            <w:tcBorders>
              <w:top w:val="single" w:color="auto" w:sz="4" w:space="0"/>
              <w:bottom w:val="single" w:color="auto" w:sz="4" w:space="0"/>
            </w:tcBorders>
            <w:vAlign w:val="center"/>
          </w:tcPr>
          <w:p>
            <w:pPr>
              <w:widowControl/>
              <w:jc w:val="center"/>
              <w:rPr>
                <w:rFonts w:hint="eastAsia" w:ascii="宋体" w:hAnsi="宋体" w:cs="宋体"/>
                <w:b/>
                <w:bCs/>
                <w:sz w:val="21"/>
                <w:szCs w:val="21"/>
              </w:rPr>
            </w:pPr>
            <w:r>
              <w:rPr>
                <w:rFonts w:hint="eastAsia" w:ascii="宋体" w:hAnsi="宋体" w:cs="宋体"/>
                <w:b/>
                <w:bCs/>
                <w:sz w:val="21"/>
                <w:szCs w:val="21"/>
              </w:rPr>
              <w:t>标准项目</w:t>
            </w:r>
          </w:p>
        </w:tc>
        <w:tc>
          <w:tcPr>
            <w:tcW w:w="6859" w:type="dxa"/>
            <w:gridSpan w:val="2"/>
            <w:vAlign w:val="center"/>
          </w:tcPr>
          <w:p>
            <w:pPr>
              <w:widowControl/>
              <w:jc w:val="center"/>
              <w:rPr>
                <w:rFonts w:hint="eastAsia" w:ascii="宋体" w:hAnsi="宋体" w:cs="宋体"/>
                <w:b/>
                <w:bCs/>
                <w:sz w:val="21"/>
                <w:szCs w:val="21"/>
              </w:rPr>
            </w:pPr>
            <w:r>
              <w:rPr>
                <w:rFonts w:hint="eastAsia" w:ascii="宋体" w:hAnsi="宋体" w:cs="宋体"/>
                <w:b/>
                <w:bCs/>
                <w:sz w:val="21"/>
                <w:szCs w:val="21"/>
              </w:rPr>
              <w:t>评分标准</w:t>
            </w:r>
          </w:p>
        </w:tc>
        <w:tc>
          <w:tcPr>
            <w:tcW w:w="847"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33" w:type="dxa"/>
            <w:tcBorders>
              <w:top w:val="single" w:color="auto" w:sz="4" w:space="0"/>
              <w:bottom w:val="single" w:color="auto" w:sz="4" w:space="0"/>
            </w:tcBorders>
            <w:vAlign w:val="center"/>
          </w:tcPr>
          <w:p>
            <w:pPr>
              <w:widowControl/>
              <w:jc w:val="center"/>
              <w:rPr>
                <w:rFonts w:hint="eastAsia" w:ascii="宋体" w:hAnsi="宋体" w:cs="宋体"/>
                <w:b/>
                <w:bCs/>
                <w:sz w:val="21"/>
                <w:szCs w:val="21"/>
              </w:rPr>
            </w:pPr>
            <w:r>
              <w:rPr>
                <w:rFonts w:hint="eastAsia" w:ascii="宋体" w:hAnsi="宋体" w:cs="宋体"/>
                <w:b/>
                <w:bCs/>
                <w:sz w:val="21"/>
                <w:szCs w:val="21"/>
              </w:rPr>
              <w:t>报价部分</w:t>
            </w:r>
          </w:p>
          <w:p>
            <w:pPr>
              <w:pStyle w:val="8"/>
              <w:ind w:firstLine="210" w:firstLineChars="100"/>
              <w:rPr>
                <w:rFonts w:hint="eastAsia" w:ascii="宋体" w:hAnsi="宋体" w:cs="宋体"/>
                <w:sz w:val="21"/>
                <w:szCs w:val="21"/>
              </w:rPr>
            </w:pPr>
            <w:r>
              <w:rPr>
                <w:rFonts w:hint="eastAsia" w:ascii="宋体" w:hAnsi="宋体" w:cs="宋体"/>
                <w:sz w:val="21"/>
                <w:szCs w:val="21"/>
              </w:rPr>
              <w:t>（30分）</w:t>
            </w:r>
          </w:p>
        </w:tc>
        <w:tc>
          <w:tcPr>
            <w:tcW w:w="6859" w:type="dxa"/>
            <w:gridSpan w:val="2"/>
            <w:vAlign w:val="center"/>
          </w:tcPr>
          <w:p>
            <w:pPr>
              <w:rPr>
                <w:rFonts w:hint="eastAsia" w:ascii="宋体" w:hAnsi="宋体" w:cs="宋体"/>
                <w:sz w:val="21"/>
                <w:szCs w:val="21"/>
              </w:rPr>
            </w:pPr>
            <w:r>
              <w:rPr>
                <w:rFonts w:hint="eastAsia" w:ascii="宋体" w:hAnsi="宋体" w:cs="宋体"/>
                <w:sz w:val="21"/>
                <w:szCs w:val="21"/>
              </w:rPr>
              <w:t>评标基准价 = 满足招标要求的有效投标价且最低的投标总价为评标基准价，投标总价等于评标基准价的价格分得30分。</w:t>
            </w:r>
          </w:p>
          <w:p>
            <w:pPr>
              <w:rPr>
                <w:rFonts w:hint="eastAsia" w:ascii="宋体" w:hAnsi="宋体" w:cs="宋体"/>
                <w:sz w:val="21"/>
                <w:szCs w:val="21"/>
              </w:rPr>
            </w:pPr>
            <w:r>
              <w:rPr>
                <w:rFonts w:hint="eastAsia" w:ascii="宋体" w:hAnsi="宋体" w:cs="宋体"/>
                <w:sz w:val="21"/>
                <w:szCs w:val="21"/>
              </w:rPr>
              <w:t>其他投标人的价格得分计算公式如下：</w:t>
            </w:r>
          </w:p>
          <w:p>
            <w:pPr>
              <w:rPr>
                <w:rFonts w:hint="eastAsia" w:ascii="宋体" w:hAnsi="宋体" w:cs="宋体"/>
                <w:sz w:val="21"/>
                <w:szCs w:val="21"/>
              </w:rPr>
            </w:pPr>
            <w:r>
              <w:rPr>
                <w:rFonts w:hint="eastAsia" w:ascii="宋体" w:hAnsi="宋体" w:cs="宋体"/>
                <w:sz w:val="21"/>
                <w:szCs w:val="21"/>
              </w:rPr>
              <w:t>价格分=（评标基准价/投标总价）×30%×100。</w:t>
            </w:r>
          </w:p>
          <w:p>
            <w:pPr>
              <w:rPr>
                <w:rFonts w:hint="eastAsia" w:ascii="宋体" w:hAnsi="宋体" w:cs="宋体"/>
                <w:sz w:val="21"/>
                <w:szCs w:val="21"/>
              </w:rPr>
            </w:pPr>
            <w:r>
              <w:rPr>
                <w:rFonts w:hint="eastAsia" w:ascii="宋体" w:hAnsi="宋体" w:cs="宋体"/>
                <w:sz w:val="21"/>
                <w:szCs w:val="21"/>
              </w:rPr>
              <w:t>投标报价得分以四舍五入保留小数点后两位。</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333" w:type="dxa"/>
            <w:vMerge w:val="restart"/>
            <w:tcBorders>
              <w:top w:val="single" w:color="auto" w:sz="4" w:space="0"/>
            </w:tcBorders>
            <w:vAlign w:val="center"/>
          </w:tcPr>
          <w:p>
            <w:pPr>
              <w:widowControl/>
              <w:jc w:val="center"/>
              <w:rPr>
                <w:rFonts w:hint="eastAsia" w:ascii="宋体" w:hAnsi="宋体" w:cs="宋体"/>
                <w:sz w:val="21"/>
                <w:szCs w:val="21"/>
              </w:rPr>
            </w:pPr>
            <w:r>
              <w:rPr>
                <w:rFonts w:hint="eastAsia" w:ascii="宋体" w:hAnsi="宋体" w:cs="宋体"/>
                <w:sz w:val="21"/>
                <w:szCs w:val="21"/>
              </w:rPr>
              <w:t>商务部分</w:t>
            </w:r>
          </w:p>
          <w:p>
            <w:pPr>
              <w:pStyle w:val="2"/>
              <w:rPr>
                <w:rFonts w:hint="eastAsia" w:ascii="宋体" w:hAnsi="宋体" w:cs="宋体"/>
                <w:sz w:val="21"/>
                <w:szCs w:val="21"/>
              </w:rPr>
            </w:pPr>
            <w:r>
              <w:rPr>
                <w:rFonts w:hint="eastAsia" w:ascii="宋体" w:hAnsi="宋体" w:cs="宋体"/>
                <w:b/>
                <w:bCs/>
                <w:sz w:val="21"/>
                <w:szCs w:val="21"/>
              </w:rPr>
              <w:t xml:space="preserve">  </w:t>
            </w:r>
            <w:r>
              <w:rPr>
                <w:rFonts w:hint="eastAsia" w:ascii="宋体" w:hAnsi="宋体" w:cs="宋体"/>
                <w:sz w:val="21"/>
                <w:szCs w:val="21"/>
              </w:rPr>
              <w:t>（17分）</w:t>
            </w:r>
          </w:p>
        </w:tc>
        <w:tc>
          <w:tcPr>
            <w:tcW w:w="1077" w:type="dxa"/>
            <w:vAlign w:val="center"/>
          </w:tcPr>
          <w:p>
            <w:pPr>
              <w:spacing w:before="60" w:after="60" w:line="400" w:lineRule="exact"/>
              <w:ind w:left="120" w:hanging="105" w:hangingChars="50"/>
              <w:jc w:val="center"/>
              <w:rPr>
                <w:rFonts w:hint="eastAsia" w:ascii="宋体" w:hAnsi="宋体" w:cs="宋体"/>
                <w:bCs/>
                <w:sz w:val="21"/>
                <w:szCs w:val="21"/>
              </w:rPr>
            </w:pPr>
            <w:r>
              <w:rPr>
                <w:rFonts w:hint="eastAsia" w:ascii="宋体" w:hAnsi="宋体" w:cs="宋体"/>
                <w:bCs/>
                <w:sz w:val="21"/>
                <w:szCs w:val="21"/>
              </w:rPr>
              <w:t>质量、安全管理体系证书</w:t>
            </w:r>
          </w:p>
        </w:tc>
        <w:tc>
          <w:tcPr>
            <w:tcW w:w="5782" w:type="dxa"/>
            <w:vAlign w:val="center"/>
          </w:tcPr>
          <w:p>
            <w:pPr>
              <w:rPr>
                <w:rFonts w:hint="eastAsia" w:ascii="宋体" w:hAnsi="宋体" w:cs="宋体"/>
                <w:sz w:val="21"/>
                <w:szCs w:val="21"/>
              </w:rPr>
            </w:pPr>
            <w:r>
              <w:rPr>
                <w:rFonts w:hint="eastAsia" w:ascii="宋体" w:hAnsi="宋体" w:cs="宋体"/>
                <w:sz w:val="21"/>
                <w:szCs w:val="21"/>
              </w:rPr>
              <w:t>产品制造商具有ISO9001质量管理体系认证证书得1分，未提供不得分；</w:t>
            </w:r>
          </w:p>
          <w:p>
            <w:pPr>
              <w:rPr>
                <w:rFonts w:hint="eastAsia" w:ascii="宋体" w:hAnsi="宋体" w:cs="宋体"/>
                <w:sz w:val="21"/>
                <w:szCs w:val="21"/>
              </w:rPr>
            </w:pPr>
            <w:r>
              <w:rPr>
                <w:rFonts w:hint="eastAsia" w:ascii="宋体" w:hAnsi="宋体" w:cs="宋体"/>
                <w:sz w:val="21"/>
                <w:szCs w:val="21"/>
              </w:rPr>
              <w:t>产品制造商具有职业健康安全管理体系认证证书得1分，未提供不得分。</w:t>
            </w:r>
          </w:p>
          <w:p>
            <w:pPr>
              <w:rPr>
                <w:rFonts w:hint="eastAsia" w:ascii="宋体" w:hAnsi="宋体" w:cs="宋体"/>
                <w:sz w:val="21"/>
                <w:szCs w:val="21"/>
              </w:rPr>
            </w:pPr>
            <w:r>
              <w:rPr>
                <w:rFonts w:hint="eastAsia" w:ascii="宋体" w:hAnsi="宋体" w:cs="宋体"/>
                <w:sz w:val="21"/>
                <w:szCs w:val="21"/>
              </w:rPr>
              <w:t>产品制造商具有环境管理体系认证证书得1分，未提供不得分。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333" w:type="dxa"/>
            <w:vMerge w:val="continue"/>
            <w:vAlign w:val="center"/>
          </w:tcPr>
          <w:p>
            <w:pPr>
              <w:widowControl/>
              <w:jc w:val="center"/>
              <w:rPr>
                <w:rFonts w:hint="eastAsia" w:ascii="宋体" w:hAnsi="宋体" w:cs="宋体"/>
                <w:b/>
                <w:bCs/>
                <w:sz w:val="21"/>
                <w:szCs w:val="21"/>
              </w:rPr>
            </w:pPr>
          </w:p>
        </w:tc>
        <w:tc>
          <w:tcPr>
            <w:tcW w:w="1077" w:type="dxa"/>
            <w:vAlign w:val="center"/>
          </w:tcPr>
          <w:p>
            <w:pPr>
              <w:spacing w:before="60" w:after="60" w:line="400" w:lineRule="exact"/>
              <w:rPr>
                <w:rFonts w:hint="eastAsia" w:ascii="宋体" w:hAnsi="宋体" w:cs="宋体"/>
                <w:bCs/>
                <w:sz w:val="21"/>
                <w:szCs w:val="21"/>
              </w:rPr>
            </w:pPr>
            <w:r>
              <w:rPr>
                <w:rFonts w:hint="eastAsia" w:ascii="宋体" w:hAnsi="宋体" w:cs="宋体"/>
                <w:bCs/>
                <w:sz w:val="21"/>
                <w:szCs w:val="21"/>
              </w:rPr>
              <w:t>类似业绩</w:t>
            </w:r>
          </w:p>
        </w:tc>
        <w:tc>
          <w:tcPr>
            <w:tcW w:w="5782" w:type="dxa"/>
            <w:vAlign w:val="center"/>
          </w:tcPr>
          <w:p>
            <w:pPr>
              <w:spacing w:before="60" w:after="60"/>
              <w:ind w:left="120" w:hanging="105" w:hangingChars="50"/>
              <w:rPr>
                <w:rFonts w:hint="eastAsia" w:ascii="宋体" w:hAnsi="宋体" w:cs="宋体"/>
                <w:bCs/>
                <w:sz w:val="21"/>
                <w:szCs w:val="21"/>
              </w:rPr>
            </w:pPr>
            <w:r>
              <w:rPr>
                <w:rFonts w:hint="eastAsia" w:ascii="宋体" w:hAnsi="宋体" w:cs="宋体"/>
                <w:sz w:val="21"/>
                <w:szCs w:val="21"/>
              </w:rPr>
              <w:t>提供2021年1月1日至开标之日类似业绩2项，每提供一项得2分，满分得4分，须提供中标（成交）通知书和验收报告复印件（供应商单位签字盖章），缺项或不提供不得分。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7" w:hRule="atLeast"/>
          <w:jc w:val="center"/>
        </w:trPr>
        <w:tc>
          <w:tcPr>
            <w:tcW w:w="1333" w:type="dxa"/>
            <w:vMerge w:val="continue"/>
            <w:vAlign w:val="center"/>
          </w:tcPr>
          <w:p>
            <w:pPr>
              <w:widowControl/>
              <w:jc w:val="center"/>
              <w:rPr>
                <w:rFonts w:hint="eastAsia" w:ascii="宋体" w:hAnsi="宋体" w:cs="宋体"/>
                <w:b/>
                <w:bCs/>
                <w:sz w:val="21"/>
                <w:szCs w:val="21"/>
              </w:rPr>
            </w:pPr>
          </w:p>
        </w:tc>
        <w:tc>
          <w:tcPr>
            <w:tcW w:w="1077" w:type="dxa"/>
            <w:vAlign w:val="top"/>
          </w:tcPr>
          <w:p>
            <w:pPr>
              <w:widowControl/>
              <w:jc w:val="center"/>
              <w:rPr>
                <w:rFonts w:hint="eastAsia" w:ascii="宋体" w:hAnsi="宋体" w:cs="宋体"/>
                <w:sz w:val="21"/>
                <w:szCs w:val="21"/>
              </w:rPr>
            </w:pPr>
          </w:p>
          <w:p>
            <w:pPr>
              <w:widowControl/>
              <w:jc w:val="center"/>
              <w:rPr>
                <w:rFonts w:hint="eastAsia" w:ascii="宋体" w:hAnsi="宋体" w:cs="宋体"/>
                <w:sz w:val="21"/>
                <w:szCs w:val="21"/>
              </w:rPr>
            </w:pPr>
          </w:p>
          <w:p>
            <w:pPr>
              <w:widowControl/>
              <w:jc w:val="center"/>
              <w:rPr>
                <w:rFonts w:hint="eastAsia" w:ascii="宋体" w:hAnsi="宋体" w:cs="宋体"/>
                <w:sz w:val="21"/>
                <w:szCs w:val="21"/>
              </w:rPr>
            </w:pPr>
          </w:p>
          <w:p>
            <w:pPr>
              <w:widowControl/>
              <w:jc w:val="center"/>
              <w:rPr>
                <w:rFonts w:hint="eastAsia" w:ascii="宋体" w:hAnsi="宋体" w:cs="宋体"/>
                <w:bCs/>
                <w:sz w:val="21"/>
                <w:szCs w:val="21"/>
              </w:rPr>
            </w:pPr>
            <w:r>
              <w:rPr>
                <w:rFonts w:hint="eastAsia" w:ascii="宋体" w:hAnsi="宋体" w:cs="宋体"/>
                <w:sz w:val="21"/>
                <w:szCs w:val="21"/>
              </w:rPr>
              <w:t>售后服务</w:t>
            </w:r>
          </w:p>
        </w:tc>
        <w:tc>
          <w:tcPr>
            <w:tcW w:w="5782" w:type="dxa"/>
            <w:vAlign w:val="top"/>
          </w:tcPr>
          <w:p>
            <w:pPr>
              <w:spacing w:before="60" w:after="60"/>
              <w:rPr>
                <w:rFonts w:hint="eastAsia" w:ascii="宋体" w:hAnsi="宋体" w:cs="宋体"/>
                <w:sz w:val="21"/>
                <w:szCs w:val="21"/>
              </w:rPr>
            </w:pPr>
            <w:r>
              <w:rPr>
                <w:rFonts w:hint="eastAsia" w:ascii="宋体" w:hAnsi="宋体" w:cs="宋体"/>
                <w:sz w:val="21"/>
                <w:szCs w:val="21"/>
              </w:rPr>
              <w:t>提供详细的售后服务方案（服务内容、遇到问题迅速响应、解决问题的流程、人员售后服务保障、其他资源保障等）。根据供应商提供方案进行评分，</w:t>
            </w:r>
          </w:p>
          <w:p>
            <w:pPr>
              <w:spacing w:before="60" w:after="60"/>
              <w:rPr>
                <w:rFonts w:hint="eastAsia" w:ascii="宋体" w:hAnsi="宋体" w:cs="宋体"/>
                <w:sz w:val="21"/>
                <w:szCs w:val="21"/>
              </w:rPr>
            </w:pPr>
            <w:r>
              <w:rPr>
                <w:rFonts w:hint="eastAsia" w:ascii="宋体" w:hAnsi="宋体" w:cs="宋体"/>
                <w:sz w:val="21"/>
                <w:szCs w:val="21"/>
              </w:rPr>
              <w:t>1、服务方案健全，能提供完善的技术支持和服务，适合本项目，满足采购需求。</w:t>
            </w:r>
          </w:p>
          <w:p>
            <w:pPr>
              <w:spacing w:before="60" w:after="60"/>
              <w:rPr>
                <w:rFonts w:hint="eastAsia" w:ascii="宋体" w:hAnsi="宋体" w:cs="宋体"/>
                <w:sz w:val="21"/>
                <w:szCs w:val="21"/>
              </w:rPr>
            </w:pPr>
            <w:r>
              <w:rPr>
                <w:rFonts w:hint="eastAsia" w:ascii="宋体" w:hAnsi="宋体" w:cs="宋体"/>
                <w:sz w:val="21"/>
                <w:szCs w:val="21"/>
              </w:rPr>
              <w:t>2、 售后服务承诺满足用户要求，有完整的售后服务方案，承诺每年不少于6次以上的大型保障活动，每次不少于2名技术人员现场技术保障；承诺能够提供7*24小时服务响应、1小时内到达现场排查故障的；</w:t>
            </w:r>
          </w:p>
          <w:p>
            <w:pPr>
              <w:spacing w:before="60" w:after="60"/>
              <w:rPr>
                <w:rFonts w:hint="eastAsia" w:ascii="宋体" w:hAnsi="宋体" w:cs="宋体"/>
                <w:sz w:val="21"/>
                <w:szCs w:val="21"/>
              </w:rPr>
            </w:pPr>
            <w:r>
              <w:rPr>
                <w:rFonts w:hint="eastAsia" w:ascii="宋体" w:hAnsi="宋体" w:cs="宋体"/>
                <w:sz w:val="21"/>
                <w:szCs w:val="21"/>
              </w:rPr>
              <w:t>3、提供LED显示屏原厂设备及供应商对本项目提供三年售后服务承诺书；</w:t>
            </w:r>
          </w:p>
          <w:p>
            <w:pPr>
              <w:spacing w:before="60" w:after="60"/>
              <w:rPr>
                <w:rFonts w:hint="eastAsia" w:ascii="宋体" w:hAnsi="宋体" w:cs="宋体"/>
                <w:sz w:val="21"/>
                <w:szCs w:val="21"/>
              </w:rPr>
            </w:pPr>
            <w:r>
              <w:rPr>
                <w:rFonts w:hint="eastAsia" w:ascii="宋体" w:hAnsi="宋体" w:cs="宋体"/>
                <w:sz w:val="21"/>
                <w:szCs w:val="21"/>
              </w:rPr>
              <w:t>4、提供可将甲方人员培训熟练承诺函并加盖公章。</w:t>
            </w:r>
          </w:p>
          <w:p>
            <w:pPr>
              <w:pStyle w:val="15"/>
              <w:spacing w:before="156" w:after="156"/>
              <w:rPr>
                <w:rFonts w:hint="eastAsia" w:hAnsi="宋体" w:cs="宋体"/>
                <w:sz w:val="21"/>
                <w:szCs w:val="21"/>
                <w:lang w:val="en-US"/>
              </w:rPr>
            </w:pPr>
            <w:r>
              <w:rPr>
                <w:rFonts w:hint="eastAsia" w:hAnsi="宋体" w:cs="宋体"/>
                <w:sz w:val="21"/>
                <w:szCs w:val="21"/>
                <w:lang w:val="en-US"/>
              </w:rPr>
              <w:t>评标专家针对上述方案内容综合评定，实施方案（2）完全满足上述条款，描述清晰，结构合理得9-10分；</w:t>
            </w:r>
          </w:p>
          <w:p>
            <w:pPr>
              <w:rPr>
                <w:rFonts w:hint="eastAsia" w:ascii="宋体" w:hAnsi="宋体" w:cs="宋体"/>
                <w:sz w:val="21"/>
                <w:szCs w:val="21"/>
              </w:rPr>
            </w:pPr>
            <w:r>
              <w:rPr>
                <w:rFonts w:hint="eastAsia" w:ascii="宋体" w:hAnsi="宋体" w:cs="宋体"/>
                <w:sz w:val="21"/>
                <w:szCs w:val="21"/>
              </w:rPr>
              <w:t>（3）实施方案基本满足，描述清晰，结构基本合理得6-8分；</w:t>
            </w:r>
          </w:p>
          <w:p>
            <w:pPr>
              <w:rPr>
                <w:rFonts w:hint="eastAsia" w:ascii="宋体" w:hAnsi="宋体" w:cs="宋体"/>
                <w:sz w:val="21"/>
                <w:szCs w:val="21"/>
              </w:rPr>
            </w:pPr>
            <w:r>
              <w:rPr>
                <w:rFonts w:hint="eastAsia" w:ascii="宋体" w:hAnsi="宋体" w:cs="宋体"/>
                <w:sz w:val="21"/>
                <w:szCs w:val="21"/>
              </w:rPr>
              <w:t>（4）实施方案一般满足，描述清晰，结构基本合理得1-5分；</w:t>
            </w:r>
          </w:p>
          <w:p>
            <w:pPr>
              <w:pStyle w:val="15"/>
              <w:spacing w:before="156" w:after="156"/>
              <w:rPr>
                <w:rFonts w:hint="eastAsia" w:hAnsi="宋体" w:cs="宋体"/>
                <w:sz w:val="21"/>
                <w:szCs w:val="21"/>
                <w:lang w:val="en-US"/>
              </w:rPr>
            </w:pPr>
            <w:r>
              <w:rPr>
                <w:rFonts w:hint="eastAsia" w:hAnsi="宋体" w:cs="宋体"/>
                <w:sz w:val="21"/>
                <w:szCs w:val="21"/>
                <w:lang w:val="en-US"/>
              </w:rPr>
              <w:t>不提供不得分。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33" w:type="dxa"/>
            <w:vMerge w:val="restart"/>
            <w:vAlign w:val="center"/>
          </w:tcPr>
          <w:p>
            <w:pPr>
              <w:widowControl/>
              <w:jc w:val="center"/>
              <w:rPr>
                <w:rFonts w:hint="eastAsia" w:ascii="宋体" w:hAnsi="宋体" w:cs="宋体"/>
                <w:sz w:val="21"/>
                <w:szCs w:val="21"/>
              </w:rPr>
            </w:pPr>
            <w:r>
              <w:rPr>
                <w:rFonts w:hint="eastAsia" w:ascii="宋体" w:hAnsi="宋体" w:cs="宋体"/>
                <w:sz w:val="21"/>
                <w:szCs w:val="21"/>
              </w:rPr>
              <w:t>技术部分</w:t>
            </w:r>
          </w:p>
          <w:p>
            <w:pPr>
              <w:pStyle w:val="2"/>
              <w:rPr>
                <w:rFonts w:hint="eastAsia" w:ascii="宋体" w:hAnsi="宋体" w:cs="宋体"/>
                <w:sz w:val="21"/>
                <w:szCs w:val="21"/>
              </w:rPr>
            </w:pPr>
            <w:r>
              <w:rPr>
                <w:rFonts w:hint="eastAsia" w:ascii="宋体" w:hAnsi="宋体" w:cs="宋体"/>
                <w:b/>
                <w:bCs/>
                <w:sz w:val="21"/>
                <w:szCs w:val="21"/>
              </w:rPr>
              <w:t xml:space="preserve">  </w:t>
            </w:r>
            <w:r>
              <w:rPr>
                <w:rFonts w:hint="eastAsia" w:ascii="宋体" w:hAnsi="宋体" w:cs="宋体"/>
                <w:sz w:val="21"/>
                <w:szCs w:val="21"/>
              </w:rPr>
              <w:t>（53分）</w:t>
            </w:r>
          </w:p>
        </w:tc>
        <w:tc>
          <w:tcPr>
            <w:tcW w:w="1077" w:type="dxa"/>
            <w:vAlign w:val="center"/>
          </w:tcPr>
          <w:p>
            <w:pPr>
              <w:spacing w:before="60" w:after="60" w:line="400" w:lineRule="exact"/>
              <w:rPr>
                <w:rFonts w:hint="eastAsia" w:ascii="宋体" w:hAnsi="宋体" w:cs="宋体"/>
                <w:b/>
                <w:bCs/>
                <w:sz w:val="21"/>
                <w:szCs w:val="21"/>
              </w:rPr>
            </w:pPr>
            <w:r>
              <w:rPr>
                <w:rFonts w:hint="eastAsia" w:ascii="宋体" w:hAnsi="宋体" w:cs="宋体"/>
                <w:sz w:val="21"/>
                <w:szCs w:val="21"/>
              </w:rPr>
              <w:t>投标产品所有功能、性能及技术指标</w:t>
            </w:r>
          </w:p>
        </w:tc>
        <w:tc>
          <w:tcPr>
            <w:tcW w:w="5782" w:type="dxa"/>
            <w:vAlign w:val="center"/>
          </w:tcPr>
          <w:p>
            <w:pPr>
              <w:rPr>
                <w:rFonts w:hint="eastAsia" w:ascii="宋体" w:hAnsi="宋体" w:cs="宋体"/>
                <w:sz w:val="21"/>
                <w:szCs w:val="21"/>
              </w:rPr>
            </w:pPr>
            <w:r>
              <w:rPr>
                <w:rFonts w:hint="eastAsia" w:ascii="宋体" w:hAnsi="宋体" w:cs="宋体"/>
                <w:sz w:val="21"/>
                <w:szCs w:val="21"/>
              </w:rPr>
              <w:t>根据招标文件中技术参数要求对供应商提供的技术资料进行综合评价：</w:t>
            </w:r>
          </w:p>
          <w:p>
            <w:pPr>
              <w:rPr>
                <w:rFonts w:hint="eastAsia" w:ascii="宋体" w:hAnsi="宋体" w:cs="宋体"/>
                <w:sz w:val="21"/>
                <w:szCs w:val="21"/>
              </w:rPr>
            </w:pPr>
            <w:r>
              <w:rPr>
                <w:rFonts w:hint="eastAsia" w:ascii="宋体" w:hAnsi="宋体" w:cs="宋体"/>
                <w:sz w:val="21"/>
                <w:szCs w:val="21"/>
              </w:rPr>
              <w:t>其中技术参数中标有“★”的为重要技术指标，每有一项指标不满足扣1分，最多扣2</w:t>
            </w:r>
            <w:r>
              <w:rPr>
                <w:rFonts w:hint="eastAsia" w:ascii="宋体" w:hAnsi="宋体" w:cs="宋体"/>
                <w:sz w:val="21"/>
                <w:szCs w:val="21"/>
                <w:lang w:val="en-US" w:eastAsia="zh-CN"/>
              </w:rPr>
              <w:t>1</w:t>
            </w:r>
            <w:r>
              <w:rPr>
                <w:rFonts w:hint="eastAsia" w:ascii="宋体" w:hAnsi="宋体" w:cs="宋体"/>
                <w:sz w:val="21"/>
                <w:szCs w:val="21"/>
              </w:rPr>
              <w:t>分。（备注：证明材料为供应商所提供由权威质检部门出具的满足标“★”性能指标要求的检验报告，所提供的检测报告中须含有效查询二维码及查询网址，以备评标委员会查询。）</w:t>
            </w:r>
          </w:p>
          <w:p>
            <w:pPr>
              <w:spacing w:before="60" w:after="60" w:line="288" w:lineRule="auto"/>
              <w:rPr>
                <w:rFonts w:hint="eastAsia" w:ascii="宋体" w:hAnsi="宋体" w:cs="宋体"/>
                <w:bCs/>
                <w:sz w:val="21"/>
                <w:szCs w:val="21"/>
              </w:rPr>
            </w:pPr>
            <w:r>
              <w:rPr>
                <w:rFonts w:hint="eastAsia" w:ascii="宋体" w:hAnsi="宋体" w:cs="宋体"/>
                <w:sz w:val="21"/>
                <w:szCs w:val="21"/>
              </w:rPr>
              <w:t>一般技术指标、参数</w:t>
            </w:r>
            <w:r>
              <w:rPr>
                <w:rFonts w:hint="eastAsia" w:asciiTheme="minorEastAsia" w:hAnsiTheme="minorEastAsia" w:eastAsiaTheme="minorEastAsia" w:cstheme="minorEastAsia"/>
                <w:color w:val="000000"/>
                <w:sz w:val="21"/>
                <w:szCs w:val="21"/>
              </w:rPr>
              <w:t>每负偏离1条扣</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分</w:t>
            </w:r>
            <w:r>
              <w:rPr>
                <w:rFonts w:hint="eastAsia" w:ascii="宋体" w:hAnsi="宋体" w:cs="宋体"/>
                <w:sz w:val="21"/>
                <w:szCs w:val="21"/>
              </w:rPr>
              <w:t>，最多扣10分。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33" w:type="dxa"/>
            <w:vMerge w:val="continue"/>
            <w:vAlign w:val="center"/>
          </w:tcPr>
          <w:p>
            <w:pPr>
              <w:widowControl/>
              <w:jc w:val="center"/>
              <w:rPr>
                <w:rFonts w:hint="eastAsia" w:ascii="宋体" w:hAnsi="宋体" w:cs="宋体"/>
                <w:b/>
                <w:bCs/>
                <w:sz w:val="21"/>
                <w:szCs w:val="21"/>
              </w:rPr>
            </w:pPr>
          </w:p>
        </w:tc>
        <w:tc>
          <w:tcPr>
            <w:tcW w:w="1077" w:type="dxa"/>
            <w:vAlign w:val="top"/>
          </w:tcPr>
          <w:p>
            <w:pPr>
              <w:spacing w:before="60" w:after="60" w:line="400" w:lineRule="exact"/>
              <w:ind w:left="120" w:hanging="105" w:hangingChars="50"/>
              <w:rPr>
                <w:rFonts w:hint="eastAsia" w:ascii="宋体" w:hAnsi="宋体" w:cs="宋体"/>
                <w:sz w:val="21"/>
                <w:szCs w:val="21"/>
              </w:rPr>
            </w:pPr>
          </w:p>
          <w:p>
            <w:pPr>
              <w:spacing w:before="60" w:after="60" w:line="400" w:lineRule="exact"/>
              <w:ind w:left="120" w:hanging="105" w:hangingChars="50"/>
              <w:rPr>
                <w:rFonts w:hint="eastAsia" w:ascii="宋体" w:hAnsi="宋体" w:cs="宋体"/>
                <w:b/>
                <w:sz w:val="21"/>
                <w:szCs w:val="21"/>
              </w:rPr>
            </w:pPr>
            <w:r>
              <w:rPr>
                <w:rFonts w:hint="eastAsia" w:ascii="宋体" w:hAnsi="宋体" w:cs="宋体"/>
                <w:sz w:val="21"/>
                <w:szCs w:val="21"/>
              </w:rPr>
              <w:t>实施方案</w:t>
            </w:r>
          </w:p>
        </w:tc>
        <w:tc>
          <w:tcPr>
            <w:tcW w:w="5782" w:type="dxa"/>
            <w:vAlign w:val="top"/>
          </w:tcPr>
          <w:p>
            <w:pPr>
              <w:pStyle w:val="2"/>
              <w:spacing w:line="288" w:lineRule="auto"/>
              <w:rPr>
                <w:rFonts w:hint="eastAsia" w:ascii="宋体" w:hAnsi="宋体" w:cs="宋体"/>
                <w:sz w:val="21"/>
                <w:szCs w:val="21"/>
              </w:rPr>
            </w:pPr>
            <w:r>
              <w:rPr>
                <w:rFonts w:hint="eastAsia" w:ascii="宋体" w:hAnsi="宋体" w:cs="宋体"/>
                <w:sz w:val="21"/>
                <w:szCs w:val="21"/>
              </w:rPr>
              <w:t>根据供应商针对本项目提供的实施方案、验收方案、培训方案(包括但不限于项目人员组成及实施、时间进度安排、验收方案、人员技术培训等)综合打分:根据投标人提供的项目安装实施及验收方案(包括:实施环境、项目实施计划、验收方案、项目团队职责等)进行评分:</w:t>
            </w:r>
          </w:p>
          <w:p>
            <w:pPr>
              <w:pStyle w:val="2"/>
              <w:spacing w:line="288" w:lineRule="auto"/>
              <w:rPr>
                <w:rFonts w:hint="eastAsia" w:ascii="宋体" w:hAnsi="宋体" w:cs="宋体"/>
                <w:sz w:val="21"/>
                <w:szCs w:val="21"/>
              </w:rPr>
            </w:pPr>
            <w:r>
              <w:rPr>
                <w:rFonts w:hint="eastAsia" w:ascii="宋体" w:hAnsi="宋体" w:cs="宋体"/>
                <w:sz w:val="21"/>
                <w:szCs w:val="21"/>
              </w:rPr>
              <w:t>1)方案内容详细完善，可操作性强，方案比较优质，得</w:t>
            </w:r>
            <w:r>
              <w:rPr>
                <w:rFonts w:hint="eastAsia" w:ascii="宋体" w:hAnsi="宋体" w:cs="宋体"/>
                <w:sz w:val="21"/>
                <w:szCs w:val="21"/>
                <w:lang w:val="en-US" w:eastAsia="zh-CN"/>
              </w:rPr>
              <w:t>8-</w:t>
            </w:r>
            <w:r>
              <w:rPr>
                <w:rFonts w:hint="eastAsia" w:ascii="宋体" w:hAnsi="宋体" w:cs="宋体"/>
                <w:sz w:val="21"/>
                <w:szCs w:val="21"/>
              </w:rPr>
              <w:t>10分;</w:t>
            </w:r>
          </w:p>
          <w:p>
            <w:pPr>
              <w:pStyle w:val="2"/>
              <w:spacing w:line="288" w:lineRule="auto"/>
              <w:rPr>
                <w:rFonts w:hint="eastAsia" w:ascii="宋体" w:hAnsi="宋体" w:cs="宋体"/>
                <w:sz w:val="21"/>
                <w:szCs w:val="21"/>
              </w:rPr>
            </w:pPr>
            <w:r>
              <w:rPr>
                <w:rFonts w:hint="eastAsia" w:ascii="宋体" w:hAnsi="宋体" w:cs="宋体"/>
                <w:sz w:val="21"/>
                <w:szCs w:val="21"/>
              </w:rPr>
              <w:t>2)方案内容基本完整，可操作性能满足项目基本要求，方案阐述一般得</w:t>
            </w:r>
            <w:r>
              <w:rPr>
                <w:rFonts w:hint="eastAsia" w:ascii="宋体" w:hAnsi="宋体" w:cs="宋体"/>
                <w:sz w:val="21"/>
                <w:szCs w:val="21"/>
                <w:lang w:val="en-US" w:eastAsia="zh-CN"/>
              </w:rPr>
              <w:t>5-7</w:t>
            </w:r>
            <w:r>
              <w:rPr>
                <w:rFonts w:hint="eastAsia" w:ascii="宋体" w:hAnsi="宋体" w:cs="宋体"/>
                <w:sz w:val="21"/>
                <w:szCs w:val="21"/>
              </w:rPr>
              <w:t>分；</w:t>
            </w:r>
          </w:p>
          <w:p>
            <w:pPr>
              <w:pStyle w:val="2"/>
              <w:spacing w:line="288" w:lineRule="auto"/>
              <w:rPr>
                <w:rFonts w:hint="eastAsia" w:ascii="宋体" w:hAnsi="宋体" w:cs="宋体"/>
                <w:sz w:val="21"/>
                <w:szCs w:val="21"/>
              </w:rPr>
            </w:pPr>
            <w:r>
              <w:rPr>
                <w:rFonts w:hint="eastAsia" w:ascii="宋体" w:hAnsi="宋体" w:cs="宋体"/>
                <w:sz w:val="21"/>
                <w:szCs w:val="21"/>
              </w:rPr>
              <w:t>3)方案内容一般，不能满足实际需要有缺漏项得1-</w:t>
            </w:r>
            <w:r>
              <w:rPr>
                <w:rFonts w:hint="eastAsia" w:ascii="宋体" w:hAnsi="宋体" w:cs="宋体"/>
                <w:sz w:val="21"/>
                <w:szCs w:val="21"/>
                <w:lang w:val="en-US" w:eastAsia="zh-CN"/>
              </w:rPr>
              <w:t>4</w:t>
            </w:r>
            <w:r>
              <w:rPr>
                <w:rFonts w:hint="eastAsia" w:ascii="宋体" w:hAnsi="宋体" w:cs="宋体"/>
                <w:sz w:val="21"/>
                <w:szCs w:val="21"/>
              </w:rPr>
              <w:t>分；</w:t>
            </w:r>
          </w:p>
          <w:p>
            <w:pPr>
              <w:pStyle w:val="2"/>
              <w:spacing w:line="288" w:lineRule="auto"/>
              <w:rPr>
                <w:rFonts w:hint="eastAsia" w:ascii="宋体" w:hAnsi="宋体" w:cs="宋体"/>
                <w:bCs/>
                <w:sz w:val="21"/>
                <w:szCs w:val="21"/>
              </w:rPr>
            </w:pPr>
            <w:r>
              <w:rPr>
                <w:rFonts w:hint="eastAsia" w:ascii="宋体" w:hAnsi="宋体" w:cs="宋体"/>
                <w:sz w:val="21"/>
                <w:szCs w:val="21"/>
              </w:rPr>
              <w:t>4)未提供得0分。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33" w:type="dxa"/>
            <w:vMerge w:val="continue"/>
            <w:vAlign w:val="center"/>
          </w:tcPr>
          <w:p>
            <w:pPr>
              <w:widowControl/>
              <w:jc w:val="center"/>
              <w:rPr>
                <w:rFonts w:hint="eastAsia" w:ascii="宋体" w:hAnsi="宋体" w:cs="宋体"/>
                <w:b/>
                <w:bCs/>
                <w:sz w:val="21"/>
                <w:szCs w:val="21"/>
              </w:rPr>
            </w:pPr>
          </w:p>
        </w:tc>
        <w:tc>
          <w:tcPr>
            <w:tcW w:w="1077" w:type="dxa"/>
            <w:vAlign w:val="top"/>
          </w:tcPr>
          <w:p>
            <w:pPr>
              <w:widowControl/>
              <w:jc w:val="center"/>
              <w:rPr>
                <w:rFonts w:hint="eastAsia" w:ascii="宋体" w:hAnsi="宋体" w:cs="宋体"/>
                <w:sz w:val="21"/>
                <w:szCs w:val="21"/>
              </w:rPr>
            </w:pPr>
          </w:p>
          <w:p>
            <w:pPr>
              <w:widowControl/>
              <w:jc w:val="center"/>
              <w:rPr>
                <w:rFonts w:hint="eastAsia" w:ascii="宋体" w:hAnsi="宋体" w:cs="宋体"/>
                <w:sz w:val="21"/>
                <w:szCs w:val="21"/>
              </w:rPr>
            </w:pPr>
          </w:p>
          <w:p>
            <w:pPr>
              <w:widowControl/>
              <w:jc w:val="center"/>
              <w:rPr>
                <w:rFonts w:hint="eastAsia" w:ascii="宋体" w:hAnsi="宋体" w:cs="宋体"/>
                <w:sz w:val="21"/>
                <w:szCs w:val="21"/>
              </w:rPr>
            </w:pPr>
          </w:p>
          <w:p>
            <w:pPr>
              <w:widowControl/>
              <w:jc w:val="center"/>
              <w:rPr>
                <w:rFonts w:hint="eastAsia" w:ascii="宋体" w:hAnsi="宋体" w:cs="宋体"/>
                <w:b/>
                <w:bCs/>
                <w:sz w:val="21"/>
                <w:szCs w:val="21"/>
                <w:highlight w:val="green"/>
              </w:rPr>
            </w:pPr>
            <w:r>
              <w:rPr>
                <w:rFonts w:hint="eastAsia" w:ascii="宋体" w:hAnsi="宋体" w:cs="宋体"/>
                <w:sz w:val="21"/>
                <w:szCs w:val="21"/>
              </w:rPr>
              <w:t>设计方案</w:t>
            </w:r>
          </w:p>
        </w:tc>
        <w:tc>
          <w:tcPr>
            <w:tcW w:w="5782" w:type="dxa"/>
            <w:vAlign w:val="top"/>
          </w:tcPr>
          <w:p>
            <w:pPr>
              <w:spacing w:before="60" w:after="60"/>
              <w:rPr>
                <w:rFonts w:hint="eastAsia" w:ascii="宋体" w:hAnsi="宋体" w:cs="宋体"/>
                <w:bCs/>
                <w:sz w:val="21"/>
                <w:szCs w:val="21"/>
              </w:rPr>
            </w:pPr>
            <w:r>
              <w:rPr>
                <w:rFonts w:hint="eastAsia" w:ascii="宋体" w:hAnsi="宋体" w:cs="宋体"/>
                <w:bCs/>
                <w:sz w:val="21"/>
                <w:szCs w:val="21"/>
              </w:rPr>
              <w:t>投标人根据实地现场勘查记录表、编写方案，由评委进行横向比较打分；</w:t>
            </w:r>
          </w:p>
          <w:p>
            <w:pPr>
              <w:spacing w:before="60" w:after="60"/>
              <w:rPr>
                <w:rFonts w:hint="eastAsia" w:ascii="宋体" w:hAnsi="宋体" w:cs="宋体"/>
                <w:bCs/>
                <w:sz w:val="21"/>
                <w:szCs w:val="21"/>
              </w:rPr>
            </w:pPr>
            <w:r>
              <w:rPr>
                <w:rFonts w:hint="eastAsia" w:ascii="宋体" w:hAnsi="宋体" w:cs="宋体"/>
                <w:bCs/>
                <w:sz w:val="21"/>
                <w:szCs w:val="21"/>
              </w:rPr>
              <w:t>1.根据现场勘查自行设计方案措施细致全面、合理且提供效果图，完全满足招标文件要求的得</w:t>
            </w:r>
            <w:r>
              <w:rPr>
                <w:rFonts w:hint="eastAsia" w:ascii="宋体" w:hAnsi="宋体" w:cs="宋体"/>
                <w:bCs/>
                <w:sz w:val="21"/>
                <w:szCs w:val="21"/>
                <w:lang w:val="en-US" w:eastAsia="zh-CN"/>
              </w:rPr>
              <w:t>8</w:t>
            </w:r>
            <w:r>
              <w:rPr>
                <w:rFonts w:hint="eastAsia" w:ascii="宋体" w:hAnsi="宋体" w:cs="宋体"/>
                <w:bCs/>
                <w:sz w:val="21"/>
                <w:szCs w:val="21"/>
              </w:rPr>
              <w:t>-</w:t>
            </w:r>
            <w:r>
              <w:rPr>
                <w:rFonts w:ascii="宋体" w:hAnsi="宋体" w:cs="宋体"/>
                <w:bCs/>
                <w:sz w:val="21"/>
                <w:szCs w:val="21"/>
              </w:rPr>
              <w:t>10</w:t>
            </w:r>
            <w:r>
              <w:rPr>
                <w:rFonts w:hint="eastAsia" w:ascii="宋体" w:hAnsi="宋体" w:cs="宋体"/>
                <w:bCs/>
                <w:sz w:val="21"/>
                <w:szCs w:val="21"/>
              </w:rPr>
              <w:t>分；</w:t>
            </w:r>
          </w:p>
          <w:p>
            <w:pPr>
              <w:spacing w:before="60" w:after="60"/>
              <w:rPr>
                <w:rFonts w:hint="eastAsia" w:ascii="宋体" w:hAnsi="宋体" w:cs="宋体"/>
                <w:bCs/>
                <w:sz w:val="21"/>
                <w:szCs w:val="21"/>
              </w:rPr>
            </w:pPr>
            <w:r>
              <w:rPr>
                <w:rFonts w:hint="eastAsia" w:ascii="宋体" w:hAnsi="宋体" w:cs="宋体"/>
                <w:bCs/>
                <w:sz w:val="21"/>
                <w:szCs w:val="21"/>
              </w:rPr>
              <w:t>2.根据现场勘查自行设计方案措施较为全面、合理且提供效果图，基本满足招标文件要求的得</w:t>
            </w:r>
            <w:r>
              <w:rPr>
                <w:rFonts w:hint="eastAsia" w:ascii="宋体" w:hAnsi="宋体" w:cs="宋体"/>
                <w:bCs/>
                <w:sz w:val="21"/>
                <w:szCs w:val="21"/>
                <w:lang w:val="en-US" w:eastAsia="zh-CN"/>
              </w:rPr>
              <w:t>5-7</w:t>
            </w:r>
            <w:r>
              <w:rPr>
                <w:rFonts w:hint="eastAsia" w:ascii="宋体" w:hAnsi="宋体" w:cs="宋体"/>
                <w:bCs/>
                <w:sz w:val="21"/>
                <w:szCs w:val="21"/>
              </w:rPr>
              <w:t>分；</w:t>
            </w:r>
          </w:p>
          <w:p>
            <w:pPr>
              <w:spacing w:before="60" w:after="60"/>
              <w:rPr>
                <w:rFonts w:hint="eastAsia" w:ascii="宋体" w:hAnsi="宋体" w:cs="宋体"/>
                <w:bCs/>
                <w:sz w:val="21"/>
                <w:szCs w:val="21"/>
              </w:rPr>
            </w:pPr>
            <w:r>
              <w:rPr>
                <w:rFonts w:hint="eastAsia" w:ascii="宋体" w:hAnsi="宋体" w:cs="宋体"/>
                <w:bCs/>
                <w:sz w:val="21"/>
                <w:szCs w:val="21"/>
              </w:rPr>
              <w:t>3.根据现场勘查自行设计方案措施基本全面、合理且提供效果图，基本满足招标文件要求的得1-</w:t>
            </w:r>
            <w:r>
              <w:rPr>
                <w:rFonts w:hint="eastAsia" w:ascii="宋体" w:hAnsi="宋体" w:cs="宋体"/>
                <w:bCs/>
                <w:sz w:val="21"/>
                <w:szCs w:val="21"/>
                <w:lang w:val="en-US" w:eastAsia="zh-CN"/>
              </w:rPr>
              <w:t>4</w:t>
            </w:r>
            <w:r>
              <w:rPr>
                <w:rFonts w:hint="eastAsia" w:ascii="宋体" w:hAnsi="宋体" w:cs="宋体"/>
                <w:bCs/>
                <w:sz w:val="21"/>
                <w:szCs w:val="21"/>
              </w:rPr>
              <w:t>分；</w:t>
            </w:r>
          </w:p>
          <w:p>
            <w:pPr>
              <w:spacing w:before="60" w:after="60" w:line="264" w:lineRule="auto"/>
              <w:ind w:left="-105" w:leftChars="-50"/>
              <w:rPr>
                <w:rFonts w:hint="eastAsia" w:ascii="宋体" w:hAnsi="宋体" w:cs="宋体"/>
                <w:sz w:val="21"/>
                <w:szCs w:val="21"/>
              </w:rPr>
            </w:pPr>
            <w:r>
              <w:rPr>
                <w:rFonts w:hint="eastAsia" w:ascii="宋体" w:hAnsi="宋体" w:cs="宋体"/>
                <w:bCs/>
                <w:sz w:val="21"/>
                <w:szCs w:val="21"/>
              </w:rPr>
              <w:t>4、未提供的不得0分；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10" w:type="dxa"/>
            <w:gridSpan w:val="2"/>
            <w:vAlign w:val="center"/>
          </w:tcPr>
          <w:p>
            <w:pPr>
              <w:widowControl/>
              <w:jc w:val="center"/>
              <w:rPr>
                <w:rFonts w:hint="eastAsia" w:ascii="宋体" w:hAnsi="宋体" w:cs="宋体"/>
                <w:b/>
                <w:bCs/>
                <w:sz w:val="21"/>
                <w:szCs w:val="21"/>
              </w:rPr>
            </w:pPr>
            <w:r>
              <w:rPr>
                <w:rFonts w:hint="eastAsia" w:ascii="宋体" w:hAnsi="宋体" w:cs="宋体"/>
                <w:b/>
                <w:bCs/>
                <w:sz w:val="21"/>
                <w:szCs w:val="21"/>
              </w:rPr>
              <w:t>政府采购政策加分</w:t>
            </w:r>
          </w:p>
        </w:tc>
        <w:tc>
          <w:tcPr>
            <w:tcW w:w="5782" w:type="dxa"/>
            <w:vAlign w:val="center"/>
          </w:tcPr>
          <w:p>
            <w:pPr>
              <w:tabs>
                <w:tab w:val="left" w:pos="1404"/>
              </w:tabs>
              <w:spacing w:before="60" w:after="60" w:line="264" w:lineRule="auto"/>
              <w:ind w:left="-105" w:leftChars="-50"/>
              <w:rPr>
                <w:rFonts w:hint="eastAsia" w:ascii="宋体" w:hAnsi="宋体" w:cs="宋体"/>
                <w:sz w:val="21"/>
                <w:szCs w:val="21"/>
              </w:rPr>
            </w:pPr>
            <w:r>
              <w:rPr>
                <w:rFonts w:hint="eastAsia" w:ascii="宋体" w:hAnsi="宋体" w:cs="宋体"/>
                <w:sz w:val="21"/>
                <w:szCs w:val="21"/>
              </w:rPr>
              <w:t>本项目若含有节能产品、环境标志产品政府采购品目清单内政府优先采购产品，对选用国家公布的认证机构认证的处于有效期之内的政府优先采购节能产品（政府强制采购产品除外）、环境标志产品给予加分，每个证书0.5分最多得2分</w:t>
            </w:r>
          </w:p>
        </w:tc>
        <w:tc>
          <w:tcPr>
            <w:tcW w:w="847" w:type="dxa"/>
            <w:vAlign w:val="center"/>
          </w:tcPr>
          <w:p>
            <w:pPr>
              <w:widowControl/>
              <w:jc w:val="center"/>
              <w:rPr>
                <w:rFonts w:hint="eastAsia"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92" w:type="dxa"/>
            <w:gridSpan w:val="3"/>
            <w:tcBorders>
              <w:bottom w:val="single" w:color="auto" w:sz="4" w:space="0"/>
            </w:tcBorders>
            <w:vAlign w:val="center"/>
          </w:tcPr>
          <w:p>
            <w:pPr>
              <w:spacing w:before="60" w:after="60" w:line="400" w:lineRule="exact"/>
              <w:ind w:left="-105" w:leftChars="-50"/>
              <w:jc w:val="center"/>
              <w:rPr>
                <w:rFonts w:hint="eastAsia" w:ascii="宋体" w:hAnsi="宋体" w:cs="宋体"/>
                <w:b/>
                <w:bCs/>
                <w:sz w:val="21"/>
                <w:szCs w:val="21"/>
              </w:rPr>
            </w:pPr>
            <w:r>
              <w:rPr>
                <w:rFonts w:hint="eastAsia" w:ascii="宋体" w:hAnsi="宋体" w:cs="宋体"/>
                <w:b/>
                <w:bCs/>
                <w:sz w:val="21"/>
                <w:szCs w:val="21"/>
              </w:rPr>
              <w:t>总分</w:t>
            </w:r>
          </w:p>
        </w:tc>
        <w:tc>
          <w:tcPr>
            <w:tcW w:w="847" w:type="dxa"/>
            <w:tcBorders>
              <w:bottom w:val="single" w:color="auto" w:sz="4" w:space="0"/>
            </w:tcBorders>
            <w:vAlign w:val="center"/>
          </w:tcPr>
          <w:p>
            <w:pPr>
              <w:widowControl/>
              <w:jc w:val="center"/>
              <w:rPr>
                <w:rFonts w:hint="eastAsia" w:ascii="宋体" w:hAnsi="宋体" w:cs="宋体"/>
                <w:b/>
                <w:bCs/>
                <w:sz w:val="21"/>
                <w:szCs w:val="21"/>
              </w:rPr>
            </w:pPr>
            <w:r>
              <w:rPr>
                <w:rFonts w:hint="eastAsia" w:ascii="宋体" w:hAnsi="宋体" w:cs="宋体"/>
                <w:b/>
                <w:bCs/>
                <w:sz w:val="21"/>
                <w:szCs w:val="21"/>
              </w:rPr>
              <w:t>100</w:t>
            </w:r>
          </w:p>
        </w:tc>
      </w:tr>
    </w:tbl>
    <w:p>
      <w:pPr>
        <w:numPr>
          <w:ilvl w:val="0"/>
          <w:numId w:val="0"/>
        </w:numPr>
        <w:spacing w:line="440" w:lineRule="exact"/>
        <w:ind w:firstLine="4427" w:firstLineChars="2100"/>
        <w:rPr>
          <w:rFonts w:hint="eastAsia" w:asciiTheme="minorEastAsia" w:hAnsiTheme="minorEastAsia" w:eastAsiaTheme="minorEastAsia" w:cstheme="minorEastAsia"/>
          <w:b/>
          <w:bCs/>
          <w:color w:val="000000"/>
          <w:sz w:val="21"/>
          <w:szCs w:val="21"/>
          <w:highlight w:val="yellow"/>
        </w:rPr>
      </w:pPr>
    </w:p>
    <w:p>
      <w:pPr>
        <w:numPr>
          <w:ilvl w:val="0"/>
          <w:numId w:val="44"/>
        </w:numPr>
        <w:spacing w:line="440" w:lineRule="exact"/>
        <w:rPr>
          <w:rFonts w:hint="eastAsia" w:asciiTheme="minorEastAsia" w:hAnsiTheme="minorEastAsia" w:eastAsiaTheme="minorEastAsia" w:cstheme="minorEastAsia"/>
          <w:b/>
          <w:bCs/>
          <w:sz w:val="21"/>
          <w:szCs w:val="21"/>
          <w:highlight w:val="yellow"/>
          <w:lang w:val="en-US" w:eastAsia="zh-CN"/>
        </w:rPr>
      </w:pPr>
      <w:r>
        <w:rPr>
          <w:rFonts w:hint="eastAsia" w:asciiTheme="minorEastAsia" w:hAnsiTheme="minorEastAsia" w:eastAsiaTheme="minorEastAsia" w:cstheme="minorEastAsia"/>
          <w:b/>
          <w:bCs/>
          <w:sz w:val="21"/>
          <w:szCs w:val="21"/>
          <w:highlight w:val="yellow"/>
          <w:lang w:val="en-US" w:eastAsia="zh-CN"/>
        </w:rPr>
        <w:t>、</w:t>
      </w:r>
      <w:r>
        <w:rPr>
          <w:rFonts w:hint="eastAsia" w:asciiTheme="minorEastAsia" w:hAnsiTheme="minorEastAsia" w:eastAsiaTheme="minorEastAsia" w:cstheme="minorEastAsia"/>
          <w:b/>
          <w:bCs/>
          <w:sz w:val="21"/>
          <w:szCs w:val="21"/>
          <w:highlight w:val="yellow"/>
          <w:lang w:eastAsia="zh-CN"/>
        </w:rPr>
        <w:t>标项</w:t>
      </w:r>
      <w:r>
        <w:rPr>
          <w:rFonts w:hint="eastAsia" w:asciiTheme="minorEastAsia" w:hAnsiTheme="minorEastAsia" w:eastAsiaTheme="minorEastAsia" w:cstheme="minorEastAsia"/>
          <w:b/>
          <w:bCs/>
          <w:sz w:val="21"/>
          <w:szCs w:val="21"/>
          <w:highlight w:val="yellow"/>
          <w:lang w:val="en-US" w:eastAsia="zh-CN"/>
        </w:rPr>
        <w:t xml:space="preserve">2 </w:t>
      </w:r>
      <w:r>
        <w:rPr>
          <w:rFonts w:hint="eastAsia" w:asciiTheme="minorEastAsia" w:hAnsiTheme="minorEastAsia" w:eastAsiaTheme="minorEastAsia" w:cstheme="minorEastAsia"/>
          <w:b/>
          <w:bCs/>
          <w:sz w:val="21"/>
          <w:szCs w:val="21"/>
          <w:highlight w:val="yellow"/>
          <w:lang w:eastAsia="zh-CN"/>
        </w:rPr>
        <w:t>办公家具采购评分标准</w:t>
      </w:r>
    </w:p>
    <w:tbl>
      <w:tblPr>
        <w:tblStyle w:val="2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170"/>
        <w:gridCol w:w="5689"/>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333" w:type="dxa"/>
            <w:tcBorders>
              <w:top w:val="single" w:color="auto" w:sz="4" w:space="0"/>
              <w:bottom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标准项目</w:t>
            </w:r>
          </w:p>
        </w:tc>
        <w:tc>
          <w:tcPr>
            <w:tcW w:w="6859" w:type="dxa"/>
            <w:gridSpan w:val="2"/>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评分标准</w:t>
            </w:r>
          </w:p>
        </w:tc>
        <w:tc>
          <w:tcPr>
            <w:tcW w:w="847" w:type="dxa"/>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333" w:type="dxa"/>
            <w:tcBorders>
              <w:top w:val="single" w:color="auto" w:sz="4" w:space="0"/>
              <w:bottom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报价部分</w:t>
            </w:r>
          </w:p>
        </w:tc>
        <w:tc>
          <w:tcPr>
            <w:tcW w:w="6859" w:type="dxa"/>
            <w:gridSpan w:val="2"/>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评标基准价 = 满足招标要求的有效投标价且最低的投标总价为评标基准价，投标总价等于评标基准价的价格分得30分。</w:t>
            </w:r>
          </w:p>
          <w:p>
            <w:pPr>
              <w:rPr>
                <w:rFonts w:hint="default" w:ascii="Times New Roman" w:hAnsi="Times New Roman" w:cs="Times New Roman"/>
                <w:sz w:val="21"/>
                <w:szCs w:val="21"/>
              </w:rPr>
            </w:pPr>
            <w:r>
              <w:rPr>
                <w:rFonts w:hint="default" w:ascii="Times New Roman" w:hAnsi="Times New Roman" w:cs="Times New Roman"/>
                <w:sz w:val="21"/>
                <w:szCs w:val="21"/>
              </w:rPr>
              <w:t>其他投标人的价格得分计算公式如下：价格分=（评标基准价/投标总价）×30%×100。</w:t>
            </w:r>
          </w:p>
          <w:p>
            <w:pPr>
              <w:rPr>
                <w:rFonts w:hint="default" w:ascii="Times New Roman" w:hAnsi="Times New Roman" w:cs="Times New Roman"/>
                <w:sz w:val="21"/>
                <w:szCs w:val="21"/>
              </w:rPr>
            </w:pPr>
            <w:r>
              <w:rPr>
                <w:rFonts w:hint="default" w:ascii="Times New Roman" w:hAnsi="Times New Roman" w:cs="Times New Roman"/>
                <w:sz w:val="21"/>
                <w:szCs w:val="21"/>
              </w:rPr>
              <w:t>投标报价得分以四舍五入保留小数点后两位。</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jc w:val="center"/>
        </w:trPr>
        <w:tc>
          <w:tcPr>
            <w:tcW w:w="1333" w:type="dxa"/>
            <w:vMerge w:val="restart"/>
            <w:tcBorders>
              <w:top w:val="single" w:color="auto" w:sz="4" w:space="0"/>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商务部分</w:t>
            </w:r>
          </w:p>
          <w:p>
            <w:pPr>
              <w:pStyle w:val="2"/>
              <w:jc w:val="center"/>
              <w:rPr>
                <w:rFonts w:hint="default" w:ascii="Times New Roman" w:hAnsi="Times New Roman" w:cs="Times New Roman"/>
                <w:sz w:val="21"/>
                <w:szCs w:val="21"/>
              </w:rPr>
            </w:pPr>
            <w:r>
              <w:rPr>
                <w:rFonts w:hint="default" w:ascii="Times New Roman" w:hAnsi="Times New Roman" w:cs="Times New Roman"/>
                <w:b/>
                <w:bCs/>
                <w:kern w:val="0"/>
                <w:sz w:val="21"/>
                <w:szCs w:val="21"/>
              </w:rPr>
              <w:t>（20分）</w:t>
            </w:r>
          </w:p>
        </w:tc>
        <w:tc>
          <w:tcPr>
            <w:tcW w:w="1170" w:type="dxa"/>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企业</w:t>
            </w:r>
            <w:r>
              <w:rPr>
                <w:rFonts w:hint="default" w:ascii="Times New Roman" w:hAnsi="Times New Roman" w:cs="Times New Roman"/>
                <w:sz w:val="21"/>
                <w:szCs w:val="21"/>
              </w:rPr>
              <w:t>综合实力</w:t>
            </w:r>
          </w:p>
        </w:tc>
        <w:tc>
          <w:tcPr>
            <w:tcW w:w="5689" w:type="dxa"/>
            <w:vAlign w:val="center"/>
          </w:tcPr>
          <w:p>
            <w:pPr>
              <w:rPr>
                <w:rFonts w:hint="default" w:ascii="Times New Roman" w:hAnsi="Times New Roman" w:cs="Times New Roman"/>
                <w:sz w:val="21"/>
                <w:szCs w:val="21"/>
                <w:lang w:val="zh-CN"/>
              </w:rPr>
            </w:pPr>
            <w:bookmarkStart w:id="12" w:name="_Toc10488"/>
            <w:bookmarkStart w:id="13" w:name="_Toc16445"/>
            <w:bookmarkStart w:id="14" w:name="_Toc30306"/>
            <w:r>
              <w:rPr>
                <w:rFonts w:hint="default" w:ascii="Times New Roman" w:hAnsi="Times New Roman" w:cs="Times New Roman"/>
                <w:sz w:val="21"/>
                <w:szCs w:val="21"/>
              </w:rPr>
              <w:t>1.投标人须提供ISO9001</w:t>
            </w:r>
            <w:r>
              <w:rPr>
                <w:rFonts w:hint="default" w:ascii="Times New Roman" w:hAnsi="Times New Roman" w:cs="Times New Roman"/>
                <w:sz w:val="21"/>
                <w:szCs w:val="21"/>
                <w:lang w:val="zh-CN"/>
              </w:rPr>
              <w:t>质量管理体系认证证书</w:t>
            </w:r>
            <w:bookmarkEnd w:id="12"/>
            <w:bookmarkEnd w:id="13"/>
            <w:bookmarkEnd w:id="14"/>
            <w:r>
              <w:rPr>
                <w:rFonts w:hint="default" w:ascii="Times New Roman" w:hAnsi="Times New Roman" w:cs="Times New Roman"/>
                <w:sz w:val="21"/>
                <w:szCs w:val="21"/>
                <w:lang w:val="zh-CN"/>
              </w:rPr>
              <w:t>扫描件加盖公章，</w:t>
            </w:r>
            <w:r>
              <w:rPr>
                <w:rFonts w:hint="default" w:ascii="Times New Roman" w:hAnsi="Times New Roman" w:cs="Times New Roman"/>
                <w:sz w:val="21"/>
                <w:szCs w:val="21"/>
              </w:rPr>
              <w:t>提供得1分，未提供不得分</w:t>
            </w:r>
            <w:r>
              <w:rPr>
                <w:rFonts w:hint="default" w:ascii="Times New Roman" w:hAnsi="Times New Roman" w:cs="Times New Roman"/>
                <w:sz w:val="21"/>
                <w:szCs w:val="21"/>
                <w:lang w:val="zh-CN"/>
              </w:rPr>
              <w:t>；</w:t>
            </w:r>
          </w:p>
          <w:p>
            <w:pPr>
              <w:rPr>
                <w:rFonts w:hint="default" w:ascii="Times New Roman" w:hAnsi="Times New Roman" w:cs="Times New Roman"/>
                <w:sz w:val="21"/>
                <w:szCs w:val="21"/>
              </w:rPr>
            </w:pPr>
            <w:bookmarkStart w:id="15" w:name="_Toc17427"/>
            <w:bookmarkStart w:id="16" w:name="_Toc16449"/>
            <w:bookmarkStart w:id="17" w:name="_Toc14797"/>
            <w:r>
              <w:rPr>
                <w:rFonts w:hint="default" w:ascii="Times New Roman" w:hAnsi="Times New Roman" w:cs="Times New Roman"/>
                <w:sz w:val="21"/>
                <w:szCs w:val="21"/>
              </w:rPr>
              <w:t>2.投标人须提供ISO14001</w:t>
            </w:r>
            <w:r>
              <w:rPr>
                <w:rFonts w:hint="default" w:ascii="Times New Roman" w:hAnsi="Times New Roman" w:cs="Times New Roman"/>
                <w:sz w:val="21"/>
                <w:szCs w:val="21"/>
                <w:lang w:val="zh-CN"/>
              </w:rPr>
              <w:t>环境管理体系认证证书</w:t>
            </w:r>
            <w:bookmarkEnd w:id="15"/>
            <w:bookmarkEnd w:id="16"/>
            <w:bookmarkEnd w:id="17"/>
            <w:r>
              <w:rPr>
                <w:rFonts w:hint="default" w:ascii="Times New Roman" w:hAnsi="Times New Roman" w:cs="Times New Roman"/>
                <w:sz w:val="21"/>
                <w:szCs w:val="21"/>
                <w:lang w:val="zh-CN"/>
              </w:rPr>
              <w:t>扫描件加盖公章，</w:t>
            </w:r>
            <w:r>
              <w:rPr>
                <w:rFonts w:hint="default" w:ascii="Times New Roman" w:hAnsi="Times New Roman" w:cs="Times New Roman"/>
                <w:sz w:val="21"/>
                <w:szCs w:val="21"/>
              </w:rPr>
              <w:t>提供得1分，未提供不得分</w:t>
            </w:r>
            <w:r>
              <w:rPr>
                <w:rFonts w:hint="default" w:ascii="Times New Roman" w:hAnsi="Times New Roman" w:cs="Times New Roman"/>
                <w:sz w:val="21"/>
                <w:szCs w:val="21"/>
                <w:lang w:val="zh-CN"/>
              </w:rPr>
              <w:t>；</w:t>
            </w:r>
          </w:p>
          <w:p>
            <w:pPr>
              <w:rPr>
                <w:rFonts w:hint="default" w:ascii="Times New Roman" w:hAnsi="Times New Roman" w:cs="Times New Roman"/>
                <w:sz w:val="21"/>
                <w:szCs w:val="21"/>
              </w:rPr>
            </w:pPr>
            <w:r>
              <w:rPr>
                <w:rFonts w:hint="default" w:ascii="Times New Roman" w:hAnsi="Times New Roman" w:cs="Times New Roman"/>
                <w:sz w:val="21"/>
                <w:szCs w:val="21"/>
              </w:rPr>
              <w:t>3.投标人或家具授权生产企业，拥有绿色供应链证书，满足CEC006-2016《绿色供应链评价技术规范 家具》四星级或四星级以上评价的得1分</w:t>
            </w:r>
            <w:r>
              <w:rPr>
                <w:rFonts w:hint="default" w:ascii="Times New Roman" w:hAnsi="Times New Roman" w:cs="Times New Roman"/>
                <w:sz w:val="21"/>
                <w:szCs w:val="21"/>
                <w:lang w:eastAsia="zh-CN"/>
              </w:rPr>
              <w:t>，</w:t>
            </w:r>
            <w:r>
              <w:rPr>
                <w:rFonts w:hint="default" w:ascii="Times New Roman" w:hAnsi="Times New Roman" w:cs="Times New Roman"/>
                <w:sz w:val="21"/>
                <w:szCs w:val="21"/>
              </w:rPr>
              <w:t>不满足不得分</w:t>
            </w:r>
            <w:r>
              <w:rPr>
                <w:rFonts w:hint="default" w:ascii="Times New Roman" w:hAnsi="Times New Roman" w:cs="Times New Roman"/>
                <w:sz w:val="21"/>
                <w:szCs w:val="21"/>
                <w:lang w:eastAsia="zh-CN"/>
              </w:rPr>
              <w:t>。</w:t>
            </w:r>
            <w:r>
              <w:rPr>
                <w:rFonts w:hint="default" w:ascii="Times New Roman" w:hAnsi="Times New Roman" w:cs="Times New Roman"/>
                <w:sz w:val="21"/>
                <w:szCs w:val="21"/>
              </w:rPr>
              <w:t>信息公共服务平台网页查询截图扫描件</w:t>
            </w:r>
            <w:r>
              <w:rPr>
                <w:rFonts w:hint="default" w:ascii="Times New Roman" w:hAnsi="Times New Roman" w:cs="Times New Roman"/>
                <w:sz w:val="21"/>
                <w:szCs w:val="21"/>
                <w:lang w:val="zh-CN"/>
              </w:rPr>
              <w:t>加盖公章</w:t>
            </w:r>
            <w:r>
              <w:rPr>
                <w:rFonts w:hint="default" w:ascii="Times New Roman" w:hAnsi="Times New Roman" w:cs="Times New Roman"/>
                <w:sz w:val="21"/>
                <w:szCs w:val="21"/>
              </w:rPr>
              <w:t>；</w:t>
            </w:r>
          </w:p>
          <w:p>
            <w:pPr>
              <w:rPr>
                <w:rFonts w:hint="default" w:ascii="Times New Roman" w:hAnsi="Times New Roman" w:cs="Times New Roman"/>
                <w:sz w:val="21"/>
                <w:szCs w:val="21"/>
              </w:rPr>
            </w:pPr>
            <w:r>
              <w:rPr>
                <w:rFonts w:hint="default" w:ascii="Times New Roman" w:hAnsi="Times New Roman" w:cs="Times New Roman"/>
                <w:sz w:val="21"/>
                <w:szCs w:val="21"/>
              </w:rPr>
              <w:t>4.投标人或授权生产企业，拥有家具产品有害物质限量认证证书（符合CEC家具产品有害物质限量认证实施规则CEC-7004CVP-A/2的要求）包含：（1）木质家具；（2）金属家具；（3）软体家具。以上项目全部符合得1分，缺项不得分。</w:t>
            </w:r>
          </w:p>
          <w:p>
            <w:pPr>
              <w:rPr>
                <w:rFonts w:hint="default" w:ascii="Times New Roman" w:hAnsi="Times New Roman" w:cs="Times New Roman"/>
                <w:sz w:val="21"/>
                <w:szCs w:val="21"/>
              </w:rPr>
            </w:pPr>
            <w:r>
              <w:rPr>
                <w:rFonts w:hint="default" w:ascii="Times New Roman" w:hAnsi="Times New Roman" w:cs="Times New Roman"/>
                <w:sz w:val="21"/>
                <w:szCs w:val="21"/>
              </w:rPr>
              <w:t>5.投标人或授权生产企业，拥有低VOCS家具产品认证证书（符合CEC低VOCS家具产品认证实施规则CEC-7005CVP-A/1的要求）包含木质家具、软体家具、金属家具。以上项目全部符合得1分，缺项不得分。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333" w:type="dxa"/>
            <w:vMerge w:val="continue"/>
            <w:vAlign w:val="center"/>
          </w:tcPr>
          <w:p>
            <w:pPr>
              <w:widowControl/>
              <w:jc w:val="center"/>
              <w:rPr>
                <w:rFonts w:hint="default" w:ascii="Times New Roman" w:hAnsi="Times New Roman" w:cs="Times New Roman"/>
                <w:b/>
                <w:bCs/>
                <w:kern w:val="0"/>
                <w:sz w:val="21"/>
                <w:szCs w:val="21"/>
              </w:rPr>
            </w:pPr>
          </w:p>
        </w:tc>
        <w:tc>
          <w:tcPr>
            <w:tcW w:w="117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类似业绩</w:t>
            </w:r>
          </w:p>
        </w:tc>
        <w:tc>
          <w:tcPr>
            <w:tcW w:w="5689" w:type="dxa"/>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投标人须提供近三年（2020年1月1日-至今）</w:t>
            </w:r>
            <w:r>
              <w:rPr>
                <w:rFonts w:hint="eastAsia" w:ascii="Times New Roman" w:hAnsi="Times New Roman" w:cs="Times New Roman"/>
                <w:sz w:val="21"/>
                <w:szCs w:val="21"/>
                <w:lang w:val="en-US" w:eastAsia="zh-CN"/>
              </w:rPr>
              <w:t>类似</w:t>
            </w:r>
            <w:r>
              <w:rPr>
                <w:rFonts w:hint="default" w:ascii="Times New Roman" w:hAnsi="Times New Roman" w:cs="Times New Roman"/>
                <w:sz w:val="21"/>
                <w:szCs w:val="21"/>
              </w:rPr>
              <w:t>业绩，每提供一项得1分，最多得3分；</w:t>
            </w:r>
          </w:p>
          <w:p>
            <w:pPr>
              <w:rPr>
                <w:rFonts w:hint="default" w:ascii="Times New Roman" w:hAnsi="Times New Roman" w:cs="Times New Roman"/>
                <w:sz w:val="21"/>
                <w:szCs w:val="21"/>
              </w:rPr>
            </w:pPr>
            <w:r>
              <w:rPr>
                <w:rFonts w:hint="default" w:ascii="Times New Roman" w:hAnsi="Times New Roman" w:cs="Times New Roman"/>
                <w:sz w:val="21"/>
                <w:szCs w:val="21"/>
              </w:rPr>
              <w:t>注：以上有效业绩需提供合同原件、供货发票，未提供或提供材料不全的本项不得分。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1333" w:type="dxa"/>
            <w:vMerge w:val="continue"/>
            <w:vAlign w:val="center"/>
          </w:tcPr>
          <w:p>
            <w:pPr>
              <w:widowControl/>
              <w:jc w:val="center"/>
              <w:rPr>
                <w:rFonts w:hint="default" w:ascii="Times New Roman" w:hAnsi="Times New Roman" w:cs="Times New Roman"/>
                <w:b/>
                <w:bCs/>
                <w:kern w:val="0"/>
                <w:sz w:val="21"/>
                <w:szCs w:val="21"/>
              </w:rPr>
            </w:pPr>
          </w:p>
        </w:tc>
        <w:tc>
          <w:tcPr>
            <w:tcW w:w="117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售后服务方案</w:t>
            </w:r>
          </w:p>
        </w:tc>
        <w:tc>
          <w:tcPr>
            <w:tcW w:w="5689"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1.</w:t>
            </w:r>
            <w:r>
              <w:rPr>
                <w:rFonts w:hint="default" w:ascii="Times New Roman" w:hAnsi="Times New Roman" w:cs="Times New Roman" w:eastAsiaTheme="minorEastAsia"/>
                <w:color w:val="auto"/>
                <w:sz w:val="21"/>
                <w:szCs w:val="21"/>
                <w:highlight w:val="none"/>
                <w:lang w:eastAsia="zh-CN"/>
              </w:rPr>
              <w:t>投标主要产品</w:t>
            </w:r>
            <w:r>
              <w:rPr>
                <w:rFonts w:hint="default" w:ascii="Times New Roman" w:hAnsi="Times New Roman" w:cs="Times New Roman" w:eastAsiaTheme="minorEastAsia"/>
                <w:color w:val="auto"/>
                <w:sz w:val="21"/>
                <w:szCs w:val="21"/>
                <w:highlight w:val="none"/>
                <w:lang w:val="en-US" w:eastAsia="zh-CN"/>
              </w:rPr>
              <w:t>在</w:t>
            </w:r>
            <w:r>
              <w:rPr>
                <w:rFonts w:hint="default" w:ascii="Times New Roman" w:hAnsi="Times New Roman" w:cs="Times New Roman" w:eastAsiaTheme="minorEastAsia"/>
                <w:sz w:val="21"/>
                <w:szCs w:val="21"/>
                <w:lang w:eastAsia="zh-CN"/>
              </w:rPr>
              <w:t>新疆地区售后商地址、联系人、联系方式等（</w:t>
            </w:r>
            <w:r>
              <w:rPr>
                <w:rFonts w:hint="default" w:ascii="Times New Roman" w:hAnsi="Times New Roman" w:cs="Times New Roman" w:eastAsiaTheme="minorEastAsia"/>
                <w:color w:val="000000"/>
                <w:sz w:val="21"/>
                <w:szCs w:val="21"/>
                <w:lang w:eastAsia="zh-CN"/>
              </w:rPr>
              <w:t>提供</w:t>
            </w:r>
            <w:r>
              <w:rPr>
                <w:rFonts w:hint="default" w:ascii="Times New Roman" w:hAnsi="Times New Roman" w:cs="Times New Roman" w:eastAsiaTheme="minorEastAsia"/>
                <w:color w:val="000000"/>
                <w:sz w:val="21"/>
                <w:szCs w:val="21"/>
              </w:rPr>
              <w:t>得</w:t>
            </w:r>
            <w:r>
              <w:rPr>
                <w:rFonts w:hint="default" w:ascii="Times New Roman" w:hAnsi="Times New Roman" w:cs="Times New Roman" w:eastAsiaTheme="minorEastAsia"/>
                <w:color w:val="000000"/>
                <w:sz w:val="21"/>
                <w:szCs w:val="21"/>
                <w:lang w:val="en-US" w:eastAsia="zh-CN"/>
              </w:rPr>
              <w:t>2</w:t>
            </w:r>
            <w:r>
              <w:rPr>
                <w:rFonts w:hint="default" w:ascii="Times New Roman" w:hAnsi="Times New Roman" w:cs="Times New Roman" w:eastAsiaTheme="minorEastAsia"/>
                <w:color w:val="000000"/>
                <w:sz w:val="21"/>
                <w:szCs w:val="21"/>
              </w:rPr>
              <w:t>分</w:t>
            </w:r>
            <w:r>
              <w:rPr>
                <w:rFonts w:hint="default" w:ascii="Times New Roman" w:hAnsi="Times New Roman" w:cs="Times New Roman" w:eastAsiaTheme="minorEastAsia"/>
                <w:color w:val="000000"/>
                <w:sz w:val="21"/>
                <w:szCs w:val="21"/>
                <w:lang w:eastAsia="zh-CN"/>
              </w:rPr>
              <w:t>，不提供不得分）。</w:t>
            </w:r>
          </w:p>
          <w:p>
            <w:pPr>
              <w:rPr>
                <w:rFonts w:hint="default" w:ascii="Times New Roman" w:hAnsi="Times New Roman" w:cs="Times New Roman"/>
                <w:sz w:val="21"/>
                <w:szCs w:val="21"/>
              </w:rPr>
            </w:pPr>
            <w:r>
              <w:rPr>
                <w:rFonts w:hint="default" w:ascii="Times New Roman" w:hAnsi="Times New Roman" w:cs="Times New Roman"/>
                <w:sz w:val="21"/>
                <w:szCs w:val="21"/>
              </w:rPr>
              <w:t>2.投标人须具备专业的售后服务能力，人员配置合理，须提供资格证书和近三个月缴纳社保的证明材料并加盖公章</w:t>
            </w:r>
            <w:r>
              <w:rPr>
                <w:rFonts w:hint="eastAsia" w:ascii="Times New Roman" w:hAnsi="Times New Roman" w:cs="Times New Roman"/>
                <w:sz w:val="21"/>
                <w:szCs w:val="21"/>
                <w:lang w:val="en-US" w:eastAsia="zh-CN"/>
              </w:rPr>
              <w:t>0-4分</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不提供不得分</w:t>
            </w:r>
          </w:p>
          <w:p>
            <w:pPr>
              <w:rPr>
                <w:rFonts w:hint="default" w:ascii="Times New Roman" w:hAnsi="Times New Roman" w:cs="Times New Roman"/>
                <w:sz w:val="21"/>
                <w:szCs w:val="21"/>
              </w:rPr>
            </w:pPr>
            <w:r>
              <w:rPr>
                <w:rFonts w:hint="default" w:ascii="Times New Roman" w:hAnsi="Times New Roman" w:cs="Times New Roman"/>
                <w:sz w:val="21"/>
                <w:szCs w:val="21"/>
              </w:rPr>
              <w:t>3.售后服务方案：提供详细的售后服务方案服务内容、遇到问题迅速响应、解决问题的流程、人员售后服务保障、其他资源保障等，根据投标人提供方案进行评分，</w:t>
            </w:r>
            <w:r>
              <w:rPr>
                <w:rFonts w:hint="eastAsia" w:ascii="Times New Roman" w:hAnsi="Times New Roman" w:cs="Times New Roman"/>
                <w:sz w:val="21"/>
                <w:szCs w:val="21"/>
                <w:lang w:val="en-US" w:eastAsia="zh-CN"/>
              </w:rPr>
              <w:t>优：5-6；良：3-4；一般：1-2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不提供不得分。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333" w:type="dxa"/>
            <w:vMerge w:val="restart"/>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技术部分</w:t>
            </w:r>
          </w:p>
          <w:p>
            <w:pPr>
              <w:pStyle w:val="2"/>
              <w:jc w:val="center"/>
              <w:rPr>
                <w:rFonts w:hint="default" w:ascii="Times New Roman" w:hAnsi="Times New Roman" w:cs="Times New Roman"/>
                <w:sz w:val="21"/>
                <w:szCs w:val="21"/>
              </w:rPr>
            </w:pPr>
            <w:r>
              <w:rPr>
                <w:rFonts w:hint="default" w:ascii="Times New Roman" w:hAnsi="Times New Roman" w:cs="Times New Roman"/>
                <w:b/>
                <w:bCs/>
                <w:kern w:val="0"/>
                <w:sz w:val="21"/>
                <w:szCs w:val="21"/>
              </w:rPr>
              <w:t>（50)</w:t>
            </w:r>
          </w:p>
        </w:tc>
        <w:tc>
          <w:tcPr>
            <w:tcW w:w="117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技术参数响应</w:t>
            </w:r>
          </w:p>
        </w:tc>
        <w:tc>
          <w:tcPr>
            <w:tcW w:w="5689"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根据招标文件中技术参数要求对投标方提供的技术资料进行综合评价：</w:t>
            </w:r>
          </w:p>
          <w:p>
            <w:pPr>
              <w:rPr>
                <w:rFonts w:hint="default" w:ascii="Times New Roman" w:hAnsi="Times New Roman" w:cs="Times New Roman"/>
                <w:sz w:val="21"/>
                <w:szCs w:val="21"/>
              </w:rPr>
            </w:pPr>
            <w:r>
              <w:rPr>
                <w:rFonts w:hint="default" w:ascii="Times New Roman" w:hAnsi="Times New Roman" w:cs="Times New Roman"/>
                <w:sz w:val="21"/>
                <w:szCs w:val="21"/>
              </w:rPr>
              <w:t>其中技术参数中标有“★”的为重要技术指标，每有一项指标不满足扣1分，最多扣22分。（备注：证明材料为投标人所提供由权威质检部门出具的满足标“★”性能指标要求的一年内的检验报告，所提供的检测报告中须含有效查询二维码及查询网址，以备评标委员会查询。）</w:t>
            </w:r>
          </w:p>
          <w:p>
            <w:pPr>
              <w:rPr>
                <w:rFonts w:hint="default" w:ascii="Times New Roman" w:hAnsi="Times New Roman" w:cs="Times New Roman"/>
                <w:sz w:val="21"/>
                <w:szCs w:val="21"/>
              </w:rPr>
            </w:pPr>
            <w:r>
              <w:rPr>
                <w:rFonts w:hint="default" w:ascii="Times New Roman" w:hAnsi="Times New Roman" w:cs="Times New Roman"/>
                <w:sz w:val="21"/>
                <w:szCs w:val="21"/>
              </w:rPr>
              <w:t>一般技术指标、参数不满足招标文件相关要求的，每有一项扣0.5分，最多扣10分。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1333" w:type="dxa"/>
            <w:vMerge w:val="continue"/>
            <w:vAlign w:val="center"/>
          </w:tcPr>
          <w:p>
            <w:pPr>
              <w:widowControl/>
              <w:jc w:val="center"/>
              <w:rPr>
                <w:rFonts w:hint="default" w:ascii="Times New Roman" w:hAnsi="Times New Roman" w:cs="Times New Roman"/>
                <w:b/>
                <w:bCs/>
                <w:kern w:val="0"/>
                <w:sz w:val="21"/>
                <w:szCs w:val="21"/>
              </w:rPr>
            </w:pPr>
          </w:p>
        </w:tc>
        <w:tc>
          <w:tcPr>
            <w:tcW w:w="1170" w:type="dxa"/>
            <w:vAlign w:val="center"/>
          </w:tcPr>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t>实施方案</w:t>
            </w:r>
          </w:p>
        </w:tc>
        <w:tc>
          <w:tcPr>
            <w:tcW w:w="5689"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有详细的项目实施方案，内容阐述详实清晰；包括但不仅限于项目进度表、产品质量控制措施方案，安装供货进度保证措施，产品运输安装保障措施等，内容全面、描写详细、科学合理、针对性强的得10-12分；内容全面、描写简单、针对性良好的得6-9分；内容一般的得1-5分。不提供不得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333" w:type="dxa"/>
            <w:vMerge w:val="continue"/>
            <w:vAlign w:val="center"/>
          </w:tcPr>
          <w:p>
            <w:pPr>
              <w:widowControl/>
              <w:jc w:val="center"/>
              <w:rPr>
                <w:rFonts w:hint="default" w:ascii="Times New Roman" w:hAnsi="Times New Roman" w:cs="Times New Roman"/>
                <w:b/>
                <w:bCs/>
                <w:kern w:val="0"/>
                <w:sz w:val="21"/>
                <w:szCs w:val="21"/>
              </w:rPr>
            </w:pPr>
          </w:p>
        </w:tc>
        <w:tc>
          <w:tcPr>
            <w:tcW w:w="117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备品备件</w:t>
            </w:r>
          </w:p>
        </w:tc>
        <w:tc>
          <w:tcPr>
            <w:tcW w:w="5689"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有固定、长期的备品备件库，提供备品备件种类丰富、品质优良、价格实惠等可行的承诺得4分，提供备品备件种类较少、价格等可行的承诺一般得2分。未提供得0分。（提供相关证明材料）</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03" w:type="dxa"/>
            <w:gridSpan w:val="2"/>
            <w:vAlign w:val="center"/>
          </w:tcPr>
          <w:p>
            <w:pPr>
              <w:widowControl/>
              <w:autoSpaceDE w:val="0"/>
              <w:autoSpaceDN w:val="0"/>
              <w:spacing w:line="24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政府采购政策加分</w:t>
            </w:r>
          </w:p>
        </w:tc>
        <w:tc>
          <w:tcPr>
            <w:tcW w:w="5689" w:type="dxa"/>
            <w:vAlign w:val="center"/>
          </w:tcPr>
          <w:p>
            <w:pPr>
              <w:tabs>
                <w:tab w:val="left" w:pos="1404"/>
              </w:tabs>
              <w:autoSpaceDE w:val="0"/>
              <w:autoSpaceDN w:val="0"/>
              <w:spacing w:before="60" w:after="60" w:line="240" w:lineRule="exact"/>
              <w:ind w:left="-105" w:leftChars="-50"/>
              <w:jc w:val="left"/>
              <w:rPr>
                <w:rFonts w:hint="default" w:ascii="Times New Roman" w:hAnsi="Times New Roman" w:cs="Times New Roman"/>
                <w:sz w:val="21"/>
                <w:szCs w:val="21"/>
              </w:rPr>
            </w:pPr>
            <w:r>
              <w:rPr>
                <w:rFonts w:hint="default" w:ascii="Times New Roman" w:hAnsi="Times New Roman" w:cs="Times New Roman"/>
                <w:sz w:val="21"/>
                <w:szCs w:val="21"/>
              </w:rPr>
              <w:t>本项目若含有节能产品、环境标志产品政府采购品目清单内政府优先采购产品，对选用国家公布的认证机构认证的处于有效期之内的政府优先采购节能产品（政府强制采购产品除外）、环境标志产品给予加分，每个证书0.5分最多得2分</w:t>
            </w:r>
          </w:p>
        </w:tc>
        <w:tc>
          <w:tcPr>
            <w:tcW w:w="84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192" w:type="dxa"/>
            <w:gridSpan w:val="3"/>
            <w:tcBorders>
              <w:bottom w:val="single" w:color="auto" w:sz="4" w:space="0"/>
            </w:tcBorders>
            <w:vAlign w:val="center"/>
          </w:tcPr>
          <w:p>
            <w:pPr>
              <w:spacing w:before="60" w:after="60" w:line="400" w:lineRule="exact"/>
              <w:ind w:left="-105" w:leftChars="-5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总分</w:t>
            </w:r>
          </w:p>
        </w:tc>
        <w:tc>
          <w:tcPr>
            <w:tcW w:w="847" w:type="dxa"/>
            <w:tcBorders>
              <w:bottom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100</w:t>
            </w:r>
          </w:p>
        </w:tc>
      </w:tr>
    </w:tbl>
    <w:p>
      <w:pPr>
        <w:pStyle w:val="15"/>
        <w:numPr>
          <w:ilvl w:val="0"/>
          <w:numId w:val="0"/>
        </w:numPr>
        <w:rPr>
          <w:rFonts w:hint="eastAsia"/>
        </w:rPr>
      </w:pPr>
    </w:p>
    <w:p>
      <w:pPr>
        <w:pStyle w:val="2"/>
        <w:numPr>
          <w:ilvl w:val="0"/>
          <w:numId w:val="0"/>
        </w:numPr>
        <w:ind w:firstLine="1800" w:firstLineChars="1000"/>
        <w:rPr>
          <w:rFonts w:hint="eastAsia" w:eastAsia="宋体"/>
          <w:lang w:eastAsia="zh-CN"/>
        </w:rPr>
      </w:pPr>
    </w:p>
    <w:p>
      <w:pPr>
        <w:numPr>
          <w:ilvl w:val="0"/>
          <w:numId w:val="0"/>
        </w:numPr>
        <w:spacing w:line="440" w:lineRule="exact"/>
        <w:ind w:firstLine="4427" w:firstLineChars="2100"/>
        <w:rPr>
          <w:rFonts w:hint="eastAsia" w:asciiTheme="minorEastAsia" w:hAnsiTheme="minorEastAsia" w:eastAsiaTheme="minorEastAsia" w:cstheme="minorEastAsia"/>
          <w:b/>
          <w:bCs/>
          <w:color w:val="000000"/>
          <w:sz w:val="21"/>
          <w:szCs w:val="21"/>
        </w:rPr>
      </w:pPr>
    </w:p>
    <w:p>
      <w:pPr>
        <w:pStyle w:val="2"/>
        <w:numPr>
          <w:ilvl w:val="0"/>
          <w:numId w:val="0"/>
        </w:numPr>
        <w:ind w:firstLine="1800" w:firstLineChars="1000"/>
        <w:rPr>
          <w:rFonts w:hint="eastAsia" w:eastAsia="宋体"/>
          <w:lang w:eastAsia="zh-CN"/>
        </w:rPr>
      </w:pPr>
    </w:p>
    <w:p>
      <w:pPr>
        <w:pStyle w:val="8"/>
        <w:rPr>
          <w:rFonts w:hint="eastAsia"/>
        </w:rPr>
      </w:pPr>
    </w:p>
    <w:p>
      <w:pPr>
        <w:numPr>
          <w:ilvl w:val="0"/>
          <w:numId w:val="0"/>
        </w:numPr>
        <w:spacing w:line="440" w:lineRule="exact"/>
        <w:ind w:firstLine="4427" w:firstLineChars="2100"/>
        <w:rPr>
          <w:rFonts w:hint="eastAsia" w:asciiTheme="minorEastAsia" w:hAnsiTheme="minorEastAsia" w:eastAsiaTheme="minorEastAsia" w:cstheme="minorEastAsia"/>
          <w:b/>
          <w:bCs/>
          <w:color w:val="000000"/>
          <w:sz w:val="21"/>
          <w:szCs w:val="21"/>
        </w:rPr>
      </w:pPr>
    </w:p>
    <w:p>
      <w:pPr>
        <w:pStyle w:val="8"/>
        <w:rPr>
          <w:rFonts w:hint="eastAsia" w:ascii="宋体" w:hAnsi="宋体"/>
          <w:b/>
          <w:sz w:val="32"/>
          <w:szCs w:val="32"/>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15"/>
        <w:rPr>
          <w:rFonts w:hint="eastAsia"/>
        </w:rPr>
      </w:pPr>
    </w:p>
    <w:p>
      <w:pPr>
        <w:rPr>
          <w:rFonts w:hint="eastAsia"/>
        </w:rPr>
      </w:pPr>
    </w:p>
    <w:p>
      <w:pPr>
        <w:pStyle w:val="15"/>
        <w:rPr>
          <w:rFonts w:hint="eastAsia"/>
        </w:rPr>
      </w:pPr>
    </w:p>
    <w:p>
      <w:pPr>
        <w:pStyle w:val="8"/>
        <w:rPr>
          <w:rFonts w:hint="eastAsia"/>
        </w:rPr>
      </w:pPr>
    </w:p>
    <w:p>
      <w:pPr>
        <w:spacing w:line="600" w:lineRule="exact"/>
        <w:jc w:val="center"/>
        <w:rPr>
          <w:rFonts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w:t>
      </w:r>
      <w:r>
        <w:rPr>
          <w:rFonts w:hint="eastAsia" w:ascii="宋体" w:hAnsi="宋体"/>
          <w:b/>
          <w:bCs/>
          <w:sz w:val="32"/>
          <w:szCs w:val="32"/>
          <w:lang w:eastAsia="zh-CN"/>
        </w:rPr>
        <w:t>、验收报告</w:t>
      </w:r>
    </w:p>
    <w:p>
      <w:pPr>
        <w:spacing w:line="600" w:lineRule="exact"/>
        <w:jc w:val="center"/>
        <w:rPr>
          <w:rFonts w:ascii="宋体" w:hAnsi="宋体"/>
          <w:bCs/>
          <w:szCs w:val="21"/>
        </w:rPr>
      </w:pPr>
    </w:p>
    <w:p>
      <w:pPr>
        <w:tabs>
          <w:tab w:val="left" w:pos="720"/>
        </w:tabs>
        <w:spacing w:line="360" w:lineRule="auto"/>
        <w:jc w:val="center"/>
        <w:rPr>
          <w:rFonts w:hint="eastAsia" w:ascii="黑体" w:hAnsi="黑体" w:eastAsia="黑体" w:cs="黑体"/>
          <w:b/>
          <w:color w:val="auto"/>
          <w:sz w:val="72"/>
          <w:szCs w:val="72"/>
          <w:highlight w:val="none"/>
        </w:rPr>
      </w:pPr>
      <w:r>
        <w:rPr>
          <w:rFonts w:hint="eastAsia" w:ascii="黑体" w:hAnsi="黑体" w:eastAsia="黑体" w:cs="黑体"/>
          <w:b/>
          <w:color w:val="auto"/>
          <w:sz w:val="72"/>
          <w:szCs w:val="72"/>
          <w:highlight w:val="none"/>
          <w:lang w:eastAsia="zh-CN"/>
        </w:rPr>
        <w:t>政府</w:t>
      </w:r>
      <w:r>
        <w:rPr>
          <w:rFonts w:hint="eastAsia" w:ascii="黑体" w:hAnsi="黑体" w:eastAsia="黑体" w:cs="黑体"/>
          <w:b/>
          <w:color w:val="auto"/>
          <w:sz w:val="72"/>
          <w:szCs w:val="72"/>
          <w:highlight w:val="none"/>
        </w:rPr>
        <w:t>采购合同书</w:t>
      </w:r>
    </w:p>
    <w:p>
      <w:pPr>
        <w:tabs>
          <w:tab w:val="left" w:pos="720"/>
        </w:tabs>
        <w:spacing w:line="360" w:lineRule="auto"/>
        <w:rPr>
          <w:rFonts w:hint="eastAsia" w:ascii="黑体" w:hAnsi="黑体" w:eastAsia="黑体" w:cs="黑体"/>
          <w:b/>
          <w:color w:val="auto"/>
          <w:sz w:val="28"/>
          <w:szCs w:val="28"/>
          <w:highlight w:val="none"/>
        </w:rPr>
      </w:pPr>
    </w:p>
    <w:tbl>
      <w:tblPr>
        <w:tblStyle w:val="25"/>
        <w:tblW w:w="5440" w:type="dxa"/>
        <w:jc w:val="center"/>
        <w:tblInd w:w="0" w:type="dxa"/>
        <w:tblLayout w:type="fixed"/>
        <w:tblCellMar>
          <w:top w:w="0" w:type="dxa"/>
          <w:left w:w="108" w:type="dxa"/>
          <w:bottom w:w="0" w:type="dxa"/>
          <w:right w:w="108" w:type="dxa"/>
        </w:tblCellMar>
      </w:tblPr>
      <w:tblGrid>
        <w:gridCol w:w="5440"/>
      </w:tblGrid>
      <w:tr>
        <w:tblPrEx>
          <w:tblLayout w:type="fixed"/>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r>
              <w:rPr>
                <w:rFonts w:hint="eastAsia" w:ascii="黑体" w:hAnsi="黑体" w:eastAsia="黑体" w:cs="黑体"/>
                <w:b/>
                <w:color w:val="auto"/>
                <w:sz w:val="32"/>
                <w:szCs w:val="32"/>
                <w:highlight w:val="none"/>
              </w:rPr>
              <w:t>采购项目编号：</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r>
        <w:tblPrEx>
          <w:tblLayout w:type="fixed"/>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p>
        </w:tc>
      </w:tr>
      <w:tr>
        <w:tblPrEx>
          <w:tblLayout w:type="fixed"/>
          <w:tblCellMar>
            <w:top w:w="0" w:type="dxa"/>
            <w:left w:w="108" w:type="dxa"/>
            <w:bottom w:w="0" w:type="dxa"/>
            <w:right w:w="108" w:type="dxa"/>
          </w:tblCellMar>
        </w:tblPrEx>
        <w:trPr>
          <w:trHeight w:val="875"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项目名称：</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bl>
    <w:p>
      <w:pPr>
        <w:spacing w:line="360" w:lineRule="auto"/>
        <w:rPr>
          <w:rFonts w:hint="eastAsia" w:ascii="黑体" w:hAnsi="黑体" w:eastAsia="黑体" w:cs="黑体"/>
          <w:b/>
          <w:color w:val="auto"/>
          <w:sz w:val="28"/>
          <w:szCs w:val="28"/>
          <w:highlight w:val="none"/>
        </w:rPr>
      </w:pPr>
    </w:p>
    <w:p>
      <w:pPr>
        <w:tabs>
          <w:tab w:val="left" w:pos="720"/>
        </w:tabs>
        <w:spacing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甲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地  址：</w:t>
      </w:r>
    </w:p>
    <w:p>
      <w:pPr>
        <w:spacing w:line="360" w:lineRule="auto"/>
        <w:rPr>
          <w:rFonts w:hint="eastAsia" w:ascii="黑体" w:hAnsi="黑体" w:eastAsia="黑体" w:cs="黑体"/>
          <w:b/>
          <w:color w:val="auto"/>
          <w:sz w:val="28"/>
          <w:szCs w:val="28"/>
          <w:highlight w:val="none"/>
          <w:u w:val="single"/>
          <w:lang w:eastAsia="zh-CN"/>
        </w:rPr>
      </w:pPr>
      <w:r>
        <w:rPr>
          <w:rFonts w:hint="eastAsia" w:ascii="黑体" w:hAnsi="黑体" w:eastAsia="黑体" w:cs="黑体"/>
          <w:b/>
          <w:color w:val="auto"/>
          <w:sz w:val="28"/>
          <w:szCs w:val="28"/>
          <w:highlight w:val="none"/>
        </w:rPr>
        <w:t>乙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地  址：   </w:t>
      </w:r>
    </w:p>
    <w:p>
      <w:pPr>
        <w:tabs>
          <w:tab w:val="left" w:pos="720"/>
        </w:tabs>
        <w:spacing w:line="360" w:lineRule="auto"/>
        <w:ind w:firstLine="721"/>
        <w:jc w:val="center"/>
        <w:rPr>
          <w:rFonts w:hint="eastAsia" w:ascii="黑体" w:hAnsi="黑体" w:eastAsia="黑体" w:cs="黑体"/>
          <w:b/>
          <w:color w:val="000000"/>
          <w:sz w:val="36"/>
          <w:szCs w:val="36"/>
        </w:rPr>
      </w:pPr>
    </w:p>
    <w:p>
      <w:pPr>
        <w:tabs>
          <w:tab w:val="left" w:pos="720"/>
        </w:tabs>
        <w:spacing w:line="360" w:lineRule="auto"/>
        <w:ind w:firstLine="420"/>
        <w:rPr>
          <w:rFonts w:hint="eastAsia" w:ascii="黑体" w:hAnsi="黑体" w:eastAsia="黑体" w:cs="黑体"/>
          <w:b/>
          <w:color w:val="000000"/>
          <w:sz w:val="21"/>
          <w:szCs w:val="21"/>
        </w:rPr>
      </w:pPr>
    </w:p>
    <w:p>
      <w:pPr>
        <w:spacing w:line="360" w:lineRule="auto"/>
        <w:rPr>
          <w:rFonts w:ascii="宋体" w:hAnsi="宋体" w:eastAsia="宋体"/>
          <w:color w:val="000000"/>
          <w:sz w:val="21"/>
          <w:szCs w:val="21"/>
        </w:rPr>
      </w:pPr>
    </w:p>
    <w:p>
      <w:pPr>
        <w:spacing w:line="360" w:lineRule="auto"/>
        <w:ind w:firstLine="420"/>
        <w:rPr>
          <w:rFonts w:ascii="宋体" w:hAnsi="宋体" w:eastAsia="宋体"/>
          <w:color w:val="000000"/>
          <w:sz w:val="21"/>
          <w:szCs w:val="21"/>
        </w:rPr>
      </w:pPr>
    </w:p>
    <w:p>
      <w:pPr>
        <w:spacing w:line="360" w:lineRule="auto"/>
        <w:ind w:firstLine="420"/>
        <w:rPr>
          <w:rFonts w:ascii="宋体" w:hAnsi="宋体" w:eastAsia="宋体"/>
          <w:b/>
          <w:color w:val="000000"/>
          <w:sz w:val="21"/>
          <w:szCs w:val="21"/>
        </w:rPr>
      </w:pPr>
      <w:r>
        <w:rPr>
          <w:rFonts w:hint="eastAsia" w:ascii="宋体" w:hAnsi="宋体" w:eastAsia="宋体"/>
          <w:b/>
          <w:color w:val="000000"/>
          <w:sz w:val="21"/>
          <w:szCs w:val="21"/>
        </w:rPr>
        <w:t>注：本合同仅为合同的参考文本，合同签订双方可根据项目的具体要求进行修订。</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宋体" w:hAnsi="宋体" w:eastAsia="宋体"/>
          <w:b/>
          <w:color w:val="000000"/>
          <w:sz w:val="21"/>
          <w:szCs w:val="21"/>
        </w:rPr>
        <w:br w:type="page"/>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乙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项目名称：</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　　采购编号：</w:t>
      </w:r>
      <w:r>
        <w:rPr>
          <w:rFonts w:hint="eastAsia" w:asciiTheme="minorEastAsia" w:hAnsiTheme="minorEastAsia" w:eastAsiaTheme="minorEastAsia" w:cstheme="minorEastAsia"/>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p>
    <w:p>
      <w:pPr>
        <w:spacing w:line="360" w:lineRule="auto"/>
        <w:ind w:firstLine="424" w:firstLineChars="202"/>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根据 </w:t>
      </w:r>
      <w:r>
        <w:rPr>
          <w:rFonts w:hint="eastAsia" w:asciiTheme="minorEastAsia" w:hAnsiTheme="minorEastAsia" w:eastAsiaTheme="minorEastAsia" w:cstheme="minorEastAsia"/>
          <w:color w:val="000000"/>
          <w:sz w:val="21"/>
          <w:szCs w:val="21"/>
          <w:u w:val="single"/>
        </w:rPr>
        <w:t xml:space="preserve">              项目</w:t>
      </w:r>
      <w:r>
        <w:rPr>
          <w:rFonts w:hint="eastAsia" w:asciiTheme="minorEastAsia" w:hAnsiTheme="minorEastAsia" w:eastAsiaTheme="minorEastAsia" w:cstheme="minorEastAsia"/>
          <w:color w:val="000000"/>
          <w:sz w:val="21"/>
          <w:szCs w:val="21"/>
        </w:rPr>
        <w:t>的采购结果，按照《中华人民共和国政府采购</w:t>
      </w:r>
      <w:r>
        <w:rPr>
          <w:rFonts w:hint="eastAsia" w:asciiTheme="minorEastAsia" w:hAnsiTheme="minorEastAsia" w:eastAsiaTheme="minorEastAsia" w:cstheme="minorEastAsia"/>
          <w:color w:val="000000"/>
          <w:sz w:val="21"/>
          <w:szCs w:val="21"/>
          <w:highlight w:val="none"/>
        </w:rPr>
        <w:t>法》、</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color w:val="000000"/>
          <w:sz w:val="21"/>
          <w:szCs w:val="21"/>
          <w:highlight w:val="none"/>
        </w:rPr>
        <w:t>的规定，</w:t>
      </w:r>
      <w:r>
        <w:rPr>
          <w:rFonts w:hint="eastAsia" w:asciiTheme="minorEastAsia" w:hAnsiTheme="minorEastAsia" w:eastAsiaTheme="minorEastAsia" w:cstheme="minorEastAsia"/>
          <w:color w:val="000000"/>
          <w:kern w:val="28"/>
          <w:sz w:val="21"/>
          <w:szCs w:val="21"/>
          <w:highlight w:val="none"/>
        </w:rPr>
        <w:t>经双方协商，</w:t>
      </w:r>
      <w:r>
        <w:rPr>
          <w:rFonts w:hint="eastAsia" w:asciiTheme="minorEastAsia" w:hAnsiTheme="minorEastAsia" w:eastAsiaTheme="minorEastAsia" w:cstheme="minorEastAsia"/>
          <w:color w:val="000000"/>
          <w:sz w:val="21"/>
          <w:szCs w:val="21"/>
          <w:highlight w:val="none"/>
        </w:rPr>
        <w:t>本着平等互利和诚实信用的原则，</w:t>
      </w:r>
      <w:r>
        <w:rPr>
          <w:rFonts w:hint="eastAsia" w:asciiTheme="minorEastAsia" w:hAnsiTheme="minorEastAsia" w:eastAsiaTheme="minorEastAsia" w:cstheme="minorEastAsia"/>
          <w:color w:val="000000"/>
          <w:kern w:val="28"/>
          <w:sz w:val="21"/>
          <w:szCs w:val="21"/>
          <w:highlight w:val="none"/>
        </w:rPr>
        <w:t>一致</w:t>
      </w:r>
      <w:r>
        <w:rPr>
          <w:rFonts w:hint="eastAsia" w:asciiTheme="minorEastAsia" w:hAnsiTheme="minorEastAsia" w:eastAsiaTheme="minorEastAsia" w:cstheme="minorEastAsia"/>
          <w:color w:val="000000"/>
          <w:kern w:val="28"/>
          <w:sz w:val="21"/>
          <w:szCs w:val="21"/>
        </w:rPr>
        <w:t>同意签订本合同如下。</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一、</w:t>
      </w:r>
      <w:r>
        <w:rPr>
          <w:rFonts w:hint="eastAsia" w:asciiTheme="minorEastAsia" w:hAnsiTheme="minorEastAsia" w:eastAsiaTheme="minorEastAsia" w:cstheme="minorEastAsia"/>
          <w:b/>
          <w:color w:val="000000"/>
          <w:sz w:val="21"/>
          <w:szCs w:val="21"/>
        </w:rPr>
        <w:t>货物内容</w:t>
      </w:r>
    </w:p>
    <w:tbl>
      <w:tblPr>
        <w:tblStyle w:val="25"/>
        <w:tblW w:w="90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7"/>
        <w:gridCol w:w="2090"/>
        <w:gridCol w:w="1479"/>
        <w:gridCol w:w="579"/>
        <w:gridCol w:w="724"/>
        <w:gridCol w:w="100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1187"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商品名称</w:t>
            </w:r>
          </w:p>
        </w:tc>
        <w:tc>
          <w:tcPr>
            <w:tcW w:w="2090"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品牌、规格型号</w:t>
            </w:r>
          </w:p>
        </w:tc>
        <w:tc>
          <w:tcPr>
            <w:tcW w:w="1479"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制造商</w:t>
            </w:r>
          </w:p>
        </w:tc>
        <w:tc>
          <w:tcPr>
            <w:tcW w:w="579"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单位</w:t>
            </w:r>
          </w:p>
        </w:tc>
        <w:tc>
          <w:tcPr>
            <w:tcW w:w="724"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1004"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单价(元)</w:t>
            </w:r>
          </w:p>
        </w:tc>
        <w:tc>
          <w:tcPr>
            <w:tcW w:w="1231"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合计</w:t>
            </w:r>
            <w:r>
              <w:rPr>
                <w:rFonts w:hint="eastAsia" w:asciiTheme="minorEastAsia" w:hAnsiTheme="minorEastAsia" w:eastAsiaTheme="minorEastAsia" w:cstheme="minorEastAsia"/>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187"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2090"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4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5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724"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004"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231"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1187"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2090"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4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5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724"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004"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231"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029" w:type="dxa"/>
            <w:gridSpan w:val="8"/>
            <w:tcBorders>
              <w:left w:val="single" w:color="auto" w:sz="8" w:space="0"/>
              <w:right w:val="single" w:color="auto" w:sz="8"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总额：￥；    大写：</w:t>
            </w:r>
          </w:p>
        </w:tc>
      </w:tr>
    </w:tbl>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合同总额包括乙方设计、安装、随机零配件、标配工具、运输保险、调试、培训、质保期服务、各项税费及合同实施过程中不可预见费用等。</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注：货物名称内容必须与响应文件中货物名称内容一致。</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二、</w:t>
      </w:r>
      <w:r>
        <w:rPr>
          <w:rFonts w:hint="eastAsia" w:asciiTheme="minorEastAsia" w:hAnsiTheme="minorEastAsia" w:eastAsiaTheme="minorEastAsia" w:cstheme="minorEastAsia"/>
          <w:b/>
          <w:color w:val="000000"/>
          <w:sz w:val="21"/>
          <w:szCs w:val="21"/>
        </w:rPr>
        <w:t>合同金额</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合同金额为（大写）：_________________元（￥_______________元）人民币。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三、</w:t>
      </w:r>
      <w:r>
        <w:rPr>
          <w:rFonts w:hint="eastAsia" w:asciiTheme="minorEastAsia" w:hAnsiTheme="minorEastAsia" w:eastAsiaTheme="minorEastAsia" w:cstheme="minorEastAsia"/>
          <w:b/>
          <w:color w:val="000000"/>
          <w:sz w:val="21"/>
          <w:szCs w:val="21"/>
        </w:rPr>
        <w:t>货物或服务要求</w:t>
      </w:r>
    </w:p>
    <w:p>
      <w:pPr>
        <w:tabs>
          <w:tab w:val="left" w:pos="851"/>
        </w:tabs>
        <w:spacing w:line="360" w:lineRule="auto"/>
        <w:ind w:left="851"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XXXXXXXXXXXXXXXXXXXXXXXXXXXXXXXXXXXXXXXXXXXXXXXXXXXX</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四、</w:t>
      </w:r>
      <w:r>
        <w:rPr>
          <w:rFonts w:hint="eastAsia" w:asciiTheme="minorEastAsia" w:hAnsiTheme="minorEastAsia" w:eastAsiaTheme="minorEastAsia" w:cstheme="minorEastAsia"/>
          <w:b/>
          <w:color w:val="000000"/>
          <w:sz w:val="21"/>
          <w:szCs w:val="21"/>
        </w:rPr>
        <w:t>交货期、交货方式及交货地点（服务期限、服务方式）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交货期：</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xml:space="preserve">交货地点： </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五、</w:t>
      </w:r>
      <w:r>
        <w:rPr>
          <w:rFonts w:hint="eastAsia" w:asciiTheme="minorEastAsia" w:hAnsiTheme="minorEastAsia" w:eastAsiaTheme="minorEastAsia" w:cstheme="minorEastAsia"/>
          <w:b/>
          <w:color w:val="000000"/>
          <w:sz w:val="21"/>
          <w:szCs w:val="21"/>
        </w:rPr>
        <w:t>付款方式</w:t>
      </w:r>
      <w:r>
        <w:rPr>
          <w:rFonts w:hint="eastAsia" w:asciiTheme="minorEastAsia" w:hAnsiTheme="minorEastAsia" w:eastAsiaTheme="minorEastAsia" w:cstheme="minorEastAsia"/>
          <w:b/>
          <w:color w:val="000000"/>
          <w:sz w:val="21"/>
          <w:szCs w:val="21"/>
          <w:lang w:eastAsia="zh-CN"/>
        </w:rPr>
        <w:t>：</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六、</w:t>
      </w:r>
      <w:r>
        <w:rPr>
          <w:rFonts w:hint="eastAsia" w:asciiTheme="minorEastAsia" w:hAnsiTheme="minorEastAsia" w:eastAsiaTheme="minorEastAsia" w:cstheme="minorEastAsia"/>
          <w:b/>
          <w:color w:val="000000"/>
          <w:sz w:val="21"/>
          <w:szCs w:val="21"/>
        </w:rPr>
        <w:t>质保期及售后服务要求</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本合同的质量保证期（简称“质保期”）为</w:t>
      </w:r>
      <w:r>
        <w:rPr>
          <w:rFonts w:hint="eastAsia" w:asciiTheme="minorEastAsia" w:hAnsiTheme="minorEastAsia" w:eastAsiaTheme="minorEastAsia" w:cstheme="minorEastAsia"/>
          <w:color w:val="000000"/>
          <w:sz w:val="21"/>
          <w:szCs w:val="21"/>
          <w:u w:val="single"/>
        </w:rPr>
        <w:t>X</w:t>
      </w:r>
      <w:r>
        <w:rPr>
          <w:rFonts w:hint="eastAsia" w:asciiTheme="minorEastAsia" w:hAnsiTheme="minorEastAsia" w:eastAsiaTheme="minorEastAsia" w:cstheme="minorEastAsia"/>
          <w:color w:val="000000"/>
          <w:sz w:val="21"/>
          <w:szCs w:val="21"/>
        </w:rPr>
        <w:t>年，质保期内乙方对所供货物实行包修、包换、包退及合同约定的其它事项，期满后可同时提供终身</w:t>
      </w:r>
      <w:r>
        <w:rPr>
          <w:rFonts w:hint="eastAsia" w:asciiTheme="minorEastAsia" w:hAnsiTheme="minorEastAsia" w:eastAsiaTheme="minorEastAsia" w:cstheme="minorEastAsia"/>
          <w:color w:val="000000"/>
          <w:sz w:val="21"/>
          <w:szCs w:val="21"/>
          <w:u w:val="single"/>
        </w:rPr>
        <w:t>(免费/有偿)</w:t>
      </w:r>
      <w:r>
        <w:rPr>
          <w:rFonts w:hint="eastAsia" w:asciiTheme="minorEastAsia" w:hAnsiTheme="minorEastAsia" w:eastAsiaTheme="minorEastAsia" w:cstheme="minorEastAsia"/>
          <w:color w:val="000000"/>
          <w:sz w:val="21"/>
          <w:szCs w:val="21"/>
        </w:rPr>
        <w:t>维修保养服务。</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质保期内，如设备或零部件因质量原因出现故障而造成短期停用时，则质保期和免费维修期相应顺延。</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七、</w:t>
      </w:r>
      <w:r>
        <w:rPr>
          <w:rFonts w:hint="eastAsia" w:asciiTheme="minorEastAsia" w:hAnsiTheme="minorEastAsia" w:eastAsiaTheme="minorEastAsia" w:cstheme="minorEastAsia"/>
          <w:b/>
          <w:color w:val="000000"/>
          <w:sz w:val="21"/>
          <w:szCs w:val="21"/>
        </w:rPr>
        <w:t>安装与调试</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乙方必须依照采购文件的要求和报价文件的承诺，将设备、系统安装并调试至正常运行的最佳状态。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rPr>
        <w:t>八、</w:t>
      </w:r>
      <w:r>
        <w:rPr>
          <w:rFonts w:hint="eastAsia" w:asciiTheme="minorEastAsia" w:hAnsiTheme="minorEastAsia" w:eastAsiaTheme="minorEastAsia" w:cstheme="minorEastAsia"/>
          <w:b/>
          <w:bCs/>
          <w:color w:val="000000"/>
          <w:sz w:val="21"/>
          <w:szCs w:val="21"/>
        </w:rPr>
        <w:t>验收：</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交付验收标准</w:t>
      </w:r>
      <w:r>
        <w:rPr>
          <w:rFonts w:hint="eastAsia" w:asciiTheme="minorEastAsia" w:hAnsiTheme="minorEastAsia" w:eastAsiaTheme="minorEastAsia" w:cstheme="minorEastAsia"/>
          <w:color w:val="000000"/>
          <w:sz w:val="21"/>
          <w:szCs w:val="21"/>
          <w:lang w:val="en-GB"/>
        </w:rPr>
        <w:t>依次序对照适用</w:t>
      </w:r>
      <w:r>
        <w:rPr>
          <w:rFonts w:hint="eastAsia" w:asciiTheme="minorEastAsia" w:hAnsiTheme="minorEastAsia" w:eastAsiaTheme="minorEastAsia" w:cstheme="minorEastAsia"/>
          <w:color w:val="000000"/>
          <w:sz w:val="21"/>
          <w:szCs w:val="21"/>
        </w:rPr>
        <w:t>标准</w:t>
      </w:r>
      <w:r>
        <w:rPr>
          <w:rFonts w:hint="eastAsia" w:asciiTheme="minorEastAsia" w:hAnsiTheme="minorEastAsia" w:eastAsiaTheme="minorEastAsia" w:cstheme="minorEastAsia"/>
          <w:color w:val="000000"/>
          <w:sz w:val="21"/>
          <w:szCs w:val="21"/>
          <w:lang w:val="en-GB"/>
        </w:rPr>
        <w:t>为：</w:t>
      </w:r>
      <w:r>
        <w:rPr>
          <w:rFonts w:hint="eastAsia" w:asciiTheme="minorEastAsia" w:hAnsiTheme="minorEastAsia" w:eastAsiaTheme="minorEastAsia" w:cstheme="minorEastAsia"/>
          <w:color w:val="000000"/>
          <w:sz w:val="21"/>
          <w:szCs w:val="21"/>
        </w:rPr>
        <w:t>①符合中华人民共和国国家安全质量标准、环保标准或行业标准；②符合采购文件和响应承诺中甲方认可的合理最佳配置、参数及各项要求；③货物来源国官方标准。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进口产品必须具备原产地证明和商检局的检验证明及合法进货渠道证明。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货物为原厂商未启封全新包装，具出厂合格证，序列号、包装箱号与出厂批号一致，并可追索查阅。所有随设备的附件必须齐全。</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乙方应将关键主机设备的用户手册、保修手册、有关单证资料及配备件、随机工具等交付给甲方，使用操作及安全须知等重要资料应附有中文说明。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甲方组成验收小组按国家有关规定、规范进行验收，必要时邀请相关的专业人员或</w:t>
      </w:r>
      <w:r>
        <w:rPr>
          <w:rFonts w:hint="eastAsia" w:asciiTheme="minorEastAsia" w:hAnsiTheme="minorEastAsia" w:eastAsiaTheme="minorEastAsia" w:cstheme="minorEastAsia"/>
          <w:i w:val="0"/>
          <w:color w:val="auto"/>
          <w:kern w:val="0"/>
          <w:sz w:val="21"/>
          <w:szCs w:val="21"/>
          <w:u w:val="none"/>
          <w:lang w:val="en-US" w:eastAsia="zh-CN" w:bidi="ar"/>
        </w:rPr>
        <w:t>或参加本项目的其他投标人或第三方机构</w:t>
      </w:r>
      <w:r>
        <w:rPr>
          <w:rFonts w:hint="eastAsia" w:asciiTheme="minorEastAsia" w:hAnsiTheme="minorEastAsia" w:eastAsiaTheme="minorEastAsia" w:cstheme="minorEastAsia"/>
          <w:color w:val="000000"/>
          <w:sz w:val="21"/>
          <w:szCs w:val="21"/>
        </w:rPr>
        <w:t>参与验收。因货物质量问题发生争议时，由本地质量技术监督部门鉴定。货物符合质量技术标准的，鉴定费由甲方承担；否则鉴定费由乙方承担。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九、</w:t>
      </w:r>
      <w:r>
        <w:rPr>
          <w:rFonts w:hint="eastAsia" w:asciiTheme="minorEastAsia" w:hAnsiTheme="minorEastAsia" w:eastAsiaTheme="minorEastAsia" w:cstheme="minorEastAsia"/>
          <w:b/>
          <w:color w:val="000000"/>
          <w:sz w:val="21"/>
          <w:szCs w:val="21"/>
        </w:rPr>
        <w:t>违约责任与赔偿损失</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乙方交付的货物、工程/提供的服务不符合本合同规定的，甲方有权拒收，并且乙方须向甲方支付本合同总价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乙方未能按本合同规定的交货时间交付货物的/提供服务，从逾期之日起每日按本合同总价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‰的数额向甲方支付违约金；逾期半个月以上的，甲方有权终止合同，由此造成的甲方经济损失由乙方承担。</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甲方无正当理由拒收货物/接受服务，到期拒付货物/服务款项的，甲方向乙方偿付本合同总的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%的违约金。甲方人逾期付款，则每日按本合同总价的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‰向乙方偿付违约金。</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highlight w:val="none"/>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其它违约责任</w:t>
      </w:r>
      <w:r>
        <w:rPr>
          <w:rFonts w:hint="eastAsia" w:asciiTheme="minorEastAsia" w:hAnsiTheme="minorEastAsia" w:eastAsiaTheme="minorEastAsia" w:cstheme="minorEastAsia"/>
          <w:color w:val="000000"/>
          <w:sz w:val="21"/>
          <w:szCs w:val="21"/>
          <w:highlight w:val="none"/>
        </w:rPr>
        <w:t>按</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bCs/>
          <w:color w:val="000000"/>
          <w:sz w:val="21"/>
          <w:szCs w:val="21"/>
          <w:highlight w:val="none"/>
        </w:rPr>
        <w:t>处理。</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lang w:eastAsia="zh-CN"/>
        </w:rPr>
        <w:t>十、</w:t>
      </w:r>
      <w:r>
        <w:rPr>
          <w:rFonts w:hint="eastAsia" w:asciiTheme="minorEastAsia" w:hAnsiTheme="minorEastAsia" w:eastAsiaTheme="minorEastAsia" w:cstheme="minorEastAsia"/>
          <w:b/>
          <w:color w:val="000000"/>
          <w:sz w:val="21"/>
          <w:szCs w:val="21"/>
          <w:highlight w:val="none"/>
        </w:rPr>
        <w:t>争议的解决</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highlight w:val="none"/>
        </w:rPr>
        <w:t>合同执行过程中发生的任何争议，如双方不能通过友好协商解决，按</w:t>
      </w:r>
      <w:r>
        <w:rPr>
          <w:rFonts w:hint="eastAsia" w:asciiTheme="minorEastAsia" w:hAnsiTheme="minorEastAsia" w:eastAsiaTheme="minorEastAsia" w:cstheme="minorEastAsia"/>
          <w:color w:val="000000"/>
          <w:sz w:val="21"/>
          <w:szCs w:val="21"/>
        </w:rPr>
        <w:t>相关法律法规处理(合同双方一致同意提请甲方所在地的人民法院提起诉讼)。</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十一、</w:t>
      </w:r>
      <w:r>
        <w:rPr>
          <w:rFonts w:hint="eastAsia" w:asciiTheme="minorEastAsia" w:hAnsiTheme="minorEastAsia" w:eastAsiaTheme="minorEastAsia" w:cstheme="minorEastAsia"/>
          <w:b/>
          <w:color w:val="000000"/>
          <w:sz w:val="21"/>
          <w:szCs w:val="21"/>
        </w:rPr>
        <w:t>不可抗力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十二、</w:t>
      </w:r>
      <w:r>
        <w:rPr>
          <w:rFonts w:hint="eastAsia" w:asciiTheme="minorEastAsia" w:hAnsiTheme="minorEastAsia" w:eastAsiaTheme="minorEastAsia" w:cstheme="minorEastAsia"/>
          <w:b/>
          <w:color w:val="000000"/>
          <w:sz w:val="21"/>
          <w:szCs w:val="21"/>
        </w:rPr>
        <w:t>税费</w:t>
      </w:r>
    </w:p>
    <w:p>
      <w:pPr>
        <w:tabs>
          <w:tab w:val="left" w:pos="851"/>
        </w:tabs>
        <w:spacing w:line="360" w:lineRule="auto"/>
        <w:ind w:firstLine="840"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在中国境内、外发生的与本合同执行有关的一切税费均由乙方负担。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十三、</w:t>
      </w:r>
      <w:r>
        <w:rPr>
          <w:rFonts w:hint="eastAsia" w:asciiTheme="minorEastAsia" w:hAnsiTheme="minorEastAsia" w:eastAsiaTheme="minorEastAsia" w:cstheme="minorEastAsia"/>
          <w:b/>
          <w:color w:val="000000"/>
          <w:sz w:val="21"/>
          <w:szCs w:val="21"/>
        </w:rPr>
        <w:t>其它</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1.本合同所有附件、采购文件、响应文件、成交通知书均为合同的有效组成部分，与本合同具有同等法律效力。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2.在执行本合同的过程中，所有经双方签署确认的文件（包括会议纪要、补充协议、往来信函）即成为本合同的有效组成部分。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3.如一方地址、电话、传真号码有变更，应在变更当日内书面通知对方，否则，应承担相应责任。</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4.除甲方事先书面同意外，乙方不得部分或全部转让其应履行的合同项下的义务。</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十四、</w:t>
      </w:r>
      <w:r>
        <w:rPr>
          <w:rFonts w:hint="eastAsia" w:asciiTheme="minorEastAsia" w:hAnsiTheme="minorEastAsia" w:eastAsiaTheme="minorEastAsia" w:cstheme="minorEastAsia"/>
          <w:b/>
          <w:color w:val="000000"/>
          <w:sz w:val="21"/>
          <w:szCs w:val="21"/>
        </w:rPr>
        <w:t>合同生效</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1.本合同在甲乙双方法人代表或其授权代表签字盖章后生效。</w:t>
      </w:r>
    </w:p>
    <w:p>
      <w:pPr>
        <w:widowControl/>
        <w:ind w:right="15" w:rightChars="7"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auto"/>
          <w:kern w:val="0"/>
          <w:sz w:val="21"/>
          <w:szCs w:val="21"/>
          <w:highlight w:val="none"/>
        </w:rPr>
        <w:t>合同一式四份，甲、乙双方、</w:t>
      </w:r>
      <w:r>
        <w:rPr>
          <w:rFonts w:hint="eastAsia" w:asciiTheme="minorEastAsia" w:hAnsiTheme="minorEastAsia" w:eastAsiaTheme="minorEastAsia" w:cstheme="minorEastAsia"/>
          <w:color w:val="auto"/>
          <w:kern w:val="0"/>
          <w:sz w:val="21"/>
          <w:szCs w:val="21"/>
          <w:highlight w:val="none"/>
          <w:lang w:eastAsia="zh-CN"/>
        </w:rPr>
        <w:t>公共</w:t>
      </w:r>
      <w:r>
        <w:rPr>
          <w:rFonts w:hint="eastAsia" w:asciiTheme="minorEastAsia" w:hAnsiTheme="minorEastAsia" w:eastAsiaTheme="minorEastAsia" w:cstheme="minorEastAsia"/>
          <w:color w:val="auto"/>
          <w:kern w:val="0"/>
          <w:sz w:val="21"/>
          <w:szCs w:val="21"/>
          <w:highlight w:val="none"/>
        </w:rPr>
        <w:t>资源交易中心、政府采购办各一份。</w:t>
      </w:r>
    </w:p>
    <w:p>
      <w:pPr>
        <w:spacing w:line="360" w:lineRule="auto"/>
        <w:rPr>
          <w:rFonts w:hint="eastAsia" w:asciiTheme="minorEastAsia" w:hAnsiTheme="minorEastAsia" w:eastAsiaTheme="minorEastAsia" w:cstheme="minorEastAsia"/>
          <w:color w:val="000000"/>
          <w:sz w:val="21"/>
          <w:szCs w:val="21"/>
        </w:rPr>
      </w:pP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甲方（盖章）：</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乙方（盖章）：</w:t>
      </w: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 xml:space="preserve">： </w:t>
      </w:r>
    </w:p>
    <w:p>
      <w:pPr>
        <w:tabs>
          <w:tab w:val="left" w:pos="4395"/>
        </w:tabs>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签定日期：　　　年　　月　　日</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签定日期：　　　年　　月　　日</w:t>
      </w:r>
    </w:p>
    <w:p>
      <w:pPr>
        <w:tabs>
          <w:tab w:val="left" w:pos="4395"/>
        </w:tabs>
        <w:spacing w:line="360" w:lineRule="auto"/>
        <w:ind w:left="3759" w:leftChars="1240" w:hanging="1155" w:hangingChars="5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开户名称</w:t>
      </w:r>
      <w:r>
        <w:rPr>
          <w:rFonts w:hint="eastAsia" w:asciiTheme="minorEastAsia" w:hAnsiTheme="minorEastAsia" w:eastAsiaTheme="minorEastAsia" w:cstheme="minorEastAsia"/>
          <w:color w:val="auto"/>
          <w:sz w:val="21"/>
          <w:szCs w:val="21"/>
        </w:rPr>
        <w:t>：（此部分信息应当按照供应商开户许可证信息填写，保证后期资金支付准确）</w:t>
      </w:r>
    </w:p>
    <w:p>
      <w:pPr>
        <w:tabs>
          <w:tab w:val="left" w:pos="4395"/>
        </w:tabs>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银行帐号：</w:t>
      </w:r>
    </w:p>
    <w:p>
      <w:pPr>
        <w:pStyle w:val="8"/>
        <w:ind w:firstLine="3990" w:firstLineChars="19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 户 行：</w:t>
      </w: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tbl>
      <w:tblPr>
        <w:tblStyle w:val="25"/>
        <w:tblpPr w:leftFromText="180" w:rightFromText="180" w:vertAnchor="text" w:horzAnchor="page" w:tblpX="1332" w:tblpY="587"/>
        <w:tblOverlap w:val="never"/>
        <w:tblW w:w="9032" w:type="dxa"/>
        <w:tblInd w:w="0" w:type="dxa"/>
        <w:tblLayout w:type="fixed"/>
        <w:tblCellMar>
          <w:top w:w="15" w:type="dxa"/>
          <w:left w:w="15" w:type="dxa"/>
          <w:bottom w:w="15" w:type="dxa"/>
          <w:right w:w="15" w:type="dxa"/>
        </w:tblCellMar>
      </w:tblPr>
      <w:tblGrid>
        <w:gridCol w:w="682"/>
        <w:gridCol w:w="979"/>
        <w:gridCol w:w="1394"/>
        <w:gridCol w:w="2012"/>
        <w:gridCol w:w="1320"/>
        <w:gridCol w:w="2645"/>
      </w:tblGrid>
      <w:tr>
        <w:tblPrEx>
          <w:tblLayout w:type="fixed"/>
          <w:tblCellMar>
            <w:top w:w="15" w:type="dxa"/>
            <w:left w:w="15" w:type="dxa"/>
            <w:bottom w:w="15" w:type="dxa"/>
            <w:right w:w="15" w:type="dxa"/>
          </w:tblCellMar>
        </w:tblPrEx>
        <w:trPr>
          <w:trHeight w:val="360" w:hRule="atLeast"/>
        </w:trPr>
        <w:tc>
          <w:tcPr>
            <w:tcW w:w="9032" w:type="dxa"/>
            <w:gridSpan w:val="6"/>
            <w:tcBorders>
              <w:top w:val="nil"/>
              <w:left w:val="nil"/>
              <w:bottom w:val="single" w:color="000000" w:sz="4" w:space="0"/>
              <w:right w:val="nil"/>
            </w:tcBorders>
            <w:vAlign w:val="center"/>
          </w:tcPr>
          <w:p>
            <w:pPr>
              <w:widowControl/>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sz w:val="36"/>
                <w:szCs w:val="36"/>
                <w:highlight w:val="none"/>
                <w:lang w:bidi="ar"/>
              </w:rPr>
              <w:t>奇台县政府采购项目验收报告</w:t>
            </w:r>
          </w:p>
        </w:tc>
      </w:tr>
      <w:tr>
        <w:tblPrEx>
          <w:tblLayout w:type="fixed"/>
          <w:tblCellMar>
            <w:top w:w="15" w:type="dxa"/>
            <w:left w:w="15" w:type="dxa"/>
            <w:bottom w:w="15" w:type="dxa"/>
            <w:right w:w="15" w:type="dxa"/>
          </w:tblCellMar>
        </w:tblPrEx>
        <w:trPr>
          <w:trHeight w:val="36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采购单位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项目负责人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00"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49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项目名称</w:t>
            </w:r>
          </w:p>
        </w:tc>
        <w:tc>
          <w:tcPr>
            <w:tcW w:w="340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项目编号</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33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中标单位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联系人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15"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0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合同金额（元）</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                                  小写：</w:t>
            </w:r>
          </w:p>
        </w:tc>
      </w:tr>
      <w:tr>
        <w:tblPrEx>
          <w:tblLayout w:type="fixed"/>
          <w:tblCellMar>
            <w:top w:w="15" w:type="dxa"/>
            <w:left w:w="15" w:type="dxa"/>
            <w:bottom w:w="15" w:type="dxa"/>
            <w:right w:w="15" w:type="dxa"/>
          </w:tblCellMar>
        </w:tblPrEx>
        <w:trPr>
          <w:trHeight w:val="550"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验收日期</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400" w:firstLineChars="1000"/>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年   月  日</w:t>
            </w:r>
          </w:p>
        </w:tc>
      </w:tr>
      <w:tr>
        <w:tblPrEx>
          <w:tblLayout w:type="fixed"/>
          <w:tblCellMar>
            <w:top w:w="15" w:type="dxa"/>
            <w:left w:w="15" w:type="dxa"/>
            <w:bottom w:w="15" w:type="dxa"/>
            <w:right w:w="15" w:type="dxa"/>
          </w:tblCellMar>
        </w:tblPrEx>
        <w:trPr>
          <w:trHeight w:val="37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货物品牌、型号或规格</w:t>
            </w:r>
          </w:p>
        </w:tc>
      </w:tr>
      <w:tr>
        <w:tblPrEx>
          <w:tblLayout w:type="fixed"/>
          <w:tblCellMar>
            <w:top w:w="15" w:type="dxa"/>
            <w:left w:w="15" w:type="dxa"/>
            <w:bottom w:w="15" w:type="dxa"/>
            <w:right w:w="15" w:type="dxa"/>
          </w:tblCellMar>
        </w:tblPrEx>
        <w:trPr>
          <w:trHeight w:val="830"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货物清单</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序</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号</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货物名称</w:t>
            </w: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品牌、型号或规格尺寸</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到货</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数量</w:t>
            </w:r>
          </w:p>
        </w:tc>
      </w:tr>
      <w:tr>
        <w:tblPrEx>
          <w:tblLayout w:type="fixed"/>
          <w:tblCellMar>
            <w:top w:w="15" w:type="dxa"/>
            <w:left w:w="15" w:type="dxa"/>
            <w:bottom w:w="15" w:type="dxa"/>
            <w:right w:w="15" w:type="dxa"/>
          </w:tblCellMar>
        </w:tblPrEx>
        <w:trPr>
          <w:trHeight w:val="78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740"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75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合计</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1829"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提供的货物品牌、型号或规格、数量是否与合同相符，技术参数配置与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文件相符：</w:t>
            </w:r>
          </w:p>
          <w:p>
            <w:pPr>
              <w:pStyle w:val="8"/>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10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安装调试：</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06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运行情况：</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380"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是否提供验收附件资料：（货物接收清单或相关检测报告或质量技术鉴定部门出具的鉴定结果均可作为附件一并存档）</w:t>
            </w:r>
          </w:p>
        </w:tc>
      </w:tr>
      <w:tr>
        <w:tblPrEx>
          <w:tblLayout w:type="fixed"/>
          <w:tblCellMar>
            <w:top w:w="15" w:type="dxa"/>
            <w:left w:w="15" w:type="dxa"/>
            <w:bottom w:w="15" w:type="dxa"/>
            <w:right w:w="15" w:type="dxa"/>
          </w:tblCellMar>
        </w:tblPrEx>
        <w:trPr>
          <w:trHeight w:val="6954" w:hRule="atLeast"/>
        </w:trPr>
        <w:tc>
          <w:tcPr>
            <w:tcW w:w="1661" w:type="dxa"/>
            <w:gridSpan w:val="2"/>
            <w:tcBorders>
              <w:left w:val="single" w:color="000000" w:sz="4" w:space="0"/>
              <w:bottom w:val="single" w:color="000000" w:sz="4" w:space="0"/>
              <w:right w:val="single" w:color="000000" w:sz="4" w:space="0"/>
            </w:tcBorders>
            <w:vAlign w:val="center"/>
          </w:tcPr>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采购</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意见</w:t>
            </w: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tc>
        <w:tc>
          <w:tcPr>
            <w:tcW w:w="7371" w:type="dxa"/>
            <w:gridSpan w:val="4"/>
            <w:tcBorders>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验收结论：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验收合格□    验收不合格□   在相应的□打√。</w:t>
            </w:r>
          </w:p>
          <w:p>
            <w:pPr>
              <w:pStyle w:val="2"/>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其他：</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单位负责人（签字）：</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                                    采购单位（盖公章）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验收小组负责人（签字）：</w:t>
            </w: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color w:val="auto"/>
                <w:kern w:val="0"/>
                <w:sz w:val="24"/>
                <w:szCs w:val="24"/>
                <w:highlight w:val="none"/>
                <w:lang w:bidi="ar"/>
              </w:rPr>
              <w:t xml:space="preserve">年   月   日                              </w:t>
            </w:r>
          </w:p>
          <w:p>
            <w:pPr>
              <w:pStyle w:val="2"/>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xml:space="preserve">验收小组成员（签字）：                        </w:t>
            </w:r>
          </w:p>
        </w:tc>
      </w:tr>
      <w:tr>
        <w:tblPrEx>
          <w:tblLayout w:type="fixed"/>
          <w:tblCellMar>
            <w:top w:w="15" w:type="dxa"/>
            <w:left w:w="15" w:type="dxa"/>
            <w:bottom w:w="15" w:type="dxa"/>
            <w:right w:w="15" w:type="dxa"/>
          </w:tblCellMar>
        </w:tblPrEx>
        <w:trPr>
          <w:trHeight w:val="1020" w:hRule="atLeast"/>
        </w:trPr>
        <w:tc>
          <w:tcPr>
            <w:tcW w:w="9032" w:type="dxa"/>
            <w:gridSpan w:val="6"/>
            <w:vAlign w:val="center"/>
          </w:tcPr>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备注：1、采购单位依据合同和验收报告支付货款。</w:t>
            </w:r>
          </w:p>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2、此表一式三份，采购单位、公共资源交易中心、供应商各一份。</w:t>
            </w:r>
          </w:p>
          <w:p>
            <w:pPr>
              <w:widowControl/>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3、其它验收文件作为此验收单附件一并提供。</w:t>
            </w:r>
          </w:p>
        </w:tc>
      </w:tr>
    </w:tbl>
    <w:p>
      <w:pPr>
        <w:pStyle w:val="36"/>
        <w:ind w:left="0" w:leftChars="0" w:firstLine="0" w:firstLineChars="0"/>
        <w:rPr>
          <w:rFonts w:hint="eastAsia" w:asciiTheme="minorEastAsia" w:hAnsiTheme="minorEastAsia" w:eastAsiaTheme="minorEastAsia" w:cstheme="minorEastAsia"/>
          <w:lang w:eastAsia="zh-CN"/>
        </w:rPr>
      </w:pPr>
    </w:p>
    <w:p>
      <w:pPr>
        <w:snapToGrid w:val="0"/>
        <w:spacing w:before="120" w:beforeLines="50" w:after="120" w:afterLines="50" w:line="280" w:lineRule="exact"/>
        <w:rPr>
          <w:rFonts w:ascii="宋体" w:hAnsi="宋体"/>
          <w:szCs w:val="21"/>
        </w:rPr>
      </w:pPr>
    </w:p>
    <w:p>
      <w:pPr>
        <w:pStyle w:val="8"/>
        <w:rPr>
          <w:rFonts w:ascii="宋体" w:hAnsi="宋体"/>
          <w:szCs w:val="21"/>
        </w:rPr>
      </w:pPr>
    </w:p>
    <w:p>
      <w:pPr>
        <w:rPr>
          <w:rFonts w:ascii="宋体" w:hAnsi="宋体"/>
          <w:szCs w:val="21"/>
        </w:rPr>
      </w:pPr>
    </w:p>
    <w:p>
      <w:pPr>
        <w:pStyle w:val="8"/>
        <w:rPr>
          <w:rFonts w:ascii="宋体" w:hAnsi="宋体"/>
          <w:szCs w:val="21"/>
        </w:rPr>
      </w:pPr>
    </w:p>
    <w:p>
      <w:pPr>
        <w:rPr>
          <w:rFonts w:ascii="宋体" w:hAnsi="宋体"/>
          <w:szCs w:val="21"/>
        </w:rPr>
      </w:pPr>
    </w:p>
    <w:p>
      <w:pPr>
        <w:pStyle w:val="8"/>
        <w:rPr>
          <w:rFonts w:ascii="宋体" w:hAnsi="宋体"/>
          <w:szCs w:val="21"/>
        </w:rPr>
      </w:pPr>
    </w:p>
    <w:p>
      <w:pPr>
        <w:rPr>
          <w:rFonts w:ascii="宋体" w:hAnsi="宋体"/>
          <w:szCs w:val="21"/>
        </w:rPr>
      </w:pPr>
    </w:p>
    <w:p>
      <w:pPr>
        <w:pStyle w:val="8"/>
        <w:rPr>
          <w:rFonts w:ascii="宋体" w:hAnsi="宋体"/>
          <w:szCs w:val="21"/>
        </w:rPr>
      </w:pPr>
    </w:p>
    <w:p>
      <w:pPr>
        <w:rPr>
          <w:rFonts w:ascii="宋体" w:hAnsi="宋体"/>
          <w:szCs w:val="21"/>
        </w:rPr>
      </w:pPr>
    </w:p>
    <w:p/>
    <w:p>
      <w:pPr>
        <w:numPr>
          <w:ilvl w:val="0"/>
          <w:numId w:val="45"/>
        </w:numPr>
        <w:spacing w:line="440" w:lineRule="exact"/>
        <w:jc w:val="center"/>
        <w:rPr>
          <w:rFonts w:hint="eastAsia" w:ascii="宋体" w:hAnsi="宋体"/>
          <w:b/>
          <w:sz w:val="32"/>
          <w:szCs w:val="32"/>
        </w:rPr>
      </w:pPr>
      <w:r>
        <w:rPr>
          <w:rFonts w:hint="eastAsia" w:ascii="宋体" w:hAnsi="宋体"/>
          <w:b/>
          <w:sz w:val="32"/>
          <w:szCs w:val="32"/>
        </w:rPr>
        <w:t xml:space="preserve"> 投标文件格式</w:t>
      </w: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r>
        <w:rPr>
          <w:rFonts w:hint="eastAsia" w:ascii="宋体" w:hAnsi="宋体" w:eastAsia="宋体" w:cs="宋体"/>
          <w:b/>
          <w:sz w:val="52"/>
          <w:szCs w:val="52"/>
        </w:rPr>
        <w:t>***项目</w:t>
      </w:r>
    </w:p>
    <w:p>
      <w:pPr>
        <w:adjustRightInd w:val="0"/>
        <w:snapToGrid w:val="0"/>
        <w:spacing w:line="360" w:lineRule="auto"/>
        <w:jc w:val="center"/>
        <w:rPr>
          <w:rFonts w:hint="eastAsia" w:ascii="宋体" w:hAnsi="宋体" w:eastAsia="宋体" w:cs="宋体"/>
          <w:b/>
          <w:bCs/>
          <w:sz w:val="72"/>
          <w:szCs w:val="72"/>
        </w:rPr>
      </w:pPr>
      <w:r>
        <w:rPr>
          <w:rFonts w:hint="eastAsia" w:cs="宋体"/>
          <w:b/>
          <w:bCs/>
          <w:sz w:val="72"/>
          <w:szCs w:val="72"/>
          <w:lang w:val="en-US" w:eastAsia="zh-CN"/>
        </w:rPr>
        <w:t>投标</w:t>
      </w:r>
      <w:r>
        <w:rPr>
          <w:rFonts w:hint="eastAsia" w:ascii="宋体" w:hAnsi="宋体" w:eastAsia="宋体" w:cs="宋体"/>
          <w:b/>
          <w:bCs/>
          <w:sz w:val="72"/>
          <w:szCs w:val="72"/>
        </w:rPr>
        <w:t>响应文件</w:t>
      </w:r>
    </w:p>
    <w:p>
      <w:pPr>
        <w:keepNext w:val="0"/>
        <w:keepLines w:val="0"/>
        <w:pageBreakBefore w:val="0"/>
        <w:widowControl w:val="0"/>
        <w:kinsoku/>
        <w:wordWrap/>
        <w:overflowPunct/>
        <w:topLinePunct w:val="0"/>
        <w:autoSpaceDE/>
        <w:autoSpaceDN/>
        <w:bidi w:val="0"/>
        <w:adjustRightInd/>
        <w:snapToGrid/>
        <w:spacing w:line="360" w:lineRule="auto"/>
        <w:ind w:firstLine="2249" w:firstLineChars="700"/>
        <w:textAlignment w:val="auto"/>
        <w:outlineLvl w:val="0"/>
        <w:rPr>
          <w:rFonts w:hint="eastAsia" w:ascii="宋体" w:hAnsi="宋体" w:eastAsia="宋体" w:cs="宋体"/>
          <w:b/>
          <w:bCs w:val="0"/>
          <w:color w:val="000000"/>
          <w:sz w:val="32"/>
          <w:szCs w:val="32"/>
          <w:u w:val="single"/>
          <w:lang w:val="en-US" w:eastAsia="zh-CN"/>
        </w:rPr>
      </w:pPr>
      <w:bookmarkStart w:id="18" w:name="_Toc30287"/>
      <w:r>
        <w:rPr>
          <w:rFonts w:hint="eastAsia" w:ascii="宋体" w:hAnsi="宋体" w:eastAsia="宋体" w:cs="宋体"/>
          <w:b/>
          <w:bCs w:val="0"/>
          <w:color w:val="000000"/>
          <w:sz w:val="32"/>
          <w:szCs w:val="32"/>
          <w:u w:val="none"/>
        </w:rPr>
        <w:t>项目编号：</w:t>
      </w:r>
      <w:bookmarkEnd w:id="18"/>
      <w:r>
        <w:rPr>
          <w:rFonts w:hint="eastAsia" w:ascii="宋体" w:hAnsi="宋体" w:eastAsia="宋体" w:cs="宋体"/>
          <w:b/>
          <w:bCs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249" w:firstLineChars="700"/>
        <w:textAlignment w:val="auto"/>
        <w:outlineLvl w:val="0"/>
        <w:rPr>
          <w:rFonts w:hint="default"/>
          <w:lang w:val="en-US" w:eastAsia="zh-CN"/>
        </w:rPr>
      </w:pPr>
      <w:r>
        <w:rPr>
          <w:rFonts w:hint="eastAsia" w:ascii="宋体" w:hAnsi="宋体" w:cs="宋体"/>
          <w:b/>
          <w:bCs w:val="0"/>
          <w:color w:val="000000"/>
          <w:sz w:val="32"/>
          <w:szCs w:val="32"/>
          <w:u w:val="none"/>
          <w:lang w:val="en-US" w:eastAsia="zh-CN"/>
        </w:rPr>
        <w:t>标项号/内容</w:t>
      </w:r>
      <w:r>
        <w:rPr>
          <w:rFonts w:hint="eastAsia" w:ascii="宋体" w:hAnsi="宋体" w:cs="宋体"/>
          <w:b/>
          <w:bCs w:val="0"/>
          <w:color w:val="000000"/>
          <w:sz w:val="32"/>
          <w:szCs w:val="32"/>
          <w:u w:val="single"/>
          <w:lang w:val="en-US" w:eastAsia="zh-CN"/>
        </w:rPr>
        <w:t xml:space="preserve">：              </w:t>
      </w:r>
    </w:p>
    <w:p>
      <w:pPr>
        <w:adjustRightInd w:val="0"/>
        <w:snapToGrid w:val="0"/>
        <w:spacing w:line="360" w:lineRule="auto"/>
        <w:jc w:val="both"/>
        <w:rPr>
          <w:rFonts w:hint="eastAsia" w:ascii="宋体" w:hAnsi="宋体" w:eastAsia="宋体" w:cs="宋体"/>
          <w:bCs/>
          <w:sz w:val="28"/>
          <w:szCs w:val="28"/>
        </w:rPr>
      </w:pPr>
    </w:p>
    <w:p>
      <w:pPr>
        <w:pStyle w:val="5"/>
        <w:rPr>
          <w:rFonts w:hint="eastAsia"/>
        </w:rPr>
      </w:pPr>
    </w:p>
    <w:p>
      <w:pPr>
        <w:spacing w:line="360" w:lineRule="auto"/>
        <w:ind w:firstLine="672" w:firstLineChars="200"/>
        <w:outlineLvl w:val="0"/>
        <w:rPr>
          <w:rFonts w:hint="eastAsia" w:ascii="宋体" w:hAnsi="宋体" w:eastAsia="宋体" w:cs="宋体"/>
          <w:b w:val="0"/>
          <w:bCs/>
          <w:spacing w:val="8"/>
          <w:sz w:val="32"/>
          <w:szCs w:val="32"/>
        </w:rPr>
      </w:pPr>
      <w:bookmarkStart w:id="19" w:name="_Toc7257"/>
      <w:r>
        <w:rPr>
          <w:rFonts w:hint="eastAsia" w:ascii="宋体" w:hAnsi="宋体" w:eastAsia="宋体" w:cs="宋体"/>
          <w:b w:val="0"/>
          <w:bCs/>
          <w:spacing w:val="8"/>
          <w:sz w:val="32"/>
          <w:szCs w:val="32"/>
        </w:rPr>
        <w:t>供应商名称：</w:t>
      </w:r>
      <w:r>
        <w:rPr>
          <w:rFonts w:hint="eastAsia" w:ascii="宋体" w:hAnsi="宋体" w:eastAsia="宋体" w:cs="宋体"/>
          <w:b w:val="0"/>
          <w:bCs/>
          <w:spacing w:val="8"/>
          <w:sz w:val="32"/>
          <w:szCs w:val="32"/>
          <w:u w:val="single"/>
        </w:rPr>
        <w:t xml:space="preserve">                     (盖公章)</w:t>
      </w:r>
      <w:bookmarkEnd w:id="19"/>
    </w:p>
    <w:p>
      <w:pPr>
        <w:spacing w:line="360" w:lineRule="auto"/>
        <w:ind w:firstLine="672" w:firstLineChars="200"/>
        <w:outlineLvl w:val="0"/>
        <w:rPr>
          <w:rFonts w:hint="eastAsia" w:ascii="宋体" w:hAnsi="宋体" w:eastAsia="宋体" w:cs="宋体"/>
          <w:b w:val="0"/>
          <w:bCs/>
          <w:spacing w:val="8"/>
          <w:sz w:val="32"/>
          <w:szCs w:val="32"/>
          <w:u w:val="single"/>
        </w:rPr>
      </w:pPr>
      <w:bookmarkStart w:id="20" w:name="_Toc11499"/>
      <w:r>
        <w:rPr>
          <w:rFonts w:hint="eastAsia" w:ascii="宋体" w:hAnsi="宋体" w:eastAsia="宋体" w:cs="宋体"/>
          <w:b w:val="0"/>
          <w:bCs/>
          <w:spacing w:val="8"/>
          <w:sz w:val="32"/>
          <w:szCs w:val="32"/>
        </w:rPr>
        <w:t>地址：</w:t>
      </w:r>
      <w:bookmarkEnd w:id="20"/>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spacing w:val="8"/>
          <w:sz w:val="32"/>
          <w:szCs w:val="32"/>
        </w:rPr>
      </w:pPr>
      <w:bookmarkStart w:id="21" w:name="_Toc23124"/>
      <w:r>
        <w:rPr>
          <w:rFonts w:hint="eastAsia" w:ascii="宋体" w:hAnsi="宋体" w:eastAsia="宋体" w:cs="宋体"/>
          <w:b w:val="0"/>
          <w:bCs/>
          <w:spacing w:val="8"/>
          <w:sz w:val="32"/>
          <w:szCs w:val="32"/>
        </w:rPr>
        <w:t>法定代表人或其被授权人（签字）：</w:t>
      </w:r>
      <w:bookmarkEnd w:id="21"/>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spacing w:val="8"/>
          <w:sz w:val="32"/>
          <w:szCs w:val="32"/>
          <w:u w:val="single"/>
        </w:rPr>
      </w:pPr>
      <w:bookmarkStart w:id="22" w:name="_Toc16169"/>
      <w:r>
        <w:rPr>
          <w:rFonts w:hint="eastAsia" w:ascii="宋体" w:hAnsi="宋体" w:eastAsia="宋体" w:cs="宋体"/>
          <w:b w:val="0"/>
          <w:bCs/>
          <w:spacing w:val="8"/>
          <w:sz w:val="32"/>
          <w:szCs w:val="32"/>
        </w:rPr>
        <w:t>电话：</w:t>
      </w:r>
      <w:bookmarkEnd w:id="22"/>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color w:val="FF0000"/>
          <w:kern w:val="0"/>
          <w:sz w:val="28"/>
          <w:szCs w:val="28"/>
          <w:u w:val="single"/>
        </w:rPr>
      </w:pPr>
      <w:bookmarkStart w:id="23" w:name="_Toc27178"/>
      <w:r>
        <w:rPr>
          <w:rFonts w:hint="eastAsia" w:ascii="宋体" w:hAnsi="宋体" w:eastAsia="宋体" w:cs="宋体"/>
          <w:b w:val="0"/>
          <w:bCs/>
          <w:spacing w:val="8"/>
          <w:sz w:val="32"/>
          <w:szCs w:val="32"/>
        </w:rPr>
        <w:t>日期：</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年</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月</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日</w:t>
      </w:r>
      <w:bookmarkEnd w:id="23"/>
    </w:p>
    <w:p>
      <w:pPr>
        <w:pStyle w:val="8"/>
        <w:numPr>
          <w:ilvl w:val="0"/>
          <w:numId w:val="0"/>
        </w:numPr>
      </w:pPr>
    </w:p>
    <w:p/>
    <w:p>
      <w:pPr>
        <w:pStyle w:val="8"/>
      </w:pPr>
    </w:p>
    <w:p/>
    <w:p/>
    <w:p>
      <w:pPr>
        <w:pStyle w:val="8"/>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98" w:firstLineChars="1600"/>
        <w:textAlignment w:val="auto"/>
        <w:outlineLvl w:val="0"/>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目 录</w:t>
      </w:r>
    </w:p>
    <w:p>
      <w:pPr>
        <w:pStyle w:val="8"/>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val="en-US" w:eastAsia="zh-CN"/>
        </w:rPr>
        <w:t>一、</w:t>
      </w:r>
      <w:r>
        <w:rPr>
          <w:rFonts w:hint="eastAsia" w:asciiTheme="minorEastAsia" w:hAnsiTheme="minorEastAsia" w:eastAsiaTheme="minorEastAsia" w:cstheme="minorEastAsia"/>
          <w:b/>
          <w:bCs/>
          <w:color w:val="auto"/>
          <w:sz w:val="28"/>
          <w:szCs w:val="28"/>
          <w:highlight w:val="none"/>
        </w:rPr>
        <w:t>资格审查</w:t>
      </w:r>
      <w:r>
        <w:rPr>
          <w:rFonts w:hint="eastAsia" w:asciiTheme="minorEastAsia" w:hAnsiTheme="minorEastAsia" w:eastAsiaTheme="minorEastAsia" w:cstheme="minorEastAsia"/>
          <w:b/>
          <w:bCs/>
          <w:color w:val="auto"/>
          <w:sz w:val="28"/>
          <w:szCs w:val="28"/>
          <w:highlight w:val="none"/>
          <w:lang w:eastAsia="zh-CN"/>
        </w:rPr>
        <w:t>文件</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1、</w:t>
      </w:r>
      <w:r>
        <w:rPr>
          <w:rFonts w:hint="eastAsia" w:asciiTheme="minorEastAsia" w:hAnsiTheme="minorEastAsia" w:eastAsiaTheme="minorEastAsia" w:cstheme="minorEastAsia"/>
          <w:iCs/>
          <w:color w:val="auto"/>
          <w:sz w:val="24"/>
          <w:szCs w:val="24"/>
          <w:highlight w:val="none"/>
        </w:rPr>
        <w:t>法人单位或者其他组织的营业执照等证明文件，自然人的身份证明</w:t>
      </w:r>
      <w:r>
        <w:rPr>
          <w:rFonts w:hint="eastAsia" w:cs="宋体"/>
          <w:iCs/>
          <w:color w:val="auto"/>
          <w:sz w:val="24"/>
          <w:szCs w:val="24"/>
          <w:highlight w:val="none"/>
          <w:lang w:val="en-US" w:eastAsia="zh-CN"/>
        </w:rPr>
        <w:t>..页码</w:t>
      </w:r>
    </w:p>
    <w:p>
      <w:pPr>
        <w:pStyle w:val="8"/>
        <w:keepNext w:val="0"/>
        <w:keepLines w:val="0"/>
        <w:pageBreakBefore w:val="0"/>
        <w:widowControl w:val="0"/>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val="en-US" w:eastAsia="zh-CN"/>
        </w:rPr>
      </w:pPr>
      <w:r>
        <w:rPr>
          <w:rFonts w:hint="eastAsia" w:asciiTheme="minorEastAsia" w:hAnsiTheme="minorEastAsia" w:eastAsiaTheme="minorEastAsia" w:cstheme="minorEastAsia"/>
          <w:iCs/>
          <w:color w:val="auto"/>
          <w:sz w:val="24"/>
          <w:szCs w:val="24"/>
          <w:highlight w:val="none"/>
          <w:lang w:val="en-US" w:eastAsia="zh-CN"/>
        </w:rPr>
        <w:t>2、</w:t>
      </w:r>
      <w:r>
        <w:rPr>
          <w:rFonts w:hint="eastAsia" w:asciiTheme="minorEastAsia" w:hAnsiTheme="minorEastAsia" w:eastAsiaTheme="minorEastAsia" w:cstheme="minorEastAsia"/>
          <w:iCs/>
          <w:color w:val="auto"/>
          <w:sz w:val="24"/>
          <w:szCs w:val="24"/>
          <w:highlight w:val="none"/>
        </w:rPr>
        <w:t>法定代表人资格证明书</w:t>
      </w:r>
      <w:r>
        <w:rPr>
          <w:rFonts w:hint="eastAsia" w:asciiTheme="minorEastAsia" w:hAnsiTheme="minorEastAsia" w:eastAsiaTheme="minorEastAsia" w:cstheme="minorEastAsia"/>
          <w:iCs/>
          <w:color w:val="auto"/>
          <w:sz w:val="24"/>
          <w:szCs w:val="24"/>
          <w:highlight w:val="none"/>
          <w:lang w:eastAsia="zh-CN"/>
        </w:rPr>
        <w:t>、</w:t>
      </w:r>
      <w:r>
        <w:rPr>
          <w:rFonts w:hint="eastAsia" w:asciiTheme="minorEastAsia" w:hAnsiTheme="minorEastAsia" w:eastAsiaTheme="minorEastAsia" w:cstheme="minorEastAsia"/>
          <w:iCs/>
          <w:color w:val="auto"/>
          <w:sz w:val="24"/>
          <w:szCs w:val="24"/>
          <w:highlight w:val="none"/>
        </w:rPr>
        <w:t>法人代表授权书</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3、</w:t>
      </w:r>
      <w:r>
        <w:rPr>
          <w:rFonts w:hint="eastAsia" w:asciiTheme="minorEastAsia" w:hAnsiTheme="minorEastAsia" w:eastAsiaTheme="minorEastAsia" w:cstheme="minorEastAsia"/>
          <w:iCs/>
          <w:color w:val="auto"/>
          <w:sz w:val="24"/>
          <w:szCs w:val="24"/>
          <w:highlight w:val="none"/>
        </w:rPr>
        <w:t>最近一个年度的财务状况报告</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4、</w:t>
      </w:r>
      <w:r>
        <w:rPr>
          <w:rFonts w:hint="eastAsia" w:asciiTheme="minorEastAsia" w:hAnsiTheme="minorEastAsia" w:eastAsiaTheme="minorEastAsia" w:cstheme="minorEastAsia"/>
          <w:iCs/>
          <w:color w:val="auto"/>
          <w:sz w:val="24"/>
          <w:szCs w:val="24"/>
          <w:highlight w:val="none"/>
        </w:rPr>
        <w:t>依法缴纳税收和社会保障资金的相关材料</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5、</w:t>
      </w:r>
      <w:r>
        <w:rPr>
          <w:rFonts w:hint="eastAsia" w:asciiTheme="minorEastAsia" w:hAnsiTheme="minorEastAsia" w:eastAsiaTheme="minorEastAsia" w:cstheme="minorEastAsia"/>
          <w:iCs/>
          <w:color w:val="auto"/>
          <w:sz w:val="24"/>
          <w:szCs w:val="24"/>
          <w:highlight w:val="none"/>
        </w:rPr>
        <w:t>具备履行合同所必需的设备和专业技术能力的书面声明</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rPr>
          <w:rFonts w:hint="eastAsia" w:cs="宋体"/>
          <w:iCs/>
          <w:color w:val="auto"/>
          <w:sz w:val="24"/>
          <w:szCs w:val="24"/>
          <w:highlight w:val="none"/>
          <w:lang w:val="en-US" w:eastAsia="zh-CN"/>
        </w:rPr>
      </w:pPr>
      <w:r>
        <w:rPr>
          <w:rFonts w:hint="eastAsia" w:asciiTheme="minorEastAsia" w:hAnsiTheme="minorEastAsia" w:eastAsiaTheme="minorEastAsia" w:cstheme="minorEastAsia"/>
          <w:iCs/>
          <w:color w:val="auto"/>
          <w:sz w:val="24"/>
          <w:szCs w:val="24"/>
          <w:highlight w:val="none"/>
          <w:lang w:val="en-US" w:eastAsia="zh-CN"/>
        </w:rPr>
        <w:t>6、</w:t>
      </w:r>
      <w:r>
        <w:rPr>
          <w:rFonts w:hint="eastAsia" w:asciiTheme="minorEastAsia" w:hAnsiTheme="minorEastAsia" w:eastAsiaTheme="minorEastAsia" w:cstheme="minorEastAsia"/>
          <w:iCs/>
          <w:color w:val="auto"/>
          <w:sz w:val="24"/>
          <w:szCs w:val="24"/>
          <w:highlight w:val="none"/>
        </w:rPr>
        <w:t>参加政府采购活动前 3 年内在经营活动中没有重大违法记录的书面声明</w:t>
      </w:r>
      <w:r>
        <w:rPr>
          <w:rFonts w:hint="eastAsia" w:cs="宋体"/>
          <w:iCs/>
          <w:color w:val="auto"/>
          <w:sz w:val="24"/>
          <w:szCs w:val="24"/>
          <w:highlight w:val="none"/>
          <w:lang w:val="en-US" w:eastAsia="zh-CN"/>
        </w:rPr>
        <w:t>.........................................................................................................................................页码</w:t>
      </w:r>
    </w:p>
    <w:p>
      <w:pPr>
        <w:pStyle w:val="8"/>
        <w:ind w:firstLine="1200" w:firstLineChars="500"/>
        <w:rPr>
          <w:rFonts w:hint="eastAsia"/>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7、</w:t>
      </w:r>
      <w:r>
        <w:rPr>
          <w:rFonts w:hint="eastAsia" w:asciiTheme="minorEastAsia" w:hAnsiTheme="minorEastAsia" w:eastAsiaTheme="minorEastAsia" w:cstheme="minorEastAsia"/>
          <w:color w:val="auto"/>
          <w:sz w:val="24"/>
          <w:szCs w:val="24"/>
          <w:lang w:val="en-US" w:eastAsia="zh-CN"/>
        </w:rPr>
        <w:t>中小企业声明（</w:t>
      </w:r>
      <w:r>
        <w:rPr>
          <w:rFonts w:hint="eastAsia" w:asciiTheme="minorEastAsia" w:hAnsiTheme="minorEastAsia" w:eastAsiaTheme="minorEastAsia" w:cstheme="minorEastAsia"/>
          <w:b/>
          <w:bCs/>
          <w:i/>
          <w:iCs/>
          <w:color w:val="auto"/>
          <w:sz w:val="21"/>
          <w:szCs w:val="21"/>
          <w:lang w:val="en-US" w:eastAsia="zh-CN"/>
        </w:rPr>
        <w:t>依据六、其他相关附表格式 附件2：关于印发中小企业划型标准规定的通知规定认证填写）</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24" w:name="_Toc387"/>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iCs/>
          <w:color w:val="auto"/>
          <w:sz w:val="24"/>
          <w:szCs w:val="24"/>
          <w:highlight w:val="none"/>
        </w:rPr>
        <w:t>开标一览表</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default"/>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投标产品配置与分项报价表</w:t>
      </w:r>
      <w:bookmarkEnd w:id="24"/>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25" w:name="_Toc20632"/>
      <w:r>
        <w:rPr>
          <w:rFonts w:hint="eastAsia" w:asciiTheme="minorEastAsia" w:hAnsiTheme="minorEastAsia" w:eastAsiaTheme="minorEastAsia" w:cstheme="minorEastAsia"/>
          <w:b/>
          <w:bCs/>
          <w:color w:val="auto"/>
          <w:sz w:val="28"/>
          <w:szCs w:val="28"/>
          <w:highlight w:val="none"/>
          <w:lang w:eastAsia="zh-CN"/>
        </w:rPr>
        <w:t>三、商务文件</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w:t>
      </w:r>
      <w:r>
        <w:rPr>
          <w:rFonts w:hint="eastAsia" w:asciiTheme="minorEastAsia" w:hAnsiTheme="minorEastAsia" w:eastAsiaTheme="minorEastAsia" w:cstheme="minorEastAsia"/>
          <w:b w:val="0"/>
          <w:bCs w:val="0"/>
          <w:i w:val="0"/>
          <w:iCs w:val="0"/>
          <w:color w:val="auto"/>
          <w:sz w:val="24"/>
          <w:szCs w:val="24"/>
          <w:highlight w:val="none"/>
          <w:lang w:val="zh-CN" w:eastAsia="zh-CN"/>
        </w:rPr>
        <w:t>投标函</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cs="宋体"/>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2、商务条款响应及偏离表</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cs="宋体"/>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3、节能和环境标志产品证明材料清单</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4、类似项目一览表</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i w:val="0"/>
          <w:iCs w:val="0"/>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5、售后服务方案</w:t>
      </w:r>
      <w:r>
        <w:rPr>
          <w:rFonts w:hint="eastAsia" w:cs="宋体"/>
          <w:i w:val="0"/>
          <w:iCs w:val="0"/>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w:t>
      </w: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b/>
          <w:bCs/>
          <w:color w:val="auto"/>
          <w:sz w:val="28"/>
          <w:szCs w:val="28"/>
          <w:highlight w:val="none"/>
          <w:lang w:eastAsia="zh-CN"/>
        </w:rPr>
        <w:t>技术文件</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1、技术参数响应及偏离表</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cs="宋体"/>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2、项目设计方案</w:t>
      </w:r>
      <w:r>
        <w:rPr>
          <w:rFonts w:hint="eastAsia" w:cs="宋体"/>
          <w:i w:val="0"/>
          <w:iCs w:val="0"/>
          <w:color w:val="auto"/>
          <w:sz w:val="24"/>
          <w:szCs w:val="24"/>
          <w:highlight w:val="none"/>
          <w:lang w:val="en-US" w:eastAsia="zh-CN"/>
        </w:rPr>
        <w:t>.............................................................................................页码</w:t>
      </w:r>
    </w:p>
    <w:p>
      <w:pPr>
        <w:rPr>
          <w:rFonts w:hint="default"/>
          <w:lang w:val="en-US" w:eastAsia="zh-CN"/>
        </w:rPr>
      </w:pPr>
      <w:r>
        <w:rPr>
          <w:rFonts w:hint="eastAsia" w:cs="宋体"/>
          <w:i w:val="0"/>
          <w:iCs w:val="0"/>
          <w:color w:val="auto"/>
          <w:sz w:val="24"/>
          <w:szCs w:val="24"/>
          <w:highlight w:val="none"/>
          <w:lang w:val="en-US" w:eastAsia="zh-CN"/>
        </w:rPr>
        <w:t xml:space="preserve">          3、（附）现场勘查记录表............................................................................页码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4、项目实施方案</w:t>
      </w:r>
      <w:r>
        <w:rPr>
          <w:rFonts w:hint="eastAsia" w:cs="宋体"/>
          <w:i w:val="0"/>
          <w:iCs w:val="0"/>
          <w:color w:val="auto"/>
          <w:sz w:val="24"/>
          <w:szCs w:val="24"/>
          <w:highlight w:val="none"/>
          <w:lang w:val="en-US" w:eastAsia="zh-CN"/>
        </w:rPr>
        <w:t>.............................................................................................页码</w:t>
      </w:r>
    </w:p>
    <w:p>
      <w:pPr>
        <w:pStyle w:val="14"/>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asciiTheme="minorEastAsia" w:hAnsiTheme="minorEastAsia" w:eastAsiaTheme="minorEastAsia" w:cstheme="minorEastAsia"/>
          <w:bCs/>
          <w:i w:val="0"/>
          <w:iCs w:val="0"/>
          <w:color w:val="auto"/>
          <w:kern w:val="0"/>
          <w:sz w:val="24"/>
          <w:szCs w:val="24"/>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5、项目培训方案</w:t>
      </w:r>
      <w:r>
        <w:rPr>
          <w:rFonts w:hint="eastAsia" w:cs="宋体"/>
          <w:i w:val="0"/>
          <w:iCs w:val="0"/>
          <w:color w:val="auto"/>
          <w:sz w:val="24"/>
          <w:szCs w:val="24"/>
          <w:highlight w:val="none"/>
          <w:lang w:val="en-US" w:eastAsia="zh-CN"/>
        </w:rPr>
        <w:t>.............................................................................................页码</w:t>
      </w:r>
    </w:p>
    <w:bookmarkEnd w:id="25"/>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26" w:name="_Toc13487"/>
      <w:r>
        <w:rPr>
          <w:rFonts w:hint="eastAsia" w:asciiTheme="minorEastAsia" w:hAnsiTheme="minorEastAsia" w:eastAsiaTheme="minorEastAsia" w:cstheme="minorEastAsia"/>
          <w:b/>
          <w:bCs/>
          <w:color w:val="auto"/>
          <w:sz w:val="28"/>
          <w:szCs w:val="28"/>
          <w:highlight w:val="none"/>
          <w:lang w:eastAsia="zh-CN"/>
        </w:rPr>
        <w:t>五</w:t>
      </w:r>
      <w:r>
        <w:rPr>
          <w:rFonts w:hint="eastAsia" w:asciiTheme="minorEastAsia" w:hAnsiTheme="minorEastAsia" w:eastAsiaTheme="minorEastAsia" w:cstheme="minorEastAsia"/>
          <w:b/>
          <w:bCs/>
          <w:color w:val="auto"/>
          <w:sz w:val="28"/>
          <w:szCs w:val="28"/>
          <w:highlight w:val="none"/>
        </w:rPr>
        <w:t>、供应商认为有必要提供的声明及文件资料</w:t>
      </w:r>
      <w:bookmarkEnd w:id="26"/>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27" w:name="_Toc28342"/>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bookmarkEnd w:id="27"/>
    </w:p>
    <w:p>
      <w:pPr>
        <w:pStyle w:val="8"/>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质疑函范本</w:t>
      </w:r>
      <w:r>
        <w:rPr>
          <w:rFonts w:hint="eastAsia" w:asciiTheme="minorEastAsia" w:hAnsiTheme="minorEastAsia" w:eastAsiaTheme="minorEastAsia" w:cstheme="minorEastAsia"/>
          <w:b w:val="0"/>
          <w:bCs w:val="0"/>
          <w:sz w:val="24"/>
          <w:szCs w:val="24"/>
          <w:lang w:eastAsia="zh-CN"/>
        </w:rPr>
        <w:t>；</w:t>
      </w:r>
    </w:p>
    <w:p>
      <w:pPr>
        <w:pStyle w:val="8"/>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i w:val="0"/>
          <w:caps w:val="0"/>
          <w:color w:val="000000"/>
          <w:spacing w:val="0"/>
          <w:sz w:val="24"/>
          <w:szCs w:val="24"/>
        </w:rPr>
        <w:t>关于印发中小企业划型标准规定的通知</w:t>
      </w:r>
      <w:r>
        <w:rPr>
          <w:rFonts w:hint="eastAsia" w:asciiTheme="minorEastAsia" w:hAnsiTheme="minorEastAsia" w:eastAsiaTheme="minorEastAsia" w:cstheme="minorEastAsia"/>
          <w:b w:val="0"/>
          <w:bCs w:val="0"/>
          <w:i w:val="0"/>
          <w:caps w:val="0"/>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pacing w:line="240" w:lineRule="auto"/>
        <w:ind w:firstLine="1200" w:firstLineChars="500"/>
        <w:textAlignment w:val="auto"/>
        <w:rPr>
          <w:color w:val="auto"/>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kern w:val="2"/>
          <w:sz w:val="24"/>
          <w:szCs w:val="24"/>
          <w:lang w:val="en-US" w:eastAsia="zh-CN" w:bidi="ar-SA"/>
        </w:rPr>
        <w:t>3：</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rPr>
        <w:t>市场监管总局关于发布参与实施政府采购节能产品、环境标志产品认证机构名录的公告</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w:t>
      </w:r>
    </w:p>
    <w:p>
      <w:pPr>
        <w:spacing w:line="440" w:lineRule="exact"/>
        <w:rPr>
          <w:rFonts w:ascii="宋体" w:hAnsi="宋体"/>
          <w:b/>
          <w:sz w:val="28"/>
        </w:rPr>
      </w:pPr>
    </w:p>
    <w:p/>
    <w:p>
      <w:pPr>
        <w:spacing w:line="280" w:lineRule="exact"/>
        <w:jc w:val="center"/>
        <w:rPr>
          <w:rFonts w:ascii="宋体" w:hAnsi="宋体"/>
        </w:rPr>
      </w:pPr>
      <w:r>
        <w:rPr>
          <w:rFonts w:ascii="宋体" w:hAnsi="宋体"/>
        </w:rPr>
        <w:br w:type="page"/>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一、资格审查文件格式</w:t>
      </w:r>
    </w:p>
    <w:p>
      <w:pPr>
        <w:shd w:val="clear" w:color="auto" w:fill="FFFFFF"/>
        <w:spacing w:before="100" w:beforeAutospacing="1" w:after="100" w:afterAutospacing="1" w:line="440" w:lineRule="atLeast"/>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格式一</w:t>
      </w:r>
    </w:p>
    <w:p>
      <w:pPr>
        <w:shd w:val="clear" w:color="auto" w:fill="FFFFFF"/>
        <w:spacing w:before="100" w:beforeAutospacing="1" w:after="100" w:afterAutospacing="1" w:line="440" w:lineRule="atLeast"/>
        <w:ind w:firstLine="3534" w:firstLineChars="1100"/>
        <w:outlineLvl w:val="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投标人基本情况表</w:t>
      </w:r>
    </w:p>
    <w:tbl>
      <w:tblPr>
        <w:tblStyle w:val="25"/>
        <w:tblW w:w="907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16"/>
        <w:gridCol w:w="798"/>
        <w:gridCol w:w="892"/>
        <w:gridCol w:w="1716"/>
        <w:gridCol w:w="1339"/>
        <w:gridCol w:w="190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投标人名称</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组织机构代码</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邮政编码</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委托代理人</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电子邮箱</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上年营业收入</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员工总人数</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固定电话</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20" w:type="dxa"/>
            <w:vMerge w:val="restart"/>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营业执照</w:t>
            </w: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注册号码</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注册地址</w:t>
            </w:r>
          </w:p>
        </w:tc>
        <w:tc>
          <w:tcPr>
            <w:tcW w:w="3092"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发证机关</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发证日期</w:t>
            </w:r>
          </w:p>
        </w:tc>
        <w:tc>
          <w:tcPr>
            <w:tcW w:w="3092"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营业范围（主营）</w:t>
            </w:r>
          </w:p>
        </w:tc>
        <w:tc>
          <w:tcPr>
            <w:tcW w:w="6147" w:type="dxa"/>
            <w:gridSpan w:val="4"/>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特定的资格证书</w:t>
            </w:r>
          </w:p>
        </w:tc>
        <w:tc>
          <w:tcPr>
            <w:tcW w:w="6147" w:type="dxa"/>
            <w:gridSpan w:val="4"/>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基本账户开户行及帐号</w:t>
            </w:r>
          </w:p>
        </w:tc>
        <w:tc>
          <w:tcPr>
            <w:tcW w:w="6147"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税务登记机关</w:t>
            </w:r>
          </w:p>
        </w:tc>
        <w:tc>
          <w:tcPr>
            <w:tcW w:w="6147"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236"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备注</w:t>
            </w:r>
          </w:p>
        </w:tc>
        <w:tc>
          <w:tcPr>
            <w:tcW w:w="7837" w:type="dxa"/>
            <w:gridSpan w:val="6"/>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bl>
    <w:p>
      <w:pPr>
        <w:rPr>
          <w:rFonts w:hint="eastAsia" w:asciiTheme="minorEastAsia" w:hAnsiTheme="minorEastAsia" w:eastAsiaTheme="minorEastAsia" w:cstheme="minorEastAsia"/>
          <w:b/>
          <w:color w:val="auto"/>
          <w:sz w:val="24"/>
          <w:highlight w:val="none"/>
        </w:rPr>
      </w:pPr>
    </w:p>
    <w:p>
      <w:pPr>
        <w:shd w:val="clear" w:color="auto" w:fill="FFFFFF"/>
        <w:spacing w:before="100" w:beforeAutospacing="1" w:after="100" w:afterAutospacing="1" w:line="340" w:lineRule="atLeast"/>
        <w:textAlignment w:val="bottom"/>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备注：在本表后附企业营业执照副本</w:t>
      </w:r>
      <w:r>
        <w:rPr>
          <w:rFonts w:hint="eastAsia" w:asciiTheme="minorEastAsia" w:hAnsiTheme="minorEastAsia" w:eastAsiaTheme="minorEastAsia" w:cstheme="minorEastAsia"/>
          <w:b/>
          <w:color w:val="auto"/>
          <w:sz w:val="21"/>
          <w:szCs w:val="21"/>
          <w:highlight w:val="none"/>
          <w:lang w:eastAsia="zh-CN"/>
        </w:rPr>
        <w:t>、特定资格证明材料</w:t>
      </w:r>
      <w:r>
        <w:rPr>
          <w:rFonts w:hint="eastAsia" w:asciiTheme="minorEastAsia" w:hAnsiTheme="minorEastAsia" w:eastAsiaTheme="minorEastAsia" w:cstheme="minorEastAsia"/>
          <w:b/>
          <w:color w:val="auto"/>
          <w:sz w:val="21"/>
          <w:szCs w:val="21"/>
          <w:highlight w:val="none"/>
        </w:rPr>
        <w:t>复印件</w:t>
      </w:r>
      <w:r>
        <w:rPr>
          <w:rFonts w:hint="eastAsia" w:asciiTheme="minorEastAsia" w:hAnsiTheme="minorEastAsia" w:eastAsiaTheme="minorEastAsia" w:cstheme="minorEastAsia"/>
          <w:b/>
          <w:color w:val="auto"/>
          <w:sz w:val="21"/>
          <w:szCs w:val="21"/>
          <w:highlight w:val="none"/>
          <w:lang w:eastAsia="zh-CN"/>
        </w:rPr>
        <w:t>或扫描件（加盖公章）</w:t>
      </w:r>
      <w:r>
        <w:rPr>
          <w:rFonts w:hint="eastAsia" w:asciiTheme="minorEastAsia" w:hAnsiTheme="minorEastAsia" w:eastAsiaTheme="minorEastAsia" w:cstheme="minorEastAsia"/>
          <w:b/>
          <w:color w:val="auto"/>
          <w:sz w:val="21"/>
          <w:szCs w:val="21"/>
          <w:highlight w:val="none"/>
        </w:rPr>
        <w:t>。</w:t>
      </w:r>
    </w:p>
    <w:p>
      <w:pPr>
        <w:pStyle w:val="8"/>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b/>
          <w:color w:val="auto"/>
          <w:sz w:val="21"/>
          <w:szCs w:val="21"/>
          <w:highlight w:val="none"/>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格式二</w:t>
      </w: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法定代表人资格证明书及授权委托书</w:t>
      </w:r>
    </w:p>
    <w:p>
      <w:pPr>
        <w:spacing w:line="480" w:lineRule="exact"/>
        <w:jc w:val="center"/>
        <w:outlineLvl w:val="0"/>
        <w:rPr>
          <w:rFonts w:hint="eastAsia" w:asciiTheme="minorEastAsia" w:hAnsiTheme="minorEastAsia" w:eastAsiaTheme="minorEastAsia" w:cstheme="minorEastAsia"/>
          <w:b/>
          <w:color w:val="auto"/>
          <w:sz w:val="24"/>
          <w:highlight w:val="none"/>
        </w:rPr>
      </w:pPr>
      <w:bookmarkStart w:id="28" w:name="_Toc10553"/>
      <w:r>
        <w:rPr>
          <w:rFonts w:hint="eastAsia" w:asciiTheme="minorEastAsia" w:hAnsiTheme="minorEastAsia" w:eastAsiaTheme="minorEastAsia" w:cstheme="minorEastAsia"/>
          <w:b/>
          <w:color w:val="auto"/>
          <w:sz w:val="24"/>
          <w:highlight w:val="none"/>
        </w:rPr>
        <w:t>（1）法定代表人资格证明书</w:t>
      </w:r>
      <w:bookmarkEnd w:id="28"/>
    </w:p>
    <w:p>
      <w:pPr>
        <w:adjustRightInd w:val="0"/>
        <w:snapToGrid w:val="0"/>
        <w:spacing w:line="300" w:lineRule="auto"/>
        <w:rPr>
          <w:rFonts w:hint="eastAsia" w:asciiTheme="minorEastAsia" w:hAnsiTheme="minorEastAsia" w:eastAsiaTheme="minorEastAsia" w:cstheme="minorEastAsia"/>
          <w:color w:val="auto"/>
          <w:sz w:val="28"/>
          <w:szCs w:val="28"/>
          <w:highlight w:val="none"/>
        </w:rPr>
      </w:pPr>
    </w:p>
    <w:p>
      <w:pPr>
        <w:adjustRightInd w:val="0"/>
        <w:snapToGrid w:val="0"/>
        <w:spacing w:line="48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奇台县政务服务和公共资源交易中心</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单位名称：</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单位性质：</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地    址：</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 xml:space="preserve">成立时间： </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经营期限：</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姓    名：</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性别：</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 xml:space="preserve">  年龄：</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职务：</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系</w:t>
      </w:r>
      <w:r>
        <w:rPr>
          <w:rFonts w:hint="eastAsia" w:asciiTheme="minorEastAsia" w:hAnsiTheme="minorEastAsia" w:eastAsiaTheme="minorEastAsia" w:cstheme="minorEastAsia"/>
          <w:bCs/>
          <w:color w:val="auto"/>
          <w:spacing w:val="8"/>
          <w:sz w:val="24"/>
          <w:highlight w:val="none"/>
          <w:u w:val="single"/>
        </w:rPr>
        <w:t xml:space="preserve">     （供应商名称）         </w:t>
      </w:r>
      <w:r>
        <w:rPr>
          <w:rFonts w:hint="eastAsia" w:asciiTheme="minorEastAsia" w:hAnsiTheme="minorEastAsia" w:eastAsiaTheme="minorEastAsia" w:cstheme="minorEastAsia"/>
          <w:bCs/>
          <w:color w:val="auto"/>
          <w:spacing w:val="8"/>
          <w:sz w:val="24"/>
          <w:highlight w:val="none"/>
        </w:rPr>
        <w:t xml:space="preserve"> 的法定代表人。</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特此证明。</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投标人名称：</w:t>
      </w:r>
      <w:r>
        <w:rPr>
          <w:rFonts w:hint="eastAsia" w:asciiTheme="minorEastAsia" w:hAnsiTheme="minorEastAsia" w:eastAsiaTheme="minorEastAsia" w:cstheme="minorEastAsia"/>
          <w:bCs/>
          <w:color w:val="auto"/>
          <w:spacing w:val="8"/>
          <w:sz w:val="24"/>
          <w:highlight w:val="none"/>
          <w:u w:val="single"/>
        </w:rPr>
        <w:t xml:space="preserve">                              （盖公章）</w:t>
      </w:r>
    </w:p>
    <w:p>
      <w:pPr>
        <w:spacing w:line="360" w:lineRule="auto"/>
        <w:ind w:firstLine="512" w:firstLineChars="200"/>
        <w:rPr>
          <w:rFonts w:hint="eastAsia" w:asciiTheme="minorEastAsia" w:hAnsiTheme="minorEastAsia" w:eastAsiaTheme="minorEastAsia" w:cstheme="minorEastAsia"/>
          <w:b/>
          <w:color w:val="auto"/>
          <w:spacing w:val="8"/>
          <w:sz w:val="24"/>
          <w:highlight w:val="none"/>
        </w:rPr>
      </w:pPr>
      <w:r>
        <w:rPr>
          <w:rFonts w:hint="eastAsia" w:asciiTheme="minorEastAsia" w:hAnsiTheme="minorEastAsia" w:eastAsiaTheme="minorEastAsia" w:cstheme="minorEastAsia"/>
          <w:bCs/>
          <w:color w:val="auto"/>
          <w:spacing w:val="8"/>
          <w:sz w:val="24"/>
          <w:highlight w:val="none"/>
        </w:rPr>
        <w:t>日  期：</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ind w:firstLine="514" w:firstLineChars="200"/>
        <w:rPr>
          <w:rFonts w:hint="eastAsia" w:asciiTheme="minorEastAsia" w:hAnsiTheme="minorEastAsia" w:eastAsiaTheme="minorEastAsia" w:cstheme="minorEastAsia"/>
          <w:b/>
          <w:color w:val="auto"/>
          <w:spacing w:val="8"/>
          <w:sz w:val="24"/>
          <w:highlight w:val="none"/>
        </w:rPr>
      </w:pPr>
    </w:p>
    <w:p>
      <w:pPr>
        <w:spacing w:line="480" w:lineRule="auto"/>
        <w:ind w:firstLine="720" w:firstLineChars="300"/>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16510</wp:posOffset>
                </wp:positionV>
                <wp:extent cx="5653405" cy="1584325"/>
                <wp:effectExtent l="4445" t="4445" r="19050" b="11430"/>
                <wp:wrapNone/>
                <wp:docPr id="14" name="流程图: 可选过程 14"/>
                <wp:cNvGraphicFramePr/>
                <a:graphic xmlns:a="http://schemas.openxmlformats.org/drawingml/2006/main">
                  <a:graphicData uri="http://schemas.microsoft.com/office/word/2010/wordprocessingShape">
                    <wps:wsp>
                      <wps:cNvSpPr/>
                      <wps:spPr>
                        <a:xfrm>
                          <a:off x="0" y="0"/>
                          <a:ext cx="565340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9.65pt;margin-top:1.3pt;height:124.75pt;width:445.15pt;z-index:251663360;mso-width-relative:page;mso-height-relative:page;" fillcolor="#FFFFFF" filled="t" stroked="t" coordsize="21600,21600" o:gfxdata="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LIVINUAAAAIAQAADwAAAAAAAAABACAA&#10;AAAiAAAAZHJzL2Rvd25yZXYueG1sUEsBAhQAFAAAAAgAh07iQIniFnUQAgAABAQAAA4AAAAAAAAA&#10;AQAgAAAAJAEAAGRycy9lMm9Eb2MueG1sUEsFBgAAAAAGAAYAWQEAAKY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b/>
          <w:color w:val="auto"/>
          <w:sz w:val="28"/>
          <w:szCs w:val="28"/>
          <w:highlight w:val="none"/>
        </w:rPr>
        <w:t xml:space="preserve">          </w:t>
      </w:r>
    </w:p>
    <w:p>
      <w:pPr>
        <w:rPr>
          <w:rFonts w:hint="eastAsia" w:asciiTheme="minorEastAsia" w:hAnsiTheme="minorEastAsia" w:eastAsiaTheme="minorEastAsia" w:cstheme="minorEastAsia"/>
          <w:b/>
          <w:color w:val="auto"/>
          <w:sz w:val="28"/>
          <w:szCs w:val="28"/>
          <w:highlight w:val="none"/>
        </w:rPr>
      </w:pPr>
    </w:p>
    <w:p>
      <w:pPr>
        <w:shd w:val="clear" w:color="auto" w:fill="FFFFFF"/>
        <w:spacing w:before="100" w:beforeAutospacing="1" w:after="100" w:afterAutospacing="1" w:line="440" w:lineRule="atLeas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pStyle w:val="40"/>
        <w:bidi w:val="0"/>
        <w:jc w:val="center"/>
        <w:rPr>
          <w:rFonts w:hint="eastAsia" w:ascii="宋体" w:hAnsi="宋体" w:eastAsia="宋体" w:cs="宋体"/>
          <w:sz w:val="24"/>
          <w:szCs w:val="24"/>
        </w:rPr>
      </w:pPr>
      <w:r>
        <w:rPr>
          <w:rFonts w:hint="eastAsia" w:asciiTheme="minorEastAsia" w:hAnsiTheme="minorEastAsia" w:eastAsiaTheme="minorEastAsia" w:cstheme="minorEastAsia"/>
          <w:b/>
          <w:bCs/>
          <w:color w:val="auto"/>
          <w:sz w:val="32"/>
          <w:szCs w:val="32"/>
          <w:highlight w:val="none"/>
        </w:rPr>
        <w:br w:type="page"/>
      </w:r>
      <w:bookmarkStart w:id="29" w:name="_Toc28455"/>
      <w:r>
        <w:rPr>
          <w:rFonts w:hint="eastAsia" w:asciiTheme="minorEastAsia" w:hAnsiTheme="minorEastAsia" w:eastAsiaTheme="minorEastAsia" w:cstheme="minorEastAsia"/>
          <w:b/>
          <w:color w:val="auto"/>
          <w:sz w:val="32"/>
          <w:szCs w:val="32"/>
          <w:highlight w:val="none"/>
        </w:rPr>
        <w:t>（2）</w:t>
      </w:r>
      <w:bookmarkEnd w:id="29"/>
      <w:r>
        <w:rPr>
          <w:rFonts w:hint="eastAsia" w:ascii="宋体" w:hAnsi="宋体" w:eastAsia="宋体" w:cs="宋体"/>
          <w:b/>
          <w:kern w:val="0"/>
          <w:sz w:val="30"/>
          <w:szCs w:val="30"/>
          <w:lang w:val="en-US" w:eastAsia="zh-CN" w:bidi="zh-CN"/>
        </w:rPr>
        <w:t>法定代表人授权委托书</w:t>
      </w:r>
      <w:r>
        <w:rPr>
          <w:rFonts w:hint="eastAsia" w:ascii="宋体" w:hAnsi="宋体" w:eastAsia="宋体" w:cs="宋体"/>
          <w:b/>
          <w:bCs/>
          <w:sz w:val="30"/>
          <w:szCs w:val="30"/>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本授权委托书声明：注册于</w:t>
      </w:r>
      <w:r>
        <w:rPr>
          <w:rFonts w:hint="eastAsia" w:ascii="宋体" w:hAnsi="宋体" w:eastAsia="宋体" w:cs="宋体"/>
          <w:sz w:val="24"/>
          <w:szCs w:val="24"/>
          <w:u w:val="single"/>
        </w:rPr>
        <w:t xml:space="preserve"> （供应商地址） </w:t>
      </w:r>
      <w:r>
        <w:rPr>
          <w:rFonts w:hint="eastAsia" w:ascii="宋体" w:hAnsi="宋体" w:eastAsia="宋体" w:cs="宋体"/>
          <w:sz w:val="24"/>
          <w:szCs w:val="24"/>
        </w:rPr>
        <w:t xml:space="preserve"> 的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在下面签名的（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职务，为法定代表人。在此授权（</w:t>
      </w:r>
      <w:r>
        <w:rPr>
          <w:rFonts w:hint="eastAsia" w:ascii="宋体" w:hAnsi="宋体" w:eastAsia="宋体" w:cs="宋体"/>
          <w:sz w:val="24"/>
          <w:szCs w:val="24"/>
          <w:u w:val="single"/>
        </w:rPr>
        <w:t>被授权人姓名、职务</w:t>
      </w:r>
      <w:r>
        <w:rPr>
          <w:rFonts w:hint="eastAsia" w:ascii="宋体" w:hAnsi="宋体" w:eastAsia="宋体" w:cs="宋体"/>
          <w:sz w:val="24"/>
          <w:szCs w:val="24"/>
        </w:rPr>
        <w:t>）作为我公司的合法代理人，就（</w:t>
      </w:r>
      <w:r>
        <w:rPr>
          <w:rFonts w:hint="eastAsia" w:ascii="宋体" w:hAnsi="宋体" w:eastAsia="宋体" w:cs="宋体"/>
          <w:b w:val="0"/>
          <w:bCs w:val="0"/>
          <w:sz w:val="24"/>
          <w:szCs w:val="24"/>
          <w:u w:val="single"/>
        </w:rPr>
        <w:t>采购项目名称、采购项目编号</w:t>
      </w:r>
      <w:r>
        <w:rPr>
          <w:rFonts w:hint="eastAsia" w:cs="宋体"/>
          <w:b w:val="0"/>
          <w:bCs w:val="0"/>
          <w:sz w:val="24"/>
          <w:szCs w:val="24"/>
          <w:u w:val="single"/>
          <w:lang w:eastAsia="zh-CN"/>
        </w:rPr>
        <w:t>、</w:t>
      </w:r>
      <w:r>
        <w:rPr>
          <w:rFonts w:hint="eastAsia" w:cs="宋体"/>
          <w:b w:val="0"/>
          <w:bCs w:val="0"/>
          <w:sz w:val="24"/>
          <w:szCs w:val="24"/>
          <w:u w:val="single"/>
          <w:lang w:val="en-US" w:eastAsia="zh-CN"/>
        </w:rPr>
        <w:t>标项号/内容</w:t>
      </w:r>
      <w:r>
        <w:rPr>
          <w:rFonts w:hint="eastAsia" w:ascii="宋体" w:hAnsi="宋体" w:eastAsia="宋体" w:cs="宋体"/>
          <w:sz w:val="24"/>
          <w:szCs w:val="24"/>
        </w:rPr>
        <w:t>）采购活动相关的响应、</w:t>
      </w:r>
      <w:r>
        <w:rPr>
          <w:rFonts w:hint="eastAsia" w:ascii="宋体" w:hAnsi="宋体" w:eastAsia="宋体" w:cs="宋体"/>
          <w:sz w:val="24"/>
          <w:szCs w:val="24"/>
          <w:lang w:val="en-US" w:eastAsia="zh-CN"/>
        </w:rPr>
        <w:t>谈判</w:t>
      </w:r>
      <w:r>
        <w:rPr>
          <w:rFonts w:hint="eastAsia" w:ascii="宋体" w:hAnsi="宋体" w:eastAsia="宋体" w:cs="宋体"/>
          <w:sz w:val="24"/>
          <w:szCs w:val="24"/>
        </w:rPr>
        <w:t xml:space="preserve">、合同执行，以我公司的名义处理一切与之有关的事务。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被授权人（供应商授权代表）无转委托权限。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4384" behindDoc="1" locked="0" layoutInCell="1" allowOverlap="1">
                <wp:simplePos x="0" y="0"/>
                <wp:positionH relativeFrom="page">
                  <wp:posOffset>1252855</wp:posOffset>
                </wp:positionH>
                <wp:positionV relativeFrom="paragraph">
                  <wp:posOffset>662940</wp:posOffset>
                </wp:positionV>
                <wp:extent cx="67310" cy="13462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7310" cy="134620"/>
                        </a:xfrm>
                        <a:prstGeom prst="rect">
                          <a:avLst/>
                        </a:prstGeom>
                        <a:noFill/>
                        <a:ln w="9525">
                          <a:noFill/>
                        </a:ln>
                      </wps:spPr>
                      <wps:txbx>
                        <w:txbxContent>
                          <w:p>
                            <w:pPr>
                              <w:pStyle w:val="8"/>
                              <w:spacing w:line="211"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98.65pt;margin-top:52.2pt;height:10.6pt;width:5.3pt;mso-position-horizontal-relative:page;z-index:-251652096;mso-width-relative:page;mso-height-relative:page;" filled="f" stroked="f" coordsize="21600,21600" o:gfxdata="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QMvo2QAAAAsB&#10;AAAPAAAAAAAAAAEAIAAAACIAAABkcnMvZG93bnJldi54bWxQSwECFAAUAAAACACHTuJAkFJA86gB&#10;AAAtAwAADgAAAAAAAAABACAAAAAoAQAAZHJzL2Uyb0RvYy54bWxQSwUGAAAAAAYABgBZAQAAQgUA&#10;AAAA&#10;">
                <v:fill on="f" focussize="0,0"/>
                <v:stroke on="f"/>
                <v:imagedata o:title=""/>
                <o:lock v:ext="edit" aspectratio="f"/>
                <v:textbox inset="0mm,0mm,0mm,0mm">
                  <w:txbxContent>
                    <w:p>
                      <w:pPr>
                        <w:pStyle w:val="8"/>
                        <w:spacing w:line="211" w:lineRule="exact"/>
                      </w:pPr>
                      <w:r>
                        <w:rPr>
                          <w:w w:val="100"/>
                        </w:rPr>
                        <w:t xml:space="preserve"> </w:t>
                      </w:r>
                    </w:p>
                  </w:txbxContent>
                </v:textbox>
              </v:shape>
            </w:pict>
          </mc:Fallback>
        </mc:AlternateContent>
      </w:r>
      <w:r>
        <w:rPr>
          <w:rFonts w:hint="eastAsia" w:ascii="宋体" w:hAnsi="宋体" w:eastAsia="宋体" w:cs="宋体"/>
          <w:sz w:val="24"/>
          <w:szCs w:val="24"/>
        </w:rPr>
        <w:t>本授权书自法定代表人签字之日起生效，特此声明。</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rPr>
        <w:t>附：法定代表人身份证复印件</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g">
            <w:drawing>
              <wp:anchor distT="0" distB="0" distL="114300" distR="114300" simplePos="0" relativeHeight="251666432" behindDoc="1" locked="0" layoutInCell="1" allowOverlap="1">
                <wp:simplePos x="0" y="0"/>
                <wp:positionH relativeFrom="page">
                  <wp:posOffset>695960</wp:posOffset>
                </wp:positionH>
                <wp:positionV relativeFrom="paragraph">
                  <wp:posOffset>293370</wp:posOffset>
                </wp:positionV>
                <wp:extent cx="2834005" cy="1695450"/>
                <wp:effectExtent l="0" t="635" r="4445" b="18415"/>
                <wp:wrapTopAndBottom/>
                <wp:docPr id="2" name="组合 2"/>
                <wp:cNvGraphicFramePr/>
                <a:graphic xmlns:a="http://schemas.openxmlformats.org/drawingml/2006/main">
                  <a:graphicData uri="http://schemas.microsoft.com/office/word/2010/wordprocessingGroup">
                    <wpg:wgp>
                      <wpg:cNvGrpSpPr/>
                      <wpg:grpSpPr>
                        <a:xfrm>
                          <a:off x="0" y="0"/>
                          <a:ext cx="2834005" cy="1695450"/>
                          <a:chOff x="1097" y="462"/>
                          <a:chExt cx="4463" cy="2790"/>
                        </a:xfrm>
                      </wpg:grpSpPr>
                      <wps:wsp>
                        <wps:cNvPr id="15" name="矩形 45"/>
                        <wps:cNvSpPr/>
                        <wps:spPr>
                          <a:xfrm>
                            <a:off x="1104" y="469"/>
                            <a:ext cx="4448" cy="2775"/>
                          </a:xfrm>
                          <a:prstGeom prst="rect">
                            <a:avLst/>
                          </a:prstGeom>
                          <a:solidFill>
                            <a:srgbClr val="FFFFFF"/>
                          </a:solidFill>
                          <a:ln w="9525">
                            <a:noFill/>
                          </a:ln>
                        </wps:spPr>
                        <wps:bodyPr upright="1"/>
                      </wps:wsp>
                      <wps:wsp>
                        <wps:cNvPr id="16" name="文本框 46"/>
                        <wps:cNvSpPr txBox="1"/>
                        <wps:spPr>
                          <a:xfrm>
                            <a:off x="1104" y="469"/>
                            <a:ext cx="4448" cy="2775"/>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wps:txbx>
                        <wps:bodyPr lIns="0" tIns="0" rIns="0" bIns="0" upright="1"/>
                      </wps:wsp>
                    </wpg:wgp>
                  </a:graphicData>
                </a:graphic>
              </wp:anchor>
            </w:drawing>
          </mc:Choice>
          <mc:Fallback>
            <w:pict>
              <v:group id="_x0000_s1026" o:spid="_x0000_s1026" o:spt="203" style="position:absolute;left:0pt;margin-left:54.8pt;margin-top:23.1pt;height:133.5pt;width:223.15pt;mso-position-horizontal-relative:page;mso-wrap-distance-bottom:0pt;mso-wrap-distance-top:0pt;z-index:-251650048;mso-width-relative:page;mso-height-relative:page;" coordorigin="1097,462" coordsize="4463,2790" o:gfxdata="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&#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NKhwRtoAAAAKAQAADwAAAAAAAAABACAAAAAiAAAA&#10;ZHJzL2Rvd25yZXYueG1sUEsBAhQAFAAAAAgAh07iQP/qPJ+wAgAAoQYAAA4AAAAAAAAAAQAgAAAA&#10;KQEAAGRycy9lMm9Eb2MueG1sUEsFBgAAAAAGAAYAWQEAAEsGAAAAAA==&#10;">
                <o:lock v:ext="edit" aspectratio="f"/>
                <v:rect id="矩形 45" o:spid="_x0000_s1026" o:spt="1" style="position:absolute;left:1104;top:469;height:2775;width:4448;"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shape id="文本框 46" o:spid="_x0000_s1026" o:spt="202" type="#_x0000_t202" style="position:absolute;left:1104;top:469;height:2775;width:4448;" filled="f" stroked="t" coordsize="21600,21600" o:gfxdata="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Kcc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v:textbox>
                </v:shape>
                <w10:wrap type="topAndBottom"/>
              </v:group>
            </w:pict>
          </mc:Fallback>
        </mc:AlternateContent>
      </w:r>
      <w:r>
        <w:rPr>
          <w:rFonts w:hint="eastAsia" w:ascii="宋体" w:hAnsi="宋体" w:eastAsia="宋体" w:cs="宋体"/>
          <w:sz w:val="24"/>
          <w:szCs w:val="24"/>
        </w:rPr>
        <mc:AlternateContent>
          <mc:Choice Requires="wps">
            <w:drawing>
              <wp:anchor distT="0" distB="0" distL="114300" distR="114300" simplePos="0" relativeHeight="251667456" behindDoc="1" locked="0" layoutInCell="1" allowOverlap="1">
                <wp:simplePos x="0" y="0"/>
                <wp:positionH relativeFrom="page">
                  <wp:posOffset>3603625</wp:posOffset>
                </wp:positionH>
                <wp:positionV relativeFrom="paragraph">
                  <wp:posOffset>297815</wp:posOffset>
                </wp:positionV>
                <wp:extent cx="3014980" cy="1714500"/>
                <wp:effectExtent l="4445" t="4445" r="9525" b="14605"/>
                <wp:wrapTopAndBottom/>
                <wp:docPr id="17" name="文本框 17"/>
                <wp:cNvGraphicFramePr/>
                <a:graphic xmlns:a="http://schemas.openxmlformats.org/drawingml/2006/main">
                  <a:graphicData uri="http://schemas.microsoft.com/office/word/2010/wordprocessingShape">
                    <wps:wsp>
                      <wps:cNvSpPr txBox="1"/>
                      <wps:spPr>
                        <a:xfrm>
                          <a:off x="0" y="0"/>
                          <a:ext cx="3014980" cy="1714500"/>
                        </a:xfrm>
                        <a:prstGeom prst="rect">
                          <a:avLst/>
                        </a:prstGeom>
                        <a:noFill/>
                        <a:ln w="9525" cap="flat" cmpd="sng">
                          <a:solidFill>
                            <a:srgbClr val="000000"/>
                          </a:solidFill>
                          <a:prstDash val="solid"/>
                          <a:miter/>
                          <a:headEnd type="none" w="med" len="med"/>
                          <a:tailEnd type="none" w="med" len="med"/>
                        </a:ln>
                      </wps:spPr>
                      <wps:txbx>
                        <w:txbxContent>
                          <w:p>
                            <w:pPr>
                              <w:pStyle w:val="8"/>
                              <w:rPr>
                                <w:rFonts w:ascii="微软雅黑"/>
                                <w:b/>
                                <w:sz w:val="20"/>
                              </w:rPr>
                            </w:pPr>
                          </w:p>
                          <w:p>
                            <w:pPr>
                              <w:pStyle w:val="8"/>
                              <w:spacing w:before="1"/>
                              <w:rPr>
                                <w:rFonts w:ascii="微软雅黑"/>
                                <w:b/>
                                <w:sz w:val="19"/>
                              </w:rPr>
                            </w:pPr>
                          </w:p>
                          <w:p>
                            <w:pPr>
                              <w:pStyle w:val="8"/>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8"/>
                              <w:spacing w:before="16"/>
                              <w:rPr>
                                <w:rFonts w:ascii="微软雅黑"/>
                                <w:b/>
                                <w:sz w:val="16"/>
                              </w:rPr>
                            </w:pPr>
                          </w:p>
                          <w:p>
                            <w:pPr>
                              <w:pStyle w:val="8"/>
                              <w:spacing w:before="1"/>
                              <w:ind w:left="1165" w:right="1161"/>
                              <w:jc w:val="center"/>
                            </w:pPr>
                            <w:r>
                              <w:t>（反面）</w:t>
                            </w:r>
                          </w:p>
                        </w:txbxContent>
                      </wps:txbx>
                      <wps:bodyPr lIns="0" tIns="0" rIns="0" bIns="0" upright="1"/>
                    </wps:wsp>
                  </a:graphicData>
                </a:graphic>
              </wp:anchor>
            </w:drawing>
          </mc:Choice>
          <mc:Fallback>
            <w:pict>
              <v:shape id="_x0000_s1026" o:spid="_x0000_s1026" o:spt="202" type="#_x0000_t202" style="position:absolute;left:0pt;margin-left:283.75pt;margin-top:23.45pt;height:135pt;width:237.4pt;mso-position-horizontal-relative:page;mso-wrap-distance-bottom:0pt;mso-wrap-distance-top:0pt;z-index:-251649024;mso-width-relative:page;mso-height-relative:page;" filled="f" stroked="t" coordsize="21600,21600" o:gfxdata="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tY0K2wAAAAsBAAAPAAAAAAAAAAEAIAAAACIAAABkcnMvZG93&#10;bnJldi54bWxQSwECFAAUAAAACACHTuJANRmJmf0BAADmAwAADgAAAAAAAAABACAAAAAqAQAAZHJz&#10;L2Uyb0RvYy54bWxQSwUGAAAAAAYABgBZAQAAmQUAAAAA&#10;">
                <v:fill on="f" focussize="0,0"/>
                <v:stroke color="#000000" joinstyle="miter"/>
                <v:imagedata o:title=""/>
                <o:lock v:ext="edit" aspectratio="f"/>
                <v:textbox inset="0mm,0mm,0mm,0mm">
                  <w:txbxContent>
                    <w:p>
                      <w:pPr>
                        <w:pStyle w:val="8"/>
                        <w:rPr>
                          <w:rFonts w:ascii="微软雅黑"/>
                          <w:b/>
                          <w:sz w:val="20"/>
                        </w:rPr>
                      </w:pPr>
                    </w:p>
                    <w:p>
                      <w:pPr>
                        <w:pStyle w:val="8"/>
                        <w:spacing w:before="1"/>
                        <w:rPr>
                          <w:rFonts w:ascii="微软雅黑"/>
                          <w:b/>
                          <w:sz w:val="19"/>
                        </w:rPr>
                      </w:pPr>
                    </w:p>
                    <w:p>
                      <w:pPr>
                        <w:pStyle w:val="8"/>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8"/>
                        <w:spacing w:before="16"/>
                        <w:rPr>
                          <w:rFonts w:ascii="微软雅黑"/>
                          <w:b/>
                          <w:sz w:val="16"/>
                        </w:rPr>
                      </w:pPr>
                    </w:p>
                    <w:p>
                      <w:pPr>
                        <w:pStyle w:val="8"/>
                        <w:spacing w:before="1"/>
                        <w:ind w:left="1165" w:right="1161"/>
                        <w:jc w:val="center"/>
                      </w:pPr>
                      <w:r>
                        <w:t>（反面）</w:t>
                      </w:r>
                    </w:p>
                  </w:txbxContent>
                </v:textbox>
                <w10:wrap type="topAndBottom"/>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5408" behindDoc="1" locked="0" layoutInCell="1" allowOverlap="1">
                <wp:simplePos x="0" y="0"/>
                <wp:positionH relativeFrom="page">
                  <wp:posOffset>718820</wp:posOffset>
                </wp:positionH>
                <wp:positionV relativeFrom="paragraph">
                  <wp:posOffset>360680</wp:posOffset>
                </wp:positionV>
                <wp:extent cx="67310" cy="16205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7310" cy="1620520"/>
                        </a:xfrm>
                        <a:prstGeom prst="rect">
                          <a:avLst/>
                        </a:prstGeom>
                        <a:noFill/>
                        <a:ln w="9525">
                          <a:noFill/>
                        </a:ln>
                      </wps:spPr>
                      <wps:txbx>
                        <w:txbxContent>
                          <w:p>
                            <w:pPr>
                              <w:pStyle w:val="8"/>
                              <w:spacing w:line="241" w:lineRule="exact"/>
                            </w:pPr>
                            <w:r>
                              <w:rPr>
                                <w:w w:val="100"/>
                              </w:rPr>
                              <w:t xml:space="preserve"> </w:t>
                            </w:r>
                          </w:p>
                          <w:p>
                            <w:pPr>
                              <w:pStyle w:val="8"/>
                              <w:spacing w:before="6"/>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6"/>
                              <w:rPr>
                                <w:sz w:val="15"/>
                              </w:rPr>
                            </w:pPr>
                          </w:p>
                          <w:p>
                            <w:pPr>
                              <w:pStyle w:val="8"/>
                              <w:spacing w:line="240"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56.6pt;margin-top:28.4pt;height:127.6pt;width:5.3pt;mso-position-horizontal-relative:page;z-index:-251651072;mso-width-relative:page;mso-height-relative:page;" filled="f" stroked="f" coordsize="21600,21600" o:gfxdata="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Z5VDH1wAAAAoBAAAP&#10;AAAAAAAAAAEAIAAAACIAAABkcnMvZG93bnJldi54bWxQSwECFAAUAAAACACHTuJA6ccbuKcBAAAu&#10;AwAADgAAAAAAAAABACAAAAAmAQAAZHJzL2Uyb0RvYy54bWxQSwUGAAAAAAYABgBZAQAAPwUAAAAA&#10;">
                <v:fill on="f" focussize="0,0"/>
                <v:stroke on="f"/>
                <v:imagedata o:title=""/>
                <o:lock v:ext="edit" aspectratio="f"/>
                <v:textbox inset="0mm,0mm,0mm,0mm">
                  <w:txbxContent>
                    <w:p>
                      <w:pPr>
                        <w:pStyle w:val="8"/>
                        <w:spacing w:line="241" w:lineRule="exact"/>
                      </w:pPr>
                      <w:r>
                        <w:rPr>
                          <w:w w:val="100"/>
                        </w:rPr>
                        <w:t xml:space="preserve"> </w:t>
                      </w:r>
                    </w:p>
                    <w:p>
                      <w:pPr>
                        <w:pStyle w:val="8"/>
                        <w:spacing w:before="6"/>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7"/>
                        <w:rPr>
                          <w:sz w:val="15"/>
                        </w:rPr>
                      </w:pPr>
                    </w:p>
                    <w:p>
                      <w:pPr>
                        <w:pStyle w:val="8"/>
                      </w:pPr>
                      <w:r>
                        <w:rPr>
                          <w:w w:val="100"/>
                        </w:rPr>
                        <w:t xml:space="preserve"> </w:t>
                      </w:r>
                    </w:p>
                    <w:p>
                      <w:pPr>
                        <w:pStyle w:val="8"/>
                        <w:spacing w:before="6"/>
                        <w:rPr>
                          <w:sz w:val="15"/>
                        </w:rPr>
                      </w:pPr>
                    </w:p>
                    <w:p>
                      <w:pPr>
                        <w:pStyle w:val="8"/>
                        <w:spacing w:line="240" w:lineRule="exact"/>
                      </w:pPr>
                      <w:r>
                        <w:rPr>
                          <w:w w:val="100"/>
                        </w:rPr>
                        <w:t xml:space="preserve"> </w:t>
                      </w:r>
                    </w:p>
                  </w:txbxContent>
                </v:textbox>
              </v:shape>
            </w:pict>
          </mc:Fallback>
        </mc:AlternateContent>
      </w:r>
      <w:r>
        <w:rPr>
          <w:rFonts w:hint="eastAsia" w:ascii="宋体" w:hAnsi="宋体" w:eastAsia="宋体" w:cs="宋体"/>
          <w:sz w:val="24"/>
          <w:szCs w:val="24"/>
        </w:rPr>
        <w:t xml:space="preserve">附：被授权代表人身份证复印件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w:t>法定代表人（签名或盖章）：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职务：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被授权人（签名）：</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供应商名称（单位盖公章）：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widowControl/>
        <w:spacing w:line="560" w:lineRule="exact"/>
        <w:jc w:val="left"/>
        <w:rPr>
          <w:rFonts w:hint="eastAsia" w:asciiTheme="minorEastAsia" w:hAnsiTheme="minorEastAsia" w:cstheme="minorEastAsia"/>
          <w:b/>
          <w:bCs/>
          <w:color w:val="auto"/>
          <w:spacing w:val="20"/>
          <w:kern w:val="0"/>
          <w:sz w:val="24"/>
          <w:szCs w:val="24"/>
          <w:highlight w:val="none"/>
          <w:lang w:eastAsia="zh-CN"/>
        </w:rPr>
      </w:pPr>
    </w:p>
    <w:p>
      <w:pPr>
        <w:pStyle w:val="8"/>
        <w:rPr>
          <w:rFonts w:hint="eastAsia"/>
          <w:lang w:eastAsia="zh-CN"/>
        </w:rPr>
      </w:pPr>
    </w:p>
    <w:p>
      <w:pPr>
        <w:topLinePunct/>
        <w:spacing w:line="560" w:lineRule="exact"/>
        <w:ind w:firstLine="840" w:firstLineChars="300"/>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pacing w:val="20"/>
          <w:kern w:val="0"/>
          <w:sz w:val="24"/>
          <w:szCs w:val="24"/>
          <w:highlight w:val="none"/>
          <w:lang w:eastAsia="zh-CN"/>
        </w:rPr>
        <w:t>说明：</w:t>
      </w:r>
      <w:r>
        <w:rPr>
          <w:rFonts w:hint="eastAsia" w:asciiTheme="minorEastAsia" w:hAnsiTheme="minorEastAsia" w:eastAsiaTheme="minorEastAsia" w:cstheme="minorEastAsia"/>
          <w:b/>
          <w:bCs/>
          <w:color w:val="auto"/>
          <w:spacing w:val="20"/>
          <w:kern w:val="0"/>
          <w:sz w:val="24"/>
          <w:szCs w:val="24"/>
          <w:highlight w:val="none"/>
          <w:lang w:val="en-US" w:eastAsia="zh-CN"/>
        </w:rPr>
        <w:t>1、</w:t>
      </w:r>
      <w:r>
        <w:rPr>
          <w:rFonts w:hint="eastAsia" w:asciiTheme="minorEastAsia" w:hAnsiTheme="minorEastAsia" w:eastAsiaTheme="minorEastAsia" w:cstheme="minorEastAsia"/>
          <w:b w:val="0"/>
          <w:bCs w:val="0"/>
          <w:color w:val="auto"/>
          <w:spacing w:val="20"/>
          <w:kern w:val="0"/>
          <w:sz w:val="24"/>
          <w:szCs w:val="24"/>
          <w:highlight w:val="none"/>
        </w:rPr>
        <w:t>如果是法人代表投标不需要填写此表</w:t>
      </w:r>
      <w:r>
        <w:rPr>
          <w:rFonts w:hint="eastAsia" w:asciiTheme="minorEastAsia" w:hAnsiTheme="minorEastAsia" w:eastAsiaTheme="minorEastAsia" w:cstheme="minorEastAsia"/>
          <w:b w:val="0"/>
          <w:bCs w:val="0"/>
          <w:color w:val="auto"/>
          <w:spacing w:val="20"/>
          <w:kern w:val="0"/>
          <w:sz w:val="24"/>
          <w:szCs w:val="24"/>
          <w:highlight w:val="none"/>
          <w:lang w:eastAsia="zh-CN"/>
        </w:rPr>
        <w:t>；</w:t>
      </w:r>
    </w:p>
    <w:p>
      <w:pPr>
        <w:pStyle w:val="2"/>
        <w:rPr>
          <w:rFonts w:hint="eastAsia" w:ascii="仿宋_GB2312" w:hAnsi="仿宋_GB2312" w:eastAsia="仿宋_GB2312" w:cs="仿宋_GB2312"/>
          <w:b/>
          <w:bCs/>
          <w:color w:val="auto"/>
          <w:sz w:val="32"/>
          <w:szCs w:val="32"/>
          <w:highlight w:val="none"/>
        </w:rPr>
      </w:pPr>
    </w:p>
    <w:p>
      <w:pPr>
        <w:rPr>
          <w:rFonts w:hint="eastAsia"/>
        </w:rPr>
      </w:pPr>
    </w:p>
    <w:p>
      <w:pPr>
        <w:rPr>
          <w:rFonts w:hint="eastAsia" w:ascii="仿宋" w:hAnsi="仿宋" w:eastAsia="仿宋" w:cs="仿宋"/>
          <w:sz w:val="28"/>
          <w:szCs w:val="28"/>
        </w:rPr>
      </w:pPr>
    </w:p>
    <w:p>
      <w:pPr>
        <w:pStyle w:val="39"/>
        <w:jc w:val="center"/>
        <w:outlineLvl w:val="0"/>
        <w:rPr>
          <w:rFonts w:hint="eastAsia" w:asciiTheme="minorEastAsia" w:hAnsiTheme="minorEastAsia" w:eastAsiaTheme="minorEastAsia" w:cstheme="minorEastAsia"/>
          <w:b/>
          <w:color w:val="auto"/>
          <w:sz w:val="24"/>
          <w:szCs w:val="24"/>
          <w:highlight w:val="none"/>
        </w:rPr>
      </w:pPr>
      <w:bookmarkStart w:id="30" w:name="_Toc3892"/>
    </w:p>
    <w:p>
      <w:pPr>
        <w:pStyle w:val="39"/>
        <w:jc w:val="center"/>
        <w:outlineLvl w:val="0"/>
        <w:rPr>
          <w:rFonts w:hint="eastAsia" w:asciiTheme="minorEastAsia" w:hAnsiTheme="minorEastAsia" w:eastAsiaTheme="minorEastAsia" w:cstheme="minorEastAsia"/>
          <w:b/>
          <w:color w:val="auto"/>
          <w:sz w:val="24"/>
          <w:szCs w:val="24"/>
          <w:highlight w:val="none"/>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格式三</w:t>
      </w:r>
    </w:p>
    <w:p>
      <w:pPr>
        <w:pStyle w:val="39"/>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企业近</w:t>
      </w:r>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年</w:t>
      </w:r>
      <w:r>
        <w:rPr>
          <w:rFonts w:hint="eastAsia" w:asciiTheme="minorEastAsia" w:hAnsiTheme="minorEastAsia" w:eastAsiaTheme="minorEastAsia" w:cstheme="minorEastAsia"/>
          <w:b/>
          <w:color w:val="auto"/>
          <w:sz w:val="24"/>
          <w:szCs w:val="24"/>
          <w:highlight w:val="none"/>
          <w:lang w:eastAsia="zh-CN"/>
        </w:rPr>
        <w:t>度</w:t>
      </w:r>
      <w:r>
        <w:rPr>
          <w:rFonts w:hint="eastAsia" w:asciiTheme="minorEastAsia" w:hAnsiTheme="minorEastAsia" w:eastAsiaTheme="minorEastAsia" w:cstheme="minorEastAsia"/>
          <w:b/>
          <w:color w:val="auto"/>
          <w:sz w:val="24"/>
          <w:szCs w:val="24"/>
          <w:highlight w:val="none"/>
        </w:rPr>
        <w:t>财务审计报告（包括“四表一注”）或其基本户开户银行出具的资信证明</w:t>
      </w:r>
      <w:bookmarkEnd w:id="30"/>
    </w:p>
    <w:p>
      <w:pPr>
        <w:pStyle w:val="12"/>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p>
    <w:p>
      <w:pPr>
        <w:pStyle w:val="12"/>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w:t>
      </w:r>
      <w:r>
        <w:rPr>
          <w:rFonts w:hint="eastAsia" w:asciiTheme="minorEastAsia" w:hAnsiTheme="minorEastAsia" w:eastAsiaTheme="minorEastAsia" w:cstheme="minorEastAsia"/>
          <w:color w:val="auto"/>
          <w:sz w:val="24"/>
          <w:szCs w:val="24"/>
          <w:highlight w:val="none"/>
          <w:lang w:val="en-US" w:eastAsia="zh-CN"/>
        </w:rPr>
        <w:t>最近一个年度</w:t>
      </w:r>
      <w:r>
        <w:rPr>
          <w:rFonts w:hint="eastAsia" w:asciiTheme="minorEastAsia" w:hAnsiTheme="minorEastAsia" w:eastAsiaTheme="minorEastAsia" w:cstheme="minorEastAsia"/>
          <w:color w:val="auto"/>
          <w:sz w:val="24"/>
          <w:szCs w:val="24"/>
          <w:highlight w:val="none"/>
        </w:rPr>
        <w:t>审计报告或银行出具的资信证明（</w:t>
      </w:r>
      <w:r>
        <w:rPr>
          <w:rFonts w:hint="eastAsia" w:asciiTheme="minorEastAsia" w:hAnsiTheme="minorEastAsia" w:eastAsiaTheme="minorEastAsia" w:cstheme="minorEastAsia"/>
          <w:b/>
          <w:bCs/>
          <w:color w:val="auto"/>
          <w:sz w:val="24"/>
          <w:szCs w:val="24"/>
          <w:highlight w:val="green"/>
        </w:rPr>
        <w:t>部分其他组织和自然人，没有经审计的财务报告，可提供银行出具的资信证明</w:t>
      </w:r>
      <w:r>
        <w:rPr>
          <w:rFonts w:hint="eastAsia" w:asciiTheme="minorEastAsia" w:hAnsiTheme="minorEastAsia" w:eastAsiaTheme="minorEastAsia" w:cstheme="minorEastAsia"/>
          <w:color w:val="auto"/>
          <w:sz w:val="24"/>
          <w:szCs w:val="24"/>
          <w:highlight w:val="none"/>
        </w:rPr>
        <w:t>）</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格式四</w:t>
      </w:r>
    </w:p>
    <w:p>
      <w:pPr>
        <w:pStyle w:val="2"/>
        <w:rPr>
          <w:rFonts w:hint="eastAsia"/>
        </w:rPr>
      </w:pPr>
    </w:p>
    <w:p>
      <w:pPr>
        <w:pStyle w:val="2"/>
        <w:rPr>
          <w:rFonts w:hint="eastAsia"/>
        </w:rPr>
      </w:pP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依法缴纳税收和社会保障资金的良好记录</w:t>
      </w:r>
    </w:p>
    <w:p>
      <w:pPr>
        <w:pStyle w:val="12"/>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p>
    <w:p>
      <w:pPr>
        <w:pStyle w:val="12"/>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附参加政府采购活动</w:t>
      </w:r>
      <w:r>
        <w:rPr>
          <w:rFonts w:hint="eastAsia" w:ascii="宋体" w:hAnsi="宋体"/>
          <w:sz w:val="24"/>
          <w:szCs w:val="24"/>
        </w:rPr>
        <w:t>前三个月任一个月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缴纳增值税、营业税和企业所得税的凭据</w:t>
      </w:r>
      <w:r>
        <w:rPr>
          <w:rFonts w:hint="eastAsia" w:asciiTheme="minorEastAsia" w:hAnsiTheme="minorEastAsia" w:eastAsiaTheme="minorEastAsia" w:cstheme="minorEastAsia"/>
          <w:bCs/>
          <w:color w:val="auto"/>
          <w:sz w:val="24"/>
          <w:szCs w:val="24"/>
          <w:highlight w:val="none"/>
        </w:rPr>
        <w:t>。参加政府采购活动前</w:t>
      </w:r>
      <w:r>
        <w:rPr>
          <w:rFonts w:hint="eastAsia" w:ascii="宋体" w:hAnsi="宋体"/>
          <w:sz w:val="24"/>
          <w:szCs w:val="24"/>
        </w:rPr>
        <w:t>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缴纳社会保险的凭证</w:t>
      </w:r>
      <w:r>
        <w:rPr>
          <w:rFonts w:hint="eastAsia" w:asciiTheme="minorEastAsia" w:hAnsiTheme="minorEastAsia" w:eastAsiaTheme="minorEastAsia" w:cstheme="minorEastAsia"/>
          <w:bCs/>
          <w:color w:val="auto"/>
          <w:sz w:val="24"/>
          <w:szCs w:val="24"/>
          <w:highlight w:val="none"/>
        </w:rPr>
        <w:t>，其他组织和自然人也需要提供缴纳税收的凭证和缴纳社会保险的凭证。投标人依法享受缓缴、免缴税收、社会保障资金的提供证明材料。</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12"/>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bookmarkStart w:id="31" w:name="_Toc27403"/>
    </w:p>
    <w:p>
      <w:pPr>
        <w:pStyle w:val="12"/>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格式五</w:t>
      </w:r>
    </w:p>
    <w:p>
      <w:pPr>
        <w:pStyle w:val="12"/>
        <w:ind w:firstLine="904" w:firstLineChars="300"/>
        <w:jc w:val="both"/>
        <w:outlineLvl w:val="0"/>
        <w:rPr>
          <w:rFonts w:hint="eastAsia" w:asciiTheme="minorEastAsia" w:hAnsiTheme="minorEastAsia" w:eastAsiaTheme="minorEastAsia" w:cstheme="minorEastAsia"/>
          <w:b/>
          <w:bCs/>
          <w:color w:val="auto"/>
          <w:sz w:val="30"/>
          <w:szCs w:val="30"/>
          <w:highlight w:val="none"/>
        </w:rPr>
      </w:pPr>
    </w:p>
    <w:p>
      <w:pPr>
        <w:pStyle w:val="12"/>
        <w:ind w:firstLine="904" w:firstLineChars="300"/>
        <w:jc w:val="both"/>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具备履行合同所必需的设备和专业技术能力的书面声明</w:t>
      </w:r>
      <w:bookmarkEnd w:id="31"/>
    </w:p>
    <w:p>
      <w:pPr>
        <w:pStyle w:val="12"/>
        <w:jc w:val="center"/>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我单位郑重声明：我单位具备履行本项采购合同所必需的设备和专业技术能力，为履行本项采购合同我公司具备如下主要设备和主要专业技术能力：</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主要设备有：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主要专业技术能力有：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 xml:space="preserve">投标人名称（盖章）： </w:t>
      </w: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highlight w:val="none"/>
        </w:rPr>
        <w:t>______年____月____日</w:t>
      </w:r>
    </w:p>
    <w:p>
      <w:pPr>
        <w:spacing w:before="159" w:beforeLines="50" w:after="159" w:afterLines="50" w:line="300" w:lineRule="auto"/>
        <w:rPr>
          <w:rFonts w:hint="eastAsia" w:ascii="仿宋_GB2312" w:hAnsi="仿宋_GB2312" w:eastAsia="仿宋_GB2312" w:cs="仿宋_GB2312"/>
          <w:bCs/>
          <w:color w:val="auto"/>
          <w:sz w:val="24"/>
          <w:highlight w:val="none"/>
        </w:rPr>
      </w:pPr>
    </w:p>
    <w:p>
      <w:pPr>
        <w:spacing w:before="159" w:beforeLines="50" w:after="159" w:afterLines="50" w:line="300" w:lineRule="auto"/>
        <w:jc w:val="center"/>
        <w:outlineLvl w:val="0"/>
        <w:rPr>
          <w:rFonts w:hint="eastAsia" w:ascii="仿宋_GB2312" w:hAnsi="仿宋_GB2312" w:eastAsia="仿宋_GB2312" w:cs="仿宋_GB2312"/>
          <w:bCs w:val="0"/>
          <w:color w:val="auto"/>
          <w:highlight w:val="none"/>
        </w:rPr>
      </w:pPr>
      <w:r>
        <w:rPr>
          <w:rFonts w:hint="eastAsia" w:ascii="仿宋_GB2312" w:hAnsi="仿宋_GB2312" w:eastAsia="仿宋_GB2312" w:cs="仿宋_GB2312"/>
          <w:bCs w:val="0"/>
          <w:color w:val="auto"/>
          <w:highlight w:val="none"/>
        </w:rPr>
        <w:br w:type="page"/>
      </w:r>
      <w:bookmarkStart w:id="32" w:name="_Toc30439"/>
    </w:p>
    <w:p>
      <w:pPr>
        <w:spacing w:before="159" w:beforeLines="50" w:after="159" w:afterLines="50" w:line="300" w:lineRule="auto"/>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格式六</w:t>
      </w: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参加政府采购活动前 3 年内在经营活动中没有重大违法记录的书面声明</w:t>
      </w:r>
      <w:bookmarkEnd w:id="32"/>
    </w:p>
    <w:p>
      <w:pPr>
        <w:pStyle w:val="8"/>
        <w:rPr>
          <w:rFonts w:hint="eastAsia" w:asciiTheme="minorEastAsia" w:hAnsiTheme="minorEastAsia" w:eastAsiaTheme="minorEastAsia" w:cstheme="minorEastAsia"/>
          <w:color w:val="auto"/>
          <w:highlight w:val="none"/>
        </w:rPr>
      </w:pP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color w:val="auto"/>
          <w:sz w:val="24"/>
          <w:highlight w:val="none"/>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bCs/>
          <w:color w:val="auto"/>
          <w:sz w:val="24"/>
          <w:szCs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41"/>
        <w:spacing w:before="159" w:beforeLines="50" w:after="159" w:afterLines="50" w:line="300" w:lineRule="auto"/>
        <w:ind w:firstLine="5229" w:firstLineChars="217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 xml:space="preserve">投标人名称（盖章）： </w:t>
      </w:r>
    </w:p>
    <w:p>
      <w:pPr>
        <w:spacing w:before="159" w:beforeLines="50" w:after="159" w:afterLines="50" w:line="300" w:lineRule="auto"/>
        <w:ind w:firstLine="5280" w:firstLineChars="2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______年____月____日</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00" w:lineRule="exact"/>
        <w:jc w:val="both"/>
        <w:rPr>
          <w:rFonts w:hint="eastAsia" w:ascii="宋体" w:hAnsi="宋体"/>
          <w:b/>
          <w:sz w:val="32"/>
          <w:szCs w:val="32"/>
        </w:rPr>
      </w:pP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格式七</w:t>
      </w: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 xml:space="preserve">中小企业声明函 </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货物</w:t>
      </w:r>
      <w:r>
        <w:rPr>
          <w:rFonts w:hint="eastAsia" w:ascii="宋体" w:hAnsi="宋体" w:eastAsia="宋体" w:cs="宋体"/>
          <w:b/>
          <w:bCs/>
          <w:sz w:val="30"/>
          <w:szCs w:val="30"/>
          <w:lang w:eastAsia="zh-CN"/>
        </w:rPr>
        <w:t>）</w:t>
      </w:r>
    </w:p>
    <w:p>
      <w:pPr>
        <w:spacing w:before="156" w:beforeLines="50" w:after="156" w:afterLines="50" w:line="300" w:lineRule="auto"/>
        <w:ind w:firstLine="480" w:firstLineChars="200"/>
        <w:rPr>
          <w:rFonts w:hint="eastAsia" w:ascii="宋体" w:hAnsi="宋体" w:eastAsia="宋体" w:cs="宋体"/>
          <w:bCs/>
          <w:color w:val="auto"/>
          <w:sz w:val="24"/>
          <w:highlight w:val="none"/>
        </w:rPr>
      </w:pP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本公司（联合体）郑重声明，根据《政府采购促进中小企业发展管理办法》（财库﹝2020﹞46 号）的规定，本公司（联合体）参加（</w:t>
      </w:r>
      <w:r>
        <w:rPr>
          <w:rFonts w:hint="eastAsia" w:ascii="宋体" w:hAnsi="宋体" w:eastAsia="宋体" w:cs="宋体"/>
          <w:bCs/>
          <w:i/>
          <w:iCs/>
          <w:color w:val="auto"/>
          <w:sz w:val="24"/>
          <w:highlight w:val="none"/>
          <w:u w:val="single"/>
        </w:rPr>
        <w:t>单位名称</w:t>
      </w:r>
      <w:r>
        <w:rPr>
          <w:rFonts w:hint="eastAsia" w:ascii="宋体" w:hAnsi="宋体" w:eastAsia="宋体" w:cs="宋体"/>
          <w:bCs/>
          <w:color w:val="auto"/>
          <w:sz w:val="24"/>
          <w:highlight w:val="none"/>
        </w:rPr>
        <w:t>）的（</w:t>
      </w:r>
      <w:r>
        <w:rPr>
          <w:rFonts w:hint="eastAsia" w:ascii="宋体" w:hAnsi="宋体" w:eastAsia="宋体" w:cs="宋体"/>
          <w:bCs/>
          <w:i/>
          <w:iCs/>
          <w:color w:val="auto"/>
          <w:sz w:val="24"/>
          <w:highlight w:val="none"/>
          <w:u w:val="single"/>
        </w:rPr>
        <w:t>项目名称</w:t>
      </w:r>
      <w:r>
        <w:rPr>
          <w:rFonts w:hint="eastAsia" w:ascii="宋体" w:hAnsi="宋体" w:eastAsia="宋体" w:cs="宋体"/>
          <w:bCs/>
          <w:color w:val="auto"/>
          <w:sz w:val="24"/>
          <w:highlight w:val="none"/>
        </w:rPr>
        <w:t>）采购活动，提供的货物全部由符合政策要求的中小企业制造。相关企业（含联合体中的中小企业、签订分包意向协议的中小企业）的具体情况如下：</w:t>
      </w: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i/>
          <w:iCs/>
          <w:color w:val="auto"/>
          <w:sz w:val="24"/>
          <w:highlight w:val="none"/>
          <w:u w:val="single"/>
        </w:rPr>
        <w:t>标的名称</w:t>
      </w:r>
      <w:r>
        <w:rPr>
          <w:rFonts w:hint="eastAsia" w:ascii="宋体" w:hAnsi="宋体" w:eastAsia="宋体" w:cs="宋体"/>
          <w:bCs/>
          <w:color w:val="auto"/>
          <w:sz w:val="24"/>
          <w:highlight w:val="none"/>
        </w:rPr>
        <w:t>） ，属于</w:t>
      </w:r>
      <w:r>
        <w:rPr>
          <w:rFonts w:hint="eastAsia" w:cs="宋体"/>
          <w:bCs/>
          <w:color w:val="auto"/>
          <w:sz w:val="24"/>
          <w:highlight w:val="none"/>
          <w:lang w:eastAsia="zh-CN"/>
        </w:rPr>
        <w:t>（</w:t>
      </w:r>
      <w:r>
        <w:rPr>
          <w:rFonts w:hint="eastAsia" w:cs="宋体"/>
          <w:bCs/>
          <w:color w:val="auto"/>
          <w:sz w:val="24"/>
          <w:highlight w:val="none"/>
          <w:u w:val="single"/>
          <w:lang w:val="en-US" w:eastAsia="zh-CN"/>
        </w:rPr>
        <w:t>采购文件中明确的所属行业</w:t>
      </w:r>
      <w:r>
        <w:rPr>
          <w:rFonts w:hint="eastAsia" w:ascii="宋体" w:hAnsi="宋体" w:eastAsia="宋体" w:cs="宋体"/>
          <w:bCs/>
          <w:color w:val="auto"/>
          <w:sz w:val="24"/>
          <w:highlight w:val="none"/>
        </w:rPr>
        <w:t>）行业；</w:t>
      </w:r>
      <w:r>
        <w:rPr>
          <w:rFonts w:hint="eastAsia" w:cs="宋体"/>
          <w:bCs/>
          <w:color w:val="auto"/>
          <w:sz w:val="24"/>
          <w:highlight w:val="none"/>
          <w:lang w:val="en-US" w:eastAsia="zh-CN"/>
        </w:rPr>
        <w:t>制造</w:t>
      </w:r>
      <w:r>
        <w:rPr>
          <w:rFonts w:hint="eastAsia" w:ascii="宋体" w:hAnsi="宋体" w:eastAsia="宋体" w:cs="宋体"/>
          <w:bCs/>
          <w:color w:val="auto"/>
          <w:sz w:val="24"/>
          <w:highlight w:val="none"/>
        </w:rPr>
        <w:t>商为（</w:t>
      </w:r>
      <w:r>
        <w:rPr>
          <w:rFonts w:hint="eastAsia" w:ascii="宋体" w:hAnsi="宋体" w:eastAsia="宋体" w:cs="宋体"/>
          <w:bCs/>
          <w:i/>
          <w:i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万元，属于（</w:t>
      </w:r>
      <w:r>
        <w:rPr>
          <w:rFonts w:hint="eastAsia" w:ascii="宋体" w:hAnsi="宋体" w:eastAsia="宋体" w:cs="宋体"/>
          <w:bCs/>
          <w:i/>
          <w:iCs/>
          <w:color w:val="auto"/>
          <w:sz w:val="24"/>
          <w:highlight w:val="none"/>
          <w:u w:val="single"/>
        </w:rPr>
        <w:t>中型企业、小型企业、微型企业</w:t>
      </w:r>
      <w:r>
        <w:rPr>
          <w:rFonts w:hint="eastAsia" w:ascii="宋体" w:hAnsi="宋体" w:eastAsia="宋体" w:cs="宋体"/>
          <w:bCs/>
          <w:color w:val="auto"/>
          <w:sz w:val="24"/>
          <w:highlight w:val="none"/>
        </w:rPr>
        <w:t>）；</w:t>
      </w: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rPr>
        <w:t>（</w:t>
      </w:r>
      <w:r>
        <w:rPr>
          <w:rFonts w:hint="eastAsia" w:ascii="宋体" w:hAnsi="宋体" w:eastAsia="宋体" w:cs="宋体"/>
          <w:bCs/>
          <w:i/>
          <w:iCs/>
          <w:color w:val="auto"/>
          <w:sz w:val="24"/>
          <w:highlight w:val="none"/>
          <w:u w:val="single"/>
        </w:rPr>
        <w:t>标的名称</w:t>
      </w:r>
      <w:r>
        <w:rPr>
          <w:rFonts w:hint="eastAsia" w:ascii="宋体" w:hAnsi="宋体" w:eastAsia="宋体" w:cs="宋体"/>
          <w:bCs/>
          <w:color w:val="auto"/>
          <w:sz w:val="24"/>
          <w:highlight w:val="none"/>
        </w:rPr>
        <w:t>） ，属于</w:t>
      </w:r>
      <w:r>
        <w:rPr>
          <w:rFonts w:hint="eastAsia" w:cs="宋体"/>
          <w:bCs/>
          <w:color w:val="auto"/>
          <w:sz w:val="24"/>
          <w:highlight w:val="none"/>
          <w:lang w:eastAsia="zh-CN"/>
        </w:rPr>
        <w:t>（</w:t>
      </w:r>
      <w:r>
        <w:rPr>
          <w:rFonts w:hint="eastAsia" w:cs="宋体"/>
          <w:bCs/>
          <w:color w:val="auto"/>
          <w:sz w:val="24"/>
          <w:highlight w:val="none"/>
          <w:u w:val="single"/>
          <w:lang w:val="en-US" w:eastAsia="zh-CN"/>
        </w:rPr>
        <w:t>采购文件中明确的所属行业</w:t>
      </w:r>
      <w:r>
        <w:rPr>
          <w:rFonts w:hint="eastAsia" w:ascii="宋体" w:hAnsi="宋体" w:eastAsia="宋体" w:cs="宋体"/>
          <w:bCs/>
          <w:color w:val="auto"/>
          <w:sz w:val="24"/>
          <w:highlight w:val="none"/>
        </w:rPr>
        <w:t>）行业；</w:t>
      </w:r>
      <w:r>
        <w:rPr>
          <w:rFonts w:hint="eastAsia" w:cs="宋体"/>
          <w:bCs/>
          <w:color w:val="auto"/>
          <w:sz w:val="24"/>
          <w:highlight w:val="none"/>
          <w:lang w:val="en-US" w:eastAsia="zh-CN"/>
        </w:rPr>
        <w:t>制造</w:t>
      </w:r>
      <w:r>
        <w:rPr>
          <w:rFonts w:hint="eastAsia" w:ascii="宋体" w:hAnsi="宋体" w:eastAsia="宋体" w:cs="宋体"/>
          <w:bCs/>
          <w:color w:val="auto"/>
          <w:sz w:val="24"/>
          <w:highlight w:val="none"/>
        </w:rPr>
        <w:t>商为（</w:t>
      </w:r>
      <w:r>
        <w:rPr>
          <w:rFonts w:hint="eastAsia" w:ascii="宋体" w:hAnsi="宋体" w:eastAsia="宋体" w:cs="宋体"/>
          <w:bCs/>
          <w:i/>
          <w:i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万元，属于（</w:t>
      </w:r>
      <w:r>
        <w:rPr>
          <w:rFonts w:hint="eastAsia" w:ascii="宋体" w:hAnsi="宋体" w:eastAsia="宋体" w:cs="宋体"/>
          <w:bCs/>
          <w:i/>
          <w:iCs/>
          <w:color w:val="auto"/>
          <w:sz w:val="24"/>
          <w:highlight w:val="none"/>
          <w:u w:val="single"/>
        </w:rPr>
        <w:t>中型企业、小型企业、微型企业</w:t>
      </w:r>
      <w:r>
        <w:rPr>
          <w:rFonts w:hint="eastAsia" w:ascii="宋体" w:hAnsi="宋体" w:eastAsia="宋体" w:cs="宋体"/>
          <w:bCs/>
          <w:color w:val="auto"/>
          <w:sz w:val="24"/>
          <w:highlight w:val="none"/>
        </w:rPr>
        <w:t>）；</w:t>
      </w:r>
    </w:p>
    <w:p>
      <w:pPr>
        <w:spacing w:before="156" w:beforeLines="50" w:after="156" w:afterLines="50" w:line="30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本企业对上述声明内容的真实性负责。如有虚假，将依法承担相应责任。</w:t>
      </w:r>
    </w:p>
    <w:p>
      <w:pPr>
        <w:spacing w:before="156" w:beforeLines="50" w:after="156" w:afterLines="50" w:line="300" w:lineRule="auto"/>
        <w:rPr>
          <w:rFonts w:hint="eastAsia" w:ascii="仿宋_GB2312" w:hAnsi="仿宋_GB2312" w:eastAsia="仿宋_GB2312" w:cs="仿宋_GB2312"/>
          <w:bCs/>
          <w:color w:val="auto"/>
          <w:sz w:val="24"/>
          <w:highlight w:val="none"/>
        </w:rPr>
      </w:pPr>
    </w:p>
    <w:p>
      <w:pPr>
        <w:spacing w:before="156" w:beforeLines="50" w:after="156" w:afterLines="50" w:line="300" w:lineRule="auto"/>
        <w:ind w:firstLine="4080" w:firstLineChars="17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企业名称（盖章）：</w:t>
      </w:r>
    </w:p>
    <w:p>
      <w:pPr>
        <w:spacing w:before="156" w:beforeLines="50" w:after="156" w:afterLines="50" w:line="300" w:lineRule="auto"/>
        <w:ind w:firstLine="4080" w:firstLineChars="17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日期：</w:t>
      </w:r>
    </w:p>
    <w:p>
      <w:pPr>
        <w:spacing w:line="360" w:lineRule="auto"/>
        <w:jc w:val="both"/>
        <w:rPr>
          <w:rFonts w:hint="eastAsia" w:ascii="宋体" w:hAnsi="宋体" w:eastAsia="宋体" w:cs="宋体"/>
          <w:b/>
          <w:bCs/>
          <w:sz w:val="30"/>
          <w:szCs w:val="30"/>
          <w:lang w:val="en-US" w:eastAsia="zh-CN"/>
        </w:rPr>
      </w:pPr>
    </w:p>
    <w:p>
      <w:pPr>
        <w:spacing w:line="360" w:lineRule="auto"/>
        <w:jc w:val="center"/>
        <w:rPr>
          <w:rFonts w:hint="eastAsia" w:ascii="宋体" w:hAnsi="宋体" w:eastAsia="宋体" w:cs="宋体"/>
          <w:b/>
          <w:bCs/>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rPr>
      </w:pPr>
      <w:r>
        <w:rPr>
          <w:rFonts w:hint="eastAsia" w:ascii="宋体" w:hAnsi="宋体"/>
          <w:b/>
          <w:bCs/>
          <w:sz w:val="18"/>
          <w:lang w:val="en-US" w:eastAsia="zh-CN"/>
        </w:rPr>
        <w:t>备注：1、</w:t>
      </w:r>
      <w:r>
        <w:rPr>
          <w:rFonts w:hint="eastAsia" w:ascii="宋体" w:hAnsi="宋体" w:eastAsia="宋体"/>
          <w:b/>
          <w:bCs/>
          <w:sz w:val="18"/>
        </w:rPr>
        <w:t>从业人员、营业收入、资产总额填报上一年度数据，无上一年度数据的新成立企业可不填报。</w:t>
      </w:r>
    </w:p>
    <w:p>
      <w:pPr>
        <w:pStyle w:val="8"/>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8"/>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8"/>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8"/>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rPr>
      </w:pPr>
      <w:r>
        <w:rPr>
          <w:rFonts w:hint="eastAsia" w:ascii="宋体" w:hAnsi="宋体" w:eastAsia="宋体" w:cs="宋体"/>
          <w:b/>
          <w:bCs/>
          <w:sz w:val="30"/>
          <w:szCs w:val="30"/>
        </w:rPr>
        <w:t>中小企业声明函</w:t>
      </w:r>
      <w:r>
        <w:rPr>
          <w:rFonts w:hint="eastAsia" w:cs="宋体"/>
          <w:b/>
          <w:bCs/>
          <w:sz w:val="30"/>
          <w:szCs w:val="30"/>
          <w:lang w:eastAsia="zh-CN"/>
        </w:rPr>
        <w:t>（服务）</w:t>
      </w:r>
      <w:r>
        <w:rPr>
          <w:rFonts w:hint="eastAsia" w:ascii="宋体" w:hAnsi="宋体" w:eastAsia="宋体" w:cs="宋体"/>
          <w:b/>
          <w:bCs/>
          <w:sz w:val="30"/>
          <w:szCs w:val="30"/>
        </w:rPr>
        <w:t xml:space="preserve"> </w:t>
      </w:r>
    </w:p>
    <w:p>
      <w:pPr>
        <w:spacing w:before="156" w:beforeLines="50" w:after="156" w:afterLines="50" w:line="300" w:lineRule="auto"/>
        <w:ind w:firstLine="480" w:firstLineChars="200"/>
        <w:rPr>
          <w:rFonts w:hint="eastAsia" w:ascii="宋体" w:hAnsi="宋体" w:eastAsia="宋体" w:cs="宋体"/>
          <w:bCs/>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 ﹝2020﹞46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i/>
          <w:iCs/>
          <w:sz w:val="24"/>
          <w:szCs w:val="24"/>
        </w:rPr>
        <w:t>标的</w:t>
      </w:r>
      <w:r>
        <w:rPr>
          <w:rFonts w:hint="eastAsia" w:ascii="宋体" w:hAnsi="宋体" w:cs="宋体"/>
          <w:i/>
          <w:iCs/>
          <w:sz w:val="24"/>
          <w:szCs w:val="24"/>
          <w:lang w:val="en-US" w:eastAsia="zh-CN"/>
        </w:rPr>
        <w:t>物</w:t>
      </w:r>
      <w:r>
        <w:rPr>
          <w:rFonts w:hint="eastAsia" w:ascii="宋体" w:hAnsi="宋体" w:eastAsia="宋体" w:cs="宋体"/>
          <w:i/>
          <w:iCs/>
          <w:sz w:val="24"/>
          <w:szCs w:val="24"/>
        </w:rPr>
        <w:t>名称</w:t>
      </w:r>
      <w:r>
        <w:rPr>
          <w:rFonts w:hint="eastAsia" w:ascii="宋体" w:hAnsi="宋体" w:eastAsia="宋体" w:cs="宋体"/>
          <w:sz w:val="24"/>
          <w:szCs w:val="24"/>
        </w:rPr>
        <w:t>），属于（</w:t>
      </w:r>
      <w:r>
        <w:rPr>
          <w:rFonts w:hint="eastAsia" w:cs="宋体"/>
          <w:bCs/>
          <w:color w:val="auto"/>
          <w:sz w:val="24"/>
          <w:highlight w:val="none"/>
          <w:u w:val="single"/>
          <w:lang w:val="en-US" w:eastAsia="zh-CN"/>
        </w:rPr>
        <w:t>采购文件中明确的所属行业</w:t>
      </w:r>
      <w:r>
        <w:rPr>
          <w:rFonts w:hint="eastAsia" w:ascii="宋体" w:hAnsi="宋体" w:eastAsia="宋体" w:cs="宋体"/>
          <w:sz w:val="24"/>
          <w:szCs w:val="24"/>
        </w:rPr>
        <w:t>）；承建企业为</w:t>
      </w:r>
      <w:r>
        <w:rPr>
          <w:rFonts w:hint="eastAsia" w:ascii="宋体" w:hAnsi="宋体" w:eastAsia="宋体" w:cs="宋体"/>
          <w:sz w:val="24"/>
          <w:szCs w:val="24"/>
          <w:u w:val="single"/>
        </w:rPr>
        <w:t>（</w:t>
      </w:r>
      <w:r>
        <w:rPr>
          <w:rFonts w:hint="eastAsia" w:ascii="宋体" w:hAnsi="宋体" w:eastAsia="宋体" w:cs="宋体"/>
          <w:i/>
          <w:iCs/>
          <w:sz w:val="24"/>
          <w:szCs w:val="24"/>
          <w:u w:val="single"/>
        </w:rPr>
        <w:t>企业名称</w:t>
      </w:r>
      <w:r>
        <w:rPr>
          <w:rFonts w:hint="eastAsia" w:ascii="宋体" w:hAnsi="宋体" w:eastAsia="宋体" w:cs="宋体"/>
          <w:sz w:val="24"/>
          <w:szCs w:val="24"/>
          <w:u w:val="single"/>
        </w:rPr>
        <w:t>）</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i/>
          <w:iCs/>
          <w:sz w:val="24"/>
          <w:szCs w:val="24"/>
        </w:rPr>
        <w:t>标的</w:t>
      </w:r>
      <w:r>
        <w:rPr>
          <w:rFonts w:hint="eastAsia" w:ascii="宋体" w:hAnsi="宋体" w:cs="宋体"/>
          <w:i/>
          <w:iCs/>
          <w:sz w:val="24"/>
          <w:szCs w:val="24"/>
          <w:lang w:val="en-US" w:eastAsia="zh-CN"/>
        </w:rPr>
        <w:t>物</w:t>
      </w:r>
      <w:r>
        <w:rPr>
          <w:rFonts w:hint="eastAsia" w:ascii="宋体" w:hAnsi="宋体" w:eastAsia="宋体" w:cs="宋体"/>
          <w:i/>
          <w:iCs/>
          <w:sz w:val="24"/>
          <w:szCs w:val="24"/>
        </w:rPr>
        <w:t>名称</w:t>
      </w:r>
      <w:r>
        <w:rPr>
          <w:rFonts w:hint="eastAsia" w:ascii="宋体" w:hAnsi="宋体" w:eastAsia="宋体" w:cs="宋体"/>
          <w:sz w:val="24"/>
          <w:szCs w:val="24"/>
        </w:rPr>
        <w:t>），属于（</w:t>
      </w:r>
      <w:r>
        <w:rPr>
          <w:rFonts w:hint="eastAsia" w:cs="宋体"/>
          <w:bCs/>
          <w:color w:val="auto"/>
          <w:sz w:val="24"/>
          <w:highlight w:val="none"/>
          <w:u w:val="single"/>
          <w:lang w:val="en-US" w:eastAsia="zh-CN"/>
        </w:rPr>
        <w:t>采购文件中明确的所属行业</w:t>
      </w:r>
      <w:r>
        <w:rPr>
          <w:rFonts w:hint="eastAsia" w:ascii="宋体" w:hAnsi="宋体" w:eastAsia="宋体" w:cs="宋体"/>
          <w:sz w:val="24"/>
          <w:szCs w:val="24"/>
        </w:rPr>
        <w:t>）；承建企业为</w:t>
      </w:r>
      <w:r>
        <w:rPr>
          <w:rFonts w:hint="eastAsia" w:ascii="宋体" w:hAnsi="宋体" w:eastAsia="宋体" w:cs="宋体"/>
          <w:sz w:val="24"/>
          <w:szCs w:val="24"/>
          <w:u w:val="single"/>
        </w:rPr>
        <w:t>（</w:t>
      </w:r>
      <w:r>
        <w:rPr>
          <w:rFonts w:hint="eastAsia" w:ascii="宋体" w:hAnsi="宋体" w:eastAsia="宋体" w:cs="宋体"/>
          <w:i/>
          <w:iCs/>
          <w:sz w:val="24"/>
          <w:szCs w:val="24"/>
          <w:u w:val="single"/>
        </w:rPr>
        <w:t>企业名称</w:t>
      </w:r>
      <w:r>
        <w:rPr>
          <w:rFonts w:hint="eastAsia" w:ascii="宋体" w:hAnsi="宋体" w:eastAsia="宋体" w:cs="宋体"/>
          <w:sz w:val="24"/>
          <w:szCs w:val="24"/>
          <w:u w:val="single"/>
        </w:rPr>
        <w:t>）</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before="156" w:beforeLines="50" w:after="156" w:afterLines="50" w:line="30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rPr>
      </w:pPr>
      <w:r>
        <w:rPr>
          <w:rFonts w:hint="eastAsia" w:ascii="宋体" w:hAnsi="宋体"/>
          <w:b/>
          <w:bCs/>
          <w:sz w:val="18"/>
          <w:lang w:val="en-US" w:eastAsia="zh-CN"/>
        </w:rPr>
        <w:t>备注：1、</w:t>
      </w:r>
      <w:r>
        <w:rPr>
          <w:rFonts w:hint="eastAsia" w:ascii="宋体" w:hAnsi="宋体" w:eastAsia="宋体"/>
          <w:b/>
          <w:bCs/>
          <w:sz w:val="18"/>
        </w:rPr>
        <w:t>从业人员、营业收入、资产总额填报上一年度数据，无上一年度数据的新成立企业可不填报。</w:t>
      </w:r>
    </w:p>
    <w:p>
      <w:pPr>
        <w:rPr>
          <w:rFonts w:hint="eastAsia"/>
          <w:lang w:val="en-US" w:eastAsia="zh-CN"/>
        </w:rPr>
      </w:pPr>
    </w:p>
    <w:p>
      <w:pPr>
        <w:pStyle w:val="8"/>
        <w:rPr>
          <w:rFonts w:hint="eastAsia" w:ascii="宋体" w:hAnsi="宋体" w:eastAsia="宋体" w:cs="宋体"/>
          <w:b/>
          <w:bCs/>
          <w:sz w:val="30"/>
          <w:szCs w:val="30"/>
          <w:lang w:val="en-US" w:eastAsia="zh-CN"/>
        </w:rPr>
      </w:pPr>
    </w:p>
    <w:p>
      <w:pPr>
        <w:pStyle w:val="8"/>
        <w:rPr>
          <w:rFonts w:hint="eastAsia"/>
          <w:lang w:val="en-US" w:eastAsia="zh-CN"/>
        </w:rPr>
      </w:pPr>
    </w:p>
    <w:p>
      <w:pPr>
        <w:spacing w:line="360" w:lineRule="auto"/>
        <w:jc w:val="center"/>
        <w:rPr>
          <w:rFonts w:hint="eastAsia" w:ascii="宋体" w:hAnsi="宋体" w:eastAsia="宋体" w:cs="宋体"/>
          <w:b/>
          <w:bCs/>
          <w:sz w:val="30"/>
          <w:szCs w:val="30"/>
          <w:lang w:val="en-US" w:eastAsia="zh-CN"/>
        </w:rPr>
      </w:pP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w:t>
      </w:r>
    </w:p>
    <w:p>
      <w:pPr>
        <w:spacing w:line="360" w:lineRule="auto"/>
        <w:jc w:val="center"/>
        <w:rPr>
          <w:rFonts w:ascii="仿宋_GB2312" w:hAnsi="仿宋_GB2312" w:eastAsia="仿宋_GB2312"/>
          <w:b/>
          <w:bCs/>
          <w:sz w:val="32"/>
          <w:szCs w:val="32"/>
        </w:rPr>
      </w:pPr>
      <w:r>
        <w:rPr>
          <w:rFonts w:hint="eastAsia" w:ascii="宋体" w:hAnsi="宋体" w:eastAsia="宋体" w:cs="宋体"/>
          <w:b/>
          <w:bCs/>
          <w:sz w:val="30"/>
          <w:szCs w:val="30"/>
        </w:rPr>
        <w:t>残疾人福利性单位声明函</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rPr>
          <w:rFonts w:ascii="仿宋_GB2312" w:hAnsi="仿宋_GB2312" w:eastAsia="仿宋_GB2312"/>
          <w:b/>
          <w:bCs/>
          <w:spacing w:val="6"/>
        </w:rPr>
      </w:pPr>
    </w:p>
    <w:p>
      <w:pPr>
        <w:spacing w:line="360" w:lineRule="auto"/>
        <w:ind w:firstLine="504" w:firstLineChars="200"/>
        <w:jc w:val="both"/>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本单位郑重声明，根据《财政部民政部中国残疾人联合会关于促进残疾人就业政府采购政策的通知》（财库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w:t>
      </w:r>
      <w:r>
        <w:rPr>
          <w:rFonts w:hint="eastAsia" w:ascii="宋体" w:hAnsi="宋体" w:eastAsia="宋体" w:cs="宋体"/>
          <w:sz w:val="24"/>
          <w:szCs w:val="24"/>
          <w:u w:val="single"/>
        </w:rPr>
        <w:t>XXXX</w:t>
      </w:r>
      <w:r>
        <w:rPr>
          <w:rFonts w:hint="eastAsia" w:ascii="宋体" w:hAnsi="宋体" w:eastAsia="宋体" w:cs="宋体"/>
          <w:spacing w:val="6"/>
          <w:sz w:val="24"/>
          <w:szCs w:val="24"/>
        </w:rPr>
        <w:t>单位的</w:t>
      </w:r>
      <w:r>
        <w:rPr>
          <w:rFonts w:hint="eastAsia" w:ascii="宋体" w:hAnsi="宋体" w:eastAsia="宋体" w:cs="宋体"/>
          <w:sz w:val="24"/>
          <w:szCs w:val="24"/>
          <w:u w:val="single"/>
        </w:rPr>
        <w:t>XXXX</w:t>
      </w:r>
      <w:r>
        <w:rPr>
          <w:rFonts w:hint="eastAsia" w:ascii="宋体" w:hAnsi="宋体" w:eastAsia="宋体" w:cs="宋体"/>
          <w:spacing w:val="6"/>
          <w:sz w:val="24"/>
          <w:szCs w:val="24"/>
        </w:rPr>
        <w:t>项目采购活动由本单位承担工程。</w:t>
      </w:r>
    </w:p>
    <w:p>
      <w:pPr>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rPr>
          <w:rFonts w:hint="eastAsia" w:ascii="宋体" w:hAnsi="宋体" w:eastAsia="宋体" w:cs="宋体"/>
          <w:spacing w:val="6"/>
          <w:sz w:val="24"/>
          <w:szCs w:val="24"/>
        </w:rPr>
      </w:pPr>
    </w:p>
    <w:p>
      <w:pPr>
        <w:spacing w:line="360" w:lineRule="auto"/>
        <w:rPr>
          <w:rFonts w:hint="eastAsia" w:ascii="宋体" w:hAnsi="宋体" w:eastAsia="宋体" w:cs="宋体"/>
          <w:spacing w:val="6"/>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供应商名称：XXXX（加盖公章）</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日期：XXX年XXX月XXX日</w:t>
      </w: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rPr>
          <w:rFonts w:hint="eastAsia" w:ascii="宋体" w:hAnsi="宋体" w:eastAsia="宋体" w:cs="宋体"/>
          <w:sz w:val="24"/>
          <w:szCs w:val="24"/>
        </w:rPr>
      </w:pPr>
      <w:r>
        <w:rPr>
          <w:rFonts w:hint="eastAsia" w:ascii="宋体" w:hAnsi="宋体" w:eastAsia="宋体" w:cs="宋体"/>
          <w:sz w:val="24"/>
          <w:szCs w:val="24"/>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
        </w:rPr>
      </w:pPr>
      <w:r>
        <w:rPr>
          <w:rFonts w:hint="eastAsia" w:ascii="宋体" w:hAnsi="宋体" w:eastAsia="宋体" w:cs="宋体"/>
          <w:sz w:val="24"/>
          <w:szCs w:val="24"/>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rPr>
      </w:pPr>
    </w:p>
    <w:p>
      <w:pPr>
        <w:spacing w:line="360" w:lineRule="auto"/>
        <w:rPr>
          <w:rFonts w:ascii="仿宋_GB2312" w:hAnsi="仿宋_GB2312" w:eastAsia="仿宋_GB2312"/>
          <w:b/>
          <w:bCs/>
          <w:sz w:val="28"/>
          <w:szCs w:val="28"/>
        </w:rPr>
        <w:sectPr>
          <w:pgSz w:w="11907" w:h="16840"/>
          <w:pgMar w:top="1440" w:right="1440" w:bottom="1440" w:left="1440" w:header="851" w:footer="992" w:gutter="0"/>
          <w:pgBorders>
            <w:top w:val="none" w:sz="0" w:space="0"/>
            <w:left w:val="none" w:sz="0" w:space="0"/>
            <w:bottom w:val="none" w:sz="0" w:space="0"/>
            <w:right w:val="none" w:sz="0" w:space="0"/>
          </w:pgBorders>
          <w:pgNumType w:fmt="numberInDash"/>
          <w:cols w:space="0" w:num="1"/>
          <w:rtlGutter w:val="0"/>
          <w:docGrid w:linePitch="312" w:charSpace="0"/>
        </w:sectPr>
      </w:pPr>
    </w:p>
    <w:p>
      <w:pPr>
        <w:spacing w:line="360" w:lineRule="auto"/>
        <w:jc w:val="cente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监狱企业证明</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after="16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注：1.监狱企业参加政府采购活动时，应当提供由省级以上监狱管理局、戒毒管理局（含新疆生产建设兵团）出具的属于监狱企业的证明文件，并加盖单位公章。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宋体" w:hAnsi="宋体" w:eastAsia="宋体" w:cs="宋体"/>
          <w:sz w:val="24"/>
          <w:szCs w:val="24"/>
        </w:rPr>
        <w:t>2.监狱企业视同小型、微型企业，享受预留份额、评审中价格扣除等政府采购促进中小企业发展的政府采购政策。监狱企业属于小型、微型企业的，不重复享受政策。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w:t>
      </w:r>
      <w:r>
        <w:rPr>
          <w:rFonts w:hint="eastAsia" w:asciiTheme="minorEastAsia" w:hAnsiTheme="minorEastAsia" w:eastAsiaTheme="minorEastAsia" w:cstheme="minorEastAsia"/>
          <w:b/>
          <w:bCs/>
          <w:color w:val="auto"/>
          <w:sz w:val="21"/>
          <w:szCs w:val="21"/>
          <w:highlight w:val="none"/>
          <w:lang w:val="en-US" w:eastAsia="zh-CN"/>
        </w:rPr>
        <w:t>八</w:t>
      </w:r>
    </w:p>
    <w:p>
      <w:pPr>
        <w:pStyle w:val="5"/>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开标一览表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page">
                  <wp:posOffset>641350</wp:posOffset>
                </wp:positionH>
                <wp:positionV relativeFrom="paragraph">
                  <wp:posOffset>576580</wp:posOffset>
                </wp:positionV>
                <wp:extent cx="6286500" cy="27781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286500" cy="2778125"/>
                        </a:xfrm>
                        <a:prstGeom prst="rect">
                          <a:avLst/>
                        </a:prstGeom>
                        <a:noFill/>
                        <a:ln w="9525">
                          <a:noFill/>
                        </a:ln>
                      </wps:spPr>
                      <wps:txbx>
                        <w:txbxContent>
                          <w:tbl>
                            <w:tblPr>
                              <w:tblStyle w:val="25"/>
                              <w:tblpPr w:leftFromText="45" w:rightFromText="45" w:vertAnchor="text" w:tblpXSpec="center"/>
                              <w:tblW w:w="8964"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50.5pt;margin-top:45.4pt;height:218.75pt;width:495pt;mso-position-horizontal-relative:page;z-index:251668480;mso-width-relative:page;mso-height-relative:page;" filled="f" stroked="f" coordsize="21600,21600" o:gfxdata="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pUDttgAAAALAQAA&#10;DwAAAAAAAAABACAAAAAiAAAAZHJzL2Rvd25yZXYueG1sUEsBAhQAFAAAAAgAh07iQJhaQDqnAQAA&#10;MAMAAA4AAAAAAAAAAQAgAAAAJwEAAGRycy9lMm9Eb2MueG1sUEsFBgAAAAAGAAYAWQEAAEAFAAAA&#10;AA==&#10;">
                <v:fill on="f" focussize="0,0"/>
                <v:stroke on="f"/>
                <v:imagedata o:title=""/>
                <o:lock v:ext="edit" aspectratio="f"/>
                <v:textbox inset="0mm,0mm,0mm,0mm">
                  <w:txbxContent>
                    <w:tbl>
                      <w:tblPr>
                        <w:tblStyle w:val="25"/>
                        <w:tblpPr w:leftFromText="45" w:rightFromText="45" w:vertAnchor="text" w:tblpXSpec="center"/>
                        <w:tblW w:w="8964"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8"/>
                      </w:pPr>
                    </w:p>
                  </w:txbxContent>
                </v:textbox>
              </v:shape>
            </w:pict>
          </mc:Fallback>
        </mc:AlternateContent>
      </w:r>
      <w:r>
        <w:rPr>
          <w:rFonts w:hint="eastAsia" w:ascii="宋体" w:hAnsi="宋体" w:eastAsia="宋体" w:cs="宋体"/>
          <w:sz w:val="24"/>
          <w:szCs w:val="24"/>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cs="宋体"/>
          <w:b w:val="0"/>
          <w:bCs w:val="0"/>
          <w:sz w:val="24"/>
          <w:szCs w:val="24"/>
          <w:u w:val="none"/>
          <w:lang w:val="en-US" w:eastAsia="zh-CN"/>
        </w:rPr>
      </w:pPr>
      <w:r>
        <w:rPr>
          <w:rFonts w:hint="eastAsia" w:ascii="宋体" w:hAnsi="宋体" w:eastAsia="宋体" w:cs="宋体"/>
          <w:sz w:val="24"/>
          <w:szCs w:val="24"/>
          <w:lang w:eastAsia="zh-CN"/>
        </w:rPr>
        <w:t>项目编号：</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cs="宋体"/>
          <w:b w:val="0"/>
          <w:bCs w:val="0"/>
          <w:sz w:val="24"/>
          <w:szCs w:val="24"/>
          <w:u w:val="none"/>
          <w:lang w:val="en-US" w:eastAsia="zh-CN"/>
        </w:rPr>
        <w:t>标项号/内容：</w:t>
      </w:r>
    </w:p>
    <w:p>
      <w:pPr>
        <w:pStyle w:val="8"/>
        <w:rPr>
          <w:rFonts w:hint="eastAsia"/>
          <w:lang w:val="en-US" w:eastAsia="zh-CN"/>
        </w:rPr>
      </w:pPr>
    </w:p>
    <w:p>
      <w:pPr>
        <w:pStyle w:val="8"/>
        <w:rPr>
          <w:rFonts w:hint="eastAsia"/>
        </w:rPr>
      </w:pPr>
    </w:p>
    <w:p>
      <w:pPr>
        <w:pStyle w:val="8"/>
        <w:rPr>
          <w:rFonts w:hint="eastAsia"/>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注：</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 xml:space="preserve">供应商须按要求填写所有信息，本表格式内容不得改动。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 xml:space="preserve">2. </w:t>
      </w:r>
      <w:r>
        <w:rPr>
          <w:rFonts w:hint="eastAsia" w:ascii="宋体" w:hAnsi="宋体" w:eastAsia="宋体" w:cs="宋体"/>
          <w:sz w:val="24"/>
          <w:szCs w:val="24"/>
          <w:lang w:val="en-US" w:eastAsia="zh-CN"/>
        </w:rPr>
        <w:t>总报价不得超出本项目采购预算价，否则视作无效响应文件。</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8"/>
        <w:numPr>
          <w:ilvl w:val="0"/>
          <w:numId w:val="0"/>
        </w:numPr>
        <w:rPr>
          <w:rFonts w:hint="eastAsia"/>
          <w:lang w:eastAsia="zh-CN"/>
        </w:rPr>
      </w:pPr>
    </w:p>
    <w:p>
      <w:pPr>
        <w:pStyle w:val="2"/>
        <w:rPr>
          <w:rFonts w:hint="eastAsia"/>
        </w:rPr>
      </w:pPr>
    </w:p>
    <w:p>
      <w:pPr>
        <w:pStyle w:val="2"/>
        <w:rPr>
          <w:rFonts w:hint="eastAsia"/>
        </w:rPr>
      </w:pPr>
    </w:p>
    <w:p>
      <w:pPr>
        <w:pStyle w:val="2"/>
        <w:rPr>
          <w:rFonts w:hint="eastAsia"/>
        </w:rPr>
        <w:sectPr>
          <w:headerReference r:id="rId8" w:type="first"/>
          <w:footerReference r:id="rId10" w:type="first"/>
          <w:headerReference r:id="rId7" w:type="default"/>
          <w:footerReference r:id="rId9" w:type="default"/>
          <w:pgSz w:w="11906" w:h="16838"/>
          <w:pgMar w:top="1440" w:right="1440" w:bottom="1440" w:left="1440" w:header="737" w:footer="737" w:gutter="0"/>
          <w:pgBorders>
            <w:top w:val="none" w:sz="0" w:space="0"/>
            <w:left w:val="none" w:sz="0" w:space="0"/>
            <w:bottom w:val="none" w:sz="0" w:space="0"/>
            <w:right w:val="none" w:sz="0" w:space="0"/>
          </w:pgBorders>
          <w:pgNumType w:fmt="decimal"/>
          <w:cols w:space="0" w:num="1"/>
          <w:titlePg/>
          <w:rtlGutter w:val="0"/>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w:t>
      </w:r>
      <w:r>
        <w:rPr>
          <w:rFonts w:hint="eastAsia" w:asciiTheme="minorEastAsia" w:hAnsiTheme="minorEastAsia" w:eastAsiaTheme="minorEastAsia" w:cstheme="minorEastAsia"/>
          <w:b/>
          <w:bCs/>
          <w:color w:val="auto"/>
          <w:sz w:val="21"/>
          <w:szCs w:val="21"/>
          <w:highlight w:val="none"/>
          <w:lang w:val="en-US" w:eastAsia="zh-CN"/>
        </w:rPr>
        <w:t>九</w:t>
      </w:r>
    </w:p>
    <w:p>
      <w:pPr>
        <w:pStyle w:val="5"/>
        <w:numPr>
          <w:ilvl w:val="0"/>
          <w:numId w:val="0"/>
        </w:numPr>
        <w:ind w:firstLine="5341" w:firstLineChars="1900"/>
        <w:jc w:val="both"/>
        <w:rPr>
          <w:rFonts w:hint="eastAsia" w:asciiTheme="minorEastAsia" w:hAnsiTheme="minorEastAsia" w:eastAsiaTheme="minorEastAsia" w:cstheme="minorEastAsia"/>
          <w:color w:val="auto"/>
          <w:sz w:val="28"/>
          <w:szCs w:val="28"/>
          <w:highlight w:val="none"/>
        </w:rPr>
      </w:pPr>
      <w:bookmarkStart w:id="33" w:name="_Toc25776"/>
      <w:r>
        <w:rPr>
          <w:rFonts w:hint="eastAsia" w:asciiTheme="minorEastAsia" w:hAnsiTheme="minorEastAsia" w:eastAsiaTheme="minorEastAsia" w:cstheme="minorEastAsia"/>
          <w:color w:val="auto"/>
          <w:sz w:val="28"/>
          <w:szCs w:val="28"/>
          <w:highlight w:val="none"/>
        </w:rPr>
        <w:t>投标产品配置及分项报价表</w:t>
      </w:r>
      <w:bookmarkEnd w:id="33"/>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采购项目名称：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采购项目编号：</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cs="宋体"/>
          <w:b w:val="0"/>
          <w:bCs w:val="0"/>
          <w:sz w:val="24"/>
          <w:szCs w:val="24"/>
          <w:u w:val="none"/>
          <w:lang w:val="en-US" w:eastAsia="zh-CN"/>
        </w:rPr>
        <w:t>标项号/内容：</w:t>
      </w:r>
      <w:r>
        <w:rPr>
          <w:rFonts w:hint="eastAsia" w:ascii="宋体" w:hAnsi="宋体" w:eastAsia="宋体" w:cs="宋体"/>
          <w:color w:val="auto"/>
          <w:sz w:val="24"/>
          <w:szCs w:val="24"/>
        </w:rPr>
        <w:t xml:space="preserve"> </w:t>
      </w:r>
    </w:p>
    <w:tbl>
      <w:tblPr>
        <w:tblStyle w:val="25"/>
        <w:tblW w:w="13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995"/>
        <w:gridCol w:w="1458"/>
        <w:gridCol w:w="2670"/>
        <w:gridCol w:w="2550"/>
        <w:gridCol w:w="660"/>
        <w:gridCol w:w="558"/>
        <w:gridCol w:w="1005"/>
        <w:gridCol w:w="125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jc w:val="center"/>
        </w:trPr>
        <w:tc>
          <w:tcPr>
            <w:tcW w:w="609"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序号</w:t>
            </w:r>
          </w:p>
        </w:tc>
        <w:tc>
          <w:tcPr>
            <w:tcW w:w="199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标的物名称</w:t>
            </w: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品牌</w:t>
            </w:r>
          </w:p>
        </w:tc>
        <w:tc>
          <w:tcPr>
            <w:tcW w:w="267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型号或规格</w:t>
            </w:r>
          </w:p>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i/>
                <w:iCs/>
                <w:color w:val="auto"/>
                <w:sz w:val="18"/>
                <w:szCs w:val="18"/>
                <w:highlight w:val="none"/>
                <w:lang w:eastAsia="zh-CN"/>
              </w:rPr>
              <w:t>（</w:t>
            </w:r>
            <w:r>
              <w:rPr>
                <w:rFonts w:hint="eastAsia" w:asciiTheme="minorEastAsia" w:hAnsiTheme="minorEastAsia" w:eastAsiaTheme="minorEastAsia" w:cstheme="minorEastAsia"/>
                <w:b/>
                <w:bCs/>
                <w:i/>
                <w:iCs/>
                <w:color w:val="auto"/>
                <w:sz w:val="18"/>
                <w:szCs w:val="18"/>
                <w:highlight w:val="none"/>
                <w:lang w:val="en-US" w:eastAsia="zh-CN"/>
              </w:rPr>
              <w:t>设备填写型号，材料填写规格</w:t>
            </w:r>
            <w:r>
              <w:rPr>
                <w:rFonts w:hint="eastAsia" w:asciiTheme="minorEastAsia" w:hAnsiTheme="minorEastAsia" w:eastAsiaTheme="minorEastAsia" w:cstheme="minorEastAsia"/>
                <w:b/>
                <w:bCs/>
                <w:i/>
                <w:iCs/>
                <w:color w:val="auto"/>
                <w:sz w:val="18"/>
                <w:szCs w:val="18"/>
                <w:highlight w:val="none"/>
                <w:lang w:eastAsia="zh-CN"/>
              </w:rPr>
              <w:t>）</w:t>
            </w:r>
          </w:p>
        </w:tc>
        <w:tc>
          <w:tcPr>
            <w:tcW w:w="25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制造商</w:t>
            </w:r>
          </w:p>
        </w:tc>
        <w:tc>
          <w:tcPr>
            <w:tcW w:w="66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5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w:t>
            </w:r>
          </w:p>
        </w:tc>
        <w:tc>
          <w:tcPr>
            <w:tcW w:w="100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单价</w:t>
            </w:r>
            <w:r>
              <w:rPr>
                <w:rFonts w:hint="eastAsia" w:asciiTheme="minorEastAsia" w:hAnsiTheme="minorEastAsia" w:eastAsiaTheme="minorEastAsia" w:cstheme="minorEastAsia"/>
                <w:color w:val="auto"/>
                <w:sz w:val="21"/>
                <w:szCs w:val="21"/>
                <w:highlight w:val="none"/>
                <w:lang w:eastAsia="zh-CN"/>
              </w:rPr>
              <w:t>（元）</w:t>
            </w:r>
          </w:p>
        </w:tc>
        <w:tc>
          <w:tcPr>
            <w:tcW w:w="1257"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合计</w:t>
            </w:r>
            <w:r>
              <w:rPr>
                <w:rFonts w:hint="eastAsia" w:asciiTheme="minorEastAsia" w:hAnsiTheme="minorEastAsia" w:eastAsiaTheme="minorEastAsia" w:cstheme="minorEastAsia"/>
                <w:color w:val="auto"/>
                <w:sz w:val="21"/>
                <w:szCs w:val="21"/>
                <w:highlight w:val="none"/>
                <w:lang w:eastAsia="zh-CN"/>
              </w:rPr>
              <w:t>（元）</w:t>
            </w:r>
          </w:p>
          <w:p>
            <w:pPr>
              <w:pStyle w:val="13"/>
              <w:rPr>
                <w:rFonts w:hint="eastAsia" w:asciiTheme="minorEastAsia" w:hAnsiTheme="minorEastAsia" w:eastAsiaTheme="minorEastAsia" w:cstheme="minorEastAsia"/>
                <w:sz w:val="21"/>
                <w:szCs w:val="21"/>
              </w:rPr>
            </w:pPr>
          </w:p>
        </w:tc>
        <w:tc>
          <w:tcPr>
            <w:tcW w:w="1062"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质保期</w:t>
            </w:r>
          </w:p>
          <w:p>
            <w:pPr>
              <w:pStyle w:val="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3824" w:type="dxa"/>
            <w:gridSpan w:val="1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大写：</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小写：</w:t>
            </w:r>
          </w:p>
        </w:tc>
      </w:tr>
    </w:tbl>
    <w:p>
      <w:pPr>
        <w:keepNext w:val="0"/>
        <w:keepLines w:val="0"/>
        <w:pageBreakBefore w:val="0"/>
        <w:widowControl w:val="0"/>
        <w:kinsoku/>
        <w:wordWrap/>
        <w:overflowPunct/>
        <w:topLinePunct w:val="0"/>
        <w:autoSpaceDE w:val="0"/>
        <w:autoSpaceDN w:val="0"/>
        <w:bidi w:val="0"/>
        <w:adjustRightInd/>
        <w:snapToGrid/>
        <w:spacing w:before="0" w:after="0" w:line="240" w:lineRule="atLeast"/>
        <w:ind w:left="0" w:leftChars="0" w:right="0" w:rightChars="0" w:firstLine="6000" w:firstLineChars="25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before="0" w:after="0" w:line="240" w:lineRule="atLeast"/>
        <w:ind w:left="0" w:leftChars="0" w:right="0" w:rightChars="0" w:firstLine="6000" w:firstLineChars="2500"/>
        <w:jc w:val="left"/>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6000" w:firstLineChars="2500"/>
        <w:textAlignment w:val="auto"/>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p>
    <w:p>
      <w:pPr>
        <w:rPr>
          <w:rFonts w:hint="eastAsia" w:ascii="宋体" w:hAnsi="宋体" w:eastAsia="宋体" w:cs="宋体"/>
          <w:color w:val="auto"/>
        </w:rPr>
        <w:sectPr>
          <w:pgSz w:w="16838" w:h="11906" w:orient="landscape"/>
          <w:pgMar w:top="1440" w:right="1440" w:bottom="1440" w:left="1440" w:header="851" w:footer="907" w:gutter="0"/>
          <w:pgBorders>
            <w:top w:val="none" w:sz="0" w:space="0"/>
            <w:left w:val="none" w:sz="0" w:space="0"/>
            <w:bottom w:val="none" w:sz="0" w:space="0"/>
            <w:right w:val="none" w:sz="0" w:space="0"/>
          </w:pgBorders>
          <w:pgNumType w:fmt="decimal"/>
          <w:cols w:space="720" w:num="1"/>
          <w:titlePg/>
          <w:rtlGutter w:val="0"/>
          <w:docGrid w:type="lines" w:linePitch="290" w:charSpace="0"/>
        </w:sectPr>
      </w:pPr>
      <w:r>
        <w:rPr>
          <w:rFonts w:hint="eastAsia" w:ascii="宋体" w:hAnsi="宋体" w:eastAsia="宋体" w:cs="宋体"/>
          <w:bCs/>
          <w:color w:val="auto"/>
          <w:sz w:val="24"/>
          <w:highlight w:val="none"/>
        </w:rPr>
        <w:t>注：</w:t>
      </w:r>
      <w:r>
        <w:rPr>
          <w:rFonts w:hint="eastAsia" w:ascii="宋体" w:hAnsi="宋体" w:eastAsia="宋体" w:cs="宋体"/>
          <w:bCs/>
          <w:color w:val="auto"/>
          <w:sz w:val="24"/>
          <w:highlight w:val="none"/>
          <w:lang w:val="en-US" w:eastAsia="zh-CN"/>
        </w:rPr>
        <w:t>1、投标货物</w:t>
      </w:r>
      <w:r>
        <w:rPr>
          <w:rFonts w:hint="eastAsia" w:ascii="宋体" w:hAnsi="宋体" w:eastAsia="宋体" w:cs="宋体"/>
          <w:color w:val="auto"/>
          <w:sz w:val="24"/>
          <w:highlight w:val="none"/>
        </w:rPr>
        <w:t>品牌、</w:t>
      </w:r>
      <w:r>
        <w:rPr>
          <w:rFonts w:hint="eastAsia" w:ascii="宋体" w:hAnsi="宋体" w:eastAsia="宋体" w:cs="宋体"/>
          <w:bCs/>
          <w:color w:val="auto"/>
          <w:sz w:val="24"/>
          <w:highlight w:val="none"/>
          <w:lang w:val="en-US" w:eastAsia="zh-CN"/>
        </w:rPr>
        <w:t>型号或规格</w:t>
      </w:r>
      <w:r>
        <w:rPr>
          <w:rFonts w:hint="eastAsia" w:ascii="宋体" w:hAnsi="宋体" w:cs="宋体"/>
          <w:bCs/>
          <w:color w:val="auto"/>
          <w:sz w:val="24"/>
          <w:highlight w:val="none"/>
          <w:lang w:val="en-US" w:eastAsia="zh-CN"/>
        </w:rPr>
        <w:t>等内容</w:t>
      </w:r>
      <w:r>
        <w:rPr>
          <w:rFonts w:hint="eastAsia" w:ascii="宋体" w:hAnsi="宋体" w:eastAsia="宋体" w:cs="宋体"/>
          <w:bCs/>
          <w:color w:val="auto"/>
          <w:sz w:val="24"/>
          <w:highlight w:val="none"/>
          <w:lang w:val="en-US" w:eastAsia="zh-CN"/>
        </w:rPr>
        <w:t>需详细填写</w:t>
      </w:r>
      <w:r>
        <w:rPr>
          <w:rFonts w:hint="eastAsia" w:ascii="宋体" w:hAnsi="宋体" w:eastAsia="宋体" w:cs="宋体"/>
          <w:color w:val="auto"/>
          <w:sz w:val="24"/>
          <w:highlight w:val="none"/>
          <w:lang w:val="en-US" w:eastAsia="zh-CN"/>
        </w:rPr>
        <w:t>。2、</w:t>
      </w:r>
      <w:r>
        <w:rPr>
          <w:rFonts w:hint="eastAsia" w:ascii="宋体" w:hAnsi="宋体" w:eastAsia="宋体" w:cs="宋体"/>
          <w:bCs/>
          <w:color w:val="auto"/>
          <w:sz w:val="24"/>
          <w:highlight w:val="none"/>
        </w:rPr>
        <w:t>单价和总价采用人民币报价，以元为单位。</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行数不够，可自行添加。</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三、商务文件</w:t>
      </w:r>
    </w:p>
    <w:p>
      <w:pPr>
        <w:pStyle w:val="39"/>
        <w:ind w:left="0" w:leftChars="0" w:firstLine="0" w:firstLineChars="0"/>
        <w:jc w:val="both"/>
        <w:outlineLvl w:val="0"/>
        <w:rPr>
          <w:rFonts w:hint="eastAsia" w:asciiTheme="minorEastAsia" w:hAnsiTheme="minorEastAsia" w:eastAsiaTheme="minorEastAsia" w:cstheme="minorEastAsia"/>
          <w:b/>
          <w:bCs/>
          <w:color w:val="auto"/>
          <w:sz w:val="24"/>
          <w:szCs w:val="24"/>
          <w:highlight w:val="none"/>
          <w:lang w:eastAsia="zh-CN"/>
        </w:rPr>
      </w:pPr>
      <w:bookmarkStart w:id="34" w:name="_Toc9213"/>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格式十</w:t>
      </w: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bookmarkEnd w:id="34"/>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投标函格式</w:t>
      </w:r>
    </w:p>
    <w:p>
      <w:pPr>
        <w:spacing w:line="4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color w:val="auto"/>
          <w:kern w:val="2"/>
          <w:sz w:val="24"/>
          <w:szCs w:val="24"/>
          <w:highlight w:val="none"/>
        </w:rPr>
        <w:t>致</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b/>
          <w:sz w:val="24"/>
          <w:szCs w:val="24"/>
          <w:lang w:eastAsia="zh-CN"/>
        </w:rPr>
        <w:t>奇台县政务服务和公共资源交易中心</w:t>
      </w:r>
    </w:p>
    <w:p>
      <w:pPr>
        <w:spacing w:line="300" w:lineRule="auto"/>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为＿＿＿＿＿＿＿＿＿＿＿＿＿＿＿项目的投标邀请＿＿＿＿＿＿＿＿（招标编号），签字代表＿＿＿＿＿＿＿＿＿＿＿（全名、职务）经正式授权并代表投标人＿＿＿＿＿＿＿＿＿（投标人名称、地址）</w:t>
      </w:r>
      <w:r>
        <w:rPr>
          <w:rFonts w:hint="eastAsia" w:asciiTheme="minorEastAsia" w:hAnsiTheme="minorEastAsia" w:eastAsiaTheme="minorEastAsia" w:cstheme="minorEastAsia"/>
          <w:color w:val="000000"/>
          <w:sz w:val="24"/>
          <w:szCs w:val="24"/>
        </w:rPr>
        <w:t>参加该项目的投标活动并按要求提交投标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文件。我们郑重声明以下诸点并负法律责任：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 愿按照</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文件中规定的条款和要求，提供</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文件规定的全部货物和服务，投标总报价为：大写</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文件被接受，我们将履行</w:t>
      </w:r>
      <w:r>
        <w:rPr>
          <w:rFonts w:hint="eastAsia" w:asciiTheme="minorEastAsia" w:hAnsiTheme="minorEastAsia" w:eastAsiaTheme="minorEastAsia" w:cstheme="minorEastAsia"/>
          <w:color w:val="000000"/>
          <w:sz w:val="24"/>
          <w:szCs w:val="24"/>
          <w:lang w:val="en-US" w:eastAsia="zh-CN"/>
        </w:rPr>
        <w:t>招标</w:t>
      </w:r>
      <w:r>
        <w:rPr>
          <w:rFonts w:hint="eastAsia" w:asciiTheme="minorEastAsia" w:hAnsiTheme="minorEastAsia" w:eastAsiaTheme="minorEastAsia" w:cstheme="minorEastAsia"/>
          <w:color w:val="000000"/>
          <w:sz w:val="24"/>
          <w:szCs w:val="24"/>
        </w:rPr>
        <w:t>文件中规定的各项要求。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（3）我们同意本</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文件中有关投标有效期的规定。如果中标，有效期延长至合同终止日止。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（4）我们已经详细审核了全部</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文件，如有需要澄清的问题，我们同意按招标文件规定的时间向采购人提出。逾期不提，我公司同意放弃对这方面有不明及误解的权利。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（5）我公司同意提供按照采购人可能要求的与其投标有关的一切数据或资料，完全理解采购人不一定接受最低价的投标。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文件被接受，我们将按招标文件的规定签订并严格履行合同中的责任和义务。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（7）我公司与采购人、采购人就本次采购的项目委托的咨询机构、集中采购机构、以及上述机构的附属机构没有行政或经济关联。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（8）</w:t>
      </w:r>
      <w:r>
        <w:rPr>
          <w:rFonts w:hint="eastAsia" w:asciiTheme="minorEastAsia" w:hAnsiTheme="minorEastAsia" w:eastAsiaTheme="minorEastAsia" w:cstheme="minorEastAsia"/>
          <w:sz w:val="24"/>
          <w:szCs w:val="24"/>
        </w:rPr>
        <w:t>我公司独立参加投标，未组成联合体参加投标。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（9）我公司不存在“单位负责人为同一人或者存在直接控股、管理关系的不同供应商,参加同一合同项下的政府采购活动”的行为。</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我公司公平竞争参加本次招标活动。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（11）除不可抗力外，我公司如果发生以下行为，将在行为发生的10个工作日内，向贵方支付本招标文件公布的最高限价的2%作为违约赔偿金。</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1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w:t>
      </w:r>
      <w:r>
        <w:rPr>
          <w:rFonts w:hint="eastAsia" w:asciiTheme="minorEastAsia" w:hAnsiTheme="minorEastAsia" w:eastAsiaTheme="minorEastAsia" w:cstheme="minorEastAsia"/>
          <w:color w:val="000000"/>
          <w:sz w:val="24"/>
          <w:szCs w:val="24"/>
          <w:lang w:val="en-US" w:eastAsia="zh-CN"/>
        </w:rPr>
        <w:t>招标</w:t>
      </w:r>
      <w:r>
        <w:rPr>
          <w:rFonts w:hint="eastAsia" w:asciiTheme="minorEastAsia" w:hAnsiTheme="minorEastAsia" w:eastAsiaTheme="minorEastAsia" w:cstheme="minorEastAsia"/>
          <w:color w:val="000000"/>
          <w:sz w:val="24"/>
          <w:szCs w:val="24"/>
        </w:rPr>
        <w:t>文件规定的投标有效期内实质上修改或撤回投标；</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2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中标后不依法与采购人签订合同；</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3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文件中提供虚假材料。</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④</w:t>
      </w:r>
      <w:r>
        <w:rPr>
          <w:rFonts w:hint="eastAsia" w:asciiTheme="minorEastAsia" w:hAnsiTheme="minorEastAsia" w:eastAsiaTheme="minorEastAsia" w:cstheme="minorEastAsia"/>
          <w:color w:val="000000"/>
          <w:sz w:val="24"/>
          <w:szCs w:val="24"/>
          <w:lang w:eastAsia="zh-CN"/>
        </w:rPr>
        <w:t>供应商</w:t>
      </w:r>
      <w:r>
        <w:rPr>
          <w:rFonts w:hint="eastAsia" w:asciiTheme="minorEastAsia" w:hAnsiTheme="minorEastAsia" w:eastAsiaTheme="minorEastAsia" w:cstheme="minorEastAsia"/>
          <w:color w:val="000000"/>
          <w:sz w:val="24"/>
          <w:szCs w:val="24"/>
        </w:rPr>
        <w:t>与</w:t>
      </w:r>
      <w:r>
        <w:rPr>
          <w:rFonts w:hint="eastAsia" w:asciiTheme="minorEastAsia" w:hAnsiTheme="minorEastAsia" w:eastAsiaTheme="minorEastAsia" w:cstheme="minorEastAsia"/>
          <w:color w:val="000000"/>
          <w:sz w:val="24"/>
          <w:szCs w:val="24"/>
          <w:lang w:eastAsia="zh-CN"/>
        </w:rPr>
        <w:t>采购人、</w:t>
      </w:r>
      <w:r>
        <w:rPr>
          <w:rFonts w:hint="eastAsia" w:asciiTheme="minorEastAsia" w:hAnsiTheme="minorEastAsia" w:eastAsiaTheme="minorEastAsia" w:cstheme="minorEastAsia"/>
          <w:color w:val="000000"/>
          <w:sz w:val="24"/>
          <w:szCs w:val="24"/>
        </w:rPr>
        <w:t>其他供应商</w:t>
      </w:r>
      <w:r>
        <w:rPr>
          <w:rFonts w:hint="eastAsia" w:asciiTheme="minorEastAsia" w:hAnsiTheme="minorEastAsia" w:eastAsiaTheme="minorEastAsia" w:cstheme="minorEastAsia"/>
          <w:color w:val="000000"/>
          <w:sz w:val="24"/>
          <w:szCs w:val="24"/>
          <w:lang w:eastAsia="zh-CN"/>
        </w:rPr>
        <w:t>或者采购代理机构</w:t>
      </w:r>
      <w:r>
        <w:rPr>
          <w:rFonts w:hint="eastAsia" w:asciiTheme="minorEastAsia" w:hAnsiTheme="minorEastAsia" w:eastAsiaTheme="minorEastAsia" w:cstheme="minorEastAsia"/>
          <w:color w:val="000000"/>
          <w:sz w:val="24"/>
          <w:szCs w:val="24"/>
        </w:rPr>
        <w:t>恶意串通的。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（其他补充说明）。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与本投标有关的正式通讯地址：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地  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邮  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电  话：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传  真：</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Theme="minorEastAsia" w:hAnsiTheme="minorEastAsia" w:eastAsiaTheme="minorEastAsia" w:cstheme="minorEastAsia"/>
          <w:b/>
          <w:bCs/>
          <w:sz w:val="21"/>
          <w:szCs w:val="21"/>
          <w:lang w:eastAsia="zh-CN"/>
        </w:rPr>
      </w:pPr>
    </w:p>
    <w:p>
      <w:pPr>
        <w:pStyle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格式十一</w:t>
      </w:r>
    </w:p>
    <w:p>
      <w:pPr>
        <w:pStyle w:val="2"/>
        <w:rPr>
          <w:rFonts w:hint="eastAsia"/>
        </w:rPr>
      </w:pPr>
    </w:p>
    <w:p>
      <w:pPr>
        <w:pStyle w:val="5"/>
        <w:numPr>
          <w:ilvl w:val="0"/>
          <w:numId w:val="0"/>
        </w:numPr>
        <w:ind w:leftChars="0" w:firstLine="3654" w:firstLineChars="1300"/>
        <w:jc w:val="both"/>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商务条款响应及偏离表</w:t>
      </w:r>
    </w:p>
    <w:p>
      <w:pPr>
        <w:numPr>
          <w:ilvl w:val="0"/>
          <w:numId w:val="0"/>
        </w:numPr>
        <w:ind w:leftChars="0"/>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 xml:space="preserve">项目名称：                               </w:t>
      </w:r>
    </w:p>
    <w:p>
      <w:pPr>
        <w:numPr>
          <w:ilvl w:val="0"/>
          <w:numId w:val="0"/>
        </w:numPr>
        <w:ind w:leftChars="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bCs w:val="0"/>
          <w:sz w:val="21"/>
          <w:szCs w:val="21"/>
          <w:lang w:eastAsia="zh-CN"/>
        </w:rPr>
        <w:t>项目</w:t>
      </w:r>
      <w:r>
        <w:rPr>
          <w:rFonts w:hint="eastAsia" w:asciiTheme="minorEastAsia" w:hAnsiTheme="minorEastAsia" w:eastAsiaTheme="minorEastAsia" w:cstheme="minorEastAsia"/>
          <w:b/>
          <w:bCs w:val="0"/>
          <w:spacing w:val="14"/>
          <w:sz w:val="21"/>
          <w:szCs w:val="21"/>
        </w:rPr>
        <w:t>编号</w:t>
      </w:r>
      <w:r>
        <w:rPr>
          <w:rFonts w:hint="eastAsia" w:asciiTheme="minorEastAsia" w:hAnsiTheme="minorEastAsia" w:eastAsiaTheme="minorEastAsia" w:cstheme="minorEastAsia"/>
          <w:b/>
          <w:bCs w:val="0"/>
          <w:sz w:val="21"/>
          <w:szCs w:val="21"/>
        </w:rPr>
        <w:t xml:space="preserve">：     </w:t>
      </w:r>
      <w:r>
        <w:rPr>
          <w:rFonts w:hint="eastAsia" w:asciiTheme="minorEastAsia" w:hAnsiTheme="minorEastAsia" w:eastAsiaTheme="minorEastAsia" w:cstheme="minorEastAsia"/>
          <w:b/>
          <w:bCs w:val="0"/>
          <w:sz w:val="21"/>
          <w:szCs w:val="21"/>
          <w:lang w:val="en-US" w:eastAsia="zh-CN"/>
        </w:rPr>
        <w:t>标项号/内容：</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p>
    <w:tbl>
      <w:tblPr>
        <w:tblStyle w:val="25"/>
        <w:tblW w:w="90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2777"/>
        <w:gridCol w:w="1837"/>
        <w:gridCol w:w="3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文件要求</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bl>
    <w:p>
      <w:pPr>
        <w:adjustRightInd w:val="0"/>
        <w:snapToGrid w:val="0"/>
        <w:spacing w:line="480" w:lineRule="auto"/>
        <w:ind w:firstLine="1320" w:firstLineChars="550"/>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rPr>
          <w:rFonts w:hint="eastAsia" w:ascii="宋体" w:hAnsi="宋体" w:eastAsia="宋体" w:cs="宋体"/>
          <w:sz w:val="24"/>
          <w:szCs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lang w:val="en-US" w:eastAsia="zh-CN"/>
        </w:rPr>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1"/>
          <w:szCs w:val="21"/>
          <w:lang w:eastAsia="zh-CN"/>
        </w:rPr>
        <w:t>格式十二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779" w:firstLineChars="1700"/>
        <w:jc w:val="both"/>
        <w:textAlignment w:val="auto"/>
        <w:outlineLvl w:val="9"/>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szCs w:val="28"/>
          <w:lang w:val="en-US" w:eastAsia="zh-CN"/>
        </w:rPr>
        <w:t>节能产品证明材料清单</w:t>
      </w:r>
      <w:r>
        <w:rPr>
          <w:rFonts w:hint="eastAsia" w:asciiTheme="minorEastAsia" w:hAnsiTheme="minorEastAsia" w:eastAsiaTheme="minorEastAsia" w:cstheme="minorEastAsia"/>
          <w:b/>
          <w:bCs/>
          <w:sz w:val="28"/>
        </w:rPr>
        <w:t>（若有的提供）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Cs w:val="21"/>
        </w:rPr>
      </w:pPr>
      <w:r>
        <w:rPr>
          <w:rFonts w:hint="eastAsia"/>
          <w:b/>
          <w:bCs/>
        </w:rPr>
        <w:t>项目名称：</w:t>
      </w:r>
      <w:r>
        <w:rPr>
          <w:rFonts w:hint="eastAsia"/>
          <w:b/>
          <w:bCs/>
          <w:lang w:val="en-US" w:eastAsia="zh-CN"/>
        </w:rPr>
        <w:t xml:space="preserve">                      项目</w:t>
      </w:r>
      <w:r>
        <w:rPr>
          <w:rFonts w:hint="eastAsia"/>
          <w:b/>
          <w:bCs/>
        </w:rPr>
        <w:t>编号：</w:t>
      </w:r>
      <w:r>
        <w:rPr>
          <w:rFonts w:hint="eastAsia"/>
          <w:b/>
          <w:bCs/>
          <w:lang w:val="en-US" w:eastAsia="zh-CN"/>
        </w:rPr>
        <w:t xml:space="preserve">                </w:t>
      </w:r>
      <w:r>
        <w:rPr>
          <w:rFonts w:hint="eastAsia" w:cs="Times New Roman"/>
          <w:b/>
          <w:bCs/>
          <w:lang w:val="en-US" w:eastAsia="zh-CN"/>
        </w:rPr>
        <w:t xml:space="preserve">标项号/内容： </w:t>
      </w:r>
      <w:r>
        <w:rPr>
          <w:rFonts w:hint="eastAsia"/>
          <w:b/>
          <w:bCs/>
          <w:lang w:val="en-US" w:eastAsia="zh-CN"/>
        </w:rPr>
        <w:t xml:space="preserve">                 </w:t>
      </w:r>
      <w:r>
        <w:rPr>
          <w:rFonts w:hint="eastAsia" w:ascii="宋体" w:hAnsi="宋体"/>
          <w:szCs w:val="21"/>
        </w:rPr>
        <w:t xml:space="preserve">                    </w:t>
      </w:r>
    </w:p>
    <w:tbl>
      <w:tblPr>
        <w:tblStyle w:val="25"/>
        <w:tblW w:w="14064"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350"/>
        <w:gridCol w:w="1650"/>
        <w:gridCol w:w="1935"/>
        <w:gridCol w:w="2040"/>
        <w:gridCol w:w="1794"/>
        <w:gridCol w:w="1365"/>
        <w:gridCol w:w="238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405" w:type="dxa"/>
            <w:vAlign w:val="center"/>
          </w:tcPr>
          <w:p>
            <w:pPr>
              <w:spacing w:line="500" w:lineRule="exact"/>
              <w:jc w:val="center"/>
              <w:rPr>
                <w:szCs w:val="21"/>
              </w:rPr>
            </w:pPr>
            <w:r>
              <w:rPr>
                <w:rFonts w:hint="eastAsia"/>
                <w:szCs w:val="21"/>
              </w:rPr>
              <w:t>序号</w:t>
            </w:r>
          </w:p>
        </w:tc>
        <w:tc>
          <w:tcPr>
            <w:tcW w:w="1350" w:type="dxa"/>
            <w:vAlign w:val="center"/>
          </w:tcPr>
          <w:p>
            <w:pPr>
              <w:spacing w:line="500" w:lineRule="exact"/>
              <w:jc w:val="center"/>
              <w:rPr>
                <w:szCs w:val="21"/>
              </w:rPr>
            </w:pPr>
            <w:r>
              <w:rPr>
                <w:rFonts w:hint="eastAsia"/>
                <w:szCs w:val="21"/>
              </w:rPr>
              <w:t>名称</w:t>
            </w:r>
          </w:p>
        </w:tc>
        <w:tc>
          <w:tcPr>
            <w:tcW w:w="1650" w:type="dxa"/>
            <w:vAlign w:val="center"/>
          </w:tcPr>
          <w:p>
            <w:pPr>
              <w:spacing w:line="500" w:lineRule="exact"/>
              <w:jc w:val="center"/>
              <w:rPr>
                <w:szCs w:val="21"/>
              </w:rPr>
            </w:pPr>
            <w:r>
              <w:rPr>
                <w:rFonts w:hint="eastAsia"/>
                <w:szCs w:val="21"/>
              </w:rPr>
              <w:t>品牌、规格型号</w:t>
            </w:r>
          </w:p>
        </w:tc>
        <w:tc>
          <w:tcPr>
            <w:tcW w:w="1935" w:type="dxa"/>
            <w:vAlign w:val="center"/>
          </w:tcPr>
          <w:p>
            <w:pPr>
              <w:spacing w:line="500" w:lineRule="exact"/>
              <w:jc w:val="center"/>
              <w:rPr>
                <w:szCs w:val="21"/>
              </w:rPr>
            </w:pPr>
            <w:r>
              <w:rPr>
                <w:rFonts w:hint="eastAsia"/>
                <w:szCs w:val="21"/>
              </w:rPr>
              <w:t>生产商名称</w:t>
            </w:r>
          </w:p>
        </w:tc>
        <w:tc>
          <w:tcPr>
            <w:tcW w:w="2040" w:type="dxa"/>
            <w:vAlign w:val="center"/>
          </w:tcPr>
          <w:p>
            <w:pPr>
              <w:spacing w:line="500" w:lineRule="exact"/>
              <w:jc w:val="center"/>
              <w:rPr>
                <w:szCs w:val="21"/>
              </w:rPr>
            </w:pPr>
            <w:r>
              <w:rPr>
                <w:rFonts w:hint="eastAsia"/>
                <w:szCs w:val="21"/>
              </w:rPr>
              <w:t>节能产品认证证书编号</w:t>
            </w:r>
          </w:p>
        </w:tc>
        <w:tc>
          <w:tcPr>
            <w:tcW w:w="1794" w:type="dxa"/>
            <w:vAlign w:val="center"/>
          </w:tcPr>
          <w:p>
            <w:pPr>
              <w:spacing w:line="500" w:lineRule="exact"/>
              <w:jc w:val="center"/>
              <w:rPr>
                <w:szCs w:val="21"/>
              </w:rPr>
            </w:pPr>
            <w:r>
              <w:rPr>
                <w:rFonts w:hint="eastAsia"/>
                <w:szCs w:val="21"/>
              </w:rPr>
              <w:t>证书颁发机构</w:t>
            </w:r>
          </w:p>
        </w:tc>
        <w:tc>
          <w:tcPr>
            <w:tcW w:w="1365" w:type="dxa"/>
            <w:tcBorders>
              <w:right w:val="single" w:color="000000" w:sz="2" w:space="0"/>
            </w:tcBorders>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2385" w:type="dxa"/>
            <w:tcBorders>
              <w:left w:val="single" w:color="000000" w:sz="2" w:space="0"/>
            </w:tcBorders>
            <w:vAlign w:val="center"/>
          </w:tcPr>
          <w:p>
            <w:pPr>
              <w:spacing w:line="500" w:lineRule="exact"/>
              <w:jc w:val="center"/>
              <w:rPr>
                <w:rFonts w:hint="eastAsia"/>
                <w:szCs w:val="21"/>
              </w:rPr>
            </w:pPr>
            <w:r>
              <w:rPr>
                <w:rFonts w:hint="eastAsia" w:asciiTheme="minorEastAsia" w:hAnsiTheme="minorEastAsia" w:eastAsiaTheme="minorEastAsia" w:cstheme="minorEastAsia"/>
                <w:sz w:val="21"/>
                <w:szCs w:val="21"/>
                <w:lang w:eastAsia="zh-CN"/>
              </w:rPr>
              <w:t>是否属于</w:t>
            </w:r>
            <w:r>
              <w:rPr>
                <w:rFonts w:hint="eastAsia" w:asciiTheme="minorEastAsia" w:hAnsiTheme="minorEastAsia" w:eastAsiaTheme="minorEastAsia" w:cstheme="minorEastAsia"/>
                <w:sz w:val="21"/>
                <w:szCs w:val="21"/>
                <w:lang w:val="en-US" w:eastAsia="zh-CN"/>
              </w:rPr>
              <w:t>节能产品政府采购品目清单内带“</w:t>
            </w:r>
            <w:r>
              <w:rPr>
                <w:rFonts w:hint="eastAsia" w:asciiTheme="minorEastAsia" w:hAnsiTheme="minorEastAsia" w:eastAsiaTheme="minorEastAsia" w:cstheme="minorEastAsia"/>
                <w:sz w:val="21"/>
                <w:szCs w:val="21"/>
                <w:lang w:eastAsia="zh-CN"/>
              </w:rPr>
              <w:t>★”强制节能</w:t>
            </w:r>
            <w:r>
              <w:rPr>
                <w:rFonts w:hint="eastAsia" w:asciiTheme="minorEastAsia" w:hAnsiTheme="minorEastAsia" w:eastAsiaTheme="minorEastAsia" w:cstheme="minorEastAsia"/>
                <w:sz w:val="21"/>
                <w:szCs w:val="21"/>
                <w:lang w:val="en-US" w:eastAsia="zh-CN"/>
              </w:rPr>
              <w:t>产品</w:t>
            </w:r>
          </w:p>
        </w:tc>
        <w:tc>
          <w:tcPr>
            <w:tcW w:w="114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r>
              <w:rPr>
                <w:rFonts w:hint="eastAsia" w:asciiTheme="minorEastAsia" w:hAnsiTheme="minorEastAsia" w:eastAsiaTheme="minorEastAsia" w:cstheme="minorEastAsia"/>
                <w:i/>
                <w:iCs/>
                <w:sz w:val="21"/>
                <w:szCs w:val="21"/>
                <w:lang w:val="en-US" w:eastAsia="zh-CN"/>
              </w:rPr>
              <w:t>是或否</w:t>
            </w:r>
          </w:p>
        </w:tc>
        <w:tc>
          <w:tcPr>
            <w:tcW w:w="114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p>
        </w:tc>
        <w:tc>
          <w:tcPr>
            <w:tcW w:w="1140" w:type="dxa"/>
            <w:vAlign w:val="center"/>
          </w:tcPr>
          <w:p>
            <w:pPr>
              <w:spacing w:line="500" w:lineRule="exact"/>
              <w:jc w:val="center"/>
              <w:rPr>
                <w:szCs w:val="21"/>
              </w:rPr>
            </w:pPr>
          </w:p>
        </w:tc>
      </w:tr>
    </w:tbl>
    <w:p>
      <w:pPr>
        <w:spacing w:line="500" w:lineRule="exact"/>
        <w:jc w:val="left"/>
        <w:rPr>
          <w:szCs w:val="21"/>
        </w:rPr>
      </w:pPr>
      <w:r>
        <w:rPr>
          <w:rFonts w:hint="eastAsia"/>
          <w:b/>
          <w:szCs w:val="21"/>
        </w:rPr>
        <w:t>特别提醒</w:t>
      </w:r>
      <w:r>
        <w:rPr>
          <w:rFonts w:hint="eastAsia"/>
          <w:szCs w:val="21"/>
        </w:rPr>
        <w:t>：</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1、货物属于《节能产品政府采购品目清单》内带“★”强制节能产品的，必须填写此表。</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2、请自行登陆（http://www.ccgp.gov.cn/jnhb/jnhbqd/）查询</w:t>
      </w:r>
      <w:r>
        <w:rPr>
          <w:rFonts w:hint="eastAsia" w:asciiTheme="minorEastAsia" w:hAnsiTheme="minorEastAsia" w:eastAsiaTheme="minorEastAsia" w:cstheme="minorEastAsia"/>
          <w:b w:val="0"/>
          <w:bCs w:val="0"/>
          <w:kern w:val="2"/>
          <w:sz w:val="21"/>
          <w:szCs w:val="21"/>
          <w:highlight w:val="none"/>
          <w:lang w:val="en-US" w:eastAsia="zh-CN" w:bidi="ar-SA"/>
        </w:rPr>
        <w:t>《市场监管总局关于发布参与实施政府采购节能产品、环境标志产品认证机构名录的公告》（2019年第16号）和</w:t>
      </w:r>
      <w:r>
        <w:rPr>
          <w:rFonts w:hint="eastAsia" w:asciiTheme="minorEastAsia" w:hAnsiTheme="minorEastAsia" w:eastAsiaTheme="minorEastAsia" w:cstheme="minorEastAsia"/>
          <w:b w:val="0"/>
          <w:bCs w:val="0"/>
          <w:sz w:val="21"/>
          <w:szCs w:val="21"/>
          <w:highlight w:val="none"/>
          <w:lang w:val="en-US" w:eastAsia="zh-CN"/>
        </w:rPr>
        <w:t xml:space="preserve">《关于印发节能产品政府采购品目清单的通知》（财库〔2019〕19 号）文件中《节能产品政府采购品目清单》后，详细填写此表。 </w:t>
      </w:r>
    </w:p>
    <w:p>
      <w:pPr>
        <w:spacing w:line="500" w:lineRule="exact"/>
        <w:ind w:firstLine="420" w:firstLineChars="200"/>
        <w:jc w:val="left"/>
        <w:rPr>
          <w:rFonts w:ascii="宋体" w:hAnsi="宋体" w:cs="宋体"/>
          <w:szCs w:val="21"/>
        </w:rPr>
      </w:pPr>
      <w:r>
        <w:rPr>
          <w:rFonts w:hint="eastAsia" w:asciiTheme="minorEastAsia" w:hAnsiTheme="minorEastAsia" w:eastAsiaTheme="minorEastAsia" w:cstheme="minorEastAsia"/>
          <w:b w:val="0"/>
          <w:bCs w:val="0"/>
          <w:sz w:val="21"/>
          <w:szCs w:val="21"/>
          <w:highlight w:val="none"/>
          <w:lang w:val="en-US" w:eastAsia="zh-CN"/>
        </w:rPr>
        <w:t>3、依据《市场监管总局关于发布参与实施政府采购节能产品、环境标志产品认证机构名录的公告》（2019年第16号）中</w:t>
      </w:r>
      <w:r>
        <w:rPr>
          <w:rFonts w:hint="eastAsia" w:asciiTheme="minorEastAsia" w:hAnsiTheme="minorEastAsia" w:eastAsiaTheme="minorEastAsia" w:cstheme="minorEastAsia"/>
          <w:b/>
          <w:bCs/>
          <w:sz w:val="21"/>
          <w:szCs w:val="21"/>
          <w:highlight w:val="green"/>
          <w:lang w:val="en-US" w:eastAsia="zh-CN"/>
        </w:rPr>
        <w:t>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出具的、处于有效期之内的节能产品认证证书或相关截图等证明材料，未提供或提供不全的或证明材料不清晰无法辨认将视投标文件未作实质性响应。</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b/>
          <w:sz w:val="21"/>
          <w:szCs w:val="21"/>
        </w:rPr>
      </w:pPr>
      <w:r>
        <w:rPr>
          <w:rFonts w:hint="eastAsia" w:ascii="宋体" w:hAnsi="宋体" w:eastAsia="宋体" w:cs="宋体"/>
          <w:sz w:val="21"/>
          <w:szCs w:val="21"/>
        </w:rPr>
        <w:t>投标人名称：＿＿＿＿＿＿＿＿＿＿＿＿（公章）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投标人法人或授权代表（签名或盖章）：＿＿＿＿＿＿＿＿＿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日期：＿＿＿＿＿＿＿</w:t>
      </w:r>
    </w:p>
    <w:p>
      <w:pPr>
        <w:spacing w:line="500" w:lineRule="exact"/>
        <w:jc w:val="center"/>
        <w:rPr>
          <w:szCs w:val="21"/>
        </w:rPr>
      </w:pPr>
      <w:r>
        <w:rPr>
          <w:szCs w:val="21"/>
        </w:rPr>
        <w:br w:type="page"/>
      </w:r>
    </w:p>
    <w:p>
      <w:pPr>
        <w:spacing w:after="156" w:line="400" w:lineRule="exact"/>
        <w:jc w:val="both"/>
        <w:rPr>
          <w:rFonts w:hint="eastAsia"/>
          <w:b/>
          <w:bCs/>
          <w:sz w:val="28"/>
          <w:lang w:eastAsia="zh-CN"/>
        </w:rPr>
      </w:pPr>
      <w:r>
        <w:rPr>
          <w:rFonts w:hint="eastAsia" w:asciiTheme="minorEastAsia" w:hAnsiTheme="minorEastAsia" w:eastAsiaTheme="minorEastAsia" w:cstheme="minorEastAsia"/>
          <w:b/>
          <w:bCs/>
          <w:sz w:val="21"/>
          <w:szCs w:val="21"/>
          <w:lang w:eastAsia="zh-CN"/>
        </w:rPr>
        <w:t>格式十三</w:t>
      </w:r>
    </w:p>
    <w:p>
      <w:pPr>
        <w:jc w:val="center"/>
        <w:rPr>
          <w:b/>
          <w:bCs/>
          <w:sz w:val="28"/>
        </w:rPr>
      </w:pPr>
      <w:r>
        <w:rPr>
          <w:rFonts w:hint="eastAsia" w:asciiTheme="minorEastAsia" w:hAnsiTheme="minorEastAsia" w:eastAsiaTheme="minorEastAsia" w:cstheme="minorEastAsia"/>
          <w:b/>
          <w:bCs/>
          <w:sz w:val="28"/>
          <w:szCs w:val="28"/>
          <w:lang w:val="en-US" w:eastAsia="zh-CN"/>
        </w:rPr>
        <w:t xml:space="preserve"> 环境标志产品证明材料清单</w:t>
      </w:r>
      <w:r>
        <w:rPr>
          <w:rFonts w:hint="eastAsia"/>
          <w:b/>
          <w:bCs/>
          <w:sz w:val="28"/>
        </w:rPr>
        <w:t>（若有的提供）</w:t>
      </w:r>
    </w:p>
    <w:p>
      <w:pPr>
        <w:spacing w:line="500" w:lineRule="exact"/>
        <w:rPr>
          <w:b/>
          <w:color w:val="FF0000"/>
          <w:szCs w:val="21"/>
        </w:rPr>
      </w:pPr>
      <w:r>
        <w:rPr>
          <w:rFonts w:hint="eastAsia"/>
          <w:b/>
          <w:bCs/>
        </w:rPr>
        <w:t>项目名称：</w:t>
      </w:r>
      <w:r>
        <w:rPr>
          <w:rFonts w:hint="eastAsia"/>
          <w:b/>
          <w:bCs/>
          <w:lang w:val="en-US" w:eastAsia="zh-CN"/>
        </w:rPr>
        <w:t xml:space="preserve">                      项目</w:t>
      </w:r>
      <w:r>
        <w:rPr>
          <w:rFonts w:hint="eastAsia"/>
          <w:b/>
          <w:bCs/>
        </w:rPr>
        <w:t>编号：</w:t>
      </w:r>
      <w:r>
        <w:rPr>
          <w:rFonts w:hint="eastAsia"/>
          <w:b/>
          <w:bCs/>
          <w:lang w:val="en-US" w:eastAsia="zh-CN"/>
        </w:rPr>
        <w:t xml:space="preserve">                </w:t>
      </w:r>
      <w:r>
        <w:rPr>
          <w:rFonts w:hint="eastAsia" w:cs="Times New Roman"/>
          <w:b/>
          <w:bCs/>
          <w:lang w:val="en-US" w:eastAsia="zh-CN"/>
        </w:rPr>
        <w:t>标项号/内容：</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rPr>
        <w:t xml:space="preserve">      </w:t>
      </w:r>
    </w:p>
    <w:tbl>
      <w:tblPr>
        <w:tblStyle w:val="25"/>
        <w:tblW w:w="1400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0"/>
        <w:gridCol w:w="2025"/>
        <w:gridCol w:w="2100"/>
        <w:gridCol w:w="2520"/>
        <w:gridCol w:w="2220"/>
        <w:gridCol w:w="128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500" w:lineRule="exact"/>
              <w:jc w:val="center"/>
              <w:rPr>
                <w:szCs w:val="21"/>
              </w:rPr>
            </w:pPr>
            <w:r>
              <w:rPr>
                <w:rFonts w:hint="eastAsia"/>
                <w:szCs w:val="21"/>
              </w:rPr>
              <w:t>序号</w:t>
            </w:r>
          </w:p>
        </w:tc>
        <w:tc>
          <w:tcPr>
            <w:tcW w:w="1650" w:type="dxa"/>
            <w:vAlign w:val="center"/>
          </w:tcPr>
          <w:p>
            <w:pPr>
              <w:spacing w:line="500" w:lineRule="exact"/>
              <w:jc w:val="center"/>
              <w:rPr>
                <w:szCs w:val="21"/>
              </w:rPr>
            </w:pPr>
            <w:r>
              <w:rPr>
                <w:rFonts w:hint="eastAsia"/>
                <w:szCs w:val="21"/>
              </w:rPr>
              <w:t>名称</w:t>
            </w:r>
          </w:p>
        </w:tc>
        <w:tc>
          <w:tcPr>
            <w:tcW w:w="2025" w:type="dxa"/>
            <w:vAlign w:val="center"/>
          </w:tcPr>
          <w:p>
            <w:pPr>
              <w:spacing w:line="500" w:lineRule="exact"/>
              <w:jc w:val="center"/>
              <w:rPr>
                <w:szCs w:val="21"/>
              </w:rPr>
            </w:pPr>
            <w:r>
              <w:rPr>
                <w:rFonts w:hint="eastAsia"/>
                <w:szCs w:val="21"/>
              </w:rPr>
              <w:t>品牌、规格型号</w:t>
            </w:r>
          </w:p>
        </w:tc>
        <w:tc>
          <w:tcPr>
            <w:tcW w:w="2100" w:type="dxa"/>
            <w:vAlign w:val="center"/>
          </w:tcPr>
          <w:p>
            <w:pPr>
              <w:spacing w:line="500" w:lineRule="exact"/>
              <w:jc w:val="center"/>
              <w:rPr>
                <w:szCs w:val="21"/>
              </w:rPr>
            </w:pPr>
            <w:r>
              <w:rPr>
                <w:rFonts w:hint="eastAsia"/>
                <w:szCs w:val="21"/>
              </w:rPr>
              <w:t>生产商名称</w:t>
            </w:r>
          </w:p>
        </w:tc>
        <w:tc>
          <w:tcPr>
            <w:tcW w:w="2520" w:type="dxa"/>
            <w:vAlign w:val="center"/>
          </w:tcPr>
          <w:p>
            <w:pPr>
              <w:spacing w:line="500" w:lineRule="exact"/>
              <w:jc w:val="center"/>
              <w:rPr>
                <w:szCs w:val="21"/>
              </w:rPr>
            </w:pPr>
            <w:r>
              <w:rPr>
                <w:rFonts w:hint="eastAsia"/>
                <w:szCs w:val="21"/>
              </w:rPr>
              <w:t>环境标志产品证书编号</w:t>
            </w:r>
          </w:p>
        </w:tc>
        <w:tc>
          <w:tcPr>
            <w:tcW w:w="2220" w:type="dxa"/>
            <w:vAlign w:val="center"/>
          </w:tcPr>
          <w:p>
            <w:pPr>
              <w:spacing w:line="500" w:lineRule="exact"/>
              <w:jc w:val="center"/>
              <w:rPr>
                <w:szCs w:val="21"/>
              </w:rPr>
            </w:pPr>
            <w:r>
              <w:rPr>
                <w:rFonts w:hint="eastAsia"/>
                <w:szCs w:val="21"/>
              </w:rPr>
              <w:t>证书颁发机构</w:t>
            </w:r>
          </w:p>
        </w:tc>
        <w:tc>
          <w:tcPr>
            <w:tcW w:w="1284" w:type="dxa"/>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168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bl>
    <w:p>
      <w:pPr>
        <w:spacing w:line="500" w:lineRule="exact"/>
        <w:jc w:val="left"/>
        <w:rPr>
          <w:szCs w:val="21"/>
        </w:rPr>
      </w:pPr>
      <w:r>
        <w:rPr>
          <w:rFonts w:hint="eastAsia"/>
          <w:szCs w:val="21"/>
        </w:rPr>
        <w:t>特别提醒：</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right="0" w:rightChars="0" w:firstLine="420" w:firstLineChars="200"/>
        <w:jc w:val="both"/>
        <w:textAlignment w:val="baseline"/>
        <w:outlineLvl w:val="9"/>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1、请自行</w:t>
      </w:r>
      <w:r>
        <w:rPr>
          <w:rFonts w:hint="eastAsia" w:asciiTheme="minorEastAsia" w:hAnsiTheme="minorEastAsia" w:eastAsiaTheme="minorEastAsia" w:cstheme="minorEastAsia"/>
          <w:b w:val="0"/>
          <w:bCs w:val="0"/>
          <w:sz w:val="21"/>
          <w:szCs w:val="21"/>
          <w:highlight w:val="none"/>
          <w:lang w:val="en-US" w:eastAsia="zh-CN"/>
        </w:rPr>
        <w:t>登陆（http://www.ccgp.gov.cn/jnhb/jnhbqd/）</w:t>
      </w:r>
      <w:r>
        <w:rPr>
          <w:rFonts w:hint="eastAsia" w:asciiTheme="minorEastAsia" w:hAnsiTheme="minorEastAsia" w:eastAsiaTheme="minorEastAsia" w:cstheme="minorEastAsia"/>
          <w:b w:val="0"/>
          <w:bCs w:val="0"/>
          <w:kern w:val="2"/>
          <w:sz w:val="21"/>
          <w:szCs w:val="21"/>
          <w:highlight w:val="none"/>
          <w:lang w:val="en-US" w:eastAsia="zh-CN" w:bidi="ar-SA"/>
        </w:rPr>
        <w:t>查询《市场监管总局关于发布参与实施政府采购节能产品、环境标志产品认证机构名录的公告》（2019年第16号）和《财政部关于印发环境标志产品政府采购品目清单的通知》（财库〔2019〕18 号）文件中的《环境标志产品政府采购品目清单》后，详细填写此表。</w:t>
      </w:r>
    </w:p>
    <w:p>
      <w:pPr>
        <w:pStyle w:val="28"/>
        <w:bidi w:val="0"/>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w:t>
      </w:r>
      <w:r>
        <w:rPr>
          <w:rFonts w:hint="eastAsia" w:asciiTheme="minorEastAsia" w:hAnsiTheme="minorEastAsia" w:eastAsiaTheme="minorEastAsia" w:cstheme="minorEastAsia"/>
          <w:b w:val="0"/>
          <w:bCs w:val="0"/>
          <w:sz w:val="21"/>
          <w:szCs w:val="21"/>
          <w:highlight w:val="none"/>
          <w:lang w:val="en-US" w:eastAsia="zh-CN"/>
        </w:rPr>
        <w:t>依据《市场监管总局关于发布参与实施政府采购节能产品、环境标志产品认证机构名录的公告》（2019年第16号）</w:t>
      </w:r>
      <w:r>
        <w:rPr>
          <w:rFonts w:hint="eastAsia" w:asciiTheme="minorEastAsia" w:hAnsiTheme="minorEastAsia" w:eastAsiaTheme="minorEastAsia" w:cstheme="minorEastAsia"/>
          <w:b/>
          <w:bCs/>
          <w:sz w:val="21"/>
          <w:szCs w:val="21"/>
          <w:highlight w:val="green"/>
          <w:lang w:val="en-US" w:eastAsia="zh-CN"/>
        </w:rPr>
        <w:t>中国家确定的认证机构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出具的、处于有效期之内的环境标志产品认证证书或相关截图等证明材料，证明材料不清晰无法辨认将视为无效。</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b/>
          <w:sz w:val="21"/>
          <w:szCs w:val="21"/>
        </w:rPr>
      </w:pPr>
      <w:r>
        <w:rPr>
          <w:rFonts w:hint="eastAsia" w:ascii="宋体" w:hAnsi="宋体" w:eastAsia="宋体" w:cs="宋体"/>
          <w:sz w:val="21"/>
          <w:szCs w:val="21"/>
        </w:rPr>
        <w:t>投标人名称：＿＿＿＿＿＿＿＿＿＿＿＿（公章）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投标人法人或授权代表（签名或盖章）：＿＿＿＿＿＿＿＿＿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日期：＿＿＿＿＿＿＿</w:t>
      </w:r>
    </w:p>
    <w:p>
      <w:pPr>
        <w:pStyle w:val="8"/>
        <w:rPr>
          <w:rFonts w:hint="eastAsia"/>
          <w:lang w:val="en-US" w:eastAsia="zh-CN"/>
        </w:rPr>
        <w:sectPr>
          <w:pgSz w:w="16838" w:h="11906" w:orient="landscape"/>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spacing w:after="156" w:line="400" w:lineRule="exact"/>
        <w:jc w:val="both"/>
        <w:rPr>
          <w:rFonts w:hint="eastAsia" w:ascii="宋体" w:hAnsi="宋体" w:eastAsia="宋体" w:cs="Times New Roman"/>
          <w:b/>
          <w:sz w:val="28"/>
          <w:szCs w:val="28"/>
        </w:rPr>
      </w:pPr>
      <w:r>
        <w:rPr>
          <w:rFonts w:hint="eastAsia" w:asciiTheme="minorEastAsia" w:hAnsiTheme="minorEastAsia" w:eastAsiaTheme="minorEastAsia" w:cstheme="minorEastAsia"/>
          <w:b/>
          <w:bCs/>
          <w:sz w:val="21"/>
          <w:szCs w:val="21"/>
          <w:lang w:eastAsia="zh-CN"/>
        </w:rPr>
        <w:t>格式十四</w:t>
      </w:r>
    </w:p>
    <w:p>
      <w:pPr>
        <w:spacing w:line="440" w:lineRule="exact"/>
        <w:jc w:val="center"/>
        <w:rPr>
          <w:rFonts w:ascii="宋体" w:hAnsi="宋体"/>
          <w:b/>
          <w:bCs/>
          <w:sz w:val="28"/>
          <w:szCs w:val="28"/>
        </w:rPr>
      </w:pPr>
      <w:r>
        <w:rPr>
          <w:rFonts w:hint="eastAsia" w:ascii="宋体" w:hAnsi="宋体"/>
          <w:b/>
          <w:bCs/>
          <w:sz w:val="28"/>
          <w:szCs w:val="28"/>
        </w:rPr>
        <w:t>类似项目一览表</w:t>
      </w:r>
    </w:p>
    <w:p>
      <w:pPr>
        <w:pStyle w:val="10"/>
        <w:spacing w:before="120" w:after="120" w:line="440" w:lineRule="exact"/>
        <w:ind w:firstLine="0"/>
        <w:rPr>
          <w:rFonts w:hAnsi="宋体"/>
          <w:b/>
          <w:bCs/>
          <w:spacing w:val="0"/>
          <w:sz w:val="28"/>
          <w:szCs w:val="28"/>
        </w:rPr>
      </w:pPr>
    </w:p>
    <w:p>
      <w:pPr>
        <w:pStyle w:val="10"/>
        <w:spacing w:before="120" w:after="120" w:line="440" w:lineRule="exact"/>
        <w:ind w:firstLine="0"/>
        <w:rPr>
          <w:rFonts w:hAnsi="宋体"/>
          <w:b/>
          <w:bCs/>
          <w:spacing w:val="0"/>
          <w:sz w:val="21"/>
          <w:szCs w:val="21"/>
        </w:rPr>
      </w:pPr>
      <w:r>
        <w:rPr>
          <w:rFonts w:hint="eastAsia"/>
          <w:b/>
          <w:bCs/>
          <w:sz w:val="21"/>
          <w:szCs w:val="21"/>
        </w:rPr>
        <w:t>项目名称：</w:t>
      </w:r>
      <w:r>
        <w:rPr>
          <w:rFonts w:hint="eastAsia"/>
          <w:b/>
          <w:bCs/>
          <w:sz w:val="21"/>
          <w:szCs w:val="21"/>
          <w:lang w:val="en-US" w:eastAsia="zh-CN"/>
        </w:rPr>
        <w:t xml:space="preserve">   项目</w:t>
      </w:r>
      <w:r>
        <w:rPr>
          <w:rFonts w:hint="eastAsia"/>
          <w:b/>
          <w:bCs/>
          <w:sz w:val="21"/>
          <w:szCs w:val="21"/>
        </w:rPr>
        <w:t>编号：</w:t>
      </w:r>
      <w:r>
        <w:rPr>
          <w:rFonts w:hint="eastAsia"/>
          <w:b/>
          <w:bCs/>
          <w:sz w:val="21"/>
          <w:szCs w:val="21"/>
          <w:lang w:val="en-US" w:eastAsia="zh-CN"/>
        </w:rPr>
        <w:t xml:space="preserve">   </w:t>
      </w:r>
      <w:r>
        <w:rPr>
          <w:rFonts w:hint="eastAsia" w:cs="Times New Roman"/>
          <w:b/>
          <w:bCs/>
          <w:sz w:val="21"/>
          <w:szCs w:val="21"/>
          <w:lang w:val="en-US" w:eastAsia="zh-CN"/>
        </w:rPr>
        <w:t>标项号/内容：</w:t>
      </w:r>
      <w:r>
        <w:rPr>
          <w:rFonts w:hint="eastAsia" w:hAnsi="宋体"/>
          <w:b/>
          <w:bCs/>
          <w:spacing w:val="0"/>
          <w:sz w:val="21"/>
          <w:szCs w:val="21"/>
        </w:rPr>
        <w:t xml:space="preserve">                            </w:t>
      </w:r>
    </w:p>
    <w:tbl>
      <w:tblPr>
        <w:tblStyle w:val="25"/>
        <w:tblW w:w="92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7"/>
        <w:gridCol w:w="1986"/>
        <w:gridCol w:w="1635"/>
        <w:gridCol w:w="2245"/>
        <w:gridCol w:w="1551"/>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序号</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项目名称</w:t>
            </w: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项目时间</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（年</w:t>
            </w:r>
            <w:r>
              <w:rPr>
                <w:rFonts w:hAnsi="宋体"/>
                <w:b/>
                <w:spacing w:val="0"/>
                <w:sz w:val="21"/>
                <w:szCs w:val="21"/>
                <w:lang w:val="en-US"/>
              </w:rPr>
              <w:t>/</w:t>
            </w:r>
            <w:r>
              <w:rPr>
                <w:rFonts w:hint="eastAsia" w:hAnsi="宋体"/>
                <w:b/>
                <w:spacing w:val="0"/>
                <w:sz w:val="21"/>
                <w:szCs w:val="21"/>
                <w:lang w:val="en-US"/>
              </w:rPr>
              <w:t>月）</w:t>
            </w: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使用单位名称</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地址及联系方式</w:t>
            </w: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项目合同金额</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（单位：万元）</w:t>
            </w: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证明材料</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1</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2</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3</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4</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bl>
    <w:p>
      <w:pPr>
        <w:spacing w:line="440" w:lineRule="exact"/>
        <w:ind w:left="-178" w:leftChars="-85" w:right="-376" w:rightChars="-179"/>
        <w:jc w:val="left"/>
      </w:pPr>
      <w:r>
        <w:rPr>
          <w:rFonts w:hint="eastAsia"/>
        </w:rPr>
        <w:t>说明：</w:t>
      </w:r>
      <w:r>
        <w:rPr>
          <w:rFonts w:hint="eastAsia" w:cs="Times New Roman"/>
          <w:lang w:val="en-US" w:eastAsia="zh-CN"/>
        </w:rPr>
        <w:t>此表后附、中标通知书、合同复印件或扫描件，</w:t>
      </w:r>
      <w:r>
        <w:rPr>
          <w:rFonts w:hint="eastAsia" w:eastAsia="宋体" w:cs="Times New Roman"/>
          <w:lang w:val="en-US" w:eastAsia="zh-CN"/>
        </w:rPr>
        <w:t>未提供的业绩将不予认可。</w:t>
      </w:r>
    </w:p>
    <w:p>
      <w:pPr>
        <w:spacing w:line="440" w:lineRule="exact"/>
        <w:ind w:left="-178" w:leftChars="-85"/>
        <w:jc w:val="left"/>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after="156" w:line="400" w:lineRule="exact"/>
        <w:jc w:val="both"/>
        <w:rPr>
          <w:rFonts w:hint="eastAsia" w:ascii="宋体" w:hAnsi="宋体"/>
          <w:b/>
          <w:sz w:val="28"/>
          <w:szCs w:val="28"/>
        </w:rPr>
      </w:pPr>
    </w:p>
    <w:p>
      <w:pPr>
        <w:pStyle w:val="8"/>
        <w:rPr>
          <w:rFonts w:hint="eastAsia" w:ascii="宋体" w:hAnsi="宋体"/>
          <w:b/>
          <w:sz w:val="28"/>
          <w:szCs w:val="28"/>
        </w:rPr>
      </w:pPr>
    </w:p>
    <w:p>
      <w:pPr>
        <w:rPr>
          <w:rFonts w:hint="eastAsia" w:ascii="宋体" w:hAnsi="宋体"/>
          <w:b/>
          <w:sz w:val="28"/>
          <w:szCs w:val="28"/>
        </w:rPr>
      </w:pPr>
    </w:p>
    <w:p>
      <w:pPr>
        <w:pStyle w:val="8"/>
        <w:rPr>
          <w:rFonts w:hint="eastAsia" w:ascii="宋体" w:hAnsi="宋体"/>
          <w:b/>
          <w:sz w:val="28"/>
          <w:szCs w:val="28"/>
        </w:rPr>
      </w:pPr>
    </w:p>
    <w:p>
      <w:pPr>
        <w:rPr>
          <w:rFonts w:hint="eastAsia" w:ascii="宋体" w:hAnsi="宋体"/>
          <w:b/>
          <w:sz w:val="28"/>
          <w:szCs w:val="28"/>
        </w:rPr>
      </w:pPr>
    </w:p>
    <w:p>
      <w:pPr>
        <w:pStyle w:val="8"/>
        <w:rPr>
          <w:rFonts w:hint="eastAsia" w:ascii="宋体" w:hAnsi="宋体"/>
          <w:b/>
          <w:sz w:val="28"/>
          <w:szCs w:val="28"/>
        </w:rPr>
      </w:pPr>
    </w:p>
    <w:p>
      <w:pPr>
        <w:rPr>
          <w:rFonts w:hint="eastAsia" w:ascii="宋体" w:hAnsi="宋体"/>
          <w:b/>
          <w:sz w:val="28"/>
          <w:szCs w:val="28"/>
        </w:rPr>
      </w:pPr>
    </w:p>
    <w:p>
      <w:pPr>
        <w:pStyle w:val="8"/>
        <w:rPr>
          <w:rFonts w:hint="eastAsia" w:ascii="宋体" w:hAnsi="宋体"/>
          <w:b/>
          <w:sz w:val="28"/>
          <w:szCs w:val="28"/>
        </w:rPr>
      </w:pPr>
    </w:p>
    <w:p>
      <w:pPr>
        <w:rPr>
          <w:rFonts w:hint="eastAsia" w:ascii="宋体" w:hAnsi="宋体"/>
          <w:b/>
          <w:sz w:val="28"/>
          <w:szCs w:val="28"/>
        </w:rPr>
      </w:pPr>
    </w:p>
    <w:p>
      <w:pPr>
        <w:pStyle w:val="8"/>
        <w:rPr>
          <w:rFonts w:hint="eastAsia" w:ascii="宋体" w:hAnsi="宋体"/>
          <w:b/>
          <w:sz w:val="28"/>
          <w:szCs w:val="28"/>
        </w:rPr>
      </w:pPr>
    </w:p>
    <w:p>
      <w:pPr>
        <w:rPr>
          <w:rFonts w:hint="eastAsia"/>
        </w:rPr>
      </w:pPr>
    </w:p>
    <w:p>
      <w:pPr>
        <w:pStyle w:val="8"/>
        <w:rPr>
          <w:rFonts w:hint="eastAsia" w:ascii="宋体" w:hAnsi="宋体"/>
          <w:b/>
          <w:sz w:val="28"/>
          <w:szCs w:val="28"/>
        </w:rPr>
      </w:pPr>
    </w:p>
    <w:p>
      <w:pPr>
        <w:spacing w:after="156" w:line="400" w:lineRule="exact"/>
        <w:jc w:val="both"/>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五</w:t>
      </w:r>
    </w:p>
    <w:p>
      <w:pPr>
        <w:spacing w:after="156" w:line="400" w:lineRule="exact"/>
        <w:jc w:val="center"/>
        <w:rPr>
          <w:rFonts w:hint="eastAsia" w:ascii="宋体" w:hAnsi="宋体" w:eastAsia="宋体" w:cs="Times New Roman"/>
          <w:b/>
          <w:sz w:val="28"/>
          <w:szCs w:val="28"/>
          <w:lang w:eastAsia="zh-CN"/>
        </w:rPr>
      </w:pPr>
      <w:r>
        <w:rPr>
          <w:rFonts w:hint="eastAsia" w:ascii="宋体" w:hAnsi="宋体" w:eastAsia="宋体" w:cs="Times New Roman"/>
          <w:b/>
          <w:sz w:val="28"/>
          <w:szCs w:val="28"/>
        </w:rPr>
        <w:t>售后服务方案</w:t>
      </w:r>
    </w:p>
    <w:p>
      <w:pPr>
        <w:tabs>
          <w:tab w:val="left" w:pos="6300"/>
        </w:tabs>
        <w:snapToGrid w:val="0"/>
        <w:spacing w:line="500" w:lineRule="exact"/>
        <w:ind w:firstLine="570"/>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pStyle w:val="10"/>
        <w:spacing w:before="120" w:after="120" w:line="440" w:lineRule="exact"/>
        <w:ind w:firstLine="0"/>
        <w:rPr>
          <w:rFonts w:hAnsi="宋体"/>
          <w:spacing w:val="0"/>
          <w:sz w:val="21"/>
          <w:szCs w:val="24"/>
        </w:rPr>
      </w:pPr>
    </w:p>
    <w:p>
      <w:pPr>
        <w:pStyle w:val="11"/>
        <w:rPr>
          <w:rFonts w:hAnsi="宋体"/>
          <w:spacing w:val="0"/>
          <w:sz w:val="21"/>
          <w:szCs w:val="24"/>
        </w:rPr>
      </w:pPr>
    </w:p>
    <w:p>
      <w:pPr>
        <w:pStyle w:val="11"/>
        <w:rPr>
          <w:rFonts w:hAnsi="宋体"/>
          <w:spacing w:val="0"/>
          <w:sz w:val="21"/>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rPr>
          <w:rFonts w:hint="eastAsia" w:ascii="宋体" w:hAnsi="宋体"/>
          <w:b/>
          <w:sz w:val="28"/>
          <w:szCs w:val="28"/>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rPr>
          <w:rFonts w:hint="eastAsia"/>
        </w:rPr>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pStyle w:val="5"/>
        <w:numPr>
          <w:ilvl w:val="0"/>
          <w:numId w:val="0"/>
        </w:numPr>
        <w:outlineLvl w:val="9"/>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四、技术文件</w:t>
      </w:r>
    </w:p>
    <w:p>
      <w:pPr>
        <w:pStyle w:val="5"/>
        <w:numPr>
          <w:ilvl w:val="0"/>
          <w:numId w:val="0"/>
        </w:numPr>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六</w:t>
      </w:r>
    </w:p>
    <w:p>
      <w:pPr>
        <w:pStyle w:val="5"/>
        <w:numPr>
          <w:ilvl w:val="0"/>
          <w:numId w:val="0"/>
        </w:numPr>
        <w:ind w:firstLine="5341" w:firstLineChars="1900"/>
        <w:outlineLvl w:val="9"/>
        <w:rPr>
          <w:rFonts w:hint="eastAsia"/>
          <w:b/>
          <w:sz w:val="28"/>
        </w:rPr>
      </w:pPr>
      <w:r>
        <w:rPr>
          <w:rFonts w:hint="eastAsia"/>
          <w:b/>
          <w:sz w:val="28"/>
        </w:rPr>
        <w:t>技术响应（偏离）表</w:t>
      </w:r>
    </w:p>
    <w:p>
      <w:pPr>
        <w:rPr>
          <w:rFonts w:hint="eastAsia"/>
        </w:rPr>
      </w:pPr>
      <w:r>
        <w:rPr>
          <w:rFonts w:hint="eastAsia"/>
          <w:b/>
          <w:bCs/>
          <w:sz w:val="21"/>
          <w:szCs w:val="21"/>
        </w:rPr>
        <w:t>项目名称：</w:t>
      </w:r>
      <w:r>
        <w:rPr>
          <w:rFonts w:hint="eastAsia"/>
          <w:b/>
          <w:bCs/>
          <w:sz w:val="21"/>
          <w:szCs w:val="21"/>
          <w:lang w:val="en-US" w:eastAsia="zh-CN"/>
        </w:rPr>
        <w:t xml:space="preserve">   项目</w:t>
      </w:r>
      <w:r>
        <w:rPr>
          <w:rFonts w:hint="eastAsia"/>
          <w:b/>
          <w:bCs/>
          <w:sz w:val="21"/>
          <w:szCs w:val="21"/>
        </w:rPr>
        <w:t>编号：</w:t>
      </w:r>
      <w:r>
        <w:rPr>
          <w:rFonts w:hint="eastAsia"/>
          <w:b/>
          <w:bCs/>
          <w:sz w:val="21"/>
          <w:szCs w:val="21"/>
          <w:lang w:val="en-US" w:eastAsia="zh-CN"/>
        </w:rPr>
        <w:t xml:space="preserve">   </w:t>
      </w:r>
      <w:r>
        <w:rPr>
          <w:rFonts w:hint="eastAsia" w:cs="Times New Roman"/>
          <w:b/>
          <w:bCs/>
          <w:sz w:val="21"/>
          <w:szCs w:val="21"/>
          <w:lang w:val="en-US" w:eastAsia="zh-CN"/>
        </w:rPr>
        <w:t>标项号/内容：</w:t>
      </w:r>
    </w:p>
    <w:tbl>
      <w:tblPr>
        <w:tblStyle w:val="25"/>
        <w:tblW w:w="140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0"/>
        <w:gridCol w:w="848"/>
        <w:gridCol w:w="3588"/>
        <w:gridCol w:w="4096"/>
        <w:gridCol w:w="2648"/>
        <w:gridCol w:w="2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trPr>
        <w:tc>
          <w:tcPr>
            <w:tcW w:w="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序号</w:t>
            </w:r>
          </w:p>
        </w:tc>
        <w:tc>
          <w:tcPr>
            <w:tcW w:w="8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lang w:eastAsia="zh-CN"/>
              </w:rPr>
              <w:t>标的</w:t>
            </w:r>
            <w:r>
              <w:rPr>
                <w:rFonts w:hint="eastAsia"/>
                <w:b/>
                <w:bCs/>
              </w:rPr>
              <w:t>名称</w:t>
            </w:r>
          </w:p>
        </w:tc>
        <w:tc>
          <w:tcPr>
            <w:tcW w:w="35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招标要求</w:t>
            </w:r>
          </w:p>
        </w:tc>
        <w:tc>
          <w:tcPr>
            <w:tcW w:w="4096" w:type="dxa"/>
            <w:tcBorders>
              <w:top w:val="single" w:color="auto" w:sz="4" w:space="0"/>
              <w:left w:val="single" w:color="auto" w:sz="4" w:space="0"/>
              <w:bottom w:val="single" w:color="auto" w:sz="4" w:space="0"/>
              <w:right w:val="single" w:color="000000" w:sz="2" w:space="0"/>
            </w:tcBorders>
            <w:vAlign w:val="center"/>
          </w:tcPr>
          <w:p>
            <w:pPr>
              <w:spacing w:line="360" w:lineRule="exact"/>
              <w:jc w:val="center"/>
              <w:rPr>
                <w:b/>
                <w:bCs/>
              </w:rPr>
            </w:pPr>
            <w:r>
              <w:rPr>
                <w:rFonts w:hint="eastAsia" w:ascii="宋体" w:hAnsi="宋体" w:cs="宋体"/>
                <w:b/>
                <w:bCs/>
                <w:kern w:val="0"/>
                <w:lang w:eastAsia="zh-CN"/>
              </w:rPr>
              <w:t>投标</w:t>
            </w:r>
            <w:r>
              <w:rPr>
                <w:rFonts w:hint="eastAsia" w:ascii="宋体" w:hAnsi="宋体" w:cs="宋体"/>
                <w:b/>
                <w:bCs/>
                <w:kern w:val="0"/>
              </w:rPr>
              <w:t>技术参数描述</w:t>
            </w:r>
          </w:p>
        </w:tc>
        <w:tc>
          <w:tcPr>
            <w:tcW w:w="2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偏离情况</w:t>
            </w:r>
          </w:p>
        </w:tc>
        <w:tc>
          <w:tcPr>
            <w:tcW w:w="2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b/>
                <w:bCs/>
                <w:lang w:val="en-US" w:eastAsia="zh-CN"/>
              </w:rPr>
            </w:pPr>
            <w:r>
              <w:rPr>
                <w:rFonts w:hint="eastAsia"/>
                <w:b/>
                <w:bCs/>
                <w:lang w:val="en-US" w:eastAsia="zh-CN"/>
              </w:rPr>
              <w:t>有关招标技术参数中要求提供的证明材料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8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5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096"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26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545" w:type="dxa"/>
            <w:tcBorders>
              <w:top w:val="single" w:color="auto" w:sz="4" w:space="0"/>
              <w:left w:val="single" w:color="auto" w:sz="4" w:space="0"/>
              <w:bottom w:val="single" w:color="auto" w:sz="4" w:space="0"/>
              <w:right w:val="single" w:color="auto" w:sz="4" w:space="0"/>
            </w:tcBorders>
          </w:tcPr>
          <w:p>
            <w:pPr>
              <w:spacing w:line="520" w:lineRule="exact"/>
              <w:jc w:val="both"/>
              <w:rPr>
                <w:rFonts w:hint="eastAsia"/>
                <w:sz w:val="21"/>
                <w:szCs w:val="21"/>
                <w:lang w:val="en-US" w:eastAsia="zh-CN"/>
              </w:rPr>
            </w:pPr>
            <w:r>
              <w:rPr>
                <w:rFonts w:hint="eastAsia"/>
                <w:sz w:val="21"/>
                <w:szCs w:val="21"/>
                <w:lang w:val="en-US" w:eastAsia="zh-CN"/>
              </w:rPr>
              <w:t>材料名称：</w:t>
            </w:r>
          </w:p>
          <w:p>
            <w:pPr>
              <w:pStyle w:val="8"/>
              <w:rPr>
                <w:rFonts w:hint="default"/>
                <w:lang w:val="en-US" w:eastAsia="zh-CN"/>
              </w:rPr>
            </w:pPr>
            <w:r>
              <w:rPr>
                <w:rFonts w:hint="eastAsia"/>
                <w:sz w:val="21"/>
                <w:szCs w:val="21"/>
                <w:lang w:val="en-US" w:eastAsia="zh-CN"/>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8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5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096"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26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545" w:type="dxa"/>
            <w:tcBorders>
              <w:top w:val="single" w:color="auto" w:sz="4" w:space="0"/>
              <w:left w:val="single" w:color="auto" w:sz="4" w:space="0"/>
              <w:bottom w:val="single" w:color="auto" w:sz="4" w:space="0"/>
              <w:right w:val="single" w:color="auto" w:sz="4" w:space="0"/>
            </w:tcBorders>
          </w:tcPr>
          <w:p>
            <w:pPr>
              <w:spacing w:line="520" w:lineRule="exact"/>
              <w:jc w:val="both"/>
              <w:rPr>
                <w:rFonts w:hint="eastAsia"/>
                <w:sz w:val="21"/>
                <w:szCs w:val="21"/>
                <w:lang w:val="en-US" w:eastAsia="zh-CN"/>
              </w:rPr>
            </w:pPr>
            <w:r>
              <w:rPr>
                <w:rFonts w:hint="eastAsia"/>
                <w:sz w:val="21"/>
                <w:szCs w:val="21"/>
                <w:lang w:val="en-US" w:eastAsia="zh-CN"/>
              </w:rPr>
              <w:t>材料名称：</w:t>
            </w:r>
          </w:p>
          <w:p>
            <w:pPr>
              <w:spacing w:line="520" w:lineRule="exact"/>
              <w:jc w:val="both"/>
              <w:rPr>
                <w:bCs/>
              </w:rPr>
            </w:pPr>
            <w:r>
              <w:rPr>
                <w:rFonts w:hint="eastAsia"/>
                <w:sz w:val="21"/>
                <w:szCs w:val="21"/>
                <w:lang w:val="en-US" w:eastAsia="zh-CN"/>
              </w:rPr>
              <w:t>页码：</w:t>
            </w:r>
          </w:p>
        </w:tc>
      </w:tr>
    </w:tbl>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240" w:lineRule="auto"/>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pStyle w:val="8"/>
        <w:rPr>
          <w:rFonts w:hint="eastAsia" w:ascii="宋体" w:hAnsi="宋体" w:eastAsia="宋体" w:cs="宋体"/>
          <w:sz w:val="24"/>
          <w:szCs w:val="24"/>
          <w:u w:val="single"/>
        </w:rPr>
      </w:pPr>
    </w:p>
    <w:p>
      <w:pPr>
        <w:rPr>
          <w:rFonts w:hint="default" w:eastAsia="宋体"/>
          <w:lang w:val="en-US" w:eastAsia="zh-CN"/>
        </w:rPr>
        <w:sectPr>
          <w:pgSz w:w="16838" w:h="11906" w:orient="landscape"/>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r>
        <w:rPr>
          <w:rFonts w:hint="eastAsia"/>
          <w:lang w:val="en-US" w:eastAsia="zh-CN"/>
        </w:rPr>
        <w:t>注：行数不够自行添加，除节能、环保证明材料，其它如截图等证明材料附此表后。</w:t>
      </w:r>
    </w:p>
    <w:p>
      <w:pPr>
        <w:pStyle w:val="5"/>
        <w:numPr>
          <w:ilvl w:val="0"/>
          <w:numId w:val="0"/>
        </w:numPr>
        <w:outlineLvl w:val="9"/>
        <w:rPr>
          <w:rFonts w:hint="default" w:ascii="宋体" w:hAnsi="宋体"/>
          <w:b/>
          <w:bCs/>
          <w:sz w:val="28"/>
          <w:szCs w:val="28"/>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七</w:t>
      </w:r>
    </w:p>
    <w:p>
      <w:pPr>
        <w:spacing w:line="440" w:lineRule="exact"/>
        <w:ind w:firstLine="3935" w:firstLineChars="1400"/>
        <w:jc w:val="both"/>
        <w:rPr>
          <w:rFonts w:hint="eastAsia" w:ascii="宋体" w:hAnsi="宋体"/>
          <w:b/>
          <w:bCs/>
          <w:sz w:val="28"/>
          <w:szCs w:val="28"/>
          <w:lang w:eastAsia="zh-CN"/>
        </w:rPr>
      </w:pPr>
      <w:r>
        <w:rPr>
          <w:rFonts w:hint="eastAsia" w:ascii="宋体" w:hAnsi="宋体"/>
          <w:b/>
          <w:bCs/>
          <w:sz w:val="28"/>
          <w:szCs w:val="28"/>
          <w:lang w:eastAsia="zh-CN"/>
        </w:rPr>
        <w:t>项目设计方案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line="440" w:lineRule="exact"/>
        <w:jc w:val="center"/>
        <w:rPr>
          <w:rFonts w:hint="eastAsia" w:ascii="宋体" w:hAnsi="宋体"/>
          <w:b/>
          <w:bCs/>
          <w:sz w:val="28"/>
          <w:szCs w:val="28"/>
          <w:lang w:eastAsia="zh-CN"/>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lang w:val="en-US" w:eastAsia="zh-CN"/>
        </w:rPr>
      </w:pPr>
      <w:r>
        <w:rPr>
          <w:rFonts w:hint="eastAsia" w:ascii="宋体" w:hAnsi="宋体"/>
          <w:b/>
          <w:sz w:val="28"/>
          <w:szCs w:val="28"/>
          <w:lang w:val="en-US" w:eastAsia="zh-CN"/>
        </w:rPr>
        <w:t>附：</w:t>
      </w:r>
    </w:p>
    <w:p>
      <w:pPr>
        <w:jc w:val="center"/>
        <w:rPr>
          <w:rFonts w:ascii="仿宋" w:hAnsi="仿宋" w:eastAsia="仿宋"/>
          <w:b/>
          <w:bCs/>
          <w:color w:val="000000"/>
          <w:sz w:val="36"/>
          <w:szCs w:val="24"/>
        </w:rPr>
      </w:pPr>
      <w:r>
        <w:rPr>
          <w:rFonts w:hint="eastAsia" w:ascii="思源宋体 Light" w:hAnsi="思源宋体 Light" w:eastAsia="思源宋体 Light"/>
          <w:b/>
          <w:bCs/>
          <w:color w:val="000000"/>
          <w:sz w:val="36"/>
          <w:szCs w:val="24"/>
        </w:rPr>
        <w:t>现场勘测记录表</w:t>
      </w:r>
    </w:p>
    <w:p>
      <w:pPr>
        <w:ind w:firstLine="6820" w:firstLineChars="3100"/>
        <w:jc w:val="left"/>
        <w:rPr>
          <w:rFonts w:ascii="思源宋体 Light" w:hAnsi="思源宋体 Light" w:eastAsia="思源宋体 Light"/>
          <w:color w:val="000000"/>
          <w:sz w:val="22"/>
          <w:szCs w:val="18"/>
        </w:rPr>
      </w:pPr>
      <w:r>
        <w:rPr>
          <w:rFonts w:hint="eastAsia" w:ascii="思源宋体 Light" w:hAnsi="思源宋体 Light" w:eastAsia="思源宋体 Light"/>
          <w:color w:val="000000"/>
          <w:sz w:val="22"/>
          <w:szCs w:val="18"/>
        </w:rPr>
        <w:t>日期：</w:t>
      </w:r>
    </w:p>
    <w:tbl>
      <w:tblPr>
        <w:tblStyle w:val="2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4076"/>
        <w:gridCol w:w="144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工程名称</w:t>
            </w:r>
          </w:p>
        </w:tc>
        <w:tc>
          <w:tcPr>
            <w:tcW w:w="4076" w:type="dxa"/>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c>
          <w:tcPr>
            <w:tcW w:w="1441" w:type="dxa"/>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lang w:val="en-US" w:eastAsia="zh-CN"/>
              </w:rPr>
              <w:t>项目</w:t>
            </w:r>
            <w:r>
              <w:rPr>
                <w:rFonts w:hint="eastAsia" w:ascii="思源宋体 Light" w:hAnsi="思源宋体 Light" w:eastAsia="思源宋体 Light"/>
                <w:color w:val="000000"/>
                <w:sz w:val="24"/>
                <w:szCs w:val="24"/>
              </w:rPr>
              <w:t>编号</w:t>
            </w:r>
          </w:p>
        </w:tc>
        <w:tc>
          <w:tcPr>
            <w:tcW w:w="1421" w:type="dxa"/>
            <w:vAlign w:val="center"/>
          </w:tcPr>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施工单位</w:t>
            </w:r>
          </w:p>
        </w:tc>
        <w:tc>
          <w:tcPr>
            <w:tcW w:w="6938" w:type="dxa"/>
            <w:gridSpan w:val="3"/>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工程地点</w:t>
            </w:r>
          </w:p>
        </w:tc>
        <w:tc>
          <w:tcPr>
            <w:tcW w:w="6938" w:type="dxa"/>
            <w:gridSpan w:val="3"/>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5" w:hRule="atLeast"/>
          <w:jc w:val="center"/>
        </w:trPr>
        <w:tc>
          <w:tcPr>
            <w:tcW w:w="1584" w:type="dxa"/>
            <w:vAlign w:val="center"/>
          </w:tcPr>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勘测内容</w:t>
            </w:r>
          </w:p>
        </w:tc>
        <w:tc>
          <w:tcPr>
            <w:tcW w:w="6938" w:type="dxa"/>
            <w:gridSpan w:val="3"/>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584" w:type="dxa"/>
            <w:vAlign w:val="center"/>
          </w:tcPr>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lang w:val="en-US" w:eastAsia="zh-CN"/>
              </w:rPr>
              <w:t>建设单位</w:t>
            </w:r>
          </w:p>
        </w:tc>
        <w:tc>
          <w:tcPr>
            <w:tcW w:w="6938" w:type="dxa"/>
            <w:gridSpan w:val="3"/>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 xml:space="preserve">签字： </w:t>
            </w:r>
            <w:r>
              <w:rPr>
                <w:rFonts w:ascii="思源宋体 Light" w:hAnsi="思源宋体 Light" w:eastAsia="思源宋体 Light"/>
                <w:color w:val="000000"/>
                <w:sz w:val="24"/>
                <w:szCs w:val="24"/>
              </w:rPr>
              <w:t xml:space="preserve">           </w:t>
            </w:r>
            <w:r>
              <w:rPr>
                <w:rFonts w:hint="eastAsia" w:ascii="思源宋体 Light" w:hAnsi="思源宋体 Light" w:eastAsia="思源宋体 Light"/>
                <w:color w:val="000000"/>
                <w:sz w:val="24"/>
                <w:szCs w:val="24"/>
              </w:rPr>
              <w:t>日期：</w:t>
            </w:r>
          </w:p>
        </w:tc>
      </w:tr>
    </w:tbl>
    <w:p>
      <w:pPr>
        <w:jc w:val="left"/>
        <w:rPr>
          <w:rFonts w:hint="default" w:ascii="思源宋体 Light" w:hAnsi="思源宋体 Light" w:eastAsia="思源宋体 Light"/>
          <w:b/>
          <w:bCs/>
          <w:color w:val="000000"/>
          <w:szCs w:val="16"/>
          <w:lang w:val="en-US" w:eastAsia="zh-CN"/>
        </w:rPr>
      </w:pPr>
      <w:r>
        <w:rPr>
          <w:rFonts w:hint="eastAsia" w:ascii="思源宋体 Light" w:hAnsi="思源宋体 Light" w:eastAsia="思源宋体 Light"/>
          <w:b/>
          <w:bCs/>
          <w:color w:val="000000"/>
          <w:szCs w:val="16"/>
          <w:lang w:val="en-US" w:eastAsia="zh-CN"/>
        </w:rPr>
        <w:t>备注：本表为投标文件的组成一部分、自行联系建设单位实地勘查；未能提供的视为无效投标。</w:t>
      </w:r>
    </w:p>
    <w:p>
      <w:pPr>
        <w:pStyle w:val="2"/>
        <w:rPr>
          <w:rFonts w:hint="eastAsia" w:ascii="宋体" w:hAnsi="宋体"/>
          <w:b/>
          <w:sz w:val="28"/>
          <w:szCs w:val="28"/>
          <w:lang w:val="en-US" w:eastAsia="zh-CN"/>
        </w:rPr>
      </w:pPr>
    </w:p>
    <w:p>
      <w:pPr>
        <w:pStyle w:val="2"/>
        <w:rPr>
          <w:rFonts w:hint="eastAsia" w:ascii="宋体" w:hAnsi="宋体"/>
          <w:b/>
          <w:sz w:val="28"/>
          <w:szCs w:val="28"/>
        </w:rPr>
      </w:pPr>
    </w:p>
    <w:p>
      <w:pPr>
        <w:pStyle w:val="2"/>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w:t>
      </w:r>
      <w:r>
        <w:rPr>
          <w:rFonts w:hint="eastAsia" w:asciiTheme="minorEastAsia" w:hAnsiTheme="minorEastAsia" w:eastAsiaTheme="minorEastAsia" w:cstheme="minorEastAsia"/>
          <w:b/>
          <w:bCs/>
          <w:sz w:val="21"/>
          <w:szCs w:val="21"/>
          <w:lang w:val="en-US" w:eastAsia="zh-CN"/>
        </w:rPr>
        <w:t>十八</w:t>
      </w:r>
    </w:p>
    <w:p>
      <w:pPr>
        <w:pStyle w:val="2"/>
        <w:ind w:firstLine="3654" w:firstLineChars="13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项目实施方案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after="156" w:line="400" w:lineRule="exact"/>
        <w:jc w:val="both"/>
        <w:rPr>
          <w:rFonts w:hint="eastAsia" w:ascii="宋体" w:hAnsi="宋体"/>
          <w:b/>
          <w:sz w:val="28"/>
          <w:szCs w:val="28"/>
        </w:rPr>
      </w:pPr>
    </w:p>
    <w:p>
      <w:pPr>
        <w:spacing w:after="156" w:line="400" w:lineRule="exact"/>
        <w:jc w:val="center"/>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w:t>
      </w:r>
      <w:r>
        <w:rPr>
          <w:rFonts w:hint="eastAsia" w:asciiTheme="minorEastAsia" w:hAnsiTheme="minorEastAsia" w:eastAsiaTheme="minorEastAsia" w:cstheme="minorEastAsia"/>
          <w:b/>
          <w:bCs/>
          <w:sz w:val="21"/>
          <w:szCs w:val="21"/>
          <w:lang w:val="en-US" w:eastAsia="zh-CN"/>
        </w:rPr>
        <w:t>十九</w:t>
      </w:r>
    </w:p>
    <w:p>
      <w:pPr>
        <w:pStyle w:val="2"/>
        <w:ind w:firstLine="3654" w:firstLineChars="13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w:t>
      </w:r>
      <w:r>
        <w:rPr>
          <w:rFonts w:hint="eastAsia" w:ascii="宋体" w:hAnsi="宋体" w:cs="Times New Roman"/>
          <w:b/>
          <w:kern w:val="2"/>
          <w:sz w:val="28"/>
          <w:szCs w:val="28"/>
          <w:lang w:val="en-US" w:eastAsia="zh-CN" w:bidi="ar-SA"/>
        </w:rPr>
        <w:t>培训</w:t>
      </w:r>
      <w:r>
        <w:rPr>
          <w:rFonts w:hint="eastAsia" w:ascii="宋体" w:hAnsi="宋体" w:eastAsia="宋体" w:cs="Times New Roman"/>
          <w:b/>
          <w:kern w:val="2"/>
          <w:sz w:val="28"/>
          <w:szCs w:val="28"/>
          <w:lang w:val="en-US" w:eastAsia="zh-CN" w:bidi="ar-SA"/>
        </w:rPr>
        <w:t>方案</w:t>
      </w:r>
    </w:p>
    <w:p>
      <w:pPr>
        <w:pStyle w:val="2"/>
        <w:ind w:firstLine="3654" w:firstLineChars="1300"/>
        <w:rPr>
          <w:rFonts w:hint="eastAsia" w:ascii="宋体" w:hAnsi="宋体" w:eastAsia="宋体" w:cs="Times New Roman"/>
          <w:b/>
          <w:kern w:val="2"/>
          <w:sz w:val="28"/>
          <w:szCs w:val="28"/>
          <w:lang w:val="en-US" w:eastAsia="zh-CN" w:bidi="ar-SA"/>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line="600" w:lineRule="exact"/>
        <w:rPr>
          <w:rFonts w:ascii="宋体" w:hAnsi="宋体" w:cs="宋体"/>
          <w:kern w:val="0"/>
          <w:szCs w:val="21"/>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spacing w:line="520" w:lineRule="exact"/>
        <w:ind w:firstLine="432"/>
        <w:jc w:val="left"/>
        <w:rPr>
          <w:rFonts w:ascii="宋体" w:hAnsi="宋体"/>
        </w:rPr>
      </w:pPr>
    </w:p>
    <w:p>
      <w:pPr>
        <w:spacing w:line="520" w:lineRule="exact"/>
        <w:ind w:firstLine="432"/>
        <w:jc w:val="left"/>
        <w:rPr>
          <w:rFonts w:ascii="宋体" w:hAnsi="宋体"/>
        </w:rPr>
      </w:pPr>
    </w:p>
    <w:p>
      <w:pPr>
        <w:jc w:val="center"/>
        <w:rPr>
          <w:rFonts w:ascii="宋体" w:hAnsi="宋体"/>
          <w:b/>
          <w:bCs/>
          <w:sz w:val="30"/>
          <w:szCs w:val="30"/>
        </w:rPr>
      </w:pPr>
      <w:r>
        <w:rPr>
          <w:rFonts w:ascii="宋体" w:hAnsi="宋体"/>
          <w:b/>
          <w:bCs/>
          <w:sz w:val="30"/>
          <w:szCs w:val="30"/>
        </w:rPr>
        <w:br w:type="page"/>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b/>
          <w:bCs/>
          <w:color w:val="000000"/>
          <w:sz w:val="28"/>
          <w:szCs w:val="28"/>
          <w:lang w:eastAsia="zh-CN"/>
        </w:rPr>
        <w:t>五</w:t>
      </w:r>
      <w:r>
        <w:rPr>
          <w:b/>
          <w:bCs/>
          <w:color w:val="000000"/>
          <w:sz w:val="28"/>
          <w:szCs w:val="28"/>
        </w:rPr>
        <w:t>、</w:t>
      </w:r>
      <w:r>
        <w:rPr>
          <w:rFonts w:hint="eastAsia" w:asciiTheme="minorEastAsia" w:hAnsiTheme="minorEastAsia" w:eastAsiaTheme="minorEastAsia" w:cstheme="minorEastAsia"/>
          <w:b/>
          <w:bCs/>
          <w:color w:val="auto"/>
          <w:sz w:val="28"/>
          <w:szCs w:val="28"/>
          <w:highlight w:val="none"/>
        </w:rPr>
        <w:t>供应商认为有必要提供的声明及文件资料</w:t>
      </w:r>
    </w:p>
    <w:p>
      <w:pPr>
        <w:spacing w:line="480" w:lineRule="auto"/>
        <w:ind w:firstLine="281" w:firstLineChars="100"/>
        <w:rPr>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rPr>
          <w:rFonts w:hint="eastAsia"/>
          <w:lang w:eastAsia="zh-CN"/>
        </w:rPr>
      </w:pPr>
    </w:p>
    <w:p>
      <w:pPr>
        <w:pStyle w:val="8"/>
        <w:rPr>
          <w:rFonts w:hint="eastAsia" w:eastAsia="宋体"/>
          <w:lang w:eastAsia="zh-CN"/>
        </w:rPr>
      </w:pPr>
      <w:r>
        <w:rPr>
          <w:rFonts w:hint="eastAsia"/>
          <w:lang w:eastAsia="zh-CN"/>
        </w:rPr>
        <w:t>附件</w:t>
      </w:r>
      <w:r>
        <w:rPr>
          <w:rFonts w:hint="eastAsia"/>
          <w:lang w:val="en-US" w:eastAsia="zh-CN"/>
        </w:rPr>
        <w:t>1</w:t>
      </w:r>
    </w:p>
    <w:p>
      <w:p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质疑函范本</w:t>
      </w:r>
    </w:p>
    <w:p>
      <w:pPr>
        <w:adjustRightInd w:val="0"/>
        <w:snapToGrid w:val="0"/>
        <w:spacing w:before="318"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4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6.质疑供应商为自然人的，质疑函应由本人签字；质疑供应商为法人单位或者其他组织的，质疑函应由法定代表人、主要负责人，或者其授权代表签字或者盖章，并加盖公章。</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r>
        <w:rPr>
          <w:rFonts w:hint="eastAsia" w:asciiTheme="minorEastAsia" w:hAnsiTheme="minorEastAsia" w:eastAsiaTheme="minorEastAsia" w:cstheme="minorEastAsia"/>
          <w:b/>
          <w:color w:val="auto"/>
          <w:sz w:val="24"/>
          <w:highlight w:val="none"/>
        </w:rPr>
        <w:t>质疑函份数要求：一式三份</w:t>
      </w:r>
      <w:r>
        <w:rPr>
          <w:rFonts w:hint="eastAsia" w:asciiTheme="minorEastAsia" w:hAnsiTheme="minorEastAsia" w:eastAsiaTheme="minorEastAsia" w:cstheme="minorEastAsia"/>
          <w:color w:val="auto"/>
          <w:sz w:val="24"/>
          <w:highlight w:val="none"/>
        </w:rPr>
        <w:t>。</w:t>
      </w:r>
    </w:p>
    <w:p>
      <w:pPr>
        <w:rPr>
          <w:rFonts w:hint="eastAsia" w:asciiTheme="minorEastAsia" w:hAnsiTheme="minorEastAsia" w:eastAsiaTheme="minorEastAsia" w:cstheme="minorEastAsia"/>
          <w:color w:val="auto"/>
          <w:highlight w:val="none"/>
        </w:rPr>
      </w:pPr>
    </w:p>
    <w:p>
      <w:pPr>
        <w:pStyle w:val="8"/>
        <w:rPr>
          <w:rFonts w:hint="eastAsia" w:asciiTheme="minorEastAsia" w:hAnsiTheme="minorEastAsia" w:eastAsiaTheme="minorEastAsia" w:cstheme="minorEastAsia"/>
          <w:color w:val="auto"/>
          <w:sz w:val="24"/>
          <w:highlight w:val="none"/>
        </w:rPr>
      </w:pPr>
    </w:p>
    <w:p>
      <w:pPr>
        <w:pStyle w:val="8"/>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rPr>
        <w:t>关于印发中小企业划型标准规定的通知</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caps w:val="0"/>
          <w:color w:val="070707"/>
          <w:spacing w:val="0"/>
          <w:sz w:val="24"/>
          <w:szCs w:val="24"/>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Fonts w:ascii="宋体" w:hAnsi="宋体" w:eastAsia="宋体" w:cs="宋体"/>
          <w:i w:val="0"/>
          <w:caps w:val="0"/>
          <w:color w:val="070707"/>
          <w:spacing w:val="0"/>
          <w:sz w:val="24"/>
          <w:szCs w:val="24"/>
        </w:rPr>
        <w:t>工信部联企业〔2011〕300号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各省、自治区、直辖市人民政府，国务院各部委、各直属机构及有关单位：</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工业和信息化部　国家统计局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国家发展和改革委员会　财政部</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二○一一年六月十八日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Style w:val="22"/>
          <w:rFonts w:ascii="宋体" w:hAnsi="宋体" w:eastAsia="宋体" w:cs="宋体"/>
          <w:b/>
          <w:i w:val="0"/>
          <w:caps w:val="0"/>
          <w:color w:val="070707"/>
          <w:spacing w:val="0"/>
          <w:sz w:val="24"/>
          <w:szCs w:val="24"/>
        </w:rPr>
        <w:t>中小企业划型标准规定</w:t>
      </w:r>
    </w:p>
    <w:p>
      <w:pPr>
        <w:pStyle w:val="13"/>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t>　</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一、根据《中华人民共和国中小企业促进法》和《国务院关于进一步促进中小企业发展的若干意见》(国发〔2009〕36号)，制定本规定。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二、中小企业划分为中型、小型、微型三种类型，具体标准根据企业从业人员、营业收入、资产总额等指标，结合行业特点制定。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四、各行业划型标准为：</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（一）农、林、牧、渔业。营业收入20000万元以下的为中小微型企业。其中，营业收入500万元及以上的为中型企业，营业收入50万元及以上的为小型企业，营业收入50万元以下的为微型企业。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（十六）其他未列明行业。从业人员300人以下的为中小微型企业。其中，从业人员100人及以上的为中型企业；从业人员10人及以上的为小型企业；从业人员10人以下的为微型企业。</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五、企业类型的划分以统计部门的统计数据为依据。</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六、本规定适用于在中华人民共和国境内依法设立的各类所有制和各种组织形式的企业。个体工商户和本规定以外的行业，参照本规定进行划型。</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八、本规定由工业和信息化部、国家统计局会同有关部门根据《国民经济行业分类》修订情况和企业发展变化情况适时修订。</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九、本规定由工业和信息化部、国家统计局会同有关部门负责解释。</w:t>
      </w:r>
    </w:p>
    <w:p>
      <w:pPr>
        <w:pStyle w:val="13"/>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十、本规定自发布之日起执行，原国家经贸委、原国家计委、财政部和国家统计局2003年颁布的《中小企业标准暂行规定》同时废止。</w:t>
      </w:r>
    </w:p>
    <w:p>
      <w:pPr>
        <w:rPr>
          <w:rFonts w:hint="eastAsia"/>
          <w:lang w:eastAsia="zh-CN"/>
        </w:rPr>
      </w:pPr>
    </w:p>
    <w:p>
      <w:pPr>
        <w:pStyle w:val="8"/>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3</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微软雅黑" w:hAnsi="微软雅黑" w:eastAsia="微软雅黑" w:cs="微软雅黑"/>
          <w:b/>
          <w:bCs/>
          <w:i w:val="0"/>
          <w:caps w:val="0"/>
          <w:color w:val="auto"/>
          <w:spacing w:val="0"/>
          <w:sz w:val="24"/>
          <w:szCs w:val="24"/>
          <w:shd w:val="clear" w:fill="FFFFFF"/>
          <w:vertAlign w:val="baseline"/>
          <w:lang w:eastAsia="zh-CN"/>
        </w:rPr>
      </w:pPr>
      <w:r>
        <w:rPr>
          <w:rFonts w:hint="eastAsia" w:ascii="微软雅黑" w:hAnsi="微软雅黑" w:eastAsia="微软雅黑" w:cs="微软雅黑"/>
          <w:b/>
          <w:bCs/>
          <w:i w:val="0"/>
          <w:caps w:val="0"/>
          <w:color w:val="auto"/>
          <w:spacing w:val="0"/>
          <w:sz w:val="24"/>
          <w:szCs w:val="24"/>
          <w:shd w:val="clear" w:fill="FFFFFF"/>
          <w:vertAlign w:val="baseline"/>
        </w:rPr>
        <w:t>市场监管总局关于发布参与实施政府采购节能产品、环境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标志产品认证机构名录的公告</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2019年第16号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r>
        <w:rPr>
          <w:rFonts w:hint="eastAsia" w:ascii="微软雅黑" w:hAnsi="微软雅黑" w:eastAsia="微软雅黑" w:cs="微软雅黑"/>
          <w:i w:val="0"/>
          <w:caps w:val="0"/>
          <w:color w:val="auto"/>
          <w:spacing w:val="0"/>
          <w:sz w:val="24"/>
          <w:szCs w:val="24"/>
          <w:shd w:val="clear" w:fill="FFFFFF"/>
          <w:vertAlign w:val="baseline"/>
        </w:rPr>
        <w:t>　　</w:t>
      </w:r>
      <w:r>
        <w:rPr>
          <w:rFonts w:hint="eastAsia" w:asciiTheme="minorEastAsia" w:hAnsiTheme="minorEastAsia" w:eastAsiaTheme="minorEastAsia" w:cstheme="minorEastAsia"/>
          <w:i w:val="0"/>
          <w:caps w:val="0"/>
          <w:color w:val="auto"/>
          <w:spacing w:val="0"/>
          <w:sz w:val="24"/>
          <w:szCs w:val="24"/>
          <w:shd w:val="clear" w:fill="FFFFFF"/>
          <w:vertAlign w:val="baseline"/>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vertAlign w:val="baseline"/>
        </w:rPr>
        <w:t>　　自本公告发布后，新增认证机构应尽快完成政府采购认证信息系统对接，对接完成后方可开展相关认证工作。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right"/>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i w:val="0"/>
          <w:caps w:val="0"/>
          <w:color w:val="auto"/>
          <w:spacing w:val="0"/>
          <w:sz w:val="24"/>
          <w:szCs w:val="24"/>
          <w:shd w:val="clear" w:fill="FFFFFF"/>
          <w:vertAlign w:val="baseline"/>
        </w:rPr>
        <w:t>市场监管总局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righ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vertAlign w:val="baseline"/>
        </w:rPr>
        <w:t>2019年4月3日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594" w:lineRule="atLeast"/>
        <w:ind w:left="0" w:right="0" w:firstLine="640"/>
        <w:jc w:val="lef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Theme="minorEastAsia" w:hAnsiTheme="minorEastAsia" w:eastAsiaTheme="minorEastAsia" w:cstheme="minorEastAsia"/>
          <w:i w:val="0"/>
          <w:caps w:val="0"/>
          <w:color w:val="auto"/>
          <w:spacing w:val="0"/>
          <w:sz w:val="32"/>
          <w:szCs w:val="32"/>
          <w:lang w:val="en-US"/>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参与实施政府采购节能产品认证机构名录</w:t>
      </w:r>
    </w:p>
    <w:tbl>
      <w:tblPr>
        <w:tblStyle w:val="25"/>
        <w:tblW w:w="9642"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785"/>
        <w:gridCol w:w="1358"/>
        <w:gridCol w:w="1610"/>
        <w:gridCol w:w="1656"/>
        <w:gridCol w:w="2032"/>
        <w:gridCol w:w="22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Ex>
        <w:trPr>
          <w:trHeight w:val="284" w:hRule="atLeast"/>
        </w:trPr>
        <w:tc>
          <w:tcPr>
            <w:tcW w:w="78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296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一级目录</w:t>
            </w:r>
          </w:p>
        </w:tc>
        <w:tc>
          <w:tcPr>
            <w:tcW w:w="368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二级目录</w:t>
            </w:r>
          </w:p>
        </w:tc>
        <w:tc>
          <w:tcPr>
            <w:tcW w:w="220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220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计算机设备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台式计算机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北京赛西认证有限责任公司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中国网络安全审查技术与认证中心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便携式计算机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平板式微型计算机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2</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输入输出设备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打印设备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显示设备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图形图像输入设备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投影仪</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A020204</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多功能一体机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9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泵</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离心泵</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6</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制冷空调设备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制冷压缩机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北京中冷通质量认证中心有限公司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空调机组</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专用制冷、空调设备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A02052399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其他制冷空调设备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33"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中国船级社质量认证公司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61"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变压器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4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9</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镇流器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0"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10</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生活用电器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A0206180101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电冰箱</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A0206180203</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洗衣机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A02061808</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热水器</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合肥通用机械产品认证有限公司(范围仅限于“热泵热水器”)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37"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11</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照明设备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1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12</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电视设备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普通电视设备（电视机）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北京泰瑞特认证有限责任公司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10"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视频监控设备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75"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A031210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饮食炊事机械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北京鉴衡认证中心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中国市政工程华北设计研究总院有限公司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A060805</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北京新华节水产品认证有限公司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16</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A060806</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水嘴</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A060807</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便器冲洗阀</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淋浴器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参与实施政府采购环境标志产品认证机构名录</w:t>
      </w: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tbl>
      <w:tblPr>
        <w:tblStyle w:val="25"/>
        <w:tblW w:w="975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846"/>
        <w:gridCol w:w="3191"/>
        <w:gridCol w:w="5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Ex>
        <w:trPr>
          <w:trHeight w:val="434" w:hRule="atLeast"/>
        </w:trPr>
        <w:tc>
          <w:tcPr>
            <w:tcW w:w="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31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目录</w:t>
            </w:r>
          </w:p>
        </w:tc>
        <w:tc>
          <w:tcPr>
            <w:tcW w:w="57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61" w:hRule="atLeast"/>
        </w:trPr>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31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环境标志产品</w:t>
            </w:r>
          </w:p>
        </w:tc>
        <w:tc>
          <w:tcPr>
            <w:tcW w:w="57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中环联合（北京）认证中心有限公司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中环协（北京）认证中心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天津华诚认证有限公司</w:t>
            </w:r>
          </w:p>
        </w:tc>
      </w:tr>
    </w:tbl>
    <w:p>
      <w:pPr>
        <w:pStyle w:val="8"/>
        <w:rPr>
          <w:rFonts w:hint="eastAsia" w:asciiTheme="minorEastAsia" w:hAnsiTheme="minorEastAsia" w:eastAsiaTheme="minorEastAsia" w:cstheme="minorEastAsia"/>
          <w:color w:val="auto"/>
          <w:lang w:eastAsia="zh-CN"/>
        </w:rPr>
      </w:pPr>
    </w:p>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ngti sc">
    <w:altName w:val="新宋体"/>
    <w:panose1 w:val="02010600040101010101"/>
    <w:charset w:val="00"/>
    <w:family w:val="auto"/>
    <w:pitch w:val="default"/>
    <w:sig w:usb0="00000000" w:usb1="00000000" w:usb2="00000000" w:usb3="00000000" w:csb0="0016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Sans Serif">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_5b8b_4f53">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Microsoft Sans Serif">
    <w:panose1 w:val="020B0604020202020204"/>
    <w:charset w:val="00"/>
    <w:family w:val="auto"/>
    <w:pitch w:val="default"/>
    <w:sig w:usb0="E1002AFF" w:usb1="C0000002"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BatangChe">
    <w:panose1 w:val="02030609000101010101"/>
    <w:charset w:val="81"/>
    <w:family w:val="auto"/>
    <w:pitch w:val="default"/>
    <w:sig w:usb0="B00002AF" w:usb1="69D77CFB" w:usb2="00000030" w:usb3="00000000" w:csb0="4008009F" w:csb1="DFD7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entury Schoolbook">
    <w:altName w:val="Segoe Print"/>
    <w:panose1 w:val="02040604050505020304"/>
    <w:charset w:val="00"/>
    <w:family w:val="roman"/>
    <w:pitch w:val="default"/>
    <w:sig w:usb0="00000000" w:usb1="00000000" w:usb2="00000000" w:usb3="00000000" w:csb0="2000009F" w:csb1="DFD70000"/>
  </w:font>
  <w:font w:name="长城仿宋">
    <w:altName w:val="黑体"/>
    <w:panose1 w:val="00000000000000000000"/>
    <w:charset w:val="86"/>
    <w:family w:val="modern"/>
    <w:pitch w:val="default"/>
    <w:sig w:usb0="00000000" w:usb1="00000000" w:usb2="00000010" w:usb3="00000000" w:csb0="00040000" w:csb1="00000000"/>
  </w:font>
  <w:font w:name="sans-serif">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华文琥珀">
    <w:altName w:val="宋体"/>
    <w:panose1 w:val="02010800040101010101"/>
    <w:charset w:val="86"/>
    <w:family w:val="auto"/>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Tms Rmn">
    <w:altName w:val="Times New Roman"/>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楷体à.ā">
    <w:altName w:val="黑体"/>
    <w:panose1 w:val="00000000000000000000"/>
    <w:charset w:val="86"/>
    <w:family w:val="modern"/>
    <w:pitch w:val="default"/>
    <w:sig w:usb0="00000000" w:usb1="00000000" w:usb2="00000010" w:usb3="00000000" w:csb0="00040000" w:csb1="00000000"/>
  </w:font>
  <w:font w:name="Times New (W1)">
    <w:altName w:val="Latha"/>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POMDD E+ Times">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Helvetica Neue">
    <w:altName w:val="微软雅黑"/>
    <w:panose1 w:val="00000000000000000000"/>
    <w:charset w:val="00"/>
    <w:family w:val="auto"/>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Showcard Gothic">
    <w:altName w:val="Gabriola"/>
    <w:panose1 w:val="04020904020102020604"/>
    <w:charset w:val="00"/>
    <w:family w:val="decorative"/>
    <w:pitch w:val="default"/>
    <w:sig w:usb0="00000000" w:usb1="00000000" w:usb2="00000000" w:usb3="00000000" w:csb0="20000001" w:csb1="00000000"/>
  </w:font>
  <w:font w:name="宋体-18030">
    <w:altName w:val="宋体"/>
    <w:panose1 w:val="00000000000000000000"/>
    <w:charset w:val="86"/>
    <w:family w:val="modern"/>
    <w:pitch w:val="default"/>
    <w:sig w:usb0="00000000" w:usb1="00000000" w:usb2="000A005E"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netsuperfont">
    <w:altName w:val="Latha"/>
    <w:panose1 w:val="00000000000000000000"/>
    <w:charset w:val="00"/>
    <w:family w:val="auto"/>
    <w:pitch w:val="default"/>
    <w:sig w:usb0="00000000" w:usb1="00000000" w:usb2="00000000" w:usb3="00000000" w:csb0="00000000" w:csb1="00000000"/>
  </w:font>
  <w:font w:name="ncpc_iconfont">
    <w:altName w:val="Latha"/>
    <w:panose1 w:val="00000000000000000000"/>
    <w:charset w:val="00"/>
    <w:family w:val="auto"/>
    <w:pitch w:val="default"/>
    <w:sig w:usb0="00000000" w:usb1="00000000" w:usb2="00000000" w:usb3="00000000" w:csb0="00000000" w:csb1="00000000"/>
  </w:font>
  <w:font w:name="Chinese Quote">
    <w:altName w:val="Latha"/>
    <w:panose1 w:val="00000000000000000000"/>
    <w:charset w:val="00"/>
    <w:family w:val="auto"/>
    <w:pitch w:val="default"/>
    <w:sig w:usb0="00000000" w:usb1="00000000" w:usb2="00000000" w:usb3="00000000" w:csb0="00000000" w:csb1="00000000"/>
  </w:font>
  <w:font w:name="iconfont">
    <w:altName w:val="Latha"/>
    <w:panose1 w:val="00000000000000000000"/>
    <w:charset w:val="00"/>
    <w:family w:val="auto"/>
    <w:pitch w:val="default"/>
    <w:sig w:usb0="00000000" w:usb1="00000000" w:usb2="00000000" w:usb3="00000000" w:csb0="00000000" w:csb1="00000000"/>
  </w:font>
  <w:font w:name="pokeicon">
    <w:altName w:val="Latha"/>
    <w:panose1 w:val="00000000000000000000"/>
    <w:charset w:val="00"/>
    <w:family w:val="auto"/>
    <w:pitch w:val="default"/>
    <w:sig w:usb0="00000000" w:usb1="00000000" w:usb2="00000000" w:usb3="00000000" w:csb0="00000000" w:csb1="00000000"/>
  </w:font>
  <w:font w:name="element-icons">
    <w:altName w:val="Latha"/>
    <w:panose1 w:val="00000000000000000000"/>
    <w:charset w:val="00"/>
    <w:family w:val="auto"/>
    <w:pitch w:val="default"/>
    <w:sig w:usb0="00000000" w:usb1="00000000" w:usb2="00000000" w:usb3="00000000" w:csb0="00000000" w:csb1="00000000"/>
  </w:font>
  <w:font w:name="nc_iconfont">
    <w:altName w:val="Latha"/>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MS Mincho">
    <w:panose1 w:val="02020609040205080304"/>
    <w:charset w:val="80"/>
    <w:family w:val="modern"/>
    <w:pitch w:val="default"/>
    <w:sig w:usb0="E00002FF" w:usb1="6AC7FDFB" w:usb2="00000012" w:usb3="00000000" w:csb0="4002009F" w:csb1="DFD70000"/>
  </w:font>
  <w:font w:name="微软简仿宋">
    <w:altName w:val="仿宋"/>
    <w:panose1 w:val="00000000000000000000"/>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 w:name="Calibri">
    <w:panose1 w:val="020F0502020204030204"/>
    <w:charset w:val="86"/>
    <w:family w:val="swiss"/>
    <w:pitch w:val="default"/>
    <w:sig w:usb0="E00002FF" w:usb1="4000ACFF" w:usb2="00000001" w:usb3="00000000" w:csb0="2000019F" w:csb1="00000000"/>
  </w:font>
  <w:font w:name="Microsoft YaHei UI">
    <w:altName w:val="Latha"/>
    <w:panose1 w:val="00000000000000000000"/>
    <w:charset w:val="01"/>
    <w:family w:val="swiss"/>
    <w:pitch w:val="default"/>
    <w:sig w:usb0="00000000" w:usb1="00000000" w:usb2="00000000" w:usb3="00000000" w:csb0="00000000" w:csb1="00000000"/>
  </w:font>
  <w:font w:name="Segoe Print">
    <w:panose1 w:val="02000600000000000000"/>
    <w:charset w:val="01"/>
    <w:family w:val="swiss"/>
    <w:pitch w:val="default"/>
    <w:sig w:usb0="0000028F" w:usb1="00000000" w:usb2="00000000" w:usb3="00000000" w:csb0="2000009F" w:csb1="47010000"/>
  </w:font>
  <w:font w:name="??">
    <w:altName w:val="Times New Roman"/>
    <w:panose1 w:val="00000000000000000000"/>
    <w:charset w:val="00"/>
    <w:family w:val="roman"/>
    <w:pitch w:val="default"/>
    <w:sig w:usb0="00000000" w:usb1="00000000" w:usb2="00000000" w:usb3="00000000" w:csb0="00000001" w:csb1="00000000"/>
  </w:font>
  <w:font w:name="ZWAdobeF">
    <w:altName w:val="Courier New"/>
    <w:panose1 w:val="00000000000000000000"/>
    <w:charset w:val="00"/>
    <w:family w:val="auto"/>
    <w:pitch w:val="default"/>
    <w:sig w:usb0="00000000" w:usb1="00000000" w:usb2="00000000" w:usb3="00000000" w:csb0="000001FF" w:csb1="00000000"/>
  </w:font>
  <w:font w:name="serif">
    <w:altName w:val="微软雅黑"/>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00040001" w:csb1="00000000"/>
  </w:font>
  <w:font w:name="思源宋体 Light">
    <w:altName w:val="宋体"/>
    <w:panose1 w:val="02020300000000000000"/>
    <w:charset w:val="86"/>
    <w:family w:val="roman"/>
    <w:pitch w:val="default"/>
    <w:sig w:usb0="00000000" w:usb1="00000000" w:usb2="00000016" w:usb3="00000000" w:csb0="002E0107" w:csb1="00000000"/>
  </w:font>
  <w:font w:name="仿宋_GB2312">
    <w:altName w:val="仿宋"/>
    <w:panose1 w:val="02010609030101010101"/>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eastAsia="宋体"/>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A9AE2"/>
    <w:multiLevelType w:val="singleLevel"/>
    <w:tmpl w:val="8C9A9AE2"/>
    <w:lvl w:ilvl="0" w:tentative="0">
      <w:start w:val="6"/>
      <w:numFmt w:val="chineseCounting"/>
      <w:suff w:val="space"/>
      <w:lvlText w:val="第%1部分"/>
      <w:lvlJc w:val="left"/>
      <w:rPr>
        <w:rFonts w:hint="eastAsia"/>
      </w:rPr>
    </w:lvl>
  </w:abstractNum>
  <w:abstractNum w:abstractNumId="1">
    <w:nsid w:val="96E540E1"/>
    <w:multiLevelType w:val="singleLevel"/>
    <w:tmpl w:val="96E540E1"/>
    <w:lvl w:ilvl="0" w:tentative="0">
      <w:start w:val="1"/>
      <w:numFmt w:val="decimal"/>
      <w:lvlText w:val="%1."/>
      <w:lvlJc w:val="left"/>
      <w:pPr>
        <w:tabs>
          <w:tab w:val="left" w:pos="312"/>
        </w:tabs>
      </w:pPr>
    </w:lvl>
  </w:abstractNum>
  <w:abstractNum w:abstractNumId="2">
    <w:nsid w:val="9BA293E1"/>
    <w:multiLevelType w:val="singleLevel"/>
    <w:tmpl w:val="9BA293E1"/>
    <w:lvl w:ilvl="0" w:tentative="0">
      <w:start w:val="1"/>
      <w:numFmt w:val="decimal"/>
      <w:suff w:val="nothing"/>
      <w:lvlText w:val="%1．"/>
      <w:lvlJc w:val="left"/>
      <w:pPr>
        <w:ind w:left="0" w:firstLine="400"/>
      </w:pPr>
      <w:rPr>
        <w:rFonts w:hint="default"/>
      </w:rPr>
    </w:lvl>
  </w:abstractNum>
  <w:abstractNum w:abstractNumId="3">
    <w:nsid w:val="A1073D01"/>
    <w:multiLevelType w:val="singleLevel"/>
    <w:tmpl w:val="A1073D01"/>
    <w:lvl w:ilvl="0" w:tentative="0">
      <w:start w:val="1"/>
      <w:numFmt w:val="decimal"/>
      <w:lvlText w:val="%1."/>
      <w:lvlJc w:val="left"/>
      <w:pPr>
        <w:tabs>
          <w:tab w:val="left" w:pos="312"/>
        </w:tabs>
      </w:pPr>
    </w:lvl>
  </w:abstractNum>
  <w:abstractNum w:abstractNumId="4">
    <w:nsid w:val="BACA5606"/>
    <w:multiLevelType w:val="multilevel"/>
    <w:tmpl w:val="BACA5606"/>
    <w:lvl w:ilvl="0" w:tentative="0">
      <w:start w:val="1"/>
      <w:numFmt w:val="decimal"/>
      <w:lvlText w:val="%1."/>
      <w:lvlJc w:val="left"/>
      <w:pPr>
        <w:tabs>
          <w:tab w:val="left" w:pos="312"/>
        </w:tabs>
      </w:p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5">
    <w:nsid w:val="C3FC9D26"/>
    <w:multiLevelType w:val="singleLevel"/>
    <w:tmpl w:val="C3FC9D26"/>
    <w:lvl w:ilvl="0" w:tentative="0">
      <w:start w:val="1"/>
      <w:numFmt w:val="decimal"/>
      <w:lvlText w:val="%1."/>
      <w:lvlJc w:val="left"/>
      <w:pPr>
        <w:tabs>
          <w:tab w:val="left" w:pos="312"/>
        </w:tabs>
      </w:pPr>
    </w:lvl>
  </w:abstractNum>
  <w:abstractNum w:abstractNumId="6">
    <w:nsid w:val="C620F8E7"/>
    <w:multiLevelType w:val="singleLevel"/>
    <w:tmpl w:val="C620F8E7"/>
    <w:lvl w:ilvl="0" w:tentative="0">
      <w:start w:val="1"/>
      <w:numFmt w:val="decimal"/>
      <w:lvlText w:val="%1."/>
      <w:lvlJc w:val="left"/>
      <w:pPr>
        <w:tabs>
          <w:tab w:val="left" w:pos="312"/>
        </w:tabs>
      </w:pPr>
    </w:lvl>
  </w:abstractNum>
  <w:abstractNum w:abstractNumId="7">
    <w:nsid w:val="C75F53CC"/>
    <w:multiLevelType w:val="singleLevel"/>
    <w:tmpl w:val="C75F53CC"/>
    <w:lvl w:ilvl="0" w:tentative="0">
      <w:start w:val="1"/>
      <w:numFmt w:val="decimal"/>
      <w:lvlText w:val="%1."/>
      <w:lvlJc w:val="left"/>
      <w:pPr>
        <w:tabs>
          <w:tab w:val="left" w:pos="312"/>
        </w:tabs>
      </w:pPr>
    </w:lvl>
  </w:abstractNum>
  <w:abstractNum w:abstractNumId="8">
    <w:nsid w:val="D9386C30"/>
    <w:multiLevelType w:val="singleLevel"/>
    <w:tmpl w:val="D9386C30"/>
    <w:lvl w:ilvl="0" w:tentative="0">
      <w:start w:val="1"/>
      <w:numFmt w:val="decimal"/>
      <w:lvlText w:val="%1."/>
      <w:lvlJc w:val="left"/>
      <w:pPr>
        <w:ind w:left="425" w:hanging="425"/>
      </w:pPr>
      <w:rPr>
        <w:rFonts w:hint="default"/>
      </w:rPr>
    </w:lvl>
  </w:abstractNum>
  <w:abstractNum w:abstractNumId="9">
    <w:nsid w:val="EC991DCB"/>
    <w:multiLevelType w:val="singleLevel"/>
    <w:tmpl w:val="EC991DCB"/>
    <w:lvl w:ilvl="0" w:tentative="0">
      <w:start w:val="1"/>
      <w:numFmt w:val="decimal"/>
      <w:lvlText w:val="%1."/>
      <w:lvlJc w:val="left"/>
      <w:pPr>
        <w:tabs>
          <w:tab w:val="left" w:pos="312"/>
        </w:tabs>
      </w:pPr>
    </w:lvl>
  </w:abstractNum>
  <w:abstractNum w:abstractNumId="10">
    <w:nsid w:val="FC40787D"/>
    <w:multiLevelType w:val="singleLevel"/>
    <w:tmpl w:val="FC40787D"/>
    <w:lvl w:ilvl="0" w:tentative="0">
      <w:start w:val="1"/>
      <w:numFmt w:val="decimal"/>
      <w:lvlText w:val="%1."/>
      <w:lvlJc w:val="left"/>
      <w:pPr>
        <w:tabs>
          <w:tab w:val="left" w:pos="312"/>
        </w:tabs>
      </w:pPr>
    </w:lvl>
  </w:abstractNum>
  <w:abstractNum w:abstractNumId="11">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2">
    <w:nsid w:val="00000007"/>
    <w:multiLevelType w:val="multilevel"/>
    <w:tmpl w:val="0000000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3">
    <w:nsid w:val="0BC2D940"/>
    <w:multiLevelType w:val="singleLevel"/>
    <w:tmpl w:val="0BC2D940"/>
    <w:lvl w:ilvl="0" w:tentative="0">
      <w:start w:val="1"/>
      <w:numFmt w:val="decimal"/>
      <w:lvlText w:val="%1."/>
      <w:lvlJc w:val="left"/>
      <w:pPr>
        <w:tabs>
          <w:tab w:val="left" w:pos="312"/>
        </w:tabs>
      </w:pPr>
    </w:lvl>
  </w:abstractNum>
  <w:abstractNum w:abstractNumId="14">
    <w:nsid w:val="1826CD8C"/>
    <w:multiLevelType w:val="singleLevel"/>
    <w:tmpl w:val="1826CD8C"/>
    <w:lvl w:ilvl="0" w:tentative="0">
      <w:start w:val="1"/>
      <w:numFmt w:val="decimal"/>
      <w:lvlText w:val="%1."/>
      <w:lvlJc w:val="left"/>
      <w:pPr>
        <w:tabs>
          <w:tab w:val="left" w:pos="312"/>
        </w:tabs>
      </w:pPr>
    </w:lvl>
  </w:abstractNum>
  <w:abstractNum w:abstractNumId="15">
    <w:nsid w:val="199B4CCA"/>
    <w:multiLevelType w:val="singleLevel"/>
    <w:tmpl w:val="199B4CCA"/>
    <w:lvl w:ilvl="0" w:tentative="0">
      <w:start w:val="1"/>
      <w:numFmt w:val="decimal"/>
      <w:lvlText w:val="%1."/>
      <w:lvlJc w:val="left"/>
      <w:pPr>
        <w:tabs>
          <w:tab w:val="left" w:pos="312"/>
        </w:tabs>
      </w:pPr>
    </w:lvl>
  </w:abstractNum>
  <w:abstractNum w:abstractNumId="16">
    <w:nsid w:val="1C3AB091"/>
    <w:multiLevelType w:val="singleLevel"/>
    <w:tmpl w:val="1C3AB091"/>
    <w:lvl w:ilvl="0" w:tentative="0">
      <w:start w:val="1"/>
      <w:numFmt w:val="decimal"/>
      <w:lvlText w:val="%1."/>
      <w:lvlJc w:val="left"/>
      <w:pPr>
        <w:tabs>
          <w:tab w:val="left" w:pos="312"/>
        </w:tabs>
      </w:pPr>
    </w:lvl>
  </w:abstractNum>
  <w:abstractNum w:abstractNumId="17">
    <w:nsid w:val="1CAA5D4D"/>
    <w:multiLevelType w:val="singleLevel"/>
    <w:tmpl w:val="1CAA5D4D"/>
    <w:lvl w:ilvl="0" w:tentative="0">
      <w:start w:val="1"/>
      <w:numFmt w:val="decimal"/>
      <w:lvlText w:val="%1."/>
      <w:lvlJc w:val="left"/>
      <w:pPr>
        <w:tabs>
          <w:tab w:val="left" w:pos="312"/>
        </w:tabs>
      </w:pPr>
    </w:lvl>
  </w:abstractNum>
  <w:abstractNum w:abstractNumId="18">
    <w:nsid w:val="1E183A15"/>
    <w:multiLevelType w:val="singleLevel"/>
    <w:tmpl w:val="1E183A15"/>
    <w:lvl w:ilvl="0" w:tentative="0">
      <w:start w:val="1"/>
      <w:numFmt w:val="decimal"/>
      <w:lvlText w:val="%1."/>
      <w:lvlJc w:val="left"/>
      <w:pPr>
        <w:tabs>
          <w:tab w:val="left" w:pos="312"/>
        </w:tabs>
      </w:pPr>
    </w:lvl>
  </w:abstractNum>
  <w:abstractNum w:abstractNumId="19">
    <w:nsid w:val="2D3E5398"/>
    <w:multiLevelType w:val="singleLevel"/>
    <w:tmpl w:val="2D3E5398"/>
    <w:lvl w:ilvl="0" w:tentative="0">
      <w:start w:val="1"/>
      <w:numFmt w:val="decimal"/>
      <w:lvlText w:val="%1."/>
      <w:lvlJc w:val="left"/>
      <w:pPr>
        <w:tabs>
          <w:tab w:val="left" w:pos="312"/>
        </w:tabs>
      </w:pPr>
    </w:lvl>
  </w:abstractNum>
  <w:abstractNum w:abstractNumId="20">
    <w:nsid w:val="3052854A"/>
    <w:multiLevelType w:val="singleLevel"/>
    <w:tmpl w:val="3052854A"/>
    <w:lvl w:ilvl="0" w:tentative="0">
      <w:start w:val="1"/>
      <w:numFmt w:val="decimal"/>
      <w:lvlText w:val="%1."/>
      <w:lvlJc w:val="left"/>
      <w:pPr>
        <w:tabs>
          <w:tab w:val="left" w:pos="312"/>
        </w:tabs>
      </w:pPr>
    </w:lvl>
  </w:abstractNum>
  <w:abstractNum w:abstractNumId="21">
    <w:nsid w:val="3492B755"/>
    <w:multiLevelType w:val="singleLevel"/>
    <w:tmpl w:val="3492B755"/>
    <w:lvl w:ilvl="0" w:tentative="0">
      <w:start w:val="1"/>
      <w:numFmt w:val="decimal"/>
      <w:lvlText w:val="%1."/>
      <w:lvlJc w:val="left"/>
      <w:pPr>
        <w:ind w:left="425" w:hanging="425"/>
      </w:pPr>
      <w:rPr>
        <w:rFonts w:hint="default"/>
      </w:rPr>
    </w:lvl>
  </w:abstractNum>
  <w:abstractNum w:abstractNumId="22">
    <w:nsid w:val="445F1A2F"/>
    <w:multiLevelType w:val="singleLevel"/>
    <w:tmpl w:val="445F1A2F"/>
    <w:lvl w:ilvl="0" w:tentative="0">
      <w:start w:val="1"/>
      <w:numFmt w:val="decimal"/>
      <w:lvlText w:val="%1."/>
      <w:lvlJc w:val="left"/>
      <w:pPr>
        <w:tabs>
          <w:tab w:val="left" w:pos="312"/>
        </w:tabs>
      </w:pPr>
    </w:lvl>
  </w:abstractNum>
  <w:abstractNum w:abstractNumId="23">
    <w:nsid w:val="49CB4AA7"/>
    <w:multiLevelType w:val="singleLevel"/>
    <w:tmpl w:val="49CB4AA7"/>
    <w:lvl w:ilvl="0" w:tentative="0">
      <w:start w:val="1"/>
      <w:numFmt w:val="decimal"/>
      <w:suff w:val="nothing"/>
      <w:lvlText w:val="%1．"/>
      <w:lvlJc w:val="left"/>
      <w:pPr>
        <w:ind w:left="0" w:firstLine="400"/>
      </w:pPr>
      <w:rPr>
        <w:rFonts w:hint="default"/>
      </w:rPr>
    </w:lvl>
  </w:abstractNum>
  <w:abstractNum w:abstractNumId="24">
    <w:nsid w:val="4C0EC762"/>
    <w:multiLevelType w:val="singleLevel"/>
    <w:tmpl w:val="4C0EC762"/>
    <w:lvl w:ilvl="0" w:tentative="0">
      <w:start w:val="1"/>
      <w:numFmt w:val="decimal"/>
      <w:lvlText w:val="%1."/>
      <w:lvlJc w:val="left"/>
      <w:pPr>
        <w:tabs>
          <w:tab w:val="left" w:pos="312"/>
        </w:tabs>
      </w:pPr>
    </w:lvl>
  </w:abstractNum>
  <w:abstractNum w:abstractNumId="25">
    <w:nsid w:val="4D3E0340"/>
    <w:multiLevelType w:val="singleLevel"/>
    <w:tmpl w:val="4D3E0340"/>
    <w:lvl w:ilvl="0" w:tentative="0">
      <w:start w:val="1"/>
      <w:numFmt w:val="decimal"/>
      <w:lvlText w:val="%1."/>
      <w:lvlJc w:val="left"/>
      <w:pPr>
        <w:tabs>
          <w:tab w:val="left" w:pos="312"/>
        </w:tabs>
      </w:pPr>
    </w:lvl>
  </w:abstractNum>
  <w:abstractNum w:abstractNumId="26">
    <w:nsid w:val="4D5E15E4"/>
    <w:multiLevelType w:val="singleLevel"/>
    <w:tmpl w:val="4D5E15E4"/>
    <w:lvl w:ilvl="0" w:tentative="0">
      <w:start w:val="1"/>
      <w:numFmt w:val="decimal"/>
      <w:lvlText w:val="%1."/>
      <w:lvlJc w:val="left"/>
      <w:pPr>
        <w:tabs>
          <w:tab w:val="left" w:pos="312"/>
        </w:tabs>
      </w:pPr>
    </w:lvl>
  </w:abstractNum>
  <w:abstractNum w:abstractNumId="27">
    <w:nsid w:val="4E9891A9"/>
    <w:multiLevelType w:val="singleLevel"/>
    <w:tmpl w:val="4E9891A9"/>
    <w:lvl w:ilvl="0" w:tentative="0">
      <w:start w:val="3"/>
      <w:numFmt w:val="chineseCounting"/>
      <w:suff w:val="nothing"/>
      <w:lvlText w:val="（%1）"/>
      <w:lvlJc w:val="left"/>
      <w:rPr>
        <w:rFonts w:hint="eastAsia"/>
      </w:rPr>
    </w:lvl>
  </w:abstractNum>
  <w:abstractNum w:abstractNumId="28">
    <w:nsid w:val="5D5F13AA"/>
    <w:multiLevelType w:val="singleLevel"/>
    <w:tmpl w:val="5D5F13AA"/>
    <w:lvl w:ilvl="0" w:tentative="0">
      <w:start w:val="1"/>
      <w:numFmt w:val="decimal"/>
      <w:lvlText w:val="%1."/>
      <w:lvlJc w:val="left"/>
      <w:pPr>
        <w:tabs>
          <w:tab w:val="left" w:pos="312"/>
        </w:tabs>
      </w:pPr>
    </w:lvl>
  </w:abstractNum>
  <w:abstractNum w:abstractNumId="29">
    <w:nsid w:val="614F60DC"/>
    <w:multiLevelType w:val="singleLevel"/>
    <w:tmpl w:val="614F60DC"/>
    <w:lvl w:ilvl="0" w:tentative="0">
      <w:start w:val="1"/>
      <w:numFmt w:val="decimal"/>
      <w:lvlText w:val="%1."/>
      <w:lvlJc w:val="left"/>
      <w:pPr>
        <w:tabs>
          <w:tab w:val="left" w:pos="312"/>
        </w:tabs>
      </w:pPr>
    </w:lvl>
  </w:abstractNum>
  <w:abstractNum w:abstractNumId="30">
    <w:nsid w:val="62B980F5"/>
    <w:multiLevelType w:val="singleLevel"/>
    <w:tmpl w:val="62B980F5"/>
    <w:lvl w:ilvl="0" w:tentative="0">
      <w:start w:val="2"/>
      <w:numFmt w:val="chineseCounting"/>
      <w:suff w:val="nothing"/>
      <w:lvlText w:val="%1、"/>
      <w:lvlJc w:val="left"/>
    </w:lvl>
  </w:abstractNum>
  <w:abstractNum w:abstractNumId="31">
    <w:nsid w:val="62E867ED"/>
    <w:multiLevelType w:val="singleLevel"/>
    <w:tmpl w:val="62E867ED"/>
    <w:lvl w:ilvl="0" w:tentative="0">
      <w:start w:val="1"/>
      <w:numFmt w:val="decimal"/>
      <w:lvlText w:val="%1."/>
      <w:lvlJc w:val="left"/>
      <w:pPr>
        <w:tabs>
          <w:tab w:val="left" w:pos="312"/>
        </w:tabs>
      </w:pPr>
    </w:lvl>
  </w:abstractNum>
  <w:abstractNum w:abstractNumId="32">
    <w:nsid w:val="648C3C6E"/>
    <w:multiLevelType w:val="singleLevel"/>
    <w:tmpl w:val="648C3C6E"/>
    <w:lvl w:ilvl="0" w:tentative="0">
      <w:start w:val="1"/>
      <w:numFmt w:val="chineseCounting"/>
      <w:suff w:val="nothing"/>
      <w:lvlText w:val="%1、"/>
      <w:lvlJc w:val="left"/>
    </w:lvl>
  </w:abstractNum>
  <w:abstractNum w:abstractNumId="33">
    <w:nsid w:val="648C5410"/>
    <w:multiLevelType w:val="singleLevel"/>
    <w:tmpl w:val="648C5410"/>
    <w:lvl w:ilvl="0" w:tentative="0">
      <w:start w:val="5"/>
      <w:numFmt w:val="chineseCounting"/>
      <w:suff w:val="nothing"/>
      <w:lvlText w:val="%1、"/>
      <w:lvlJc w:val="left"/>
    </w:lvl>
  </w:abstractNum>
  <w:abstractNum w:abstractNumId="34">
    <w:nsid w:val="648DB452"/>
    <w:multiLevelType w:val="singleLevel"/>
    <w:tmpl w:val="648DB452"/>
    <w:lvl w:ilvl="0" w:tentative="0">
      <w:start w:val="2"/>
      <w:numFmt w:val="chineseCounting"/>
      <w:suff w:val="nothing"/>
      <w:lvlText w:val="（%1）"/>
      <w:lvlJc w:val="left"/>
    </w:lvl>
  </w:abstractNum>
  <w:abstractNum w:abstractNumId="35">
    <w:nsid w:val="666B5A6A"/>
    <w:multiLevelType w:val="multilevel"/>
    <w:tmpl w:val="666B5A6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68C4D9A9"/>
    <w:multiLevelType w:val="singleLevel"/>
    <w:tmpl w:val="68C4D9A9"/>
    <w:lvl w:ilvl="0" w:tentative="0">
      <w:start w:val="1"/>
      <w:numFmt w:val="decimal"/>
      <w:suff w:val="space"/>
      <w:lvlText w:val="%1."/>
      <w:lvlJc w:val="left"/>
    </w:lvl>
  </w:abstractNum>
  <w:abstractNum w:abstractNumId="37">
    <w:nsid w:val="6B5B5035"/>
    <w:multiLevelType w:val="singleLevel"/>
    <w:tmpl w:val="6B5B5035"/>
    <w:lvl w:ilvl="0" w:tentative="0">
      <w:start w:val="1"/>
      <w:numFmt w:val="chineseCounting"/>
      <w:suff w:val="nothing"/>
      <w:lvlText w:val="%1、"/>
      <w:lvlJc w:val="left"/>
      <w:rPr>
        <w:rFonts w:hint="eastAsia"/>
      </w:rPr>
    </w:lvl>
  </w:abstractNum>
  <w:abstractNum w:abstractNumId="38">
    <w:nsid w:val="6B6CCE11"/>
    <w:multiLevelType w:val="singleLevel"/>
    <w:tmpl w:val="6B6CCE11"/>
    <w:lvl w:ilvl="0" w:tentative="0">
      <w:start w:val="1"/>
      <w:numFmt w:val="decimal"/>
      <w:lvlText w:val="%1."/>
      <w:lvlJc w:val="left"/>
      <w:pPr>
        <w:ind w:left="425" w:hanging="425"/>
      </w:pPr>
      <w:rPr>
        <w:rFonts w:hint="default"/>
      </w:rPr>
    </w:lvl>
  </w:abstractNum>
  <w:abstractNum w:abstractNumId="39">
    <w:nsid w:val="6C51C135"/>
    <w:multiLevelType w:val="singleLevel"/>
    <w:tmpl w:val="6C51C135"/>
    <w:lvl w:ilvl="0" w:tentative="0">
      <w:start w:val="1"/>
      <w:numFmt w:val="decimal"/>
      <w:lvlText w:val="%1."/>
      <w:lvlJc w:val="left"/>
      <w:pPr>
        <w:tabs>
          <w:tab w:val="left" w:pos="312"/>
        </w:tabs>
      </w:pPr>
    </w:lvl>
  </w:abstractNum>
  <w:abstractNum w:abstractNumId="40">
    <w:nsid w:val="6C81BCBD"/>
    <w:multiLevelType w:val="singleLevel"/>
    <w:tmpl w:val="6C81BCBD"/>
    <w:lvl w:ilvl="0" w:tentative="0">
      <w:start w:val="1"/>
      <w:numFmt w:val="decimal"/>
      <w:lvlText w:val="%1."/>
      <w:lvlJc w:val="left"/>
      <w:pPr>
        <w:tabs>
          <w:tab w:val="left" w:pos="312"/>
        </w:tabs>
      </w:pPr>
    </w:lvl>
  </w:abstractNum>
  <w:abstractNum w:abstractNumId="41">
    <w:nsid w:val="6E2FDD44"/>
    <w:multiLevelType w:val="singleLevel"/>
    <w:tmpl w:val="6E2FDD44"/>
    <w:lvl w:ilvl="0" w:tentative="0">
      <w:start w:val="1"/>
      <w:numFmt w:val="decimal"/>
      <w:lvlText w:val="%1."/>
      <w:lvlJc w:val="left"/>
      <w:pPr>
        <w:tabs>
          <w:tab w:val="left" w:pos="312"/>
        </w:tabs>
      </w:pPr>
    </w:lvl>
  </w:abstractNum>
  <w:abstractNum w:abstractNumId="42">
    <w:nsid w:val="724A46EF"/>
    <w:multiLevelType w:val="singleLevel"/>
    <w:tmpl w:val="724A46EF"/>
    <w:lvl w:ilvl="0" w:tentative="0">
      <w:start w:val="1"/>
      <w:numFmt w:val="decimal"/>
      <w:lvlText w:val="%1."/>
      <w:lvlJc w:val="left"/>
      <w:pPr>
        <w:tabs>
          <w:tab w:val="left" w:pos="312"/>
        </w:tabs>
      </w:pPr>
    </w:lvl>
  </w:abstractNum>
  <w:abstractNum w:abstractNumId="43">
    <w:nsid w:val="78107AE0"/>
    <w:multiLevelType w:val="singleLevel"/>
    <w:tmpl w:val="78107AE0"/>
    <w:lvl w:ilvl="0" w:tentative="0">
      <w:start w:val="1"/>
      <w:numFmt w:val="decimal"/>
      <w:lvlText w:val="%1."/>
      <w:lvlJc w:val="left"/>
      <w:pPr>
        <w:tabs>
          <w:tab w:val="left" w:pos="312"/>
        </w:tabs>
      </w:pPr>
    </w:lvl>
  </w:abstractNum>
  <w:abstractNum w:abstractNumId="44">
    <w:nsid w:val="7A0ADD12"/>
    <w:multiLevelType w:val="singleLevel"/>
    <w:tmpl w:val="7A0ADD12"/>
    <w:lvl w:ilvl="0" w:tentative="0">
      <w:start w:val="1"/>
      <w:numFmt w:val="decimal"/>
      <w:lvlText w:val="%1."/>
      <w:lvlJc w:val="left"/>
      <w:pPr>
        <w:tabs>
          <w:tab w:val="left" w:pos="312"/>
        </w:tabs>
      </w:pPr>
    </w:lvl>
  </w:abstractNum>
  <w:num w:numId="1">
    <w:abstractNumId w:val="12"/>
  </w:num>
  <w:num w:numId="2">
    <w:abstractNumId w:val="11"/>
  </w:num>
  <w:num w:numId="3">
    <w:abstractNumId w:val="32"/>
  </w:num>
  <w:num w:numId="4">
    <w:abstractNumId w:val="33"/>
  </w:num>
  <w:num w:numId="5">
    <w:abstractNumId w:val="27"/>
  </w:num>
  <w:num w:numId="6">
    <w:abstractNumId w:val="14"/>
  </w:num>
  <w:num w:numId="7">
    <w:abstractNumId w:val="22"/>
  </w:num>
  <w:num w:numId="8">
    <w:abstractNumId w:val="21"/>
  </w:num>
  <w:num w:numId="9">
    <w:abstractNumId w:val="36"/>
  </w:num>
  <w:num w:numId="10">
    <w:abstractNumId w:val="6"/>
  </w:num>
  <w:num w:numId="11">
    <w:abstractNumId w:val="7"/>
  </w:num>
  <w:num w:numId="12">
    <w:abstractNumId w:val="13"/>
  </w:num>
  <w:num w:numId="13">
    <w:abstractNumId w:val="39"/>
  </w:num>
  <w:num w:numId="14">
    <w:abstractNumId w:val="29"/>
  </w:num>
  <w:num w:numId="15">
    <w:abstractNumId w:val="20"/>
  </w:num>
  <w:num w:numId="16">
    <w:abstractNumId w:val="35"/>
  </w:num>
  <w:num w:numId="17">
    <w:abstractNumId w:val="26"/>
  </w:num>
  <w:num w:numId="18">
    <w:abstractNumId w:val="5"/>
  </w:num>
  <w:num w:numId="19">
    <w:abstractNumId w:val="18"/>
  </w:num>
  <w:num w:numId="20">
    <w:abstractNumId w:val="31"/>
  </w:num>
  <w:num w:numId="21">
    <w:abstractNumId w:val="2"/>
  </w:num>
  <w:num w:numId="22">
    <w:abstractNumId w:val="1"/>
  </w:num>
  <w:num w:numId="23">
    <w:abstractNumId w:val="10"/>
  </w:num>
  <w:num w:numId="24">
    <w:abstractNumId w:val="19"/>
  </w:num>
  <w:num w:numId="25">
    <w:abstractNumId w:val="44"/>
  </w:num>
  <w:num w:numId="26">
    <w:abstractNumId w:val="9"/>
  </w:num>
  <w:num w:numId="27">
    <w:abstractNumId w:val="28"/>
  </w:num>
  <w:num w:numId="28">
    <w:abstractNumId w:val="16"/>
  </w:num>
  <w:num w:numId="29">
    <w:abstractNumId w:val="25"/>
  </w:num>
  <w:num w:numId="30">
    <w:abstractNumId w:val="41"/>
  </w:num>
  <w:num w:numId="31">
    <w:abstractNumId w:val="23"/>
  </w:num>
  <w:num w:numId="32">
    <w:abstractNumId w:val="40"/>
  </w:num>
  <w:num w:numId="33">
    <w:abstractNumId w:val="15"/>
  </w:num>
  <w:num w:numId="34">
    <w:abstractNumId w:val="24"/>
  </w:num>
  <w:num w:numId="35">
    <w:abstractNumId w:val="4"/>
  </w:num>
  <w:num w:numId="36">
    <w:abstractNumId w:val="3"/>
  </w:num>
  <w:num w:numId="37">
    <w:abstractNumId w:val="42"/>
  </w:num>
  <w:num w:numId="38">
    <w:abstractNumId w:val="38"/>
  </w:num>
  <w:num w:numId="39">
    <w:abstractNumId w:val="43"/>
  </w:num>
  <w:num w:numId="40">
    <w:abstractNumId w:val="8"/>
  </w:num>
  <w:num w:numId="41">
    <w:abstractNumId w:val="17"/>
  </w:num>
  <w:num w:numId="42">
    <w:abstractNumId w:val="37"/>
  </w:num>
  <w:num w:numId="43">
    <w:abstractNumId w:val="30"/>
  </w:num>
  <w:num w:numId="44">
    <w:abstractNumId w:val="3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ODFkODgzNmQzNTkwMDkwNTZiYWJmYzNjNmI4NmYifQ=="/>
  </w:docVars>
  <w:rsids>
    <w:rsidRoot w:val="00272DE5"/>
    <w:rsid w:val="0025132F"/>
    <w:rsid w:val="00272DE5"/>
    <w:rsid w:val="004520BA"/>
    <w:rsid w:val="009E72FF"/>
    <w:rsid w:val="00A93C71"/>
    <w:rsid w:val="00A9568B"/>
    <w:rsid w:val="00B52E72"/>
    <w:rsid w:val="00BA1A9A"/>
    <w:rsid w:val="00BC202C"/>
    <w:rsid w:val="00C10A4B"/>
    <w:rsid w:val="00F72E23"/>
    <w:rsid w:val="01017684"/>
    <w:rsid w:val="016C2497"/>
    <w:rsid w:val="02003F05"/>
    <w:rsid w:val="02CA5D47"/>
    <w:rsid w:val="048F1C8A"/>
    <w:rsid w:val="05256343"/>
    <w:rsid w:val="0678345F"/>
    <w:rsid w:val="077560CA"/>
    <w:rsid w:val="088D1AEE"/>
    <w:rsid w:val="09197723"/>
    <w:rsid w:val="0A754DB1"/>
    <w:rsid w:val="0AC0397F"/>
    <w:rsid w:val="0D495458"/>
    <w:rsid w:val="0DE06E5C"/>
    <w:rsid w:val="0EF00A37"/>
    <w:rsid w:val="11716160"/>
    <w:rsid w:val="1183613D"/>
    <w:rsid w:val="12A22F6F"/>
    <w:rsid w:val="13882E5B"/>
    <w:rsid w:val="13DF7A63"/>
    <w:rsid w:val="157315DA"/>
    <w:rsid w:val="166A58DA"/>
    <w:rsid w:val="168876B8"/>
    <w:rsid w:val="16E15B36"/>
    <w:rsid w:val="1A90544A"/>
    <w:rsid w:val="1B0533E2"/>
    <w:rsid w:val="1B9D03D9"/>
    <w:rsid w:val="1F1242BB"/>
    <w:rsid w:val="1F5E564A"/>
    <w:rsid w:val="23516E50"/>
    <w:rsid w:val="24E23588"/>
    <w:rsid w:val="2503265B"/>
    <w:rsid w:val="26E65BAB"/>
    <w:rsid w:val="26F522EB"/>
    <w:rsid w:val="2A083DD6"/>
    <w:rsid w:val="2C902FAC"/>
    <w:rsid w:val="2CD1604E"/>
    <w:rsid w:val="2D125B3B"/>
    <w:rsid w:val="2DF23B3A"/>
    <w:rsid w:val="2E3221F1"/>
    <w:rsid w:val="2F2E261F"/>
    <w:rsid w:val="2FBB6098"/>
    <w:rsid w:val="30A35EE8"/>
    <w:rsid w:val="366C1CAA"/>
    <w:rsid w:val="36984BC6"/>
    <w:rsid w:val="37500442"/>
    <w:rsid w:val="377E0D6C"/>
    <w:rsid w:val="39AA00A1"/>
    <w:rsid w:val="3A6D7AA3"/>
    <w:rsid w:val="3AB7434D"/>
    <w:rsid w:val="3AE758E3"/>
    <w:rsid w:val="3C3D0F91"/>
    <w:rsid w:val="3CB42FBC"/>
    <w:rsid w:val="3D421874"/>
    <w:rsid w:val="3FAE27E0"/>
    <w:rsid w:val="4065700E"/>
    <w:rsid w:val="409D023C"/>
    <w:rsid w:val="40D20710"/>
    <w:rsid w:val="41082E37"/>
    <w:rsid w:val="43EC7836"/>
    <w:rsid w:val="43F95406"/>
    <w:rsid w:val="46001224"/>
    <w:rsid w:val="46185A22"/>
    <w:rsid w:val="46694E0A"/>
    <w:rsid w:val="48FA51FF"/>
    <w:rsid w:val="495F11DC"/>
    <w:rsid w:val="4B49722A"/>
    <w:rsid w:val="4C171548"/>
    <w:rsid w:val="4C26538F"/>
    <w:rsid w:val="4CA57F02"/>
    <w:rsid w:val="4CB64161"/>
    <w:rsid w:val="4CE1117D"/>
    <w:rsid w:val="4CF72FBB"/>
    <w:rsid w:val="4DF47F06"/>
    <w:rsid w:val="4EF14F2E"/>
    <w:rsid w:val="514E550E"/>
    <w:rsid w:val="51EB245F"/>
    <w:rsid w:val="52927C71"/>
    <w:rsid w:val="546A6B4E"/>
    <w:rsid w:val="54C20F64"/>
    <w:rsid w:val="56C3602A"/>
    <w:rsid w:val="58172C3D"/>
    <w:rsid w:val="595641ED"/>
    <w:rsid w:val="59724B83"/>
    <w:rsid w:val="59966D6B"/>
    <w:rsid w:val="5ADD65F8"/>
    <w:rsid w:val="5F7E2EDB"/>
    <w:rsid w:val="5FD328B5"/>
    <w:rsid w:val="60BD3B38"/>
    <w:rsid w:val="618C27AD"/>
    <w:rsid w:val="63E47C76"/>
    <w:rsid w:val="657D20FB"/>
    <w:rsid w:val="66BC2150"/>
    <w:rsid w:val="67446E9E"/>
    <w:rsid w:val="688930F4"/>
    <w:rsid w:val="69004F74"/>
    <w:rsid w:val="6A1946E4"/>
    <w:rsid w:val="6A3606DC"/>
    <w:rsid w:val="6A53692E"/>
    <w:rsid w:val="6AE01D10"/>
    <w:rsid w:val="6AEC26B6"/>
    <w:rsid w:val="6B146865"/>
    <w:rsid w:val="6BEC7F09"/>
    <w:rsid w:val="6DC777C7"/>
    <w:rsid w:val="6EEA4A23"/>
    <w:rsid w:val="6F826EAC"/>
    <w:rsid w:val="6FCC5F73"/>
    <w:rsid w:val="70615BB9"/>
    <w:rsid w:val="728169C4"/>
    <w:rsid w:val="72D30CAA"/>
    <w:rsid w:val="737F118B"/>
    <w:rsid w:val="73C70887"/>
    <w:rsid w:val="740143AD"/>
    <w:rsid w:val="746272B0"/>
    <w:rsid w:val="754E0102"/>
    <w:rsid w:val="7661536F"/>
    <w:rsid w:val="766203EA"/>
    <w:rsid w:val="77E90794"/>
    <w:rsid w:val="79332C4B"/>
    <w:rsid w:val="7969352B"/>
    <w:rsid w:val="7A6F7457"/>
    <w:rsid w:val="7A8D5114"/>
    <w:rsid w:val="7C0D6B80"/>
    <w:rsid w:val="7C1F1589"/>
    <w:rsid w:val="7C8F5984"/>
    <w:rsid w:val="7D4C31C1"/>
    <w:rsid w:val="7E2C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numPr>
        <w:ilvl w:val="3"/>
        <w:numId w:val="1"/>
      </w:numPr>
      <w:tabs>
        <w:tab w:val="left" w:pos="1079"/>
        <w:tab w:val="clear" w:pos="1440"/>
      </w:tabs>
      <w:spacing w:before="280" w:beforeLines="0" w:after="156" w:afterLines="50" w:line="377" w:lineRule="auto"/>
      <w:ind w:left="1077" w:hanging="1077"/>
      <w:outlineLvl w:val="3"/>
    </w:pPr>
    <w:rPr>
      <w:rFonts w:ascii="Arial" w:hAnsi="Arial" w:eastAsia="黑体" w:cs="Times New Roman"/>
      <w:color w:val="auto"/>
      <w:spacing w:val="10"/>
      <w:sz w:val="28"/>
      <w:szCs w:val="28"/>
    </w:rPr>
  </w:style>
  <w:style w:type="character" w:default="1" w:styleId="2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7">
    <w:name w:val="Body Text First Indent"/>
    <w:basedOn w:val="8"/>
    <w:next w:val="9"/>
    <w:qFormat/>
    <w:uiPriority w:val="0"/>
    <w:pPr>
      <w:autoSpaceDE w:val="0"/>
      <w:autoSpaceDN w:val="0"/>
      <w:adjustRightInd w:val="0"/>
      <w:spacing w:after="0"/>
      <w:jc w:val="left"/>
    </w:pPr>
    <w:rPr>
      <w:kern w:val="0"/>
      <w:szCs w:val="20"/>
    </w:rPr>
  </w:style>
  <w:style w:type="paragraph" w:styleId="8">
    <w:name w:val="Body Text"/>
    <w:basedOn w:val="1"/>
    <w:next w:val="1"/>
    <w:qFormat/>
    <w:uiPriority w:val="0"/>
    <w:pPr>
      <w:spacing w:after="120"/>
    </w:pPr>
    <w:rPr>
      <w:rFonts w:ascii="Times New Roman" w:hAnsi="Times New Roman"/>
      <w:sz w:val="28"/>
      <w:szCs w:val="24"/>
      <w:lang w:val="zh-CN"/>
    </w:rPr>
  </w:style>
  <w:style w:type="paragraph" w:styleId="9">
    <w:name w:val="Body Text First Indent 2"/>
    <w:basedOn w:val="10"/>
    <w:next w:val="1"/>
    <w:qFormat/>
    <w:uiPriority w:val="0"/>
    <w:pPr>
      <w:spacing w:after="120" w:line="240" w:lineRule="auto"/>
      <w:ind w:left="420" w:leftChars="200" w:firstLine="420"/>
    </w:pPr>
    <w:rPr>
      <w:rFonts w:cs="宋体"/>
      <w:sz w:val="21"/>
      <w:szCs w:val="21"/>
    </w:rPr>
  </w:style>
  <w:style w:type="paragraph" w:styleId="10">
    <w:name w:val="Body Text Indent"/>
    <w:basedOn w:val="1"/>
    <w:next w:val="11"/>
    <w:qFormat/>
    <w:uiPriority w:val="0"/>
    <w:pPr>
      <w:spacing w:line="200" w:lineRule="exact"/>
      <w:ind w:firstLine="301"/>
    </w:pPr>
    <w:rPr>
      <w:rFonts w:ascii="宋体" w:hAnsi="Courier New"/>
      <w:spacing w:val="-4"/>
      <w:sz w:val="18"/>
      <w:szCs w:val="20"/>
      <w:lang w:val="zh-CN"/>
    </w:rPr>
  </w:style>
  <w:style w:type="paragraph" w:styleId="11">
    <w:name w:val="envelope return"/>
    <w:basedOn w:val="1"/>
    <w:qFormat/>
    <w:uiPriority w:val="0"/>
    <w:pPr>
      <w:snapToGrid w:val="0"/>
    </w:pPr>
    <w:rPr>
      <w:rFonts w:ascii="Arial" w:hAnsi="Arial"/>
    </w:rPr>
  </w:style>
  <w:style w:type="paragraph" w:styleId="12">
    <w:name w:val="Normal Indent"/>
    <w:basedOn w:val="1"/>
    <w:next w:val="1"/>
    <w:unhideWhenUsed/>
    <w:qFormat/>
    <w:uiPriority w:val="0"/>
    <w:pPr>
      <w:ind w:firstLine="420" w:firstLineChars="200"/>
    </w:pPr>
  </w:style>
  <w:style w:type="paragraph" w:styleId="13">
    <w:name w:val="index 6"/>
    <w:basedOn w:val="1"/>
    <w:next w:val="1"/>
    <w:qFormat/>
    <w:uiPriority w:val="0"/>
    <w:pPr>
      <w:ind w:left="2100"/>
    </w:pPr>
  </w:style>
  <w:style w:type="paragraph" w:styleId="14">
    <w:name w:val="toc 3"/>
    <w:basedOn w:val="1"/>
    <w:next w:val="1"/>
    <w:qFormat/>
    <w:uiPriority w:val="0"/>
    <w:pPr>
      <w:ind w:left="420"/>
      <w:jc w:val="left"/>
    </w:pPr>
    <w:rPr>
      <w:i/>
      <w:iCs/>
      <w:sz w:val="20"/>
      <w:szCs w:val="20"/>
    </w:rPr>
  </w:style>
  <w:style w:type="paragraph" w:styleId="15">
    <w:name w:val="Plain Text"/>
    <w:basedOn w:val="1"/>
    <w:next w:val="1"/>
    <w:qFormat/>
    <w:uiPriority w:val="0"/>
    <w:pPr>
      <w:spacing w:beforeLines="50" w:afterLines="50" w:line="400" w:lineRule="exact"/>
    </w:pPr>
    <w:rPr>
      <w:rFonts w:ascii="宋体" w:hAnsi="Courier New"/>
      <w:sz w:val="24"/>
      <w:szCs w:val="24"/>
      <w:lang w:val="zh-CN"/>
    </w:rPr>
  </w:style>
  <w:style w:type="paragraph" w:styleId="1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8">
    <w:name w:val="Body Text Indent 3"/>
    <w:basedOn w:val="1"/>
    <w:qFormat/>
    <w:uiPriority w:val="0"/>
    <w:pPr>
      <w:snapToGrid w:val="0"/>
      <w:ind w:firstLine="480" w:firstLineChars="200"/>
      <w:jc w:val="left"/>
    </w:pPr>
    <w:rPr>
      <w:rFonts w:ascii="仿宋_GB2312" w:hAnsi="宋体" w:eastAsia="仿宋_GB2312"/>
      <w:color w:val="000000"/>
      <w:sz w:val="24"/>
      <w:szCs w:val="24"/>
      <w:lang w:val="zh-CN"/>
    </w:rPr>
  </w:style>
  <w:style w:type="paragraph" w:styleId="19">
    <w:name w:val="Body Text 2"/>
    <w:basedOn w:val="1"/>
    <w:qFormat/>
    <w:uiPriority w:val="0"/>
    <w:pPr>
      <w:spacing w:after="120" w:line="480" w:lineRule="auto"/>
    </w:pPr>
  </w:style>
  <w:style w:type="paragraph" w:styleId="20">
    <w:name w:val="Normal (Web)"/>
    <w:basedOn w:val="1"/>
    <w:qFormat/>
    <w:uiPriority w:val="0"/>
    <w:pPr>
      <w:widowControl/>
      <w:wordWrap w:val="0"/>
      <w:spacing w:before="100" w:beforeAutospacing="1" w:after="100" w:afterAutospacing="1"/>
      <w:jc w:val="left"/>
    </w:pPr>
    <w:rPr>
      <w:rFonts w:ascii="宋体" w:hAnsi="宋体" w:eastAsia="宋体"/>
      <w:kern w:val="0"/>
      <w:sz w:val="24"/>
      <w:szCs w:val="24"/>
    </w:rPr>
  </w:style>
  <w:style w:type="character" w:styleId="22">
    <w:name w:val="Strong"/>
    <w:basedOn w:val="21"/>
    <w:qFormat/>
    <w:uiPriority w:val="0"/>
    <w:rPr>
      <w:b/>
    </w:rPr>
  </w:style>
  <w:style w:type="character" w:styleId="23">
    <w:name w:val="page number"/>
    <w:basedOn w:val="21"/>
    <w:qFormat/>
    <w:uiPriority w:val="0"/>
  </w:style>
  <w:style w:type="character" w:styleId="24">
    <w:name w:val="Hyperlink"/>
    <w:qFormat/>
    <w:uiPriority w:val="99"/>
    <w:rPr>
      <w:color w:val="0000FF"/>
      <w:u w:val="single"/>
    </w:rPr>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27">
    <w:name w:val="样式1"/>
    <w:basedOn w:val="1"/>
    <w:qFormat/>
    <w:uiPriority w:val="0"/>
    <w:pPr>
      <w:numPr>
        <w:ilvl w:val="0"/>
        <w:numId w:val="2"/>
      </w:numPr>
      <w:tabs>
        <w:tab w:val="left" w:pos="709"/>
        <w:tab w:val="left" w:pos="780"/>
      </w:tabs>
      <w:adjustRightInd w:val="0"/>
      <w:textAlignment w:val="baseline"/>
    </w:pPr>
    <w:rPr>
      <w:rFonts w:ascii="宋体" w:hAnsi="宋体"/>
      <w:kern w:val="0"/>
      <w:szCs w:val="21"/>
    </w:rPr>
  </w:style>
  <w:style w:type="paragraph" w:customStyle="1" w:styleId="28">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 w:type="character" w:customStyle="1" w:styleId="29">
    <w:name w:val="font51"/>
    <w:basedOn w:val="21"/>
    <w:qFormat/>
    <w:uiPriority w:val="0"/>
    <w:rPr>
      <w:rFonts w:hint="eastAsia" w:ascii="宋体" w:hAnsi="宋体" w:eastAsia="宋体" w:cs="宋体"/>
      <w:color w:val="000000"/>
      <w:sz w:val="22"/>
      <w:szCs w:val="22"/>
      <w:u w:val="none"/>
    </w:rPr>
  </w:style>
  <w:style w:type="character" w:customStyle="1" w:styleId="30">
    <w:name w:val="font121"/>
    <w:basedOn w:val="21"/>
    <w:qFormat/>
    <w:uiPriority w:val="0"/>
    <w:rPr>
      <w:rFonts w:hint="eastAsia" w:ascii="宋体" w:hAnsi="宋体" w:eastAsia="宋体" w:cs="宋体"/>
      <w:color w:val="FF0000"/>
      <w:sz w:val="20"/>
      <w:szCs w:val="20"/>
      <w:u w:val="none"/>
    </w:rPr>
  </w:style>
  <w:style w:type="character" w:customStyle="1" w:styleId="31">
    <w:name w:val="font81"/>
    <w:basedOn w:val="21"/>
    <w:qFormat/>
    <w:uiPriority w:val="0"/>
    <w:rPr>
      <w:rFonts w:hint="eastAsia" w:ascii="宋体" w:hAnsi="宋体" w:eastAsia="宋体" w:cs="宋体"/>
      <w:color w:val="000000"/>
      <w:sz w:val="22"/>
      <w:szCs w:val="22"/>
      <w:u w:val="none"/>
    </w:rPr>
  </w:style>
  <w:style w:type="character" w:customStyle="1" w:styleId="32">
    <w:name w:val="font41"/>
    <w:basedOn w:val="21"/>
    <w:qFormat/>
    <w:uiPriority w:val="0"/>
    <w:rPr>
      <w:rFonts w:hint="eastAsia" w:ascii="宋体" w:hAnsi="宋体" w:eastAsia="宋体" w:cs="宋体"/>
      <w:color w:val="000000"/>
      <w:sz w:val="22"/>
      <w:szCs w:val="22"/>
      <w:u w:val="single"/>
    </w:rPr>
  </w:style>
  <w:style w:type="character" w:customStyle="1" w:styleId="33">
    <w:name w:val="font11"/>
    <w:basedOn w:val="21"/>
    <w:qFormat/>
    <w:uiPriority w:val="0"/>
    <w:rPr>
      <w:rFonts w:hint="eastAsia" w:ascii="宋体" w:hAnsi="宋体" w:eastAsia="宋体" w:cs="宋体"/>
      <w:color w:val="000000"/>
      <w:sz w:val="20"/>
      <w:szCs w:val="20"/>
      <w:u w:val="none"/>
    </w:rPr>
  </w:style>
  <w:style w:type="character" w:customStyle="1" w:styleId="34">
    <w:name w:val="font21"/>
    <w:basedOn w:val="21"/>
    <w:qFormat/>
    <w:uiPriority w:val="0"/>
    <w:rPr>
      <w:rFonts w:ascii="仿宋_GB2312" w:eastAsia="仿宋_GB2312" w:cs="仿宋_GB2312"/>
      <w:color w:val="000000"/>
      <w:sz w:val="22"/>
      <w:szCs w:val="22"/>
      <w:u w:val="none"/>
    </w:rPr>
  </w:style>
  <w:style w:type="character" w:customStyle="1" w:styleId="35">
    <w:name w:val="font31"/>
    <w:basedOn w:val="21"/>
    <w:qFormat/>
    <w:uiPriority w:val="0"/>
    <w:rPr>
      <w:rFonts w:hint="eastAsia" w:ascii="宋体" w:hAnsi="宋体" w:eastAsia="宋体" w:cs="宋体"/>
      <w:b/>
      <w:color w:val="000000"/>
      <w:sz w:val="22"/>
      <w:szCs w:val="22"/>
      <w:u w:val="none"/>
    </w:rPr>
  </w:style>
  <w:style w:type="paragraph" w:customStyle="1" w:styleId="36">
    <w:name w:val="采购二级"/>
    <w:qFormat/>
    <w:uiPriority w:val="0"/>
    <w:pPr>
      <w:spacing w:line="560" w:lineRule="exact"/>
      <w:ind w:firstLine="200" w:firstLineChars="200"/>
      <w:jc w:val="both"/>
      <w:outlineLvl w:val="1"/>
    </w:pPr>
    <w:rPr>
      <w:rFonts w:ascii="仿宋" w:hAnsi="仿宋" w:eastAsia="仿宋" w:cs="Times New Roman"/>
      <w:b/>
      <w:kern w:val="2"/>
      <w:sz w:val="28"/>
      <w:szCs w:val="32"/>
      <w:lang w:val="en-US" w:eastAsia="zh-CN" w:bidi="ar-SA"/>
    </w:rPr>
  </w:style>
  <w:style w:type="paragraph" w:customStyle="1" w:styleId="37">
    <w:name w:val="_Style 1"/>
    <w:basedOn w:val="1"/>
    <w:qFormat/>
    <w:uiPriority w:val="34"/>
    <w:pPr>
      <w:ind w:firstLine="420" w:firstLineChars="200"/>
    </w:pPr>
    <w:rPr>
      <w:szCs w:val="24"/>
    </w:rPr>
  </w:style>
  <w:style w:type="paragraph" w:customStyle="1" w:styleId="38">
    <w:name w:val="p1"/>
    <w:basedOn w:val="1"/>
    <w:qFormat/>
    <w:uiPriority w:val="0"/>
    <w:pPr>
      <w:spacing w:before="0" w:beforeAutospacing="0" w:after="0" w:afterAutospacing="0" w:line="532" w:lineRule="atLeast"/>
      <w:ind w:left="0" w:right="0"/>
      <w:jc w:val="both"/>
    </w:pPr>
    <w:rPr>
      <w:rFonts w:ascii="songti sc" w:hAnsi="songti sc" w:eastAsia="songti sc" w:cs="songti sc"/>
      <w:color w:val="000000"/>
      <w:kern w:val="0"/>
      <w:sz w:val="28"/>
      <w:szCs w:val="28"/>
      <w:lang w:val="en-US" w:eastAsia="zh-CN" w:bidi="ar"/>
    </w:rPr>
  </w:style>
  <w:style w:type="paragraph" w:customStyle="1" w:styleId="39">
    <w:name w:val="正文缩进1"/>
    <w:basedOn w:val="1"/>
    <w:qFormat/>
    <w:uiPriority w:val="0"/>
    <w:pPr>
      <w:ind w:firstLine="420"/>
    </w:pPr>
    <w:rPr>
      <w:szCs w:val="20"/>
    </w:rPr>
  </w:style>
  <w:style w:type="paragraph" w:customStyle="1" w:styleId="40">
    <w:name w:val="文档正文"/>
    <w:basedOn w:val="12"/>
    <w:qFormat/>
    <w:uiPriority w:val="0"/>
    <w:pPr>
      <w:spacing w:line="480" w:lineRule="atLeast"/>
      <w:textAlignment w:val="baseline"/>
    </w:pPr>
    <w:rPr>
      <w:kern w:val="0"/>
      <w:sz w:val="24"/>
    </w:rPr>
  </w:style>
  <w:style w:type="paragraph" w:customStyle="1" w:styleId="4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2">
    <w:name w:val="font61"/>
    <w:basedOn w:val="21"/>
    <w:qFormat/>
    <w:uiPriority w:val="0"/>
    <w:rPr>
      <w:rFonts w:hint="eastAsia" w:ascii="宋体" w:hAnsi="宋体" w:eastAsia="宋体" w:cs="宋体"/>
      <w:color w:val="000000"/>
      <w:sz w:val="22"/>
      <w:szCs w:val="22"/>
      <w:u w:val="single"/>
    </w:rPr>
  </w:style>
  <w:style w:type="paragraph" w:customStyle="1" w:styleId="4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58054</Words>
  <Characters>64026</Characters>
  <Lines>318</Lines>
  <Paragraphs>89</Paragraphs>
  <TotalTime>128</TotalTime>
  <ScaleCrop>false</ScaleCrop>
  <LinksUpToDate>false</LinksUpToDate>
  <CharactersWithSpaces>68286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2022-04-27T06:18:00Z</dcterms:created>
  <dc:creator>Administrator</dc:creator>
  <cp:lastModifiedBy>Administrator</cp:lastModifiedBy>
  <dcterms:modified xsi:type="dcterms:W3CDTF">2023-06-19T04:54:50Z</dcterms:modified>
  <dc:title>     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930C586967A14915B00B03052B26F068</vt:lpwstr>
  </property>
</Properties>
</file>