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仿宋" w:hAnsi="仿宋" w:eastAsia="仿宋" w:cs="Times New Roman"/>
          <w:sz w:val="24"/>
          <w:szCs w:val="24"/>
        </w:rPr>
      </w:pPr>
    </w:p>
    <w:p>
      <w:pPr>
        <w:spacing w:line="360" w:lineRule="auto"/>
        <w:jc w:val="both"/>
        <w:rPr>
          <w:rFonts w:ascii="仿宋" w:hAnsi="仿宋" w:eastAsia="仿宋" w:cs="Times New Roman"/>
          <w:sz w:val="24"/>
          <w:szCs w:val="24"/>
          <w:lang w:eastAsia="zh-CN"/>
        </w:rPr>
      </w:pPr>
    </w:p>
    <w:p>
      <w:pPr>
        <w:spacing w:line="360" w:lineRule="auto"/>
        <w:jc w:val="both"/>
        <w:rPr>
          <w:rFonts w:ascii="仿宋" w:hAnsi="仿宋" w:eastAsia="仿宋" w:cs="Times New Roman"/>
          <w:sz w:val="24"/>
          <w:szCs w:val="24"/>
          <w:lang w:eastAsia="zh-CN"/>
        </w:rPr>
      </w:pPr>
    </w:p>
    <w:p>
      <w:pPr>
        <w:spacing w:line="360" w:lineRule="auto"/>
        <w:jc w:val="both"/>
        <w:rPr>
          <w:rFonts w:ascii="仿宋" w:hAnsi="仿宋" w:eastAsia="仿宋" w:cs="Times New Roman"/>
          <w:sz w:val="24"/>
          <w:szCs w:val="24"/>
          <w:lang w:eastAsia="zh-CN"/>
        </w:rPr>
      </w:pPr>
    </w:p>
    <w:p>
      <w:pPr>
        <w:spacing w:line="360" w:lineRule="auto"/>
        <w:jc w:val="center"/>
        <w:rPr>
          <w:rFonts w:ascii="仿宋" w:hAnsi="仿宋" w:eastAsia="仿宋" w:cs="仿宋"/>
          <w:sz w:val="84"/>
          <w:szCs w:val="84"/>
          <w:lang w:eastAsia="zh-CN"/>
        </w:rPr>
      </w:pPr>
      <w:r>
        <w:rPr>
          <w:rFonts w:ascii="仿宋" w:hAnsi="仿宋" w:eastAsia="仿宋" w:cs="仿宋"/>
          <w:sz w:val="84"/>
          <w:szCs w:val="84"/>
          <w:lang w:eastAsia="zh-CN"/>
        </w:rPr>
        <w:t>公开招标文件</w:t>
      </w:r>
    </w:p>
    <w:p>
      <w:pPr>
        <w:spacing w:line="360" w:lineRule="auto"/>
        <w:jc w:val="both"/>
        <w:rPr>
          <w:rFonts w:ascii="仿宋" w:hAnsi="仿宋" w:eastAsia="仿宋" w:cs="Times New Roman"/>
          <w:sz w:val="24"/>
          <w:szCs w:val="24"/>
          <w:lang w:eastAsia="zh-CN"/>
        </w:rPr>
      </w:pPr>
    </w:p>
    <w:p>
      <w:pPr>
        <w:pStyle w:val="40"/>
        <w:rPr>
          <w:rFonts w:ascii="仿宋" w:hAnsi="仿宋" w:eastAsia="仿宋" w:cs="Times New Roman"/>
          <w:sz w:val="24"/>
          <w:szCs w:val="24"/>
          <w:lang w:eastAsia="zh-CN"/>
        </w:rPr>
      </w:pPr>
    </w:p>
    <w:p>
      <w:pPr>
        <w:rPr>
          <w:rFonts w:ascii="仿宋" w:hAnsi="仿宋" w:eastAsia="仿宋" w:cs="Times New Roman"/>
          <w:sz w:val="24"/>
          <w:szCs w:val="24"/>
          <w:lang w:eastAsia="zh-CN"/>
        </w:rPr>
      </w:pPr>
    </w:p>
    <w:p>
      <w:pPr>
        <w:pStyle w:val="40"/>
        <w:rPr>
          <w:rFonts w:ascii="仿宋" w:hAnsi="仿宋" w:eastAsia="仿宋" w:cs="Times New Roman"/>
          <w:sz w:val="24"/>
          <w:szCs w:val="24"/>
          <w:lang w:eastAsia="zh-CN"/>
        </w:rPr>
      </w:pPr>
    </w:p>
    <w:p>
      <w:pPr>
        <w:rPr>
          <w:lang w:eastAsia="zh-CN"/>
        </w:rPr>
      </w:pPr>
    </w:p>
    <w:p>
      <w:pPr>
        <w:keepNext w:val="0"/>
        <w:keepLines w:val="0"/>
        <w:pageBreakBefore w:val="0"/>
        <w:widowControl w:val="0"/>
        <w:kinsoku/>
        <w:wordWrap/>
        <w:overflowPunct/>
        <w:topLinePunct w:val="0"/>
        <w:autoSpaceDE w:val="0"/>
        <w:autoSpaceDN w:val="0"/>
        <w:bidi w:val="0"/>
        <w:adjustRightInd/>
        <w:snapToGrid/>
        <w:spacing w:line="760" w:lineRule="exact"/>
        <w:ind w:firstLine="602" w:firstLineChars="200"/>
        <w:textAlignment w:val="auto"/>
        <w:rPr>
          <w:rFonts w:hint="eastAsia"/>
          <w:b/>
          <w:bCs/>
          <w:color w:val="auto"/>
          <w:sz w:val="30"/>
          <w:szCs w:val="30"/>
          <w:lang w:val="zh-CN" w:eastAsia="zh-CN"/>
        </w:rPr>
      </w:pPr>
      <w:r>
        <w:rPr>
          <w:rFonts w:hint="eastAsia"/>
          <w:b/>
          <w:bCs/>
          <w:color w:val="auto"/>
          <w:sz w:val="30"/>
          <w:szCs w:val="30"/>
          <w:lang w:val="zh-CN"/>
        </w:rPr>
        <w:t>项目名称：</w:t>
      </w:r>
      <w:r>
        <w:rPr>
          <w:rFonts w:hint="eastAsia"/>
          <w:b/>
          <w:bCs/>
          <w:color w:val="auto"/>
          <w:sz w:val="30"/>
          <w:szCs w:val="30"/>
          <w:lang w:val="zh-CN" w:eastAsia="zh-CN"/>
        </w:rPr>
        <w:t>玛纳斯县域医共体信息化建设项目</w:t>
      </w:r>
    </w:p>
    <w:p>
      <w:pPr>
        <w:keepNext w:val="0"/>
        <w:keepLines w:val="0"/>
        <w:pageBreakBefore w:val="0"/>
        <w:widowControl w:val="0"/>
        <w:kinsoku/>
        <w:wordWrap/>
        <w:overflowPunct/>
        <w:topLinePunct w:val="0"/>
        <w:autoSpaceDE w:val="0"/>
        <w:autoSpaceDN w:val="0"/>
        <w:bidi w:val="0"/>
        <w:snapToGrid/>
        <w:spacing w:line="800" w:lineRule="exact"/>
        <w:ind w:firstLine="602" w:firstLineChars="200"/>
        <w:rPr>
          <w:rFonts w:hint="eastAsia" w:asciiTheme="minorEastAsia" w:hAnsiTheme="minorEastAsia" w:eastAsiaTheme="minorEastAsia" w:cstheme="minorEastAsia"/>
          <w:b/>
          <w:bCs/>
          <w:color w:val="auto"/>
          <w:sz w:val="30"/>
          <w:szCs w:val="30"/>
          <w:lang w:val="en-US" w:eastAsia="zh-CN"/>
        </w:rPr>
      </w:pPr>
      <w:r>
        <w:rPr>
          <w:rFonts w:hint="eastAsia"/>
          <w:b/>
          <w:bCs/>
          <w:color w:val="auto"/>
          <w:sz w:val="30"/>
          <w:szCs w:val="30"/>
          <w:lang w:val="zh-CN"/>
        </w:rPr>
        <w:t>项目编号：</w:t>
      </w:r>
      <w:r>
        <w:rPr>
          <w:rFonts w:hint="eastAsia" w:asciiTheme="minorEastAsia" w:hAnsiTheme="minorEastAsia" w:eastAsiaTheme="minorEastAsia" w:cstheme="minorEastAsia"/>
          <w:b/>
          <w:bCs/>
          <w:color w:val="auto"/>
          <w:sz w:val="30"/>
          <w:szCs w:val="30"/>
          <w:lang w:val="zh-CN" w:eastAsia="zh-CN"/>
        </w:rPr>
        <w:t>MNSXCG2023-</w:t>
      </w:r>
      <w:r>
        <w:rPr>
          <w:rFonts w:hint="eastAsia" w:asciiTheme="minorEastAsia" w:hAnsiTheme="minorEastAsia" w:eastAsiaTheme="minorEastAsia" w:cstheme="minorEastAsia"/>
          <w:b/>
          <w:bCs/>
          <w:color w:val="auto"/>
          <w:sz w:val="30"/>
          <w:szCs w:val="30"/>
          <w:lang w:val="en-US" w:eastAsia="zh-CN"/>
        </w:rPr>
        <w:t>013</w:t>
      </w:r>
    </w:p>
    <w:p>
      <w:pPr>
        <w:keepNext w:val="0"/>
        <w:keepLines w:val="0"/>
        <w:pageBreakBefore w:val="0"/>
        <w:widowControl w:val="0"/>
        <w:kinsoku/>
        <w:wordWrap/>
        <w:overflowPunct/>
        <w:topLinePunct w:val="0"/>
        <w:autoSpaceDE w:val="0"/>
        <w:autoSpaceDN w:val="0"/>
        <w:bidi w:val="0"/>
        <w:snapToGrid/>
        <w:spacing w:line="800" w:lineRule="exact"/>
        <w:ind w:firstLine="602" w:firstLineChars="200"/>
        <w:rPr>
          <w:rFonts w:hint="eastAsia"/>
          <w:b/>
          <w:bCs/>
          <w:color w:val="auto"/>
          <w:sz w:val="30"/>
          <w:szCs w:val="30"/>
          <w:lang w:val="zh-CN"/>
        </w:rPr>
      </w:pPr>
      <w:r>
        <w:rPr>
          <w:rFonts w:hint="eastAsia"/>
          <w:b/>
          <w:bCs/>
          <w:color w:val="auto"/>
          <w:sz w:val="30"/>
          <w:szCs w:val="30"/>
          <w:lang w:val="zh-CN"/>
        </w:rPr>
        <w:t>采购 人：玛纳斯县人民医院</w:t>
      </w:r>
    </w:p>
    <w:p>
      <w:pPr>
        <w:keepNext w:val="0"/>
        <w:keepLines w:val="0"/>
        <w:pageBreakBefore w:val="0"/>
        <w:widowControl w:val="0"/>
        <w:kinsoku/>
        <w:wordWrap/>
        <w:overflowPunct/>
        <w:topLinePunct w:val="0"/>
        <w:autoSpaceDE w:val="0"/>
        <w:autoSpaceDN w:val="0"/>
        <w:bidi w:val="0"/>
        <w:snapToGrid/>
        <w:spacing w:line="800" w:lineRule="exact"/>
        <w:ind w:firstLine="602" w:firstLineChars="200"/>
        <w:rPr>
          <w:rFonts w:hint="eastAsia" w:eastAsiaTheme="minorEastAsia"/>
          <w:b/>
          <w:bCs/>
          <w:color w:val="auto"/>
          <w:sz w:val="30"/>
          <w:szCs w:val="30"/>
          <w:lang w:val="en-US" w:eastAsia="zh-CN"/>
        </w:rPr>
      </w:pPr>
      <w:r>
        <w:rPr>
          <w:rFonts w:hint="eastAsia"/>
          <w:b/>
          <w:bCs/>
          <w:color w:val="auto"/>
          <w:sz w:val="30"/>
          <w:szCs w:val="30"/>
          <w:lang w:val="zh-CN"/>
        </w:rPr>
        <w:t xml:space="preserve">联 系 人: </w:t>
      </w:r>
      <w:r>
        <w:rPr>
          <w:rFonts w:hint="eastAsia"/>
          <w:b/>
          <w:bCs/>
          <w:color w:val="auto"/>
          <w:sz w:val="30"/>
          <w:szCs w:val="30"/>
          <w:lang w:val="zh-CN" w:eastAsia="zh-CN"/>
        </w:rPr>
        <w:t>丁梓曦</w:t>
      </w:r>
    </w:p>
    <w:p>
      <w:pPr>
        <w:keepNext w:val="0"/>
        <w:keepLines w:val="0"/>
        <w:pageBreakBefore w:val="0"/>
        <w:widowControl w:val="0"/>
        <w:kinsoku/>
        <w:wordWrap/>
        <w:overflowPunct/>
        <w:topLinePunct w:val="0"/>
        <w:autoSpaceDE w:val="0"/>
        <w:autoSpaceDN w:val="0"/>
        <w:bidi w:val="0"/>
        <w:snapToGrid/>
        <w:spacing w:line="800" w:lineRule="exact"/>
        <w:ind w:firstLine="602" w:firstLineChars="200"/>
        <w:rPr>
          <w:rFonts w:hint="default"/>
          <w:b/>
          <w:bCs/>
          <w:color w:val="auto"/>
          <w:sz w:val="30"/>
          <w:szCs w:val="30"/>
          <w:lang w:val="en-US" w:eastAsia="zh-CN"/>
        </w:rPr>
      </w:pPr>
      <w:r>
        <w:rPr>
          <w:rFonts w:hint="eastAsia"/>
          <w:b/>
          <w:bCs/>
          <w:color w:val="auto"/>
          <w:sz w:val="30"/>
          <w:szCs w:val="30"/>
          <w:lang w:val="zh-CN"/>
        </w:rPr>
        <w:t>联系电话:</w:t>
      </w:r>
      <w:r>
        <w:rPr>
          <w:rFonts w:hint="eastAsia" w:asciiTheme="minorEastAsia" w:hAnsiTheme="minorEastAsia" w:eastAsiaTheme="minorEastAsia" w:cstheme="minorEastAsia"/>
          <w:b/>
          <w:bCs/>
          <w:color w:val="auto"/>
          <w:sz w:val="30"/>
          <w:szCs w:val="30"/>
          <w:lang w:val="en-US" w:eastAsia="zh-CN"/>
        </w:rPr>
        <w:t>15001650166</w:t>
      </w:r>
    </w:p>
    <w:p>
      <w:pPr>
        <w:keepNext w:val="0"/>
        <w:keepLines w:val="0"/>
        <w:pageBreakBefore w:val="0"/>
        <w:widowControl w:val="0"/>
        <w:kinsoku/>
        <w:wordWrap/>
        <w:overflowPunct/>
        <w:topLinePunct w:val="0"/>
        <w:autoSpaceDE w:val="0"/>
        <w:autoSpaceDN w:val="0"/>
        <w:bidi w:val="0"/>
        <w:snapToGrid/>
        <w:spacing w:line="800" w:lineRule="exact"/>
        <w:ind w:firstLine="602" w:firstLineChars="200"/>
        <w:rPr>
          <w:b/>
          <w:bCs/>
          <w:sz w:val="30"/>
          <w:szCs w:val="30"/>
        </w:rPr>
      </w:pPr>
      <w:r>
        <w:rPr>
          <w:rFonts w:hint="eastAsia"/>
          <w:b/>
          <w:bCs/>
          <w:sz w:val="30"/>
          <w:szCs w:val="30"/>
          <w:lang w:val="zh-CN"/>
        </w:rPr>
        <w:t>代理机构：玛纳斯县政务服务</w:t>
      </w:r>
      <w:r>
        <w:rPr>
          <w:rFonts w:hint="eastAsia"/>
          <w:b/>
          <w:bCs/>
          <w:sz w:val="30"/>
          <w:szCs w:val="30"/>
        </w:rPr>
        <w:t>和公共资源交易管理中心</w:t>
      </w:r>
    </w:p>
    <w:p>
      <w:pPr>
        <w:keepNext w:val="0"/>
        <w:keepLines w:val="0"/>
        <w:pageBreakBefore w:val="0"/>
        <w:widowControl w:val="0"/>
        <w:kinsoku/>
        <w:wordWrap/>
        <w:overflowPunct/>
        <w:topLinePunct w:val="0"/>
        <w:autoSpaceDE w:val="0"/>
        <w:autoSpaceDN w:val="0"/>
        <w:bidi w:val="0"/>
        <w:snapToGrid/>
        <w:spacing w:line="800" w:lineRule="exact"/>
        <w:ind w:firstLine="602" w:firstLineChars="200"/>
        <w:rPr>
          <w:b/>
          <w:bCs/>
          <w:sz w:val="30"/>
          <w:szCs w:val="30"/>
          <w:lang w:val="zh-CN"/>
        </w:rPr>
      </w:pPr>
      <w:r>
        <w:rPr>
          <w:rFonts w:hint="eastAsia"/>
          <w:b/>
          <w:bCs/>
          <w:sz w:val="30"/>
          <w:szCs w:val="30"/>
          <w:lang w:val="zh-CN"/>
        </w:rPr>
        <w:t>联 系 人：巴雅斯拉、兰艳</w:t>
      </w:r>
    </w:p>
    <w:p>
      <w:pPr>
        <w:keepNext w:val="0"/>
        <w:keepLines w:val="0"/>
        <w:pageBreakBefore w:val="0"/>
        <w:widowControl w:val="0"/>
        <w:kinsoku/>
        <w:wordWrap/>
        <w:overflowPunct/>
        <w:topLinePunct w:val="0"/>
        <w:autoSpaceDE w:val="0"/>
        <w:autoSpaceDN w:val="0"/>
        <w:bidi w:val="0"/>
        <w:snapToGrid/>
        <w:spacing w:line="800" w:lineRule="exact"/>
        <w:ind w:firstLine="602" w:firstLineChars="200"/>
        <w:rPr>
          <w:rFonts w:hint="default" w:eastAsia="宋体"/>
          <w:b/>
          <w:bCs/>
          <w:sz w:val="30"/>
          <w:szCs w:val="30"/>
          <w:lang w:val="en-US" w:eastAsia="zh-CN"/>
        </w:rPr>
      </w:pPr>
      <w:r>
        <w:rPr>
          <w:rFonts w:hint="eastAsia"/>
          <w:b/>
          <w:bCs/>
          <w:sz w:val="30"/>
          <w:szCs w:val="30"/>
          <w:lang w:val="zh-CN"/>
        </w:rPr>
        <w:t>联系电话：</w:t>
      </w:r>
      <w:r>
        <w:rPr>
          <w:rFonts w:hint="eastAsia" w:ascii="宋体" w:hAnsi="宋体" w:eastAsia="宋体" w:cs="宋体"/>
          <w:b/>
          <w:bCs/>
          <w:sz w:val="30"/>
          <w:szCs w:val="30"/>
          <w:lang w:val="zh-CN"/>
        </w:rPr>
        <w:t>0994-</w:t>
      </w:r>
      <w:r>
        <w:rPr>
          <w:rFonts w:hint="eastAsia" w:ascii="宋体" w:hAnsi="宋体" w:eastAsia="宋体" w:cs="宋体"/>
          <w:b/>
          <w:bCs/>
          <w:sz w:val="30"/>
          <w:szCs w:val="30"/>
          <w:lang w:val="en-US" w:eastAsia="zh-CN"/>
        </w:rPr>
        <w:t>6300063</w:t>
      </w:r>
    </w:p>
    <w:p>
      <w:pPr>
        <w:spacing w:line="580" w:lineRule="exact"/>
        <w:jc w:val="both"/>
        <w:rPr>
          <w:rFonts w:ascii="宋体" w:hAnsi="宋体" w:cs="宋体"/>
          <w:b/>
          <w:bCs/>
          <w:caps/>
          <w:color w:val="000000"/>
          <w:kern w:val="0"/>
          <w:sz w:val="28"/>
          <w:szCs w:val="28"/>
          <w:lang w:val="zh-CN"/>
        </w:rPr>
      </w:pPr>
    </w:p>
    <w:p>
      <w:pPr>
        <w:spacing w:line="580" w:lineRule="exact"/>
        <w:ind w:firstLine="562" w:firstLineChars="200"/>
        <w:jc w:val="center"/>
        <w:rPr>
          <w:rFonts w:ascii="宋体" w:hAnsi="宋体" w:cs="宋体"/>
          <w:b/>
          <w:bCs/>
          <w:caps/>
          <w:color w:val="000000"/>
          <w:kern w:val="0"/>
          <w:sz w:val="28"/>
          <w:szCs w:val="28"/>
          <w:lang w:val="zh-CN"/>
        </w:rPr>
      </w:pPr>
      <w:r>
        <w:rPr>
          <w:rFonts w:hint="eastAsia" w:ascii="宋体" w:hAnsi="宋体" w:cs="宋体"/>
          <w:b/>
          <w:bCs/>
          <w:caps/>
          <w:color w:val="000000"/>
          <w:kern w:val="0"/>
          <w:sz w:val="28"/>
          <w:szCs w:val="28"/>
          <w:lang w:val="zh-CN"/>
        </w:rPr>
        <w:t>20</w:t>
      </w:r>
      <w:r>
        <w:rPr>
          <w:rFonts w:hint="eastAsia" w:ascii="宋体" w:hAnsi="宋体" w:cs="宋体"/>
          <w:b/>
          <w:bCs/>
          <w:caps/>
          <w:color w:val="000000"/>
          <w:kern w:val="0"/>
          <w:sz w:val="28"/>
          <w:szCs w:val="28"/>
        </w:rPr>
        <w:t>23</w:t>
      </w:r>
      <w:r>
        <w:rPr>
          <w:rFonts w:hint="eastAsia" w:ascii="宋体" w:hAnsi="宋体" w:cs="宋体"/>
          <w:b/>
          <w:bCs/>
          <w:caps/>
          <w:color w:val="000000"/>
          <w:kern w:val="0"/>
          <w:sz w:val="28"/>
          <w:szCs w:val="28"/>
          <w:lang w:val="zh-CN"/>
        </w:rPr>
        <w:t>年</w:t>
      </w:r>
      <w:r>
        <w:rPr>
          <w:rFonts w:hint="eastAsia" w:ascii="宋体" w:hAnsi="宋体" w:cs="宋体"/>
          <w:b/>
          <w:bCs/>
          <w:caps/>
          <w:color w:val="000000"/>
          <w:kern w:val="0"/>
          <w:sz w:val="28"/>
          <w:szCs w:val="28"/>
        </w:rPr>
        <w:t xml:space="preserve"> </w:t>
      </w:r>
      <w:r>
        <w:rPr>
          <w:rFonts w:hint="eastAsia" w:ascii="宋体" w:hAnsi="宋体" w:cs="宋体"/>
          <w:b/>
          <w:bCs/>
          <w:caps/>
          <w:color w:val="000000"/>
          <w:kern w:val="0"/>
          <w:sz w:val="28"/>
          <w:szCs w:val="28"/>
          <w:lang w:val="en-US" w:eastAsia="zh-CN"/>
        </w:rPr>
        <w:t>10</w:t>
      </w:r>
      <w:r>
        <w:rPr>
          <w:rFonts w:hint="eastAsia" w:ascii="宋体" w:hAnsi="宋体" w:cs="宋体"/>
          <w:b/>
          <w:bCs/>
          <w:caps/>
          <w:color w:val="000000"/>
          <w:kern w:val="0"/>
          <w:sz w:val="28"/>
          <w:szCs w:val="28"/>
          <w:lang w:val="zh-CN"/>
        </w:rPr>
        <w:t>月</w:t>
      </w:r>
    </w:p>
    <w:p>
      <w:pPr>
        <w:pStyle w:val="2"/>
      </w:pPr>
    </w:p>
    <w:p>
      <w:pPr>
        <w:spacing w:line="360" w:lineRule="auto"/>
        <w:jc w:val="both"/>
        <w:rPr>
          <w:rFonts w:ascii="仿宋" w:hAnsi="仿宋" w:eastAsia="仿宋" w:cs="Times New Roman"/>
          <w:sz w:val="24"/>
          <w:szCs w:val="24"/>
          <w:lang w:eastAsia="zh-CN"/>
        </w:rPr>
      </w:pPr>
    </w:p>
    <w:p>
      <w:pPr>
        <w:spacing w:line="360" w:lineRule="auto"/>
        <w:jc w:val="both"/>
        <w:rPr>
          <w:rFonts w:ascii="仿宋" w:hAnsi="仿宋" w:eastAsia="仿宋" w:cs="Times New Roman"/>
          <w:sz w:val="24"/>
          <w:szCs w:val="24"/>
          <w:lang w:eastAsia="zh-CN"/>
        </w:rPr>
      </w:pPr>
    </w:p>
    <w:p>
      <w:pPr>
        <w:spacing w:line="360" w:lineRule="auto"/>
        <w:jc w:val="both"/>
        <w:rPr>
          <w:rFonts w:ascii="仿宋" w:hAnsi="仿宋" w:eastAsia="仿宋" w:cs="Times New Roman"/>
          <w:sz w:val="24"/>
          <w:szCs w:val="24"/>
          <w:lang w:eastAsia="zh-CN"/>
        </w:rPr>
      </w:pPr>
    </w:p>
    <w:p>
      <w:pPr>
        <w:spacing w:line="240" w:lineRule="auto"/>
        <w:jc w:val="center"/>
        <w:rPr>
          <w:rFonts w:ascii="仿宋" w:hAnsi="仿宋" w:eastAsia="仿宋" w:cs="Times New Roman"/>
          <w:sz w:val="24"/>
          <w:szCs w:val="24"/>
          <w:lang w:eastAsia="zh-CN"/>
        </w:rPr>
        <w:sectPr>
          <w:headerReference r:id="rId3" w:type="default"/>
          <w:footerReference r:id="rId4" w:type="default"/>
          <w:pgSz w:w="11910" w:h="16840"/>
          <w:pgMar w:top="1100" w:right="1440" w:bottom="1080" w:left="1220" w:header="880" w:footer="888" w:gutter="0"/>
          <w:pgBorders>
            <w:top w:val="none" w:sz="0" w:space="0"/>
            <w:left w:val="none" w:sz="0" w:space="0"/>
            <w:bottom w:val="none" w:sz="0" w:space="0"/>
            <w:right w:val="none" w:sz="0" w:space="0"/>
          </w:pgBorders>
          <w:pgNumType w:fmt="decimal" w:start="2"/>
          <w:cols w:space="720" w:num="1"/>
        </w:sectPr>
      </w:pPr>
    </w:p>
    <w:p>
      <w:pPr>
        <w:pStyle w:val="40"/>
        <w:rPr>
          <w:lang w:eastAsia="zh-CN"/>
        </w:rPr>
      </w:pPr>
    </w:p>
    <w:p>
      <w:pPr>
        <w:spacing w:line="360" w:lineRule="auto"/>
        <w:jc w:val="center"/>
        <w:rPr>
          <w:rFonts w:ascii="仿宋" w:hAnsi="仿宋" w:eastAsia="仿宋" w:cs="Times New Roman"/>
          <w:sz w:val="24"/>
          <w:szCs w:val="24"/>
          <w:lang w:eastAsia="zh-CN"/>
        </w:rPr>
      </w:pPr>
    </w:p>
    <w:p>
      <w:pPr>
        <w:spacing w:line="360" w:lineRule="auto"/>
        <w:jc w:val="both"/>
        <w:rPr>
          <w:rFonts w:ascii="仿宋" w:hAnsi="仿宋" w:eastAsia="仿宋" w:cs="仿宋"/>
          <w:sz w:val="24"/>
          <w:szCs w:val="24"/>
          <w:lang w:eastAsia="zh-CN"/>
        </w:rPr>
      </w:pPr>
    </w:p>
    <w:p>
      <w:pPr>
        <w:pStyle w:val="38"/>
        <w:rPr>
          <w:lang w:eastAsia="zh-CN"/>
        </w:rPr>
      </w:pPr>
      <w:r>
        <w:rPr>
          <w:lang w:eastAsia="zh-CN"/>
        </w:rPr>
        <w:t>目</w:t>
      </w:r>
      <w:r>
        <w:rPr>
          <w:rFonts w:hint="eastAsia"/>
          <w:lang w:val="en-US" w:eastAsia="zh-CN"/>
        </w:rPr>
        <w:t xml:space="preserve">   </w:t>
      </w:r>
      <w:r>
        <w:rPr>
          <w:lang w:eastAsia="zh-CN"/>
        </w:rPr>
        <w:t>录</w:t>
      </w:r>
    </w:p>
    <w:p>
      <w:pPr>
        <w:rPr>
          <w:lang w:eastAsia="zh-CN"/>
        </w:rPr>
      </w:pPr>
    </w:p>
    <w:sdt>
      <w:sdtPr>
        <w:rPr>
          <w:sz w:val="24"/>
          <w:szCs w:val="24"/>
        </w:rPr>
        <w:id w:val="-754432643"/>
        <w:docPartObj>
          <w:docPartGallery w:val="Table of Contents"/>
          <w:docPartUnique/>
        </w:docPartObj>
      </w:sdtPr>
      <w:sdtEndPr>
        <w:rPr>
          <w:sz w:val="24"/>
          <w:szCs w:val="24"/>
        </w:rPr>
      </w:sdtEndPr>
      <w:sdtContent>
        <w:p>
          <w:pPr>
            <w:pStyle w:val="34"/>
            <w:tabs>
              <w:tab w:val="right" w:leader="dot" w:pos="9214"/>
            </w:tabs>
            <w:spacing w:line="360" w:lineRule="auto"/>
            <w:ind w:left="0" w:right="-106" w:rightChars="-48"/>
            <w:jc w:val="both"/>
            <w:rPr>
              <w:rFonts w:hint="eastAsia" w:eastAsia="仿宋" w:cs="Calibri"/>
              <w:sz w:val="24"/>
              <w:szCs w:val="24"/>
              <w:lang w:eastAsia="zh-CN"/>
            </w:rPr>
          </w:pPr>
          <w:r>
            <w:fldChar w:fldCharType="begin"/>
          </w:r>
          <w:r>
            <w:instrText xml:space="preserve"> HYPERLINK \l "_bookmark0" </w:instrText>
          </w:r>
          <w:r>
            <w:fldChar w:fldCharType="separate"/>
          </w:r>
          <w:r>
            <w:rPr>
              <w:sz w:val="24"/>
              <w:szCs w:val="24"/>
              <w:lang w:eastAsia="zh-CN"/>
            </w:rPr>
            <w:t>第一章投标邀请</w:t>
          </w:r>
          <w:r>
            <w:rPr>
              <w:sz w:val="24"/>
              <w:szCs w:val="24"/>
              <w:lang w:eastAsia="zh-CN"/>
            </w:rPr>
            <w:fldChar w:fldCharType="end"/>
          </w:r>
          <w:r>
            <w:rPr>
              <w:rFonts w:cs="Calibri"/>
              <w:sz w:val="24"/>
              <w:szCs w:val="24"/>
              <w:lang w:eastAsia="zh-CN"/>
            </w:rPr>
            <w:tab/>
          </w:r>
          <w:r>
            <w:rPr>
              <w:rFonts w:hint="eastAsia"/>
              <w:lang w:val="en-US" w:eastAsia="zh-CN"/>
            </w:rPr>
            <w:t>2</w:t>
          </w:r>
        </w:p>
        <w:p>
          <w:pPr>
            <w:pStyle w:val="34"/>
            <w:tabs>
              <w:tab w:val="right" w:leader="dot" w:pos="9214"/>
            </w:tabs>
            <w:spacing w:line="360" w:lineRule="auto"/>
            <w:ind w:left="0" w:right="-106" w:rightChars="-48"/>
            <w:jc w:val="both"/>
            <w:rPr>
              <w:rFonts w:hint="eastAsia" w:eastAsia="仿宋" w:cs="Calibri"/>
              <w:sz w:val="24"/>
              <w:szCs w:val="24"/>
              <w:lang w:eastAsia="zh-CN"/>
            </w:rPr>
          </w:pPr>
          <w:r>
            <w:fldChar w:fldCharType="begin"/>
          </w:r>
          <w:r>
            <w:instrText xml:space="preserve"> HYPERLINK \l "_bookmark1" </w:instrText>
          </w:r>
          <w:r>
            <w:fldChar w:fldCharType="separate"/>
          </w:r>
          <w:r>
            <w:rPr>
              <w:sz w:val="24"/>
              <w:szCs w:val="24"/>
              <w:lang w:eastAsia="zh-CN"/>
            </w:rPr>
            <w:t>第二章投标人须知</w:t>
          </w:r>
          <w:r>
            <w:rPr>
              <w:sz w:val="24"/>
              <w:szCs w:val="24"/>
              <w:lang w:eastAsia="zh-CN"/>
            </w:rPr>
            <w:fldChar w:fldCharType="end"/>
          </w:r>
          <w:r>
            <w:rPr>
              <w:rFonts w:cs="Calibri"/>
              <w:sz w:val="24"/>
              <w:szCs w:val="24"/>
              <w:lang w:eastAsia="zh-CN"/>
            </w:rPr>
            <w:tab/>
          </w:r>
          <w:r>
            <w:rPr>
              <w:rFonts w:hint="eastAsia"/>
              <w:lang w:val="en-US" w:eastAsia="zh-CN"/>
            </w:rPr>
            <w:t>5</w:t>
          </w:r>
        </w:p>
        <w:p>
          <w:pPr>
            <w:pStyle w:val="34"/>
            <w:tabs>
              <w:tab w:val="right" w:leader="dot" w:pos="9214"/>
            </w:tabs>
            <w:spacing w:line="360" w:lineRule="auto"/>
            <w:ind w:left="0" w:right="-106" w:rightChars="-48"/>
            <w:jc w:val="both"/>
            <w:rPr>
              <w:rFonts w:hint="default" w:eastAsia="仿宋" w:cs="Calibri"/>
              <w:sz w:val="24"/>
              <w:szCs w:val="24"/>
              <w:lang w:val="en-US" w:eastAsia="zh-CN"/>
            </w:rPr>
          </w:pPr>
          <w:r>
            <w:fldChar w:fldCharType="begin"/>
          </w:r>
          <w:r>
            <w:instrText xml:space="preserve"> HYPERLINK \l "_bookmark2" </w:instrText>
          </w:r>
          <w:r>
            <w:fldChar w:fldCharType="separate"/>
          </w:r>
          <w:r>
            <w:rPr>
              <w:sz w:val="24"/>
              <w:szCs w:val="24"/>
              <w:lang w:eastAsia="zh-CN"/>
            </w:rPr>
            <w:t>第三章合同文本</w:t>
          </w:r>
          <w:r>
            <w:rPr>
              <w:sz w:val="24"/>
              <w:szCs w:val="24"/>
              <w:lang w:eastAsia="zh-CN"/>
            </w:rPr>
            <w:fldChar w:fldCharType="end"/>
          </w:r>
          <w:r>
            <w:rPr>
              <w:rFonts w:cs="Calibri"/>
              <w:sz w:val="24"/>
              <w:szCs w:val="24"/>
              <w:lang w:eastAsia="zh-CN"/>
            </w:rPr>
            <w:tab/>
          </w:r>
          <w:r>
            <w:rPr>
              <w:rFonts w:hint="eastAsia"/>
              <w:lang w:val="en-US" w:eastAsia="zh-CN"/>
            </w:rPr>
            <w:t>25</w:t>
          </w:r>
        </w:p>
        <w:p>
          <w:pPr>
            <w:pStyle w:val="34"/>
            <w:tabs>
              <w:tab w:val="right" w:leader="dot" w:pos="9214"/>
            </w:tabs>
            <w:spacing w:line="360" w:lineRule="auto"/>
            <w:ind w:left="0" w:right="-106" w:rightChars="-48"/>
            <w:jc w:val="both"/>
            <w:rPr>
              <w:rFonts w:hint="default" w:eastAsia="仿宋" w:cs="Calibri"/>
              <w:sz w:val="24"/>
              <w:szCs w:val="24"/>
              <w:lang w:val="en-US" w:eastAsia="zh-CN"/>
            </w:rPr>
          </w:pPr>
          <w:r>
            <w:fldChar w:fldCharType="begin"/>
          </w:r>
          <w:r>
            <w:instrText xml:space="preserve"> HYPERLINK \l "_bookmark3" </w:instrText>
          </w:r>
          <w:r>
            <w:fldChar w:fldCharType="separate"/>
          </w:r>
          <w:r>
            <w:rPr>
              <w:sz w:val="24"/>
              <w:szCs w:val="24"/>
              <w:lang w:eastAsia="zh-CN"/>
            </w:rPr>
            <w:t>第四章项目需求</w:t>
          </w:r>
          <w:r>
            <w:rPr>
              <w:sz w:val="24"/>
              <w:szCs w:val="24"/>
              <w:lang w:eastAsia="zh-CN"/>
            </w:rPr>
            <w:fldChar w:fldCharType="end"/>
          </w:r>
          <w:r>
            <w:rPr>
              <w:rFonts w:cs="Calibri"/>
              <w:sz w:val="24"/>
              <w:szCs w:val="24"/>
              <w:lang w:eastAsia="zh-CN"/>
            </w:rPr>
            <w:tab/>
          </w:r>
          <w:r>
            <w:rPr>
              <w:rFonts w:hint="eastAsia"/>
              <w:lang w:val="en-US" w:eastAsia="zh-CN"/>
            </w:rPr>
            <w:t>29</w:t>
          </w:r>
        </w:p>
        <w:p>
          <w:pPr>
            <w:pStyle w:val="34"/>
            <w:tabs>
              <w:tab w:val="right" w:leader="dot" w:pos="9214"/>
            </w:tabs>
            <w:spacing w:line="360" w:lineRule="auto"/>
            <w:ind w:left="0" w:right="-106" w:rightChars="-48"/>
            <w:jc w:val="both"/>
            <w:rPr>
              <w:rFonts w:hint="default" w:eastAsia="仿宋" w:cs="Calibri"/>
              <w:sz w:val="24"/>
              <w:szCs w:val="24"/>
              <w:lang w:val="en-US" w:eastAsia="zh-CN"/>
            </w:rPr>
          </w:pPr>
          <w:r>
            <w:fldChar w:fldCharType="begin"/>
          </w:r>
          <w:r>
            <w:instrText xml:space="preserve"> HYPERLINK \l "_bookmark8" </w:instrText>
          </w:r>
          <w:r>
            <w:fldChar w:fldCharType="separate"/>
          </w:r>
          <w:r>
            <w:rPr>
              <w:sz w:val="24"/>
              <w:szCs w:val="24"/>
              <w:lang w:eastAsia="zh-CN"/>
            </w:rPr>
            <w:t>第五章评标方法与评标标准</w:t>
          </w:r>
          <w:r>
            <w:rPr>
              <w:sz w:val="24"/>
              <w:szCs w:val="24"/>
              <w:lang w:eastAsia="zh-CN"/>
            </w:rPr>
            <w:fldChar w:fldCharType="end"/>
          </w:r>
          <w:r>
            <w:rPr>
              <w:rFonts w:cs="Calibri"/>
              <w:sz w:val="24"/>
              <w:szCs w:val="24"/>
              <w:lang w:eastAsia="zh-CN"/>
            </w:rPr>
            <w:tab/>
          </w:r>
          <w:r>
            <w:rPr>
              <w:rFonts w:hint="eastAsia"/>
              <w:lang w:val="en-US" w:eastAsia="zh-CN"/>
            </w:rPr>
            <w:t>211</w:t>
          </w:r>
        </w:p>
        <w:p>
          <w:pPr>
            <w:pStyle w:val="34"/>
            <w:tabs>
              <w:tab w:val="right" w:leader="dot" w:pos="9214"/>
            </w:tabs>
            <w:spacing w:line="360" w:lineRule="auto"/>
            <w:ind w:left="0" w:right="-106" w:rightChars="-48"/>
            <w:jc w:val="both"/>
            <w:rPr>
              <w:rFonts w:ascii="仿宋" w:hAnsi="仿宋" w:eastAsia="仿宋" w:cs="Calibri"/>
              <w:sz w:val="24"/>
              <w:szCs w:val="24"/>
              <w:lang w:eastAsia="zh-CN"/>
            </w:rPr>
            <w:sectPr>
              <w:headerReference r:id="rId5" w:type="default"/>
              <w:footerReference r:id="rId6" w:type="default"/>
              <w:pgSz w:w="11910" w:h="16840"/>
              <w:pgMar w:top="1100" w:right="1440" w:bottom="1080" w:left="1220" w:header="880" w:footer="888" w:gutter="0"/>
              <w:pgBorders>
                <w:top w:val="none" w:sz="0" w:space="0"/>
                <w:left w:val="none" w:sz="0" w:space="0"/>
                <w:bottom w:val="none" w:sz="0" w:space="0"/>
                <w:right w:val="none" w:sz="0" w:space="0"/>
              </w:pgBorders>
              <w:pgNumType w:fmt="decimal" w:start="1"/>
              <w:cols w:space="720" w:num="1"/>
            </w:sectPr>
          </w:pPr>
          <w:r>
            <w:fldChar w:fldCharType="begin"/>
          </w:r>
          <w:r>
            <w:instrText xml:space="preserve"> HYPERLINK \l "_bookmark9" </w:instrText>
          </w:r>
          <w:r>
            <w:fldChar w:fldCharType="separate"/>
          </w:r>
          <w:r>
            <w:rPr>
              <w:sz w:val="24"/>
              <w:szCs w:val="24"/>
              <w:lang w:eastAsia="zh-CN"/>
            </w:rPr>
            <w:t>第六章投标文件格式</w:t>
          </w:r>
          <w:r>
            <w:rPr>
              <w:sz w:val="24"/>
              <w:szCs w:val="24"/>
              <w:lang w:eastAsia="zh-CN"/>
            </w:rPr>
            <w:fldChar w:fldCharType="end"/>
          </w:r>
          <w:r>
            <w:rPr>
              <w:rFonts w:cs="Calibri"/>
              <w:sz w:val="24"/>
              <w:szCs w:val="24"/>
              <w:lang w:eastAsia="zh-CN"/>
            </w:rPr>
            <w:tab/>
          </w:r>
          <w:r>
            <w:rPr>
              <w:rFonts w:hint="eastAsia"/>
              <w:lang w:val="en-US" w:eastAsia="zh-CN"/>
            </w:rPr>
            <w:t>214</w:t>
          </w:r>
        </w:p>
      </w:sdtContent>
    </w:sdt>
    <w:p>
      <w:pPr>
        <w:pStyle w:val="4"/>
        <w:numPr>
          <w:ilvl w:val="0"/>
          <w:numId w:val="0"/>
        </w:numPr>
        <w:spacing w:before="360" w:after="360"/>
        <w:jc w:val="center"/>
        <w:rPr>
          <w:rFonts w:hint="default"/>
          <w:lang w:val="en-US" w:eastAsia="zh-CN"/>
        </w:rPr>
      </w:pPr>
      <w:bookmarkStart w:id="0" w:name="第一章__投标邀请"/>
      <w:bookmarkEnd w:id="0"/>
      <w:bookmarkStart w:id="1" w:name="_bookmark0"/>
      <w:bookmarkEnd w:id="1"/>
      <w:r>
        <w:rPr>
          <w:lang w:eastAsia="zh-CN"/>
        </w:rPr>
        <w:t xml:space="preserve">第一章 </w:t>
      </w:r>
      <w:r>
        <w:rPr>
          <w:rFonts w:hint="eastAsia"/>
          <w:lang w:val="en-US" w:eastAsia="zh-CN"/>
        </w:rPr>
        <w:t>招标公告</w:t>
      </w:r>
    </w:p>
    <w:p>
      <w:pPr>
        <w:pStyle w:val="4"/>
        <w:keepNext w:val="0"/>
        <w:keepLines w:val="0"/>
        <w:pageBreakBefore w:val="0"/>
        <w:widowControl w:val="0"/>
        <w:numPr>
          <w:ilvl w:val="1"/>
          <w:numId w:val="0"/>
        </w:numPr>
        <w:kinsoku/>
        <w:overflowPunct/>
        <w:topLinePunct w:val="0"/>
        <w:bidi w:val="0"/>
        <w:spacing w:before="0" w:beforeLines="0" w:after="0" w:afterLines="0" w:line="440" w:lineRule="exact"/>
        <w:ind w:leftChars="0"/>
        <w:textAlignment w:val="auto"/>
        <w:rPr>
          <w:rFonts w:ascii="宋体" w:hAnsi="宋体" w:cs="宋体"/>
          <w:bCs w:val="0"/>
          <w:sz w:val="24"/>
          <w:szCs w:val="24"/>
        </w:rPr>
      </w:pPr>
      <w:bookmarkStart w:id="2" w:name="_Toc35393798"/>
      <w:bookmarkStart w:id="3" w:name="_Toc28359089"/>
      <w:bookmarkStart w:id="4" w:name="_Toc35393629"/>
      <w:bookmarkStart w:id="5" w:name="_Toc28359012"/>
      <w:r>
        <w:rPr>
          <w:rFonts w:hint="eastAsia" w:ascii="宋体" w:hAnsi="宋体" w:cs="宋体"/>
          <w:bCs w:val="0"/>
          <w:sz w:val="24"/>
          <w:szCs w:val="24"/>
        </w:rPr>
        <w:t>一、项目基本情况</w:t>
      </w:r>
      <w:bookmarkEnd w:id="2"/>
      <w:bookmarkEnd w:id="3"/>
      <w:bookmarkEnd w:id="4"/>
      <w:bookmarkEnd w:id="5"/>
    </w:p>
    <w:p>
      <w:pPr>
        <w:keepNext w:val="0"/>
        <w:keepLines w:val="0"/>
        <w:pageBreakBefore w:val="0"/>
        <w:widowControl w:val="0"/>
        <w:kinsoku/>
        <w:overflowPunct/>
        <w:topLinePunct w:val="0"/>
        <w:bidi w:val="0"/>
        <w:spacing w:line="440" w:lineRule="exact"/>
        <w:ind w:left="0" w:leftChars="0" w:firstLine="0" w:firstLineChars="0"/>
        <w:textAlignment w:val="auto"/>
        <w:rPr>
          <w:rFonts w:hint="default" w:ascii="宋体" w:hAnsi="宋体" w:cs="宋体" w:eastAsiaTheme="minorEastAsia"/>
          <w:color w:val="auto"/>
          <w:sz w:val="24"/>
          <w:szCs w:val="24"/>
          <w:highlight w:val="none"/>
          <w:lang w:val="en-US" w:eastAsia="zh-CN"/>
        </w:rPr>
      </w:pPr>
      <w:r>
        <w:rPr>
          <w:rFonts w:hint="eastAsia" w:ascii="宋体" w:hAnsi="宋体" w:cs="宋体"/>
          <w:sz w:val="24"/>
          <w:szCs w:val="24"/>
          <w:highlight w:val="none"/>
        </w:rPr>
        <w:t>项目编号：</w:t>
      </w:r>
      <w:r>
        <w:rPr>
          <w:rFonts w:hint="eastAsia" w:ascii="宋体" w:hAnsi="宋体" w:cs="宋体"/>
          <w:sz w:val="24"/>
          <w:szCs w:val="24"/>
          <w:highlight w:val="none"/>
          <w:lang w:val="en-US" w:eastAsia="zh-CN"/>
        </w:rPr>
        <w:t>MNSXCG2023-013</w:t>
      </w:r>
    </w:p>
    <w:p>
      <w:pPr>
        <w:keepNext w:val="0"/>
        <w:keepLines w:val="0"/>
        <w:pageBreakBefore w:val="0"/>
        <w:widowControl w:val="0"/>
        <w:kinsoku/>
        <w:overflowPunct/>
        <w:topLinePunct w:val="0"/>
        <w:bidi w:val="0"/>
        <w:spacing w:line="440" w:lineRule="exact"/>
        <w:ind w:left="0" w:leftChars="0" w:firstLine="0" w:firstLineChars="0"/>
        <w:textAlignment w:val="auto"/>
        <w:rPr>
          <w:rFonts w:hint="eastAsia" w:ascii="宋体" w:hAnsi="宋体" w:cs="宋体"/>
          <w:sz w:val="24"/>
          <w:szCs w:val="24"/>
        </w:rPr>
      </w:pPr>
      <w:r>
        <w:rPr>
          <w:rFonts w:hint="eastAsia" w:ascii="宋体" w:hAnsi="宋体" w:cs="宋体"/>
          <w:sz w:val="24"/>
          <w:szCs w:val="24"/>
        </w:rPr>
        <w:t>项目名称：玛纳斯县域医共体信息化建设项目</w:t>
      </w:r>
    </w:p>
    <w:p>
      <w:pPr>
        <w:keepNext w:val="0"/>
        <w:keepLines w:val="0"/>
        <w:pageBreakBefore w:val="0"/>
        <w:widowControl w:val="0"/>
        <w:kinsoku/>
        <w:overflowPunct/>
        <w:topLinePunct w:val="0"/>
        <w:bidi w:val="0"/>
        <w:spacing w:line="440" w:lineRule="exact"/>
        <w:ind w:left="0" w:leftChars="0" w:firstLine="0" w:firstLineChars="0"/>
        <w:textAlignment w:val="auto"/>
        <w:rPr>
          <w:rFonts w:ascii="宋体" w:hAnsi="宋体" w:cs="宋体"/>
          <w:sz w:val="24"/>
          <w:szCs w:val="24"/>
        </w:rPr>
      </w:pPr>
      <w:r>
        <w:rPr>
          <w:rFonts w:hint="eastAsia" w:ascii="宋体" w:hAnsi="宋体" w:cs="宋体"/>
          <w:sz w:val="24"/>
          <w:szCs w:val="24"/>
        </w:rPr>
        <w:t>采购方式：</w:t>
      </w:r>
      <w:r>
        <w:rPr>
          <w:rFonts w:hint="eastAsia" w:ascii="宋体" w:hAnsi="宋体" w:cs="宋体"/>
          <w:sz w:val="24"/>
          <w:szCs w:val="24"/>
          <w:lang w:val="en-US" w:eastAsia="zh-CN"/>
        </w:rPr>
        <w:t>公开招标</w:t>
      </w:r>
      <w:r>
        <w:rPr>
          <w:rFonts w:hint="eastAsia" w:ascii="宋体" w:hAnsi="宋体" w:cs="宋体"/>
          <w:sz w:val="24"/>
          <w:szCs w:val="24"/>
        </w:rPr>
        <w:t xml:space="preserve"> </w:t>
      </w:r>
    </w:p>
    <w:p>
      <w:pPr>
        <w:keepNext w:val="0"/>
        <w:keepLines w:val="0"/>
        <w:pageBreakBefore w:val="0"/>
        <w:widowControl w:val="0"/>
        <w:kinsoku/>
        <w:overflowPunct/>
        <w:topLinePunct w:val="0"/>
        <w:bidi w:val="0"/>
        <w:spacing w:line="440" w:lineRule="exact"/>
        <w:ind w:left="0" w:leftChars="0" w:firstLine="0" w:firstLineChars="0"/>
        <w:textAlignment w:val="auto"/>
        <w:rPr>
          <w:rFonts w:ascii="宋体" w:hAnsi="宋体" w:cs="宋体"/>
          <w:sz w:val="24"/>
          <w:szCs w:val="24"/>
        </w:rPr>
      </w:pPr>
      <w:r>
        <w:rPr>
          <w:rFonts w:hint="eastAsia" w:ascii="宋体" w:hAnsi="宋体" w:cs="宋体"/>
          <w:sz w:val="24"/>
          <w:szCs w:val="24"/>
        </w:rPr>
        <w:t>预算金额：</w:t>
      </w:r>
      <w:r>
        <w:rPr>
          <w:rFonts w:hint="eastAsia" w:ascii="宋体" w:hAnsi="宋体" w:cs="宋体"/>
          <w:sz w:val="24"/>
          <w:szCs w:val="24"/>
          <w:lang w:val="en-US" w:eastAsia="zh-CN"/>
        </w:rPr>
        <w:t>20100000.00</w:t>
      </w:r>
      <w:r>
        <w:rPr>
          <w:rFonts w:hint="eastAsia" w:ascii="宋体" w:hAnsi="宋体" w:cs="宋体"/>
          <w:sz w:val="24"/>
          <w:szCs w:val="24"/>
        </w:rPr>
        <w:t>元</w:t>
      </w:r>
    </w:p>
    <w:p>
      <w:pPr>
        <w:keepNext w:val="0"/>
        <w:keepLines w:val="0"/>
        <w:pageBreakBefore w:val="0"/>
        <w:widowControl w:val="0"/>
        <w:kinsoku/>
        <w:overflowPunct/>
        <w:topLinePunct w:val="0"/>
        <w:bidi w:val="0"/>
        <w:spacing w:line="440" w:lineRule="exact"/>
        <w:ind w:left="0" w:leftChars="0" w:firstLine="0" w:firstLineChars="0"/>
        <w:textAlignment w:val="auto"/>
        <w:rPr>
          <w:rFonts w:hint="eastAsia" w:ascii="宋体" w:hAnsi="宋体" w:cs="宋体"/>
          <w:sz w:val="24"/>
          <w:szCs w:val="24"/>
        </w:rPr>
      </w:pPr>
      <w:r>
        <w:rPr>
          <w:rFonts w:hint="eastAsia" w:ascii="宋体" w:hAnsi="宋体" w:cs="宋体"/>
          <w:color w:val="auto"/>
          <w:sz w:val="24"/>
          <w:szCs w:val="24"/>
        </w:rPr>
        <w:t>最高限价：</w:t>
      </w:r>
      <w:r>
        <w:rPr>
          <w:rFonts w:hint="eastAsia" w:ascii="宋体" w:hAnsi="宋体" w:cs="宋体"/>
          <w:sz w:val="24"/>
          <w:szCs w:val="24"/>
          <w:lang w:val="en-US" w:eastAsia="zh-CN"/>
        </w:rPr>
        <w:t>19531300.00</w:t>
      </w:r>
      <w:r>
        <w:rPr>
          <w:rFonts w:hint="eastAsia" w:ascii="宋体" w:hAnsi="宋体" w:cs="宋体"/>
          <w:sz w:val="24"/>
          <w:szCs w:val="24"/>
        </w:rPr>
        <w:t>元</w:t>
      </w:r>
    </w:p>
    <w:p>
      <w:pPr>
        <w:keepNext w:val="0"/>
        <w:keepLines w:val="0"/>
        <w:pageBreakBefore w:val="0"/>
        <w:widowControl w:val="0"/>
        <w:kinsoku/>
        <w:overflowPunct/>
        <w:topLinePunct w:val="0"/>
        <w:bidi w:val="0"/>
        <w:spacing w:line="440" w:lineRule="exact"/>
        <w:ind w:left="0" w:leftChars="0" w:firstLine="0" w:firstLineChars="0"/>
        <w:textAlignment w:val="auto"/>
        <w:rPr>
          <w:rFonts w:ascii="宋体" w:hAnsi="宋体" w:cs="宋体"/>
          <w:color w:val="auto"/>
          <w:sz w:val="24"/>
          <w:szCs w:val="24"/>
        </w:rPr>
      </w:pPr>
      <w:r>
        <w:rPr>
          <w:rFonts w:hint="eastAsia" w:ascii="宋体" w:hAnsi="宋体" w:cs="宋体"/>
          <w:color w:val="auto"/>
          <w:sz w:val="24"/>
          <w:szCs w:val="24"/>
        </w:rPr>
        <w:t>采购需求：医共体平台软件</w:t>
      </w:r>
      <w:r>
        <w:rPr>
          <w:rFonts w:hint="eastAsia" w:ascii="宋体" w:hAnsi="宋体" w:cs="宋体"/>
          <w:color w:val="auto"/>
          <w:sz w:val="24"/>
          <w:szCs w:val="24"/>
          <w:lang w:eastAsia="zh-CN"/>
        </w:rPr>
        <w:t>及相关配套硬件设备，</w:t>
      </w:r>
      <w:r>
        <w:rPr>
          <w:rFonts w:hint="eastAsia" w:ascii="宋体" w:hAnsi="宋体" w:cs="宋体"/>
          <w:color w:val="auto"/>
          <w:sz w:val="24"/>
          <w:szCs w:val="24"/>
          <w:lang w:val="en-US" w:eastAsia="zh-CN"/>
        </w:rPr>
        <w:t>包括医院信息管理系统、电子病历系统、医技科室管理系统、移动工作站、医院运营管理系统、医共体集成平台等及网络安全硬件设备、多功能大厅配套设施等</w:t>
      </w:r>
    </w:p>
    <w:p>
      <w:pPr>
        <w:keepNext w:val="0"/>
        <w:keepLines w:val="0"/>
        <w:pageBreakBefore w:val="0"/>
        <w:widowControl w:val="0"/>
        <w:kinsoku/>
        <w:overflowPunct/>
        <w:topLinePunct w:val="0"/>
        <w:bidi w:val="0"/>
        <w:spacing w:line="440" w:lineRule="exact"/>
        <w:ind w:left="0" w:leftChars="0" w:firstLine="0" w:firstLineChars="0"/>
        <w:textAlignment w:val="auto"/>
        <w:rPr>
          <w:rFonts w:hint="eastAsia" w:ascii="宋体" w:hAnsi="宋体" w:cs="宋体"/>
          <w:color w:val="auto"/>
          <w:sz w:val="24"/>
          <w:szCs w:val="24"/>
        </w:rPr>
      </w:pPr>
      <w:r>
        <w:rPr>
          <w:rFonts w:hint="eastAsia" w:ascii="宋体" w:hAnsi="宋体" w:cs="宋体"/>
          <w:color w:val="auto"/>
          <w:sz w:val="24"/>
          <w:szCs w:val="24"/>
        </w:rPr>
        <w:t>合同履行期限：自合同签订之日起6个月内基本完成建设。（具体时间以采购人安排及合同约定为准）</w:t>
      </w:r>
    </w:p>
    <w:p>
      <w:pPr>
        <w:keepNext w:val="0"/>
        <w:keepLines w:val="0"/>
        <w:pageBreakBefore w:val="0"/>
        <w:widowControl w:val="0"/>
        <w:kinsoku/>
        <w:overflowPunct/>
        <w:topLinePunct w:val="0"/>
        <w:bidi w:val="0"/>
        <w:spacing w:line="440" w:lineRule="exact"/>
        <w:ind w:left="0" w:leftChars="0" w:firstLine="0" w:firstLineChars="0"/>
        <w:textAlignment w:val="auto"/>
        <w:rPr>
          <w:rFonts w:ascii="宋体" w:hAnsi="宋体" w:cs="宋体"/>
          <w:sz w:val="24"/>
          <w:szCs w:val="24"/>
        </w:rPr>
      </w:pPr>
      <w:r>
        <w:rPr>
          <w:rFonts w:hint="eastAsia" w:ascii="宋体" w:hAnsi="宋体" w:cs="宋体"/>
          <w:sz w:val="24"/>
          <w:szCs w:val="24"/>
        </w:rPr>
        <w:t>本项目（</w:t>
      </w:r>
      <w:r>
        <w:rPr>
          <w:rFonts w:hint="eastAsia" w:ascii="宋体" w:hAnsi="宋体" w:cs="宋体"/>
          <w:iCs/>
          <w:sz w:val="24"/>
          <w:szCs w:val="24"/>
        </w:rPr>
        <w:t>否</w:t>
      </w:r>
      <w:r>
        <w:rPr>
          <w:rFonts w:hint="eastAsia" w:ascii="宋体" w:hAnsi="宋体" w:cs="宋体"/>
          <w:sz w:val="24"/>
          <w:szCs w:val="24"/>
        </w:rPr>
        <w:t>）接受联合体投标。</w:t>
      </w:r>
    </w:p>
    <w:p>
      <w:pPr>
        <w:pStyle w:val="4"/>
        <w:keepNext w:val="0"/>
        <w:keepLines w:val="0"/>
        <w:pageBreakBefore w:val="0"/>
        <w:widowControl w:val="0"/>
        <w:numPr>
          <w:ilvl w:val="1"/>
          <w:numId w:val="0"/>
        </w:numPr>
        <w:kinsoku/>
        <w:overflowPunct/>
        <w:topLinePunct w:val="0"/>
        <w:bidi w:val="0"/>
        <w:spacing w:before="0" w:beforeLines="0" w:after="0" w:afterLines="0" w:line="440" w:lineRule="exact"/>
        <w:ind w:leftChars="0"/>
        <w:textAlignment w:val="auto"/>
        <w:rPr>
          <w:rFonts w:ascii="宋体" w:hAnsi="宋体" w:cs="宋体"/>
          <w:bCs w:val="0"/>
          <w:sz w:val="24"/>
          <w:szCs w:val="24"/>
        </w:rPr>
      </w:pPr>
      <w:bookmarkStart w:id="6" w:name="_Toc35393799"/>
      <w:bookmarkStart w:id="7" w:name="_Toc28359090"/>
      <w:bookmarkStart w:id="8" w:name="_Toc28359013"/>
      <w:bookmarkStart w:id="9" w:name="_Toc35393630"/>
      <w:r>
        <w:rPr>
          <w:rFonts w:hint="eastAsia" w:ascii="宋体" w:hAnsi="宋体" w:cs="宋体"/>
          <w:bCs w:val="0"/>
          <w:sz w:val="24"/>
          <w:szCs w:val="24"/>
        </w:rPr>
        <w:t>二、申请人的资格要求：</w:t>
      </w:r>
      <w:bookmarkEnd w:id="6"/>
      <w:bookmarkEnd w:id="7"/>
      <w:bookmarkEnd w:id="8"/>
      <w:bookmarkEnd w:id="9"/>
    </w:p>
    <w:p>
      <w:pPr>
        <w:pStyle w:val="4"/>
        <w:keepNext w:val="0"/>
        <w:keepLines w:val="0"/>
        <w:pageBreakBefore w:val="0"/>
        <w:widowControl w:val="0"/>
        <w:numPr>
          <w:ilvl w:val="1"/>
          <w:numId w:val="0"/>
        </w:numPr>
        <w:kinsoku/>
        <w:overflowPunct/>
        <w:topLinePunct w:val="0"/>
        <w:bidi w:val="0"/>
        <w:spacing w:before="0" w:beforeLines="0" w:after="0" w:afterLines="0" w:line="440" w:lineRule="exact"/>
        <w:ind w:leftChars="0"/>
        <w:textAlignment w:val="auto"/>
        <w:rPr>
          <w:rFonts w:hint="eastAsia" w:ascii="宋体" w:hAnsi="宋体" w:cs="宋体"/>
          <w:b w:val="0"/>
          <w:bCs w:val="0"/>
          <w:sz w:val="24"/>
          <w:szCs w:val="24"/>
        </w:rPr>
      </w:pPr>
      <w:r>
        <w:rPr>
          <w:rFonts w:hint="eastAsia" w:ascii="宋体" w:hAnsi="宋体" w:cs="宋体"/>
          <w:b w:val="0"/>
          <w:bCs w:val="0"/>
          <w:sz w:val="24"/>
          <w:szCs w:val="24"/>
        </w:rPr>
        <w:t>1.满足《中华人民共和国政府采购法》第二十二条规定；</w:t>
      </w:r>
    </w:p>
    <w:p>
      <w:pPr>
        <w:pStyle w:val="237"/>
        <w:keepNext w:val="0"/>
        <w:keepLines w:val="0"/>
        <w:pageBreakBefore w:val="0"/>
        <w:widowControl w:val="0"/>
        <w:kinsoku/>
        <w:overflowPunct/>
        <w:topLinePunct w:val="0"/>
        <w:bidi w:val="0"/>
        <w:spacing w:line="440" w:lineRule="exact"/>
        <w:ind w:left="0" w:leftChars="0" w:firstLine="0" w:firstLineChars="0"/>
        <w:textAlignment w:val="auto"/>
        <w:rPr>
          <w:rFonts w:hint="eastAsia" w:hAnsi="宋体"/>
          <w:color w:val="auto"/>
          <w:lang w:val="zh-CN"/>
        </w:rPr>
      </w:pPr>
      <w:r>
        <w:rPr>
          <w:rFonts w:hint="eastAsia" w:hAnsi="宋体"/>
          <w:lang w:val="zh-CN"/>
        </w:rPr>
        <w:t>2</w:t>
      </w:r>
      <w:r>
        <w:rPr>
          <w:rFonts w:hint="eastAsia" w:hAnsi="宋体"/>
          <w:color w:val="auto"/>
          <w:lang w:val="zh-CN"/>
        </w:rPr>
        <w:t>.落实政府采购政策需满足的资格要求：无；</w:t>
      </w:r>
    </w:p>
    <w:p>
      <w:pPr>
        <w:keepNext w:val="0"/>
        <w:keepLines w:val="0"/>
        <w:pageBreakBefore w:val="0"/>
        <w:widowControl w:val="0"/>
        <w:kinsoku/>
        <w:wordWrap w:val="0"/>
        <w:overflowPunct/>
        <w:topLinePunct w:val="0"/>
        <w:bidi w:val="0"/>
        <w:spacing w:line="440" w:lineRule="exact"/>
        <w:ind w:left="0" w:leftChars="0" w:firstLine="0" w:firstLineChars="0"/>
        <w:jc w:val="left"/>
        <w:textAlignment w:val="auto"/>
        <w:rPr>
          <w:rFonts w:hint="eastAsia" w:ascii="宋体" w:hAnsi="宋体" w:eastAsia="宋体" w:cs="宋体"/>
          <w:b w:val="0"/>
          <w:bCs w:val="0"/>
          <w:sz w:val="24"/>
          <w:szCs w:val="24"/>
        </w:rPr>
      </w:pPr>
      <w:bookmarkStart w:id="10" w:name="_Toc28359091"/>
      <w:bookmarkStart w:id="11" w:name="_Toc28359014"/>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rPr>
        <w:t>本项目的特定资格要求：</w:t>
      </w:r>
    </w:p>
    <w:p>
      <w:pPr>
        <w:keepNext w:val="0"/>
        <w:keepLines w:val="0"/>
        <w:pageBreakBefore w:val="0"/>
        <w:widowControl w:val="0"/>
        <w:kinsoku/>
        <w:wordWrap w:val="0"/>
        <w:overflowPunct/>
        <w:topLinePunct w:val="0"/>
        <w:bidi w:val="0"/>
        <w:spacing w:line="440" w:lineRule="exact"/>
        <w:ind w:left="0" w:leftChars="0" w:firstLine="0" w:firstLineChars="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（1）</w:t>
      </w:r>
      <w:r>
        <w:rPr>
          <w:rFonts w:hint="eastAsia" w:ascii="宋体" w:hAnsi="宋体" w:eastAsia="宋体" w:cs="宋体"/>
          <w:b w:val="0"/>
          <w:bCs w:val="0"/>
          <w:color w:val="auto"/>
          <w:sz w:val="24"/>
          <w:szCs w:val="24"/>
        </w:rPr>
        <w:t>具有有效的营业执照或“三证合一”的营业执照；</w:t>
      </w:r>
      <w:r>
        <w:rPr>
          <w:rFonts w:hint="eastAsia" w:ascii="宋体" w:hAnsi="宋体" w:cs="宋体"/>
          <w:b w:val="0"/>
          <w:bCs w:val="0"/>
          <w:color w:val="auto"/>
          <w:sz w:val="24"/>
          <w:szCs w:val="24"/>
          <w:lang w:val="en-US" w:eastAsia="zh-CN"/>
        </w:rPr>
        <w:t>具有相关经营范围。</w:t>
      </w:r>
    </w:p>
    <w:p>
      <w:pPr>
        <w:keepNext w:val="0"/>
        <w:keepLines w:val="0"/>
        <w:pageBreakBefore w:val="0"/>
        <w:widowControl w:val="0"/>
        <w:kinsoku/>
        <w:wordWrap w:val="0"/>
        <w:overflowPunct/>
        <w:topLinePunct w:val="0"/>
        <w:bidi w:val="0"/>
        <w:spacing w:line="440" w:lineRule="exact"/>
        <w:ind w:left="0" w:leftChars="0" w:firstLine="0" w:firstLineChars="0"/>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（2）具有良好的商业信誉和健全的财务会计制度：提供2022年度由第三方财务审计机构出具的财务审计报告或新成立的企业提供银行出具的近三个月的资信证明；</w:t>
      </w:r>
    </w:p>
    <w:p>
      <w:pPr>
        <w:keepNext w:val="0"/>
        <w:keepLines w:val="0"/>
        <w:pageBreakBefore w:val="0"/>
        <w:widowControl w:val="0"/>
        <w:kinsoku/>
        <w:wordWrap w:val="0"/>
        <w:overflowPunct/>
        <w:topLinePunct w:val="0"/>
        <w:bidi w:val="0"/>
        <w:spacing w:line="440" w:lineRule="exact"/>
        <w:ind w:left="0" w:leftChars="0" w:firstLine="0" w:firstLineChars="0"/>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（3）投标单位需提供近三个月依法缴纳税收和社会保障资金的良好记录（新成立时间少于3个月的公司，按实际发生提供）；</w:t>
      </w:r>
    </w:p>
    <w:p>
      <w:pPr>
        <w:keepNext w:val="0"/>
        <w:keepLines w:val="0"/>
        <w:pageBreakBefore w:val="0"/>
        <w:widowControl w:val="0"/>
        <w:kinsoku/>
        <w:wordWrap w:val="0"/>
        <w:overflowPunct/>
        <w:topLinePunct w:val="0"/>
        <w:bidi w:val="0"/>
        <w:spacing w:line="440" w:lineRule="exact"/>
        <w:ind w:left="0" w:leftChars="0" w:firstLine="0" w:firstLineChars="0"/>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（4）履行合同所必需的设备和专业技术能力：提供《投标人资格声明函》；</w:t>
      </w:r>
    </w:p>
    <w:p>
      <w:pPr>
        <w:keepNext w:val="0"/>
        <w:keepLines w:val="0"/>
        <w:pageBreakBefore w:val="0"/>
        <w:widowControl w:val="0"/>
        <w:kinsoku/>
        <w:wordWrap w:val="0"/>
        <w:overflowPunct/>
        <w:topLinePunct w:val="0"/>
        <w:bidi w:val="0"/>
        <w:spacing w:line="440" w:lineRule="exact"/>
        <w:ind w:left="0" w:leftChars="0" w:firstLine="0" w:firstLineChars="0"/>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（5）参加采购活动前3年内，在经营活动中没有重大违法记录：提供《投标人资格声明函》。</w:t>
      </w:r>
    </w:p>
    <w:p>
      <w:pPr>
        <w:keepNext w:val="0"/>
        <w:keepLines w:val="0"/>
        <w:pageBreakBefore w:val="0"/>
        <w:widowControl w:val="0"/>
        <w:kinsoku/>
        <w:wordWrap w:val="0"/>
        <w:overflowPunct/>
        <w:topLinePunct w:val="0"/>
        <w:bidi w:val="0"/>
        <w:spacing w:line="440" w:lineRule="exact"/>
        <w:ind w:left="0" w:leftChars="0" w:firstLine="0" w:firstLineChars="0"/>
        <w:jc w:val="left"/>
        <w:textAlignment w:val="auto"/>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6）近三年拟参加本次招标项目的投标人在“信用中国（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经营异常名录的取消投标资格。</w:t>
      </w:r>
    </w:p>
    <w:p>
      <w:pPr>
        <w:keepNext w:val="0"/>
        <w:keepLines w:val="0"/>
        <w:pageBreakBefore w:val="0"/>
        <w:widowControl w:val="0"/>
        <w:kinsoku/>
        <w:wordWrap w:val="0"/>
        <w:overflowPunct/>
        <w:topLinePunct w:val="0"/>
        <w:bidi w:val="0"/>
        <w:spacing w:line="440" w:lineRule="exact"/>
        <w:ind w:left="0" w:leftChars="0" w:firstLine="0" w:firstLineChars="0"/>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7）其他说明：a、与招标人存在利害关系可能影响招标公正性的法人、其他组织或者个人，不得参加投标。b、单位负责人为同一人或者存在控股、管理关系的不同单位，不得参加同一标段投标或者未划分标段的同一招标项目投标。</w:t>
      </w:r>
    </w:p>
    <w:p>
      <w:pPr>
        <w:keepNext w:val="0"/>
        <w:keepLines w:val="0"/>
        <w:pageBreakBefore w:val="0"/>
        <w:widowControl w:val="0"/>
        <w:kinsoku/>
        <w:wordWrap w:val="0"/>
        <w:overflowPunct/>
        <w:topLinePunct w:val="0"/>
        <w:bidi w:val="0"/>
        <w:spacing w:line="440" w:lineRule="exact"/>
        <w:ind w:left="0" w:leftChars="0" w:firstLine="0" w:firstLineChars="0"/>
        <w:jc w:val="left"/>
        <w:textAlignment w:val="auto"/>
        <w:rPr>
          <w:rFonts w:hint="eastAsia"/>
          <w:lang w:val="en-US" w:eastAsia="zh-CN"/>
        </w:rPr>
      </w:pPr>
      <w:r>
        <w:rPr>
          <w:rFonts w:hint="eastAsia" w:ascii="宋体" w:hAnsi="宋体" w:eastAsia="宋体" w:cs="宋体"/>
          <w:b w:val="0"/>
          <w:bCs w:val="0"/>
          <w:color w:val="auto"/>
          <w:sz w:val="24"/>
          <w:szCs w:val="24"/>
          <w:lang w:val="en-US" w:eastAsia="zh-CN"/>
        </w:rPr>
        <w:t>（8）本项目不接受进口产品投标（国外品牌产品在中国生产制造须提供国内生产证明材料）。</w:t>
      </w:r>
    </w:p>
    <w:p>
      <w:pPr>
        <w:keepNext w:val="0"/>
        <w:keepLines w:val="0"/>
        <w:pageBreakBefore w:val="0"/>
        <w:widowControl w:val="0"/>
        <w:kinsoku/>
        <w:wordWrap w:val="0"/>
        <w:overflowPunct/>
        <w:topLinePunct w:val="0"/>
        <w:bidi w:val="0"/>
        <w:spacing w:line="440" w:lineRule="exact"/>
        <w:jc w:val="left"/>
        <w:textAlignment w:val="auto"/>
        <w:rPr>
          <w:rFonts w:hint="eastAsia"/>
          <w:lang w:val="en-US" w:eastAsia="zh-CN"/>
        </w:rPr>
      </w:pP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9）</w:t>
      </w:r>
      <w:r>
        <w:rPr>
          <w:rFonts w:hint="eastAsia" w:ascii="宋体" w:hAnsi="宋体" w:cs="宋体"/>
          <w:color w:val="auto"/>
          <w:sz w:val="24"/>
          <w:szCs w:val="24"/>
        </w:rPr>
        <w:t>本次招标不接受联合体投标。</w:t>
      </w:r>
    </w:p>
    <w:p>
      <w:pPr>
        <w:pStyle w:val="4"/>
        <w:keepNext w:val="0"/>
        <w:keepLines w:val="0"/>
        <w:pageBreakBefore w:val="0"/>
        <w:widowControl w:val="0"/>
        <w:numPr>
          <w:ilvl w:val="1"/>
          <w:numId w:val="0"/>
        </w:numPr>
        <w:kinsoku/>
        <w:overflowPunct/>
        <w:topLinePunct w:val="0"/>
        <w:bidi w:val="0"/>
        <w:spacing w:before="0" w:beforeLines="0" w:after="0" w:afterLines="0" w:line="440" w:lineRule="exact"/>
        <w:ind w:leftChars="0"/>
        <w:textAlignment w:val="auto"/>
        <w:rPr>
          <w:rFonts w:ascii="宋体" w:hAnsi="宋体" w:cs="宋体"/>
          <w:bCs w:val="0"/>
          <w:sz w:val="24"/>
          <w:szCs w:val="24"/>
        </w:rPr>
      </w:pPr>
      <w:bookmarkStart w:id="12" w:name="_Toc35393800"/>
      <w:bookmarkStart w:id="13" w:name="_Toc35393631"/>
      <w:r>
        <w:rPr>
          <w:rFonts w:hint="eastAsia" w:ascii="宋体" w:hAnsi="宋体" w:cs="宋体"/>
          <w:bCs w:val="0"/>
          <w:sz w:val="24"/>
          <w:szCs w:val="24"/>
        </w:rPr>
        <w:t>三、获取采购文件</w:t>
      </w:r>
      <w:bookmarkEnd w:id="10"/>
      <w:bookmarkEnd w:id="11"/>
      <w:bookmarkEnd w:id="12"/>
      <w:bookmarkEnd w:id="13"/>
    </w:p>
    <w:p>
      <w:pPr>
        <w:keepNext w:val="0"/>
        <w:keepLines w:val="0"/>
        <w:pageBreakBefore w:val="0"/>
        <w:widowControl w:val="0"/>
        <w:kinsoku/>
        <w:overflowPunct/>
        <w:topLinePunct w:val="0"/>
        <w:bidi w:val="0"/>
        <w:spacing w:line="440" w:lineRule="exact"/>
        <w:ind w:left="0" w:leftChars="0" w:firstLine="0" w:firstLineChars="0"/>
        <w:textAlignment w:val="auto"/>
        <w:rPr>
          <w:rFonts w:ascii="宋体" w:hAnsi="宋体" w:cs="宋体"/>
          <w:color w:val="auto"/>
          <w:sz w:val="24"/>
          <w:szCs w:val="24"/>
        </w:rPr>
      </w:pPr>
      <w:r>
        <w:rPr>
          <w:rFonts w:hint="eastAsia" w:ascii="宋体" w:hAnsi="宋体" w:cs="宋体"/>
          <w:color w:val="auto"/>
          <w:sz w:val="24"/>
          <w:szCs w:val="24"/>
        </w:rPr>
        <w:t>时间</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2023年</w:t>
      </w:r>
      <w:r>
        <w:rPr>
          <w:rFonts w:hint="eastAsia" w:ascii="宋体" w:hAnsi="宋体" w:cs="宋体"/>
          <w:color w:val="auto"/>
          <w:sz w:val="24"/>
          <w:szCs w:val="24"/>
          <w:highlight w:val="none"/>
          <w:u w:val="single"/>
          <w:lang w:val="en-US" w:eastAsia="zh-CN"/>
        </w:rPr>
        <w:t>10</w:t>
      </w:r>
      <w:r>
        <w:rPr>
          <w:rFonts w:hint="eastAsia" w:ascii="宋体" w:hAnsi="宋体" w:cs="宋体"/>
          <w:color w:val="auto"/>
          <w:sz w:val="24"/>
          <w:szCs w:val="24"/>
          <w:highlight w:val="none"/>
          <w:u w:val="single"/>
        </w:rPr>
        <w:t>月</w:t>
      </w:r>
      <w:r>
        <w:rPr>
          <w:rFonts w:hint="eastAsia" w:ascii="宋体" w:hAnsi="宋体" w:cs="宋体"/>
          <w:color w:val="auto"/>
          <w:sz w:val="24"/>
          <w:szCs w:val="24"/>
          <w:highlight w:val="none"/>
          <w:u w:val="single"/>
          <w:lang w:val="en-US" w:eastAsia="zh-CN"/>
        </w:rPr>
        <w:t>13</w:t>
      </w:r>
      <w:r>
        <w:rPr>
          <w:rFonts w:hint="eastAsia" w:ascii="宋体" w:hAnsi="宋体" w:cs="宋体"/>
          <w:color w:val="auto"/>
          <w:sz w:val="24"/>
          <w:szCs w:val="24"/>
          <w:highlight w:val="none"/>
          <w:u w:val="single"/>
        </w:rPr>
        <w:t>日</w:t>
      </w:r>
      <w:r>
        <w:rPr>
          <w:rFonts w:hint="eastAsia" w:ascii="宋体" w:hAnsi="宋体" w:cs="宋体"/>
          <w:color w:val="auto"/>
          <w:sz w:val="24"/>
          <w:szCs w:val="24"/>
          <w:highlight w:val="none"/>
        </w:rPr>
        <w:t>至</w:t>
      </w:r>
      <w:r>
        <w:rPr>
          <w:rFonts w:hint="eastAsia" w:ascii="宋体" w:hAnsi="宋体" w:cs="宋体"/>
          <w:color w:val="auto"/>
          <w:sz w:val="24"/>
          <w:szCs w:val="24"/>
          <w:highlight w:val="none"/>
          <w:u w:val="single"/>
        </w:rPr>
        <w:t>2023年</w:t>
      </w:r>
      <w:r>
        <w:rPr>
          <w:rFonts w:hint="eastAsia" w:ascii="宋体" w:hAnsi="宋体" w:cs="宋体"/>
          <w:color w:val="auto"/>
          <w:sz w:val="24"/>
          <w:szCs w:val="24"/>
          <w:highlight w:val="none"/>
          <w:u w:val="single"/>
          <w:lang w:val="en-US" w:eastAsia="zh-CN"/>
        </w:rPr>
        <w:t>10</w:t>
      </w:r>
      <w:r>
        <w:rPr>
          <w:rFonts w:hint="eastAsia" w:ascii="宋体" w:hAnsi="宋体" w:cs="宋体"/>
          <w:color w:val="auto"/>
          <w:sz w:val="24"/>
          <w:szCs w:val="24"/>
          <w:highlight w:val="none"/>
          <w:u w:val="single"/>
        </w:rPr>
        <w:t>月</w:t>
      </w:r>
      <w:r>
        <w:rPr>
          <w:rFonts w:hint="eastAsia" w:ascii="宋体" w:hAnsi="宋体" w:cs="宋体"/>
          <w:color w:val="auto"/>
          <w:sz w:val="24"/>
          <w:szCs w:val="24"/>
          <w:highlight w:val="none"/>
          <w:u w:val="single"/>
          <w:lang w:val="en-US" w:eastAsia="zh-CN"/>
        </w:rPr>
        <w:t>23</w:t>
      </w:r>
      <w:r>
        <w:rPr>
          <w:rFonts w:hint="eastAsia" w:ascii="宋体" w:hAnsi="宋体" w:cs="宋体"/>
          <w:color w:val="auto"/>
          <w:sz w:val="24"/>
          <w:szCs w:val="24"/>
          <w:highlight w:val="none"/>
          <w:u w:val="single"/>
        </w:rPr>
        <w:t>日</w:t>
      </w:r>
      <w:r>
        <w:rPr>
          <w:rFonts w:hint="eastAsia" w:ascii="宋体" w:hAnsi="宋体" w:cs="宋体"/>
          <w:color w:val="auto"/>
          <w:sz w:val="24"/>
          <w:szCs w:val="24"/>
          <w:highlight w:val="none"/>
        </w:rPr>
        <w:t>，</w:t>
      </w:r>
      <w:r>
        <w:rPr>
          <w:rFonts w:hint="eastAsia" w:ascii="宋体" w:hAnsi="宋体" w:cs="宋体"/>
          <w:color w:val="auto"/>
          <w:sz w:val="24"/>
          <w:szCs w:val="24"/>
        </w:rPr>
        <w:t>每天上午</w:t>
      </w:r>
      <w:r>
        <w:rPr>
          <w:rFonts w:hint="eastAsia" w:ascii="宋体" w:hAnsi="宋体" w:cs="宋体"/>
          <w:color w:val="auto"/>
          <w:sz w:val="24"/>
          <w:szCs w:val="24"/>
          <w:u w:val="single"/>
        </w:rPr>
        <w:t>00:00</w:t>
      </w:r>
      <w:r>
        <w:rPr>
          <w:rFonts w:hint="eastAsia" w:ascii="宋体" w:hAnsi="宋体" w:cs="宋体"/>
          <w:color w:val="auto"/>
          <w:sz w:val="24"/>
          <w:szCs w:val="24"/>
        </w:rPr>
        <w:t>至</w:t>
      </w:r>
      <w:r>
        <w:rPr>
          <w:rFonts w:hint="eastAsia" w:ascii="宋体" w:hAnsi="宋体" w:cs="宋体"/>
          <w:color w:val="auto"/>
          <w:sz w:val="24"/>
          <w:szCs w:val="24"/>
          <w:u w:val="single"/>
        </w:rPr>
        <w:t>12:00</w:t>
      </w:r>
      <w:r>
        <w:rPr>
          <w:rFonts w:hint="eastAsia" w:ascii="宋体" w:hAnsi="宋体" w:cs="宋体"/>
          <w:color w:val="auto"/>
          <w:sz w:val="24"/>
          <w:szCs w:val="24"/>
        </w:rPr>
        <w:t>，下午</w:t>
      </w:r>
      <w:r>
        <w:rPr>
          <w:rFonts w:hint="eastAsia" w:ascii="宋体" w:hAnsi="宋体" w:cs="宋体"/>
          <w:color w:val="auto"/>
          <w:sz w:val="24"/>
          <w:szCs w:val="24"/>
          <w:u w:val="single"/>
        </w:rPr>
        <w:t>12:00</w:t>
      </w:r>
      <w:r>
        <w:rPr>
          <w:rFonts w:hint="eastAsia" w:ascii="宋体" w:hAnsi="宋体" w:cs="宋体"/>
          <w:color w:val="auto"/>
          <w:sz w:val="24"/>
          <w:szCs w:val="24"/>
        </w:rPr>
        <w:t>至</w:t>
      </w:r>
      <w:r>
        <w:rPr>
          <w:rFonts w:hint="eastAsia" w:ascii="宋体" w:hAnsi="宋体" w:cs="宋体"/>
          <w:color w:val="auto"/>
          <w:sz w:val="24"/>
          <w:szCs w:val="24"/>
          <w:u w:val="single"/>
        </w:rPr>
        <w:t>23:59</w:t>
      </w:r>
      <w:r>
        <w:rPr>
          <w:rFonts w:hint="eastAsia" w:ascii="宋体" w:hAnsi="宋体" w:cs="宋体"/>
          <w:color w:val="auto"/>
          <w:sz w:val="24"/>
          <w:szCs w:val="24"/>
        </w:rPr>
        <w:t>（北京时间，法定节假日除外 ）</w:t>
      </w:r>
    </w:p>
    <w:p>
      <w:pPr>
        <w:keepNext w:val="0"/>
        <w:keepLines w:val="0"/>
        <w:pageBreakBefore w:val="0"/>
        <w:widowControl w:val="0"/>
        <w:kinsoku/>
        <w:overflowPunct/>
        <w:topLinePunct w:val="0"/>
        <w:bidi w:val="0"/>
        <w:spacing w:line="440" w:lineRule="exact"/>
        <w:ind w:left="0" w:leftChars="0" w:firstLine="0" w:firstLineChars="0"/>
        <w:textAlignment w:val="auto"/>
        <w:rPr>
          <w:rFonts w:ascii="宋体" w:hAnsi="宋体" w:cs="宋体"/>
          <w:color w:val="auto"/>
          <w:sz w:val="24"/>
          <w:szCs w:val="24"/>
        </w:rPr>
      </w:pPr>
      <w:r>
        <w:rPr>
          <w:rFonts w:hint="eastAsia" w:ascii="宋体" w:hAnsi="宋体" w:cs="宋体"/>
          <w:color w:val="auto"/>
          <w:sz w:val="24"/>
          <w:szCs w:val="24"/>
        </w:rPr>
        <w:t>地点：政采云平台线上获取https://www.zcygov.cn/ </w:t>
      </w:r>
    </w:p>
    <w:p>
      <w:pPr>
        <w:keepNext w:val="0"/>
        <w:keepLines w:val="0"/>
        <w:pageBreakBefore w:val="0"/>
        <w:widowControl w:val="0"/>
        <w:kinsoku/>
        <w:overflowPunct/>
        <w:topLinePunct w:val="0"/>
        <w:bidi w:val="0"/>
        <w:spacing w:line="440" w:lineRule="exact"/>
        <w:ind w:left="0" w:leftChars="0" w:firstLine="0" w:firstLineChars="0"/>
        <w:textAlignment w:val="auto"/>
        <w:rPr>
          <w:rFonts w:ascii="宋体" w:hAnsi="宋体" w:cs="宋体"/>
          <w:color w:val="auto"/>
          <w:sz w:val="24"/>
          <w:szCs w:val="24"/>
          <w:u w:val="single"/>
        </w:rPr>
      </w:pPr>
      <w:r>
        <w:rPr>
          <w:rFonts w:hint="eastAsia" w:ascii="宋体" w:hAnsi="宋体" w:cs="宋体"/>
          <w:color w:val="auto"/>
          <w:sz w:val="24"/>
          <w:szCs w:val="24"/>
        </w:rPr>
        <w:t>方式：供应商登录政采云平台https://www.zcygov.cn/在线申请获取采购文件（进入“项目采购”应用，在获取采购文件菜单中选择项目，申请获取采购文件）</w:t>
      </w:r>
    </w:p>
    <w:p>
      <w:pPr>
        <w:keepNext w:val="0"/>
        <w:keepLines w:val="0"/>
        <w:pageBreakBefore w:val="0"/>
        <w:widowControl w:val="0"/>
        <w:kinsoku/>
        <w:overflowPunct/>
        <w:topLinePunct w:val="0"/>
        <w:bidi w:val="0"/>
        <w:spacing w:line="440" w:lineRule="exact"/>
        <w:ind w:left="0" w:leftChars="0" w:firstLine="0" w:firstLineChars="0"/>
        <w:textAlignment w:val="auto"/>
        <w:rPr>
          <w:rFonts w:ascii="宋体" w:hAnsi="宋体" w:cs="宋体"/>
          <w:color w:val="auto"/>
          <w:sz w:val="24"/>
          <w:szCs w:val="24"/>
        </w:rPr>
      </w:pPr>
      <w:r>
        <w:rPr>
          <w:rFonts w:hint="eastAsia" w:ascii="宋体" w:hAnsi="宋体" w:cs="宋体"/>
          <w:color w:val="auto"/>
          <w:sz w:val="24"/>
          <w:szCs w:val="24"/>
        </w:rPr>
        <w:t>售价：0元</w:t>
      </w:r>
    </w:p>
    <w:p>
      <w:pPr>
        <w:pStyle w:val="4"/>
        <w:keepNext w:val="0"/>
        <w:keepLines w:val="0"/>
        <w:pageBreakBefore w:val="0"/>
        <w:widowControl w:val="0"/>
        <w:numPr>
          <w:ilvl w:val="1"/>
          <w:numId w:val="0"/>
        </w:numPr>
        <w:kinsoku/>
        <w:overflowPunct/>
        <w:topLinePunct w:val="0"/>
        <w:bidi w:val="0"/>
        <w:spacing w:before="0" w:beforeLines="0" w:after="0" w:afterLines="0" w:line="440" w:lineRule="exact"/>
        <w:ind w:leftChars="0"/>
        <w:textAlignment w:val="auto"/>
        <w:rPr>
          <w:rFonts w:ascii="宋体" w:hAnsi="宋体" w:cs="宋体"/>
          <w:bCs w:val="0"/>
          <w:color w:val="auto"/>
          <w:sz w:val="24"/>
          <w:szCs w:val="24"/>
        </w:rPr>
      </w:pPr>
      <w:bookmarkStart w:id="14" w:name="_Toc28359015"/>
      <w:bookmarkStart w:id="15" w:name="_Toc35393801"/>
      <w:bookmarkStart w:id="16" w:name="_Toc28359092"/>
      <w:bookmarkStart w:id="17" w:name="_Toc35393632"/>
      <w:r>
        <w:rPr>
          <w:rFonts w:hint="eastAsia" w:ascii="宋体" w:hAnsi="宋体" w:cs="宋体"/>
          <w:bCs w:val="0"/>
          <w:color w:val="auto"/>
          <w:sz w:val="24"/>
          <w:szCs w:val="24"/>
        </w:rPr>
        <w:t>四、</w:t>
      </w:r>
      <w:bookmarkEnd w:id="14"/>
      <w:bookmarkEnd w:id="15"/>
      <w:bookmarkEnd w:id="16"/>
      <w:bookmarkEnd w:id="17"/>
      <w:r>
        <w:rPr>
          <w:rFonts w:hint="eastAsia" w:ascii="宋体" w:hAnsi="宋体" w:cs="宋体"/>
          <w:bCs w:val="0"/>
          <w:color w:val="auto"/>
          <w:sz w:val="24"/>
          <w:szCs w:val="24"/>
        </w:rPr>
        <w:t xml:space="preserve">响应文件提交 </w:t>
      </w:r>
    </w:p>
    <w:p>
      <w:pPr>
        <w:keepNext w:val="0"/>
        <w:keepLines w:val="0"/>
        <w:pageBreakBefore w:val="0"/>
        <w:widowControl w:val="0"/>
        <w:kinsoku/>
        <w:overflowPunct/>
        <w:topLinePunct w:val="0"/>
        <w:bidi w:val="0"/>
        <w:spacing w:line="440" w:lineRule="exact"/>
        <w:ind w:left="0" w:leftChars="0" w:firstLine="0" w:firstLineChars="0"/>
        <w:textAlignment w:val="auto"/>
        <w:rPr>
          <w:rFonts w:ascii="宋体" w:hAnsi="宋体" w:cs="宋体"/>
          <w:bCs/>
          <w:color w:val="auto"/>
          <w:sz w:val="24"/>
          <w:szCs w:val="24"/>
          <w:highlight w:val="none"/>
        </w:rPr>
      </w:pPr>
      <w:r>
        <w:rPr>
          <w:rFonts w:hint="eastAsia" w:ascii="宋体" w:hAnsi="宋体" w:cs="宋体"/>
          <w:color w:val="auto"/>
          <w:sz w:val="24"/>
          <w:szCs w:val="24"/>
        </w:rPr>
        <w:t>截止时间</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2023</w:t>
      </w:r>
      <w:r>
        <w:rPr>
          <w:rFonts w:hint="eastAsia" w:ascii="宋体" w:hAnsi="宋体" w:cs="宋体"/>
          <w:bCs/>
          <w:color w:val="auto"/>
          <w:sz w:val="24"/>
          <w:szCs w:val="24"/>
          <w:highlight w:val="none"/>
          <w:u w:val="single"/>
        </w:rPr>
        <w:t>年</w:t>
      </w:r>
      <w:r>
        <w:rPr>
          <w:rFonts w:hint="eastAsia" w:ascii="宋体" w:hAnsi="宋体" w:cs="宋体"/>
          <w:bCs/>
          <w:color w:val="auto"/>
          <w:sz w:val="24"/>
          <w:szCs w:val="24"/>
          <w:highlight w:val="none"/>
          <w:u w:val="single"/>
          <w:lang w:val="en-US" w:eastAsia="zh-CN"/>
        </w:rPr>
        <w:t>11</w:t>
      </w:r>
      <w:r>
        <w:rPr>
          <w:rFonts w:hint="eastAsia" w:ascii="宋体" w:hAnsi="宋体" w:cs="宋体"/>
          <w:bCs/>
          <w:color w:val="auto"/>
          <w:sz w:val="24"/>
          <w:szCs w:val="24"/>
          <w:highlight w:val="none"/>
          <w:u w:val="single"/>
        </w:rPr>
        <w:t>月</w:t>
      </w:r>
      <w:r>
        <w:rPr>
          <w:rFonts w:hint="eastAsia" w:ascii="宋体" w:hAnsi="宋体" w:cs="宋体"/>
          <w:bCs/>
          <w:color w:val="auto"/>
          <w:sz w:val="24"/>
          <w:szCs w:val="24"/>
          <w:highlight w:val="none"/>
          <w:u w:val="single"/>
          <w:lang w:val="en-US" w:eastAsia="zh-CN"/>
        </w:rPr>
        <w:t>2</w:t>
      </w:r>
      <w:r>
        <w:rPr>
          <w:rFonts w:hint="eastAsia" w:ascii="宋体" w:hAnsi="宋体" w:cs="宋体"/>
          <w:bCs/>
          <w:color w:val="auto"/>
          <w:sz w:val="24"/>
          <w:szCs w:val="24"/>
          <w:highlight w:val="none"/>
          <w:u w:val="single"/>
        </w:rPr>
        <w:t>日</w:t>
      </w:r>
      <w:r>
        <w:rPr>
          <w:rFonts w:hint="eastAsia" w:ascii="宋体" w:hAnsi="宋体" w:cs="宋体"/>
          <w:bCs/>
          <w:color w:val="auto"/>
          <w:sz w:val="24"/>
          <w:szCs w:val="24"/>
          <w:highlight w:val="none"/>
          <w:u w:val="single"/>
          <w:lang w:val="en-US" w:eastAsia="zh-CN"/>
        </w:rPr>
        <w:t>11</w:t>
      </w:r>
      <w:r>
        <w:rPr>
          <w:rFonts w:hint="eastAsia" w:ascii="宋体" w:hAnsi="宋体" w:cs="宋体"/>
          <w:bCs/>
          <w:color w:val="auto"/>
          <w:sz w:val="24"/>
          <w:szCs w:val="24"/>
          <w:highlight w:val="none"/>
          <w:u w:val="single"/>
        </w:rPr>
        <w:t>点</w:t>
      </w:r>
      <w:r>
        <w:rPr>
          <w:rFonts w:hint="eastAsia" w:ascii="宋体" w:hAnsi="宋体" w:cs="宋体"/>
          <w:bCs/>
          <w:color w:val="auto"/>
          <w:sz w:val="24"/>
          <w:szCs w:val="24"/>
          <w:highlight w:val="none"/>
          <w:u w:val="single"/>
          <w:lang w:val="en-US" w:eastAsia="zh-CN"/>
        </w:rPr>
        <w:t>0</w:t>
      </w:r>
      <w:r>
        <w:rPr>
          <w:rFonts w:hint="eastAsia" w:ascii="宋体" w:hAnsi="宋体" w:cs="宋体"/>
          <w:bCs/>
          <w:color w:val="auto"/>
          <w:sz w:val="24"/>
          <w:szCs w:val="24"/>
          <w:highlight w:val="none"/>
          <w:u w:val="single"/>
        </w:rPr>
        <w:t>0分</w:t>
      </w:r>
      <w:r>
        <w:rPr>
          <w:rFonts w:hint="eastAsia" w:ascii="宋体" w:hAnsi="宋体" w:cs="宋体"/>
          <w:bCs/>
          <w:color w:val="auto"/>
          <w:sz w:val="24"/>
          <w:szCs w:val="24"/>
          <w:highlight w:val="none"/>
        </w:rPr>
        <w:t>（北京时间）</w:t>
      </w:r>
    </w:p>
    <w:p>
      <w:pPr>
        <w:pStyle w:val="4"/>
        <w:keepNext w:val="0"/>
        <w:keepLines w:val="0"/>
        <w:pageBreakBefore w:val="0"/>
        <w:widowControl w:val="0"/>
        <w:numPr>
          <w:ilvl w:val="1"/>
          <w:numId w:val="0"/>
        </w:numPr>
        <w:kinsoku/>
        <w:overflowPunct/>
        <w:topLinePunct w:val="0"/>
        <w:bidi w:val="0"/>
        <w:spacing w:before="0" w:beforeLines="0" w:after="0" w:afterLines="0" w:line="440" w:lineRule="exact"/>
        <w:textAlignment w:val="auto"/>
        <w:rPr>
          <w:rFonts w:ascii="宋体" w:hAnsi="宋体" w:cs="宋体"/>
          <w:b w:val="0"/>
          <w:bCs w:val="0"/>
          <w:color w:val="auto"/>
          <w:sz w:val="24"/>
          <w:szCs w:val="24"/>
          <w:highlight w:val="none"/>
        </w:rPr>
      </w:pPr>
      <w:bookmarkStart w:id="18" w:name="_Toc35393803"/>
      <w:bookmarkStart w:id="19" w:name="_Toc28359094"/>
      <w:bookmarkStart w:id="20" w:name="_Toc28359017"/>
      <w:bookmarkStart w:id="21" w:name="_Toc35393634"/>
      <w:r>
        <w:rPr>
          <w:rFonts w:hint="eastAsia" w:ascii="宋体" w:hAnsi="宋体" w:cs="宋体"/>
          <w:b w:val="0"/>
          <w:bCs w:val="0"/>
          <w:color w:val="auto"/>
          <w:kern w:val="2"/>
          <w:sz w:val="24"/>
          <w:szCs w:val="24"/>
          <w:highlight w:val="none"/>
        </w:rPr>
        <w:t>地点：</w:t>
      </w:r>
      <w:bookmarkEnd w:id="18"/>
      <w:bookmarkEnd w:id="19"/>
      <w:bookmarkEnd w:id="20"/>
      <w:bookmarkEnd w:id="21"/>
      <w:r>
        <w:rPr>
          <w:rFonts w:hint="eastAsia" w:ascii="宋体" w:hAnsi="宋体" w:cs="宋体"/>
          <w:b w:val="0"/>
          <w:bCs w:val="0"/>
          <w:color w:val="auto"/>
          <w:kern w:val="2"/>
          <w:sz w:val="24"/>
          <w:szCs w:val="24"/>
          <w:highlight w:val="none"/>
        </w:rPr>
        <w:t xml:space="preserve">请登录政采云投标客户端投标https://www.zcygov.cn/投标 </w:t>
      </w:r>
    </w:p>
    <w:p>
      <w:pPr>
        <w:pStyle w:val="4"/>
        <w:keepNext w:val="0"/>
        <w:keepLines w:val="0"/>
        <w:pageBreakBefore w:val="0"/>
        <w:widowControl w:val="0"/>
        <w:numPr>
          <w:ilvl w:val="0"/>
          <w:numId w:val="5"/>
        </w:numPr>
        <w:kinsoku/>
        <w:overflowPunct/>
        <w:topLinePunct w:val="0"/>
        <w:bidi w:val="0"/>
        <w:spacing w:before="0" w:beforeLines="0" w:after="0" w:afterLines="0" w:line="440" w:lineRule="exact"/>
        <w:ind w:left="0" w:leftChars="0" w:firstLine="0" w:firstLineChars="0"/>
        <w:textAlignment w:val="auto"/>
        <w:rPr>
          <w:rFonts w:ascii="宋体" w:hAnsi="宋体" w:cs="宋体"/>
          <w:b w:val="0"/>
          <w:color w:val="auto"/>
          <w:sz w:val="24"/>
          <w:szCs w:val="24"/>
          <w:highlight w:val="none"/>
        </w:rPr>
      </w:pPr>
      <w:r>
        <w:rPr>
          <w:rFonts w:hint="eastAsia" w:ascii="宋体" w:hAnsi="宋体" w:cs="宋体"/>
          <w:b w:val="0"/>
          <w:color w:val="auto"/>
          <w:sz w:val="24"/>
          <w:szCs w:val="24"/>
          <w:highlight w:val="none"/>
        </w:rPr>
        <w:t xml:space="preserve">响应文件开启 </w:t>
      </w:r>
    </w:p>
    <w:p>
      <w:pPr>
        <w:pStyle w:val="13"/>
        <w:keepNext w:val="0"/>
        <w:keepLines w:val="0"/>
        <w:pageBreakBefore w:val="0"/>
        <w:widowControl w:val="0"/>
        <w:kinsoku/>
        <w:overflowPunct/>
        <w:topLinePunct w:val="0"/>
        <w:bidi w:val="0"/>
        <w:spacing w:line="440" w:lineRule="exact"/>
        <w:ind w:left="0" w:leftChars="0" w:firstLine="0" w:firstLineChars="0"/>
        <w:textAlignment w:val="auto"/>
        <w:rPr>
          <w:rFonts w:ascii="宋体" w:hAnsi="宋体" w:cs="宋体"/>
          <w:color w:val="auto"/>
          <w:sz w:val="24"/>
          <w:highlight w:val="none"/>
        </w:rPr>
      </w:pPr>
      <w:r>
        <w:rPr>
          <w:rFonts w:hint="eastAsia" w:ascii="宋体" w:hAnsi="宋体" w:cs="宋体"/>
          <w:color w:val="auto"/>
          <w:sz w:val="24"/>
          <w:highlight w:val="none"/>
        </w:rPr>
        <w:t>开启时间：</w:t>
      </w:r>
      <w:r>
        <w:rPr>
          <w:rFonts w:hint="eastAsia" w:ascii="宋体" w:hAnsi="宋体" w:cs="宋体"/>
          <w:color w:val="auto"/>
          <w:sz w:val="24"/>
          <w:highlight w:val="none"/>
          <w:u w:val="single"/>
        </w:rPr>
        <w:t>2023</w:t>
      </w:r>
      <w:r>
        <w:rPr>
          <w:rFonts w:hint="eastAsia" w:ascii="宋体" w:hAnsi="宋体" w:cs="宋体"/>
          <w:bCs/>
          <w:color w:val="auto"/>
          <w:sz w:val="24"/>
          <w:highlight w:val="none"/>
          <w:u w:val="single"/>
        </w:rPr>
        <w:t>年</w:t>
      </w:r>
      <w:r>
        <w:rPr>
          <w:rFonts w:hint="eastAsia" w:ascii="宋体" w:hAnsi="宋体" w:cs="宋体"/>
          <w:bCs/>
          <w:color w:val="auto"/>
          <w:sz w:val="24"/>
          <w:highlight w:val="none"/>
          <w:u w:val="single"/>
          <w:lang w:val="en-US" w:eastAsia="zh-CN"/>
        </w:rPr>
        <w:t>11</w:t>
      </w:r>
      <w:r>
        <w:rPr>
          <w:rFonts w:hint="eastAsia" w:ascii="宋体" w:hAnsi="宋体" w:cs="宋体"/>
          <w:bCs/>
          <w:color w:val="auto"/>
          <w:sz w:val="24"/>
          <w:highlight w:val="none"/>
          <w:u w:val="single"/>
        </w:rPr>
        <w:t>月</w:t>
      </w:r>
      <w:r>
        <w:rPr>
          <w:rFonts w:hint="eastAsia" w:ascii="宋体" w:hAnsi="宋体" w:cs="宋体"/>
          <w:bCs/>
          <w:color w:val="auto"/>
          <w:sz w:val="24"/>
          <w:highlight w:val="none"/>
          <w:u w:val="single"/>
          <w:lang w:val="en-US" w:eastAsia="zh-CN"/>
        </w:rPr>
        <w:t>2</w:t>
      </w:r>
      <w:r>
        <w:rPr>
          <w:rFonts w:hint="eastAsia" w:ascii="宋体" w:hAnsi="宋体" w:cs="宋体"/>
          <w:bCs/>
          <w:color w:val="auto"/>
          <w:sz w:val="24"/>
          <w:highlight w:val="none"/>
          <w:u w:val="single"/>
        </w:rPr>
        <w:t>日</w:t>
      </w:r>
      <w:r>
        <w:rPr>
          <w:rFonts w:hint="eastAsia" w:ascii="宋体" w:hAnsi="宋体" w:cs="宋体"/>
          <w:bCs/>
          <w:color w:val="auto"/>
          <w:sz w:val="24"/>
          <w:highlight w:val="none"/>
          <w:u w:val="single"/>
          <w:lang w:val="en-US" w:eastAsia="zh-CN"/>
        </w:rPr>
        <w:t>11</w:t>
      </w:r>
      <w:r>
        <w:rPr>
          <w:rFonts w:hint="eastAsia" w:ascii="宋体" w:hAnsi="宋体" w:cs="宋体"/>
          <w:bCs/>
          <w:color w:val="auto"/>
          <w:sz w:val="24"/>
          <w:highlight w:val="none"/>
          <w:u w:val="single"/>
        </w:rPr>
        <w:t>点</w:t>
      </w:r>
      <w:r>
        <w:rPr>
          <w:rFonts w:hint="eastAsia" w:ascii="宋体" w:hAnsi="宋体" w:cs="宋体"/>
          <w:bCs/>
          <w:color w:val="auto"/>
          <w:sz w:val="24"/>
          <w:highlight w:val="none"/>
          <w:u w:val="single"/>
          <w:lang w:val="en-US" w:eastAsia="zh-CN"/>
        </w:rPr>
        <w:t>00</w:t>
      </w:r>
      <w:r>
        <w:rPr>
          <w:rFonts w:hint="eastAsia" w:ascii="宋体" w:hAnsi="宋体" w:cs="宋体"/>
          <w:bCs/>
          <w:color w:val="auto"/>
          <w:sz w:val="24"/>
          <w:highlight w:val="none"/>
          <w:u w:val="single"/>
        </w:rPr>
        <w:t>分</w:t>
      </w:r>
      <w:r>
        <w:rPr>
          <w:rFonts w:hint="eastAsia" w:ascii="宋体" w:hAnsi="宋体" w:cs="宋体"/>
          <w:bCs/>
          <w:color w:val="auto"/>
          <w:sz w:val="24"/>
          <w:highlight w:val="none"/>
        </w:rPr>
        <w:t>（北京时间）</w:t>
      </w:r>
    </w:p>
    <w:p>
      <w:pPr>
        <w:keepNext w:val="0"/>
        <w:keepLines w:val="0"/>
        <w:pageBreakBefore w:val="0"/>
        <w:widowControl w:val="0"/>
        <w:kinsoku/>
        <w:overflowPunct/>
        <w:topLinePunct w:val="0"/>
        <w:bidi w:val="0"/>
        <w:spacing w:line="440" w:lineRule="exact"/>
        <w:ind w:left="0" w:leftChars="0" w:firstLine="0" w:firstLineChars="0"/>
        <w:textAlignment w:val="auto"/>
        <w:rPr>
          <w:rFonts w:ascii="宋体" w:hAnsi="宋体" w:cs="宋体"/>
          <w:sz w:val="24"/>
          <w:szCs w:val="24"/>
        </w:rPr>
      </w:pPr>
      <w:r>
        <w:rPr>
          <w:rFonts w:hint="eastAsia" w:ascii="宋体" w:hAnsi="宋体" w:cs="宋体"/>
          <w:sz w:val="24"/>
          <w:szCs w:val="24"/>
        </w:rPr>
        <w:t>地点：政采云开标大厅（www.zcygov.com）</w:t>
      </w:r>
    </w:p>
    <w:p>
      <w:pPr>
        <w:pStyle w:val="4"/>
        <w:keepNext w:val="0"/>
        <w:keepLines w:val="0"/>
        <w:pageBreakBefore w:val="0"/>
        <w:widowControl w:val="0"/>
        <w:numPr>
          <w:ilvl w:val="1"/>
          <w:numId w:val="0"/>
        </w:numPr>
        <w:kinsoku/>
        <w:overflowPunct/>
        <w:topLinePunct w:val="0"/>
        <w:bidi w:val="0"/>
        <w:spacing w:before="0" w:beforeLines="0" w:after="0" w:afterLines="0" w:line="440" w:lineRule="exact"/>
        <w:textAlignment w:val="auto"/>
        <w:rPr>
          <w:rFonts w:ascii="宋体" w:hAnsi="宋体" w:cs="宋体"/>
          <w:bCs w:val="0"/>
          <w:sz w:val="24"/>
          <w:szCs w:val="24"/>
        </w:rPr>
      </w:pPr>
      <w:r>
        <w:rPr>
          <w:rFonts w:hint="eastAsia" w:ascii="宋体" w:hAnsi="宋体" w:cs="宋体"/>
          <w:bCs w:val="0"/>
          <w:sz w:val="24"/>
          <w:szCs w:val="24"/>
        </w:rPr>
        <w:t>六、公告期限</w:t>
      </w:r>
    </w:p>
    <w:p>
      <w:pPr>
        <w:pStyle w:val="13"/>
        <w:keepNext w:val="0"/>
        <w:keepLines w:val="0"/>
        <w:pageBreakBefore w:val="0"/>
        <w:widowControl w:val="0"/>
        <w:kinsoku/>
        <w:overflowPunct/>
        <w:topLinePunct w:val="0"/>
        <w:bidi w:val="0"/>
        <w:spacing w:line="440" w:lineRule="exact"/>
        <w:ind w:left="0" w:leftChars="0" w:firstLine="0" w:firstLineChars="0"/>
        <w:textAlignment w:val="auto"/>
        <w:rPr>
          <w:rFonts w:ascii="宋体" w:hAnsi="宋体" w:cs="宋体"/>
          <w:sz w:val="24"/>
        </w:rPr>
      </w:pPr>
      <w:r>
        <w:rPr>
          <w:rFonts w:hint="eastAsia" w:ascii="宋体" w:hAnsi="宋体" w:cs="宋体"/>
          <w:sz w:val="24"/>
        </w:rPr>
        <w:t>自本公告发布之日起</w:t>
      </w:r>
      <w:r>
        <w:rPr>
          <w:rFonts w:hint="eastAsia" w:ascii="宋体" w:hAnsi="宋体" w:cs="宋体"/>
          <w:sz w:val="24"/>
          <w:lang w:val="en-US" w:eastAsia="zh-CN"/>
        </w:rPr>
        <w:t>5</w:t>
      </w:r>
      <w:r>
        <w:rPr>
          <w:rFonts w:hint="eastAsia" w:ascii="宋体" w:hAnsi="宋体" w:cs="宋体"/>
          <w:sz w:val="24"/>
        </w:rPr>
        <w:t>个工作日。</w:t>
      </w:r>
    </w:p>
    <w:p>
      <w:pPr>
        <w:pStyle w:val="4"/>
        <w:keepNext w:val="0"/>
        <w:keepLines w:val="0"/>
        <w:pageBreakBefore w:val="0"/>
        <w:widowControl w:val="0"/>
        <w:numPr>
          <w:ilvl w:val="1"/>
          <w:numId w:val="0"/>
        </w:numPr>
        <w:kinsoku/>
        <w:overflowPunct/>
        <w:topLinePunct w:val="0"/>
        <w:bidi w:val="0"/>
        <w:spacing w:before="0" w:beforeLines="0" w:after="0" w:afterLines="0" w:line="440" w:lineRule="exact"/>
        <w:textAlignment w:val="auto"/>
        <w:rPr>
          <w:rFonts w:ascii="宋体" w:hAnsi="宋体" w:cs="宋体"/>
          <w:bCs w:val="0"/>
          <w:sz w:val="24"/>
          <w:szCs w:val="24"/>
        </w:rPr>
      </w:pPr>
      <w:r>
        <w:rPr>
          <w:rFonts w:hint="eastAsia" w:ascii="宋体" w:hAnsi="宋体" w:cs="宋体"/>
          <w:bCs w:val="0"/>
          <w:sz w:val="24"/>
          <w:szCs w:val="24"/>
        </w:rPr>
        <w:t>七、其他补充事宜</w:t>
      </w:r>
    </w:p>
    <w:p>
      <w:pPr>
        <w:keepNext w:val="0"/>
        <w:keepLines w:val="0"/>
        <w:pageBreakBefore w:val="0"/>
        <w:widowControl w:val="0"/>
        <w:kinsoku/>
        <w:overflowPunct/>
        <w:topLinePunct w:val="0"/>
        <w:bidi w:val="0"/>
        <w:adjustRightInd w:val="0"/>
        <w:snapToGrid w:val="0"/>
        <w:spacing w:line="440" w:lineRule="exact"/>
        <w:ind w:left="0" w:leftChars="0" w:firstLine="0" w:firstLineChars="0"/>
        <w:textAlignment w:val="auto"/>
        <w:rPr>
          <w:rFonts w:ascii="宋体" w:hAnsi="宋体" w:cs="宋体"/>
          <w:kern w:val="0"/>
          <w:sz w:val="24"/>
          <w:szCs w:val="24"/>
        </w:rPr>
      </w:pPr>
      <w:r>
        <w:rPr>
          <w:rFonts w:hint="eastAsia" w:ascii="宋体" w:hAnsi="宋体" w:cs="宋体"/>
          <w:kern w:val="0"/>
          <w:sz w:val="24"/>
          <w:szCs w:val="24"/>
        </w:rPr>
        <w:t xml:space="preserve"> 1、本项目实行电子招投标，供应商须登录政采云平台申请获取采购文件，并需要使用CA锁，登录政采云电子投标客户端制作响应文件，若供应商参与投标,自行承担与投标有关的一切费用。</w:t>
      </w:r>
    </w:p>
    <w:p>
      <w:pPr>
        <w:pStyle w:val="40"/>
        <w:keepNext w:val="0"/>
        <w:keepLines w:val="0"/>
        <w:pageBreakBefore w:val="0"/>
        <w:widowControl w:val="0"/>
        <w:kinsoku/>
        <w:overflowPunct/>
        <w:topLinePunct w:val="0"/>
        <w:bidi w:val="0"/>
        <w:spacing w:after="0" w:afterLines="0" w:line="440" w:lineRule="exact"/>
        <w:ind w:left="0" w:leftChars="0" w:firstLine="0" w:firstLineChars="0"/>
        <w:textAlignment w:val="auto"/>
        <w:rPr>
          <w:rFonts w:ascii="宋体" w:hAnsi="宋体" w:eastAsia="宋体" w:cs="宋体"/>
          <w:spacing w:val="0"/>
          <w:kern w:val="0"/>
          <w:sz w:val="24"/>
          <w:szCs w:val="24"/>
        </w:rPr>
      </w:pPr>
      <w:r>
        <w:rPr>
          <w:rFonts w:hint="eastAsia" w:ascii="宋体" w:hAnsi="宋体" w:eastAsia="宋体" w:cs="宋体"/>
          <w:spacing w:val="0"/>
          <w:kern w:val="0"/>
          <w:sz w:val="24"/>
          <w:szCs w:val="24"/>
        </w:rPr>
        <w:t>2、各供应商应在开标前确保是新疆维吾尔自治区政府采购网正式注册入库的供应商，并完成CA数字证书申领。因未注册入库、未办理CA数字证书等原因造成无法投标或投标失败等后果的由供应商自行承担。</w:t>
      </w:r>
    </w:p>
    <w:p>
      <w:pPr>
        <w:pStyle w:val="40"/>
        <w:keepNext w:val="0"/>
        <w:keepLines w:val="0"/>
        <w:pageBreakBefore w:val="0"/>
        <w:widowControl w:val="0"/>
        <w:kinsoku/>
        <w:overflowPunct/>
        <w:topLinePunct w:val="0"/>
        <w:bidi w:val="0"/>
        <w:spacing w:after="0" w:afterLines="0" w:line="440" w:lineRule="exact"/>
        <w:ind w:left="0" w:leftChars="0" w:firstLine="0" w:firstLineChars="0"/>
        <w:textAlignment w:val="auto"/>
        <w:rPr>
          <w:rFonts w:ascii="宋体" w:hAnsi="宋体" w:eastAsia="宋体" w:cs="宋体"/>
          <w:spacing w:val="0"/>
          <w:kern w:val="0"/>
          <w:sz w:val="24"/>
          <w:szCs w:val="24"/>
        </w:rPr>
      </w:pPr>
      <w:r>
        <w:rPr>
          <w:rFonts w:hint="eastAsia" w:ascii="宋体" w:hAnsi="宋体" w:eastAsia="宋体" w:cs="宋体"/>
          <w:spacing w:val="0"/>
          <w:kern w:val="0"/>
          <w:sz w:val="24"/>
          <w:szCs w:val="24"/>
        </w:rPr>
        <w:t>3、供应商可前往新疆政府采购网（http://www.ccgp-xinjiang.gov.cn/）下载专区，下载政采云电子投标客户端，安装完成后，可通过账号密码或CA登录客户端进行响应文件制作。在使用政采云电子投标客户端时，建议使用WIN7及以上操作系统。如有问题可拨打政采云客户服务热线400-881-7190进行咨询。</w:t>
      </w:r>
    </w:p>
    <w:p>
      <w:pPr>
        <w:pStyle w:val="40"/>
        <w:keepNext w:val="0"/>
        <w:keepLines w:val="0"/>
        <w:pageBreakBefore w:val="0"/>
        <w:widowControl w:val="0"/>
        <w:kinsoku/>
        <w:overflowPunct/>
        <w:topLinePunct w:val="0"/>
        <w:bidi w:val="0"/>
        <w:spacing w:after="0" w:afterLines="0" w:line="440" w:lineRule="exact"/>
        <w:ind w:left="0" w:leftChars="0" w:firstLine="0" w:firstLineChars="0"/>
        <w:textAlignment w:val="auto"/>
        <w:rPr>
          <w:rFonts w:ascii="宋体" w:hAnsi="宋体" w:eastAsia="宋体" w:cs="宋体"/>
          <w:spacing w:val="0"/>
          <w:kern w:val="0"/>
          <w:sz w:val="24"/>
          <w:szCs w:val="24"/>
        </w:rPr>
      </w:pPr>
      <w:r>
        <w:rPr>
          <w:rFonts w:hint="eastAsia" w:ascii="宋体" w:hAnsi="宋体" w:eastAsia="宋体" w:cs="宋体"/>
          <w:spacing w:val="0"/>
          <w:kern w:val="0"/>
          <w:sz w:val="24"/>
          <w:szCs w:val="24"/>
        </w:rPr>
        <w:t>4、供应商在开标时须携带制作加密电子响应文件所使用的CA锁，电脑须提前配置好浏览器（建议使用360浏览器或谷歌浏览器），以便开标时在线解密。</w:t>
      </w:r>
    </w:p>
    <w:p>
      <w:pPr>
        <w:pStyle w:val="40"/>
        <w:keepNext w:val="0"/>
        <w:keepLines w:val="0"/>
        <w:pageBreakBefore w:val="0"/>
        <w:widowControl w:val="0"/>
        <w:kinsoku/>
        <w:overflowPunct/>
        <w:topLinePunct w:val="0"/>
        <w:bidi w:val="0"/>
        <w:spacing w:after="0" w:afterLines="0" w:line="440" w:lineRule="exact"/>
        <w:ind w:left="0" w:leftChars="0" w:firstLine="0" w:firstLineChars="0"/>
        <w:textAlignment w:val="auto"/>
        <w:rPr>
          <w:rFonts w:ascii="宋体" w:hAnsi="宋体" w:eastAsia="宋体" w:cs="宋体"/>
          <w:spacing w:val="0"/>
          <w:kern w:val="0"/>
          <w:sz w:val="24"/>
          <w:szCs w:val="24"/>
        </w:rPr>
      </w:pPr>
      <w:r>
        <w:rPr>
          <w:rFonts w:hint="eastAsia" w:ascii="宋体" w:hAnsi="宋体" w:eastAsia="宋体" w:cs="宋体"/>
          <w:spacing w:val="0"/>
          <w:kern w:val="0"/>
          <w:sz w:val="24"/>
          <w:szCs w:val="24"/>
        </w:rPr>
        <w:t>5、投标供应商应当在投标截止时间前，将生成的“电子加密响应文件”上传递交至“政府采购云平台”，投标截止时间以后上传递交的响应文件将被“政府采购云平台”拒收。</w:t>
      </w:r>
    </w:p>
    <w:p>
      <w:pPr>
        <w:pStyle w:val="18"/>
        <w:keepNext w:val="0"/>
        <w:keepLines w:val="0"/>
        <w:pageBreakBefore w:val="0"/>
        <w:widowControl w:val="0"/>
        <w:kinsoku/>
        <w:overflowPunct/>
        <w:topLinePunct w:val="0"/>
        <w:bidi w:val="0"/>
        <w:spacing w:before="0" w:line="440" w:lineRule="exact"/>
        <w:ind w:left="0" w:leftChars="0" w:firstLine="0" w:firstLineChars="0"/>
        <w:textAlignment w:val="auto"/>
        <w:rPr>
          <w:rFonts w:ascii="宋体" w:hAnsi="宋体" w:cs="宋体"/>
          <w:b/>
          <w:spacing w:val="4"/>
          <w:sz w:val="24"/>
          <w:szCs w:val="24"/>
        </w:rPr>
      </w:pPr>
      <w:r>
        <w:rPr>
          <w:rFonts w:hint="eastAsia" w:ascii="宋体" w:hAnsi="宋体" w:cs="宋体"/>
          <w:b/>
          <w:spacing w:val="4"/>
          <w:sz w:val="24"/>
          <w:szCs w:val="24"/>
        </w:rPr>
        <w:t>特别提示：</w:t>
      </w:r>
    </w:p>
    <w:p>
      <w:pPr>
        <w:keepNext w:val="0"/>
        <w:keepLines w:val="0"/>
        <w:pageBreakBefore w:val="0"/>
        <w:widowControl w:val="0"/>
        <w:kinsoku/>
        <w:overflowPunct/>
        <w:topLinePunct w:val="0"/>
        <w:bidi w:val="0"/>
        <w:spacing w:line="440" w:lineRule="exact"/>
        <w:ind w:left="0" w:leftChars="0" w:firstLine="0" w:firstLineChars="0"/>
        <w:jc w:val="left"/>
        <w:textAlignment w:val="auto"/>
        <w:rPr>
          <w:rFonts w:ascii="宋体" w:hAnsi="宋体" w:cs="宋体"/>
          <w:kern w:val="0"/>
          <w:sz w:val="24"/>
          <w:szCs w:val="24"/>
        </w:rPr>
      </w:pPr>
      <w:r>
        <w:rPr>
          <w:rFonts w:hint="eastAsia" w:ascii="宋体" w:hAnsi="宋体" w:cs="宋体"/>
          <w:kern w:val="0"/>
          <w:sz w:val="24"/>
          <w:szCs w:val="24"/>
        </w:rPr>
        <w:t>1、采购限额标准以上，200万元以下的货物和服务采购项目、400万元以下的工程采购项目，适宜由中小企业提供的，采购人应当专门面向中小企业采购。</w:t>
      </w:r>
    </w:p>
    <w:p>
      <w:pPr>
        <w:keepNext w:val="0"/>
        <w:keepLines w:val="0"/>
        <w:pageBreakBefore w:val="0"/>
        <w:widowControl w:val="0"/>
        <w:kinsoku/>
        <w:overflowPunct/>
        <w:topLinePunct w:val="0"/>
        <w:bidi w:val="0"/>
        <w:spacing w:line="440" w:lineRule="exact"/>
        <w:ind w:left="0" w:leftChars="0" w:firstLine="0" w:firstLineChars="0"/>
        <w:jc w:val="left"/>
        <w:textAlignment w:val="auto"/>
        <w:rPr>
          <w:rFonts w:ascii="宋体" w:hAnsi="宋体" w:cs="宋体"/>
          <w:kern w:val="0"/>
          <w:sz w:val="24"/>
          <w:szCs w:val="24"/>
        </w:rPr>
      </w:pPr>
      <w:r>
        <w:rPr>
          <w:rFonts w:hint="eastAsia" w:ascii="宋体" w:hAnsi="宋体" w:cs="宋体"/>
          <w:kern w:val="0"/>
          <w:sz w:val="24"/>
          <w:szCs w:val="24"/>
        </w:rPr>
        <w:t>2、超过200万元的货物和服务采购项目、超过400万元的工程采购项目中适宜由中小企业提供的，预留该部分采购项目预算总额的30%以上专门面向中小企业采购，其中预留给小微企业的比例不低于60%。</w:t>
      </w:r>
    </w:p>
    <w:p>
      <w:pPr>
        <w:keepNext w:val="0"/>
        <w:keepLines w:val="0"/>
        <w:pageBreakBefore w:val="0"/>
        <w:widowControl w:val="0"/>
        <w:kinsoku/>
        <w:overflowPunct/>
        <w:topLinePunct w:val="0"/>
        <w:bidi w:val="0"/>
        <w:spacing w:line="440" w:lineRule="exact"/>
        <w:ind w:left="0" w:leftChars="0" w:firstLine="0" w:firstLineChars="0"/>
        <w:jc w:val="left"/>
        <w:textAlignment w:val="auto"/>
        <w:rPr>
          <w:rFonts w:ascii="宋体" w:hAnsi="宋体" w:cs="宋体"/>
          <w:kern w:val="0"/>
          <w:sz w:val="24"/>
          <w:szCs w:val="24"/>
        </w:rPr>
      </w:pPr>
      <w:r>
        <w:rPr>
          <w:rFonts w:hint="eastAsia" w:ascii="宋体" w:hAnsi="宋体" w:cs="宋体"/>
          <w:kern w:val="0"/>
          <w:sz w:val="24"/>
          <w:szCs w:val="24"/>
        </w:rPr>
        <w:t>3、对于未预留份额专门面向中小企业的采购项目，以及预留份额项目中的非预留部分采购包，采购人、采购代理机构应当对符合规定的小微企业报价给予10%</w:t>
      </w:r>
      <w:r>
        <w:rPr>
          <w:rFonts w:hint="eastAsia" w:ascii="宋体" w:hAnsi="宋体" w:eastAsia="宋体" w:cs="宋体"/>
          <w:kern w:val="0"/>
          <w:sz w:val="24"/>
          <w:szCs w:val="24"/>
        </w:rPr>
        <w:t>～</w:t>
      </w:r>
      <w:r>
        <w:rPr>
          <w:rFonts w:hint="eastAsia" w:ascii="宋体" w:hAnsi="宋体" w:cs="宋体"/>
          <w:kern w:val="0"/>
          <w:sz w:val="24"/>
          <w:szCs w:val="24"/>
        </w:rPr>
        <w:t>20%（工程项目为3%</w:t>
      </w:r>
      <w:r>
        <w:rPr>
          <w:rFonts w:hint="eastAsia" w:ascii="宋体" w:hAnsi="宋体" w:eastAsia="宋体" w:cs="宋体"/>
          <w:kern w:val="0"/>
          <w:sz w:val="24"/>
          <w:szCs w:val="24"/>
        </w:rPr>
        <w:t>～</w:t>
      </w:r>
      <w:r>
        <w:rPr>
          <w:rFonts w:hint="eastAsia" w:ascii="宋体" w:hAnsi="宋体" w:cs="宋体"/>
          <w:kern w:val="0"/>
          <w:sz w:val="24"/>
          <w:szCs w:val="24"/>
        </w:rPr>
        <w:t>5%）的扣除，用扣除后的价格参加评审。适用招标投标法的政府采购工程建设项目，采用综合评估法但未采用低价优先法计算价格分的，评标时应当在采用原报价进行评分的基础上增加其价格得分的3%</w:t>
      </w:r>
      <w:r>
        <w:rPr>
          <w:rFonts w:hint="eastAsia" w:ascii="宋体" w:hAnsi="宋体" w:eastAsia="宋体" w:cs="宋体"/>
          <w:kern w:val="0"/>
          <w:sz w:val="24"/>
          <w:szCs w:val="24"/>
        </w:rPr>
        <w:t>～</w:t>
      </w:r>
      <w:r>
        <w:rPr>
          <w:rFonts w:hint="eastAsia" w:ascii="宋体" w:hAnsi="宋体" w:cs="宋体"/>
          <w:kern w:val="0"/>
          <w:sz w:val="24"/>
          <w:szCs w:val="24"/>
        </w:rPr>
        <w:t>5%作为其价格分。</w:t>
      </w:r>
    </w:p>
    <w:p>
      <w:pPr>
        <w:keepNext w:val="0"/>
        <w:keepLines w:val="0"/>
        <w:pageBreakBefore w:val="0"/>
        <w:widowControl w:val="0"/>
        <w:kinsoku/>
        <w:overflowPunct/>
        <w:topLinePunct w:val="0"/>
        <w:bidi w:val="0"/>
        <w:spacing w:line="440" w:lineRule="exact"/>
        <w:ind w:left="0" w:leftChars="0" w:firstLine="0" w:firstLineChars="0"/>
        <w:jc w:val="left"/>
        <w:textAlignment w:val="auto"/>
        <w:rPr>
          <w:rFonts w:ascii="宋体" w:hAnsi="宋体" w:cs="宋体"/>
        </w:rPr>
      </w:pPr>
      <w:r>
        <w:rPr>
          <w:rFonts w:hint="eastAsia" w:ascii="宋体" w:hAnsi="宋体" w:cs="宋体"/>
          <w:kern w:val="0"/>
          <w:sz w:val="24"/>
          <w:szCs w:val="24"/>
        </w:rPr>
        <w:t>4、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4%</w:t>
      </w:r>
      <w:r>
        <w:rPr>
          <w:rFonts w:hint="eastAsia" w:ascii="宋体" w:hAnsi="宋体" w:eastAsia="宋体" w:cs="宋体"/>
          <w:kern w:val="0"/>
          <w:sz w:val="24"/>
          <w:szCs w:val="24"/>
        </w:rPr>
        <w:t>～</w:t>
      </w:r>
      <w:r>
        <w:rPr>
          <w:rFonts w:hint="eastAsia" w:ascii="宋体" w:hAnsi="宋体" w:cs="宋体"/>
          <w:kern w:val="0"/>
          <w:sz w:val="24"/>
          <w:szCs w:val="24"/>
        </w:rPr>
        <w:t>6%（工程项目为1%</w:t>
      </w:r>
      <w:r>
        <w:rPr>
          <w:rFonts w:hint="eastAsia" w:ascii="宋体" w:hAnsi="宋体" w:eastAsia="宋体" w:cs="宋体"/>
          <w:kern w:val="0"/>
          <w:sz w:val="24"/>
          <w:szCs w:val="24"/>
        </w:rPr>
        <w:t>～</w:t>
      </w:r>
      <w:r>
        <w:rPr>
          <w:rFonts w:hint="eastAsia" w:ascii="宋体" w:hAnsi="宋体" w:cs="宋体"/>
          <w:kern w:val="0"/>
          <w:sz w:val="24"/>
          <w:szCs w:val="24"/>
        </w:rPr>
        <w:t>2%）的扣除，用扣除后的价格参加评审。适用招标投标法的政府采购工程建设项目，采用综合评估法但未采用低价优先法计算价格分的，评标时应当在采用原报价进行评分的基础上增加其价格得分的1%</w:t>
      </w:r>
      <w:r>
        <w:rPr>
          <w:rFonts w:hint="eastAsia" w:ascii="宋体" w:hAnsi="宋体" w:eastAsia="宋体" w:cs="宋体"/>
          <w:kern w:val="0"/>
          <w:sz w:val="24"/>
          <w:szCs w:val="24"/>
        </w:rPr>
        <w:t>～</w:t>
      </w:r>
      <w:r>
        <w:rPr>
          <w:rFonts w:hint="eastAsia" w:ascii="宋体" w:hAnsi="宋体" w:cs="宋体"/>
          <w:kern w:val="0"/>
          <w:sz w:val="24"/>
          <w:szCs w:val="24"/>
        </w:rPr>
        <w:t>2%作为其价格分。</w:t>
      </w:r>
    </w:p>
    <w:p>
      <w:pPr>
        <w:pStyle w:val="4"/>
        <w:keepNext w:val="0"/>
        <w:keepLines w:val="0"/>
        <w:pageBreakBefore w:val="0"/>
        <w:widowControl w:val="0"/>
        <w:numPr>
          <w:ilvl w:val="1"/>
          <w:numId w:val="0"/>
        </w:numPr>
        <w:kinsoku/>
        <w:wordWrap/>
        <w:overflowPunct/>
        <w:topLinePunct w:val="0"/>
        <w:autoSpaceDE/>
        <w:autoSpaceDN/>
        <w:bidi w:val="0"/>
        <w:adjustRightInd/>
        <w:snapToGrid/>
        <w:spacing w:before="0" w:beforeLines="0" w:after="0" w:afterLines="0" w:line="440" w:lineRule="exact"/>
        <w:ind w:left="0" w:leftChars="0" w:firstLine="0" w:firstLineChars="0"/>
        <w:textAlignment w:val="auto"/>
        <w:rPr>
          <w:rFonts w:ascii="宋体" w:hAnsi="宋体" w:cs="宋体"/>
          <w:bCs w:val="0"/>
          <w:sz w:val="24"/>
          <w:szCs w:val="24"/>
        </w:rPr>
      </w:pPr>
      <w:bookmarkStart w:id="22" w:name="_Toc28359095"/>
      <w:bookmarkStart w:id="23" w:name="_Toc35393636"/>
      <w:bookmarkStart w:id="24" w:name="_Toc28359018"/>
      <w:bookmarkStart w:id="25" w:name="_Toc35393805"/>
      <w:r>
        <w:rPr>
          <w:rFonts w:hint="eastAsia" w:ascii="宋体" w:hAnsi="宋体" w:cs="宋体"/>
          <w:bCs w:val="0"/>
          <w:sz w:val="24"/>
          <w:szCs w:val="24"/>
        </w:rPr>
        <w:t>八、凡对本次采购提出询问，请按以下方式联系</w:t>
      </w:r>
      <w:bookmarkEnd w:id="22"/>
      <w:bookmarkEnd w:id="23"/>
      <w:bookmarkEnd w:id="24"/>
      <w:bookmarkEnd w:id="25"/>
    </w:p>
    <w:p>
      <w:pPr>
        <w:keepNext w:val="0"/>
        <w:keepLines w:val="0"/>
        <w:pageBreakBefore w:val="0"/>
        <w:widowControl w:val="0"/>
        <w:kinsoku/>
        <w:overflowPunct/>
        <w:topLinePunct w:val="0"/>
        <w:bidi w:val="0"/>
        <w:adjustRightInd w:val="0"/>
        <w:snapToGrid w:val="0"/>
        <w:spacing w:line="440" w:lineRule="exact"/>
        <w:ind w:left="0" w:leftChars="0"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bookmarkStart w:id="26" w:name="_Toc28359019"/>
      <w:bookmarkStart w:id="27" w:name="_Toc28359096"/>
      <w:bookmarkStart w:id="28" w:name="_Toc35393806"/>
      <w:bookmarkStart w:id="29" w:name="_Toc35393637"/>
      <w:r>
        <w:rPr>
          <w:rFonts w:hint="eastAsia" w:ascii="宋体" w:hAnsi="宋体" w:eastAsia="宋体" w:cs="宋体"/>
          <w:color w:val="000000" w:themeColor="text1"/>
          <w:kern w:val="0"/>
          <w:sz w:val="24"/>
          <w:szCs w:val="24"/>
          <w14:textFill>
            <w14:solidFill>
              <w14:schemeClr w14:val="tx1"/>
            </w14:solidFill>
          </w14:textFill>
        </w:rPr>
        <w:t>1.采购人信息</w:t>
      </w:r>
      <w:bookmarkEnd w:id="26"/>
      <w:bookmarkEnd w:id="27"/>
      <w:bookmarkEnd w:id="28"/>
      <w:bookmarkEnd w:id="29"/>
    </w:p>
    <w:p>
      <w:pPr>
        <w:keepNext w:val="0"/>
        <w:keepLines w:val="0"/>
        <w:pageBreakBefore w:val="0"/>
        <w:widowControl w:val="0"/>
        <w:kinsoku/>
        <w:overflowPunct/>
        <w:topLinePunct w:val="0"/>
        <w:bidi w:val="0"/>
        <w:adjustRightInd w:val="0"/>
        <w:snapToGrid w:val="0"/>
        <w:spacing w:line="440" w:lineRule="exact"/>
        <w:ind w:left="0" w:leftChars="0" w:firstLine="0" w:firstLineChars="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名    称：玛纳斯县人民医院</w:t>
      </w:r>
    </w:p>
    <w:p>
      <w:pPr>
        <w:keepNext w:val="0"/>
        <w:keepLines w:val="0"/>
        <w:pageBreakBefore w:val="0"/>
        <w:widowControl w:val="0"/>
        <w:kinsoku/>
        <w:overflowPunct/>
        <w:topLinePunct w:val="0"/>
        <w:bidi w:val="0"/>
        <w:adjustRightInd w:val="0"/>
        <w:snapToGrid w:val="0"/>
        <w:spacing w:line="440" w:lineRule="exact"/>
        <w:ind w:left="0" w:leftChars="0" w:firstLine="0" w:firstLineChars="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地    址：昌吉回族自治州玛纳斯县凤凰东路26号</w:t>
      </w:r>
    </w:p>
    <w:p>
      <w:pPr>
        <w:keepNext w:val="0"/>
        <w:keepLines w:val="0"/>
        <w:pageBreakBefore w:val="0"/>
        <w:widowControl w:val="0"/>
        <w:kinsoku/>
        <w:overflowPunct/>
        <w:topLinePunct w:val="0"/>
        <w:bidi w:val="0"/>
        <w:adjustRightInd w:val="0"/>
        <w:snapToGrid w:val="0"/>
        <w:spacing w:line="440" w:lineRule="exact"/>
        <w:ind w:left="0" w:leftChars="0" w:firstLine="0" w:firstLine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rPr>
        <w:t>联系方式：15001650166</w:t>
      </w:r>
    </w:p>
    <w:p>
      <w:pPr>
        <w:keepNext w:val="0"/>
        <w:keepLines w:val="0"/>
        <w:pageBreakBefore w:val="0"/>
        <w:widowControl w:val="0"/>
        <w:kinsoku/>
        <w:overflowPunct/>
        <w:topLinePunct w:val="0"/>
        <w:bidi w:val="0"/>
        <w:adjustRightInd w:val="0"/>
        <w:snapToGrid w:val="0"/>
        <w:spacing w:line="440" w:lineRule="exact"/>
        <w:ind w:left="0" w:leftChars="0" w:firstLine="0" w:firstLineChars="0"/>
        <w:textAlignment w:val="auto"/>
        <w:rPr>
          <w:rFonts w:hint="eastAsia" w:ascii="宋体" w:hAnsi="宋体" w:eastAsia="宋体" w:cs="宋体"/>
          <w:kern w:val="0"/>
          <w:sz w:val="24"/>
          <w:szCs w:val="24"/>
        </w:rPr>
      </w:pPr>
      <w:bookmarkStart w:id="30" w:name="_Toc28359097"/>
      <w:bookmarkStart w:id="31" w:name="_Toc35393807"/>
      <w:bookmarkStart w:id="32" w:name="_Toc28359020"/>
      <w:bookmarkStart w:id="33" w:name="_Toc35393638"/>
      <w:r>
        <w:rPr>
          <w:rFonts w:hint="eastAsia" w:ascii="宋体" w:hAnsi="宋体" w:eastAsia="宋体" w:cs="宋体"/>
          <w:color w:val="000000" w:themeColor="text1"/>
          <w:kern w:val="0"/>
          <w:sz w:val="24"/>
          <w:szCs w:val="24"/>
          <w14:textFill>
            <w14:solidFill>
              <w14:schemeClr w14:val="tx1"/>
            </w14:solidFill>
          </w14:textFill>
        </w:rPr>
        <w:t>2</w:t>
      </w:r>
      <w:bookmarkEnd w:id="30"/>
      <w:bookmarkEnd w:id="31"/>
      <w:bookmarkEnd w:id="32"/>
      <w:bookmarkEnd w:id="33"/>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kern w:val="0"/>
          <w:sz w:val="24"/>
          <w:szCs w:val="24"/>
        </w:rPr>
        <w:t>采购代理机构信息</w:t>
      </w:r>
    </w:p>
    <w:p>
      <w:pPr>
        <w:keepNext w:val="0"/>
        <w:keepLines w:val="0"/>
        <w:pageBreakBefore w:val="0"/>
        <w:widowControl w:val="0"/>
        <w:kinsoku/>
        <w:overflowPunct/>
        <w:topLinePunct w:val="0"/>
        <w:bidi w:val="0"/>
        <w:adjustRightInd w:val="0"/>
        <w:snapToGrid w:val="0"/>
        <w:spacing w:line="440" w:lineRule="exact"/>
        <w:ind w:left="0" w:leftChars="0" w:firstLine="0" w:firstLineChars="0"/>
        <w:textAlignment w:val="auto"/>
        <w:rPr>
          <w:rFonts w:hint="eastAsia" w:ascii="宋体" w:hAnsi="宋体" w:eastAsia="宋体" w:cs="宋体"/>
          <w:kern w:val="0"/>
          <w:sz w:val="24"/>
          <w:szCs w:val="24"/>
        </w:rPr>
      </w:pPr>
      <w:r>
        <w:rPr>
          <w:rFonts w:hint="eastAsia" w:ascii="宋体" w:hAnsi="宋体" w:eastAsia="宋体" w:cs="宋体"/>
          <w:kern w:val="0"/>
          <w:sz w:val="24"/>
          <w:szCs w:val="24"/>
        </w:rPr>
        <w:t>名    称：玛纳斯县政务服务和公共资源交易管理中心</w:t>
      </w:r>
    </w:p>
    <w:p>
      <w:pPr>
        <w:keepNext w:val="0"/>
        <w:keepLines w:val="0"/>
        <w:pageBreakBefore w:val="0"/>
        <w:widowControl w:val="0"/>
        <w:kinsoku/>
        <w:overflowPunct/>
        <w:topLinePunct w:val="0"/>
        <w:bidi w:val="0"/>
        <w:adjustRightInd w:val="0"/>
        <w:snapToGrid w:val="0"/>
        <w:spacing w:line="440" w:lineRule="exact"/>
        <w:ind w:left="0" w:leftChars="0" w:firstLine="0" w:firstLineChars="0"/>
        <w:textAlignment w:val="auto"/>
        <w:rPr>
          <w:rFonts w:hint="eastAsia" w:ascii="宋体" w:hAnsi="宋体" w:eastAsia="宋体" w:cs="宋体"/>
          <w:kern w:val="0"/>
          <w:sz w:val="24"/>
          <w:szCs w:val="24"/>
        </w:rPr>
      </w:pPr>
      <w:r>
        <w:rPr>
          <w:rFonts w:hint="eastAsia" w:ascii="宋体" w:hAnsi="宋体" w:eastAsia="宋体" w:cs="宋体"/>
          <w:kern w:val="0"/>
          <w:sz w:val="24"/>
          <w:szCs w:val="24"/>
        </w:rPr>
        <w:t>地　　址：玛纳斯县中华碧玉园政务服务中心</w:t>
      </w:r>
    </w:p>
    <w:p>
      <w:pPr>
        <w:pStyle w:val="40"/>
        <w:keepNext w:val="0"/>
        <w:keepLines w:val="0"/>
        <w:pageBreakBefore w:val="0"/>
        <w:widowControl w:val="0"/>
        <w:kinsoku/>
        <w:overflowPunct/>
        <w:topLinePunct w:val="0"/>
        <w:bidi w:val="0"/>
        <w:spacing w:after="0" w:afterLines="0" w:line="440" w:lineRule="exact"/>
        <w:ind w:left="0" w:leftChars="0" w:firstLine="0" w:firstLineChars="0"/>
        <w:textAlignment w:val="auto"/>
        <w:rPr>
          <w:rFonts w:hint="eastAsia" w:ascii="宋体" w:hAnsi="宋体" w:eastAsia="宋体" w:cs="宋体"/>
          <w:spacing w:val="0"/>
          <w:kern w:val="0"/>
          <w:sz w:val="24"/>
          <w:szCs w:val="24"/>
        </w:rPr>
      </w:pPr>
      <w:r>
        <w:rPr>
          <w:rFonts w:hint="eastAsia" w:ascii="宋体" w:hAnsi="宋体" w:eastAsia="宋体" w:cs="宋体"/>
          <w:spacing w:val="0"/>
          <w:kern w:val="0"/>
          <w:sz w:val="24"/>
          <w:szCs w:val="24"/>
        </w:rPr>
        <w:t>项目联系人：巴雅斯拉、兰艳</w:t>
      </w:r>
    </w:p>
    <w:p>
      <w:pPr>
        <w:keepNext w:val="0"/>
        <w:keepLines w:val="0"/>
        <w:pageBreakBefore w:val="0"/>
        <w:widowControl w:val="0"/>
        <w:kinsoku/>
        <w:overflowPunct/>
        <w:topLinePunct w:val="0"/>
        <w:bidi w:val="0"/>
        <w:adjustRightInd w:val="0"/>
        <w:snapToGrid w:val="0"/>
        <w:spacing w:line="440" w:lineRule="exact"/>
        <w:ind w:left="0" w:leftChars="0"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kern w:val="0"/>
          <w:sz w:val="24"/>
          <w:szCs w:val="24"/>
        </w:rPr>
        <w:t>联系方式：0994-6300063</w:t>
      </w:r>
      <w:r>
        <w:rPr>
          <w:rFonts w:hint="eastAsia" w:ascii="宋体" w:hAnsi="宋体" w:eastAsia="宋体" w:cs="宋体"/>
          <w:color w:val="000000" w:themeColor="text1"/>
          <w:kern w:val="0"/>
          <w:sz w:val="24"/>
          <w:szCs w:val="24"/>
          <w14:textFill>
            <w14:solidFill>
              <w14:schemeClr w14:val="tx1"/>
            </w14:solidFill>
          </w14:textFill>
        </w:rPr>
        <w:t>　</w:t>
      </w:r>
    </w:p>
    <w:p>
      <w:pPr>
        <w:rPr>
          <w:rFonts w:hint="eastAsia"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br w:type="page"/>
      </w:r>
    </w:p>
    <w:p>
      <w:pPr>
        <w:pStyle w:val="4"/>
        <w:numPr>
          <w:ilvl w:val="0"/>
          <w:numId w:val="6"/>
        </w:numPr>
        <w:spacing w:before="360" w:after="360"/>
        <w:ind w:left="576"/>
        <w:jc w:val="center"/>
        <w:rPr>
          <w:lang w:eastAsia="zh-CN"/>
        </w:rPr>
      </w:pPr>
      <w:r>
        <w:rPr>
          <w:lang w:eastAsia="zh-CN"/>
        </w:rPr>
        <w:t>投标人须知</w:t>
      </w:r>
    </w:p>
    <w:tbl>
      <w:tblPr>
        <w:tblStyle w:val="41"/>
        <w:tblW w:w="8867"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651"/>
        <w:gridCol w:w="1797"/>
        <w:gridCol w:w="6419"/>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49" w:hRule="exact"/>
          <w:tblHeader/>
          <w:jc w:val="center"/>
        </w:trPr>
        <w:tc>
          <w:tcPr>
            <w:tcW w:w="651" w:type="dxa"/>
            <w:tcBorders>
              <w:top w:val="single" w:color="auto" w:sz="18" w:space="0"/>
              <w:left w:val="single" w:color="auto" w:sz="18" w:space="0"/>
              <w:bottom w:val="single" w:color="auto" w:sz="8" w:space="0"/>
              <w:right w:val="single" w:color="auto" w:sz="8" w:space="0"/>
            </w:tcBorders>
            <w:noWrap/>
            <w:vAlign w:val="center"/>
          </w:tcPr>
          <w:p>
            <w:pPr>
              <w:pStyle w:val="237"/>
              <w:spacing w:line="400" w:lineRule="exact"/>
              <w:jc w:val="center"/>
              <w:rPr>
                <w:rFonts w:hAnsi="宋体"/>
                <w:color w:val="auto"/>
                <w:lang w:val="zh-CN"/>
              </w:rPr>
            </w:pPr>
            <w:r>
              <w:rPr>
                <w:rFonts w:hint="eastAsia" w:hAnsi="宋体"/>
                <w:color w:val="auto"/>
                <w:lang w:val="zh-CN"/>
              </w:rPr>
              <w:t xml:space="preserve">序号 </w:t>
            </w:r>
          </w:p>
        </w:tc>
        <w:tc>
          <w:tcPr>
            <w:tcW w:w="1797" w:type="dxa"/>
            <w:tcBorders>
              <w:top w:val="single" w:color="auto" w:sz="18" w:space="0"/>
              <w:left w:val="single" w:color="auto" w:sz="8" w:space="0"/>
              <w:bottom w:val="single" w:color="auto" w:sz="8" w:space="0"/>
              <w:right w:val="single" w:color="auto" w:sz="8" w:space="0"/>
            </w:tcBorders>
            <w:noWrap/>
            <w:vAlign w:val="center"/>
          </w:tcPr>
          <w:p>
            <w:pPr>
              <w:pStyle w:val="237"/>
              <w:spacing w:line="400" w:lineRule="exact"/>
              <w:jc w:val="center"/>
              <w:rPr>
                <w:rFonts w:hAnsi="宋体"/>
                <w:color w:val="auto"/>
                <w:lang w:val="zh-CN"/>
              </w:rPr>
            </w:pPr>
            <w:r>
              <w:rPr>
                <w:rFonts w:hint="eastAsia" w:hAnsi="宋体"/>
                <w:color w:val="auto"/>
                <w:lang w:val="zh-CN"/>
              </w:rPr>
              <w:t>内容</w:t>
            </w:r>
          </w:p>
        </w:tc>
        <w:tc>
          <w:tcPr>
            <w:tcW w:w="6419" w:type="dxa"/>
            <w:tcBorders>
              <w:top w:val="single" w:color="auto" w:sz="18" w:space="0"/>
              <w:left w:val="single" w:color="auto" w:sz="8" w:space="0"/>
              <w:bottom w:val="single" w:color="auto" w:sz="8" w:space="0"/>
              <w:right w:val="single" w:color="auto" w:sz="18" w:space="0"/>
            </w:tcBorders>
            <w:noWrap/>
            <w:vAlign w:val="center"/>
          </w:tcPr>
          <w:p>
            <w:pPr>
              <w:pStyle w:val="237"/>
              <w:spacing w:line="400" w:lineRule="exact"/>
              <w:jc w:val="center"/>
              <w:rPr>
                <w:rFonts w:hAnsi="宋体"/>
                <w:color w:val="auto"/>
                <w:lang w:val="zh-CN"/>
              </w:rPr>
            </w:pPr>
            <w:r>
              <w:rPr>
                <w:rFonts w:hint="eastAsia" w:hAnsi="宋体"/>
                <w:color w:val="auto"/>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88" w:hRule="atLeast"/>
          <w:jc w:val="center"/>
        </w:trPr>
        <w:tc>
          <w:tcPr>
            <w:tcW w:w="651" w:type="dxa"/>
            <w:tcBorders>
              <w:top w:val="single" w:color="auto" w:sz="8" w:space="0"/>
              <w:left w:val="single" w:color="auto" w:sz="18" w:space="0"/>
              <w:bottom w:val="single" w:color="auto" w:sz="8" w:space="0"/>
              <w:right w:val="single" w:color="auto" w:sz="8" w:space="0"/>
            </w:tcBorders>
            <w:noWrap/>
            <w:vAlign w:val="center"/>
          </w:tcPr>
          <w:p>
            <w:pPr>
              <w:pStyle w:val="237"/>
              <w:keepNext w:val="0"/>
              <w:keepLines w:val="0"/>
              <w:pageBreakBefore w:val="0"/>
              <w:widowControl w:val="0"/>
              <w:numPr>
                <w:ilvl w:val="0"/>
                <w:numId w:val="7"/>
              </w:numPr>
              <w:kinsoku/>
              <w:wordWrap/>
              <w:overflowPunct/>
              <w:topLinePunct w:val="0"/>
              <w:autoSpaceDE w:val="0"/>
              <w:autoSpaceDN w:val="0"/>
              <w:bidi w:val="0"/>
              <w:adjustRightInd w:val="0"/>
              <w:snapToGrid/>
              <w:spacing w:line="400" w:lineRule="exact"/>
              <w:ind w:left="210" w:leftChars="0" w:firstLine="0" w:firstLineChars="0"/>
              <w:jc w:val="center"/>
              <w:textAlignment w:val="auto"/>
              <w:rPr>
                <w:rFonts w:hAnsi="宋体"/>
                <w:color w:val="auto"/>
                <w:lang w:val="zh-CN"/>
              </w:rPr>
            </w:pPr>
          </w:p>
        </w:tc>
        <w:tc>
          <w:tcPr>
            <w:tcW w:w="1797" w:type="dxa"/>
            <w:tcBorders>
              <w:top w:val="single" w:color="auto" w:sz="8" w:space="0"/>
              <w:left w:val="single" w:color="auto" w:sz="8" w:space="0"/>
              <w:bottom w:val="single" w:color="auto" w:sz="8" w:space="0"/>
              <w:right w:val="single" w:color="auto" w:sz="8" w:space="0"/>
            </w:tcBorders>
            <w:noWrap/>
            <w:vAlign w:val="center"/>
          </w:tcPr>
          <w:p>
            <w:pPr>
              <w:pStyle w:val="237"/>
              <w:spacing w:line="400" w:lineRule="exact"/>
              <w:jc w:val="center"/>
              <w:rPr>
                <w:rFonts w:hAnsi="宋体"/>
                <w:color w:val="auto"/>
                <w:lang w:val="zh-CN"/>
              </w:rPr>
            </w:pPr>
            <w:r>
              <w:rPr>
                <w:rFonts w:hint="eastAsia" w:hAnsi="宋体"/>
                <w:color w:val="auto"/>
                <w:lang w:val="zh-CN"/>
              </w:rPr>
              <w:t>采购人</w:t>
            </w:r>
          </w:p>
        </w:tc>
        <w:tc>
          <w:tcPr>
            <w:tcW w:w="6419" w:type="dxa"/>
            <w:tcBorders>
              <w:top w:val="single" w:color="auto" w:sz="8" w:space="0"/>
              <w:left w:val="single" w:color="auto" w:sz="8" w:space="0"/>
              <w:bottom w:val="single" w:color="auto" w:sz="8" w:space="0"/>
              <w:right w:val="single" w:color="auto" w:sz="18" w:space="0"/>
            </w:tcBorders>
            <w:noWrap/>
            <w:vAlign w:val="center"/>
          </w:tcPr>
          <w:p>
            <w:pPr>
              <w:spacing w:line="400" w:lineRule="exact"/>
              <w:rPr>
                <w:rFonts w:hint="eastAsia" w:ascii="宋体" w:hAnsi="宋体" w:eastAsia="宋体" w:cs="宋体"/>
                <w:color w:val="auto"/>
                <w:sz w:val="24"/>
                <w:szCs w:val="24"/>
                <w:lang w:eastAsia="zh-CN"/>
              </w:rPr>
            </w:pPr>
            <w:r>
              <w:rPr>
                <w:rFonts w:hint="eastAsia" w:ascii="宋体" w:hAnsi="宋体" w:cs="宋体"/>
                <w:color w:val="auto"/>
                <w:sz w:val="24"/>
                <w:szCs w:val="24"/>
              </w:rPr>
              <w:t>采购 人：玛纳斯县人民医院</w:t>
            </w:r>
          </w:p>
          <w:p>
            <w:pPr>
              <w:pStyle w:val="237"/>
              <w:kinsoku/>
              <w:overflowPunct/>
              <w:bidi w:val="0"/>
              <w:spacing w:line="560" w:lineRule="exact"/>
              <w:rPr>
                <w:rFonts w:hint="eastAsia" w:hAnsi="宋体" w:eastAsia="宋体"/>
                <w:color w:val="auto"/>
                <w:lang w:eastAsia="zh-CN"/>
              </w:rPr>
            </w:pPr>
            <w:r>
              <w:rPr>
                <w:rFonts w:hint="eastAsia" w:hAnsi="宋体"/>
                <w:color w:val="auto"/>
              </w:rPr>
              <w:t>联 系 人：丁梓曦</w:t>
            </w:r>
          </w:p>
          <w:p>
            <w:pPr>
              <w:pStyle w:val="237"/>
              <w:spacing w:line="400" w:lineRule="exact"/>
              <w:rPr>
                <w:rFonts w:hint="default" w:hAnsi="宋体" w:eastAsia="宋体"/>
                <w:color w:val="auto"/>
                <w:kern w:val="2"/>
                <w:lang w:val="en-US" w:eastAsia="zh-CN"/>
              </w:rPr>
            </w:pPr>
            <w:r>
              <w:rPr>
                <w:rFonts w:hint="eastAsia" w:hAnsi="宋体"/>
                <w:color w:val="auto"/>
              </w:rPr>
              <w:t>联系方式：15001650166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706" w:hRule="atLeast"/>
          <w:jc w:val="center"/>
        </w:trPr>
        <w:tc>
          <w:tcPr>
            <w:tcW w:w="651" w:type="dxa"/>
            <w:tcBorders>
              <w:top w:val="single" w:color="auto" w:sz="8" w:space="0"/>
              <w:left w:val="single" w:color="auto" w:sz="18" w:space="0"/>
              <w:bottom w:val="single" w:color="auto" w:sz="8" w:space="0"/>
              <w:right w:val="single" w:color="auto" w:sz="8" w:space="0"/>
            </w:tcBorders>
            <w:noWrap/>
            <w:vAlign w:val="center"/>
          </w:tcPr>
          <w:p>
            <w:pPr>
              <w:pStyle w:val="237"/>
              <w:numPr>
                <w:ilvl w:val="0"/>
                <w:numId w:val="7"/>
              </w:numPr>
              <w:spacing w:line="400" w:lineRule="exact"/>
              <w:ind w:left="210" w:leftChars="0" w:firstLine="0" w:firstLineChars="0"/>
              <w:jc w:val="center"/>
              <w:rPr>
                <w:rFonts w:hAnsi="宋体"/>
                <w:color w:val="auto"/>
                <w:lang w:val="zh-CN"/>
              </w:rPr>
            </w:pPr>
          </w:p>
        </w:tc>
        <w:tc>
          <w:tcPr>
            <w:tcW w:w="1797" w:type="dxa"/>
            <w:tcBorders>
              <w:top w:val="single" w:color="auto" w:sz="8" w:space="0"/>
              <w:left w:val="single" w:color="auto" w:sz="8" w:space="0"/>
              <w:bottom w:val="single" w:color="auto" w:sz="8" w:space="0"/>
              <w:right w:val="single" w:color="auto" w:sz="8" w:space="0"/>
            </w:tcBorders>
            <w:noWrap/>
            <w:vAlign w:val="center"/>
          </w:tcPr>
          <w:p>
            <w:pPr>
              <w:pStyle w:val="237"/>
              <w:spacing w:line="400" w:lineRule="exact"/>
              <w:jc w:val="center"/>
              <w:rPr>
                <w:rFonts w:hAnsi="宋体"/>
                <w:color w:val="auto"/>
                <w:lang w:val="zh-CN"/>
              </w:rPr>
            </w:pPr>
            <w:r>
              <w:rPr>
                <w:rFonts w:hint="eastAsia" w:hAnsi="宋体"/>
                <w:color w:val="auto"/>
                <w:lang w:val="zh-CN"/>
              </w:rPr>
              <w:t>采购代理机构</w:t>
            </w:r>
          </w:p>
        </w:tc>
        <w:tc>
          <w:tcPr>
            <w:tcW w:w="6419" w:type="dxa"/>
            <w:tcBorders>
              <w:top w:val="single" w:color="auto" w:sz="8" w:space="0"/>
              <w:left w:val="single" w:color="auto" w:sz="8" w:space="0"/>
              <w:bottom w:val="single" w:color="auto" w:sz="8" w:space="0"/>
              <w:right w:val="single" w:color="auto" w:sz="18" w:space="0"/>
            </w:tcBorders>
            <w:noWrap/>
            <w:vAlign w:val="center"/>
          </w:tcPr>
          <w:p>
            <w:pPr>
              <w:spacing w:line="400" w:lineRule="exact"/>
              <w:rPr>
                <w:rFonts w:ascii="宋体" w:hAnsi="宋体" w:cs="宋体"/>
                <w:color w:val="auto"/>
                <w:sz w:val="24"/>
                <w:szCs w:val="24"/>
              </w:rPr>
            </w:pPr>
            <w:r>
              <w:rPr>
                <w:rFonts w:hint="eastAsia" w:ascii="宋体" w:hAnsi="宋体" w:cs="宋体"/>
                <w:color w:val="auto"/>
                <w:sz w:val="24"/>
                <w:szCs w:val="24"/>
              </w:rPr>
              <w:t>招标代理机构：玛纳斯县政务服务和公共资源交易管理中心</w:t>
            </w:r>
          </w:p>
          <w:p>
            <w:pPr>
              <w:spacing w:line="400" w:lineRule="exact"/>
              <w:rPr>
                <w:rFonts w:ascii="宋体" w:hAnsi="宋体" w:cs="宋体"/>
                <w:color w:val="auto"/>
                <w:sz w:val="24"/>
                <w:szCs w:val="24"/>
              </w:rPr>
            </w:pPr>
            <w:r>
              <w:rPr>
                <w:rFonts w:hint="eastAsia" w:ascii="宋体" w:hAnsi="宋体" w:cs="宋体"/>
                <w:color w:val="auto"/>
                <w:sz w:val="24"/>
                <w:szCs w:val="24"/>
              </w:rPr>
              <w:t>联 系 人：巴雅斯拉、兰艳</w:t>
            </w:r>
          </w:p>
          <w:p>
            <w:pPr>
              <w:pStyle w:val="237"/>
              <w:spacing w:line="400" w:lineRule="exact"/>
              <w:rPr>
                <w:rFonts w:hAnsi="宋体"/>
                <w:color w:val="auto"/>
              </w:rPr>
            </w:pPr>
            <w:r>
              <w:rPr>
                <w:rFonts w:hint="eastAsia" w:hAnsi="宋体"/>
                <w:color w:val="auto"/>
              </w:rPr>
              <w:t>电    话：0994-6300063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99" w:hRule="exact"/>
          <w:jc w:val="center"/>
        </w:trPr>
        <w:tc>
          <w:tcPr>
            <w:tcW w:w="651" w:type="dxa"/>
            <w:tcBorders>
              <w:top w:val="single" w:color="auto" w:sz="8" w:space="0"/>
              <w:left w:val="single" w:color="auto" w:sz="18" w:space="0"/>
              <w:bottom w:val="single" w:color="auto" w:sz="8" w:space="0"/>
              <w:right w:val="single" w:color="auto" w:sz="8" w:space="0"/>
            </w:tcBorders>
            <w:noWrap/>
            <w:vAlign w:val="center"/>
          </w:tcPr>
          <w:p>
            <w:pPr>
              <w:pStyle w:val="237"/>
              <w:numPr>
                <w:ilvl w:val="0"/>
                <w:numId w:val="7"/>
              </w:numPr>
              <w:spacing w:line="400" w:lineRule="exact"/>
              <w:ind w:left="210" w:leftChars="0" w:firstLine="0" w:firstLineChars="0"/>
              <w:jc w:val="center"/>
              <w:rPr>
                <w:rFonts w:hAnsi="宋体"/>
                <w:color w:val="auto"/>
                <w:lang w:val="zh-CN"/>
              </w:rPr>
            </w:pPr>
          </w:p>
        </w:tc>
        <w:tc>
          <w:tcPr>
            <w:tcW w:w="1797" w:type="dxa"/>
            <w:tcBorders>
              <w:top w:val="single" w:color="auto" w:sz="8" w:space="0"/>
              <w:left w:val="single" w:color="auto" w:sz="8" w:space="0"/>
              <w:bottom w:val="single" w:color="auto" w:sz="8" w:space="0"/>
              <w:right w:val="single" w:color="auto" w:sz="8" w:space="0"/>
            </w:tcBorders>
            <w:noWrap/>
            <w:vAlign w:val="center"/>
          </w:tcPr>
          <w:p>
            <w:pPr>
              <w:pStyle w:val="237"/>
              <w:spacing w:line="400" w:lineRule="exact"/>
              <w:jc w:val="center"/>
              <w:rPr>
                <w:rFonts w:hAnsi="宋体"/>
                <w:color w:val="auto"/>
              </w:rPr>
            </w:pPr>
            <w:r>
              <w:rPr>
                <w:rFonts w:hint="eastAsia" w:hAnsi="宋体"/>
                <w:color w:val="auto"/>
                <w:lang w:val="zh-CN"/>
              </w:rPr>
              <w:t>采购项目名称</w:t>
            </w:r>
          </w:p>
        </w:tc>
        <w:tc>
          <w:tcPr>
            <w:tcW w:w="6419" w:type="dxa"/>
            <w:tcBorders>
              <w:top w:val="single" w:color="auto" w:sz="8" w:space="0"/>
              <w:left w:val="single" w:color="auto" w:sz="8" w:space="0"/>
              <w:bottom w:val="single" w:color="auto" w:sz="8" w:space="0"/>
              <w:right w:val="single" w:color="auto" w:sz="18" w:space="0"/>
            </w:tcBorders>
            <w:noWrap/>
            <w:vAlign w:val="center"/>
          </w:tcPr>
          <w:p>
            <w:pPr>
              <w:spacing w:line="400" w:lineRule="exact"/>
              <w:rPr>
                <w:rFonts w:ascii="宋体" w:hAnsi="宋体" w:cs="宋体"/>
                <w:color w:val="auto"/>
                <w:sz w:val="24"/>
                <w:szCs w:val="24"/>
              </w:rPr>
            </w:pPr>
            <w:r>
              <w:rPr>
                <w:rFonts w:hint="eastAsia" w:ascii="宋体" w:hAnsi="宋体" w:cs="宋体"/>
                <w:color w:val="auto"/>
                <w:sz w:val="24"/>
                <w:szCs w:val="24"/>
              </w:rPr>
              <w:t>玛纳斯县域医共体信息化建设项目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99" w:hRule="exact"/>
          <w:jc w:val="center"/>
        </w:trPr>
        <w:tc>
          <w:tcPr>
            <w:tcW w:w="651" w:type="dxa"/>
            <w:tcBorders>
              <w:top w:val="single" w:color="auto" w:sz="8" w:space="0"/>
              <w:left w:val="single" w:color="auto" w:sz="18" w:space="0"/>
              <w:bottom w:val="single" w:color="auto" w:sz="8" w:space="0"/>
              <w:right w:val="single" w:color="auto" w:sz="8" w:space="0"/>
            </w:tcBorders>
            <w:noWrap/>
            <w:vAlign w:val="center"/>
          </w:tcPr>
          <w:p>
            <w:pPr>
              <w:pStyle w:val="237"/>
              <w:numPr>
                <w:ilvl w:val="0"/>
                <w:numId w:val="7"/>
              </w:numPr>
              <w:spacing w:line="400" w:lineRule="exact"/>
              <w:ind w:left="210" w:leftChars="0" w:firstLine="0" w:firstLineChars="0"/>
              <w:jc w:val="center"/>
              <w:rPr>
                <w:rFonts w:hAnsi="宋体"/>
                <w:color w:val="auto"/>
                <w:lang w:val="zh-CN"/>
              </w:rPr>
            </w:pPr>
          </w:p>
        </w:tc>
        <w:tc>
          <w:tcPr>
            <w:tcW w:w="1797" w:type="dxa"/>
            <w:tcBorders>
              <w:top w:val="single" w:color="auto" w:sz="8" w:space="0"/>
              <w:left w:val="single" w:color="auto" w:sz="8" w:space="0"/>
              <w:bottom w:val="single" w:color="auto" w:sz="8" w:space="0"/>
              <w:right w:val="single" w:color="auto" w:sz="8" w:space="0"/>
            </w:tcBorders>
            <w:noWrap/>
            <w:vAlign w:val="center"/>
          </w:tcPr>
          <w:p>
            <w:pPr>
              <w:pStyle w:val="237"/>
              <w:spacing w:line="400" w:lineRule="exact"/>
              <w:jc w:val="center"/>
              <w:rPr>
                <w:rFonts w:hAnsi="宋体"/>
                <w:color w:val="auto"/>
                <w:highlight w:val="none"/>
              </w:rPr>
            </w:pPr>
            <w:r>
              <w:rPr>
                <w:rFonts w:hint="eastAsia" w:hAnsi="宋体"/>
                <w:color w:val="auto"/>
                <w:highlight w:val="none"/>
                <w:lang w:val="zh-CN"/>
              </w:rPr>
              <w:t>采购项目</w:t>
            </w:r>
            <w:r>
              <w:rPr>
                <w:rFonts w:hint="eastAsia" w:hAnsi="宋体"/>
                <w:color w:val="auto"/>
                <w:highlight w:val="none"/>
              </w:rPr>
              <w:t>编号</w:t>
            </w:r>
          </w:p>
        </w:tc>
        <w:tc>
          <w:tcPr>
            <w:tcW w:w="6419" w:type="dxa"/>
            <w:tcBorders>
              <w:top w:val="single" w:color="auto" w:sz="8" w:space="0"/>
              <w:left w:val="single" w:color="auto" w:sz="8" w:space="0"/>
              <w:bottom w:val="single" w:color="auto" w:sz="8" w:space="0"/>
              <w:right w:val="single" w:color="auto" w:sz="18" w:space="0"/>
            </w:tcBorders>
            <w:noWrap/>
            <w:vAlign w:val="center"/>
          </w:tcPr>
          <w:p>
            <w:pPr>
              <w:spacing w:line="400" w:lineRule="exact"/>
              <w:rPr>
                <w:rFonts w:hint="default" w:ascii="宋体" w:hAnsi="宋体" w:cs="宋体" w:eastAsiaTheme="minorEastAsia"/>
                <w:color w:val="auto"/>
                <w:kern w:val="0"/>
                <w:sz w:val="24"/>
                <w:szCs w:val="24"/>
                <w:highlight w:val="none"/>
                <w:lang w:val="en-US" w:eastAsia="zh-CN"/>
              </w:rPr>
            </w:pPr>
            <w:r>
              <w:rPr>
                <w:rFonts w:hint="eastAsia" w:ascii="宋体" w:hAnsi="宋体" w:cs="宋体"/>
                <w:color w:val="auto"/>
                <w:kern w:val="0"/>
                <w:sz w:val="24"/>
                <w:szCs w:val="24"/>
                <w:highlight w:val="none"/>
              </w:rPr>
              <w:t>MNSXCG2023-0</w:t>
            </w:r>
            <w:r>
              <w:rPr>
                <w:rFonts w:hint="eastAsia" w:ascii="宋体" w:hAnsi="宋体" w:cs="宋体"/>
                <w:color w:val="auto"/>
                <w:kern w:val="0"/>
                <w:sz w:val="24"/>
                <w:szCs w:val="24"/>
                <w:highlight w:val="none"/>
                <w:lang w:val="en-US" w:eastAsia="zh-CN"/>
              </w:rPr>
              <w:t>13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42" w:hRule="exact"/>
          <w:jc w:val="center"/>
        </w:trPr>
        <w:tc>
          <w:tcPr>
            <w:tcW w:w="651" w:type="dxa"/>
            <w:tcBorders>
              <w:top w:val="single" w:color="auto" w:sz="8" w:space="0"/>
              <w:left w:val="single" w:color="auto" w:sz="18" w:space="0"/>
              <w:bottom w:val="single" w:color="auto" w:sz="8" w:space="0"/>
              <w:right w:val="single" w:color="auto" w:sz="8" w:space="0"/>
            </w:tcBorders>
            <w:noWrap/>
            <w:vAlign w:val="center"/>
          </w:tcPr>
          <w:p>
            <w:pPr>
              <w:pStyle w:val="237"/>
              <w:numPr>
                <w:ilvl w:val="0"/>
                <w:numId w:val="7"/>
              </w:numPr>
              <w:spacing w:line="400" w:lineRule="exact"/>
              <w:ind w:left="210" w:leftChars="0" w:firstLine="0" w:firstLineChars="0"/>
              <w:jc w:val="center"/>
              <w:rPr>
                <w:rFonts w:hAnsi="宋体"/>
                <w:lang w:val="zh-CN"/>
              </w:rPr>
            </w:pPr>
          </w:p>
        </w:tc>
        <w:tc>
          <w:tcPr>
            <w:tcW w:w="1797" w:type="dxa"/>
            <w:tcBorders>
              <w:top w:val="single" w:color="auto" w:sz="8" w:space="0"/>
              <w:left w:val="single" w:color="auto" w:sz="8" w:space="0"/>
              <w:bottom w:val="single" w:color="auto" w:sz="8" w:space="0"/>
              <w:right w:val="single" w:color="auto" w:sz="8" w:space="0"/>
            </w:tcBorders>
            <w:noWrap/>
            <w:vAlign w:val="center"/>
          </w:tcPr>
          <w:p>
            <w:pPr>
              <w:pStyle w:val="237"/>
              <w:spacing w:line="400" w:lineRule="exact"/>
              <w:jc w:val="center"/>
              <w:rPr>
                <w:rFonts w:hAnsi="宋体"/>
                <w:lang w:val="zh-CN"/>
              </w:rPr>
            </w:pPr>
            <w:r>
              <w:rPr>
                <w:rFonts w:hint="eastAsia" w:hAnsi="宋体"/>
                <w:lang w:val="zh-CN"/>
              </w:rPr>
              <w:t>采购项目</w:t>
            </w:r>
            <w:r>
              <w:rPr>
                <w:rFonts w:hint="eastAsia" w:hAnsi="宋体"/>
              </w:rPr>
              <w:t>地址</w:t>
            </w:r>
          </w:p>
        </w:tc>
        <w:tc>
          <w:tcPr>
            <w:tcW w:w="6419" w:type="dxa"/>
            <w:tcBorders>
              <w:top w:val="single" w:color="auto" w:sz="8" w:space="0"/>
              <w:left w:val="single" w:color="auto" w:sz="8" w:space="0"/>
              <w:bottom w:val="single" w:color="auto" w:sz="8" w:space="0"/>
              <w:right w:val="single" w:color="auto" w:sz="18" w:space="0"/>
            </w:tcBorders>
            <w:noWrap/>
            <w:vAlign w:val="center"/>
          </w:tcPr>
          <w:p>
            <w:pPr>
              <w:spacing w:line="400" w:lineRule="exact"/>
              <w:rPr>
                <w:rFonts w:ascii="宋体" w:hAnsi="宋体" w:cs="宋体"/>
                <w:color w:val="FF0000"/>
                <w:sz w:val="24"/>
                <w:szCs w:val="24"/>
              </w:rPr>
            </w:pPr>
            <w:r>
              <w:rPr>
                <w:rFonts w:hint="eastAsia" w:ascii="宋体" w:hAnsi="宋体" w:cs="宋体"/>
                <w:color w:val="auto"/>
                <w:sz w:val="24"/>
                <w:szCs w:val="24"/>
              </w:rPr>
              <w:t>玛纳斯县</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8" w:hRule="exact"/>
          <w:jc w:val="center"/>
        </w:trPr>
        <w:tc>
          <w:tcPr>
            <w:tcW w:w="651" w:type="dxa"/>
            <w:tcBorders>
              <w:top w:val="single" w:color="auto" w:sz="8" w:space="0"/>
              <w:left w:val="single" w:color="auto" w:sz="18" w:space="0"/>
              <w:bottom w:val="single" w:color="auto" w:sz="8" w:space="0"/>
              <w:right w:val="single" w:color="auto" w:sz="8" w:space="0"/>
            </w:tcBorders>
            <w:noWrap/>
            <w:vAlign w:val="center"/>
          </w:tcPr>
          <w:p>
            <w:pPr>
              <w:pStyle w:val="237"/>
              <w:numPr>
                <w:ilvl w:val="0"/>
                <w:numId w:val="7"/>
              </w:numPr>
              <w:spacing w:line="400" w:lineRule="exact"/>
              <w:ind w:left="210" w:leftChars="0" w:firstLine="0" w:firstLineChars="0"/>
              <w:jc w:val="center"/>
              <w:rPr>
                <w:rFonts w:hAnsi="宋体"/>
                <w:lang w:val="zh-CN"/>
              </w:rPr>
            </w:pPr>
          </w:p>
        </w:tc>
        <w:tc>
          <w:tcPr>
            <w:tcW w:w="1797" w:type="dxa"/>
            <w:tcBorders>
              <w:top w:val="single" w:color="auto" w:sz="8" w:space="0"/>
              <w:left w:val="single" w:color="auto" w:sz="8" w:space="0"/>
              <w:bottom w:val="single" w:color="auto" w:sz="8" w:space="0"/>
              <w:right w:val="single" w:color="auto" w:sz="8" w:space="0"/>
            </w:tcBorders>
            <w:noWrap/>
            <w:vAlign w:val="center"/>
          </w:tcPr>
          <w:p>
            <w:pPr>
              <w:pStyle w:val="237"/>
              <w:spacing w:line="400" w:lineRule="exact"/>
              <w:jc w:val="center"/>
              <w:rPr>
                <w:rFonts w:hAnsi="宋体"/>
                <w:color w:val="auto"/>
                <w:highlight w:val="none"/>
                <w:lang w:val="zh-CN"/>
              </w:rPr>
            </w:pPr>
            <w:r>
              <w:rPr>
                <w:rFonts w:hint="eastAsia" w:hAnsi="宋体"/>
                <w:color w:val="auto"/>
                <w:highlight w:val="none"/>
                <w:lang w:val="zh-CN"/>
              </w:rPr>
              <w:t>资金来源</w:t>
            </w:r>
          </w:p>
        </w:tc>
        <w:tc>
          <w:tcPr>
            <w:tcW w:w="6419" w:type="dxa"/>
            <w:tcBorders>
              <w:top w:val="single" w:color="auto" w:sz="8" w:space="0"/>
              <w:left w:val="single" w:color="auto" w:sz="8" w:space="0"/>
              <w:bottom w:val="single" w:color="auto" w:sz="8" w:space="0"/>
              <w:right w:val="single" w:color="auto" w:sz="18" w:space="0"/>
            </w:tcBorders>
            <w:noWrap/>
            <w:vAlign w:val="center"/>
          </w:tcPr>
          <w:p>
            <w:pPr>
              <w:spacing w:line="400" w:lineRule="exac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援疆资金及地方配套资金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4" w:hRule="exact"/>
          <w:jc w:val="center"/>
        </w:trPr>
        <w:tc>
          <w:tcPr>
            <w:tcW w:w="651" w:type="dxa"/>
            <w:tcBorders>
              <w:top w:val="single" w:color="auto" w:sz="8" w:space="0"/>
              <w:left w:val="single" w:color="auto" w:sz="18" w:space="0"/>
              <w:bottom w:val="single" w:color="auto" w:sz="8" w:space="0"/>
              <w:right w:val="single" w:color="auto" w:sz="8" w:space="0"/>
            </w:tcBorders>
            <w:noWrap/>
            <w:vAlign w:val="center"/>
          </w:tcPr>
          <w:p>
            <w:pPr>
              <w:pStyle w:val="237"/>
              <w:numPr>
                <w:ilvl w:val="0"/>
                <w:numId w:val="7"/>
              </w:numPr>
              <w:spacing w:line="400" w:lineRule="exact"/>
              <w:ind w:left="210" w:leftChars="0" w:firstLine="0" w:firstLineChars="0"/>
              <w:jc w:val="center"/>
              <w:rPr>
                <w:rFonts w:hAnsi="宋体"/>
                <w:lang w:val="zh-CN"/>
              </w:rPr>
            </w:pPr>
          </w:p>
        </w:tc>
        <w:tc>
          <w:tcPr>
            <w:tcW w:w="1797" w:type="dxa"/>
            <w:tcBorders>
              <w:top w:val="single" w:color="auto" w:sz="8" w:space="0"/>
              <w:left w:val="single" w:color="auto" w:sz="8" w:space="0"/>
              <w:bottom w:val="single" w:color="auto" w:sz="8" w:space="0"/>
              <w:right w:val="single" w:color="auto" w:sz="8" w:space="0"/>
            </w:tcBorders>
            <w:noWrap/>
            <w:vAlign w:val="center"/>
          </w:tcPr>
          <w:p>
            <w:pPr>
              <w:pStyle w:val="237"/>
              <w:spacing w:line="400" w:lineRule="exact"/>
              <w:jc w:val="center"/>
              <w:rPr>
                <w:rFonts w:hAnsi="宋体"/>
                <w:lang w:val="zh-CN"/>
              </w:rPr>
            </w:pPr>
            <w:r>
              <w:rPr>
                <w:rFonts w:hint="eastAsia" w:hAnsi="宋体"/>
                <w:lang w:val="zh-CN"/>
              </w:rPr>
              <w:t>采购预算金额</w:t>
            </w:r>
          </w:p>
        </w:tc>
        <w:tc>
          <w:tcPr>
            <w:tcW w:w="6419" w:type="dxa"/>
            <w:tcBorders>
              <w:top w:val="single" w:color="auto" w:sz="8" w:space="0"/>
              <w:left w:val="single" w:color="auto" w:sz="8" w:space="0"/>
              <w:bottom w:val="single" w:color="auto" w:sz="8" w:space="0"/>
              <w:right w:val="single" w:color="auto" w:sz="18" w:space="0"/>
            </w:tcBorders>
            <w:noWrap/>
            <w:vAlign w:val="center"/>
          </w:tcPr>
          <w:p>
            <w:pPr>
              <w:pStyle w:val="237"/>
              <w:spacing w:line="400" w:lineRule="exact"/>
              <w:rPr>
                <w:rFonts w:hint="default" w:hAnsi="宋体" w:eastAsia="宋体"/>
                <w:lang w:val="en-US" w:eastAsia="zh-CN"/>
              </w:rPr>
            </w:pPr>
            <w:r>
              <w:rPr>
                <w:rFonts w:hint="eastAsia" w:hAnsi="宋体"/>
                <w:lang w:val="en-US" w:eastAsia="zh-CN"/>
              </w:rPr>
              <w:t>2010万元</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33" w:hRule="exact"/>
          <w:jc w:val="center"/>
        </w:trPr>
        <w:tc>
          <w:tcPr>
            <w:tcW w:w="651" w:type="dxa"/>
            <w:tcBorders>
              <w:top w:val="single" w:color="auto" w:sz="8" w:space="0"/>
              <w:left w:val="single" w:color="auto" w:sz="18" w:space="0"/>
              <w:bottom w:val="single" w:color="auto" w:sz="8" w:space="0"/>
              <w:right w:val="single" w:color="auto" w:sz="8" w:space="0"/>
            </w:tcBorders>
            <w:noWrap/>
            <w:vAlign w:val="center"/>
          </w:tcPr>
          <w:p>
            <w:pPr>
              <w:pStyle w:val="237"/>
              <w:numPr>
                <w:ilvl w:val="0"/>
                <w:numId w:val="7"/>
              </w:numPr>
              <w:spacing w:line="400" w:lineRule="exact"/>
              <w:ind w:left="210" w:leftChars="0" w:firstLine="0" w:firstLineChars="0"/>
              <w:jc w:val="center"/>
              <w:rPr>
                <w:rFonts w:hAnsi="宋体"/>
                <w:lang w:val="zh-CN"/>
              </w:rPr>
            </w:pPr>
          </w:p>
        </w:tc>
        <w:tc>
          <w:tcPr>
            <w:tcW w:w="1797" w:type="dxa"/>
            <w:tcBorders>
              <w:top w:val="single" w:color="auto" w:sz="8" w:space="0"/>
              <w:left w:val="single" w:color="auto" w:sz="8" w:space="0"/>
              <w:bottom w:val="single" w:color="auto" w:sz="8" w:space="0"/>
              <w:right w:val="single" w:color="auto" w:sz="8" w:space="0"/>
            </w:tcBorders>
            <w:noWrap/>
            <w:vAlign w:val="center"/>
          </w:tcPr>
          <w:p>
            <w:pPr>
              <w:pStyle w:val="237"/>
              <w:spacing w:line="400" w:lineRule="exact"/>
              <w:jc w:val="center"/>
              <w:rPr>
                <w:rFonts w:hAnsi="宋体"/>
                <w:lang w:val="zh-CN"/>
              </w:rPr>
            </w:pPr>
            <w:r>
              <w:rPr>
                <w:rFonts w:hint="eastAsia" w:hAnsi="宋体"/>
                <w:lang w:val="zh-CN"/>
              </w:rPr>
              <w:t>采购方式</w:t>
            </w:r>
          </w:p>
        </w:tc>
        <w:tc>
          <w:tcPr>
            <w:tcW w:w="6419" w:type="dxa"/>
            <w:tcBorders>
              <w:top w:val="single" w:color="auto" w:sz="8" w:space="0"/>
              <w:left w:val="single" w:color="auto" w:sz="8" w:space="0"/>
              <w:bottom w:val="single" w:color="auto" w:sz="8" w:space="0"/>
              <w:right w:val="single" w:color="auto" w:sz="18" w:space="0"/>
            </w:tcBorders>
            <w:noWrap/>
            <w:vAlign w:val="center"/>
          </w:tcPr>
          <w:p>
            <w:pPr>
              <w:pStyle w:val="237"/>
              <w:spacing w:line="400" w:lineRule="exact"/>
              <w:jc w:val="both"/>
              <w:rPr>
                <w:rFonts w:hint="default" w:hAnsi="宋体" w:eastAsia="宋体"/>
                <w:lang w:val="en-US" w:eastAsia="zh-CN"/>
              </w:rPr>
            </w:pPr>
            <w:r>
              <w:rPr>
                <w:rFonts w:hint="eastAsia" w:hAnsi="宋体"/>
                <w:lang w:val="en-US" w:eastAsia="zh-CN"/>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04" w:hRule="exact"/>
          <w:jc w:val="center"/>
        </w:trPr>
        <w:tc>
          <w:tcPr>
            <w:tcW w:w="651" w:type="dxa"/>
            <w:tcBorders>
              <w:top w:val="single" w:color="auto" w:sz="8" w:space="0"/>
              <w:left w:val="single" w:color="auto" w:sz="18" w:space="0"/>
              <w:bottom w:val="single" w:color="auto" w:sz="8" w:space="0"/>
              <w:right w:val="single" w:color="auto" w:sz="8" w:space="0"/>
            </w:tcBorders>
            <w:noWrap/>
            <w:vAlign w:val="center"/>
          </w:tcPr>
          <w:p>
            <w:pPr>
              <w:pStyle w:val="237"/>
              <w:numPr>
                <w:ilvl w:val="0"/>
                <w:numId w:val="7"/>
              </w:numPr>
              <w:spacing w:line="400" w:lineRule="exact"/>
              <w:ind w:left="210" w:leftChars="0" w:firstLine="0" w:firstLineChars="0"/>
              <w:jc w:val="center"/>
              <w:rPr>
                <w:rFonts w:hAnsi="宋体"/>
                <w:lang w:val="zh-CN"/>
              </w:rPr>
            </w:pPr>
          </w:p>
        </w:tc>
        <w:tc>
          <w:tcPr>
            <w:tcW w:w="1797" w:type="dxa"/>
            <w:tcBorders>
              <w:top w:val="single" w:color="auto" w:sz="8" w:space="0"/>
              <w:left w:val="single" w:color="auto" w:sz="8" w:space="0"/>
              <w:bottom w:val="single" w:color="auto" w:sz="8" w:space="0"/>
              <w:right w:val="single" w:color="auto" w:sz="8" w:space="0"/>
            </w:tcBorders>
            <w:noWrap/>
            <w:vAlign w:val="center"/>
          </w:tcPr>
          <w:p>
            <w:pPr>
              <w:pStyle w:val="237"/>
              <w:spacing w:line="400" w:lineRule="exact"/>
              <w:jc w:val="center"/>
              <w:rPr>
                <w:rFonts w:hAnsi="宋体"/>
                <w:lang w:val="zh-CN"/>
              </w:rPr>
            </w:pPr>
            <w:r>
              <w:rPr>
                <w:rFonts w:hint="eastAsia" w:hAnsi="宋体"/>
                <w:lang w:val="zh-CN"/>
              </w:rPr>
              <w:t>采购内容</w:t>
            </w:r>
          </w:p>
        </w:tc>
        <w:tc>
          <w:tcPr>
            <w:tcW w:w="6419" w:type="dxa"/>
            <w:tcBorders>
              <w:top w:val="single" w:color="auto" w:sz="8" w:space="0"/>
              <w:left w:val="single" w:color="auto" w:sz="8" w:space="0"/>
              <w:bottom w:val="single" w:color="auto" w:sz="8" w:space="0"/>
              <w:right w:val="single" w:color="auto" w:sz="18" w:space="0"/>
            </w:tcBorders>
            <w:noWrap/>
            <w:vAlign w:val="center"/>
          </w:tcPr>
          <w:p>
            <w:pPr>
              <w:pStyle w:val="237"/>
              <w:spacing w:line="400" w:lineRule="exact"/>
              <w:rPr>
                <w:rFonts w:hAnsi="宋体"/>
                <w:lang w:val="zh-CN"/>
              </w:rPr>
            </w:pPr>
            <w:r>
              <w:rPr>
                <w:rFonts w:hint="eastAsia" w:ascii="宋体" w:hAnsi="宋体" w:cs="宋体"/>
                <w:color w:val="auto"/>
                <w:sz w:val="24"/>
                <w:szCs w:val="24"/>
              </w:rPr>
              <w:t>医共体平台软件</w:t>
            </w:r>
            <w:r>
              <w:rPr>
                <w:rFonts w:hint="eastAsia" w:ascii="宋体" w:hAnsi="宋体" w:cs="宋体"/>
                <w:color w:val="auto"/>
                <w:sz w:val="24"/>
                <w:szCs w:val="24"/>
                <w:lang w:eastAsia="zh-CN"/>
              </w:rPr>
              <w:t>及相关配套硬件设备，</w:t>
            </w:r>
            <w:r>
              <w:rPr>
                <w:rFonts w:hint="eastAsia" w:ascii="宋体" w:hAnsi="宋体" w:cs="宋体"/>
                <w:color w:val="auto"/>
                <w:sz w:val="24"/>
                <w:szCs w:val="24"/>
                <w:lang w:val="en-US" w:eastAsia="zh-CN"/>
              </w:rPr>
              <w:t>包括医院信息管理系统、电子病历系统、医技科室管理系统、移动工作站、医院运营管理系统、医共体集成平台等及网络安全硬件设备</w:t>
            </w:r>
            <w:r>
              <w:rPr>
                <w:rFonts w:hint="eastAsia" w:hAnsi="宋体" w:cs="宋体"/>
                <w:color w:val="auto"/>
                <w:sz w:val="24"/>
                <w:szCs w:val="24"/>
                <w:lang w:val="en-US" w:eastAsia="zh-CN"/>
              </w:rPr>
              <w:t>、</w:t>
            </w:r>
            <w:r>
              <w:rPr>
                <w:rFonts w:hint="eastAsia" w:ascii="宋体" w:hAnsi="宋体" w:cs="宋体"/>
                <w:color w:val="auto"/>
                <w:sz w:val="24"/>
                <w:szCs w:val="24"/>
                <w:lang w:val="en-US" w:eastAsia="zh-CN"/>
              </w:rPr>
              <w:t>多功能大厅配套设施等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27" w:hRule="atLeast"/>
          <w:jc w:val="center"/>
        </w:trPr>
        <w:tc>
          <w:tcPr>
            <w:tcW w:w="651" w:type="dxa"/>
            <w:tcBorders>
              <w:top w:val="single" w:color="auto" w:sz="8" w:space="0"/>
              <w:left w:val="single" w:color="auto" w:sz="18" w:space="0"/>
              <w:bottom w:val="single" w:color="auto" w:sz="8" w:space="0"/>
              <w:right w:val="single" w:color="auto" w:sz="8" w:space="0"/>
            </w:tcBorders>
            <w:noWrap/>
            <w:vAlign w:val="center"/>
          </w:tcPr>
          <w:p>
            <w:pPr>
              <w:pStyle w:val="237"/>
              <w:numPr>
                <w:ilvl w:val="0"/>
                <w:numId w:val="7"/>
              </w:numPr>
              <w:spacing w:line="400" w:lineRule="exact"/>
              <w:ind w:left="210" w:leftChars="0" w:firstLine="0" w:firstLineChars="0"/>
              <w:jc w:val="center"/>
              <w:rPr>
                <w:rFonts w:hAnsi="宋体"/>
                <w:lang w:val="zh-CN"/>
              </w:rPr>
            </w:pPr>
          </w:p>
        </w:tc>
        <w:tc>
          <w:tcPr>
            <w:tcW w:w="1797" w:type="dxa"/>
            <w:tcBorders>
              <w:top w:val="single" w:color="auto" w:sz="8" w:space="0"/>
              <w:left w:val="single" w:color="auto" w:sz="8" w:space="0"/>
              <w:bottom w:val="single" w:color="auto" w:sz="8" w:space="0"/>
              <w:right w:val="single" w:color="auto" w:sz="8" w:space="0"/>
            </w:tcBorders>
            <w:noWrap/>
            <w:vAlign w:val="center"/>
          </w:tcPr>
          <w:p>
            <w:pPr>
              <w:pStyle w:val="237"/>
              <w:spacing w:line="400" w:lineRule="exact"/>
              <w:jc w:val="center"/>
              <w:rPr>
                <w:rFonts w:hAnsi="宋体"/>
              </w:rPr>
            </w:pPr>
            <w:r>
              <w:rPr>
                <w:rFonts w:hint="eastAsia" w:hAnsi="宋体"/>
              </w:rPr>
              <w:t>合同履行期限</w:t>
            </w:r>
          </w:p>
        </w:tc>
        <w:tc>
          <w:tcPr>
            <w:tcW w:w="6419" w:type="dxa"/>
            <w:tcBorders>
              <w:top w:val="single" w:color="auto" w:sz="8" w:space="0"/>
              <w:left w:val="single" w:color="auto" w:sz="8" w:space="0"/>
              <w:bottom w:val="single" w:color="auto" w:sz="8" w:space="0"/>
              <w:right w:val="single" w:color="auto" w:sz="18" w:space="0"/>
            </w:tcBorders>
            <w:noWrap/>
            <w:vAlign w:val="center"/>
          </w:tcPr>
          <w:p>
            <w:pPr>
              <w:pStyle w:val="51"/>
              <w:tabs>
                <w:tab w:val="left" w:pos="3128"/>
              </w:tabs>
              <w:spacing w:before="80"/>
              <w:ind w:right="-15"/>
              <w:rPr>
                <w:sz w:val="24"/>
                <w:szCs w:val="24"/>
                <w:lang w:val="en-US" w:bidi="ar-SA"/>
              </w:rPr>
            </w:pPr>
            <w:r>
              <w:rPr>
                <w:rFonts w:hint="eastAsia"/>
                <w:sz w:val="24"/>
                <w:szCs w:val="24"/>
                <w:lang w:val="en-US" w:bidi="ar-SA"/>
              </w:rPr>
              <w:t>自合同签订之日起6个月内基本完成建设。（具体时间以采购人安排及合同约定为准）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6" w:hRule="atLeast"/>
          <w:jc w:val="center"/>
        </w:trPr>
        <w:tc>
          <w:tcPr>
            <w:tcW w:w="651" w:type="dxa"/>
            <w:tcBorders>
              <w:top w:val="single" w:color="auto" w:sz="8" w:space="0"/>
              <w:left w:val="single" w:color="auto" w:sz="18" w:space="0"/>
              <w:bottom w:val="single" w:color="auto" w:sz="8" w:space="0"/>
              <w:right w:val="single" w:color="auto" w:sz="8" w:space="0"/>
            </w:tcBorders>
            <w:noWrap/>
            <w:vAlign w:val="center"/>
          </w:tcPr>
          <w:p>
            <w:pPr>
              <w:pStyle w:val="237"/>
              <w:numPr>
                <w:ilvl w:val="0"/>
                <w:numId w:val="7"/>
              </w:numPr>
              <w:spacing w:line="400" w:lineRule="exact"/>
              <w:ind w:left="210" w:leftChars="0" w:firstLine="0" w:firstLineChars="0"/>
              <w:jc w:val="center"/>
              <w:rPr>
                <w:rFonts w:hAnsi="宋体"/>
                <w:lang w:val="zh-CN"/>
              </w:rPr>
            </w:pPr>
          </w:p>
        </w:tc>
        <w:tc>
          <w:tcPr>
            <w:tcW w:w="1797" w:type="dxa"/>
            <w:tcBorders>
              <w:top w:val="single" w:color="auto" w:sz="8" w:space="0"/>
              <w:left w:val="single" w:color="auto" w:sz="8" w:space="0"/>
              <w:bottom w:val="single" w:color="auto" w:sz="8" w:space="0"/>
              <w:right w:val="single" w:color="auto" w:sz="8" w:space="0"/>
            </w:tcBorders>
            <w:noWrap/>
            <w:vAlign w:val="center"/>
          </w:tcPr>
          <w:p>
            <w:pPr>
              <w:pStyle w:val="237"/>
              <w:spacing w:line="400" w:lineRule="exact"/>
              <w:jc w:val="center"/>
              <w:rPr>
                <w:rFonts w:hAnsi="宋体"/>
                <w:lang w:val="zh-CN"/>
              </w:rPr>
            </w:pPr>
            <w:r>
              <w:rPr>
                <w:rFonts w:hint="eastAsia" w:hAnsi="宋体"/>
                <w:lang w:val="zh-CN"/>
              </w:rPr>
              <w:t>付款方式</w:t>
            </w:r>
          </w:p>
        </w:tc>
        <w:tc>
          <w:tcPr>
            <w:tcW w:w="6419" w:type="dxa"/>
            <w:tcBorders>
              <w:top w:val="single" w:color="auto" w:sz="8" w:space="0"/>
              <w:left w:val="single" w:color="auto" w:sz="8" w:space="0"/>
              <w:bottom w:val="single" w:color="auto" w:sz="8" w:space="0"/>
              <w:right w:val="single" w:color="auto" w:sz="18" w:space="0"/>
            </w:tcBorders>
            <w:noWrap/>
            <w:vAlign w:val="center"/>
          </w:tcPr>
          <w:p>
            <w:pPr>
              <w:pStyle w:val="237"/>
              <w:spacing w:line="400" w:lineRule="exact"/>
              <w:rPr>
                <w:rFonts w:hAnsi="宋体"/>
                <w:lang w:val="zh-CN"/>
              </w:rPr>
            </w:pPr>
            <w:r>
              <w:rPr>
                <w:rFonts w:hint="eastAsia" w:asciiTheme="minorHAnsi" w:hAnsiTheme="minorHAnsi" w:eastAsiaTheme="minorEastAsia" w:cstheme="minorBidi"/>
                <w:sz w:val="24"/>
                <w:szCs w:val="24"/>
                <w:lang w:val="zh-CN" w:eastAsia="en-US" w:bidi="ar-SA"/>
              </w:rPr>
              <w:t>合同签订后支付合同金额10%，硬件设备到货后支付合同金额10%，项目团队人员到医院后安装调试硬件完毕支付合同金额10%，系统正常使用支付合同金额40%，平台正常运转支付合同金额20%，三年内无质量问题，售后服务纠纷以及其他经济法律纠纷后付剩余合同金额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69" w:hRule="exact"/>
          <w:jc w:val="center"/>
        </w:trPr>
        <w:tc>
          <w:tcPr>
            <w:tcW w:w="651" w:type="dxa"/>
            <w:tcBorders>
              <w:top w:val="single" w:color="auto" w:sz="8" w:space="0"/>
              <w:left w:val="single" w:color="auto" w:sz="18" w:space="0"/>
              <w:bottom w:val="single" w:color="auto" w:sz="8" w:space="0"/>
              <w:right w:val="single" w:color="auto" w:sz="8" w:space="0"/>
            </w:tcBorders>
            <w:noWrap/>
            <w:vAlign w:val="center"/>
          </w:tcPr>
          <w:p>
            <w:pPr>
              <w:pStyle w:val="237"/>
              <w:numPr>
                <w:ilvl w:val="0"/>
                <w:numId w:val="7"/>
              </w:numPr>
              <w:spacing w:line="400" w:lineRule="exact"/>
              <w:ind w:left="210" w:leftChars="0" w:firstLine="0" w:firstLineChars="0"/>
              <w:jc w:val="center"/>
              <w:rPr>
                <w:rFonts w:hAnsi="宋体"/>
                <w:lang w:val="zh-CN"/>
              </w:rPr>
            </w:pPr>
          </w:p>
        </w:tc>
        <w:tc>
          <w:tcPr>
            <w:tcW w:w="1797" w:type="dxa"/>
            <w:tcBorders>
              <w:top w:val="single" w:color="auto" w:sz="8" w:space="0"/>
              <w:left w:val="single" w:color="auto" w:sz="8" w:space="0"/>
              <w:bottom w:val="single" w:color="auto" w:sz="8" w:space="0"/>
              <w:right w:val="single" w:color="auto" w:sz="8" w:space="0"/>
            </w:tcBorders>
            <w:noWrap/>
            <w:vAlign w:val="center"/>
          </w:tcPr>
          <w:p>
            <w:pPr>
              <w:pStyle w:val="237"/>
              <w:spacing w:line="400" w:lineRule="exact"/>
              <w:jc w:val="center"/>
              <w:rPr>
                <w:rFonts w:hint="eastAsia" w:hAnsi="宋体"/>
                <w:lang w:val="zh-CN"/>
              </w:rPr>
            </w:pPr>
            <w:r>
              <w:rPr>
                <w:rFonts w:hint="eastAsia" w:hAnsi="宋体"/>
                <w:lang w:val="zh-CN"/>
              </w:rPr>
              <w:t>质保年限</w:t>
            </w:r>
          </w:p>
        </w:tc>
        <w:tc>
          <w:tcPr>
            <w:tcW w:w="6419" w:type="dxa"/>
            <w:tcBorders>
              <w:top w:val="single" w:color="auto" w:sz="8" w:space="0"/>
              <w:left w:val="single" w:color="auto" w:sz="8" w:space="0"/>
              <w:bottom w:val="single" w:color="auto" w:sz="8" w:space="0"/>
              <w:right w:val="single" w:color="auto" w:sz="18" w:space="0"/>
            </w:tcBorders>
            <w:noWrap/>
            <w:vAlign w:val="center"/>
          </w:tcPr>
          <w:p>
            <w:pPr>
              <w:pStyle w:val="237"/>
              <w:spacing w:line="400" w:lineRule="exact"/>
              <w:rPr>
                <w:rFonts w:hint="eastAsia" w:hAnsi="宋体"/>
                <w:lang w:val="zh-CN"/>
              </w:rPr>
            </w:pPr>
            <w:r>
              <w:rPr>
                <w:rFonts w:hint="eastAsia" w:hAnsi="宋体"/>
                <w:lang w:val="zh-CN"/>
              </w:rPr>
              <w:t>硬件质保期为原厂三年维保，软件及服务质保期为三年，自项目验收合格后开始计算。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69" w:hRule="exact"/>
          <w:jc w:val="center"/>
        </w:trPr>
        <w:tc>
          <w:tcPr>
            <w:tcW w:w="651" w:type="dxa"/>
            <w:tcBorders>
              <w:top w:val="single" w:color="auto" w:sz="8" w:space="0"/>
              <w:left w:val="single" w:color="auto" w:sz="18" w:space="0"/>
              <w:bottom w:val="single" w:color="auto" w:sz="8" w:space="0"/>
              <w:right w:val="single" w:color="auto" w:sz="8" w:space="0"/>
            </w:tcBorders>
            <w:noWrap/>
            <w:vAlign w:val="center"/>
          </w:tcPr>
          <w:p>
            <w:pPr>
              <w:pStyle w:val="237"/>
              <w:numPr>
                <w:ilvl w:val="0"/>
                <w:numId w:val="7"/>
              </w:numPr>
              <w:spacing w:line="400" w:lineRule="exact"/>
              <w:ind w:left="210" w:leftChars="0" w:firstLine="0" w:firstLineChars="0"/>
              <w:jc w:val="center"/>
              <w:rPr>
                <w:rFonts w:hAnsi="宋体"/>
                <w:lang w:val="zh-CN"/>
              </w:rPr>
            </w:pPr>
          </w:p>
        </w:tc>
        <w:tc>
          <w:tcPr>
            <w:tcW w:w="1797" w:type="dxa"/>
            <w:tcBorders>
              <w:top w:val="single" w:color="auto" w:sz="8" w:space="0"/>
              <w:left w:val="single" w:color="auto" w:sz="8" w:space="0"/>
              <w:bottom w:val="single" w:color="auto" w:sz="8" w:space="0"/>
              <w:right w:val="single" w:color="auto" w:sz="8" w:space="0"/>
            </w:tcBorders>
            <w:noWrap/>
            <w:vAlign w:val="center"/>
          </w:tcPr>
          <w:p>
            <w:pPr>
              <w:pStyle w:val="237"/>
              <w:spacing w:line="400" w:lineRule="exact"/>
              <w:jc w:val="center"/>
              <w:rPr>
                <w:rFonts w:hAnsi="宋体"/>
                <w:lang w:val="zh-CN"/>
              </w:rPr>
            </w:pPr>
            <w:r>
              <w:rPr>
                <w:rFonts w:hint="eastAsia" w:hAnsi="宋体"/>
                <w:lang w:val="zh-CN"/>
              </w:rPr>
              <w:t>转包与分包履约</w:t>
            </w:r>
          </w:p>
        </w:tc>
        <w:tc>
          <w:tcPr>
            <w:tcW w:w="6419" w:type="dxa"/>
            <w:tcBorders>
              <w:top w:val="single" w:color="auto" w:sz="8" w:space="0"/>
              <w:left w:val="single" w:color="auto" w:sz="8" w:space="0"/>
              <w:bottom w:val="single" w:color="auto" w:sz="8" w:space="0"/>
              <w:right w:val="single" w:color="auto" w:sz="18" w:space="0"/>
            </w:tcBorders>
            <w:noWrap/>
            <w:vAlign w:val="center"/>
          </w:tcPr>
          <w:p>
            <w:pPr>
              <w:pStyle w:val="237"/>
              <w:spacing w:line="400" w:lineRule="exact"/>
              <w:rPr>
                <w:rFonts w:hAnsi="宋体"/>
                <w:lang w:val="zh-CN"/>
              </w:rPr>
            </w:pPr>
            <w:r>
              <w:rPr>
                <w:rFonts w:hint="eastAsia" w:hAnsi="宋体"/>
                <w:lang w:val="zh-CN"/>
              </w:rPr>
              <w:t>本项目不得转包及分包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01" w:hRule="exact"/>
          <w:jc w:val="center"/>
        </w:trPr>
        <w:tc>
          <w:tcPr>
            <w:tcW w:w="651" w:type="dxa"/>
            <w:tcBorders>
              <w:top w:val="single" w:color="auto" w:sz="8" w:space="0"/>
              <w:left w:val="single" w:color="auto" w:sz="18" w:space="0"/>
              <w:bottom w:val="single" w:color="auto" w:sz="8" w:space="0"/>
              <w:right w:val="single" w:color="auto" w:sz="8" w:space="0"/>
            </w:tcBorders>
            <w:noWrap/>
            <w:vAlign w:val="center"/>
          </w:tcPr>
          <w:p>
            <w:pPr>
              <w:pStyle w:val="237"/>
              <w:numPr>
                <w:ilvl w:val="0"/>
                <w:numId w:val="7"/>
              </w:numPr>
              <w:spacing w:line="400" w:lineRule="exact"/>
              <w:ind w:left="210" w:leftChars="0" w:firstLine="0" w:firstLineChars="0"/>
              <w:jc w:val="center"/>
              <w:rPr>
                <w:rFonts w:hAnsi="宋体"/>
                <w:lang w:val="zh-CN"/>
              </w:rPr>
            </w:pPr>
          </w:p>
        </w:tc>
        <w:tc>
          <w:tcPr>
            <w:tcW w:w="1797" w:type="dxa"/>
            <w:tcBorders>
              <w:top w:val="single" w:color="auto" w:sz="8" w:space="0"/>
              <w:left w:val="single" w:color="auto" w:sz="8" w:space="0"/>
              <w:bottom w:val="single" w:color="auto" w:sz="8" w:space="0"/>
              <w:right w:val="single" w:color="auto" w:sz="8" w:space="0"/>
            </w:tcBorders>
            <w:noWrap/>
            <w:vAlign w:val="center"/>
          </w:tcPr>
          <w:p>
            <w:pPr>
              <w:pStyle w:val="237"/>
              <w:spacing w:line="400" w:lineRule="exact"/>
              <w:jc w:val="center"/>
              <w:rPr>
                <w:rFonts w:hAnsi="宋体"/>
                <w:highlight w:val="none"/>
                <w:lang w:val="zh-CN"/>
              </w:rPr>
            </w:pPr>
            <w:r>
              <w:rPr>
                <w:rFonts w:hint="eastAsia" w:hAnsi="宋体"/>
                <w:highlight w:val="none"/>
                <w:lang w:val="zh-CN"/>
              </w:rPr>
              <w:t>响应文件首次递交截止时间</w:t>
            </w:r>
          </w:p>
        </w:tc>
        <w:tc>
          <w:tcPr>
            <w:tcW w:w="6419" w:type="dxa"/>
            <w:tcBorders>
              <w:top w:val="single" w:color="auto" w:sz="8" w:space="0"/>
              <w:left w:val="single" w:color="auto" w:sz="8" w:space="0"/>
              <w:bottom w:val="single" w:color="auto" w:sz="8" w:space="0"/>
              <w:right w:val="single" w:color="auto" w:sz="18" w:space="0"/>
            </w:tcBorders>
            <w:noWrap/>
            <w:vAlign w:val="center"/>
          </w:tcPr>
          <w:p>
            <w:pPr>
              <w:pStyle w:val="237"/>
              <w:spacing w:line="400" w:lineRule="exact"/>
              <w:rPr>
                <w:rFonts w:hAnsi="宋体"/>
                <w:highlight w:val="none"/>
              </w:rPr>
            </w:pPr>
            <w:r>
              <w:rPr>
                <w:rFonts w:hAnsi="宋体"/>
                <w:color w:val="auto"/>
                <w:highlight w:val="none"/>
              </w:rPr>
              <w:t>202</w:t>
            </w:r>
            <w:r>
              <w:rPr>
                <w:rFonts w:hint="eastAsia" w:hAnsi="宋体"/>
                <w:color w:val="auto"/>
                <w:highlight w:val="none"/>
              </w:rPr>
              <w:t>3</w:t>
            </w:r>
            <w:r>
              <w:rPr>
                <w:rFonts w:hAnsi="宋体"/>
                <w:color w:val="auto"/>
                <w:highlight w:val="none"/>
              </w:rPr>
              <w:t>年</w:t>
            </w:r>
            <w:r>
              <w:rPr>
                <w:rFonts w:hint="eastAsia" w:hAnsi="宋体"/>
                <w:color w:val="auto"/>
                <w:highlight w:val="none"/>
                <w:lang w:val="en-US" w:eastAsia="zh-CN"/>
              </w:rPr>
              <w:t>11</w:t>
            </w:r>
            <w:r>
              <w:rPr>
                <w:rFonts w:hAnsi="宋体"/>
                <w:color w:val="auto"/>
                <w:highlight w:val="none"/>
              </w:rPr>
              <w:t>月</w:t>
            </w:r>
            <w:r>
              <w:rPr>
                <w:rFonts w:hint="eastAsia" w:hAnsi="宋体"/>
                <w:color w:val="auto"/>
                <w:highlight w:val="none"/>
                <w:lang w:val="en-US" w:eastAsia="zh-CN"/>
              </w:rPr>
              <w:t>2</w:t>
            </w:r>
            <w:r>
              <w:rPr>
                <w:rFonts w:hAnsi="宋体"/>
                <w:color w:val="auto"/>
                <w:highlight w:val="none"/>
              </w:rPr>
              <w:t>日</w:t>
            </w:r>
            <w:r>
              <w:rPr>
                <w:rFonts w:hint="eastAsia" w:hAnsi="宋体"/>
                <w:color w:val="auto"/>
                <w:highlight w:val="none"/>
                <w:lang w:eastAsia="zh-CN"/>
              </w:rPr>
              <w:t>上</w:t>
            </w:r>
            <w:r>
              <w:rPr>
                <w:rFonts w:hAnsi="宋体"/>
                <w:color w:val="auto"/>
                <w:highlight w:val="none"/>
              </w:rPr>
              <w:t>午</w:t>
            </w:r>
            <w:r>
              <w:rPr>
                <w:rFonts w:hint="eastAsia" w:hAnsi="宋体"/>
                <w:color w:val="auto"/>
                <w:highlight w:val="none"/>
                <w:lang w:val="en-US" w:eastAsia="zh-CN"/>
              </w:rPr>
              <w:t>11:00</w:t>
            </w:r>
            <w:r>
              <w:rPr>
                <w:rFonts w:hAnsi="宋体"/>
                <w:color w:val="auto"/>
                <w:highlight w:val="none"/>
              </w:rPr>
              <w:t>（北京时间）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7" w:hRule="exact"/>
          <w:jc w:val="center"/>
        </w:trPr>
        <w:tc>
          <w:tcPr>
            <w:tcW w:w="651" w:type="dxa"/>
            <w:tcBorders>
              <w:top w:val="single" w:color="auto" w:sz="8" w:space="0"/>
              <w:left w:val="single" w:color="auto" w:sz="18" w:space="0"/>
              <w:bottom w:val="single" w:color="auto" w:sz="8" w:space="0"/>
              <w:right w:val="single" w:color="auto" w:sz="8" w:space="0"/>
            </w:tcBorders>
            <w:noWrap/>
            <w:vAlign w:val="center"/>
          </w:tcPr>
          <w:p>
            <w:pPr>
              <w:pStyle w:val="237"/>
              <w:numPr>
                <w:ilvl w:val="0"/>
                <w:numId w:val="7"/>
              </w:numPr>
              <w:spacing w:line="400" w:lineRule="exact"/>
              <w:ind w:left="210" w:leftChars="0" w:firstLine="0" w:firstLineChars="0"/>
              <w:jc w:val="center"/>
              <w:rPr>
                <w:rFonts w:hAnsi="宋体"/>
                <w:lang w:val="zh-CN"/>
              </w:rPr>
            </w:pPr>
          </w:p>
        </w:tc>
        <w:tc>
          <w:tcPr>
            <w:tcW w:w="1797" w:type="dxa"/>
            <w:tcBorders>
              <w:top w:val="single" w:color="auto" w:sz="8" w:space="0"/>
              <w:left w:val="single" w:color="auto" w:sz="8" w:space="0"/>
              <w:bottom w:val="single" w:color="auto" w:sz="8" w:space="0"/>
              <w:right w:val="single" w:color="auto" w:sz="8" w:space="0"/>
            </w:tcBorders>
            <w:noWrap/>
            <w:vAlign w:val="center"/>
          </w:tcPr>
          <w:p>
            <w:pPr>
              <w:pStyle w:val="237"/>
              <w:spacing w:line="400" w:lineRule="exact"/>
              <w:jc w:val="center"/>
              <w:rPr>
                <w:rFonts w:hAnsi="宋体"/>
                <w:lang w:val="zh-CN"/>
              </w:rPr>
            </w:pPr>
            <w:r>
              <w:rPr>
                <w:rFonts w:hint="eastAsia" w:hAnsi="宋体"/>
                <w:lang w:val="en-US" w:eastAsia="zh-CN"/>
              </w:rPr>
              <w:t>招标</w:t>
            </w:r>
            <w:r>
              <w:rPr>
                <w:rFonts w:hint="eastAsia" w:hAnsi="宋体"/>
                <w:lang w:val="zh-CN"/>
              </w:rPr>
              <w:t>有效期</w:t>
            </w:r>
          </w:p>
        </w:tc>
        <w:tc>
          <w:tcPr>
            <w:tcW w:w="6419" w:type="dxa"/>
            <w:tcBorders>
              <w:top w:val="single" w:color="auto" w:sz="8" w:space="0"/>
              <w:left w:val="single" w:color="auto" w:sz="8" w:space="0"/>
              <w:bottom w:val="single" w:color="auto" w:sz="8" w:space="0"/>
              <w:right w:val="single" w:color="auto" w:sz="18" w:space="0"/>
            </w:tcBorders>
            <w:noWrap/>
            <w:vAlign w:val="center"/>
          </w:tcPr>
          <w:p>
            <w:pPr>
              <w:pStyle w:val="237"/>
              <w:spacing w:line="400" w:lineRule="exact"/>
              <w:jc w:val="both"/>
              <w:rPr>
                <w:rFonts w:hAnsi="宋体"/>
              </w:rPr>
            </w:pPr>
            <w:r>
              <w:rPr>
                <w:rFonts w:hint="eastAsia" w:hAnsi="宋体"/>
              </w:rPr>
              <w:t>90天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844" w:hRule="atLeast"/>
          <w:jc w:val="center"/>
        </w:trPr>
        <w:tc>
          <w:tcPr>
            <w:tcW w:w="651" w:type="dxa"/>
            <w:tcBorders>
              <w:top w:val="single" w:color="auto" w:sz="8" w:space="0"/>
              <w:left w:val="single" w:color="auto" w:sz="18" w:space="0"/>
              <w:bottom w:val="single" w:color="auto" w:sz="8" w:space="0"/>
              <w:right w:val="single" w:color="auto" w:sz="8" w:space="0"/>
            </w:tcBorders>
            <w:noWrap/>
            <w:vAlign w:val="center"/>
          </w:tcPr>
          <w:p>
            <w:pPr>
              <w:pStyle w:val="237"/>
              <w:numPr>
                <w:ilvl w:val="0"/>
                <w:numId w:val="7"/>
              </w:numPr>
              <w:spacing w:line="400" w:lineRule="exact"/>
              <w:ind w:left="210" w:leftChars="0" w:firstLine="0" w:firstLineChars="0"/>
              <w:jc w:val="center"/>
              <w:rPr>
                <w:rFonts w:hAnsi="宋体"/>
                <w:lang w:val="zh-CN"/>
              </w:rPr>
            </w:pPr>
          </w:p>
        </w:tc>
        <w:tc>
          <w:tcPr>
            <w:tcW w:w="1797" w:type="dxa"/>
            <w:tcBorders>
              <w:top w:val="single" w:color="auto" w:sz="8" w:space="0"/>
              <w:left w:val="single" w:color="auto" w:sz="8" w:space="0"/>
              <w:bottom w:val="single" w:color="auto" w:sz="8" w:space="0"/>
              <w:right w:val="single" w:color="auto" w:sz="8" w:space="0"/>
            </w:tcBorders>
            <w:noWrap/>
            <w:vAlign w:val="center"/>
          </w:tcPr>
          <w:p>
            <w:pPr>
              <w:pStyle w:val="237"/>
              <w:spacing w:line="400" w:lineRule="exact"/>
              <w:jc w:val="center"/>
              <w:rPr>
                <w:rFonts w:hAnsi="宋体"/>
                <w:lang w:val="zh-CN"/>
              </w:rPr>
            </w:pPr>
            <w:r>
              <w:rPr>
                <w:rFonts w:hint="eastAsia" w:hAnsi="宋体"/>
                <w:lang w:val="en-US" w:eastAsia="zh-CN"/>
              </w:rPr>
              <w:t>投标</w:t>
            </w:r>
            <w:r>
              <w:rPr>
                <w:rFonts w:hint="eastAsia" w:hAnsi="宋体"/>
                <w:lang w:val="zh-CN"/>
              </w:rPr>
              <w:t>保证金</w:t>
            </w:r>
          </w:p>
        </w:tc>
        <w:tc>
          <w:tcPr>
            <w:tcW w:w="6419" w:type="dxa"/>
            <w:tcBorders>
              <w:top w:val="single" w:color="auto" w:sz="8" w:space="0"/>
              <w:left w:val="single" w:color="auto" w:sz="8" w:space="0"/>
              <w:bottom w:val="single" w:color="auto" w:sz="8" w:space="0"/>
              <w:right w:val="single" w:color="auto" w:sz="18" w:space="0"/>
            </w:tcBorders>
            <w:noWrap/>
            <w:vAlign w:val="center"/>
          </w:tcPr>
          <w:p>
            <w:pPr>
              <w:adjustRightInd w:val="0"/>
              <w:snapToGrid w:val="0"/>
              <w:spacing w:line="360" w:lineRule="auto"/>
              <w:rPr>
                <w:rFonts w:ascii="宋体" w:hAnsi="宋体" w:cs="宋体"/>
                <w:kern w:val="0"/>
                <w:sz w:val="24"/>
                <w:szCs w:val="24"/>
              </w:rPr>
            </w:pPr>
            <w:r>
              <w:rPr>
                <w:rFonts w:hint="eastAsia" w:ascii="宋体" w:hAnsi="宋体" w:cs="宋体"/>
                <w:kern w:val="0"/>
                <w:sz w:val="24"/>
                <w:szCs w:val="24"/>
              </w:rPr>
              <w:t>保证金：</w:t>
            </w:r>
            <w:r>
              <w:rPr>
                <w:rFonts w:hint="eastAsia" w:ascii="宋体" w:hAnsi="宋体" w:cs="宋体"/>
                <w:color w:val="auto"/>
                <w:kern w:val="0"/>
                <w:sz w:val="24"/>
                <w:szCs w:val="24"/>
                <w:lang w:val="en-US" w:eastAsia="zh-CN"/>
              </w:rPr>
              <w:t>2</w:t>
            </w:r>
            <w:r>
              <w:rPr>
                <w:rFonts w:hint="eastAsia" w:ascii="宋体" w:hAnsi="宋体" w:cs="宋体"/>
                <w:color w:val="auto"/>
                <w:kern w:val="0"/>
                <w:sz w:val="24"/>
                <w:szCs w:val="24"/>
              </w:rPr>
              <w:t>0000</w:t>
            </w:r>
            <w:r>
              <w:rPr>
                <w:rFonts w:hint="eastAsia" w:ascii="宋体" w:hAnsi="宋体" w:cs="宋体"/>
                <w:color w:val="auto"/>
                <w:kern w:val="0"/>
                <w:sz w:val="24"/>
                <w:szCs w:val="24"/>
                <w:lang w:val="en-US" w:eastAsia="zh-CN"/>
              </w:rPr>
              <w:t>0</w:t>
            </w:r>
            <w:r>
              <w:rPr>
                <w:rFonts w:hint="eastAsia" w:ascii="宋体" w:hAnsi="宋体" w:cs="宋体"/>
                <w:color w:val="auto"/>
                <w:kern w:val="0"/>
                <w:sz w:val="24"/>
                <w:szCs w:val="24"/>
              </w:rPr>
              <w:t>元整（</w:t>
            </w:r>
            <w:r>
              <w:rPr>
                <w:rFonts w:hint="eastAsia" w:ascii="宋体" w:hAnsi="宋体" w:cs="宋体"/>
                <w:color w:val="auto"/>
                <w:kern w:val="0"/>
                <w:sz w:val="24"/>
                <w:szCs w:val="24"/>
                <w:lang w:val="en-US" w:eastAsia="zh-CN"/>
              </w:rPr>
              <w:t>贰拾万</w:t>
            </w:r>
            <w:r>
              <w:rPr>
                <w:rFonts w:hint="eastAsia" w:ascii="宋体" w:hAnsi="宋体" w:cs="宋体"/>
                <w:color w:val="auto"/>
                <w:kern w:val="0"/>
                <w:sz w:val="24"/>
                <w:szCs w:val="24"/>
              </w:rPr>
              <w:t>元整）。</w:t>
            </w:r>
            <w:r>
              <w:rPr>
                <w:rFonts w:hint="eastAsia" w:ascii="宋体" w:hAnsi="宋体" w:cs="宋体"/>
                <w:kern w:val="0"/>
                <w:sz w:val="24"/>
                <w:szCs w:val="24"/>
              </w:rPr>
              <w:t>以银行转账、电汇、支票、银行汇票等非现金形式提交。电子保函、银行保函或者保险公司、担保公司保函应当从其基本账户开具。以投标人基本账户以外的个人、投标人的办事处、分公司、子公司名义或者其他账户转出的投标保证金无效。</w:t>
            </w:r>
          </w:p>
          <w:p>
            <w:pPr>
              <w:adjustRightInd w:val="0"/>
              <w:snapToGrid w:val="0"/>
              <w:spacing w:line="360" w:lineRule="auto"/>
              <w:rPr>
                <w:rFonts w:ascii="宋体" w:hAnsi="宋体" w:cs="宋体"/>
                <w:kern w:val="0"/>
                <w:sz w:val="24"/>
                <w:szCs w:val="24"/>
              </w:rPr>
            </w:pPr>
            <w:r>
              <w:rPr>
                <w:rFonts w:hint="eastAsia" w:ascii="宋体" w:hAnsi="宋体" w:cs="宋体"/>
                <w:kern w:val="0"/>
                <w:sz w:val="24"/>
                <w:szCs w:val="24"/>
              </w:rPr>
              <w:t>账户信息：</w:t>
            </w:r>
          </w:p>
          <w:p>
            <w:pPr>
              <w:adjustRightInd w:val="0"/>
              <w:snapToGrid w:val="0"/>
              <w:spacing w:line="360" w:lineRule="auto"/>
              <w:rPr>
                <w:rFonts w:ascii="宋体" w:hAnsi="宋体" w:cs="宋体"/>
                <w:b/>
                <w:bCs/>
                <w:kern w:val="0"/>
                <w:sz w:val="24"/>
                <w:szCs w:val="24"/>
              </w:rPr>
            </w:pPr>
            <w:r>
              <w:rPr>
                <w:rFonts w:hint="eastAsia" w:ascii="宋体" w:hAnsi="宋体" w:cs="宋体"/>
                <w:b/>
                <w:bCs/>
                <w:kern w:val="0"/>
                <w:sz w:val="24"/>
                <w:szCs w:val="24"/>
              </w:rPr>
              <w:t>账户名称：玛纳斯县政务服务和公共资源交易管理中心</w:t>
            </w:r>
          </w:p>
          <w:p>
            <w:pPr>
              <w:adjustRightInd w:val="0"/>
              <w:snapToGrid w:val="0"/>
              <w:spacing w:line="360" w:lineRule="auto"/>
              <w:rPr>
                <w:rFonts w:ascii="宋体" w:hAnsi="宋体" w:cs="宋体"/>
                <w:b/>
                <w:bCs/>
                <w:kern w:val="0"/>
                <w:sz w:val="24"/>
                <w:szCs w:val="24"/>
              </w:rPr>
            </w:pPr>
            <w:r>
              <w:rPr>
                <w:rFonts w:hint="eastAsia" w:ascii="宋体" w:hAnsi="宋体" w:cs="宋体"/>
                <w:b/>
                <w:bCs/>
                <w:kern w:val="0"/>
                <w:sz w:val="24"/>
                <w:szCs w:val="24"/>
              </w:rPr>
              <w:t>账号：3004210309200010828</w:t>
            </w:r>
          </w:p>
          <w:p>
            <w:pPr>
              <w:adjustRightInd w:val="0"/>
              <w:snapToGrid w:val="0"/>
              <w:spacing w:line="360" w:lineRule="auto"/>
              <w:rPr>
                <w:rFonts w:ascii="宋体" w:hAnsi="宋体" w:cs="宋体"/>
                <w:b/>
                <w:bCs/>
                <w:kern w:val="0"/>
                <w:sz w:val="24"/>
                <w:szCs w:val="24"/>
              </w:rPr>
            </w:pPr>
            <w:r>
              <w:rPr>
                <w:rFonts w:hint="eastAsia" w:ascii="宋体" w:hAnsi="宋体" w:cs="宋体"/>
                <w:b/>
                <w:bCs/>
                <w:kern w:val="0"/>
                <w:sz w:val="24"/>
                <w:szCs w:val="24"/>
              </w:rPr>
              <w:t>开户行名称：中国工商银行股份有限公司玛纳斯支行</w:t>
            </w:r>
          </w:p>
          <w:p>
            <w:pPr>
              <w:adjustRightInd w:val="0"/>
              <w:snapToGrid w:val="0"/>
              <w:spacing w:line="360" w:lineRule="auto"/>
              <w:rPr>
                <w:rFonts w:ascii="宋体" w:hAnsi="宋体" w:cs="宋体"/>
                <w:b/>
                <w:bCs/>
                <w:kern w:val="0"/>
                <w:sz w:val="24"/>
                <w:szCs w:val="24"/>
              </w:rPr>
            </w:pPr>
            <w:r>
              <w:rPr>
                <w:rFonts w:hint="eastAsia" w:ascii="宋体" w:hAnsi="宋体" w:cs="宋体"/>
                <w:b/>
                <w:bCs/>
                <w:kern w:val="0"/>
                <w:sz w:val="24"/>
                <w:szCs w:val="24"/>
              </w:rPr>
              <w:t>行号：102885421993</w:t>
            </w:r>
          </w:p>
          <w:p>
            <w:pPr>
              <w:keepNext w:val="0"/>
              <w:keepLines w:val="0"/>
              <w:pageBreakBefore w:val="0"/>
              <w:kinsoku/>
              <w:wordWrap/>
              <w:overflowPunct/>
              <w:topLinePunct w:val="0"/>
              <w:autoSpaceDE/>
              <w:autoSpaceDN/>
              <w:bidi w:val="0"/>
              <w:adjustRightInd/>
              <w:snapToGrid/>
              <w:spacing w:line="300" w:lineRule="exact"/>
              <w:ind w:left="0" w:right="0" w:firstLine="0" w:firstLineChars="0"/>
              <w:jc w:val="both"/>
              <w:textAlignment w:val="auto"/>
              <w:rPr>
                <w:rFonts w:hint="eastAsia" w:ascii="宋体" w:hAnsi="宋体" w:eastAsia="宋体" w:cs="宋体"/>
                <w:b/>
                <w:bCs/>
                <w:sz w:val="24"/>
                <w:szCs w:val="24"/>
                <w:highlight w:val="none"/>
                <w:lang w:val="en-US" w:eastAsia="zh-CN"/>
              </w:rPr>
            </w:pPr>
            <w:r>
              <w:rPr>
                <w:rFonts w:hint="eastAsia" w:ascii="宋体" w:hAnsi="宋体" w:cs="宋体"/>
                <w:kern w:val="0"/>
                <w:sz w:val="24"/>
                <w:szCs w:val="24"/>
              </w:rPr>
              <w:t>不得以现金和其他形式缴纳，潜在供应商在缴纳磋商保证金时，需在进账凭证上明确资金用途和投标项目名称，并注明联系人及电话，以便查对核实。供应商应充分考虑资金到账时间，在规定的时限前自行办妥投标保证金缴纳手续，投标保证金的缴付时间以电汇凭证和网银对账单上的时间为准，超过缴纳的时限缴纳投标保证金视为报名无效。</w:t>
            </w:r>
            <w:r>
              <w:rPr>
                <w:rFonts w:hint="eastAsia" w:ascii="宋体" w:hAnsi="宋体" w:cs="宋体"/>
                <w:kern w:val="0"/>
                <w:sz w:val="24"/>
                <w:szCs w:val="24"/>
                <w:lang w:val="en-US" w:eastAsia="zh-CN"/>
              </w:rPr>
              <w:t xml:space="preserve">          </w:t>
            </w:r>
            <w:r>
              <w:rPr>
                <w:rFonts w:hint="eastAsia" w:ascii="宋体" w:hAnsi="宋体" w:eastAsia="宋体" w:cs="宋体"/>
                <w:b/>
                <w:bCs/>
                <w:sz w:val="24"/>
                <w:szCs w:val="24"/>
                <w:highlight w:val="none"/>
                <w:lang w:val="en-US" w:eastAsia="zh-CN"/>
              </w:rPr>
              <w:t>保函投保金额</w:t>
            </w:r>
            <w:r>
              <w:rPr>
                <w:rFonts w:hint="eastAsia" w:ascii="宋体" w:hAnsi="宋体" w:cs="宋体"/>
                <w:b/>
                <w:bCs/>
                <w:sz w:val="24"/>
                <w:szCs w:val="24"/>
                <w:highlight w:val="none"/>
                <w:lang w:val="en-US" w:eastAsia="zh-CN"/>
              </w:rPr>
              <w:t>（</w:t>
            </w:r>
            <w:r>
              <w:rPr>
                <w:rFonts w:hint="eastAsia" w:ascii="宋体" w:hAnsi="宋体" w:eastAsia="宋体" w:cs="宋体"/>
                <w:b/>
                <w:bCs/>
                <w:sz w:val="24"/>
                <w:szCs w:val="24"/>
                <w:highlight w:val="none"/>
                <w:lang w:val="en-US" w:eastAsia="zh-CN"/>
              </w:rPr>
              <w:t>元</w:t>
            </w:r>
            <w:r>
              <w:rPr>
                <w:rFonts w:hint="eastAsia" w:ascii="宋体" w:hAnsi="宋体" w:cs="宋体"/>
                <w:b/>
                <w:bCs/>
                <w:sz w:val="24"/>
                <w:szCs w:val="24"/>
                <w:highlight w:val="none"/>
                <w:lang w:val="en-US" w:eastAsia="zh-CN"/>
              </w:rPr>
              <w:t>）</w:t>
            </w:r>
            <w:r>
              <w:rPr>
                <w:rFonts w:hint="eastAsia" w:ascii="宋体" w:hAnsi="宋体" w:eastAsia="宋体" w:cs="宋体"/>
                <w:b/>
                <w:bCs/>
                <w:sz w:val="24"/>
                <w:szCs w:val="24"/>
                <w:highlight w:val="none"/>
                <w:lang w:val="en-US" w:eastAsia="zh-CN"/>
              </w:rPr>
              <w:t>：</w:t>
            </w:r>
          </w:p>
          <w:p>
            <w:pPr>
              <w:keepNext w:val="0"/>
              <w:keepLines w:val="0"/>
              <w:pageBreakBefore w:val="0"/>
              <w:kinsoku/>
              <w:wordWrap/>
              <w:overflowPunct/>
              <w:topLinePunct w:val="0"/>
              <w:autoSpaceDE/>
              <w:autoSpaceDN/>
              <w:bidi w:val="0"/>
              <w:adjustRightInd/>
              <w:snapToGrid/>
              <w:spacing w:line="300" w:lineRule="exact"/>
              <w:ind w:left="0" w:right="0" w:firstLine="0" w:firstLineChars="0"/>
              <w:jc w:val="both"/>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 xml:space="preserve">200000元整（大写：贰拾万元整）           </w:t>
            </w:r>
          </w:p>
          <w:p>
            <w:pPr>
              <w:adjustRightInd w:val="0"/>
              <w:snapToGrid w:val="0"/>
              <w:spacing w:line="360" w:lineRule="auto"/>
              <w:rPr>
                <w:rFonts w:ascii="宋体" w:hAnsi="宋体" w:cs="宋体"/>
                <w:sz w:val="24"/>
                <w:szCs w:val="24"/>
              </w:rPr>
            </w:pPr>
            <w:r>
              <w:rPr>
                <w:rFonts w:hint="eastAsia" w:ascii="宋体" w:hAnsi="宋体" w:eastAsia="宋体" w:cs="宋体"/>
                <w:b/>
                <w:bCs/>
                <w:sz w:val="24"/>
                <w:szCs w:val="24"/>
                <w:highlight w:val="none"/>
                <w:lang w:val="en-US" w:eastAsia="zh-CN"/>
              </w:rPr>
              <w:t xml:space="preserve">保函承保期限： </w:t>
            </w:r>
            <w:r>
              <w:rPr>
                <w:rFonts w:hint="eastAsia" w:ascii="宋体" w:hAnsi="宋体" w:cs="宋体"/>
                <w:b/>
                <w:bCs/>
                <w:sz w:val="24"/>
                <w:szCs w:val="24"/>
                <w:highlight w:val="none"/>
                <w:lang w:val="en-US" w:eastAsia="zh-CN"/>
              </w:rPr>
              <w:t>2023年10月13日</w:t>
            </w:r>
            <w:r>
              <w:rPr>
                <w:rFonts w:hint="eastAsia" w:ascii="宋体" w:hAnsi="宋体" w:eastAsia="宋体" w:cs="宋体"/>
                <w:b/>
                <w:bCs/>
                <w:sz w:val="24"/>
                <w:szCs w:val="24"/>
                <w:highlight w:val="none"/>
                <w:lang w:val="en-US" w:eastAsia="zh-CN"/>
              </w:rPr>
              <w:t xml:space="preserve">----  2024年1月 </w:t>
            </w:r>
            <w:r>
              <w:rPr>
                <w:rFonts w:hint="eastAsia" w:ascii="宋体" w:hAnsi="宋体" w:cs="宋体"/>
                <w:b/>
                <w:bCs/>
                <w:sz w:val="24"/>
                <w:szCs w:val="24"/>
                <w:highlight w:val="none"/>
                <w:lang w:val="en-US" w:eastAsia="zh-CN"/>
              </w:rPr>
              <w:t>13</w:t>
            </w:r>
            <w:r>
              <w:rPr>
                <w:rFonts w:hint="eastAsia" w:ascii="宋体" w:hAnsi="宋体" w:eastAsia="宋体" w:cs="宋体"/>
                <w:b/>
                <w:bCs/>
                <w:sz w:val="24"/>
                <w:szCs w:val="24"/>
                <w:highlight w:val="none"/>
                <w:lang w:val="en-US" w:eastAsia="zh-CN"/>
              </w:rPr>
              <w:t xml:space="preserve">日（90日历天） </w:t>
            </w:r>
            <w:r>
              <w:rPr>
                <w:rFonts w:hint="eastAsia" w:ascii="宋体" w:hAnsi="宋体" w:eastAsia="宋体" w:cs="宋体"/>
                <w:sz w:val="24"/>
                <w:szCs w:val="24"/>
                <w:highlight w:val="none"/>
                <w:lang w:val="en-US" w:eastAsia="zh-CN"/>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94" w:hRule="exact"/>
          <w:jc w:val="center"/>
        </w:trPr>
        <w:tc>
          <w:tcPr>
            <w:tcW w:w="651" w:type="dxa"/>
            <w:tcBorders>
              <w:top w:val="single" w:color="auto" w:sz="8" w:space="0"/>
              <w:left w:val="single" w:color="auto" w:sz="18" w:space="0"/>
              <w:bottom w:val="single" w:color="auto" w:sz="8" w:space="0"/>
              <w:right w:val="single" w:color="auto" w:sz="8" w:space="0"/>
            </w:tcBorders>
            <w:noWrap/>
            <w:vAlign w:val="center"/>
          </w:tcPr>
          <w:p>
            <w:pPr>
              <w:pStyle w:val="237"/>
              <w:numPr>
                <w:ilvl w:val="0"/>
                <w:numId w:val="7"/>
              </w:numPr>
              <w:spacing w:line="400" w:lineRule="exact"/>
              <w:ind w:left="210" w:leftChars="0" w:firstLine="0" w:firstLineChars="0"/>
              <w:jc w:val="center"/>
              <w:rPr>
                <w:rFonts w:hAnsi="宋体"/>
                <w:lang w:val="zh-CN"/>
              </w:rPr>
            </w:pPr>
          </w:p>
        </w:tc>
        <w:tc>
          <w:tcPr>
            <w:tcW w:w="1797" w:type="dxa"/>
            <w:tcBorders>
              <w:top w:val="single" w:color="auto" w:sz="8" w:space="0"/>
              <w:left w:val="single" w:color="auto" w:sz="8" w:space="0"/>
              <w:bottom w:val="single" w:color="auto" w:sz="8" w:space="0"/>
              <w:right w:val="single" w:color="auto" w:sz="8" w:space="0"/>
            </w:tcBorders>
            <w:noWrap/>
            <w:vAlign w:val="center"/>
          </w:tcPr>
          <w:p>
            <w:pPr>
              <w:pStyle w:val="237"/>
              <w:spacing w:line="400" w:lineRule="exact"/>
              <w:jc w:val="center"/>
              <w:rPr>
                <w:rFonts w:hAnsi="宋体"/>
                <w:lang w:val="zh-CN"/>
              </w:rPr>
            </w:pPr>
            <w:r>
              <w:rPr>
                <w:rFonts w:hint="eastAsia" w:hAnsi="宋体"/>
                <w:lang w:val="zh-CN"/>
              </w:rPr>
              <w:t>响应文件的签署</w:t>
            </w:r>
          </w:p>
        </w:tc>
        <w:tc>
          <w:tcPr>
            <w:tcW w:w="6419" w:type="dxa"/>
            <w:tcBorders>
              <w:top w:val="single" w:color="auto" w:sz="8" w:space="0"/>
              <w:left w:val="single" w:color="auto" w:sz="8" w:space="0"/>
              <w:bottom w:val="single" w:color="auto" w:sz="8" w:space="0"/>
              <w:right w:val="single" w:color="auto" w:sz="18" w:space="0"/>
            </w:tcBorders>
            <w:noWrap/>
            <w:vAlign w:val="center"/>
          </w:tcPr>
          <w:p>
            <w:pPr>
              <w:pStyle w:val="237"/>
              <w:spacing w:line="400" w:lineRule="exact"/>
              <w:jc w:val="both"/>
              <w:rPr>
                <w:rFonts w:hAnsi="宋体"/>
                <w:lang w:val="zh-CN"/>
              </w:rPr>
            </w:pPr>
            <w:r>
              <w:rPr>
                <w:rFonts w:hint="eastAsia" w:hAnsi="宋体"/>
                <w:lang w:val="zh-CN"/>
              </w:rPr>
              <w:t>供应商代表必须按</w:t>
            </w:r>
            <w:r>
              <w:rPr>
                <w:rFonts w:hint="eastAsia" w:hAnsi="宋体"/>
                <w:lang w:val="en-US" w:eastAsia="zh-CN"/>
              </w:rPr>
              <w:t>招标</w:t>
            </w:r>
            <w:r>
              <w:rPr>
                <w:rFonts w:hint="eastAsia" w:hAnsi="宋体"/>
                <w:lang w:val="zh-CN"/>
              </w:rPr>
              <w:t>文件的规定签署响应文件。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63" w:hRule="atLeast"/>
          <w:jc w:val="center"/>
        </w:trPr>
        <w:tc>
          <w:tcPr>
            <w:tcW w:w="651" w:type="dxa"/>
            <w:tcBorders>
              <w:top w:val="single" w:color="auto" w:sz="8" w:space="0"/>
              <w:left w:val="single" w:color="auto" w:sz="18" w:space="0"/>
              <w:bottom w:val="single" w:color="auto" w:sz="8" w:space="0"/>
              <w:right w:val="single" w:color="auto" w:sz="8" w:space="0"/>
            </w:tcBorders>
            <w:noWrap/>
            <w:vAlign w:val="center"/>
          </w:tcPr>
          <w:p>
            <w:pPr>
              <w:pStyle w:val="237"/>
              <w:numPr>
                <w:ilvl w:val="0"/>
                <w:numId w:val="7"/>
              </w:numPr>
              <w:spacing w:line="400" w:lineRule="exact"/>
              <w:ind w:left="210" w:leftChars="0" w:firstLine="0" w:firstLineChars="0"/>
              <w:jc w:val="center"/>
              <w:rPr>
                <w:rFonts w:hAnsi="宋体"/>
                <w:lang w:val="zh-CN"/>
              </w:rPr>
            </w:pPr>
          </w:p>
        </w:tc>
        <w:tc>
          <w:tcPr>
            <w:tcW w:w="1797" w:type="dxa"/>
            <w:tcBorders>
              <w:top w:val="single" w:color="auto" w:sz="8" w:space="0"/>
              <w:left w:val="single" w:color="auto" w:sz="8" w:space="0"/>
              <w:bottom w:val="single" w:color="auto" w:sz="8" w:space="0"/>
              <w:right w:val="single" w:color="auto" w:sz="8" w:space="0"/>
            </w:tcBorders>
            <w:noWrap/>
            <w:vAlign w:val="center"/>
          </w:tcPr>
          <w:p>
            <w:pPr>
              <w:pStyle w:val="237"/>
              <w:spacing w:line="400" w:lineRule="exact"/>
              <w:jc w:val="center"/>
              <w:rPr>
                <w:rFonts w:hAnsi="宋体"/>
                <w:b w:val="0"/>
                <w:bCs w:val="0"/>
                <w:lang w:val="zh-CN"/>
              </w:rPr>
            </w:pPr>
            <w:r>
              <w:rPr>
                <w:rFonts w:hint="eastAsia" w:hAnsi="宋体"/>
                <w:b w:val="0"/>
                <w:bCs w:val="0"/>
                <w:lang w:val="zh-CN"/>
              </w:rPr>
              <w:t>招标代理服务费</w:t>
            </w:r>
          </w:p>
        </w:tc>
        <w:tc>
          <w:tcPr>
            <w:tcW w:w="6419" w:type="dxa"/>
            <w:tcBorders>
              <w:top w:val="single" w:color="auto" w:sz="8" w:space="0"/>
              <w:left w:val="single" w:color="auto" w:sz="8" w:space="0"/>
              <w:bottom w:val="single" w:color="auto" w:sz="8" w:space="0"/>
              <w:right w:val="single" w:color="auto" w:sz="18" w:space="0"/>
            </w:tcBorders>
            <w:noWrap/>
            <w:vAlign w:val="center"/>
          </w:tcPr>
          <w:p>
            <w:pPr>
              <w:autoSpaceDE w:val="0"/>
              <w:autoSpaceDN w:val="0"/>
              <w:adjustRightInd w:val="0"/>
              <w:spacing w:line="360" w:lineRule="auto"/>
              <w:rPr>
                <w:rFonts w:ascii="宋体" w:hAnsi="宋体"/>
                <w:b w:val="0"/>
                <w:bCs w:val="0"/>
                <w:kern w:val="0"/>
                <w:sz w:val="24"/>
                <w:szCs w:val="24"/>
              </w:rPr>
            </w:pPr>
            <w:r>
              <w:rPr>
                <w:rFonts w:hint="eastAsia" w:ascii="宋体" w:hAnsi="宋体"/>
                <w:b w:val="0"/>
                <w:bCs w:val="0"/>
                <w:kern w:val="0"/>
                <w:sz w:val="24"/>
                <w:szCs w:val="24"/>
              </w:rPr>
              <w:t>☑不交纳</w:t>
            </w:r>
          </w:p>
          <w:p>
            <w:pPr>
              <w:spacing w:line="360" w:lineRule="auto"/>
              <w:rPr>
                <w:rFonts w:ascii="宋体" w:hAnsi="宋体" w:cs="宋体"/>
                <w:b w:val="0"/>
                <w:bCs w:val="0"/>
                <w:sz w:val="24"/>
                <w:szCs w:val="24"/>
              </w:rPr>
            </w:pPr>
            <w:r>
              <w:rPr>
                <w:rFonts w:hint="eastAsia" w:ascii="宋体" w:hAnsi="宋体"/>
                <w:b w:val="0"/>
                <w:bCs w:val="0"/>
                <w:kern w:val="0"/>
                <w:sz w:val="24"/>
                <w:szCs w:val="24"/>
              </w:rPr>
              <w:t>□交纳</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06" w:hRule="exact"/>
          <w:jc w:val="center"/>
        </w:trPr>
        <w:tc>
          <w:tcPr>
            <w:tcW w:w="651" w:type="dxa"/>
            <w:tcBorders>
              <w:top w:val="single" w:color="auto" w:sz="8" w:space="0"/>
              <w:left w:val="single" w:color="auto" w:sz="18" w:space="0"/>
              <w:bottom w:val="single" w:color="auto" w:sz="8" w:space="0"/>
              <w:right w:val="single" w:color="auto" w:sz="8" w:space="0"/>
            </w:tcBorders>
            <w:noWrap/>
            <w:vAlign w:val="center"/>
          </w:tcPr>
          <w:p>
            <w:pPr>
              <w:pStyle w:val="237"/>
              <w:numPr>
                <w:ilvl w:val="0"/>
                <w:numId w:val="7"/>
              </w:numPr>
              <w:spacing w:line="400" w:lineRule="exact"/>
              <w:ind w:left="210" w:leftChars="0" w:firstLine="0" w:firstLineChars="0"/>
              <w:jc w:val="center"/>
              <w:rPr>
                <w:rFonts w:hAnsi="宋体"/>
                <w:lang w:val="zh-CN"/>
              </w:rPr>
            </w:pPr>
          </w:p>
        </w:tc>
        <w:tc>
          <w:tcPr>
            <w:tcW w:w="1797" w:type="dxa"/>
            <w:tcBorders>
              <w:top w:val="single" w:color="auto" w:sz="8" w:space="0"/>
              <w:left w:val="single" w:color="auto" w:sz="8" w:space="0"/>
              <w:bottom w:val="single" w:color="auto" w:sz="8" w:space="0"/>
              <w:right w:val="single" w:color="auto" w:sz="8" w:space="0"/>
            </w:tcBorders>
            <w:noWrap/>
            <w:vAlign w:val="center"/>
          </w:tcPr>
          <w:p>
            <w:pPr>
              <w:pStyle w:val="237"/>
              <w:spacing w:line="400" w:lineRule="exact"/>
              <w:jc w:val="center"/>
              <w:rPr>
                <w:rFonts w:hAnsi="宋体"/>
                <w:lang w:val="zh-CN"/>
              </w:rPr>
            </w:pPr>
            <w:r>
              <w:rPr>
                <w:rFonts w:hint="eastAsia" w:hAnsi="宋体"/>
                <w:lang w:val="zh-CN"/>
              </w:rPr>
              <w:t>递交响应文件</w:t>
            </w:r>
            <w:r>
              <w:rPr>
                <w:rFonts w:hint="eastAsia" w:hAnsi="宋体"/>
                <w:lang w:val="en-US" w:eastAsia="zh-CN"/>
              </w:rPr>
              <w:t xml:space="preserve"> </w:t>
            </w:r>
            <w:r>
              <w:rPr>
                <w:rFonts w:hint="eastAsia" w:hAnsi="宋体"/>
                <w:lang w:val="zh-CN"/>
              </w:rPr>
              <w:t>地点</w:t>
            </w:r>
          </w:p>
        </w:tc>
        <w:tc>
          <w:tcPr>
            <w:tcW w:w="6419" w:type="dxa"/>
            <w:tcBorders>
              <w:top w:val="single" w:color="auto" w:sz="8" w:space="0"/>
              <w:left w:val="single" w:color="auto" w:sz="8" w:space="0"/>
              <w:bottom w:val="single" w:color="auto" w:sz="8" w:space="0"/>
              <w:right w:val="single" w:color="auto" w:sz="18" w:space="0"/>
            </w:tcBorders>
            <w:noWrap/>
            <w:vAlign w:val="center"/>
          </w:tcPr>
          <w:p>
            <w:pPr>
              <w:pStyle w:val="237"/>
              <w:spacing w:line="400" w:lineRule="exact"/>
              <w:rPr>
                <w:rFonts w:hAnsi="宋体"/>
                <w:lang w:val="zh-CN"/>
              </w:rPr>
            </w:pPr>
            <w:r>
              <w:rPr>
                <w:rFonts w:hint="eastAsia" w:hAnsi="宋体"/>
                <w:lang w:val="zh-CN"/>
              </w:rPr>
              <w:t>供应商应在投标截止时间前将“电子加密投标文件”成功上传递交至“政府采购云平台”，否则投标无效。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917" w:hRule="exact"/>
          <w:jc w:val="center"/>
        </w:trPr>
        <w:tc>
          <w:tcPr>
            <w:tcW w:w="651" w:type="dxa"/>
            <w:tcBorders>
              <w:top w:val="single" w:color="auto" w:sz="8" w:space="0"/>
              <w:left w:val="single" w:color="auto" w:sz="18" w:space="0"/>
              <w:bottom w:val="single" w:color="auto" w:sz="8" w:space="0"/>
              <w:right w:val="single" w:color="auto" w:sz="8" w:space="0"/>
            </w:tcBorders>
            <w:noWrap/>
            <w:vAlign w:val="center"/>
          </w:tcPr>
          <w:p>
            <w:pPr>
              <w:pStyle w:val="237"/>
              <w:numPr>
                <w:ilvl w:val="0"/>
                <w:numId w:val="7"/>
              </w:numPr>
              <w:spacing w:line="400" w:lineRule="exact"/>
              <w:ind w:left="210" w:leftChars="0" w:firstLine="0" w:firstLineChars="0"/>
              <w:jc w:val="center"/>
              <w:rPr>
                <w:rFonts w:hAnsi="宋体"/>
                <w:lang w:val="zh-CN"/>
              </w:rPr>
            </w:pPr>
          </w:p>
        </w:tc>
        <w:tc>
          <w:tcPr>
            <w:tcW w:w="1797" w:type="dxa"/>
            <w:tcBorders>
              <w:top w:val="single" w:color="auto" w:sz="8" w:space="0"/>
              <w:left w:val="single" w:color="auto" w:sz="8" w:space="0"/>
              <w:bottom w:val="single" w:color="auto" w:sz="8" w:space="0"/>
              <w:right w:val="single" w:color="auto" w:sz="8" w:space="0"/>
            </w:tcBorders>
            <w:noWrap/>
            <w:vAlign w:val="center"/>
          </w:tcPr>
          <w:p>
            <w:pPr>
              <w:pStyle w:val="237"/>
              <w:spacing w:line="400" w:lineRule="exact"/>
              <w:jc w:val="center"/>
              <w:rPr>
                <w:rFonts w:hAnsi="宋体"/>
                <w:lang w:val="zh-CN"/>
              </w:rPr>
            </w:pPr>
            <w:r>
              <w:rPr>
                <w:rFonts w:hint="eastAsia" w:hAnsi="宋体"/>
                <w:lang w:val="zh-CN"/>
              </w:rPr>
              <w:t>投标资格</w:t>
            </w:r>
          </w:p>
        </w:tc>
        <w:tc>
          <w:tcPr>
            <w:tcW w:w="6419" w:type="dxa"/>
            <w:tcBorders>
              <w:top w:val="single" w:color="auto" w:sz="8" w:space="0"/>
              <w:left w:val="single" w:color="auto" w:sz="8" w:space="0"/>
              <w:bottom w:val="single" w:color="auto" w:sz="8" w:space="0"/>
              <w:right w:val="single" w:color="auto" w:sz="18" w:space="0"/>
            </w:tcBorders>
            <w:noWrap/>
            <w:vAlign w:val="center"/>
          </w:tcPr>
          <w:p>
            <w:pPr>
              <w:pStyle w:val="237"/>
              <w:spacing w:line="400" w:lineRule="exact"/>
              <w:rPr>
                <w:rFonts w:hint="eastAsia" w:ascii="宋体" w:hAnsi="宋体" w:eastAsia="宋体" w:cs="宋体"/>
                <w:lang w:val="zh-CN"/>
              </w:rPr>
            </w:pPr>
            <w:r>
              <w:rPr>
                <w:rFonts w:hint="eastAsia" w:ascii="宋体" w:hAnsi="宋体" w:eastAsia="宋体" w:cs="宋体"/>
                <w:lang w:val="zh-CN"/>
              </w:rPr>
              <w:t>1.满足《中华人民共和国政府采购法》第二十二条规定；</w:t>
            </w:r>
          </w:p>
          <w:p>
            <w:pPr>
              <w:pStyle w:val="237"/>
              <w:spacing w:line="400" w:lineRule="exact"/>
              <w:rPr>
                <w:rFonts w:hint="eastAsia" w:ascii="宋体" w:hAnsi="宋体" w:eastAsia="宋体" w:cs="宋体"/>
                <w:lang w:val="zh-CN"/>
              </w:rPr>
            </w:pPr>
            <w:r>
              <w:rPr>
                <w:rFonts w:hint="eastAsia" w:ascii="宋体" w:hAnsi="宋体" w:eastAsia="宋体" w:cs="宋体"/>
                <w:lang w:val="zh-CN"/>
              </w:rPr>
              <w:t>2.落实政府采购政策需满足的资格要求：无；</w:t>
            </w:r>
          </w:p>
          <w:p>
            <w:pPr>
              <w:pStyle w:val="237"/>
              <w:spacing w:line="400" w:lineRule="exact"/>
              <w:rPr>
                <w:rFonts w:hint="eastAsia" w:ascii="宋体" w:hAnsi="宋体" w:eastAsia="宋体" w:cs="宋体"/>
                <w:lang w:val="zh-CN"/>
              </w:rPr>
            </w:pPr>
            <w:r>
              <w:rPr>
                <w:rFonts w:hint="eastAsia" w:ascii="宋体" w:hAnsi="宋体" w:eastAsia="宋体" w:cs="宋体"/>
                <w:lang w:val="zh-CN"/>
              </w:rPr>
              <w:t>3.本项目的特定资格要求：</w:t>
            </w:r>
          </w:p>
          <w:p>
            <w:pPr>
              <w:pStyle w:val="237"/>
              <w:spacing w:line="400" w:lineRule="exact"/>
              <w:rPr>
                <w:rFonts w:hint="eastAsia" w:ascii="宋体" w:hAnsi="宋体" w:eastAsia="宋体" w:cs="宋体"/>
                <w:lang w:val="zh-CN"/>
              </w:rPr>
            </w:pPr>
            <w:r>
              <w:rPr>
                <w:rFonts w:hint="eastAsia" w:ascii="宋体" w:hAnsi="宋体" w:eastAsia="宋体" w:cs="宋体"/>
                <w:lang w:val="en-US" w:eastAsia="zh-CN"/>
              </w:rPr>
              <w:t>（1）</w:t>
            </w:r>
            <w:r>
              <w:rPr>
                <w:rFonts w:hint="eastAsia" w:ascii="宋体" w:hAnsi="宋体" w:eastAsia="宋体" w:cs="宋体"/>
                <w:lang w:val="zh-CN"/>
              </w:rPr>
              <w:t>具有有效的营业执照或“三证合一”的营业执照；</w:t>
            </w:r>
            <w:r>
              <w:rPr>
                <w:rFonts w:hint="eastAsia" w:ascii="宋体" w:hAnsi="宋体" w:eastAsia="宋体" w:cs="宋体"/>
                <w:lang w:val="en-US" w:eastAsia="zh-CN"/>
              </w:rPr>
              <w:t>具有相关经营范围。</w:t>
            </w:r>
          </w:p>
          <w:p>
            <w:pPr>
              <w:pStyle w:val="237"/>
              <w:spacing w:line="400" w:lineRule="exact"/>
              <w:rPr>
                <w:rFonts w:hint="eastAsia" w:ascii="宋体" w:hAnsi="宋体" w:eastAsia="宋体" w:cs="宋体"/>
                <w:lang w:val="en-US" w:eastAsia="zh-CN"/>
              </w:rPr>
            </w:pPr>
            <w:r>
              <w:rPr>
                <w:rFonts w:hint="eastAsia" w:ascii="宋体" w:hAnsi="宋体" w:eastAsia="宋体" w:cs="宋体"/>
                <w:lang w:val="en-US" w:eastAsia="zh-CN"/>
              </w:rPr>
              <w:t>（2）具有良好的商业信誉和健全的财务会计制度：提供2022年度由第三方财务审计机构出具的财务审计报告或新成立的企业提供银行出具的近三个月的资信证明；</w:t>
            </w:r>
          </w:p>
          <w:p>
            <w:pPr>
              <w:pStyle w:val="237"/>
              <w:spacing w:line="400" w:lineRule="exact"/>
              <w:rPr>
                <w:rFonts w:hint="eastAsia" w:ascii="宋体" w:hAnsi="宋体" w:eastAsia="宋体" w:cs="宋体"/>
                <w:lang w:val="en-US" w:eastAsia="zh-CN"/>
              </w:rPr>
            </w:pPr>
            <w:r>
              <w:rPr>
                <w:rFonts w:hint="eastAsia" w:ascii="宋体" w:hAnsi="宋体" w:eastAsia="宋体" w:cs="宋体"/>
                <w:lang w:val="en-US" w:eastAsia="zh-CN"/>
              </w:rPr>
              <w:t>（3）投标单位需提供近三个月依法缴纳税收和社会保障资金的良好记录（新成立时间少于3个月的公司，按实际发生提供）；</w:t>
            </w:r>
          </w:p>
          <w:p>
            <w:pPr>
              <w:pStyle w:val="237"/>
              <w:spacing w:line="400" w:lineRule="exact"/>
              <w:rPr>
                <w:rFonts w:hint="eastAsia" w:ascii="宋体" w:hAnsi="宋体" w:eastAsia="宋体" w:cs="宋体"/>
                <w:lang w:val="en-US" w:eastAsia="zh-CN"/>
              </w:rPr>
            </w:pPr>
            <w:r>
              <w:rPr>
                <w:rFonts w:hint="eastAsia" w:ascii="宋体" w:hAnsi="宋体" w:eastAsia="宋体" w:cs="宋体"/>
                <w:lang w:val="en-US" w:eastAsia="zh-CN"/>
              </w:rPr>
              <w:t>（4）履行合同所必需的设备和专业技术能力：提供《投标人资格声明函》；</w:t>
            </w:r>
          </w:p>
          <w:p>
            <w:pPr>
              <w:pStyle w:val="237"/>
              <w:spacing w:line="400" w:lineRule="exact"/>
              <w:rPr>
                <w:rFonts w:hint="eastAsia" w:ascii="宋体" w:hAnsi="宋体" w:eastAsia="宋体" w:cs="宋体"/>
                <w:lang w:val="en-US" w:eastAsia="zh-CN"/>
              </w:rPr>
            </w:pPr>
            <w:r>
              <w:rPr>
                <w:rFonts w:hint="eastAsia" w:ascii="宋体" w:hAnsi="宋体" w:eastAsia="宋体" w:cs="宋体"/>
                <w:lang w:val="en-US" w:eastAsia="zh-CN"/>
              </w:rPr>
              <w:t>（5）参加采购活动前3年内，在经营活动中没有重大违法记录：提供《投标人资格声明函》。</w:t>
            </w:r>
          </w:p>
          <w:p>
            <w:pPr>
              <w:pStyle w:val="237"/>
              <w:spacing w:line="400" w:lineRule="exact"/>
              <w:rPr>
                <w:rFonts w:hint="default" w:ascii="宋体" w:hAnsi="宋体" w:eastAsia="宋体" w:cs="宋体"/>
                <w:lang w:val="en-US" w:eastAsia="zh-CN"/>
              </w:rPr>
            </w:pPr>
            <w:r>
              <w:rPr>
                <w:rFonts w:hint="eastAsia" w:ascii="宋体" w:hAnsi="宋体" w:eastAsia="宋体" w:cs="宋体"/>
                <w:lang w:val="en-US" w:eastAsia="zh-CN"/>
              </w:rPr>
              <w:t>（6）近三年拟参加本次招标项目的投标人在“信用中国（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经营异常名录的取消投标资格。</w:t>
            </w:r>
          </w:p>
          <w:p>
            <w:pPr>
              <w:pStyle w:val="237"/>
              <w:spacing w:line="400" w:lineRule="exact"/>
              <w:rPr>
                <w:rFonts w:hint="eastAsia" w:ascii="宋体" w:hAnsi="宋体" w:eastAsia="宋体" w:cs="宋体"/>
                <w:lang w:val="en-US" w:eastAsia="zh-CN"/>
              </w:rPr>
            </w:pPr>
            <w:r>
              <w:rPr>
                <w:rFonts w:hint="eastAsia" w:ascii="宋体" w:hAnsi="宋体" w:eastAsia="宋体" w:cs="宋体"/>
                <w:lang w:val="en-US" w:eastAsia="zh-CN"/>
              </w:rPr>
              <w:t>（7）其他说明：a、与招标人存在利害关系可能影响招标公正性的法人、其他组织或者个人，不得参加投标。b、单位负责人为同一人或者存在控股、管理关系的不同单位，不得参加同一标段投标或者未划分标段的同一招标项目投标。</w:t>
            </w:r>
          </w:p>
          <w:p>
            <w:pPr>
              <w:pStyle w:val="237"/>
              <w:spacing w:line="400" w:lineRule="exact"/>
              <w:rPr>
                <w:rFonts w:hint="eastAsia" w:ascii="宋体" w:hAnsi="宋体" w:eastAsia="宋体" w:cs="宋体"/>
                <w:lang w:val="en-US" w:eastAsia="zh-CN"/>
              </w:rPr>
            </w:pPr>
            <w:r>
              <w:rPr>
                <w:rFonts w:hint="eastAsia" w:ascii="宋体" w:hAnsi="宋体" w:eastAsia="宋体" w:cs="宋体"/>
                <w:lang w:val="en-US" w:eastAsia="zh-CN"/>
              </w:rPr>
              <w:t>（8）本项目不接受进口产品投标（国外品牌产品在中国生产制造须提供国内生产证明材料）。</w:t>
            </w:r>
          </w:p>
          <w:p>
            <w:pPr>
              <w:pStyle w:val="237"/>
              <w:spacing w:line="400" w:lineRule="exact"/>
              <w:rPr>
                <w:rFonts w:hint="eastAsia" w:ascii="宋体" w:hAnsi="宋体" w:eastAsia="宋体" w:cs="宋体"/>
                <w:lang w:val="en-US" w:eastAsia="zh-CN"/>
              </w:rPr>
            </w:pP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9）</w:t>
            </w:r>
            <w:r>
              <w:rPr>
                <w:rFonts w:hint="eastAsia" w:ascii="宋体" w:hAnsi="宋体" w:cs="宋体"/>
                <w:color w:val="auto"/>
                <w:sz w:val="24"/>
                <w:szCs w:val="24"/>
              </w:rPr>
              <w:t>本次招标不接受联合体投标。</w:t>
            </w:r>
          </w:p>
          <w:p>
            <w:pPr>
              <w:pStyle w:val="237"/>
              <w:spacing w:line="400" w:lineRule="exact"/>
              <w:rPr>
                <w:rFonts w:hAnsi="宋体"/>
                <w:lang w:val="zh-CN"/>
              </w:rPr>
            </w:pPr>
            <w:r>
              <w:rPr>
                <w:rFonts w:hint="eastAsia" w:hAnsi="宋体"/>
                <w:lang w:val="zh-CN"/>
              </w:rPr>
              <w:t>注：上述证件原件扫描加盖公章或电子章，证件齐全有效满足要求的投标人为有效投标人，如有一项不符合视为无效投标人，供应商对要求提供的资格证明文件缺项或不真实，将导致投标被拒绝的结果。</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859" w:hRule="exact"/>
          <w:jc w:val="center"/>
        </w:trPr>
        <w:tc>
          <w:tcPr>
            <w:tcW w:w="651" w:type="dxa"/>
            <w:tcBorders>
              <w:top w:val="single" w:color="auto" w:sz="8" w:space="0"/>
              <w:left w:val="single" w:color="auto" w:sz="18" w:space="0"/>
              <w:bottom w:val="single" w:color="auto" w:sz="8" w:space="0"/>
              <w:right w:val="single" w:color="auto" w:sz="8" w:space="0"/>
            </w:tcBorders>
            <w:noWrap/>
            <w:vAlign w:val="center"/>
          </w:tcPr>
          <w:p>
            <w:pPr>
              <w:pStyle w:val="237"/>
              <w:numPr>
                <w:ilvl w:val="0"/>
                <w:numId w:val="7"/>
              </w:numPr>
              <w:spacing w:line="400" w:lineRule="exact"/>
              <w:ind w:left="210" w:leftChars="0" w:firstLine="0" w:firstLineChars="0"/>
              <w:jc w:val="center"/>
              <w:rPr>
                <w:rFonts w:hAnsi="宋体"/>
                <w:lang w:val="zh-CN"/>
              </w:rPr>
            </w:pPr>
          </w:p>
        </w:tc>
        <w:tc>
          <w:tcPr>
            <w:tcW w:w="1797" w:type="dxa"/>
            <w:tcBorders>
              <w:top w:val="single" w:color="auto" w:sz="8" w:space="0"/>
              <w:left w:val="single" w:color="auto" w:sz="8" w:space="0"/>
              <w:bottom w:val="single" w:color="auto" w:sz="8" w:space="0"/>
              <w:right w:val="single" w:color="auto" w:sz="8" w:space="0"/>
            </w:tcBorders>
            <w:noWrap/>
            <w:vAlign w:val="center"/>
          </w:tcPr>
          <w:p>
            <w:pPr>
              <w:pStyle w:val="237"/>
              <w:spacing w:line="400" w:lineRule="exact"/>
              <w:jc w:val="center"/>
              <w:rPr>
                <w:rFonts w:hAnsi="宋体"/>
                <w:lang w:val="zh-CN"/>
              </w:rPr>
            </w:pPr>
            <w:r>
              <w:rPr>
                <w:rFonts w:hint="eastAsia" w:hAnsi="宋体"/>
                <w:lang w:val="zh-CN"/>
              </w:rPr>
              <w:t>电子标注意事项</w:t>
            </w:r>
          </w:p>
        </w:tc>
        <w:tc>
          <w:tcPr>
            <w:tcW w:w="6419" w:type="dxa"/>
            <w:tcBorders>
              <w:top w:val="single" w:color="auto" w:sz="8" w:space="0"/>
              <w:left w:val="single" w:color="auto" w:sz="8" w:space="0"/>
              <w:bottom w:val="single" w:color="auto" w:sz="8" w:space="0"/>
              <w:right w:val="single" w:color="auto" w:sz="18" w:space="0"/>
            </w:tcBorders>
            <w:noWrap/>
            <w:vAlign w:val="center"/>
          </w:tcPr>
          <w:p>
            <w:pPr>
              <w:pStyle w:val="237"/>
              <w:spacing w:line="400" w:lineRule="exact"/>
              <w:rPr>
                <w:rFonts w:hAnsi="宋体"/>
                <w:lang w:val="zh-CN"/>
              </w:rPr>
            </w:pPr>
            <w:r>
              <w:rPr>
                <w:rFonts w:hint="eastAsia" w:hAnsi="宋体"/>
                <w:lang w:val="zh-CN"/>
              </w:rPr>
              <w:t>1、本项目实行网上招标，采用电子投标文件，投标单位参加投标，自行承担因参与投标所产生的一切费用。</w:t>
            </w:r>
          </w:p>
          <w:p>
            <w:pPr>
              <w:pStyle w:val="237"/>
              <w:spacing w:line="400" w:lineRule="exact"/>
              <w:rPr>
                <w:rFonts w:hAnsi="宋体"/>
                <w:lang w:val="zh-CN"/>
              </w:rPr>
            </w:pPr>
            <w:r>
              <w:rPr>
                <w:rFonts w:hint="eastAsia" w:hAnsi="宋体"/>
                <w:lang w:val="zh-CN"/>
              </w:rPr>
              <w:t>2、各投标单位应在开标前应确保成为新疆维吾尔自治区政府采购网正式注册入库投标单位，并完成CA数字证书申领。因未注册入库、未办理CA数字证书等原因造成无法投标或投标失败，均由投标单位承担相应的不利后果。</w:t>
            </w:r>
          </w:p>
          <w:p>
            <w:pPr>
              <w:pStyle w:val="237"/>
              <w:spacing w:line="400" w:lineRule="exact"/>
              <w:rPr>
                <w:rFonts w:hAnsi="宋体"/>
                <w:lang w:val="zh-CN"/>
              </w:rPr>
            </w:pPr>
            <w:r>
              <w:rPr>
                <w:rFonts w:hint="eastAsia" w:hAnsi="宋体"/>
                <w:lang w:val="zh-CN"/>
              </w:rPr>
              <w:t>3、投标单位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400-881-7190进行咨询。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7" w:hRule="exact"/>
          <w:jc w:val="center"/>
        </w:trPr>
        <w:tc>
          <w:tcPr>
            <w:tcW w:w="651" w:type="dxa"/>
            <w:tcBorders>
              <w:top w:val="single" w:color="auto" w:sz="8" w:space="0"/>
              <w:left w:val="single" w:color="auto" w:sz="18" w:space="0"/>
              <w:bottom w:val="single" w:color="auto" w:sz="8" w:space="0"/>
              <w:right w:val="single" w:color="auto" w:sz="8" w:space="0"/>
            </w:tcBorders>
            <w:noWrap/>
            <w:vAlign w:val="center"/>
          </w:tcPr>
          <w:p>
            <w:pPr>
              <w:pStyle w:val="237"/>
              <w:numPr>
                <w:ilvl w:val="0"/>
                <w:numId w:val="7"/>
              </w:numPr>
              <w:spacing w:line="400" w:lineRule="exact"/>
              <w:ind w:left="210" w:leftChars="0" w:firstLine="0" w:firstLineChars="0"/>
              <w:jc w:val="center"/>
              <w:rPr>
                <w:rFonts w:hAnsi="宋体"/>
                <w:lang w:val="zh-CN"/>
              </w:rPr>
            </w:pPr>
          </w:p>
        </w:tc>
        <w:tc>
          <w:tcPr>
            <w:tcW w:w="1797" w:type="dxa"/>
            <w:tcBorders>
              <w:top w:val="single" w:color="auto" w:sz="8" w:space="0"/>
              <w:left w:val="single" w:color="auto" w:sz="8" w:space="0"/>
              <w:bottom w:val="single" w:color="auto" w:sz="8" w:space="0"/>
              <w:right w:val="single" w:color="auto" w:sz="8" w:space="0"/>
            </w:tcBorders>
            <w:noWrap/>
            <w:vAlign w:val="center"/>
          </w:tcPr>
          <w:p>
            <w:pPr>
              <w:pStyle w:val="237"/>
              <w:spacing w:line="400" w:lineRule="exact"/>
              <w:jc w:val="center"/>
              <w:rPr>
                <w:rFonts w:hAnsi="宋体"/>
                <w:lang w:val="zh-CN"/>
              </w:rPr>
            </w:pPr>
            <w:r>
              <w:rPr>
                <w:rFonts w:hint="eastAsia" w:hAnsi="宋体"/>
                <w:lang w:val="zh-CN"/>
              </w:rPr>
              <w:t>评标方法及标准</w:t>
            </w:r>
          </w:p>
        </w:tc>
        <w:tc>
          <w:tcPr>
            <w:tcW w:w="6419" w:type="dxa"/>
            <w:tcBorders>
              <w:top w:val="single" w:color="auto" w:sz="8" w:space="0"/>
              <w:left w:val="single" w:color="auto" w:sz="8" w:space="0"/>
              <w:bottom w:val="single" w:color="auto" w:sz="8" w:space="0"/>
              <w:right w:val="single" w:color="auto" w:sz="18" w:space="0"/>
            </w:tcBorders>
            <w:noWrap/>
            <w:vAlign w:val="center"/>
          </w:tcPr>
          <w:p>
            <w:pPr>
              <w:pStyle w:val="237"/>
              <w:spacing w:line="400" w:lineRule="exact"/>
              <w:rPr>
                <w:rFonts w:hAnsi="宋体"/>
                <w:lang w:val="zh-CN"/>
              </w:rPr>
            </w:pPr>
            <w:r>
              <w:rPr>
                <w:rFonts w:hint="eastAsia" w:hAnsi="宋体"/>
                <w:lang w:val="zh-CN"/>
              </w:rPr>
              <w:t>详见第五章评标方法与程序</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668" w:hRule="exact"/>
          <w:jc w:val="center"/>
        </w:trPr>
        <w:tc>
          <w:tcPr>
            <w:tcW w:w="651" w:type="dxa"/>
            <w:tcBorders>
              <w:top w:val="single" w:color="auto" w:sz="8" w:space="0"/>
              <w:left w:val="single" w:color="auto" w:sz="18" w:space="0"/>
              <w:bottom w:val="single" w:color="auto" w:sz="8" w:space="0"/>
              <w:right w:val="single" w:color="auto" w:sz="8" w:space="0"/>
            </w:tcBorders>
            <w:noWrap/>
            <w:vAlign w:val="center"/>
          </w:tcPr>
          <w:p>
            <w:pPr>
              <w:pStyle w:val="237"/>
              <w:numPr>
                <w:ilvl w:val="0"/>
                <w:numId w:val="7"/>
              </w:numPr>
              <w:spacing w:line="400" w:lineRule="exact"/>
              <w:ind w:left="210" w:leftChars="0" w:firstLine="0" w:firstLineChars="0"/>
              <w:jc w:val="center"/>
              <w:rPr>
                <w:rFonts w:hAnsi="宋体"/>
                <w:lang w:val="zh-CN"/>
              </w:rPr>
            </w:pPr>
          </w:p>
        </w:tc>
        <w:tc>
          <w:tcPr>
            <w:tcW w:w="1797" w:type="dxa"/>
            <w:tcBorders>
              <w:top w:val="single" w:color="auto" w:sz="8" w:space="0"/>
              <w:left w:val="single" w:color="auto" w:sz="8" w:space="0"/>
              <w:bottom w:val="single" w:color="auto" w:sz="8" w:space="0"/>
              <w:right w:val="single" w:color="auto" w:sz="8" w:space="0"/>
            </w:tcBorders>
            <w:noWrap/>
            <w:vAlign w:val="center"/>
          </w:tcPr>
          <w:p>
            <w:pPr>
              <w:pStyle w:val="237"/>
              <w:spacing w:line="400" w:lineRule="exact"/>
              <w:jc w:val="center"/>
              <w:rPr>
                <w:rFonts w:hAnsi="宋体"/>
                <w:color w:val="auto"/>
                <w:highlight w:val="none"/>
                <w:lang w:val="zh-CN"/>
              </w:rPr>
            </w:pPr>
            <w:r>
              <w:rPr>
                <w:rFonts w:hint="eastAsia" w:hAnsi="宋体"/>
                <w:color w:val="auto"/>
                <w:highlight w:val="none"/>
                <w:lang w:val="zh-CN"/>
              </w:rPr>
              <w:t>其他</w:t>
            </w:r>
          </w:p>
        </w:tc>
        <w:tc>
          <w:tcPr>
            <w:tcW w:w="6419" w:type="dxa"/>
            <w:tcBorders>
              <w:top w:val="single" w:color="auto" w:sz="8" w:space="0"/>
              <w:left w:val="single" w:color="auto" w:sz="8" w:space="0"/>
              <w:bottom w:val="single" w:color="auto" w:sz="8" w:space="0"/>
              <w:right w:val="single" w:color="auto" w:sz="18" w:space="0"/>
            </w:tcBorders>
            <w:noWrap/>
            <w:vAlign w:val="center"/>
          </w:tcPr>
          <w:p>
            <w:pPr>
              <w:spacing w:line="460" w:lineRule="exact"/>
              <w:rPr>
                <w:rFonts w:ascii="宋体" w:hAnsi="宋体"/>
                <w:color w:val="auto"/>
                <w:sz w:val="24"/>
                <w:szCs w:val="24"/>
                <w:highlight w:val="none"/>
              </w:rPr>
            </w:pPr>
            <w:r>
              <w:rPr>
                <w:rFonts w:hint="eastAsia" w:ascii="宋体" w:hAnsi="宋体"/>
                <w:color w:val="auto"/>
                <w:sz w:val="24"/>
                <w:szCs w:val="24"/>
                <w:highlight w:val="none"/>
              </w:rPr>
              <w:t>1、着重提醒各投标人注意，并认真查看采购文件中的每一个条款及要求，因误读采购文件而造成的后果，采购人及采购代理机构概不负责。</w:t>
            </w:r>
          </w:p>
          <w:p>
            <w:pPr>
              <w:pStyle w:val="237"/>
              <w:spacing w:line="400" w:lineRule="exact"/>
              <w:rPr>
                <w:rFonts w:hint="eastAsia" w:hAnsi="宋体" w:cs="Times New Roman"/>
                <w:color w:val="auto"/>
                <w:highlight w:val="none"/>
              </w:rPr>
            </w:pPr>
            <w:r>
              <w:rPr>
                <w:rFonts w:hint="eastAsia" w:hAnsi="宋体" w:cs="Times New Roman"/>
                <w:color w:val="auto"/>
                <w:highlight w:val="none"/>
              </w:rPr>
              <w:t>2、响应文件中有弄虚作假的内容，其响应文件作废。（如假证书、假业绩、隐瞒不良行为记录、夸大荣誉、使用非本单位在职员工的相关证件及不符合采购文件规定的条款等）；在签订合同之前，采购人如发现供应商的响应文件有弄虚作假内容，采购人可拒绝与其签订合同。</w:t>
            </w:r>
          </w:p>
          <w:p>
            <w:pPr>
              <w:pStyle w:val="237"/>
              <w:spacing w:line="400" w:lineRule="exact"/>
              <w:rPr>
                <w:rFonts w:hint="eastAsia" w:hAnsi="宋体" w:cs="Times New Roman"/>
                <w:color w:val="auto"/>
                <w:highlight w:val="none"/>
                <w:lang w:val="en-US" w:eastAsia="zh-CN"/>
              </w:rPr>
            </w:pPr>
            <w:r>
              <w:rPr>
                <w:rFonts w:hint="eastAsia" w:hAnsi="宋体" w:cs="Times New Roman"/>
                <w:color w:val="auto"/>
                <w:highlight w:val="none"/>
                <w:lang w:val="en-US" w:eastAsia="zh-CN"/>
              </w:rPr>
              <w:t>3.四大件（HIS、LIS、PACS、EMR）铺设县医院、中医院、妇幼保健院，支持后期扩展到乡镇、村。</w:t>
            </w:r>
          </w:p>
          <w:p>
            <w:pPr>
              <w:pStyle w:val="237"/>
              <w:spacing w:line="400" w:lineRule="exact"/>
              <w:rPr>
                <w:rFonts w:hint="eastAsia" w:hAnsi="宋体" w:cs="Times New Roman"/>
                <w:color w:val="auto"/>
                <w:highlight w:val="none"/>
                <w:lang w:val="en-US" w:eastAsia="zh-CN"/>
              </w:rPr>
            </w:pPr>
            <w:r>
              <w:rPr>
                <w:rFonts w:hint="eastAsia" w:hAnsi="宋体" w:cs="Times New Roman"/>
                <w:color w:val="auto"/>
                <w:highlight w:val="none"/>
                <w:lang w:val="en-US" w:eastAsia="zh-CN"/>
              </w:rPr>
              <w:t>4.OA、HRP、医共体平台满足整个医共体成员单位使用。</w:t>
            </w:r>
          </w:p>
          <w:p>
            <w:pPr>
              <w:pStyle w:val="237"/>
              <w:spacing w:line="400" w:lineRule="exact"/>
              <w:rPr>
                <w:rFonts w:hint="eastAsia" w:hAnsi="宋体" w:cs="Times New Roman"/>
                <w:color w:val="auto"/>
                <w:highlight w:val="none"/>
                <w:lang w:val="en-US" w:eastAsia="zh-CN"/>
              </w:rPr>
            </w:pPr>
            <w:r>
              <w:rPr>
                <w:rFonts w:hint="eastAsia" w:hAnsi="宋体" w:cs="Times New Roman"/>
                <w:color w:val="auto"/>
                <w:highlight w:val="none"/>
                <w:lang w:val="en-US" w:eastAsia="zh-CN"/>
              </w:rPr>
              <w:t>5.功能性软件（手麻、重症、院感等软件）满足县医院，中医院两家医院使用。</w:t>
            </w:r>
          </w:p>
          <w:p>
            <w:pPr>
              <w:pStyle w:val="237"/>
              <w:spacing w:line="400" w:lineRule="exact"/>
              <w:rPr>
                <w:rFonts w:hint="default" w:hAnsi="宋体" w:cs="Times New Roman"/>
                <w:color w:val="auto"/>
                <w:highlight w:val="none"/>
                <w:lang w:val="en-US" w:eastAsia="zh-CN"/>
              </w:rPr>
            </w:pPr>
            <w:r>
              <w:rPr>
                <w:rFonts w:hint="eastAsia" w:hAnsi="宋体" w:cs="Times New Roman"/>
                <w:color w:val="auto"/>
                <w:highlight w:val="none"/>
                <w:lang w:val="en-US" w:eastAsia="zh-CN"/>
              </w:rPr>
              <w:t>6、医共体成员单位之间网络需按安全规范调通的费用。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668" w:hRule="exact"/>
          <w:jc w:val="center"/>
        </w:trPr>
        <w:tc>
          <w:tcPr>
            <w:tcW w:w="651" w:type="dxa"/>
            <w:tcBorders>
              <w:top w:val="single" w:color="auto" w:sz="8" w:space="0"/>
              <w:left w:val="single" w:color="auto" w:sz="18" w:space="0"/>
              <w:bottom w:val="single" w:color="auto" w:sz="8" w:space="0"/>
              <w:right w:val="single" w:color="auto" w:sz="8" w:space="0"/>
            </w:tcBorders>
            <w:noWrap/>
            <w:vAlign w:val="center"/>
          </w:tcPr>
          <w:p>
            <w:pPr>
              <w:pStyle w:val="237"/>
              <w:numPr>
                <w:ilvl w:val="0"/>
                <w:numId w:val="7"/>
              </w:numPr>
              <w:spacing w:line="400" w:lineRule="exact"/>
              <w:ind w:left="210" w:leftChars="0" w:firstLine="0" w:firstLineChars="0"/>
              <w:jc w:val="center"/>
              <w:rPr>
                <w:rFonts w:hAnsi="宋体"/>
                <w:lang w:val="zh-CN"/>
              </w:rPr>
            </w:pPr>
          </w:p>
        </w:tc>
        <w:tc>
          <w:tcPr>
            <w:tcW w:w="1797" w:type="dxa"/>
            <w:tcBorders>
              <w:top w:val="single" w:color="auto" w:sz="8" w:space="0"/>
              <w:left w:val="single" w:color="auto" w:sz="8" w:space="0"/>
              <w:bottom w:val="single" w:color="auto" w:sz="8" w:space="0"/>
              <w:right w:val="single" w:color="auto" w:sz="8" w:space="0"/>
            </w:tcBorders>
            <w:noWrap/>
            <w:vAlign w:val="center"/>
          </w:tcPr>
          <w:p>
            <w:pPr>
              <w:pStyle w:val="237"/>
              <w:spacing w:line="400" w:lineRule="exact"/>
              <w:jc w:val="center"/>
              <w:rPr>
                <w:rFonts w:hint="eastAsia" w:asciiTheme="majorEastAsia" w:hAnsiTheme="majorEastAsia" w:eastAsiaTheme="majorEastAsia" w:cstheme="majorEastAsia"/>
                <w:color w:val="auto"/>
                <w:sz w:val="24"/>
                <w:szCs w:val="24"/>
                <w:highlight w:val="none"/>
                <w:lang w:val="zh-CN" w:eastAsia="zh-CN"/>
              </w:rPr>
            </w:pPr>
            <w:r>
              <w:rPr>
                <w:rFonts w:hint="eastAsia" w:asciiTheme="majorEastAsia" w:hAnsiTheme="majorEastAsia" w:eastAsiaTheme="majorEastAsia" w:cstheme="majorEastAsia"/>
                <w:color w:val="auto"/>
                <w:sz w:val="24"/>
                <w:szCs w:val="24"/>
                <w:highlight w:val="none"/>
                <w:lang w:val="en-US" w:eastAsia="zh-CN"/>
              </w:rPr>
              <w:t>政府采购政策支持</w:t>
            </w:r>
          </w:p>
        </w:tc>
        <w:tc>
          <w:tcPr>
            <w:tcW w:w="6419" w:type="dxa"/>
            <w:tcBorders>
              <w:top w:val="single" w:color="auto" w:sz="8" w:space="0"/>
              <w:left w:val="single" w:color="auto" w:sz="8" w:space="0"/>
              <w:bottom w:val="single" w:color="auto" w:sz="8" w:space="0"/>
              <w:right w:val="single" w:color="auto" w:sz="18" w:space="0"/>
            </w:tcBorders>
            <w:noWrap/>
            <w:vAlign w:val="top"/>
          </w:tcPr>
          <w:p>
            <w:pPr>
              <w:pStyle w:val="237"/>
              <w:spacing w:line="400" w:lineRule="exact"/>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根据财政部、工业和信息化部关于印发《政府采购促进中小企业发展暂行办法》的通知（财库[2011]181号），投标人及其所投产品的制造商均属于《工业和信息化部、国家统计局、国家发展和改革委员会、财政部关于印发中小企业划型标准规定的通知》（工信部联企业[2011]300号）中规定的小型、微型企业标准的，按招标文件格式提供《中小企业声明函》等政府采购政策。 《财政部 发展改革委 生态环境部 市场监管总局 关于调整优化节能产品、环境标志产品政府采购执行机制的通知》（财库〔2019〕9号）。</w:t>
            </w:r>
          </w:p>
          <w:p>
            <w:pPr>
              <w:pStyle w:val="237"/>
              <w:spacing w:line="400" w:lineRule="exact"/>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本项目不专门面向中小企业采购的项目，本项目对小型和微型企业产品给予10%的扣除价格，用扣除后的价格参与评审。</w:t>
            </w:r>
          </w:p>
          <w:p>
            <w:pPr>
              <w:pStyle w:val="237"/>
              <w:spacing w:line="4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宋体" w:hAnsi="宋体" w:eastAsia="宋体" w:cs="宋体"/>
                <w:color w:val="auto"/>
                <w:lang w:val="en-US" w:eastAsia="zh-CN"/>
              </w:rPr>
              <w:t xml:space="preserve">本项目的企业划分标准所属行业为：软件和信息技术服务    </w:t>
            </w:r>
          </w:p>
        </w:tc>
      </w:tr>
    </w:tbl>
    <w:p>
      <w:pPr>
        <w:rPr>
          <w:lang w:eastAsia="zh-CN"/>
        </w:rPr>
      </w:pPr>
    </w:p>
    <w:p>
      <w:pPr>
        <w:rPr>
          <w:lang w:eastAsia="zh-CN"/>
        </w:rPr>
      </w:pPr>
      <w:r>
        <w:rPr>
          <w:lang w:eastAsia="zh-CN"/>
        </w:rPr>
        <w:br w:type="page"/>
      </w:r>
    </w:p>
    <w:p>
      <w:pPr>
        <w:pStyle w:val="5"/>
        <w:numPr>
          <w:ilvl w:val="0"/>
          <w:numId w:val="0"/>
        </w:numPr>
        <w:spacing w:before="360" w:after="360"/>
        <w:ind w:left="720"/>
        <w:rPr>
          <w:lang w:eastAsia="zh-CN"/>
        </w:rPr>
      </w:pPr>
      <w:r>
        <w:rPr>
          <w:lang w:eastAsia="zh-CN"/>
        </w:rPr>
        <w:t>一、总则</w:t>
      </w:r>
      <w:bookmarkStart w:id="34" w:name="一、总则"/>
      <w:bookmarkEnd w:id="34"/>
      <w:bookmarkStart w:id="35" w:name="1、招标方式"/>
      <w:bookmarkEnd w:id="35"/>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1、招标方式</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1.1</w:t>
      </w:r>
      <w:r>
        <w:rPr>
          <w:rFonts w:ascii="仿宋" w:hAnsi="仿宋" w:eastAsia="仿宋" w:cs="仿宋"/>
          <w:spacing w:val="6"/>
          <w:sz w:val="24"/>
          <w:szCs w:val="24"/>
          <w:lang w:eastAsia="zh-CN"/>
        </w:rPr>
        <w:t>本次招标采取</w:t>
      </w:r>
      <w:r>
        <w:rPr>
          <w:rFonts w:ascii="仿宋" w:hAnsi="仿宋" w:eastAsia="仿宋" w:cs="仿宋"/>
          <w:spacing w:val="7"/>
          <w:sz w:val="24"/>
          <w:szCs w:val="24"/>
          <w:u w:val="single" w:color="000000"/>
          <w:lang w:eastAsia="zh-CN"/>
        </w:rPr>
        <w:t>公开招标</w:t>
      </w:r>
      <w:r>
        <w:rPr>
          <w:rFonts w:ascii="仿宋" w:hAnsi="仿宋" w:eastAsia="仿宋" w:cs="仿宋"/>
          <w:spacing w:val="5"/>
          <w:sz w:val="24"/>
          <w:szCs w:val="24"/>
          <w:lang w:eastAsia="zh-CN"/>
        </w:rPr>
        <w:t>方式，本招标文件仅适用于</w:t>
      </w:r>
      <w:r>
        <w:rPr>
          <w:rFonts w:ascii="仿宋" w:hAnsi="仿宋" w:eastAsia="仿宋" w:cs="仿宋"/>
          <w:sz w:val="24"/>
          <w:szCs w:val="24"/>
          <w:lang w:eastAsia="zh-CN"/>
        </w:rPr>
        <w:t>招标公告中所述项目。</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1.2本次项目采用</w:t>
      </w:r>
      <w:r>
        <w:rPr>
          <w:rFonts w:ascii="仿宋" w:hAnsi="仿宋" w:eastAsia="仿宋" w:cs="仿宋"/>
          <w:color w:val="auto"/>
          <w:sz w:val="24"/>
          <w:szCs w:val="24"/>
          <w:u w:val="single" w:color="auto"/>
          <w:lang w:eastAsia="zh-CN"/>
        </w:rPr>
        <w:t>综合评分法</w:t>
      </w:r>
      <w:r>
        <w:rPr>
          <w:rFonts w:ascii="仿宋" w:hAnsi="仿宋" w:eastAsia="仿宋" w:cs="仿宋"/>
          <w:sz w:val="24"/>
          <w:szCs w:val="24"/>
          <w:lang w:eastAsia="zh-CN"/>
        </w:rPr>
        <w:t>。</w:t>
      </w:r>
    </w:p>
    <w:p>
      <w:pPr>
        <w:spacing w:line="360" w:lineRule="auto"/>
        <w:jc w:val="both"/>
        <w:rPr>
          <w:rFonts w:ascii="仿宋" w:hAnsi="仿宋" w:eastAsia="仿宋" w:cs="仿宋"/>
          <w:sz w:val="24"/>
          <w:szCs w:val="24"/>
          <w:lang w:eastAsia="zh-CN"/>
        </w:rPr>
      </w:pPr>
      <w:bookmarkStart w:id="36" w:name="2、合格的投标人"/>
      <w:bookmarkEnd w:id="36"/>
      <w:r>
        <w:rPr>
          <w:rFonts w:ascii="仿宋" w:hAnsi="仿宋" w:eastAsia="仿宋" w:cs="仿宋"/>
          <w:sz w:val="24"/>
          <w:szCs w:val="24"/>
          <w:lang w:eastAsia="zh-CN"/>
        </w:rPr>
        <w:t>2、合格的投标人</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2.1满足招标公告中供应商的资格要求的规定。</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2.2满足本文件实质性条款的规定。</w:t>
      </w:r>
    </w:p>
    <w:p>
      <w:pPr>
        <w:spacing w:line="360" w:lineRule="auto"/>
        <w:jc w:val="both"/>
        <w:rPr>
          <w:rFonts w:ascii="仿宋" w:hAnsi="仿宋" w:eastAsia="仿宋" w:cs="仿宋"/>
          <w:sz w:val="24"/>
          <w:szCs w:val="24"/>
          <w:lang w:eastAsia="zh-CN"/>
        </w:rPr>
      </w:pPr>
      <w:bookmarkStart w:id="37" w:name="3、适用法律"/>
      <w:bookmarkEnd w:id="37"/>
      <w:r>
        <w:rPr>
          <w:rFonts w:ascii="仿宋" w:hAnsi="仿宋" w:eastAsia="仿宋" w:cs="仿宋"/>
          <w:sz w:val="24"/>
          <w:szCs w:val="24"/>
          <w:lang w:eastAsia="zh-CN"/>
        </w:rPr>
        <w:t>3、适用法律</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3.1</w:t>
      </w:r>
      <w:r>
        <w:rPr>
          <w:rFonts w:ascii="仿宋" w:hAnsi="仿宋" w:eastAsia="仿宋" w:cs="仿宋"/>
          <w:spacing w:val="2"/>
          <w:sz w:val="24"/>
          <w:szCs w:val="24"/>
          <w:lang w:eastAsia="zh-CN"/>
        </w:rPr>
        <w:t>本次招标及由此产生的合同受中华人民共和国有关的法</w:t>
      </w:r>
      <w:r>
        <w:rPr>
          <w:rFonts w:ascii="仿宋" w:hAnsi="仿宋" w:eastAsia="仿宋" w:cs="仿宋"/>
          <w:sz w:val="24"/>
          <w:szCs w:val="24"/>
          <w:lang w:eastAsia="zh-CN"/>
        </w:rPr>
        <w:t>律法规制约和保护。</w:t>
      </w:r>
    </w:p>
    <w:p>
      <w:pPr>
        <w:spacing w:line="360" w:lineRule="auto"/>
        <w:jc w:val="both"/>
        <w:rPr>
          <w:rFonts w:ascii="仿宋" w:hAnsi="仿宋" w:eastAsia="仿宋" w:cs="仿宋"/>
          <w:sz w:val="24"/>
          <w:szCs w:val="24"/>
          <w:lang w:eastAsia="zh-CN"/>
        </w:rPr>
      </w:pPr>
      <w:bookmarkStart w:id="38" w:name="4、投标费用"/>
      <w:bookmarkEnd w:id="38"/>
      <w:r>
        <w:rPr>
          <w:rFonts w:ascii="仿宋" w:hAnsi="仿宋" w:eastAsia="仿宋" w:cs="仿宋"/>
          <w:sz w:val="24"/>
          <w:szCs w:val="24"/>
          <w:lang w:eastAsia="zh-CN"/>
        </w:rPr>
        <w:t>4、投标费用</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4.1投标人应自行承担所有与参加投标有关的费用，无论投</w:t>
      </w:r>
      <w:r>
        <w:rPr>
          <w:rFonts w:ascii="仿宋" w:hAnsi="仿宋" w:eastAsia="仿宋" w:cs="仿宋"/>
          <w:w w:val="95"/>
          <w:sz w:val="24"/>
          <w:szCs w:val="24"/>
          <w:lang w:eastAsia="zh-CN"/>
        </w:rPr>
        <w:t>标过程中的做法和结果如何，</w:t>
      </w:r>
      <w:r>
        <w:rPr>
          <w:rFonts w:hint="eastAsia" w:ascii="仿宋" w:hAnsi="仿宋" w:eastAsia="仿宋" w:cs="仿宋"/>
          <w:sz w:val="24"/>
          <w:szCs w:val="24"/>
          <w:lang w:eastAsia="zh-CN"/>
        </w:rPr>
        <w:t>玛纳斯县政务服务和公共资源交易管理中心</w:t>
      </w:r>
      <w:r>
        <w:rPr>
          <w:rFonts w:ascii="仿宋" w:hAnsi="仿宋" w:eastAsia="仿宋" w:cs="仿宋"/>
          <w:sz w:val="24"/>
          <w:szCs w:val="24"/>
          <w:lang w:eastAsia="zh-CN"/>
        </w:rPr>
        <w:t>在任何情况下均</w:t>
      </w:r>
      <w:r>
        <w:rPr>
          <w:rFonts w:ascii="仿宋" w:hAnsi="仿宋" w:eastAsia="仿宋" w:cs="仿宋"/>
          <w:w w:val="95"/>
          <w:sz w:val="24"/>
          <w:szCs w:val="24"/>
          <w:lang w:eastAsia="zh-CN"/>
        </w:rPr>
        <w:t>无</w:t>
      </w:r>
      <w:r>
        <w:rPr>
          <w:rFonts w:ascii="仿宋" w:hAnsi="仿宋" w:eastAsia="仿宋" w:cs="仿宋"/>
          <w:sz w:val="24"/>
          <w:szCs w:val="24"/>
          <w:lang w:eastAsia="zh-CN"/>
        </w:rPr>
        <w:t>义务和责任承担这些费用。</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4.2本次招标不收取标书工本费与中标服务费。</w:t>
      </w:r>
    </w:p>
    <w:p>
      <w:pPr>
        <w:spacing w:line="360" w:lineRule="auto"/>
        <w:jc w:val="both"/>
        <w:rPr>
          <w:rFonts w:ascii="仿宋" w:hAnsi="仿宋" w:eastAsia="仿宋" w:cs="仿宋"/>
          <w:sz w:val="24"/>
          <w:szCs w:val="24"/>
          <w:lang w:eastAsia="zh-CN"/>
        </w:rPr>
      </w:pPr>
      <w:bookmarkStart w:id="39" w:name="5、招标文件的约束力"/>
      <w:bookmarkEnd w:id="39"/>
      <w:r>
        <w:rPr>
          <w:rFonts w:ascii="仿宋" w:hAnsi="仿宋" w:eastAsia="仿宋" w:cs="仿宋"/>
          <w:sz w:val="24"/>
          <w:szCs w:val="24"/>
          <w:lang w:eastAsia="zh-CN"/>
        </w:rPr>
        <w:t>5、招标文件的约束力</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5.1</w:t>
      </w:r>
      <w:r>
        <w:rPr>
          <w:rFonts w:ascii="仿宋" w:hAnsi="仿宋" w:eastAsia="仿宋" w:cs="仿宋"/>
          <w:spacing w:val="2"/>
          <w:sz w:val="24"/>
          <w:szCs w:val="24"/>
          <w:lang w:eastAsia="zh-CN"/>
        </w:rPr>
        <w:t>投标人一旦下载本电子谈判文件并上传投标文件,即被认</w:t>
      </w:r>
      <w:r>
        <w:rPr>
          <w:rFonts w:ascii="仿宋" w:hAnsi="仿宋" w:eastAsia="仿宋" w:cs="仿宋"/>
          <w:sz w:val="24"/>
          <w:szCs w:val="24"/>
          <w:lang w:eastAsia="zh-CN"/>
        </w:rPr>
        <w:t>为接受了本招标文件的规定和约束。</w:t>
      </w:r>
    </w:p>
    <w:p>
      <w:pPr>
        <w:pStyle w:val="5"/>
        <w:numPr>
          <w:ilvl w:val="0"/>
          <w:numId w:val="0"/>
        </w:numPr>
        <w:spacing w:before="360" w:after="360"/>
        <w:ind w:left="720" w:hanging="720"/>
        <w:rPr>
          <w:lang w:eastAsia="zh-CN"/>
        </w:rPr>
      </w:pPr>
      <w:bookmarkStart w:id="40" w:name="二、招标文件"/>
      <w:bookmarkEnd w:id="40"/>
      <w:r>
        <w:rPr>
          <w:lang w:eastAsia="zh-CN"/>
        </w:rPr>
        <w:t>二、招标文件</w:t>
      </w:r>
    </w:p>
    <w:p>
      <w:pPr>
        <w:spacing w:line="360" w:lineRule="auto"/>
        <w:jc w:val="both"/>
        <w:rPr>
          <w:rFonts w:ascii="仿宋" w:hAnsi="仿宋" w:eastAsia="仿宋" w:cs="仿宋"/>
          <w:sz w:val="24"/>
          <w:szCs w:val="24"/>
          <w:lang w:eastAsia="zh-CN"/>
        </w:rPr>
      </w:pPr>
      <w:bookmarkStart w:id="41" w:name="6、招标文件构成"/>
      <w:bookmarkEnd w:id="41"/>
      <w:r>
        <w:rPr>
          <w:rFonts w:ascii="仿宋" w:hAnsi="仿宋" w:eastAsia="仿宋" w:cs="仿宋"/>
          <w:sz w:val="24"/>
          <w:szCs w:val="24"/>
          <w:lang w:eastAsia="zh-CN"/>
        </w:rPr>
        <w:t>6、招标文件构成</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6.1招标文件由以下部分组成：</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（1）招标公告</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（2）投标人须知</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（3）合同条款及格式</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（4）项目需求</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（5）评标方法与评标标准</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（6）投标文件格式</w:t>
      </w:r>
      <w:r>
        <w:rPr>
          <w:rFonts w:ascii="仿宋" w:hAnsi="仿宋" w:eastAsia="仿宋" w:cs="仿宋"/>
          <w:w w:val="95"/>
          <w:sz w:val="24"/>
          <w:szCs w:val="24"/>
          <w:lang w:eastAsia="zh-CN"/>
        </w:rPr>
        <w:t>请仔细检查招标文件是否齐全，是否显示正常，有无缺页、</w:t>
      </w:r>
      <w:r>
        <w:rPr>
          <w:rFonts w:ascii="仿宋" w:hAnsi="仿宋" w:eastAsia="仿宋" w:cs="仿宋"/>
          <w:sz w:val="24"/>
          <w:szCs w:val="24"/>
          <w:lang w:eastAsia="zh-CN"/>
        </w:rPr>
        <w:t>漏页、无法打开或者为空的情况，如有缺漏请立即</w:t>
      </w:r>
      <w:r>
        <w:rPr>
          <w:rFonts w:hint="eastAsia" w:ascii="仿宋" w:hAnsi="仿宋" w:eastAsia="仿宋" w:cs="仿宋"/>
          <w:w w:val="95"/>
          <w:sz w:val="24"/>
          <w:szCs w:val="24"/>
          <w:lang w:eastAsia="zh-CN"/>
        </w:rPr>
        <w:t>玛纳斯县政务服务和公共资源交易管理中心</w:t>
      </w:r>
      <w:r>
        <w:rPr>
          <w:rFonts w:ascii="仿宋" w:hAnsi="仿宋" w:eastAsia="仿宋" w:cs="仿宋"/>
          <w:sz w:val="24"/>
          <w:szCs w:val="24"/>
          <w:lang w:eastAsia="zh-CN"/>
        </w:rPr>
        <w:t>解决。</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6.2投标人应认真阅读招标文件中所有的事项、格式、条款</w:t>
      </w:r>
      <w:r>
        <w:rPr>
          <w:rFonts w:ascii="仿宋" w:hAnsi="仿宋" w:eastAsia="仿宋" w:cs="仿宋"/>
          <w:w w:val="95"/>
          <w:sz w:val="24"/>
          <w:szCs w:val="24"/>
          <w:lang w:eastAsia="zh-CN"/>
        </w:rPr>
        <w:t>和规范等要求。按招标文件要求和规定编制投标文件，并保证所提供的全部资料的真实性，以使其投标文件对招标文件作出实质</w:t>
      </w:r>
      <w:r>
        <w:rPr>
          <w:rFonts w:ascii="仿宋" w:hAnsi="仿宋" w:eastAsia="仿宋" w:cs="仿宋"/>
          <w:sz w:val="24"/>
          <w:szCs w:val="24"/>
          <w:lang w:eastAsia="zh-CN"/>
        </w:rPr>
        <w:t>性响应，否则其风险由投标人自行承担。</w:t>
      </w:r>
    </w:p>
    <w:p>
      <w:pPr>
        <w:spacing w:line="360" w:lineRule="auto"/>
        <w:jc w:val="both"/>
        <w:rPr>
          <w:rFonts w:ascii="仿宋" w:hAnsi="仿宋" w:eastAsia="仿宋" w:cs="仿宋"/>
          <w:sz w:val="24"/>
          <w:szCs w:val="24"/>
          <w:lang w:eastAsia="zh-CN"/>
        </w:rPr>
      </w:pPr>
      <w:bookmarkStart w:id="42" w:name="7、招标文件的澄清"/>
      <w:bookmarkEnd w:id="42"/>
      <w:r>
        <w:rPr>
          <w:rFonts w:ascii="仿宋" w:hAnsi="仿宋" w:eastAsia="仿宋" w:cs="仿宋"/>
          <w:sz w:val="24"/>
          <w:szCs w:val="24"/>
          <w:lang w:eastAsia="zh-CN"/>
        </w:rPr>
        <w:t>7、招标文件的澄清</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7.1任何要求对招标文件进行澄清的投标人，应在投标截止</w:t>
      </w:r>
      <w:r>
        <w:rPr>
          <w:rFonts w:ascii="仿宋" w:hAnsi="仿宋" w:eastAsia="仿宋" w:cs="仿宋"/>
          <w:w w:val="95"/>
          <w:sz w:val="24"/>
          <w:szCs w:val="24"/>
          <w:lang w:eastAsia="zh-CN"/>
        </w:rPr>
        <w:t>期十日前按招标公告中的通讯地址，以书面形式通知</w:t>
      </w:r>
      <w:r>
        <w:rPr>
          <w:rFonts w:hint="eastAsia" w:ascii="仿宋" w:hAnsi="仿宋" w:eastAsia="仿宋" w:cs="仿宋"/>
          <w:w w:val="95"/>
          <w:sz w:val="24"/>
          <w:szCs w:val="24"/>
          <w:lang w:eastAsia="zh-CN"/>
        </w:rPr>
        <w:t>玛纳斯县政务服务和公共资源交易管理中心</w:t>
      </w:r>
      <w:r>
        <w:rPr>
          <w:rFonts w:ascii="仿宋" w:hAnsi="仿宋" w:eastAsia="仿宋" w:cs="仿宋"/>
          <w:sz w:val="24"/>
          <w:szCs w:val="24"/>
          <w:lang w:eastAsia="zh-CN"/>
        </w:rPr>
        <w:t>。</w:t>
      </w:r>
    </w:p>
    <w:p>
      <w:pPr>
        <w:spacing w:line="360" w:lineRule="auto"/>
        <w:jc w:val="both"/>
        <w:rPr>
          <w:rFonts w:ascii="仿宋" w:hAnsi="仿宋" w:eastAsia="仿宋" w:cs="仿宋"/>
          <w:sz w:val="24"/>
          <w:szCs w:val="24"/>
          <w:lang w:eastAsia="zh-CN"/>
        </w:rPr>
      </w:pPr>
      <w:bookmarkStart w:id="43" w:name="8、招标文件的修改"/>
      <w:bookmarkEnd w:id="43"/>
      <w:r>
        <w:rPr>
          <w:rFonts w:ascii="仿宋" w:hAnsi="仿宋" w:eastAsia="仿宋" w:cs="仿宋"/>
          <w:sz w:val="24"/>
          <w:szCs w:val="24"/>
          <w:lang w:eastAsia="zh-CN"/>
        </w:rPr>
        <w:t>8、招标文件的修改</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8.1在投标截止时间前，</w:t>
      </w:r>
      <w:r>
        <w:rPr>
          <w:rFonts w:hint="eastAsia" w:ascii="仿宋" w:hAnsi="仿宋" w:eastAsia="仿宋" w:cs="仿宋"/>
          <w:sz w:val="24"/>
          <w:szCs w:val="24"/>
          <w:lang w:eastAsia="zh-CN"/>
        </w:rPr>
        <w:t>玛纳斯县政务服务和公共资源交易管理中心</w:t>
      </w:r>
      <w:r>
        <w:rPr>
          <w:rFonts w:ascii="仿宋" w:hAnsi="仿宋" w:eastAsia="仿宋" w:cs="仿宋"/>
          <w:sz w:val="24"/>
          <w:szCs w:val="24"/>
          <w:lang w:eastAsia="zh-CN"/>
        </w:rPr>
        <w:t>可以对招标文件进行修改。</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8.2</w:t>
      </w:r>
      <w:r>
        <w:rPr>
          <w:rFonts w:hint="eastAsia" w:ascii="仿宋" w:hAnsi="仿宋" w:eastAsia="仿宋" w:cs="仿宋"/>
          <w:sz w:val="24"/>
          <w:szCs w:val="24"/>
          <w:lang w:eastAsia="zh-CN"/>
        </w:rPr>
        <w:t>玛纳斯县政务服务和公共资源交易管理中心</w:t>
      </w:r>
      <w:r>
        <w:rPr>
          <w:rFonts w:ascii="仿宋" w:hAnsi="仿宋" w:eastAsia="仿宋" w:cs="仿宋"/>
          <w:spacing w:val="14"/>
          <w:sz w:val="24"/>
          <w:szCs w:val="24"/>
          <w:lang w:eastAsia="zh-CN"/>
        </w:rPr>
        <w:t>有权按照法定的要求推迟投标截</w:t>
      </w:r>
      <w:r>
        <w:rPr>
          <w:rFonts w:ascii="仿宋" w:hAnsi="仿宋" w:eastAsia="仿宋" w:cs="仿宋"/>
          <w:sz w:val="24"/>
          <w:szCs w:val="24"/>
          <w:lang w:eastAsia="zh-CN"/>
        </w:rPr>
        <w:t>止日期和开标日期。</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8.3</w:t>
      </w:r>
      <w:r>
        <w:rPr>
          <w:rFonts w:ascii="仿宋" w:hAnsi="仿宋" w:eastAsia="仿宋" w:cs="仿宋"/>
          <w:spacing w:val="13"/>
          <w:sz w:val="24"/>
          <w:szCs w:val="24"/>
          <w:lang w:eastAsia="zh-CN"/>
        </w:rPr>
        <w:t>招标文件的修改将在新疆政府采购网</w:t>
      </w:r>
      <w:r>
        <w:rPr>
          <w:rFonts w:ascii="仿宋" w:hAnsi="仿宋" w:eastAsia="仿宋" w:cs="仿宋"/>
          <w:w w:val="95"/>
          <w:sz w:val="24"/>
          <w:szCs w:val="24"/>
          <w:lang w:eastAsia="zh-CN"/>
        </w:rPr>
        <w:t>公布，补充文件将作为招标文件的组成部分，并对投标人具有约束力，投标单位可登陆</w:t>
      </w:r>
      <w:r>
        <w:rPr>
          <w:rFonts w:ascii="仿宋" w:hAnsi="仿宋" w:eastAsia="仿宋" w:cs="仿宋"/>
          <w:spacing w:val="13"/>
          <w:sz w:val="24"/>
          <w:szCs w:val="24"/>
          <w:lang w:eastAsia="zh-CN"/>
        </w:rPr>
        <w:t>新疆政府采购网</w:t>
      </w:r>
      <w:r>
        <w:rPr>
          <w:rFonts w:ascii="仿宋" w:hAnsi="仿宋" w:eastAsia="仿宋" w:cs="仿宋"/>
          <w:spacing w:val="21"/>
          <w:sz w:val="24"/>
          <w:szCs w:val="24"/>
          <w:lang w:eastAsia="zh-CN"/>
        </w:rPr>
        <w:t>下载最新的电</w:t>
      </w:r>
      <w:r>
        <w:rPr>
          <w:rFonts w:ascii="仿宋" w:hAnsi="仿宋" w:eastAsia="仿宋" w:cs="仿宋"/>
          <w:sz w:val="24"/>
          <w:szCs w:val="24"/>
          <w:lang w:eastAsia="zh-CN"/>
        </w:rPr>
        <w:t>子澄清文件，并制作对应的电子投标文件。</w:t>
      </w:r>
    </w:p>
    <w:p>
      <w:pPr>
        <w:pStyle w:val="5"/>
        <w:numPr>
          <w:ilvl w:val="0"/>
          <w:numId w:val="0"/>
        </w:numPr>
        <w:spacing w:before="360" w:after="360"/>
        <w:rPr>
          <w:lang w:eastAsia="zh-CN"/>
        </w:rPr>
      </w:pPr>
      <w:bookmarkStart w:id="44" w:name="三、投标文件的编制"/>
      <w:bookmarkEnd w:id="44"/>
      <w:r>
        <w:rPr>
          <w:lang w:eastAsia="zh-CN"/>
        </w:rPr>
        <w:t>三、投标文件的编制</w:t>
      </w:r>
    </w:p>
    <w:p>
      <w:pPr>
        <w:spacing w:line="360" w:lineRule="auto"/>
        <w:jc w:val="both"/>
        <w:rPr>
          <w:rFonts w:ascii="仿宋" w:hAnsi="仿宋" w:eastAsia="仿宋" w:cs="仿宋"/>
          <w:sz w:val="24"/>
          <w:szCs w:val="24"/>
          <w:lang w:eastAsia="zh-CN"/>
        </w:rPr>
      </w:pPr>
      <w:bookmarkStart w:id="45" w:name="9、投标文件的语言及度量衡单位"/>
      <w:bookmarkEnd w:id="45"/>
      <w:r>
        <w:rPr>
          <w:rFonts w:ascii="仿宋" w:hAnsi="仿宋" w:eastAsia="仿宋" w:cs="仿宋"/>
          <w:sz w:val="24"/>
          <w:szCs w:val="24"/>
          <w:lang w:eastAsia="zh-CN"/>
        </w:rPr>
        <w:t>9、投标文件的语言及度量衡单位</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9.1</w:t>
      </w:r>
      <w:r>
        <w:rPr>
          <w:rFonts w:ascii="仿宋" w:hAnsi="仿宋" w:eastAsia="仿宋" w:cs="仿宋"/>
          <w:spacing w:val="13"/>
          <w:sz w:val="24"/>
          <w:szCs w:val="24"/>
          <w:lang w:eastAsia="zh-CN"/>
        </w:rPr>
        <w:t>投标人提交的投标文件以及投标人与</w:t>
      </w:r>
      <w:r>
        <w:rPr>
          <w:rFonts w:hint="eastAsia" w:ascii="仿宋" w:hAnsi="仿宋" w:eastAsia="仿宋" w:cs="仿宋"/>
          <w:spacing w:val="13"/>
          <w:sz w:val="24"/>
          <w:szCs w:val="24"/>
          <w:lang w:eastAsia="zh-CN"/>
        </w:rPr>
        <w:t>玛纳斯县政务服务和公共资源交易管理中心</w:t>
      </w:r>
      <w:r>
        <w:rPr>
          <w:rFonts w:ascii="仿宋" w:hAnsi="仿宋" w:eastAsia="仿宋" w:cs="仿宋"/>
          <w:spacing w:val="12"/>
          <w:w w:val="95"/>
          <w:sz w:val="24"/>
          <w:szCs w:val="24"/>
          <w:lang w:eastAsia="zh-CN"/>
        </w:rPr>
        <w:t>就有关投标的所有来往通知、函件和文件均应使用</w:t>
      </w:r>
      <w:r>
        <w:rPr>
          <w:rFonts w:ascii="仿宋" w:hAnsi="仿宋" w:eastAsia="仿宋" w:cs="仿宋"/>
          <w:b/>
          <w:bCs/>
          <w:spacing w:val="12"/>
          <w:w w:val="95"/>
          <w:sz w:val="24"/>
          <w:szCs w:val="24"/>
          <w:lang w:eastAsia="zh-CN"/>
        </w:rPr>
        <w:t>简体中</w:t>
      </w:r>
      <w:r>
        <w:rPr>
          <w:rFonts w:ascii="仿宋" w:hAnsi="仿宋" w:eastAsia="仿宋" w:cs="仿宋"/>
          <w:b/>
          <w:bCs/>
          <w:sz w:val="24"/>
          <w:szCs w:val="24"/>
          <w:lang w:eastAsia="zh-CN"/>
        </w:rPr>
        <w:t>文</w:t>
      </w:r>
      <w:r>
        <w:rPr>
          <w:rFonts w:ascii="仿宋" w:hAnsi="仿宋" w:eastAsia="仿宋" w:cs="仿宋"/>
          <w:sz w:val="24"/>
          <w:szCs w:val="24"/>
          <w:lang w:eastAsia="zh-CN"/>
        </w:rPr>
        <w:t>。</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9.2</w:t>
      </w:r>
      <w:r>
        <w:rPr>
          <w:rFonts w:ascii="仿宋" w:hAnsi="仿宋" w:eastAsia="仿宋" w:cs="仿宋"/>
          <w:spacing w:val="13"/>
          <w:sz w:val="24"/>
          <w:szCs w:val="24"/>
          <w:lang w:eastAsia="zh-CN"/>
        </w:rPr>
        <w:t>除技术性能另有规定外，投标文件所使用的度量衡单</w:t>
      </w:r>
      <w:r>
        <w:rPr>
          <w:rFonts w:ascii="仿宋" w:hAnsi="仿宋" w:eastAsia="仿宋" w:cs="仿宋"/>
          <w:sz w:val="24"/>
          <w:szCs w:val="24"/>
          <w:lang w:eastAsia="zh-CN"/>
        </w:rPr>
        <w:t>位，均须采用国家法定计量单位。</w:t>
      </w:r>
    </w:p>
    <w:p>
      <w:pPr>
        <w:spacing w:line="360" w:lineRule="auto"/>
        <w:jc w:val="both"/>
        <w:rPr>
          <w:rFonts w:ascii="仿宋" w:hAnsi="仿宋" w:eastAsia="仿宋" w:cs="仿宋"/>
          <w:sz w:val="24"/>
          <w:szCs w:val="24"/>
          <w:lang w:eastAsia="zh-CN"/>
        </w:rPr>
      </w:pPr>
      <w:bookmarkStart w:id="46" w:name="10、投标文件构成"/>
      <w:bookmarkEnd w:id="46"/>
      <w:r>
        <w:rPr>
          <w:rFonts w:ascii="仿宋" w:hAnsi="仿宋" w:eastAsia="仿宋" w:cs="仿宋"/>
          <w:sz w:val="24"/>
          <w:szCs w:val="24"/>
          <w:lang w:eastAsia="zh-CN"/>
        </w:rPr>
        <w:t>10、投标文件构成</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10.1</w:t>
      </w:r>
      <w:r>
        <w:rPr>
          <w:rFonts w:ascii="仿宋" w:hAnsi="仿宋" w:eastAsia="仿宋" w:cs="仿宋"/>
          <w:spacing w:val="6"/>
          <w:sz w:val="24"/>
          <w:szCs w:val="24"/>
          <w:lang w:eastAsia="zh-CN"/>
        </w:rPr>
        <w:t>投标人编写的投标文件应包括资信证明文件、投标配</w:t>
      </w:r>
      <w:r>
        <w:rPr>
          <w:rFonts w:ascii="仿宋" w:hAnsi="仿宋" w:eastAsia="仿宋" w:cs="仿宋"/>
          <w:w w:val="95"/>
          <w:sz w:val="24"/>
          <w:szCs w:val="24"/>
          <w:lang w:eastAsia="zh-CN"/>
        </w:rPr>
        <w:t>置与分项报价表、技术参数响应及偏离表、商务条款响应及偏离</w:t>
      </w:r>
      <w:r>
        <w:rPr>
          <w:rFonts w:ascii="仿宋" w:hAnsi="仿宋" w:eastAsia="仿宋" w:cs="仿宋"/>
          <w:sz w:val="24"/>
          <w:szCs w:val="24"/>
          <w:lang w:eastAsia="zh-CN"/>
        </w:rPr>
        <w:t>表、技术及售后服务承诺书、投标函、开标一览表等部分。</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10.2</w:t>
      </w:r>
      <w:r>
        <w:rPr>
          <w:rFonts w:ascii="仿宋" w:hAnsi="仿宋" w:eastAsia="仿宋" w:cs="仿宋"/>
          <w:spacing w:val="6"/>
          <w:sz w:val="24"/>
          <w:szCs w:val="24"/>
          <w:lang w:eastAsia="zh-CN"/>
        </w:rPr>
        <w:t>投标人应将电子投标文件按招标文件要求上传对应文</w:t>
      </w:r>
      <w:r>
        <w:rPr>
          <w:rFonts w:ascii="仿宋" w:hAnsi="仿宋" w:eastAsia="仿宋" w:cs="仿宋"/>
          <w:sz w:val="24"/>
          <w:szCs w:val="24"/>
          <w:lang w:eastAsia="zh-CN"/>
        </w:rPr>
        <w:t>件，并按照投标文件组成节点依次完善投标文件内容。</w:t>
      </w:r>
    </w:p>
    <w:p>
      <w:pPr>
        <w:spacing w:line="360" w:lineRule="auto"/>
        <w:jc w:val="both"/>
        <w:rPr>
          <w:rFonts w:ascii="仿宋" w:hAnsi="仿宋" w:eastAsia="仿宋" w:cs="仿宋"/>
          <w:sz w:val="24"/>
          <w:szCs w:val="24"/>
          <w:lang w:eastAsia="zh-CN"/>
        </w:rPr>
      </w:pPr>
      <w:bookmarkStart w:id="47" w:name="11、证明投标人资格及符合招标文件规定的文件"/>
      <w:bookmarkEnd w:id="47"/>
      <w:r>
        <w:rPr>
          <w:rFonts w:ascii="仿宋" w:hAnsi="仿宋" w:eastAsia="仿宋" w:cs="仿宋"/>
          <w:sz w:val="24"/>
          <w:szCs w:val="24"/>
          <w:lang w:eastAsia="zh-CN"/>
        </w:rPr>
        <w:t>11、证明投标人资格及符合招标文件规定的文件</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11.1</w:t>
      </w:r>
      <w:r>
        <w:rPr>
          <w:rFonts w:ascii="仿宋" w:hAnsi="仿宋" w:eastAsia="仿宋" w:cs="仿宋"/>
          <w:spacing w:val="6"/>
          <w:sz w:val="24"/>
          <w:szCs w:val="24"/>
          <w:lang w:eastAsia="zh-CN"/>
        </w:rPr>
        <w:t>投标人应按要求提交资格证明文件及符合招标文件规</w:t>
      </w:r>
      <w:r>
        <w:rPr>
          <w:rFonts w:ascii="仿宋" w:hAnsi="仿宋" w:eastAsia="仿宋" w:cs="仿宋"/>
          <w:sz w:val="24"/>
          <w:szCs w:val="24"/>
          <w:lang w:eastAsia="zh-CN"/>
        </w:rPr>
        <w:t>定的文件。</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11.2</w:t>
      </w:r>
      <w:r>
        <w:rPr>
          <w:rFonts w:ascii="仿宋" w:hAnsi="仿宋" w:eastAsia="仿宋" w:cs="仿宋"/>
          <w:spacing w:val="6"/>
          <w:sz w:val="24"/>
          <w:szCs w:val="24"/>
          <w:lang w:eastAsia="zh-CN"/>
        </w:rPr>
        <w:t>投标人应提交证明其有资格参加投标和中标后有能力</w:t>
      </w:r>
      <w:r>
        <w:rPr>
          <w:rFonts w:ascii="仿宋" w:hAnsi="仿宋" w:eastAsia="仿宋" w:cs="仿宋"/>
          <w:sz w:val="24"/>
          <w:szCs w:val="24"/>
          <w:lang w:eastAsia="zh-CN"/>
        </w:rPr>
        <w:t>独立履行合同的文件。</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11.3</w:t>
      </w:r>
      <w:r>
        <w:rPr>
          <w:rFonts w:ascii="仿宋" w:hAnsi="仿宋" w:eastAsia="仿宋" w:cs="仿宋"/>
          <w:spacing w:val="6"/>
          <w:sz w:val="24"/>
          <w:szCs w:val="24"/>
          <w:lang w:eastAsia="zh-CN"/>
        </w:rPr>
        <w:t>投标人除必须具有履行合同所需提供的货物以及服务</w:t>
      </w:r>
      <w:r>
        <w:rPr>
          <w:rFonts w:ascii="仿宋" w:hAnsi="仿宋" w:eastAsia="仿宋" w:cs="仿宋"/>
          <w:sz w:val="24"/>
          <w:szCs w:val="24"/>
          <w:lang w:eastAsia="zh-CN"/>
        </w:rPr>
        <w:t>的能力外，还必须具备相应的财务、技术方面的能力。</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11.4</w:t>
      </w:r>
      <w:r>
        <w:rPr>
          <w:rFonts w:ascii="仿宋" w:hAnsi="仿宋" w:eastAsia="仿宋" w:cs="仿宋"/>
          <w:spacing w:val="6"/>
          <w:sz w:val="24"/>
          <w:szCs w:val="24"/>
          <w:lang w:eastAsia="zh-CN"/>
        </w:rPr>
        <w:t>投标人应提交根据合同要求提供的证明产品质量合格</w:t>
      </w:r>
      <w:r>
        <w:rPr>
          <w:rFonts w:ascii="仿宋" w:hAnsi="仿宋" w:eastAsia="仿宋" w:cs="仿宋"/>
          <w:sz w:val="24"/>
          <w:szCs w:val="24"/>
          <w:lang w:eastAsia="zh-CN"/>
        </w:rPr>
        <w:t>以及符合招标文件规定的证明文件。</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11.5</w:t>
      </w:r>
      <w:r>
        <w:rPr>
          <w:rFonts w:ascii="仿宋" w:hAnsi="仿宋" w:eastAsia="仿宋" w:cs="仿宋"/>
          <w:spacing w:val="6"/>
          <w:sz w:val="24"/>
          <w:szCs w:val="24"/>
          <w:lang w:eastAsia="zh-CN"/>
        </w:rPr>
        <w:t>证明投标人所提供货物与招标文件的要求相一致的文</w:t>
      </w:r>
      <w:r>
        <w:rPr>
          <w:rFonts w:ascii="仿宋" w:hAnsi="仿宋" w:eastAsia="仿宋" w:cs="仿宋"/>
          <w:sz w:val="24"/>
          <w:szCs w:val="24"/>
          <w:lang w:eastAsia="zh-CN"/>
        </w:rPr>
        <w:t>件可以是手册、图纸、文字资料和数据。</w:t>
      </w:r>
    </w:p>
    <w:p>
      <w:pPr>
        <w:spacing w:line="360" w:lineRule="auto"/>
        <w:jc w:val="both"/>
        <w:rPr>
          <w:rFonts w:ascii="仿宋" w:hAnsi="仿宋" w:eastAsia="仿宋" w:cs="仿宋"/>
          <w:sz w:val="24"/>
          <w:szCs w:val="24"/>
          <w:lang w:eastAsia="zh-CN"/>
        </w:rPr>
      </w:pPr>
      <w:bookmarkStart w:id="48" w:name="12、供货一览表和投标配置与分项报价表"/>
      <w:bookmarkEnd w:id="48"/>
      <w:r>
        <w:rPr>
          <w:rFonts w:ascii="仿宋" w:hAnsi="仿宋" w:eastAsia="仿宋" w:cs="仿宋"/>
          <w:sz w:val="24"/>
          <w:szCs w:val="24"/>
          <w:lang w:eastAsia="zh-CN"/>
        </w:rPr>
        <w:t>12、供货一览表和投标配置与分项报价表</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12.1</w:t>
      </w:r>
      <w:r>
        <w:rPr>
          <w:rFonts w:ascii="仿宋" w:hAnsi="仿宋" w:eastAsia="仿宋" w:cs="仿宋"/>
          <w:spacing w:val="6"/>
          <w:sz w:val="24"/>
          <w:szCs w:val="24"/>
          <w:lang w:eastAsia="zh-CN"/>
        </w:rPr>
        <w:t>投标人应按照招标文件规定格式填报供货一览表、投</w:t>
      </w:r>
      <w:r>
        <w:rPr>
          <w:rFonts w:ascii="仿宋" w:hAnsi="仿宋" w:eastAsia="仿宋" w:cs="仿宋"/>
          <w:w w:val="95"/>
          <w:sz w:val="24"/>
          <w:szCs w:val="24"/>
          <w:lang w:eastAsia="zh-CN"/>
        </w:rPr>
        <w:t>标配置与分项报价表，在表中标明所提供的设备品牌、规格、型号、原产地、主要部件型号及其功能的中文说明和供货期。每项货物和服务等只允许有一个报价，任何有选择的报价将不予接受</w:t>
      </w:r>
      <w:r>
        <w:rPr>
          <w:rFonts w:ascii="仿宋" w:hAnsi="仿宋" w:eastAsia="仿宋" w:cs="仿宋"/>
          <w:sz w:val="24"/>
          <w:szCs w:val="24"/>
          <w:lang w:eastAsia="zh-CN"/>
        </w:rPr>
        <w:t>(如有备选配件，备选配件的报价不属于选择的报价)。</w:t>
      </w:r>
    </w:p>
    <w:p>
      <w:pPr>
        <w:spacing w:line="360" w:lineRule="auto"/>
        <w:ind w:firstLine="480" w:firstLineChars="200"/>
        <w:jc w:val="both"/>
        <w:rPr>
          <w:rFonts w:ascii="仿宋" w:hAnsi="仿宋" w:eastAsia="仿宋" w:cs="仿宋"/>
          <w:w w:val="95"/>
          <w:sz w:val="24"/>
          <w:szCs w:val="24"/>
          <w:lang w:eastAsia="zh-CN"/>
        </w:rPr>
      </w:pPr>
      <w:r>
        <w:rPr>
          <w:rFonts w:ascii="仿宋" w:hAnsi="仿宋" w:eastAsia="仿宋" w:cs="仿宋"/>
          <w:sz w:val="24"/>
          <w:szCs w:val="24"/>
          <w:lang w:eastAsia="zh-CN"/>
        </w:rPr>
        <w:t>1</w:t>
      </w:r>
      <w:r>
        <w:rPr>
          <w:rFonts w:ascii="仿宋" w:hAnsi="仿宋" w:eastAsia="仿宋" w:cs="仿宋"/>
          <w:color w:val="auto"/>
          <w:sz w:val="24"/>
          <w:szCs w:val="24"/>
          <w:lang w:eastAsia="zh-CN"/>
        </w:rPr>
        <w:t>2.2标的物</w:t>
      </w:r>
      <w:r>
        <w:rPr>
          <w:rFonts w:ascii="仿宋" w:hAnsi="仿宋" w:eastAsia="仿宋" w:cs="仿宋"/>
          <w:color w:val="auto"/>
          <w:w w:val="95"/>
          <w:sz w:val="24"/>
          <w:szCs w:val="24"/>
          <w:lang w:eastAsia="zh-CN"/>
        </w:rPr>
        <w:t>采购人需</w:t>
      </w:r>
      <w:r>
        <w:rPr>
          <w:rFonts w:ascii="仿宋" w:hAnsi="仿宋" w:eastAsia="仿宋" w:cs="仿宋"/>
          <w:w w:val="95"/>
          <w:sz w:val="24"/>
          <w:szCs w:val="24"/>
          <w:lang w:eastAsia="zh-CN"/>
        </w:rPr>
        <w:t>求的货物供应、安装，调试及有关技术服务等。</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12.3有关费用处理</w:t>
      </w:r>
      <w:r>
        <w:rPr>
          <w:rFonts w:ascii="仿宋" w:hAnsi="仿宋" w:eastAsia="仿宋" w:cs="仿宋"/>
          <w:w w:val="95"/>
          <w:sz w:val="24"/>
          <w:szCs w:val="24"/>
          <w:lang w:eastAsia="zh-CN"/>
        </w:rPr>
        <w:t>招标报价采用总承包方式，投标人的报价应包括所投产品费用、安装调试费、测试验收费、培训费、运行维护费用、税金、国际国内运输保险、报关清关、开证、办理全套免税手续费用及其他有关的为完成本项目发生的所有费用，招标文件中另有规定的除</w:t>
      </w:r>
      <w:r>
        <w:rPr>
          <w:rFonts w:ascii="仿宋" w:hAnsi="仿宋" w:eastAsia="仿宋" w:cs="仿宋"/>
          <w:sz w:val="24"/>
          <w:szCs w:val="24"/>
          <w:lang w:eastAsia="zh-CN"/>
        </w:rPr>
        <w:t>外。</w:t>
      </w:r>
    </w:p>
    <w:p>
      <w:pPr>
        <w:spacing w:line="360" w:lineRule="auto"/>
        <w:ind w:firstLine="480" w:firstLineChars="200"/>
        <w:jc w:val="both"/>
        <w:rPr>
          <w:rFonts w:ascii="仿宋" w:hAnsi="仿宋" w:eastAsia="仿宋" w:cs="仿宋"/>
          <w:w w:val="95"/>
          <w:sz w:val="24"/>
          <w:szCs w:val="24"/>
          <w:lang w:eastAsia="zh-CN"/>
        </w:rPr>
      </w:pPr>
      <w:r>
        <w:rPr>
          <w:rFonts w:ascii="仿宋" w:hAnsi="仿宋" w:eastAsia="仿宋" w:cs="仿宋"/>
          <w:sz w:val="24"/>
          <w:szCs w:val="24"/>
          <w:lang w:eastAsia="zh-CN"/>
        </w:rPr>
        <w:t>12.4其它费用处理</w:t>
      </w:r>
      <w:r>
        <w:rPr>
          <w:rFonts w:ascii="仿宋" w:hAnsi="仿宋" w:eastAsia="仿宋" w:cs="仿宋"/>
          <w:w w:val="95"/>
          <w:sz w:val="24"/>
          <w:szCs w:val="24"/>
          <w:lang w:eastAsia="zh-CN"/>
        </w:rPr>
        <w:t>招标文件未列明，而投标人认为必需的费用也需列入报价。</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12.5投标货币投标文件中的货物单价和总价无特殊规定的采用人民币报价，以元为单位标注。招标文件中另有规定的按规定执行。</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12.6投标配置与分项报价表上的价格应按下列方式分开填写：</w:t>
      </w:r>
    </w:p>
    <w:p>
      <w:pPr>
        <w:spacing w:line="360" w:lineRule="auto"/>
        <w:ind w:firstLine="504" w:firstLineChars="200"/>
        <w:jc w:val="both"/>
        <w:rPr>
          <w:rFonts w:ascii="仿宋" w:hAnsi="仿宋" w:eastAsia="仿宋" w:cs="仿宋"/>
          <w:sz w:val="24"/>
          <w:szCs w:val="24"/>
          <w:lang w:eastAsia="zh-CN"/>
        </w:rPr>
      </w:pPr>
      <w:r>
        <w:rPr>
          <w:rFonts w:ascii="仿宋" w:hAnsi="仿宋" w:eastAsia="仿宋" w:cs="仿宋"/>
          <w:spacing w:val="6"/>
          <w:sz w:val="24"/>
          <w:szCs w:val="24"/>
          <w:lang w:eastAsia="zh-CN"/>
        </w:rPr>
        <w:t>1、项目总价：包括买方需求的货物价格、质量保证费用、</w:t>
      </w:r>
      <w:r>
        <w:rPr>
          <w:rFonts w:ascii="仿宋" w:hAnsi="仿宋" w:eastAsia="仿宋" w:cs="仿宋"/>
          <w:w w:val="95"/>
          <w:sz w:val="24"/>
          <w:szCs w:val="24"/>
          <w:lang w:eastAsia="zh-CN"/>
        </w:rPr>
        <w:t>培训费用及售后服务费用，项目在指定地点、环境交付、安装、</w:t>
      </w:r>
      <w:r>
        <w:rPr>
          <w:rFonts w:ascii="仿宋" w:hAnsi="仿宋" w:eastAsia="仿宋" w:cs="仿宋"/>
          <w:spacing w:val="6"/>
          <w:sz w:val="24"/>
          <w:szCs w:val="24"/>
          <w:lang w:eastAsia="zh-CN"/>
        </w:rPr>
        <w:t>调试、验收所需费用和所有相关税金费用及</w:t>
      </w:r>
      <w:r>
        <w:rPr>
          <w:rFonts w:ascii="仿宋" w:hAnsi="仿宋" w:eastAsia="仿宋" w:cs="仿宋"/>
          <w:spacing w:val="5"/>
          <w:sz w:val="24"/>
          <w:szCs w:val="24"/>
          <w:lang w:eastAsia="zh-CN"/>
        </w:rPr>
        <w:t>为完成整个项目所</w:t>
      </w:r>
      <w:r>
        <w:rPr>
          <w:rFonts w:ascii="仿宋" w:hAnsi="仿宋" w:eastAsia="仿宋" w:cs="仿宋"/>
          <w:sz w:val="24"/>
          <w:szCs w:val="24"/>
          <w:lang w:eastAsia="zh-CN"/>
        </w:rPr>
        <w:t>产生的其它所有费用。</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2、项目单价按投标配置及分项报价表中要求填报。</w:t>
      </w:r>
    </w:p>
    <w:p>
      <w:pPr>
        <w:spacing w:line="360" w:lineRule="auto"/>
        <w:jc w:val="both"/>
        <w:rPr>
          <w:rFonts w:ascii="仿宋" w:hAnsi="仿宋" w:eastAsia="仿宋" w:cs="仿宋"/>
          <w:sz w:val="24"/>
          <w:szCs w:val="24"/>
          <w:lang w:eastAsia="zh-CN"/>
        </w:rPr>
      </w:pPr>
      <w:bookmarkStart w:id="49" w:name="13、技术参数响应及偏离表、商务条款响应及偏离表及投标货物说明"/>
      <w:bookmarkEnd w:id="49"/>
      <w:r>
        <w:rPr>
          <w:rFonts w:ascii="仿宋" w:hAnsi="仿宋" w:eastAsia="仿宋" w:cs="仿宋"/>
          <w:w w:val="95"/>
          <w:sz w:val="24"/>
          <w:szCs w:val="24"/>
          <w:lang w:eastAsia="zh-CN"/>
        </w:rPr>
        <w:t>13、技术参数响应及偏离表、商务条款响应及偏离表及投标货物</w:t>
      </w:r>
      <w:r>
        <w:rPr>
          <w:rFonts w:ascii="仿宋" w:hAnsi="仿宋" w:eastAsia="仿宋" w:cs="仿宋"/>
          <w:sz w:val="24"/>
          <w:szCs w:val="24"/>
          <w:lang w:eastAsia="zh-CN"/>
        </w:rPr>
        <w:t>说明</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13.1</w:t>
      </w:r>
      <w:r>
        <w:rPr>
          <w:rFonts w:ascii="仿宋" w:hAnsi="仿宋" w:eastAsia="仿宋" w:cs="仿宋"/>
          <w:spacing w:val="6"/>
          <w:sz w:val="24"/>
          <w:szCs w:val="24"/>
          <w:lang w:eastAsia="zh-CN"/>
        </w:rPr>
        <w:t>对招标文件中的技术与商务条款要求逐项作出响应或</w:t>
      </w:r>
      <w:r>
        <w:rPr>
          <w:rFonts w:ascii="仿宋" w:hAnsi="仿宋" w:eastAsia="仿宋" w:cs="仿宋"/>
          <w:sz w:val="24"/>
          <w:szCs w:val="24"/>
          <w:lang w:eastAsia="zh-CN"/>
        </w:rPr>
        <w:t>偏离，并说明原因；</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13.2提供参加本项目类似案例简介；</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13.3培训计划；</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13.4</w:t>
      </w:r>
      <w:r>
        <w:rPr>
          <w:rFonts w:ascii="仿宋" w:hAnsi="仿宋" w:eastAsia="仿宋" w:cs="仿宋"/>
          <w:spacing w:val="6"/>
          <w:sz w:val="24"/>
          <w:szCs w:val="24"/>
          <w:lang w:eastAsia="zh-CN"/>
        </w:rPr>
        <w:t>详细阐述所投货物的主要组成部分、功能设计、实现</w:t>
      </w:r>
      <w:r>
        <w:rPr>
          <w:rFonts w:ascii="仿宋" w:hAnsi="仿宋" w:eastAsia="仿宋" w:cs="仿宋"/>
          <w:sz w:val="24"/>
          <w:szCs w:val="24"/>
          <w:lang w:eastAsia="zh-CN"/>
        </w:rPr>
        <w:t>思路及关键技术；</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13.5投标人认为需要的其他技术文件或说明。</w:t>
      </w:r>
    </w:p>
    <w:p>
      <w:pPr>
        <w:spacing w:line="360" w:lineRule="auto"/>
        <w:jc w:val="both"/>
        <w:rPr>
          <w:rFonts w:ascii="仿宋" w:hAnsi="仿宋" w:eastAsia="仿宋" w:cs="仿宋"/>
          <w:sz w:val="24"/>
          <w:szCs w:val="24"/>
          <w:lang w:eastAsia="zh-CN"/>
        </w:rPr>
      </w:pPr>
      <w:bookmarkStart w:id="50" w:name="14、服务承诺及售后服务机构、人员的情况介绍"/>
      <w:bookmarkEnd w:id="50"/>
      <w:r>
        <w:rPr>
          <w:rFonts w:ascii="仿宋" w:hAnsi="仿宋" w:eastAsia="仿宋" w:cs="仿宋"/>
          <w:sz w:val="24"/>
          <w:szCs w:val="24"/>
          <w:lang w:eastAsia="zh-CN"/>
        </w:rPr>
        <w:t>14、服务承诺及售后服务机构、人员的情况介绍</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14.1</w:t>
      </w:r>
      <w:r>
        <w:rPr>
          <w:rFonts w:ascii="仿宋" w:hAnsi="仿宋" w:eastAsia="仿宋" w:cs="仿宋"/>
          <w:spacing w:val="6"/>
          <w:sz w:val="24"/>
          <w:szCs w:val="24"/>
          <w:lang w:eastAsia="zh-CN"/>
        </w:rPr>
        <w:t>投标人的服务承诺应按不低于招标文件中商务要求的</w:t>
      </w:r>
      <w:r>
        <w:rPr>
          <w:rFonts w:ascii="仿宋" w:hAnsi="仿宋" w:eastAsia="仿宋" w:cs="仿宋"/>
          <w:sz w:val="24"/>
          <w:szCs w:val="24"/>
          <w:lang w:eastAsia="zh-CN"/>
        </w:rPr>
        <w:t>标准。</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14.2</w:t>
      </w:r>
      <w:r>
        <w:rPr>
          <w:rFonts w:ascii="仿宋" w:hAnsi="仿宋" w:eastAsia="仿宋" w:cs="仿宋"/>
          <w:spacing w:val="3"/>
          <w:sz w:val="24"/>
          <w:szCs w:val="24"/>
          <w:lang w:eastAsia="zh-CN"/>
        </w:rPr>
        <w:t>提供投标人有关售后服务的管理制度、售后服务机构</w:t>
      </w:r>
      <w:r>
        <w:rPr>
          <w:rFonts w:ascii="仿宋" w:hAnsi="仿宋" w:eastAsia="仿宋" w:cs="仿宋"/>
          <w:w w:val="95"/>
          <w:sz w:val="24"/>
          <w:szCs w:val="24"/>
          <w:lang w:eastAsia="zh-CN"/>
        </w:rPr>
        <w:t>的分布情况、售后服务人员的数量、素质、技术水平及售后服务</w:t>
      </w:r>
      <w:r>
        <w:rPr>
          <w:rFonts w:ascii="仿宋" w:hAnsi="仿宋" w:eastAsia="仿宋" w:cs="仿宋"/>
          <w:sz w:val="24"/>
          <w:szCs w:val="24"/>
          <w:lang w:eastAsia="zh-CN"/>
        </w:rPr>
        <w:t>的反应能力。</w:t>
      </w:r>
    </w:p>
    <w:p>
      <w:pPr>
        <w:spacing w:line="360" w:lineRule="auto"/>
        <w:jc w:val="both"/>
        <w:rPr>
          <w:rFonts w:ascii="仿宋" w:hAnsi="仿宋" w:eastAsia="仿宋" w:cs="仿宋"/>
          <w:sz w:val="24"/>
          <w:szCs w:val="24"/>
          <w:lang w:eastAsia="zh-CN"/>
        </w:rPr>
      </w:pPr>
      <w:bookmarkStart w:id="51" w:name="15、投标函和开标一览表"/>
      <w:bookmarkEnd w:id="51"/>
      <w:r>
        <w:rPr>
          <w:rFonts w:ascii="仿宋" w:hAnsi="仿宋" w:eastAsia="仿宋" w:cs="仿宋"/>
          <w:sz w:val="24"/>
          <w:szCs w:val="24"/>
          <w:lang w:eastAsia="zh-CN"/>
        </w:rPr>
        <w:t>15、投标函和开标一览表</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15.1</w:t>
      </w:r>
      <w:r>
        <w:rPr>
          <w:rFonts w:ascii="仿宋" w:hAnsi="仿宋" w:eastAsia="仿宋" w:cs="仿宋"/>
          <w:spacing w:val="6"/>
          <w:sz w:val="24"/>
          <w:szCs w:val="24"/>
          <w:lang w:eastAsia="zh-CN"/>
        </w:rPr>
        <w:t>投标人应按照招标文件中提供的格式完整、正确填写</w:t>
      </w:r>
      <w:r>
        <w:rPr>
          <w:rFonts w:ascii="仿宋" w:hAnsi="仿宋" w:eastAsia="仿宋" w:cs="仿宋"/>
          <w:sz w:val="24"/>
          <w:szCs w:val="24"/>
          <w:lang w:eastAsia="zh-CN"/>
        </w:rPr>
        <w:t>投标函、开标一览表。</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15.2</w:t>
      </w:r>
      <w:r>
        <w:rPr>
          <w:rFonts w:ascii="仿宋" w:hAnsi="仿宋" w:eastAsia="仿宋" w:cs="仿宋"/>
          <w:spacing w:val="6"/>
          <w:sz w:val="24"/>
          <w:szCs w:val="24"/>
          <w:lang w:eastAsia="zh-CN"/>
        </w:rPr>
        <w:t>开标一览表中的价格应与投标文件中投标配置与分项</w:t>
      </w:r>
    </w:p>
    <w:p>
      <w:pPr>
        <w:spacing w:line="360" w:lineRule="auto"/>
        <w:jc w:val="both"/>
        <w:rPr>
          <w:rFonts w:ascii="仿宋" w:hAnsi="仿宋" w:eastAsia="仿宋" w:cs="仿宋"/>
          <w:sz w:val="24"/>
          <w:szCs w:val="24"/>
          <w:lang w:eastAsia="zh-CN"/>
        </w:rPr>
      </w:pPr>
      <w:r>
        <w:rPr>
          <w:rFonts w:ascii="仿宋" w:hAnsi="仿宋" w:eastAsia="仿宋" w:cs="仿宋"/>
          <w:w w:val="95"/>
          <w:sz w:val="24"/>
          <w:szCs w:val="24"/>
          <w:lang w:eastAsia="zh-CN"/>
        </w:rPr>
        <w:t>报价表中的价格一致，如不一致，作为无效投标处理，但评标时</w:t>
      </w:r>
      <w:r>
        <w:rPr>
          <w:rFonts w:ascii="仿宋" w:hAnsi="仿宋" w:eastAsia="仿宋" w:cs="仿宋"/>
          <w:sz w:val="24"/>
          <w:szCs w:val="24"/>
          <w:lang w:eastAsia="zh-CN"/>
        </w:rPr>
        <w:t>按开标一览表中价格为准</w:t>
      </w:r>
      <w:r>
        <w:rPr>
          <w:rFonts w:ascii="仿宋" w:hAnsi="仿宋" w:eastAsia="仿宋" w:cs="仿宋"/>
          <w:b/>
          <w:bCs/>
          <w:sz w:val="24"/>
          <w:szCs w:val="24"/>
          <w:lang w:eastAsia="zh-CN"/>
        </w:rPr>
        <w:t>。</w:t>
      </w:r>
    </w:p>
    <w:p>
      <w:pPr>
        <w:spacing w:line="360" w:lineRule="auto"/>
        <w:jc w:val="both"/>
        <w:rPr>
          <w:rFonts w:ascii="仿宋" w:hAnsi="仿宋" w:eastAsia="仿宋" w:cs="仿宋"/>
          <w:sz w:val="24"/>
          <w:szCs w:val="24"/>
          <w:lang w:eastAsia="zh-CN"/>
        </w:rPr>
      </w:pPr>
      <w:bookmarkStart w:id="52" w:name="16、投标保证金"/>
      <w:bookmarkEnd w:id="52"/>
      <w:r>
        <w:rPr>
          <w:rFonts w:ascii="仿宋" w:hAnsi="仿宋" w:eastAsia="仿宋" w:cs="仿宋"/>
          <w:sz w:val="24"/>
          <w:szCs w:val="24"/>
          <w:lang w:eastAsia="zh-CN"/>
        </w:rPr>
        <w:t>16、投标保证金</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16.1</w:t>
      </w:r>
      <w:r>
        <w:rPr>
          <w:rFonts w:ascii="仿宋" w:hAnsi="仿宋" w:eastAsia="仿宋" w:cs="仿宋"/>
          <w:spacing w:val="-4"/>
          <w:sz w:val="24"/>
          <w:szCs w:val="24"/>
          <w:lang w:eastAsia="zh-CN"/>
        </w:rPr>
        <w:t>在开标时，将核查投标供应商投标保证金缴纳情况，未</w:t>
      </w:r>
      <w:r>
        <w:rPr>
          <w:rFonts w:ascii="仿宋" w:hAnsi="仿宋" w:eastAsia="仿宋" w:cs="仿宋"/>
          <w:sz w:val="24"/>
          <w:szCs w:val="24"/>
          <w:lang w:eastAsia="zh-CN"/>
        </w:rPr>
        <w:t>按要求缴纳投标保证金的投标无效。</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16.2</w:t>
      </w:r>
      <w:r>
        <w:rPr>
          <w:rFonts w:ascii="仿宋" w:hAnsi="仿宋" w:eastAsia="仿宋" w:cs="仿宋"/>
          <w:spacing w:val="-4"/>
          <w:sz w:val="24"/>
          <w:szCs w:val="24"/>
          <w:lang w:eastAsia="zh-CN"/>
        </w:rPr>
        <w:t>未中标的投标人的投标保证金，开标结束后</w:t>
      </w:r>
      <w:r>
        <w:rPr>
          <w:rFonts w:hint="eastAsia" w:ascii="仿宋" w:hAnsi="仿宋" w:eastAsia="仿宋" w:cs="仿宋"/>
          <w:spacing w:val="-4"/>
          <w:sz w:val="24"/>
          <w:szCs w:val="24"/>
          <w:lang w:val="en-US" w:eastAsia="zh-CN"/>
        </w:rPr>
        <w:t>5个工作日内退还至</w:t>
      </w:r>
      <w:r>
        <w:rPr>
          <w:rFonts w:ascii="仿宋" w:hAnsi="仿宋" w:eastAsia="仿宋" w:cs="仿宋"/>
          <w:sz w:val="24"/>
          <w:szCs w:val="24"/>
          <w:lang w:eastAsia="zh-CN"/>
        </w:rPr>
        <w:t>原账户。</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16.3中标人的投标保证金，将自动转为履约保证金。</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16.4下列任何情况发生时，投标保证金将不予退还：</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（1）投标人在投标有效期内撤回其投标；</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（2）提供虚假材料谋取中标、成交的；</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（3）采取不正当手段诋毁、排挤其他供应商的；</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（4）与采购人、其他供应商恶意串通的。</w:t>
      </w:r>
    </w:p>
    <w:p>
      <w:pPr>
        <w:spacing w:line="360" w:lineRule="auto"/>
        <w:jc w:val="both"/>
        <w:rPr>
          <w:rFonts w:ascii="仿宋" w:hAnsi="仿宋" w:eastAsia="仿宋" w:cs="仿宋"/>
          <w:sz w:val="24"/>
          <w:szCs w:val="24"/>
          <w:lang w:eastAsia="zh-CN"/>
        </w:rPr>
      </w:pPr>
      <w:bookmarkStart w:id="53" w:name="17、投标有效期"/>
      <w:bookmarkEnd w:id="53"/>
      <w:r>
        <w:rPr>
          <w:rFonts w:ascii="仿宋" w:hAnsi="仿宋" w:eastAsia="仿宋" w:cs="仿宋"/>
          <w:sz w:val="24"/>
          <w:szCs w:val="24"/>
          <w:lang w:eastAsia="zh-CN"/>
        </w:rPr>
        <w:t>17、投标有效期</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17.1</w:t>
      </w:r>
      <w:r>
        <w:rPr>
          <w:rFonts w:ascii="仿宋" w:hAnsi="仿宋" w:eastAsia="仿宋" w:cs="仿宋"/>
          <w:spacing w:val="6"/>
          <w:sz w:val="24"/>
          <w:szCs w:val="24"/>
          <w:highlight w:val="none"/>
          <w:lang w:eastAsia="zh-CN"/>
        </w:rPr>
        <w:t>投标有效期为开标之</w:t>
      </w:r>
      <w:r>
        <w:rPr>
          <w:rFonts w:ascii="仿宋" w:hAnsi="仿宋" w:eastAsia="仿宋" w:cs="仿宋"/>
          <w:sz w:val="24"/>
          <w:szCs w:val="24"/>
          <w:highlight w:val="none"/>
          <w:lang w:eastAsia="zh-CN"/>
        </w:rPr>
        <w:t>日后</w:t>
      </w:r>
      <w:r>
        <w:rPr>
          <w:rFonts w:hint="eastAsia" w:ascii="仿宋" w:hAnsi="仿宋" w:eastAsia="仿宋" w:cs="仿宋"/>
          <w:b/>
          <w:bCs/>
          <w:spacing w:val="3"/>
          <w:sz w:val="24"/>
          <w:szCs w:val="24"/>
          <w:highlight w:val="none"/>
          <w:u w:val="single" w:color="000000"/>
          <w:lang w:val="en-US" w:eastAsia="zh-CN"/>
        </w:rPr>
        <w:t>90</w:t>
      </w:r>
      <w:r>
        <w:rPr>
          <w:rFonts w:ascii="仿宋" w:hAnsi="仿宋" w:eastAsia="仿宋" w:cs="仿宋"/>
          <w:b/>
          <w:bCs/>
          <w:sz w:val="24"/>
          <w:szCs w:val="24"/>
          <w:highlight w:val="none"/>
          <w:u w:val="single" w:color="000000"/>
          <w:lang w:eastAsia="zh-CN"/>
        </w:rPr>
        <w:t>天</w:t>
      </w:r>
      <w:r>
        <w:rPr>
          <w:rFonts w:ascii="仿宋" w:hAnsi="仿宋" w:eastAsia="仿宋" w:cs="仿宋"/>
          <w:sz w:val="24"/>
          <w:szCs w:val="24"/>
          <w:highlight w:val="none"/>
          <w:lang w:eastAsia="zh-CN"/>
        </w:rPr>
        <w:t>。</w:t>
      </w:r>
      <w:r>
        <w:rPr>
          <w:rFonts w:ascii="仿宋" w:hAnsi="仿宋" w:eastAsia="仿宋" w:cs="仿宋"/>
          <w:sz w:val="24"/>
          <w:szCs w:val="24"/>
          <w:lang w:eastAsia="zh-CN"/>
        </w:rPr>
        <w:t>投标有效期比规定短的将被视为非响应性投标而予以拒绝。</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17.2</w:t>
      </w:r>
      <w:r>
        <w:rPr>
          <w:rFonts w:ascii="仿宋" w:hAnsi="仿宋" w:eastAsia="仿宋" w:cs="仿宋"/>
          <w:spacing w:val="6"/>
          <w:sz w:val="24"/>
          <w:szCs w:val="24"/>
          <w:lang w:eastAsia="zh-CN"/>
        </w:rPr>
        <w:t>在特殊情况下，</w:t>
      </w:r>
      <w:r>
        <w:rPr>
          <w:rFonts w:hint="eastAsia" w:ascii="仿宋" w:hAnsi="仿宋" w:eastAsia="仿宋" w:cs="仿宋"/>
          <w:spacing w:val="6"/>
          <w:sz w:val="24"/>
          <w:szCs w:val="24"/>
          <w:lang w:eastAsia="zh-CN"/>
        </w:rPr>
        <w:t>玛纳斯县政务服务和公共资源交易管理中心</w:t>
      </w:r>
      <w:r>
        <w:rPr>
          <w:rFonts w:ascii="仿宋" w:hAnsi="仿宋" w:eastAsia="仿宋" w:cs="仿宋"/>
          <w:spacing w:val="6"/>
          <w:sz w:val="24"/>
          <w:szCs w:val="24"/>
          <w:lang w:eastAsia="zh-CN"/>
        </w:rPr>
        <w:t>于原投标有效期</w:t>
      </w:r>
      <w:r>
        <w:rPr>
          <w:rFonts w:ascii="仿宋" w:hAnsi="仿宋" w:eastAsia="仿宋" w:cs="仿宋"/>
          <w:w w:val="95"/>
          <w:sz w:val="24"/>
          <w:szCs w:val="24"/>
          <w:lang w:eastAsia="zh-CN"/>
        </w:rPr>
        <w:t>满之前，可向投标人提出延长投标有效期的要求。这种要求与答复均应采用书面形式。投标人可以拒绝</w:t>
      </w:r>
      <w:r>
        <w:rPr>
          <w:rFonts w:hint="eastAsia" w:ascii="仿宋" w:hAnsi="仿宋" w:eastAsia="仿宋" w:cs="仿宋"/>
          <w:w w:val="95"/>
          <w:sz w:val="24"/>
          <w:szCs w:val="24"/>
          <w:lang w:eastAsia="zh-CN"/>
        </w:rPr>
        <w:t>玛纳斯县政务服务和公共资源交易管理中心</w:t>
      </w:r>
      <w:r>
        <w:rPr>
          <w:rFonts w:ascii="仿宋" w:hAnsi="仿宋" w:eastAsia="仿宋" w:cs="仿宋"/>
          <w:w w:val="95"/>
          <w:sz w:val="24"/>
          <w:szCs w:val="24"/>
          <w:lang w:eastAsia="zh-CN"/>
        </w:rPr>
        <w:t>的这一要求而放弃投标，</w:t>
      </w:r>
      <w:r>
        <w:rPr>
          <w:rFonts w:hint="eastAsia" w:ascii="仿宋" w:hAnsi="仿宋" w:eastAsia="仿宋" w:cs="仿宋"/>
          <w:w w:val="95"/>
          <w:sz w:val="24"/>
          <w:szCs w:val="24"/>
          <w:lang w:eastAsia="zh-CN"/>
        </w:rPr>
        <w:t>玛纳斯县政务服务和公共资源交易管理中心</w:t>
      </w:r>
      <w:r>
        <w:rPr>
          <w:rFonts w:ascii="仿宋" w:hAnsi="仿宋" w:eastAsia="仿宋" w:cs="仿宋"/>
          <w:w w:val="95"/>
          <w:sz w:val="24"/>
          <w:szCs w:val="24"/>
          <w:lang w:eastAsia="zh-CN"/>
        </w:rPr>
        <w:t>在接到投标人书面答复后，将在原投标有效期满后</w:t>
      </w:r>
      <w:r>
        <w:rPr>
          <w:rFonts w:ascii="仿宋" w:hAnsi="仿宋" w:eastAsia="仿宋" w:cs="仿宋"/>
          <w:b/>
          <w:bCs/>
          <w:w w:val="95"/>
          <w:sz w:val="24"/>
          <w:szCs w:val="24"/>
          <w:lang w:eastAsia="zh-CN"/>
        </w:rPr>
        <w:t>无息退还其投标保证金</w:t>
      </w:r>
      <w:r>
        <w:rPr>
          <w:rFonts w:ascii="仿宋" w:hAnsi="仿宋" w:eastAsia="仿宋" w:cs="仿宋"/>
          <w:w w:val="95"/>
          <w:sz w:val="24"/>
          <w:szCs w:val="24"/>
          <w:lang w:eastAsia="zh-CN"/>
        </w:rPr>
        <w:t>。同意延长投</w:t>
      </w:r>
      <w:r>
        <w:rPr>
          <w:rFonts w:ascii="仿宋" w:hAnsi="仿宋" w:eastAsia="仿宋" w:cs="仿宋"/>
          <w:spacing w:val="6"/>
          <w:sz w:val="24"/>
          <w:szCs w:val="24"/>
          <w:lang w:eastAsia="zh-CN"/>
        </w:rPr>
        <w:t>标有效期的投标人既不能要求也不允许修改其投标文件。第</w:t>
      </w:r>
      <w:r>
        <w:rPr>
          <w:rFonts w:ascii="仿宋" w:hAnsi="仿宋" w:eastAsia="仿宋" w:cs="仿宋"/>
          <w:sz w:val="24"/>
          <w:szCs w:val="24"/>
          <w:lang w:eastAsia="zh-CN"/>
        </w:rPr>
        <w:t>16</w:t>
      </w:r>
      <w:r>
        <w:rPr>
          <w:rFonts w:ascii="仿宋" w:hAnsi="仿宋" w:eastAsia="仿宋" w:cs="仿宋"/>
          <w:w w:val="95"/>
          <w:sz w:val="24"/>
          <w:szCs w:val="24"/>
          <w:lang w:eastAsia="zh-CN"/>
        </w:rPr>
        <w:t>条有关投标保证金的规定在延长期内继续有效，同时受投标有效</w:t>
      </w:r>
      <w:r>
        <w:rPr>
          <w:rFonts w:ascii="仿宋" w:hAnsi="仿宋" w:eastAsia="仿宋" w:cs="仿宋"/>
          <w:sz w:val="24"/>
          <w:szCs w:val="24"/>
          <w:lang w:eastAsia="zh-CN"/>
        </w:rPr>
        <w:t>期约束的所有权利与义务均延长至新的有效期。</w:t>
      </w:r>
    </w:p>
    <w:p>
      <w:pPr>
        <w:spacing w:line="360" w:lineRule="auto"/>
        <w:jc w:val="both"/>
        <w:rPr>
          <w:rFonts w:ascii="仿宋" w:hAnsi="仿宋" w:eastAsia="仿宋" w:cs="仿宋"/>
          <w:sz w:val="24"/>
          <w:szCs w:val="24"/>
          <w:lang w:eastAsia="zh-CN"/>
        </w:rPr>
      </w:pPr>
      <w:bookmarkStart w:id="54" w:name="18、投标文件份数和签署"/>
      <w:bookmarkEnd w:id="54"/>
      <w:r>
        <w:rPr>
          <w:rFonts w:ascii="仿宋" w:hAnsi="仿宋" w:eastAsia="仿宋" w:cs="仿宋"/>
          <w:sz w:val="24"/>
          <w:szCs w:val="24"/>
          <w:lang w:eastAsia="zh-CN"/>
        </w:rPr>
        <w:t>18、投标文件份数和签署</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18.1投标人应严格按照招标公告要求准备投标文件。</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18.2投标文件正本中，除采购文件规定的可提交扫描件外，其他文件均须提供原件（备查），电子文件中的材料需使用清晰可辨认的字体。投标文件须经法定代表人或授权代表签</w:t>
      </w:r>
      <w:r>
        <w:rPr>
          <w:rFonts w:ascii="仿宋" w:hAnsi="仿宋" w:eastAsia="仿宋" w:cs="仿宋"/>
          <w:spacing w:val="-6"/>
          <w:w w:val="95"/>
          <w:sz w:val="24"/>
          <w:szCs w:val="24"/>
          <w:lang w:eastAsia="zh-CN"/>
        </w:rPr>
        <w:t>字或签章和加盖投标人电子公章。本采购文件所表述（指定）</w:t>
      </w:r>
      <w:r>
        <w:rPr>
          <w:rFonts w:ascii="仿宋" w:hAnsi="仿宋" w:eastAsia="仿宋" w:cs="仿宋"/>
          <w:sz w:val="24"/>
          <w:szCs w:val="24"/>
          <w:lang w:eastAsia="zh-CN"/>
        </w:rPr>
        <w:t>的公章是指法定名称章（包括电子签章），不包括合同专用章、业务专用章等印章。</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18.3</w:t>
      </w:r>
      <w:r>
        <w:rPr>
          <w:rFonts w:ascii="仿宋" w:hAnsi="仿宋" w:eastAsia="仿宋" w:cs="仿宋"/>
          <w:spacing w:val="6"/>
          <w:sz w:val="24"/>
          <w:szCs w:val="24"/>
          <w:lang w:eastAsia="zh-CN"/>
        </w:rPr>
        <w:t>除投标人对错处做必要修改外，投标文件不得行间插</w:t>
      </w:r>
      <w:r>
        <w:rPr>
          <w:rFonts w:ascii="仿宋" w:hAnsi="仿宋" w:eastAsia="仿宋" w:cs="仿宋"/>
          <w:w w:val="95"/>
          <w:sz w:val="24"/>
          <w:szCs w:val="24"/>
          <w:lang w:eastAsia="zh-CN"/>
        </w:rPr>
        <w:t>字、涂改或增删。如有修改错漏处，必须由投标文件签署人签字</w:t>
      </w:r>
      <w:r>
        <w:rPr>
          <w:rFonts w:ascii="仿宋" w:hAnsi="仿宋" w:eastAsia="仿宋" w:cs="仿宋"/>
          <w:sz w:val="24"/>
          <w:szCs w:val="24"/>
          <w:lang w:eastAsia="zh-CN"/>
        </w:rPr>
        <w:t>或盖章。</w:t>
      </w:r>
    </w:p>
    <w:p>
      <w:pPr>
        <w:rPr>
          <w:rFonts w:ascii="仿宋" w:hAnsi="仿宋" w:eastAsia="仿宋" w:cs="仿宋"/>
          <w:sz w:val="24"/>
          <w:szCs w:val="24"/>
          <w:lang w:eastAsia="zh-CN"/>
        </w:rPr>
      </w:pPr>
      <w:r>
        <w:rPr>
          <w:rFonts w:ascii="仿宋" w:hAnsi="仿宋" w:eastAsia="仿宋" w:cs="仿宋"/>
          <w:sz w:val="24"/>
          <w:szCs w:val="24"/>
          <w:lang w:eastAsia="zh-CN"/>
        </w:rPr>
        <w:br w:type="page"/>
      </w:r>
    </w:p>
    <w:p>
      <w:pPr>
        <w:pStyle w:val="5"/>
        <w:numPr>
          <w:ilvl w:val="0"/>
          <w:numId w:val="0"/>
        </w:numPr>
        <w:spacing w:before="360" w:after="360"/>
        <w:ind w:left="720" w:hanging="720"/>
        <w:rPr>
          <w:lang w:eastAsia="zh-CN"/>
        </w:rPr>
      </w:pPr>
      <w:bookmarkStart w:id="55" w:name="四、投标文件的递交"/>
      <w:bookmarkEnd w:id="55"/>
      <w:r>
        <w:rPr>
          <w:lang w:eastAsia="zh-CN"/>
        </w:rPr>
        <w:t>四、投标文件的递交</w:t>
      </w:r>
    </w:p>
    <w:p>
      <w:pPr>
        <w:spacing w:line="360" w:lineRule="auto"/>
        <w:jc w:val="both"/>
        <w:rPr>
          <w:rFonts w:ascii="仿宋" w:hAnsi="仿宋" w:eastAsia="仿宋" w:cs="仿宋"/>
          <w:sz w:val="24"/>
          <w:szCs w:val="24"/>
          <w:lang w:eastAsia="zh-CN"/>
        </w:rPr>
      </w:pPr>
      <w:bookmarkStart w:id="56" w:name="19、投标文件的加密和递交"/>
      <w:bookmarkEnd w:id="56"/>
      <w:r>
        <w:rPr>
          <w:rFonts w:ascii="仿宋" w:hAnsi="仿宋" w:eastAsia="仿宋" w:cs="仿宋"/>
          <w:sz w:val="24"/>
          <w:szCs w:val="24"/>
          <w:lang w:eastAsia="zh-CN"/>
        </w:rPr>
        <w:t>19、投标文件的加密和递交</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19.1</w:t>
      </w:r>
      <w:r>
        <w:rPr>
          <w:rFonts w:ascii="仿宋" w:hAnsi="仿宋" w:eastAsia="仿宋" w:cs="仿宋"/>
          <w:spacing w:val="-4"/>
          <w:sz w:val="24"/>
          <w:szCs w:val="24"/>
          <w:lang w:eastAsia="zh-CN"/>
        </w:rPr>
        <w:t>投标人应使用投标制作软件，按要求投递加密后的电子</w:t>
      </w:r>
      <w:r>
        <w:rPr>
          <w:rFonts w:ascii="仿宋" w:hAnsi="仿宋" w:eastAsia="仿宋" w:cs="仿宋"/>
          <w:sz w:val="24"/>
          <w:szCs w:val="24"/>
          <w:lang w:eastAsia="zh-CN"/>
        </w:rPr>
        <w:t>投标文件，并进行电子签名和盖章；</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19.2投标文件应：</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19.2.1</w:t>
      </w:r>
      <w:r>
        <w:rPr>
          <w:rFonts w:ascii="仿宋" w:hAnsi="仿宋" w:eastAsia="仿宋" w:cs="仿宋"/>
          <w:spacing w:val="6"/>
          <w:sz w:val="24"/>
          <w:szCs w:val="24"/>
          <w:lang w:eastAsia="zh-CN"/>
        </w:rPr>
        <w:t>注明投标人名称，如因标注不清而产生的后果由投</w:t>
      </w:r>
      <w:r>
        <w:rPr>
          <w:rFonts w:ascii="仿宋" w:hAnsi="仿宋" w:eastAsia="仿宋" w:cs="仿宋"/>
          <w:w w:val="95"/>
          <w:sz w:val="24"/>
          <w:szCs w:val="24"/>
          <w:lang w:eastAsia="zh-CN"/>
        </w:rPr>
        <w:t>标人自负。投标人应按照招标公告中注明的电子交易平台网址递</w:t>
      </w:r>
      <w:r>
        <w:rPr>
          <w:rFonts w:ascii="仿宋" w:hAnsi="仿宋" w:eastAsia="仿宋" w:cs="仿宋"/>
          <w:sz w:val="24"/>
          <w:szCs w:val="24"/>
          <w:lang w:eastAsia="zh-CN"/>
        </w:rPr>
        <w:t>交投标文件。</w:t>
      </w:r>
    </w:p>
    <w:p>
      <w:pPr>
        <w:tabs>
          <w:tab w:val="left" w:pos="2068"/>
        </w:tabs>
        <w:spacing w:line="360" w:lineRule="auto"/>
        <w:ind w:firstLine="476" w:firstLineChars="200"/>
        <w:jc w:val="both"/>
        <w:rPr>
          <w:rFonts w:ascii="仿宋" w:hAnsi="仿宋" w:eastAsia="仿宋" w:cs="仿宋"/>
          <w:sz w:val="24"/>
          <w:szCs w:val="24"/>
          <w:lang w:eastAsia="zh-CN"/>
        </w:rPr>
      </w:pPr>
      <w:r>
        <w:rPr>
          <w:rFonts w:ascii="仿宋" w:hAnsi="仿宋" w:eastAsia="仿宋" w:cs="仿宋"/>
          <w:spacing w:val="-1"/>
          <w:sz w:val="24"/>
          <w:szCs w:val="24"/>
          <w:lang w:eastAsia="zh-CN"/>
        </w:rPr>
        <w:t>19.2.2</w:t>
      </w:r>
      <w:r>
        <w:rPr>
          <w:rFonts w:ascii="仿宋" w:hAnsi="仿宋" w:eastAsia="仿宋" w:cs="仿宋"/>
          <w:sz w:val="24"/>
          <w:szCs w:val="24"/>
          <w:lang w:eastAsia="zh-CN"/>
        </w:rPr>
        <w:t>注明投标项目名称、项目编号及包号。</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19.2.3未按要求上传电子投标文件，</w:t>
      </w:r>
      <w:r>
        <w:rPr>
          <w:rFonts w:hint="eastAsia" w:ascii="仿宋" w:hAnsi="仿宋" w:eastAsia="仿宋" w:cs="仿宋"/>
          <w:w w:val="95"/>
          <w:sz w:val="24"/>
          <w:szCs w:val="24"/>
          <w:lang w:eastAsia="zh-CN"/>
        </w:rPr>
        <w:t>玛纳斯县政务服务和公共资源交易管理中心</w:t>
      </w:r>
      <w:r>
        <w:rPr>
          <w:rFonts w:ascii="仿宋" w:hAnsi="仿宋" w:eastAsia="仿宋" w:cs="仿宋"/>
          <w:w w:val="95"/>
          <w:sz w:val="24"/>
          <w:szCs w:val="24"/>
          <w:lang w:eastAsia="zh-CN"/>
        </w:rPr>
        <w:t>对误投或过早启封概不负责。对由此造成提前开封的投标文</w:t>
      </w:r>
      <w:r>
        <w:rPr>
          <w:rFonts w:ascii="仿宋" w:hAnsi="仿宋" w:eastAsia="仿宋" w:cs="仿宋"/>
          <w:sz w:val="24"/>
          <w:szCs w:val="24"/>
          <w:lang w:eastAsia="zh-CN"/>
        </w:rPr>
        <w:t>件，</w:t>
      </w:r>
      <w:r>
        <w:rPr>
          <w:rFonts w:hint="eastAsia" w:ascii="仿宋" w:hAnsi="仿宋" w:eastAsia="仿宋" w:cs="仿宋"/>
          <w:w w:val="95"/>
          <w:sz w:val="24"/>
          <w:szCs w:val="24"/>
          <w:lang w:eastAsia="zh-CN"/>
        </w:rPr>
        <w:t>玛纳斯县政务服务和公共资源交易管理中心</w:t>
      </w:r>
      <w:r>
        <w:rPr>
          <w:rFonts w:ascii="仿宋" w:hAnsi="仿宋" w:eastAsia="仿宋" w:cs="仿宋"/>
          <w:sz w:val="24"/>
          <w:szCs w:val="24"/>
          <w:lang w:eastAsia="zh-CN"/>
        </w:rPr>
        <w:t>将予以拒绝，作无效投标处理。</w:t>
      </w:r>
    </w:p>
    <w:p>
      <w:pPr>
        <w:spacing w:line="360" w:lineRule="auto"/>
        <w:jc w:val="both"/>
        <w:rPr>
          <w:rFonts w:ascii="仿宋" w:hAnsi="仿宋" w:eastAsia="仿宋" w:cs="仿宋"/>
          <w:sz w:val="24"/>
          <w:szCs w:val="24"/>
          <w:lang w:eastAsia="zh-CN"/>
        </w:rPr>
      </w:pPr>
      <w:bookmarkStart w:id="57" w:name="20、投标截止日期"/>
      <w:bookmarkEnd w:id="57"/>
      <w:r>
        <w:rPr>
          <w:rFonts w:ascii="仿宋" w:hAnsi="仿宋" w:eastAsia="仿宋" w:cs="仿宋"/>
          <w:sz w:val="24"/>
          <w:szCs w:val="24"/>
          <w:lang w:eastAsia="zh-CN"/>
        </w:rPr>
        <w:t>20、投标截止日期</w:t>
      </w:r>
    </w:p>
    <w:p>
      <w:pPr>
        <w:spacing w:line="360" w:lineRule="auto"/>
        <w:ind w:firstLine="480" w:firstLineChars="200"/>
        <w:jc w:val="both"/>
        <w:rPr>
          <w:rFonts w:ascii="仿宋" w:hAnsi="仿宋" w:eastAsia="仿宋" w:cs="仿宋"/>
          <w:color w:val="auto"/>
          <w:sz w:val="24"/>
          <w:szCs w:val="24"/>
          <w:lang w:eastAsia="zh-CN"/>
        </w:rPr>
      </w:pPr>
      <w:r>
        <w:rPr>
          <w:rFonts w:ascii="仿宋" w:hAnsi="仿宋" w:eastAsia="仿宋" w:cs="仿宋"/>
          <w:color w:val="auto"/>
          <w:sz w:val="24"/>
          <w:szCs w:val="24"/>
          <w:lang w:eastAsia="zh-CN"/>
        </w:rPr>
        <w:t>20.1</w:t>
      </w:r>
      <w:r>
        <w:rPr>
          <w:rFonts w:hint="eastAsia" w:ascii="仿宋" w:hAnsi="仿宋" w:eastAsia="仿宋" w:cs="仿宋"/>
          <w:color w:val="auto"/>
          <w:w w:val="95"/>
          <w:sz w:val="24"/>
          <w:szCs w:val="24"/>
          <w:lang w:eastAsia="zh-CN"/>
        </w:rPr>
        <w:t>玛纳斯县政务服务和公共资源交易管理中心</w:t>
      </w:r>
      <w:r>
        <w:rPr>
          <w:rFonts w:ascii="仿宋" w:hAnsi="仿宋" w:eastAsia="仿宋" w:cs="仿宋"/>
          <w:color w:val="auto"/>
          <w:spacing w:val="6"/>
          <w:sz w:val="24"/>
          <w:szCs w:val="24"/>
          <w:lang w:eastAsia="zh-CN"/>
        </w:rPr>
        <w:t>收到投标文件的时间不得迟</w:t>
      </w:r>
      <w:r>
        <w:rPr>
          <w:rFonts w:ascii="仿宋" w:hAnsi="仿宋" w:eastAsia="仿宋" w:cs="仿宋"/>
          <w:color w:val="auto"/>
          <w:w w:val="95"/>
          <w:sz w:val="24"/>
          <w:szCs w:val="24"/>
          <w:lang w:eastAsia="zh-CN"/>
        </w:rPr>
        <w:t>于招标公告中规定的截止时间（投标截止日期后，系统将自动关闭投标文件递交入口，逾期通过网络上传的投标文件系统将自动</w:t>
      </w:r>
      <w:r>
        <w:rPr>
          <w:rFonts w:ascii="仿宋" w:hAnsi="仿宋" w:eastAsia="仿宋" w:cs="仿宋"/>
          <w:color w:val="auto"/>
          <w:sz w:val="24"/>
          <w:szCs w:val="24"/>
          <w:lang w:eastAsia="zh-CN"/>
        </w:rPr>
        <w:t>拒收,视为放弃参与）。</w:t>
      </w:r>
    </w:p>
    <w:p>
      <w:pPr>
        <w:spacing w:line="360" w:lineRule="auto"/>
        <w:ind w:firstLine="480" w:firstLineChars="200"/>
        <w:jc w:val="both"/>
        <w:rPr>
          <w:rFonts w:ascii="仿宋" w:hAnsi="仿宋" w:eastAsia="仿宋" w:cs="仿宋"/>
          <w:color w:val="auto"/>
          <w:sz w:val="24"/>
          <w:szCs w:val="24"/>
          <w:lang w:eastAsia="zh-CN"/>
        </w:rPr>
      </w:pPr>
      <w:r>
        <w:rPr>
          <w:rFonts w:ascii="仿宋" w:hAnsi="仿宋" w:eastAsia="仿宋" w:cs="仿宋"/>
          <w:color w:val="auto"/>
          <w:sz w:val="24"/>
          <w:szCs w:val="24"/>
          <w:lang w:eastAsia="zh-CN"/>
        </w:rPr>
        <w:t>20.2</w:t>
      </w:r>
      <w:r>
        <w:rPr>
          <w:rFonts w:hint="eastAsia" w:ascii="仿宋" w:hAnsi="仿宋" w:eastAsia="仿宋" w:cs="仿宋"/>
          <w:color w:val="auto"/>
          <w:w w:val="95"/>
          <w:sz w:val="24"/>
          <w:szCs w:val="24"/>
          <w:lang w:eastAsia="zh-CN"/>
        </w:rPr>
        <w:t>玛纳斯县政务服务和公共资源交易管理中心</w:t>
      </w:r>
      <w:r>
        <w:rPr>
          <w:rFonts w:ascii="仿宋" w:hAnsi="仿宋" w:eastAsia="仿宋" w:cs="仿宋"/>
          <w:color w:val="auto"/>
          <w:spacing w:val="6"/>
          <w:sz w:val="24"/>
          <w:szCs w:val="24"/>
          <w:lang w:eastAsia="zh-CN"/>
        </w:rPr>
        <w:t>政府采购可以按照规定，通过修改招标</w:t>
      </w:r>
      <w:r>
        <w:rPr>
          <w:rFonts w:ascii="仿宋" w:hAnsi="仿宋" w:eastAsia="仿宋" w:cs="仿宋"/>
          <w:color w:val="auto"/>
          <w:w w:val="95"/>
          <w:sz w:val="24"/>
          <w:szCs w:val="24"/>
          <w:lang w:eastAsia="zh-CN"/>
        </w:rPr>
        <w:t>文件酌情延长投标截止日期，在此情况下，投标人的所有权利和</w:t>
      </w:r>
      <w:r>
        <w:rPr>
          <w:rFonts w:ascii="仿宋" w:hAnsi="仿宋" w:eastAsia="仿宋" w:cs="仿宋"/>
          <w:color w:val="auto"/>
          <w:spacing w:val="11"/>
          <w:sz w:val="24"/>
          <w:szCs w:val="24"/>
          <w:lang w:eastAsia="zh-CN"/>
        </w:rPr>
        <w:t>义务以及投标人受制的截止日期均应以延长后新的截止日期为</w:t>
      </w:r>
      <w:r>
        <w:rPr>
          <w:rFonts w:ascii="仿宋" w:hAnsi="仿宋" w:eastAsia="仿宋" w:cs="仿宋"/>
          <w:color w:val="auto"/>
          <w:sz w:val="24"/>
          <w:szCs w:val="24"/>
          <w:lang w:eastAsia="zh-CN"/>
        </w:rPr>
        <w:t>准。</w:t>
      </w:r>
    </w:p>
    <w:p>
      <w:pPr>
        <w:spacing w:line="360" w:lineRule="auto"/>
        <w:jc w:val="both"/>
        <w:rPr>
          <w:rFonts w:ascii="仿宋" w:hAnsi="仿宋" w:eastAsia="仿宋" w:cs="仿宋"/>
          <w:color w:val="auto"/>
          <w:sz w:val="24"/>
          <w:szCs w:val="24"/>
          <w:lang w:eastAsia="zh-CN"/>
        </w:rPr>
      </w:pPr>
      <w:bookmarkStart w:id="58" w:name="21、投标文件的递交"/>
      <w:bookmarkEnd w:id="58"/>
      <w:r>
        <w:rPr>
          <w:rFonts w:ascii="仿宋" w:hAnsi="仿宋" w:eastAsia="仿宋" w:cs="仿宋"/>
          <w:color w:val="auto"/>
          <w:sz w:val="24"/>
          <w:szCs w:val="24"/>
          <w:lang w:eastAsia="zh-CN"/>
        </w:rPr>
        <w:t>21、投标文件的递交</w:t>
      </w:r>
    </w:p>
    <w:p>
      <w:pPr>
        <w:spacing w:line="360" w:lineRule="auto"/>
        <w:ind w:firstLine="480" w:firstLineChars="200"/>
        <w:jc w:val="both"/>
        <w:rPr>
          <w:rFonts w:ascii="仿宋" w:hAnsi="仿宋" w:eastAsia="仿宋" w:cs="仿宋"/>
          <w:color w:val="auto"/>
          <w:sz w:val="24"/>
          <w:szCs w:val="24"/>
          <w:lang w:eastAsia="zh-CN"/>
        </w:rPr>
      </w:pPr>
      <w:r>
        <w:rPr>
          <w:rFonts w:ascii="仿宋" w:hAnsi="仿宋" w:eastAsia="仿宋" w:cs="仿宋"/>
          <w:color w:val="auto"/>
          <w:sz w:val="24"/>
          <w:szCs w:val="24"/>
          <w:lang w:eastAsia="zh-CN"/>
        </w:rPr>
        <w:t>21.1</w:t>
      </w:r>
      <w:r>
        <w:rPr>
          <w:rFonts w:hint="eastAsia" w:ascii="仿宋" w:hAnsi="仿宋" w:eastAsia="仿宋" w:cs="仿宋"/>
          <w:color w:val="auto"/>
          <w:w w:val="95"/>
          <w:sz w:val="24"/>
          <w:szCs w:val="24"/>
          <w:lang w:eastAsia="zh-CN"/>
        </w:rPr>
        <w:t>玛纳斯县政务服务和公共资源交易管理中心</w:t>
      </w:r>
      <w:r>
        <w:rPr>
          <w:rFonts w:ascii="仿宋" w:hAnsi="仿宋" w:eastAsia="仿宋" w:cs="仿宋"/>
          <w:color w:val="auto"/>
          <w:spacing w:val="6"/>
          <w:sz w:val="24"/>
          <w:szCs w:val="24"/>
          <w:lang w:eastAsia="zh-CN"/>
        </w:rPr>
        <w:t>采购拒绝接收在其规定的投标截止</w:t>
      </w:r>
      <w:r>
        <w:rPr>
          <w:rFonts w:ascii="仿宋" w:hAnsi="仿宋" w:eastAsia="仿宋" w:cs="仿宋"/>
          <w:color w:val="auto"/>
          <w:sz w:val="24"/>
          <w:szCs w:val="24"/>
          <w:lang w:eastAsia="zh-CN"/>
        </w:rPr>
        <w:t>时间后递交的任何投标文件。</w:t>
      </w:r>
    </w:p>
    <w:p>
      <w:pPr>
        <w:spacing w:line="360" w:lineRule="auto"/>
        <w:jc w:val="both"/>
        <w:rPr>
          <w:rFonts w:ascii="仿宋" w:hAnsi="仿宋" w:eastAsia="仿宋" w:cs="仿宋"/>
          <w:sz w:val="24"/>
          <w:szCs w:val="24"/>
          <w:lang w:eastAsia="zh-CN"/>
        </w:rPr>
      </w:pPr>
      <w:bookmarkStart w:id="59" w:name="22、投标文件的修改和撤回"/>
      <w:bookmarkEnd w:id="59"/>
      <w:r>
        <w:rPr>
          <w:rFonts w:ascii="仿宋" w:hAnsi="仿宋" w:eastAsia="仿宋" w:cs="仿宋"/>
          <w:sz w:val="24"/>
          <w:szCs w:val="24"/>
          <w:lang w:eastAsia="zh-CN"/>
        </w:rPr>
        <w:t>22、投标文件的修改和撤回</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22.1</w:t>
      </w:r>
      <w:r>
        <w:rPr>
          <w:rFonts w:ascii="仿宋" w:hAnsi="仿宋" w:eastAsia="仿宋" w:cs="仿宋"/>
          <w:spacing w:val="6"/>
          <w:sz w:val="24"/>
          <w:szCs w:val="24"/>
          <w:lang w:eastAsia="zh-CN"/>
        </w:rPr>
        <w:t>投标人在投标截止时间前，可以修改或撤回其投标文</w:t>
      </w:r>
      <w:r>
        <w:rPr>
          <w:rFonts w:ascii="仿宋" w:hAnsi="仿宋" w:eastAsia="仿宋" w:cs="仿宋"/>
          <w:sz w:val="24"/>
          <w:szCs w:val="24"/>
          <w:lang w:eastAsia="zh-CN"/>
        </w:rPr>
        <w:t>件，并重新上传修改后的电子加密投标文件到平台中。</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22.2</w:t>
      </w:r>
      <w:r>
        <w:rPr>
          <w:rFonts w:ascii="仿宋" w:hAnsi="仿宋" w:eastAsia="仿宋" w:cs="仿宋"/>
          <w:spacing w:val="6"/>
          <w:sz w:val="24"/>
          <w:szCs w:val="24"/>
          <w:lang w:eastAsia="zh-CN"/>
        </w:rPr>
        <w:t>投标人的修改或撤回文件应按规定应重新生成电子投</w:t>
      </w:r>
      <w:r>
        <w:rPr>
          <w:rFonts w:ascii="仿宋" w:hAnsi="仿宋" w:eastAsia="仿宋" w:cs="仿宋"/>
          <w:w w:val="95"/>
          <w:sz w:val="24"/>
          <w:szCs w:val="24"/>
          <w:lang w:eastAsia="zh-CN"/>
        </w:rPr>
        <w:t>标文件，并对修改后的页面进行电子签字或签章，将重新生成的加密电子投标文件重新上传至平台</w:t>
      </w:r>
      <w:r>
        <w:rPr>
          <w:rFonts w:ascii="仿宋" w:hAnsi="仿宋" w:eastAsia="仿宋" w:cs="仿宋"/>
          <w:sz w:val="24"/>
          <w:szCs w:val="24"/>
          <w:lang w:eastAsia="zh-CN"/>
        </w:rPr>
        <w:t>。</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22.3</w:t>
      </w:r>
      <w:r>
        <w:rPr>
          <w:rFonts w:ascii="仿宋" w:hAnsi="仿宋" w:eastAsia="仿宋" w:cs="仿宋"/>
          <w:spacing w:val="6"/>
          <w:sz w:val="24"/>
          <w:szCs w:val="24"/>
          <w:lang w:eastAsia="zh-CN"/>
        </w:rPr>
        <w:t>在投标截止时间之后，投标人不得对其投标文件作任</w:t>
      </w:r>
      <w:r>
        <w:rPr>
          <w:rFonts w:ascii="仿宋" w:hAnsi="仿宋" w:eastAsia="仿宋" w:cs="仿宋"/>
          <w:sz w:val="24"/>
          <w:szCs w:val="24"/>
          <w:lang w:eastAsia="zh-CN"/>
        </w:rPr>
        <w:t>何修改。</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22.4</w:t>
      </w:r>
      <w:r>
        <w:rPr>
          <w:rFonts w:ascii="仿宋" w:hAnsi="仿宋" w:eastAsia="仿宋" w:cs="仿宋"/>
          <w:spacing w:val="6"/>
          <w:sz w:val="24"/>
          <w:szCs w:val="24"/>
          <w:lang w:eastAsia="zh-CN"/>
        </w:rPr>
        <w:t>在投标截止时间至招标文件中规定的投标有效期满之</w:t>
      </w:r>
      <w:r>
        <w:rPr>
          <w:rFonts w:ascii="仿宋" w:hAnsi="仿宋" w:eastAsia="仿宋" w:cs="仿宋"/>
          <w:w w:val="95"/>
          <w:sz w:val="24"/>
          <w:szCs w:val="24"/>
          <w:lang w:eastAsia="zh-CN"/>
        </w:rPr>
        <w:t>间的这段时间内，投标人不得撤回其投标，否则其投标保证金将</w:t>
      </w:r>
      <w:r>
        <w:rPr>
          <w:rFonts w:ascii="仿宋" w:hAnsi="仿宋" w:eastAsia="仿宋" w:cs="仿宋"/>
          <w:sz w:val="24"/>
          <w:szCs w:val="24"/>
          <w:lang w:eastAsia="zh-CN"/>
        </w:rPr>
        <w:t>不予退还。</w:t>
      </w:r>
      <w:r>
        <w:rPr>
          <w:rFonts w:ascii="仿宋" w:hAnsi="仿宋" w:eastAsia="仿宋" w:cs="仿宋"/>
          <w:sz w:val="24"/>
          <w:szCs w:val="24"/>
          <w:lang w:eastAsia="zh-CN"/>
        </w:rPr>
        <w:br w:type="page"/>
      </w:r>
    </w:p>
    <w:p>
      <w:pPr>
        <w:pStyle w:val="5"/>
        <w:numPr>
          <w:ilvl w:val="0"/>
          <w:numId w:val="0"/>
        </w:numPr>
        <w:spacing w:before="360" w:after="360"/>
        <w:ind w:left="720" w:hanging="720"/>
        <w:rPr>
          <w:lang w:eastAsia="zh-CN"/>
        </w:rPr>
      </w:pPr>
      <w:r>
        <w:rPr>
          <w:lang w:eastAsia="zh-CN"/>
        </w:rPr>
        <w:t>五、开标与评标</w:t>
      </w:r>
    </w:p>
    <w:p>
      <w:pPr>
        <w:spacing w:line="360" w:lineRule="auto"/>
        <w:jc w:val="both"/>
        <w:rPr>
          <w:rFonts w:ascii="仿宋" w:hAnsi="仿宋" w:eastAsia="仿宋" w:cs="仿宋"/>
          <w:w w:val="95"/>
          <w:sz w:val="24"/>
          <w:szCs w:val="24"/>
          <w:lang w:eastAsia="zh-CN"/>
        </w:rPr>
      </w:pPr>
      <w:bookmarkStart w:id="60" w:name="五、开标与评标"/>
      <w:bookmarkEnd w:id="60"/>
      <w:bookmarkStart w:id="61" w:name="23、开标"/>
      <w:bookmarkEnd w:id="61"/>
      <w:r>
        <w:rPr>
          <w:rFonts w:ascii="仿宋" w:hAnsi="仿宋" w:eastAsia="仿宋" w:cs="仿宋"/>
          <w:w w:val="95"/>
          <w:sz w:val="24"/>
          <w:szCs w:val="24"/>
          <w:lang w:eastAsia="zh-CN"/>
        </w:rPr>
        <w:t>23、开标</w:t>
      </w:r>
    </w:p>
    <w:p>
      <w:pPr>
        <w:spacing w:line="360" w:lineRule="auto"/>
        <w:ind w:firstLine="456" w:firstLineChars="200"/>
        <w:jc w:val="both"/>
        <w:rPr>
          <w:rFonts w:ascii="仿宋" w:hAnsi="仿宋" w:eastAsia="仿宋" w:cs="仿宋"/>
          <w:sz w:val="24"/>
          <w:szCs w:val="24"/>
          <w:lang w:eastAsia="zh-CN"/>
        </w:rPr>
      </w:pPr>
      <w:r>
        <w:rPr>
          <w:rFonts w:ascii="仿宋" w:hAnsi="仿宋" w:eastAsia="仿宋" w:cs="仿宋"/>
          <w:w w:val="95"/>
          <w:sz w:val="24"/>
          <w:szCs w:val="24"/>
          <w:lang w:eastAsia="zh-CN"/>
        </w:rPr>
        <w:t>23.1</w:t>
      </w:r>
      <w:r>
        <w:rPr>
          <w:rFonts w:hint="eastAsia" w:ascii="仿宋" w:hAnsi="仿宋" w:eastAsia="仿宋" w:cs="仿宋"/>
          <w:sz w:val="24"/>
          <w:szCs w:val="24"/>
          <w:lang w:eastAsia="zh-CN"/>
        </w:rPr>
        <w:t>招标代理机构将在规定的时间和地点进行开标，投标投标人无需到场，但应按照招标文件要求按时参与网上投标文件解密。（本项目实行网上投标，采用电子投标文件。若投标人参与投标，自行承担投标一切费用；各投标人应在开标前应确保成为新疆政府采购网正式注册入库投标人，并完成CA数字证书申领。因未注册入库、未办理CA数字证书等原因造成无法投标或投标失败等后果由投标人自行承担；投标人将新疆政府采购电子交易客户端下载、安装完成后，可通过账号密码或CA登录客户端进行投标文件制作。在使用新疆政府采购投标客户端时，建议使用WIN7及以上操作系统。客户端请至新疆政府采购网（http://www.ccgp-xinjiang.gov.cn/）下载专区查看，如有问题可拨打新疆政府采购客户服务热线95763进行咨询。）</w:t>
      </w:r>
      <w:r>
        <w:rPr>
          <w:rFonts w:ascii="仿宋" w:hAnsi="仿宋" w:eastAsia="仿宋" w:cs="仿宋"/>
          <w:sz w:val="24"/>
          <w:szCs w:val="24"/>
          <w:lang w:eastAsia="zh-CN"/>
        </w:rPr>
        <w:t>。</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23.2</w:t>
      </w:r>
      <w:r>
        <w:rPr>
          <w:rFonts w:hint="eastAsia" w:ascii="仿宋" w:hAnsi="仿宋" w:eastAsia="仿宋" w:cs="仿宋"/>
          <w:sz w:val="24"/>
          <w:szCs w:val="24"/>
          <w:lang w:eastAsia="zh-CN"/>
        </w:rPr>
        <w:t>招标工作人员按招标公告规定的时间进行开标，由采购人或者采购代理机构工作人员宣布投标人名称、解密情况，投标价格和招标文件规定的需要宣布的其他内容（以开标一览表要求为准）</w:t>
      </w:r>
      <w:r>
        <w:rPr>
          <w:rFonts w:ascii="仿宋" w:hAnsi="仿宋" w:eastAsia="仿宋" w:cs="仿宋"/>
          <w:sz w:val="24"/>
          <w:szCs w:val="24"/>
          <w:lang w:eastAsia="zh-CN"/>
        </w:rPr>
        <w:t>。</w:t>
      </w:r>
    </w:p>
    <w:p>
      <w:pPr>
        <w:spacing w:line="360" w:lineRule="auto"/>
        <w:ind w:firstLine="480" w:firstLineChars="200"/>
        <w:jc w:val="both"/>
        <w:rPr>
          <w:rFonts w:ascii="仿宋" w:hAnsi="仿宋" w:eastAsia="仿宋" w:cs="仿宋"/>
          <w:color w:val="FF0000"/>
          <w:sz w:val="24"/>
          <w:szCs w:val="24"/>
          <w:lang w:eastAsia="zh-CN"/>
        </w:rPr>
      </w:pPr>
      <w:r>
        <w:rPr>
          <w:rFonts w:ascii="仿宋" w:hAnsi="仿宋" w:eastAsia="仿宋" w:cs="仿宋"/>
          <w:sz w:val="24"/>
          <w:szCs w:val="24"/>
          <w:lang w:eastAsia="zh-CN"/>
        </w:rPr>
        <w:t>23.3</w:t>
      </w:r>
      <w:r>
        <w:rPr>
          <w:rFonts w:hint="eastAsia" w:ascii="仿宋" w:hAnsi="仿宋" w:eastAsia="仿宋" w:cs="仿宋"/>
          <w:sz w:val="24"/>
          <w:szCs w:val="24"/>
          <w:lang w:eastAsia="zh-CN"/>
        </w:rPr>
        <w:t>投标截止时间后，投标人不足须知前附表中约定的有效投标人家数的，不得开标。同时，本次采购活动结束。</w:t>
      </w:r>
    </w:p>
    <w:p>
      <w:pPr>
        <w:spacing w:line="360" w:lineRule="auto"/>
        <w:ind w:firstLine="482" w:firstLineChars="200"/>
        <w:jc w:val="both"/>
        <w:rPr>
          <w:rFonts w:ascii="仿宋" w:hAnsi="仿宋" w:eastAsia="仿宋" w:cs="仿宋"/>
          <w:sz w:val="24"/>
          <w:szCs w:val="24"/>
          <w:lang w:eastAsia="zh-CN"/>
        </w:rPr>
      </w:pPr>
      <w:r>
        <w:rPr>
          <w:rFonts w:ascii="仿宋" w:hAnsi="仿宋" w:eastAsia="仿宋" w:cs="仿宋"/>
          <w:b/>
          <w:bCs/>
          <w:sz w:val="24"/>
          <w:szCs w:val="24"/>
          <w:lang w:eastAsia="zh-CN"/>
        </w:rPr>
        <w:t>23.</w:t>
      </w:r>
      <w:r>
        <w:rPr>
          <w:rFonts w:hint="eastAsia" w:ascii="仿宋" w:hAnsi="仿宋" w:eastAsia="仿宋" w:cs="仿宋"/>
          <w:b/>
          <w:bCs/>
          <w:sz w:val="24"/>
          <w:szCs w:val="24"/>
          <w:lang w:val="en-US" w:eastAsia="zh-CN"/>
        </w:rPr>
        <w:t>4</w:t>
      </w:r>
      <w:r>
        <w:rPr>
          <w:rFonts w:ascii="仿宋" w:hAnsi="仿宋" w:eastAsia="仿宋" w:cs="仿宋"/>
          <w:b/>
          <w:bCs/>
          <w:spacing w:val="6"/>
          <w:sz w:val="24"/>
          <w:szCs w:val="24"/>
          <w:u w:val="single" w:color="000000"/>
          <w:lang w:eastAsia="zh-CN"/>
        </w:rPr>
        <w:t>投标人在报价时不允许采用选择性报价，否则将被视</w:t>
      </w:r>
      <w:r>
        <w:rPr>
          <w:rFonts w:ascii="仿宋" w:hAnsi="仿宋" w:eastAsia="仿宋" w:cs="仿宋"/>
          <w:b/>
          <w:bCs/>
          <w:spacing w:val="2"/>
          <w:sz w:val="24"/>
          <w:szCs w:val="24"/>
          <w:u w:val="single" w:color="000000"/>
          <w:lang w:eastAsia="zh-CN"/>
        </w:rPr>
        <w:t>为无效投标。</w:t>
      </w:r>
    </w:p>
    <w:p>
      <w:pPr>
        <w:spacing w:line="360" w:lineRule="auto"/>
        <w:jc w:val="both"/>
        <w:rPr>
          <w:rFonts w:ascii="仿宋" w:hAnsi="仿宋" w:eastAsia="仿宋" w:cs="仿宋"/>
          <w:sz w:val="24"/>
          <w:szCs w:val="24"/>
          <w:lang w:eastAsia="zh-CN"/>
        </w:rPr>
      </w:pPr>
      <w:bookmarkStart w:id="62" w:name="24、评标委员会"/>
      <w:bookmarkEnd w:id="62"/>
      <w:r>
        <w:rPr>
          <w:rFonts w:ascii="仿宋" w:hAnsi="仿宋" w:eastAsia="仿宋" w:cs="仿宋"/>
          <w:sz w:val="24"/>
          <w:szCs w:val="24"/>
          <w:lang w:eastAsia="zh-CN"/>
        </w:rPr>
        <w:t>24、评标委员会</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color w:val="auto"/>
          <w:sz w:val="24"/>
          <w:szCs w:val="24"/>
          <w:lang w:eastAsia="zh-CN"/>
        </w:rPr>
        <w:t>24.1</w:t>
      </w:r>
      <w:r>
        <w:rPr>
          <w:rFonts w:hint="eastAsia" w:ascii="仿宋" w:hAnsi="仿宋" w:eastAsia="仿宋" w:cs="仿宋"/>
          <w:color w:val="auto"/>
          <w:sz w:val="24"/>
          <w:szCs w:val="24"/>
          <w:lang w:eastAsia="zh-CN"/>
        </w:rPr>
        <w:t>本项目评标委员会由评审专家</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lang w:eastAsia="zh-CN"/>
        </w:rPr>
        <w:t>人组成，</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名业主代表，</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lang w:eastAsia="zh-CN"/>
        </w:rPr>
        <w:t>名专家；</w:t>
      </w:r>
      <w:r>
        <w:rPr>
          <w:rFonts w:hint="eastAsia" w:ascii="仿宋" w:hAnsi="仿宋" w:eastAsia="仿宋" w:cs="仿宋"/>
          <w:sz w:val="24"/>
          <w:szCs w:val="24"/>
          <w:lang w:eastAsia="zh-CN"/>
        </w:rPr>
        <w:t>专家由招标代理机构在开标前48小时在新疆政府采购专家中随机抽取。其中熟悉相关技术方面的专家不得少于成员总数的三之二。并对投标文件进行审查、评估和比较，并做出授予合同的建议</w:t>
      </w:r>
      <w:r>
        <w:rPr>
          <w:rFonts w:ascii="仿宋" w:hAnsi="仿宋" w:eastAsia="仿宋" w:cs="仿宋"/>
          <w:sz w:val="24"/>
          <w:szCs w:val="24"/>
          <w:lang w:eastAsia="zh-CN"/>
        </w:rPr>
        <w:t>。</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24.2评委会由采购人代表和有关技术、经济等方面的专家组成，且人员构成符合政府采购有关规定。</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24.3评委会独立工作，负责评审所有投标文件并确定中标侯选人。</w:t>
      </w:r>
    </w:p>
    <w:p>
      <w:pPr>
        <w:spacing w:line="360" w:lineRule="auto"/>
        <w:jc w:val="both"/>
        <w:rPr>
          <w:rFonts w:ascii="仿宋" w:hAnsi="仿宋" w:eastAsia="仿宋" w:cs="仿宋"/>
          <w:sz w:val="24"/>
          <w:szCs w:val="24"/>
          <w:lang w:eastAsia="zh-CN"/>
        </w:rPr>
      </w:pPr>
      <w:bookmarkStart w:id="63" w:name="25．评标过程的保密与公正"/>
      <w:bookmarkEnd w:id="63"/>
      <w:r>
        <w:rPr>
          <w:rFonts w:ascii="仿宋" w:hAnsi="仿宋" w:eastAsia="仿宋" w:cs="仿宋"/>
          <w:sz w:val="24"/>
          <w:szCs w:val="24"/>
          <w:lang w:eastAsia="zh-CN"/>
        </w:rPr>
        <w:t>25．评标过程的保密与公正</w:t>
      </w:r>
    </w:p>
    <w:p>
      <w:pPr>
        <w:tabs>
          <w:tab w:val="left" w:pos="3501"/>
        </w:tabs>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25.1</w:t>
      </w:r>
      <w:r>
        <w:rPr>
          <w:rFonts w:ascii="仿宋" w:hAnsi="仿宋" w:eastAsia="仿宋" w:cs="仿宋"/>
          <w:spacing w:val="-4"/>
          <w:sz w:val="24"/>
          <w:szCs w:val="24"/>
          <w:lang w:eastAsia="zh-CN"/>
        </w:rPr>
        <w:t>公开开标后，直至向中标的投标人授予合同时止，凡是</w:t>
      </w:r>
      <w:r>
        <w:rPr>
          <w:rFonts w:ascii="仿宋" w:hAnsi="仿宋" w:eastAsia="仿宋" w:cs="仿宋"/>
          <w:spacing w:val="-19"/>
          <w:sz w:val="24"/>
          <w:szCs w:val="24"/>
          <w:lang w:eastAsia="zh-CN"/>
        </w:rPr>
        <w:t>与审查、澄清、评价</w:t>
      </w:r>
      <w:r>
        <w:rPr>
          <w:rFonts w:ascii="仿宋" w:hAnsi="仿宋" w:eastAsia="仿宋" w:cs="仿宋"/>
          <w:w w:val="95"/>
          <w:sz w:val="24"/>
          <w:szCs w:val="24"/>
          <w:lang w:eastAsia="zh-CN"/>
        </w:rPr>
        <w:t>和比较投标的有关资料以及授标建议等，</w:t>
      </w:r>
      <w:r>
        <w:rPr>
          <w:rFonts w:ascii="仿宋" w:hAnsi="仿宋" w:eastAsia="仿宋" w:cs="仿宋"/>
          <w:sz w:val="24"/>
          <w:szCs w:val="24"/>
          <w:lang w:eastAsia="zh-CN"/>
        </w:rPr>
        <w:t>采购人、评委、</w:t>
      </w:r>
      <w:r>
        <w:rPr>
          <w:rFonts w:hint="eastAsia" w:ascii="仿宋" w:hAnsi="仿宋" w:eastAsia="仿宋" w:cs="仿宋"/>
          <w:w w:val="95"/>
          <w:sz w:val="24"/>
          <w:szCs w:val="24"/>
          <w:lang w:eastAsia="zh-CN"/>
        </w:rPr>
        <w:t>玛纳斯县政务服务和公共资源交易管理中心和采购人</w:t>
      </w:r>
      <w:r>
        <w:rPr>
          <w:rFonts w:ascii="仿宋" w:hAnsi="仿宋" w:eastAsia="仿宋" w:cs="仿宋"/>
          <w:sz w:val="24"/>
          <w:szCs w:val="24"/>
          <w:lang w:eastAsia="zh-CN"/>
        </w:rPr>
        <w:t>均不得向投标人或与评标无关的其他人员透露。</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25.2在评标过程中，投标人不得以任何行为影响评标过程，否则其投标文件将被作为无效投标文件。</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25.3</w:t>
      </w:r>
      <w:r>
        <w:rPr>
          <w:rFonts w:ascii="仿宋" w:hAnsi="仿宋" w:eastAsia="仿宋" w:cs="仿宋"/>
          <w:spacing w:val="-4"/>
          <w:sz w:val="24"/>
          <w:szCs w:val="24"/>
          <w:lang w:eastAsia="zh-CN"/>
        </w:rPr>
        <w:t>在评标期间，</w:t>
      </w:r>
      <w:r>
        <w:rPr>
          <w:rFonts w:hint="eastAsia" w:ascii="仿宋" w:hAnsi="仿宋" w:eastAsia="仿宋" w:cs="仿宋"/>
          <w:w w:val="95"/>
          <w:sz w:val="24"/>
          <w:szCs w:val="24"/>
          <w:lang w:eastAsia="zh-CN"/>
        </w:rPr>
        <w:t>玛纳斯县政务服务和公共资源交易管理中心</w:t>
      </w:r>
      <w:r>
        <w:rPr>
          <w:rFonts w:ascii="仿宋" w:hAnsi="仿宋" w:eastAsia="仿宋" w:cs="仿宋"/>
          <w:spacing w:val="-4"/>
          <w:sz w:val="24"/>
          <w:szCs w:val="24"/>
          <w:lang w:eastAsia="zh-CN"/>
        </w:rPr>
        <w:t>将设专门人员与投</w:t>
      </w:r>
      <w:r>
        <w:rPr>
          <w:rFonts w:ascii="仿宋" w:hAnsi="仿宋" w:eastAsia="仿宋" w:cs="仿宋"/>
          <w:sz w:val="24"/>
          <w:szCs w:val="24"/>
          <w:lang w:eastAsia="zh-CN"/>
        </w:rPr>
        <w:t>标人联系。</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25.4</w:t>
      </w:r>
      <w:r>
        <w:rPr>
          <w:rFonts w:hint="eastAsia" w:ascii="仿宋" w:hAnsi="仿宋" w:eastAsia="仿宋" w:cs="仿宋"/>
          <w:w w:val="95"/>
          <w:sz w:val="24"/>
          <w:szCs w:val="24"/>
          <w:lang w:eastAsia="zh-CN"/>
        </w:rPr>
        <w:t>玛纳斯县政务服务和公共资源交易管理中心</w:t>
      </w:r>
      <w:r>
        <w:rPr>
          <w:rFonts w:ascii="仿宋" w:hAnsi="仿宋" w:eastAsia="仿宋" w:cs="仿宋"/>
          <w:spacing w:val="6"/>
          <w:sz w:val="24"/>
          <w:szCs w:val="24"/>
          <w:lang w:eastAsia="zh-CN"/>
        </w:rPr>
        <w:t>和评标委员会不向落标的投标</w:t>
      </w:r>
      <w:r>
        <w:rPr>
          <w:rFonts w:ascii="仿宋" w:hAnsi="仿宋" w:eastAsia="仿宋" w:cs="仿宋"/>
          <w:sz w:val="24"/>
          <w:szCs w:val="24"/>
          <w:lang w:eastAsia="zh-CN"/>
        </w:rPr>
        <w:t>人解释未中标原因，也不公布评标过程中的相关细节。</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25.5</w:t>
      </w:r>
      <w:r>
        <w:rPr>
          <w:rFonts w:ascii="仿宋" w:hAnsi="仿宋" w:eastAsia="仿宋" w:cs="仿宋"/>
          <w:spacing w:val="6"/>
          <w:sz w:val="24"/>
          <w:szCs w:val="24"/>
          <w:lang w:eastAsia="zh-CN"/>
        </w:rPr>
        <w:t>采用综合评分法的项目，未中标的投标人如需了解自</w:t>
      </w:r>
      <w:r>
        <w:rPr>
          <w:rFonts w:ascii="仿宋" w:hAnsi="仿宋" w:eastAsia="仿宋" w:cs="仿宋"/>
          <w:sz w:val="24"/>
          <w:szCs w:val="24"/>
          <w:lang w:eastAsia="zh-CN"/>
        </w:rPr>
        <w:t>己的评审得分及排序情况，可于中标结果公告期限届满之日起7</w:t>
      </w:r>
      <w:r>
        <w:rPr>
          <w:rFonts w:ascii="仿宋" w:hAnsi="仿宋" w:eastAsia="仿宋" w:cs="仿宋"/>
          <w:w w:val="95"/>
          <w:sz w:val="24"/>
          <w:szCs w:val="24"/>
          <w:lang w:eastAsia="zh-CN"/>
        </w:rPr>
        <w:t>个工作日内，由其法定代表人或授权代表携带本人有效身份证件</w:t>
      </w:r>
      <w:r>
        <w:rPr>
          <w:rFonts w:ascii="仿宋" w:hAnsi="仿宋" w:eastAsia="仿宋" w:cs="仿宋"/>
          <w:sz w:val="24"/>
          <w:szCs w:val="24"/>
          <w:lang w:eastAsia="zh-CN"/>
        </w:rPr>
        <w:t>到</w:t>
      </w:r>
      <w:r>
        <w:rPr>
          <w:rFonts w:hint="eastAsia" w:ascii="仿宋" w:hAnsi="仿宋" w:eastAsia="仿宋" w:cs="仿宋"/>
          <w:w w:val="95"/>
          <w:sz w:val="24"/>
          <w:szCs w:val="24"/>
          <w:lang w:eastAsia="zh-CN"/>
        </w:rPr>
        <w:t>玛纳斯县政务服务和公共资源交易管理中心</w:t>
      </w:r>
      <w:r>
        <w:rPr>
          <w:rFonts w:ascii="仿宋" w:hAnsi="仿宋" w:eastAsia="仿宋" w:cs="仿宋"/>
          <w:sz w:val="24"/>
          <w:szCs w:val="24"/>
          <w:lang w:eastAsia="zh-CN"/>
        </w:rPr>
        <w:t>登记查询，逾期将不予受理。</w:t>
      </w:r>
    </w:p>
    <w:p>
      <w:pPr>
        <w:spacing w:line="360" w:lineRule="auto"/>
        <w:ind w:firstLine="480" w:firstLineChars="200"/>
        <w:jc w:val="both"/>
        <w:rPr>
          <w:rFonts w:ascii="仿宋" w:hAnsi="仿宋" w:eastAsia="仿宋" w:cs="仿宋"/>
          <w:sz w:val="24"/>
          <w:szCs w:val="24"/>
          <w:lang w:eastAsia="zh-CN"/>
        </w:rPr>
      </w:pPr>
      <w:bookmarkStart w:id="64" w:name="26．投标的澄清"/>
      <w:bookmarkEnd w:id="64"/>
      <w:r>
        <w:rPr>
          <w:rFonts w:ascii="仿宋" w:hAnsi="仿宋" w:eastAsia="仿宋" w:cs="仿宋"/>
          <w:sz w:val="24"/>
          <w:szCs w:val="24"/>
          <w:lang w:eastAsia="zh-CN"/>
        </w:rPr>
        <w:t>26．投标的澄清</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26.1评标期间，为有助于对投标文件的审查、评价和比较，评委会有权以书面形式要求投标人对其投标文件进行澄清，但并非对每个投标人都作澄清要求。</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26.2</w:t>
      </w:r>
      <w:r>
        <w:rPr>
          <w:rFonts w:ascii="仿宋" w:hAnsi="仿宋" w:eastAsia="仿宋" w:cs="仿宋"/>
          <w:spacing w:val="6"/>
          <w:sz w:val="24"/>
          <w:szCs w:val="24"/>
          <w:lang w:eastAsia="zh-CN"/>
        </w:rPr>
        <w:t>接到评委会澄清要求的投标人应派人按评委会通知的</w:t>
      </w:r>
      <w:r>
        <w:rPr>
          <w:rFonts w:ascii="仿宋" w:hAnsi="仿宋" w:eastAsia="仿宋" w:cs="仿宋"/>
          <w:w w:val="95"/>
          <w:sz w:val="24"/>
          <w:szCs w:val="24"/>
          <w:lang w:eastAsia="zh-CN"/>
        </w:rPr>
        <w:t>时间和地点做出书面澄清，书面澄清的内容须由投标人法人或授权代表签署，并作为投标文件的补充部分，但投标的价</w:t>
      </w:r>
      <w:r>
        <w:rPr>
          <w:rFonts w:ascii="仿宋" w:hAnsi="仿宋" w:eastAsia="仿宋" w:cs="仿宋"/>
          <w:sz w:val="24"/>
          <w:szCs w:val="24"/>
          <w:lang w:eastAsia="zh-CN"/>
        </w:rPr>
        <w:t>格和实质性的内容不得做任何更改。</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26.3</w:t>
      </w:r>
      <w:r>
        <w:rPr>
          <w:rFonts w:ascii="仿宋" w:hAnsi="仿宋" w:eastAsia="仿宋" w:cs="仿宋"/>
          <w:spacing w:val="6"/>
          <w:sz w:val="24"/>
          <w:szCs w:val="24"/>
          <w:lang w:eastAsia="zh-CN"/>
        </w:rPr>
        <w:t>接到评委会澄清要求的投标人如未按规定做出澄清，</w:t>
      </w:r>
      <w:r>
        <w:rPr>
          <w:rFonts w:ascii="仿宋" w:hAnsi="仿宋" w:eastAsia="仿宋" w:cs="仿宋"/>
          <w:sz w:val="24"/>
          <w:szCs w:val="24"/>
          <w:lang w:eastAsia="zh-CN"/>
        </w:rPr>
        <w:t>其风险由投标人自行承担。</w:t>
      </w:r>
    </w:p>
    <w:p>
      <w:pPr>
        <w:spacing w:line="360" w:lineRule="auto"/>
        <w:jc w:val="both"/>
        <w:rPr>
          <w:rFonts w:ascii="仿宋" w:hAnsi="仿宋" w:eastAsia="仿宋" w:cs="仿宋"/>
          <w:sz w:val="24"/>
          <w:szCs w:val="24"/>
          <w:highlight w:val="none"/>
          <w:lang w:eastAsia="zh-CN"/>
        </w:rPr>
      </w:pPr>
      <w:bookmarkStart w:id="65" w:name="27、对投标文件的初审"/>
      <w:bookmarkEnd w:id="65"/>
      <w:r>
        <w:rPr>
          <w:rFonts w:ascii="仿宋" w:hAnsi="仿宋" w:eastAsia="仿宋" w:cs="仿宋"/>
          <w:sz w:val="24"/>
          <w:szCs w:val="24"/>
          <w:highlight w:val="none"/>
          <w:lang w:eastAsia="zh-CN"/>
        </w:rPr>
        <w:t>27、对投标文件的初审</w:t>
      </w:r>
    </w:p>
    <w:p>
      <w:pPr>
        <w:spacing w:line="360" w:lineRule="auto"/>
        <w:ind w:firstLine="480" w:firstLineChars="200"/>
        <w:jc w:val="both"/>
        <w:rPr>
          <w:rFonts w:ascii="仿宋" w:hAnsi="仿宋" w:eastAsia="仿宋" w:cs="仿宋"/>
          <w:sz w:val="24"/>
          <w:szCs w:val="24"/>
          <w:highlight w:val="none"/>
          <w:lang w:eastAsia="zh-CN"/>
        </w:rPr>
      </w:pPr>
      <w:r>
        <w:rPr>
          <w:rFonts w:ascii="仿宋" w:hAnsi="仿宋" w:eastAsia="仿宋" w:cs="仿宋"/>
          <w:sz w:val="24"/>
          <w:szCs w:val="24"/>
          <w:highlight w:val="none"/>
          <w:lang w:eastAsia="zh-CN"/>
        </w:rPr>
        <w:t>27.1投标文件初审分为资格审查和符合性审查。</w:t>
      </w:r>
    </w:p>
    <w:p>
      <w:pPr>
        <w:pStyle w:val="18"/>
        <w:keepNext w:val="0"/>
        <w:keepLines w:val="0"/>
        <w:pageBreakBefore w:val="0"/>
        <w:widowControl w:val="0"/>
        <w:kinsoku/>
        <w:wordWrap/>
        <w:overflowPunct/>
        <w:topLinePunct w:val="0"/>
        <w:autoSpaceDE/>
        <w:autoSpaceDN/>
        <w:bidi w:val="0"/>
        <w:adjustRightInd/>
        <w:snapToGrid/>
        <w:spacing w:before="0" w:line="240" w:lineRule="auto"/>
        <w:ind w:left="0"/>
        <w:jc w:val="center"/>
        <w:textAlignment w:val="auto"/>
        <w:rPr>
          <w:rFonts w:hint="eastAsia" w:ascii="仿宋" w:hAnsi="仿宋" w:eastAsia="仿宋" w:cs="仿宋"/>
          <w:color w:val="FF0000"/>
          <w:w w:val="95"/>
          <w:sz w:val="24"/>
          <w:szCs w:val="24"/>
          <w:lang w:val="en-US" w:eastAsia="zh-CN" w:bidi="ar-SA"/>
        </w:rPr>
      </w:pPr>
      <w:r>
        <w:rPr>
          <w:rFonts w:ascii="仿宋" w:hAnsi="仿宋" w:eastAsia="仿宋" w:cs="仿宋"/>
          <w:b/>
          <w:bCs/>
          <w:spacing w:val="6"/>
          <w:sz w:val="28"/>
          <w:szCs w:val="28"/>
          <w:highlight w:val="none"/>
          <w:lang w:eastAsia="zh-CN"/>
        </w:rPr>
        <w:t>资格审查</w:t>
      </w:r>
      <w:r>
        <w:rPr>
          <w:rFonts w:hint="eastAsia" w:cs="仿宋"/>
          <w:b/>
          <w:bCs/>
          <w:spacing w:val="6"/>
          <w:sz w:val="28"/>
          <w:szCs w:val="28"/>
          <w:highlight w:val="none"/>
          <w:lang w:eastAsia="zh-CN"/>
        </w:rPr>
        <w:t>要求</w:t>
      </w:r>
    </w:p>
    <w:tbl>
      <w:tblPr>
        <w:tblStyle w:val="41"/>
        <w:tblpPr w:leftFromText="180" w:rightFromText="180" w:vertAnchor="text" w:horzAnchor="page" w:tblpXSpec="center" w:tblpY="234"/>
        <w:tblOverlap w:val="never"/>
        <w:tblW w:w="9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6211"/>
        <w:gridCol w:w="2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72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color w:val="auto"/>
                <w:w w:val="95"/>
                <w:sz w:val="24"/>
                <w:szCs w:val="24"/>
                <w:lang w:val="en-US" w:eastAsia="zh-CN" w:bidi="ar-SA"/>
              </w:rPr>
            </w:pPr>
            <w:r>
              <w:rPr>
                <w:rFonts w:hint="eastAsia" w:ascii="仿宋" w:hAnsi="仿宋" w:eastAsia="仿宋" w:cs="仿宋"/>
                <w:color w:val="auto"/>
                <w:w w:val="95"/>
                <w:sz w:val="24"/>
                <w:szCs w:val="24"/>
                <w:lang w:val="en-US" w:eastAsia="zh-CN" w:bidi="ar-SA"/>
              </w:rPr>
              <w:t>序号</w:t>
            </w:r>
          </w:p>
        </w:tc>
        <w:tc>
          <w:tcPr>
            <w:tcW w:w="621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color w:val="auto"/>
                <w:w w:val="95"/>
                <w:sz w:val="24"/>
                <w:szCs w:val="24"/>
                <w:lang w:val="en-US" w:eastAsia="zh-CN" w:bidi="ar-SA"/>
              </w:rPr>
            </w:pPr>
            <w:r>
              <w:rPr>
                <w:rFonts w:hint="eastAsia" w:ascii="仿宋" w:hAnsi="仿宋" w:eastAsia="仿宋" w:cs="仿宋"/>
                <w:color w:val="auto"/>
                <w:w w:val="95"/>
                <w:sz w:val="24"/>
                <w:szCs w:val="24"/>
                <w:lang w:val="en-US" w:eastAsia="zh-CN" w:bidi="ar-SA"/>
              </w:rPr>
              <w:t>评审内容</w:t>
            </w:r>
          </w:p>
        </w:tc>
        <w:tc>
          <w:tcPr>
            <w:tcW w:w="22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color w:val="auto"/>
                <w:w w:val="95"/>
                <w:sz w:val="24"/>
                <w:szCs w:val="24"/>
                <w:lang w:val="en-US" w:eastAsia="zh-CN" w:bidi="ar-SA"/>
              </w:rPr>
            </w:pPr>
            <w:r>
              <w:rPr>
                <w:rFonts w:hint="eastAsia" w:ascii="仿宋" w:hAnsi="仿宋" w:eastAsia="仿宋" w:cs="仿宋"/>
                <w:color w:val="auto"/>
                <w:w w:val="95"/>
                <w:sz w:val="24"/>
                <w:szCs w:val="24"/>
                <w:lang w:val="en-US" w:eastAsia="zh-CN" w:bidi="ar-SA"/>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7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color w:val="auto"/>
                <w:w w:val="95"/>
                <w:sz w:val="24"/>
                <w:szCs w:val="24"/>
                <w:lang w:val="en-US" w:eastAsia="zh-CN" w:bidi="ar-SA"/>
              </w:rPr>
            </w:pPr>
          </w:p>
        </w:tc>
        <w:tc>
          <w:tcPr>
            <w:tcW w:w="62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color w:val="auto"/>
                <w:w w:val="95"/>
                <w:sz w:val="24"/>
                <w:szCs w:val="24"/>
                <w:lang w:val="en-US" w:eastAsia="zh-CN" w:bidi="ar-SA"/>
              </w:rPr>
            </w:pPr>
          </w:p>
        </w:tc>
        <w:tc>
          <w:tcPr>
            <w:tcW w:w="22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color w:val="auto"/>
                <w:w w:val="95"/>
                <w:sz w:val="24"/>
                <w:szCs w:val="24"/>
                <w:lang w:val="en-US" w:eastAsia="zh-CN" w:bidi="ar-SA"/>
              </w:rPr>
            </w:pPr>
            <w:r>
              <w:rPr>
                <w:rFonts w:hint="eastAsia" w:ascii="仿宋" w:hAnsi="仿宋" w:eastAsia="仿宋" w:cs="仿宋"/>
                <w:color w:val="auto"/>
                <w:w w:val="95"/>
                <w:sz w:val="24"/>
                <w:szCs w:val="24"/>
                <w:lang w:val="en-US" w:eastAsia="zh-CN" w:bidi="ar-SA"/>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color w:val="auto"/>
                <w:w w:val="95"/>
                <w:sz w:val="24"/>
                <w:szCs w:val="24"/>
                <w:lang w:val="en-US" w:eastAsia="zh-CN" w:bidi="ar-SA"/>
              </w:rPr>
            </w:pPr>
            <w:r>
              <w:rPr>
                <w:rFonts w:hint="eastAsia" w:ascii="仿宋" w:hAnsi="仿宋" w:eastAsia="仿宋" w:cs="仿宋"/>
                <w:color w:val="auto"/>
                <w:w w:val="95"/>
                <w:sz w:val="24"/>
                <w:szCs w:val="24"/>
                <w:lang w:val="en-US" w:eastAsia="zh-CN" w:bidi="ar-SA"/>
              </w:rPr>
              <w:t>1</w:t>
            </w:r>
          </w:p>
        </w:tc>
        <w:tc>
          <w:tcPr>
            <w:tcW w:w="621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hint="eastAsia" w:ascii="仿宋" w:hAnsi="仿宋" w:eastAsia="仿宋" w:cs="仿宋"/>
                <w:color w:val="auto"/>
                <w:w w:val="95"/>
                <w:sz w:val="24"/>
                <w:szCs w:val="24"/>
                <w:lang w:val="en-US" w:eastAsia="zh-CN" w:bidi="ar-SA"/>
              </w:rPr>
            </w:pPr>
            <w:r>
              <w:rPr>
                <w:rFonts w:hint="eastAsia" w:ascii="仿宋" w:hAnsi="仿宋" w:eastAsia="仿宋" w:cs="仿宋"/>
                <w:color w:val="auto"/>
                <w:w w:val="95"/>
                <w:sz w:val="24"/>
                <w:szCs w:val="24"/>
                <w:lang w:val="en-US" w:eastAsia="zh-CN" w:bidi="ar-SA"/>
              </w:rPr>
              <w:t>具有有效的营业执照或“三证合一”的营业执照；具有相关经营范围</w:t>
            </w:r>
            <w:r>
              <w:rPr>
                <w:rFonts w:hint="eastAsia" w:ascii="宋体" w:hAnsi="宋体" w:cs="宋体"/>
                <w:b w:val="0"/>
                <w:bCs w:val="0"/>
                <w:color w:val="auto"/>
                <w:sz w:val="24"/>
                <w:szCs w:val="24"/>
                <w:lang w:val="en-US" w:eastAsia="zh-CN"/>
              </w:rPr>
              <w:t>。</w:t>
            </w:r>
          </w:p>
        </w:tc>
        <w:tc>
          <w:tcPr>
            <w:tcW w:w="2242"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color w:val="auto"/>
                <w:w w:val="95"/>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仿宋" w:hAnsi="仿宋" w:eastAsia="仿宋" w:cs="仿宋"/>
                <w:color w:val="auto"/>
                <w:w w:val="95"/>
                <w:sz w:val="24"/>
                <w:szCs w:val="24"/>
                <w:lang w:val="en-US" w:eastAsia="zh-CN" w:bidi="ar-SA"/>
              </w:rPr>
            </w:pPr>
            <w:r>
              <w:rPr>
                <w:rFonts w:hint="eastAsia" w:ascii="仿宋" w:hAnsi="仿宋" w:eastAsia="仿宋" w:cs="仿宋"/>
                <w:color w:val="auto"/>
                <w:w w:val="95"/>
                <w:sz w:val="24"/>
                <w:szCs w:val="24"/>
                <w:lang w:val="en-US" w:eastAsia="zh-CN" w:bidi="ar-SA"/>
              </w:rPr>
              <w:t>2</w:t>
            </w:r>
          </w:p>
        </w:tc>
        <w:tc>
          <w:tcPr>
            <w:tcW w:w="621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hint="eastAsia" w:ascii="仿宋" w:hAnsi="仿宋" w:eastAsia="仿宋" w:cs="仿宋"/>
                <w:color w:val="auto"/>
                <w:w w:val="95"/>
                <w:sz w:val="24"/>
                <w:szCs w:val="24"/>
                <w:lang w:val="en-US" w:eastAsia="zh-CN" w:bidi="ar-SA"/>
              </w:rPr>
            </w:pPr>
            <w:r>
              <w:rPr>
                <w:rFonts w:hint="eastAsia" w:ascii="仿宋" w:hAnsi="仿宋" w:eastAsia="仿宋" w:cs="仿宋"/>
                <w:color w:val="auto"/>
                <w:w w:val="95"/>
                <w:sz w:val="24"/>
                <w:szCs w:val="24"/>
                <w:lang w:val="en-US" w:eastAsia="zh-CN" w:bidi="ar-SA"/>
              </w:rPr>
              <w:t>具有良好的商业信誉和健全的财务会计制度；</w:t>
            </w:r>
          </w:p>
        </w:tc>
        <w:tc>
          <w:tcPr>
            <w:tcW w:w="2242"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仿宋" w:hAnsi="仿宋" w:eastAsia="仿宋" w:cs="仿宋"/>
                <w:color w:val="auto"/>
                <w:w w:val="95"/>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w:t>
            </w:r>
          </w:p>
        </w:tc>
        <w:tc>
          <w:tcPr>
            <w:tcW w:w="621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hint="eastAsia" w:ascii="仿宋" w:hAnsi="仿宋" w:eastAsia="仿宋" w:cs="仿宋"/>
                <w:color w:val="auto"/>
                <w:w w:val="95"/>
                <w:sz w:val="24"/>
                <w:szCs w:val="24"/>
                <w:lang w:val="en-US" w:eastAsia="zh-CN"/>
              </w:rPr>
            </w:pPr>
            <w:r>
              <w:rPr>
                <w:rFonts w:hint="eastAsia" w:ascii="仿宋" w:hAnsi="仿宋" w:eastAsia="仿宋" w:cs="仿宋"/>
                <w:color w:val="auto"/>
                <w:w w:val="95"/>
                <w:sz w:val="24"/>
                <w:szCs w:val="24"/>
                <w:lang w:val="en-US" w:eastAsia="zh-CN"/>
              </w:rPr>
              <w:t>投标单位需提供近三个月依法缴纳税收和社会保障资金的良好记录（新成立时间少于3个月的公司，按实际发生提供）；</w:t>
            </w:r>
          </w:p>
        </w:tc>
        <w:tc>
          <w:tcPr>
            <w:tcW w:w="2242"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w:t>
            </w:r>
          </w:p>
        </w:tc>
        <w:tc>
          <w:tcPr>
            <w:tcW w:w="621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hint="eastAsia" w:ascii="仿宋" w:hAnsi="仿宋" w:eastAsia="仿宋" w:cs="仿宋"/>
                <w:color w:val="auto"/>
                <w:w w:val="95"/>
                <w:sz w:val="24"/>
                <w:szCs w:val="24"/>
                <w:lang w:val="en-US" w:eastAsia="zh-CN"/>
              </w:rPr>
            </w:pPr>
            <w:r>
              <w:rPr>
                <w:rFonts w:hint="eastAsia" w:ascii="仿宋" w:hAnsi="仿宋" w:eastAsia="仿宋" w:cs="仿宋"/>
                <w:color w:val="auto"/>
                <w:w w:val="95"/>
                <w:sz w:val="24"/>
                <w:szCs w:val="24"/>
                <w:lang w:val="en-US" w:eastAsia="zh-CN"/>
              </w:rPr>
              <w:t>履行合同所必需的设备和专业技术能力：提供《投标人资格声明函》；</w:t>
            </w:r>
          </w:p>
        </w:tc>
        <w:tc>
          <w:tcPr>
            <w:tcW w:w="2242"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5</w:t>
            </w:r>
          </w:p>
        </w:tc>
        <w:tc>
          <w:tcPr>
            <w:tcW w:w="621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hint="eastAsia" w:ascii="仿宋" w:hAnsi="仿宋" w:eastAsia="仿宋" w:cs="仿宋"/>
                <w:color w:val="auto"/>
                <w:w w:val="95"/>
                <w:sz w:val="24"/>
                <w:szCs w:val="24"/>
                <w:lang w:val="en-US" w:eastAsia="zh-CN"/>
              </w:rPr>
            </w:pPr>
            <w:r>
              <w:rPr>
                <w:rFonts w:hint="eastAsia" w:ascii="仿宋" w:hAnsi="仿宋" w:eastAsia="仿宋" w:cs="仿宋"/>
                <w:color w:val="auto"/>
                <w:w w:val="95"/>
                <w:sz w:val="24"/>
                <w:szCs w:val="24"/>
                <w:lang w:val="en-US" w:eastAsia="zh-CN"/>
              </w:rPr>
              <w:t>参加采购活动前3年内，在经营活动中没有重大违法记录：提供《投标人资格声明函》。</w:t>
            </w:r>
          </w:p>
        </w:tc>
        <w:tc>
          <w:tcPr>
            <w:tcW w:w="2242"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jc w:val="center"/>
        </w:trPr>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6</w:t>
            </w:r>
          </w:p>
        </w:tc>
        <w:tc>
          <w:tcPr>
            <w:tcW w:w="621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hint="eastAsia" w:ascii="仿宋" w:hAnsi="仿宋" w:eastAsia="仿宋" w:cs="仿宋"/>
                <w:color w:val="auto"/>
                <w:w w:val="95"/>
                <w:sz w:val="24"/>
                <w:szCs w:val="24"/>
                <w:lang w:val="en-US" w:eastAsia="zh-CN"/>
              </w:rPr>
            </w:pPr>
            <w:r>
              <w:rPr>
                <w:rFonts w:hint="eastAsia" w:ascii="仿宋" w:hAnsi="仿宋" w:eastAsia="仿宋" w:cs="仿宋"/>
                <w:color w:val="auto"/>
                <w:w w:val="95"/>
                <w:sz w:val="24"/>
                <w:szCs w:val="24"/>
                <w:lang w:val="en-US" w:eastAsia="zh-CN"/>
              </w:rPr>
              <w:t>近三年拟参加本次招标项目的投标人在“信用中国（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经营异常名录的取消投标资格。</w:t>
            </w:r>
          </w:p>
        </w:tc>
        <w:tc>
          <w:tcPr>
            <w:tcW w:w="2242"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jc w:val="center"/>
        </w:trPr>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7</w:t>
            </w:r>
          </w:p>
        </w:tc>
        <w:tc>
          <w:tcPr>
            <w:tcW w:w="621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hint="eastAsia" w:ascii="仿宋" w:hAnsi="仿宋" w:eastAsia="仿宋" w:cs="仿宋"/>
                <w:color w:val="auto"/>
                <w:w w:val="95"/>
                <w:sz w:val="24"/>
                <w:szCs w:val="24"/>
                <w:lang w:val="en-US" w:eastAsia="zh-CN"/>
              </w:rPr>
            </w:pPr>
            <w:r>
              <w:rPr>
                <w:rFonts w:hint="eastAsia" w:ascii="仿宋" w:hAnsi="仿宋" w:eastAsia="仿宋" w:cs="仿宋"/>
                <w:color w:val="auto"/>
                <w:w w:val="95"/>
                <w:sz w:val="24"/>
                <w:szCs w:val="24"/>
                <w:lang w:eastAsia="zh-CN"/>
              </w:rPr>
              <w:t>其他说明：a、与招标人存在利害关系可能影响招标公正性的法人、其他组织或者个人，不得参加投标。b、单位负责人为同一人或者存在控股、管理关系的不同单位，不得参加同一标段投标或者未划分标段的同一招标项目投标。</w:t>
            </w:r>
          </w:p>
        </w:tc>
        <w:tc>
          <w:tcPr>
            <w:tcW w:w="2242"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25" w:type="dxa"/>
            <w:noWrap w:val="0"/>
            <w:vAlign w:val="center"/>
          </w:tcPr>
          <w:p>
            <w:pPr>
              <w:spacing w:line="400" w:lineRule="exact"/>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8</w:t>
            </w:r>
          </w:p>
        </w:tc>
        <w:tc>
          <w:tcPr>
            <w:tcW w:w="6211" w:type="dxa"/>
            <w:noWrap w:val="0"/>
            <w:vAlign w:val="center"/>
          </w:tcPr>
          <w:p>
            <w:pPr>
              <w:spacing w:line="360" w:lineRule="auto"/>
              <w:ind w:firstLine="456" w:firstLineChars="200"/>
              <w:jc w:val="both"/>
              <w:rPr>
                <w:rFonts w:hint="eastAsia" w:ascii="仿宋" w:hAnsi="仿宋" w:eastAsia="仿宋" w:cs="仿宋"/>
                <w:color w:val="auto"/>
                <w:w w:val="95"/>
                <w:sz w:val="24"/>
                <w:szCs w:val="24"/>
                <w:lang w:val="en-US" w:eastAsia="zh-CN"/>
              </w:rPr>
            </w:pPr>
            <w:r>
              <w:rPr>
                <w:rFonts w:hint="eastAsia" w:ascii="仿宋" w:hAnsi="仿宋" w:eastAsia="仿宋" w:cs="仿宋"/>
                <w:color w:val="auto"/>
                <w:w w:val="95"/>
                <w:sz w:val="24"/>
                <w:szCs w:val="24"/>
                <w:lang w:eastAsia="zh-CN"/>
              </w:rPr>
              <w:t>缴纳投标保证金有效凭证（银行回执单或保函）。</w:t>
            </w:r>
          </w:p>
        </w:tc>
        <w:tc>
          <w:tcPr>
            <w:tcW w:w="2242" w:type="dxa"/>
            <w:noWrap w:val="0"/>
            <w:vAlign w:val="top"/>
          </w:tcPr>
          <w:p>
            <w:pPr>
              <w:spacing w:line="400" w:lineRule="exact"/>
              <w:jc w:val="left"/>
              <w:rPr>
                <w:rFonts w:hint="eastAsia" w:ascii="宋体" w:hAnsi="宋体" w:eastAsia="宋体" w:cs="宋体"/>
                <w:color w:val="auto"/>
                <w:szCs w:val="21"/>
                <w:highlight w:val="none"/>
              </w:rPr>
            </w:pPr>
          </w:p>
        </w:tc>
      </w:tr>
    </w:tbl>
    <w:p>
      <w:pPr>
        <w:rPr>
          <w:rFonts w:ascii="仿宋" w:hAnsi="仿宋" w:eastAsia="仿宋" w:cs="仿宋"/>
          <w:b/>
          <w:bCs/>
          <w:spacing w:val="6"/>
          <w:sz w:val="28"/>
          <w:szCs w:val="28"/>
          <w:highlight w:val="none"/>
          <w:lang w:eastAsia="zh-CN"/>
        </w:rPr>
      </w:pPr>
      <w:r>
        <w:rPr>
          <w:rFonts w:ascii="仿宋" w:hAnsi="仿宋" w:eastAsia="仿宋" w:cs="仿宋"/>
          <w:b/>
          <w:bCs/>
          <w:color w:val="auto"/>
          <w:spacing w:val="6"/>
          <w:sz w:val="28"/>
          <w:szCs w:val="28"/>
          <w:highlight w:val="none"/>
          <w:lang w:eastAsia="zh-CN"/>
        </w:rPr>
        <w:br w:type="page"/>
      </w:r>
    </w:p>
    <w:p>
      <w:pPr>
        <w:spacing w:line="360" w:lineRule="auto"/>
        <w:ind w:firstLine="586" w:firstLineChars="200"/>
        <w:jc w:val="center"/>
        <w:rPr>
          <w:rFonts w:ascii="仿宋" w:hAnsi="仿宋" w:eastAsia="仿宋" w:cs="仿宋"/>
          <w:b/>
          <w:bCs/>
          <w:spacing w:val="6"/>
          <w:sz w:val="28"/>
          <w:szCs w:val="28"/>
          <w:highlight w:val="none"/>
          <w:lang w:eastAsia="zh-CN"/>
        </w:rPr>
      </w:pPr>
      <w:r>
        <w:rPr>
          <w:rFonts w:ascii="仿宋" w:hAnsi="仿宋" w:eastAsia="仿宋" w:cs="仿宋"/>
          <w:b/>
          <w:bCs/>
          <w:spacing w:val="6"/>
          <w:sz w:val="28"/>
          <w:szCs w:val="28"/>
          <w:highlight w:val="none"/>
          <w:lang w:eastAsia="zh-CN"/>
        </w:rPr>
        <w:t>符合性审查</w:t>
      </w:r>
      <w:r>
        <w:rPr>
          <w:rFonts w:hint="eastAsia" w:ascii="仿宋" w:hAnsi="仿宋" w:eastAsia="仿宋" w:cs="仿宋"/>
          <w:b/>
          <w:bCs/>
          <w:spacing w:val="6"/>
          <w:sz w:val="28"/>
          <w:szCs w:val="28"/>
          <w:highlight w:val="none"/>
          <w:lang w:eastAsia="zh-CN"/>
        </w:rPr>
        <w:t>要求</w:t>
      </w:r>
    </w:p>
    <w:tbl>
      <w:tblPr>
        <w:tblStyle w:val="41"/>
        <w:tblpPr w:leftFromText="180" w:rightFromText="180" w:vertAnchor="text" w:horzAnchor="page" w:tblpXSpec="center" w:tblpY="262"/>
        <w:tblOverlap w:val="never"/>
        <w:tblW w:w="96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7596"/>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451" w:type="dxa"/>
            <w:gridSpan w:val="2"/>
            <w:noWrap w:val="0"/>
            <w:vAlign w:val="center"/>
          </w:tcPr>
          <w:p>
            <w:pPr>
              <w:spacing w:line="360" w:lineRule="auto"/>
              <w:ind w:firstLine="456" w:firstLineChars="200"/>
              <w:jc w:val="center"/>
              <w:rPr>
                <w:rFonts w:hint="eastAsia" w:ascii="仿宋" w:hAnsi="仿宋" w:eastAsia="仿宋" w:cs="仿宋"/>
                <w:w w:val="95"/>
                <w:sz w:val="24"/>
                <w:szCs w:val="24"/>
                <w:lang w:eastAsia="zh-CN"/>
              </w:rPr>
            </w:pPr>
            <w:r>
              <w:rPr>
                <w:rFonts w:hint="eastAsia" w:ascii="仿宋" w:hAnsi="仿宋" w:eastAsia="仿宋" w:cs="仿宋"/>
                <w:w w:val="95"/>
                <w:sz w:val="24"/>
                <w:szCs w:val="24"/>
                <w:lang w:eastAsia="zh-CN"/>
              </w:rPr>
              <w:t>评审内容</w:t>
            </w:r>
          </w:p>
        </w:tc>
        <w:tc>
          <w:tcPr>
            <w:tcW w:w="1168" w:type="dxa"/>
            <w:noWrap w:val="0"/>
            <w:vAlign w:val="center"/>
          </w:tcPr>
          <w:p>
            <w:pPr>
              <w:spacing w:line="360" w:lineRule="auto"/>
              <w:jc w:val="both"/>
              <w:rPr>
                <w:rFonts w:hint="eastAsia" w:ascii="仿宋" w:hAnsi="仿宋" w:eastAsia="仿宋" w:cs="仿宋"/>
                <w:w w:val="95"/>
                <w:sz w:val="24"/>
                <w:szCs w:val="24"/>
                <w:lang w:eastAsia="zh-CN"/>
              </w:rPr>
            </w:pPr>
            <w:r>
              <w:rPr>
                <w:rFonts w:hint="eastAsia" w:ascii="仿宋" w:hAnsi="仿宋" w:eastAsia="仿宋" w:cs="仿宋"/>
                <w:w w:val="95"/>
                <w:sz w:val="24"/>
                <w:szCs w:val="24"/>
                <w:lang w:eastAsia="zh-CN"/>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55" w:type="dxa"/>
            <w:noWrap w:val="0"/>
            <w:vAlign w:val="center"/>
          </w:tcPr>
          <w:p>
            <w:pPr>
              <w:spacing w:line="360" w:lineRule="auto"/>
              <w:jc w:val="both"/>
              <w:rPr>
                <w:rFonts w:hint="eastAsia" w:ascii="仿宋" w:hAnsi="仿宋" w:eastAsia="仿宋" w:cs="仿宋"/>
                <w:w w:val="95"/>
                <w:sz w:val="24"/>
                <w:szCs w:val="24"/>
                <w:lang w:eastAsia="zh-CN"/>
              </w:rPr>
            </w:pPr>
            <w:r>
              <w:rPr>
                <w:rFonts w:hint="eastAsia" w:ascii="仿宋" w:hAnsi="仿宋" w:eastAsia="仿宋" w:cs="仿宋"/>
                <w:w w:val="95"/>
                <w:sz w:val="24"/>
                <w:szCs w:val="24"/>
                <w:lang w:eastAsia="zh-CN"/>
              </w:rPr>
              <w:t>序号</w:t>
            </w:r>
          </w:p>
        </w:tc>
        <w:tc>
          <w:tcPr>
            <w:tcW w:w="7596" w:type="dxa"/>
            <w:noWrap w:val="0"/>
            <w:vAlign w:val="center"/>
          </w:tcPr>
          <w:p>
            <w:pPr>
              <w:spacing w:line="360" w:lineRule="auto"/>
              <w:ind w:firstLine="456" w:firstLineChars="200"/>
              <w:jc w:val="both"/>
              <w:rPr>
                <w:rFonts w:hint="eastAsia" w:ascii="仿宋" w:hAnsi="仿宋" w:eastAsia="仿宋" w:cs="仿宋"/>
                <w:w w:val="95"/>
                <w:sz w:val="24"/>
                <w:szCs w:val="24"/>
                <w:lang w:eastAsia="zh-CN"/>
              </w:rPr>
            </w:pPr>
          </w:p>
        </w:tc>
        <w:tc>
          <w:tcPr>
            <w:tcW w:w="1168" w:type="dxa"/>
            <w:noWrap w:val="0"/>
            <w:vAlign w:val="center"/>
          </w:tcPr>
          <w:p>
            <w:pPr>
              <w:spacing w:line="360" w:lineRule="auto"/>
              <w:jc w:val="both"/>
              <w:rPr>
                <w:rFonts w:hint="eastAsia" w:ascii="仿宋" w:hAnsi="仿宋" w:eastAsia="仿宋" w:cs="仿宋"/>
                <w:w w:val="95"/>
                <w:sz w:val="24"/>
                <w:szCs w:val="24"/>
                <w:lang w:eastAsia="zh-CN"/>
              </w:rPr>
            </w:pPr>
            <w:r>
              <w:rPr>
                <w:rFonts w:hint="eastAsia" w:ascii="仿宋" w:hAnsi="仿宋" w:eastAsia="仿宋" w:cs="仿宋"/>
                <w:w w:val="95"/>
                <w:sz w:val="24"/>
                <w:szCs w:val="24"/>
                <w:lang w:eastAsia="zh-CN"/>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855" w:type="dxa"/>
            <w:noWrap w:val="0"/>
            <w:vAlign w:val="center"/>
          </w:tcPr>
          <w:p>
            <w:pPr>
              <w:spacing w:line="360" w:lineRule="auto"/>
              <w:jc w:val="center"/>
              <w:rPr>
                <w:rFonts w:hint="eastAsia" w:ascii="仿宋" w:hAnsi="仿宋" w:eastAsia="仿宋" w:cs="仿宋"/>
                <w:w w:val="95"/>
                <w:sz w:val="24"/>
                <w:szCs w:val="24"/>
                <w:lang w:eastAsia="zh-CN"/>
              </w:rPr>
            </w:pPr>
            <w:r>
              <w:rPr>
                <w:rFonts w:hint="eastAsia" w:ascii="仿宋" w:hAnsi="仿宋" w:eastAsia="仿宋" w:cs="仿宋"/>
                <w:w w:val="95"/>
                <w:sz w:val="24"/>
                <w:szCs w:val="24"/>
                <w:lang w:eastAsia="zh-CN"/>
              </w:rPr>
              <w:t>1</w:t>
            </w:r>
          </w:p>
        </w:tc>
        <w:tc>
          <w:tcPr>
            <w:tcW w:w="7596" w:type="dxa"/>
            <w:noWrap w:val="0"/>
            <w:vAlign w:val="center"/>
          </w:tcPr>
          <w:p>
            <w:pPr>
              <w:spacing w:line="360" w:lineRule="auto"/>
              <w:jc w:val="left"/>
              <w:rPr>
                <w:rFonts w:hint="eastAsia" w:ascii="仿宋" w:hAnsi="仿宋" w:eastAsia="仿宋" w:cs="仿宋"/>
                <w:w w:val="95"/>
                <w:sz w:val="24"/>
                <w:szCs w:val="24"/>
                <w:lang w:eastAsia="zh-CN"/>
              </w:rPr>
            </w:pPr>
            <w:r>
              <w:rPr>
                <w:rFonts w:hint="eastAsia" w:ascii="仿宋" w:hAnsi="仿宋" w:eastAsia="仿宋" w:cs="仿宋"/>
                <w:w w:val="95"/>
                <w:sz w:val="24"/>
                <w:szCs w:val="24"/>
                <w:lang w:eastAsia="zh-CN"/>
              </w:rPr>
              <w:t>提交的</w:t>
            </w:r>
            <w:r>
              <w:rPr>
                <w:rFonts w:hint="eastAsia" w:ascii="仿宋" w:hAnsi="仿宋" w:eastAsia="仿宋" w:cs="仿宋"/>
                <w:w w:val="95"/>
                <w:sz w:val="24"/>
                <w:szCs w:val="24"/>
                <w:lang w:val="en-US" w:eastAsia="zh-CN"/>
              </w:rPr>
              <w:t>投标</w:t>
            </w:r>
            <w:r>
              <w:rPr>
                <w:rFonts w:hint="eastAsia" w:ascii="仿宋" w:hAnsi="仿宋" w:eastAsia="仿宋" w:cs="仿宋"/>
                <w:w w:val="95"/>
                <w:sz w:val="24"/>
                <w:szCs w:val="24"/>
                <w:lang w:eastAsia="zh-CN"/>
              </w:rPr>
              <w:t>文件“格式、内容、标识、签字和盖章”是否符合采购文件要求；</w:t>
            </w:r>
          </w:p>
        </w:tc>
        <w:tc>
          <w:tcPr>
            <w:tcW w:w="1168" w:type="dxa"/>
            <w:noWrap w:val="0"/>
            <w:vAlign w:val="center"/>
          </w:tcPr>
          <w:p>
            <w:pPr>
              <w:spacing w:line="400" w:lineRule="exact"/>
              <w:rPr>
                <w:rFonts w:hint="eastAsia" w:ascii="宋体" w:hAnsi="宋体" w:eastAsia="宋体" w:cs="宋体"/>
                <w:color w:val="000000"/>
                <w:spacing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55" w:type="dxa"/>
            <w:noWrap w:val="0"/>
            <w:vAlign w:val="center"/>
          </w:tcPr>
          <w:p>
            <w:pPr>
              <w:spacing w:line="360" w:lineRule="auto"/>
              <w:jc w:val="center"/>
              <w:rPr>
                <w:rFonts w:hint="eastAsia" w:ascii="仿宋" w:hAnsi="仿宋" w:eastAsia="仿宋" w:cs="仿宋"/>
                <w:w w:val="95"/>
                <w:sz w:val="24"/>
                <w:szCs w:val="24"/>
                <w:lang w:eastAsia="zh-CN"/>
              </w:rPr>
            </w:pPr>
            <w:r>
              <w:rPr>
                <w:rFonts w:hint="eastAsia" w:ascii="仿宋" w:hAnsi="仿宋" w:eastAsia="仿宋" w:cs="仿宋"/>
                <w:w w:val="95"/>
                <w:sz w:val="24"/>
                <w:szCs w:val="24"/>
                <w:lang w:eastAsia="zh-CN"/>
              </w:rPr>
              <w:t>2</w:t>
            </w:r>
          </w:p>
        </w:tc>
        <w:tc>
          <w:tcPr>
            <w:tcW w:w="7596" w:type="dxa"/>
            <w:noWrap w:val="0"/>
            <w:vAlign w:val="center"/>
          </w:tcPr>
          <w:p>
            <w:pPr>
              <w:spacing w:line="360" w:lineRule="auto"/>
              <w:jc w:val="left"/>
              <w:rPr>
                <w:rFonts w:hint="eastAsia" w:ascii="仿宋" w:hAnsi="仿宋" w:eastAsia="仿宋" w:cs="仿宋"/>
                <w:w w:val="95"/>
                <w:sz w:val="24"/>
                <w:szCs w:val="24"/>
                <w:lang w:eastAsia="zh-CN"/>
              </w:rPr>
            </w:pPr>
            <w:r>
              <w:rPr>
                <w:rFonts w:hint="eastAsia" w:ascii="仿宋" w:hAnsi="仿宋" w:eastAsia="仿宋" w:cs="仿宋"/>
                <w:w w:val="95"/>
                <w:sz w:val="24"/>
                <w:szCs w:val="24"/>
                <w:lang w:eastAsia="zh-CN"/>
              </w:rPr>
              <w:t>投标报价是否高于本项目的最高限价</w:t>
            </w:r>
          </w:p>
        </w:tc>
        <w:tc>
          <w:tcPr>
            <w:tcW w:w="1168" w:type="dxa"/>
            <w:noWrap w:val="0"/>
            <w:vAlign w:val="center"/>
          </w:tcPr>
          <w:p>
            <w:pPr>
              <w:spacing w:line="400" w:lineRule="exact"/>
              <w:rPr>
                <w:rFonts w:hint="eastAsia" w:ascii="宋体" w:hAnsi="宋体" w:eastAsia="宋体" w:cs="宋体"/>
                <w:color w:val="000000"/>
                <w:spacing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55" w:type="dxa"/>
            <w:noWrap w:val="0"/>
            <w:vAlign w:val="center"/>
          </w:tcPr>
          <w:p>
            <w:pPr>
              <w:spacing w:line="360" w:lineRule="auto"/>
              <w:jc w:val="center"/>
              <w:rPr>
                <w:rFonts w:hint="eastAsia" w:ascii="仿宋" w:hAnsi="仿宋" w:eastAsia="仿宋" w:cs="仿宋"/>
                <w:w w:val="95"/>
                <w:sz w:val="24"/>
                <w:szCs w:val="24"/>
                <w:lang w:eastAsia="zh-CN"/>
              </w:rPr>
            </w:pPr>
            <w:r>
              <w:rPr>
                <w:rFonts w:hint="eastAsia" w:ascii="仿宋" w:hAnsi="仿宋" w:eastAsia="仿宋" w:cs="仿宋"/>
                <w:w w:val="95"/>
                <w:sz w:val="24"/>
                <w:szCs w:val="24"/>
                <w:lang w:eastAsia="zh-CN"/>
              </w:rPr>
              <w:t>3</w:t>
            </w:r>
          </w:p>
        </w:tc>
        <w:tc>
          <w:tcPr>
            <w:tcW w:w="7596" w:type="dxa"/>
            <w:noWrap w:val="0"/>
            <w:vAlign w:val="center"/>
          </w:tcPr>
          <w:p>
            <w:pPr>
              <w:spacing w:line="360" w:lineRule="auto"/>
              <w:jc w:val="left"/>
              <w:rPr>
                <w:rFonts w:hint="eastAsia" w:ascii="仿宋" w:hAnsi="仿宋" w:eastAsia="仿宋" w:cs="仿宋"/>
                <w:w w:val="95"/>
                <w:sz w:val="24"/>
                <w:szCs w:val="24"/>
                <w:lang w:eastAsia="zh-CN"/>
              </w:rPr>
            </w:pPr>
            <w:r>
              <w:rPr>
                <w:rFonts w:hint="eastAsia" w:ascii="仿宋" w:hAnsi="仿宋" w:eastAsia="仿宋" w:cs="仿宋"/>
                <w:w w:val="95"/>
                <w:sz w:val="24"/>
                <w:szCs w:val="24"/>
                <w:lang w:eastAsia="zh-CN"/>
              </w:rPr>
              <w:t>投标人是否对同一招标项目做出两个以上报价且未明确效力的；</w:t>
            </w:r>
          </w:p>
        </w:tc>
        <w:tc>
          <w:tcPr>
            <w:tcW w:w="1168" w:type="dxa"/>
            <w:noWrap w:val="0"/>
            <w:vAlign w:val="center"/>
          </w:tcPr>
          <w:p>
            <w:pPr>
              <w:spacing w:line="400" w:lineRule="exact"/>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855" w:type="dxa"/>
            <w:noWrap w:val="0"/>
            <w:vAlign w:val="center"/>
          </w:tcPr>
          <w:p>
            <w:pPr>
              <w:spacing w:line="360" w:lineRule="auto"/>
              <w:jc w:val="center"/>
              <w:rPr>
                <w:rFonts w:hint="eastAsia" w:ascii="仿宋" w:hAnsi="仿宋" w:eastAsia="仿宋" w:cs="仿宋"/>
                <w:w w:val="95"/>
                <w:sz w:val="24"/>
                <w:szCs w:val="24"/>
                <w:lang w:eastAsia="zh-CN"/>
              </w:rPr>
            </w:pPr>
            <w:r>
              <w:rPr>
                <w:rFonts w:hint="eastAsia" w:ascii="仿宋" w:hAnsi="仿宋" w:eastAsia="仿宋" w:cs="仿宋"/>
                <w:w w:val="95"/>
                <w:sz w:val="24"/>
                <w:szCs w:val="24"/>
                <w:lang w:eastAsia="zh-CN"/>
              </w:rPr>
              <w:t>4</w:t>
            </w:r>
          </w:p>
        </w:tc>
        <w:tc>
          <w:tcPr>
            <w:tcW w:w="7596" w:type="dxa"/>
            <w:noWrap w:val="0"/>
            <w:vAlign w:val="center"/>
          </w:tcPr>
          <w:p>
            <w:pPr>
              <w:spacing w:line="360" w:lineRule="auto"/>
              <w:jc w:val="left"/>
              <w:rPr>
                <w:rFonts w:hint="eastAsia" w:ascii="仿宋" w:hAnsi="仿宋" w:eastAsia="仿宋" w:cs="仿宋"/>
                <w:w w:val="95"/>
                <w:sz w:val="24"/>
                <w:szCs w:val="24"/>
                <w:lang w:eastAsia="zh-CN"/>
              </w:rPr>
            </w:pPr>
            <w:r>
              <w:rPr>
                <w:rFonts w:hint="eastAsia" w:ascii="仿宋" w:hAnsi="仿宋" w:eastAsia="仿宋" w:cs="仿宋"/>
                <w:w w:val="95"/>
                <w:sz w:val="24"/>
                <w:szCs w:val="24"/>
                <w:lang w:eastAsia="zh-CN"/>
              </w:rPr>
              <w:t>投标文件的</w:t>
            </w:r>
            <w:r>
              <w:rPr>
                <w:rFonts w:hint="eastAsia" w:ascii="仿宋" w:hAnsi="仿宋" w:eastAsia="仿宋" w:cs="仿宋"/>
                <w:w w:val="95"/>
                <w:sz w:val="24"/>
                <w:szCs w:val="24"/>
                <w:lang w:val="en-US" w:eastAsia="zh-CN"/>
              </w:rPr>
              <w:t>供货</w:t>
            </w:r>
            <w:r>
              <w:rPr>
                <w:rFonts w:hint="eastAsia" w:ascii="仿宋" w:hAnsi="仿宋" w:eastAsia="仿宋" w:cs="仿宋"/>
                <w:w w:val="95"/>
                <w:sz w:val="24"/>
                <w:szCs w:val="24"/>
                <w:lang w:eastAsia="zh-CN"/>
              </w:rPr>
              <w:t>期是否超过采购文件规定期限；</w:t>
            </w:r>
          </w:p>
        </w:tc>
        <w:tc>
          <w:tcPr>
            <w:tcW w:w="1168" w:type="dxa"/>
            <w:noWrap w:val="0"/>
            <w:vAlign w:val="center"/>
          </w:tcPr>
          <w:p>
            <w:pPr>
              <w:spacing w:line="400" w:lineRule="exact"/>
              <w:rPr>
                <w:rFonts w:hint="eastAsia" w:ascii="宋体" w:hAnsi="宋体" w:eastAsia="宋体" w:cs="宋体"/>
                <w:color w:val="000000"/>
                <w:spacing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55" w:type="dxa"/>
            <w:noWrap w:val="0"/>
            <w:vAlign w:val="center"/>
          </w:tcPr>
          <w:p>
            <w:pPr>
              <w:spacing w:line="360" w:lineRule="auto"/>
              <w:jc w:val="center"/>
              <w:rPr>
                <w:rFonts w:hint="eastAsia" w:ascii="仿宋" w:hAnsi="仿宋" w:eastAsia="仿宋" w:cs="仿宋"/>
                <w:w w:val="95"/>
                <w:sz w:val="24"/>
                <w:szCs w:val="24"/>
                <w:lang w:eastAsia="zh-CN"/>
              </w:rPr>
            </w:pPr>
            <w:r>
              <w:rPr>
                <w:rFonts w:hint="eastAsia" w:ascii="仿宋" w:hAnsi="仿宋" w:eastAsia="仿宋" w:cs="仿宋"/>
                <w:w w:val="95"/>
                <w:sz w:val="24"/>
                <w:szCs w:val="24"/>
                <w:lang w:eastAsia="zh-CN"/>
              </w:rPr>
              <w:t>5</w:t>
            </w:r>
          </w:p>
        </w:tc>
        <w:tc>
          <w:tcPr>
            <w:tcW w:w="7596" w:type="dxa"/>
            <w:noWrap w:val="0"/>
            <w:vAlign w:val="center"/>
          </w:tcPr>
          <w:p>
            <w:pPr>
              <w:spacing w:line="360" w:lineRule="auto"/>
              <w:jc w:val="left"/>
              <w:rPr>
                <w:rFonts w:hint="eastAsia" w:ascii="仿宋" w:hAnsi="仿宋" w:eastAsia="仿宋" w:cs="仿宋"/>
                <w:w w:val="95"/>
                <w:sz w:val="24"/>
                <w:szCs w:val="24"/>
                <w:lang w:eastAsia="zh-CN"/>
              </w:rPr>
            </w:pPr>
            <w:r>
              <w:rPr>
                <w:rFonts w:hint="eastAsia" w:ascii="仿宋" w:hAnsi="仿宋" w:eastAsia="仿宋" w:cs="仿宋"/>
                <w:w w:val="95"/>
                <w:sz w:val="24"/>
                <w:szCs w:val="24"/>
                <w:lang w:val="en-US" w:eastAsia="zh-CN"/>
              </w:rPr>
              <w:t>投标</w:t>
            </w:r>
            <w:r>
              <w:rPr>
                <w:rFonts w:hint="eastAsia" w:ascii="仿宋" w:hAnsi="仿宋" w:eastAsia="仿宋" w:cs="仿宋"/>
                <w:w w:val="95"/>
                <w:sz w:val="24"/>
                <w:szCs w:val="24"/>
                <w:lang w:eastAsia="zh-CN"/>
              </w:rPr>
              <w:t>保证金的缴纳主体是否与投标人一致、提供投标担保或者所提供的投标担保不符合采购文件要求；</w:t>
            </w:r>
          </w:p>
        </w:tc>
        <w:tc>
          <w:tcPr>
            <w:tcW w:w="1168" w:type="dxa"/>
            <w:noWrap w:val="0"/>
            <w:vAlign w:val="center"/>
          </w:tcPr>
          <w:p>
            <w:pPr>
              <w:spacing w:line="400" w:lineRule="exact"/>
              <w:rPr>
                <w:rFonts w:hint="eastAsia" w:ascii="宋体" w:hAnsi="宋体" w:eastAsia="宋体" w:cs="宋体"/>
                <w:color w:val="000000"/>
                <w:spacing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55" w:type="dxa"/>
            <w:noWrap w:val="0"/>
            <w:vAlign w:val="center"/>
          </w:tcPr>
          <w:p>
            <w:pPr>
              <w:spacing w:line="360" w:lineRule="auto"/>
              <w:jc w:val="center"/>
              <w:rPr>
                <w:rFonts w:hint="eastAsia" w:ascii="仿宋" w:hAnsi="仿宋" w:eastAsia="仿宋" w:cs="仿宋"/>
                <w:w w:val="95"/>
                <w:sz w:val="24"/>
                <w:szCs w:val="24"/>
                <w:lang w:eastAsia="zh-CN"/>
              </w:rPr>
            </w:pPr>
            <w:r>
              <w:rPr>
                <w:rFonts w:hint="eastAsia" w:ascii="仿宋" w:hAnsi="仿宋" w:eastAsia="仿宋" w:cs="仿宋"/>
                <w:w w:val="95"/>
                <w:sz w:val="24"/>
                <w:szCs w:val="24"/>
                <w:lang w:eastAsia="zh-CN"/>
              </w:rPr>
              <w:t>6</w:t>
            </w:r>
          </w:p>
        </w:tc>
        <w:tc>
          <w:tcPr>
            <w:tcW w:w="7596" w:type="dxa"/>
            <w:noWrap w:val="0"/>
            <w:vAlign w:val="center"/>
          </w:tcPr>
          <w:p>
            <w:pPr>
              <w:spacing w:line="360" w:lineRule="auto"/>
              <w:jc w:val="left"/>
              <w:rPr>
                <w:rFonts w:hint="eastAsia" w:ascii="仿宋" w:hAnsi="仿宋" w:eastAsia="仿宋" w:cs="仿宋"/>
                <w:w w:val="95"/>
                <w:sz w:val="24"/>
                <w:szCs w:val="24"/>
                <w:lang w:eastAsia="zh-CN"/>
              </w:rPr>
            </w:pPr>
            <w:r>
              <w:rPr>
                <w:rFonts w:hint="eastAsia" w:ascii="仿宋" w:hAnsi="仿宋" w:eastAsia="仿宋" w:cs="仿宋"/>
                <w:w w:val="95"/>
                <w:sz w:val="24"/>
                <w:szCs w:val="24"/>
                <w:lang w:eastAsia="zh-CN"/>
              </w:rPr>
              <w:t>企业资格是否符合采购文件要求、并按采购文件要求提供相关资料；拟派主要人员是否符合采购文件要求并按采购文件要求提供相关资料；</w:t>
            </w:r>
          </w:p>
        </w:tc>
        <w:tc>
          <w:tcPr>
            <w:tcW w:w="1168" w:type="dxa"/>
            <w:noWrap w:val="0"/>
            <w:vAlign w:val="center"/>
          </w:tcPr>
          <w:p>
            <w:pPr>
              <w:spacing w:line="400" w:lineRule="exact"/>
              <w:rPr>
                <w:rFonts w:hint="eastAsia" w:ascii="宋体" w:hAnsi="宋体" w:eastAsia="宋体" w:cs="宋体"/>
                <w:color w:val="000000"/>
                <w:spacing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5" w:type="dxa"/>
            <w:noWrap w:val="0"/>
            <w:vAlign w:val="center"/>
          </w:tcPr>
          <w:p>
            <w:pPr>
              <w:spacing w:line="360" w:lineRule="auto"/>
              <w:jc w:val="center"/>
              <w:rPr>
                <w:rFonts w:hint="eastAsia" w:ascii="仿宋" w:hAnsi="仿宋" w:eastAsia="仿宋" w:cs="仿宋"/>
                <w:w w:val="95"/>
                <w:sz w:val="24"/>
                <w:szCs w:val="24"/>
                <w:lang w:eastAsia="zh-CN"/>
              </w:rPr>
            </w:pPr>
            <w:r>
              <w:rPr>
                <w:rFonts w:hint="eastAsia" w:ascii="仿宋" w:hAnsi="仿宋" w:eastAsia="仿宋" w:cs="仿宋"/>
                <w:w w:val="95"/>
                <w:sz w:val="24"/>
                <w:szCs w:val="24"/>
                <w:lang w:eastAsia="zh-CN"/>
              </w:rPr>
              <w:t>7</w:t>
            </w:r>
          </w:p>
        </w:tc>
        <w:tc>
          <w:tcPr>
            <w:tcW w:w="7596" w:type="dxa"/>
            <w:noWrap w:val="0"/>
            <w:vAlign w:val="center"/>
          </w:tcPr>
          <w:p>
            <w:pPr>
              <w:spacing w:line="360" w:lineRule="auto"/>
              <w:jc w:val="left"/>
              <w:rPr>
                <w:rFonts w:hint="eastAsia" w:ascii="仿宋" w:hAnsi="仿宋" w:eastAsia="仿宋" w:cs="仿宋"/>
                <w:w w:val="95"/>
                <w:sz w:val="24"/>
                <w:szCs w:val="24"/>
                <w:lang w:eastAsia="zh-CN"/>
              </w:rPr>
            </w:pPr>
            <w:r>
              <w:rPr>
                <w:rFonts w:hint="eastAsia" w:ascii="仿宋" w:hAnsi="仿宋" w:eastAsia="仿宋" w:cs="仿宋"/>
                <w:w w:val="95"/>
                <w:sz w:val="24"/>
                <w:szCs w:val="24"/>
                <w:lang w:val="en-US" w:eastAsia="zh-CN"/>
              </w:rPr>
              <w:t>投标</w:t>
            </w:r>
            <w:r>
              <w:rPr>
                <w:rFonts w:hint="eastAsia" w:ascii="仿宋" w:hAnsi="仿宋" w:eastAsia="仿宋" w:cs="仿宋"/>
                <w:w w:val="95"/>
                <w:sz w:val="24"/>
                <w:szCs w:val="24"/>
                <w:lang w:eastAsia="zh-CN"/>
              </w:rPr>
              <w:t xml:space="preserve">有效期是否满足采购文件要求； </w:t>
            </w:r>
          </w:p>
        </w:tc>
        <w:tc>
          <w:tcPr>
            <w:tcW w:w="1168" w:type="dxa"/>
            <w:noWrap w:val="0"/>
            <w:vAlign w:val="center"/>
          </w:tcPr>
          <w:p>
            <w:pPr>
              <w:spacing w:line="400" w:lineRule="exact"/>
              <w:rPr>
                <w:rFonts w:hint="eastAsia" w:ascii="宋体" w:hAnsi="宋体" w:eastAsia="宋体" w:cs="宋体"/>
                <w:color w:val="000000"/>
                <w:spacing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55" w:type="dxa"/>
            <w:noWrap w:val="0"/>
            <w:vAlign w:val="center"/>
          </w:tcPr>
          <w:p>
            <w:pPr>
              <w:spacing w:line="360" w:lineRule="auto"/>
              <w:jc w:val="center"/>
              <w:rPr>
                <w:rFonts w:hint="eastAsia" w:ascii="仿宋" w:hAnsi="仿宋" w:eastAsia="仿宋" w:cs="仿宋"/>
                <w:w w:val="95"/>
                <w:sz w:val="24"/>
                <w:szCs w:val="24"/>
                <w:lang w:eastAsia="zh-CN"/>
              </w:rPr>
            </w:pPr>
            <w:r>
              <w:rPr>
                <w:rFonts w:hint="eastAsia" w:ascii="仿宋" w:hAnsi="仿宋" w:eastAsia="仿宋" w:cs="仿宋"/>
                <w:w w:val="95"/>
                <w:sz w:val="24"/>
                <w:szCs w:val="24"/>
                <w:lang w:eastAsia="zh-CN"/>
              </w:rPr>
              <w:t>8</w:t>
            </w:r>
          </w:p>
        </w:tc>
        <w:tc>
          <w:tcPr>
            <w:tcW w:w="7596" w:type="dxa"/>
            <w:noWrap w:val="0"/>
            <w:vAlign w:val="center"/>
          </w:tcPr>
          <w:p>
            <w:pPr>
              <w:spacing w:line="360" w:lineRule="auto"/>
              <w:jc w:val="left"/>
              <w:rPr>
                <w:rFonts w:hint="eastAsia" w:ascii="仿宋" w:hAnsi="仿宋" w:eastAsia="仿宋" w:cs="仿宋"/>
                <w:w w:val="95"/>
                <w:sz w:val="24"/>
                <w:szCs w:val="24"/>
                <w:lang w:eastAsia="zh-CN"/>
              </w:rPr>
            </w:pPr>
            <w:r>
              <w:rPr>
                <w:rFonts w:hint="eastAsia" w:ascii="仿宋" w:hAnsi="仿宋" w:eastAsia="仿宋" w:cs="仿宋"/>
                <w:w w:val="95"/>
                <w:sz w:val="24"/>
                <w:szCs w:val="24"/>
                <w:lang w:eastAsia="zh-CN"/>
              </w:rPr>
              <w:t>法定代表人身份证明书及法定代表人授权委托书是否按采购文件规定格式、内容完整提供并按采购文件要求签字和盖章的。</w:t>
            </w:r>
          </w:p>
        </w:tc>
        <w:tc>
          <w:tcPr>
            <w:tcW w:w="1168" w:type="dxa"/>
            <w:noWrap w:val="0"/>
            <w:vAlign w:val="center"/>
          </w:tcPr>
          <w:p>
            <w:pPr>
              <w:spacing w:line="400" w:lineRule="exact"/>
              <w:rPr>
                <w:rFonts w:hint="eastAsia" w:ascii="宋体" w:hAnsi="宋体" w:eastAsia="宋体" w:cs="宋体"/>
                <w:color w:val="000000"/>
                <w:spacing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8451" w:type="dxa"/>
            <w:gridSpan w:val="2"/>
            <w:noWrap w:val="0"/>
            <w:vAlign w:val="center"/>
          </w:tcPr>
          <w:p>
            <w:pPr>
              <w:spacing w:line="360" w:lineRule="auto"/>
              <w:ind w:firstLine="456" w:firstLineChars="200"/>
              <w:jc w:val="both"/>
              <w:rPr>
                <w:rFonts w:hint="eastAsia" w:ascii="仿宋" w:hAnsi="仿宋" w:eastAsia="仿宋" w:cs="仿宋"/>
                <w:w w:val="95"/>
                <w:sz w:val="24"/>
                <w:szCs w:val="24"/>
                <w:lang w:eastAsia="zh-CN"/>
              </w:rPr>
            </w:pPr>
            <w:r>
              <w:rPr>
                <w:rFonts w:hint="eastAsia" w:ascii="仿宋" w:hAnsi="仿宋" w:eastAsia="仿宋" w:cs="仿宋"/>
                <w:w w:val="95"/>
                <w:sz w:val="24"/>
                <w:szCs w:val="24"/>
                <w:lang w:eastAsia="zh-CN"/>
              </w:rPr>
              <w:t>结论：通过评审打“√”，未通过评审打“×”</w:t>
            </w:r>
          </w:p>
        </w:tc>
        <w:tc>
          <w:tcPr>
            <w:tcW w:w="1168" w:type="dxa"/>
            <w:noWrap w:val="0"/>
            <w:vAlign w:val="center"/>
          </w:tcPr>
          <w:p>
            <w:pPr>
              <w:spacing w:line="400" w:lineRule="exact"/>
              <w:ind w:firstLine="388" w:firstLineChars="180"/>
              <w:rPr>
                <w:rFonts w:hint="eastAsia" w:ascii="宋体" w:hAnsi="宋体" w:eastAsia="宋体" w:cs="宋体"/>
                <w:color w:val="000000"/>
                <w:spacing w:val="-2"/>
                <w:szCs w:val="21"/>
                <w:highlight w:val="none"/>
              </w:rPr>
            </w:pPr>
          </w:p>
        </w:tc>
      </w:tr>
    </w:tbl>
    <w:p>
      <w:pPr>
        <w:spacing w:line="360" w:lineRule="auto"/>
        <w:ind w:firstLine="456" w:firstLineChars="200"/>
        <w:jc w:val="both"/>
        <w:rPr>
          <w:rFonts w:ascii="仿宋" w:hAnsi="仿宋" w:eastAsia="仿宋" w:cs="仿宋"/>
          <w:w w:val="95"/>
          <w:sz w:val="24"/>
          <w:szCs w:val="24"/>
          <w:lang w:eastAsia="zh-CN"/>
        </w:rPr>
      </w:pPr>
      <w:r>
        <w:rPr>
          <w:rFonts w:ascii="仿宋" w:hAnsi="仿宋" w:eastAsia="仿宋" w:cs="仿宋"/>
          <w:w w:val="95"/>
          <w:sz w:val="24"/>
          <w:szCs w:val="24"/>
          <w:lang w:eastAsia="zh-CN"/>
        </w:rPr>
        <w:t>27.1.3未通过资格审查或符合性审查的投标人，</w:t>
      </w:r>
      <w:r>
        <w:rPr>
          <w:rFonts w:hint="eastAsia" w:ascii="仿宋" w:hAnsi="仿宋" w:eastAsia="仿宋" w:cs="仿宋"/>
          <w:w w:val="95"/>
          <w:sz w:val="24"/>
          <w:szCs w:val="24"/>
          <w:lang w:eastAsia="zh-CN"/>
        </w:rPr>
        <w:t>玛纳斯县政务服务和公共资源交易管理中心</w:t>
      </w:r>
      <w:r>
        <w:rPr>
          <w:rFonts w:ascii="仿宋" w:hAnsi="仿宋" w:eastAsia="仿宋" w:cs="仿宋"/>
          <w:w w:val="95"/>
          <w:sz w:val="24"/>
          <w:szCs w:val="24"/>
          <w:lang w:eastAsia="zh-CN"/>
        </w:rPr>
        <w:t>将在评标现场告知</w:t>
      </w:r>
      <w:r>
        <w:rPr>
          <w:rFonts w:hint="eastAsia" w:ascii="仿宋" w:hAnsi="仿宋" w:eastAsia="仿宋" w:cs="仿宋"/>
          <w:w w:val="95"/>
          <w:sz w:val="24"/>
          <w:szCs w:val="24"/>
          <w:lang w:eastAsia="zh-CN"/>
        </w:rPr>
        <w:t>供应商</w:t>
      </w:r>
      <w:r>
        <w:rPr>
          <w:rFonts w:ascii="仿宋" w:hAnsi="仿宋" w:eastAsia="仿宋" w:cs="仿宋"/>
          <w:w w:val="95"/>
          <w:sz w:val="24"/>
          <w:szCs w:val="24"/>
          <w:lang w:eastAsia="zh-CN"/>
        </w:rPr>
        <w:t>未通过资格审查或符合性审查的原因，评审结束后，</w:t>
      </w:r>
      <w:r>
        <w:rPr>
          <w:rFonts w:hint="eastAsia" w:ascii="仿宋" w:hAnsi="仿宋" w:eastAsia="仿宋" w:cs="仿宋"/>
          <w:w w:val="95"/>
          <w:sz w:val="24"/>
          <w:szCs w:val="24"/>
          <w:lang w:eastAsia="zh-CN"/>
        </w:rPr>
        <w:t>玛纳斯县政务服务和公共资源交易管理中心</w:t>
      </w:r>
      <w:r>
        <w:rPr>
          <w:rFonts w:ascii="仿宋" w:hAnsi="仿宋" w:eastAsia="仿宋" w:cs="仿宋"/>
          <w:w w:val="95"/>
          <w:sz w:val="24"/>
          <w:szCs w:val="24"/>
          <w:lang w:eastAsia="zh-CN"/>
        </w:rPr>
        <w:t>将不再告知未通过资格审查或符合性审查的原因。</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27.2</w:t>
      </w:r>
      <w:r>
        <w:rPr>
          <w:rFonts w:ascii="仿宋" w:hAnsi="仿宋" w:eastAsia="仿宋" w:cs="仿宋"/>
          <w:spacing w:val="-4"/>
          <w:sz w:val="24"/>
          <w:szCs w:val="24"/>
          <w:lang w:eastAsia="zh-CN"/>
        </w:rPr>
        <w:t>在详细评标之前，评委会将首先审查每份投标文件是否</w:t>
      </w:r>
      <w:r>
        <w:rPr>
          <w:rFonts w:ascii="仿宋" w:hAnsi="仿宋" w:eastAsia="仿宋" w:cs="仿宋"/>
          <w:w w:val="95"/>
          <w:sz w:val="24"/>
          <w:szCs w:val="24"/>
          <w:lang w:eastAsia="zh-CN"/>
        </w:rPr>
        <w:t>实质性响应了招标文件的要求。实质性响应的投标应该是与招标文件要求的全部条款、条件和规格相符，没有重大偏离或保留的</w:t>
      </w:r>
      <w:r>
        <w:rPr>
          <w:rFonts w:ascii="仿宋" w:hAnsi="仿宋" w:eastAsia="仿宋" w:cs="仿宋"/>
          <w:sz w:val="24"/>
          <w:szCs w:val="24"/>
          <w:lang w:eastAsia="zh-CN"/>
        </w:rPr>
        <w:t>投标。</w:t>
      </w:r>
      <w:r>
        <w:rPr>
          <w:rFonts w:ascii="仿宋" w:hAnsi="仿宋" w:eastAsia="仿宋" w:cs="仿宋"/>
          <w:spacing w:val="11"/>
          <w:sz w:val="24"/>
          <w:szCs w:val="24"/>
          <w:lang w:eastAsia="zh-CN"/>
        </w:rPr>
        <w:t>所谓重大偏离或保留是指与招标文件规定的实质性要求存在负</w:t>
      </w:r>
      <w:r>
        <w:rPr>
          <w:rFonts w:ascii="仿宋" w:hAnsi="仿宋" w:eastAsia="仿宋" w:cs="仿宋"/>
          <w:w w:val="95"/>
          <w:sz w:val="24"/>
          <w:szCs w:val="24"/>
          <w:lang w:eastAsia="zh-CN"/>
        </w:rPr>
        <w:t>偏离，或者在实质上与招标文件不一致，而且限制了合同中买方和见证方的权利或投标人的义务，纠正这些偏离或保留将会对其他实质性响应要求的投标人的竞争地位产生不公正的影响。重大偏离的认定需经过评委会三分二及以上成员的认定。评委决定投标文件的响应性只根据投标文件本身的内容，而不寻求外部的证</w:t>
      </w:r>
      <w:r>
        <w:rPr>
          <w:rFonts w:ascii="仿宋" w:hAnsi="仿宋" w:eastAsia="仿宋" w:cs="仿宋"/>
          <w:sz w:val="24"/>
          <w:szCs w:val="24"/>
          <w:lang w:eastAsia="zh-CN"/>
        </w:rPr>
        <w:t>据。</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27.3</w:t>
      </w:r>
      <w:r>
        <w:rPr>
          <w:rFonts w:ascii="仿宋" w:hAnsi="仿宋" w:eastAsia="仿宋" w:cs="仿宋"/>
          <w:spacing w:val="-4"/>
          <w:sz w:val="24"/>
          <w:szCs w:val="24"/>
          <w:lang w:eastAsia="zh-CN"/>
        </w:rPr>
        <w:t>如果投标文件实质上没有响应招标文件的要求，评委会</w:t>
      </w:r>
      <w:r>
        <w:rPr>
          <w:rFonts w:ascii="仿宋" w:hAnsi="仿宋" w:eastAsia="仿宋" w:cs="仿宋"/>
          <w:w w:val="95"/>
          <w:sz w:val="24"/>
          <w:szCs w:val="24"/>
          <w:lang w:eastAsia="zh-CN"/>
        </w:rPr>
        <w:t>将予以拒绝，投标人不得通过修改或撤销不合要求的偏离或保留</w:t>
      </w:r>
      <w:r>
        <w:rPr>
          <w:rFonts w:ascii="仿宋" w:hAnsi="仿宋" w:eastAsia="仿宋" w:cs="仿宋"/>
          <w:sz w:val="24"/>
          <w:szCs w:val="24"/>
          <w:lang w:eastAsia="zh-CN"/>
        </w:rPr>
        <w:t>而使其投标成为实质性响应的投标。</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27.4评委会将对确定为实质性响应的投标进行进一步审核，看其是否有计算上累加上的算术错误，修正错误的原则如下：</w:t>
      </w:r>
    </w:p>
    <w:p>
      <w:pPr>
        <w:spacing w:line="360" w:lineRule="auto"/>
        <w:ind w:firstLine="504" w:firstLineChars="200"/>
        <w:jc w:val="both"/>
        <w:rPr>
          <w:rFonts w:ascii="仿宋" w:hAnsi="仿宋" w:eastAsia="仿宋" w:cs="仿宋"/>
          <w:sz w:val="24"/>
          <w:szCs w:val="24"/>
          <w:lang w:eastAsia="zh-CN"/>
        </w:rPr>
      </w:pPr>
      <w:r>
        <w:rPr>
          <w:rFonts w:ascii="仿宋" w:hAnsi="仿宋" w:eastAsia="仿宋" w:cs="仿宋"/>
          <w:spacing w:val="6"/>
          <w:sz w:val="24"/>
          <w:szCs w:val="24"/>
          <w:lang w:eastAsia="zh-CN"/>
        </w:rPr>
        <w:t>（1）投标文件中开标一览表内容与投标文件中相应内容不</w:t>
      </w:r>
      <w:r>
        <w:rPr>
          <w:rFonts w:ascii="仿宋" w:hAnsi="仿宋" w:eastAsia="仿宋" w:cs="仿宋"/>
          <w:sz w:val="24"/>
          <w:szCs w:val="24"/>
          <w:lang w:eastAsia="zh-CN"/>
        </w:rPr>
        <w:t>一致的，以开标一览表为准。</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（2）大写金额和小写金额不一致的，以大写金额为准。</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pacing w:val="6"/>
          <w:w w:val="95"/>
          <w:sz w:val="24"/>
          <w:szCs w:val="24"/>
          <w:lang w:eastAsia="zh-CN"/>
        </w:rPr>
        <w:t>（3）单价金额小数点或者百分比有明显错位的，以开标一</w:t>
      </w:r>
      <w:r>
        <w:rPr>
          <w:rFonts w:ascii="仿宋" w:hAnsi="仿宋" w:eastAsia="仿宋" w:cs="仿宋"/>
          <w:sz w:val="24"/>
          <w:szCs w:val="24"/>
          <w:lang w:eastAsia="zh-CN"/>
        </w:rPr>
        <w:t>览表的总价为准，并修改单价。</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pacing w:val="6"/>
          <w:w w:val="95"/>
          <w:sz w:val="24"/>
          <w:szCs w:val="24"/>
          <w:lang w:eastAsia="zh-CN"/>
        </w:rPr>
        <w:t>（4）总价金额与按单价汇总金额不一致的，以单价金额计</w:t>
      </w:r>
      <w:r>
        <w:rPr>
          <w:rFonts w:ascii="仿宋" w:hAnsi="仿宋" w:eastAsia="仿宋" w:cs="仿宋"/>
          <w:sz w:val="24"/>
          <w:szCs w:val="24"/>
          <w:lang w:eastAsia="zh-CN"/>
        </w:rPr>
        <w:t>算结果为准。</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同时出现两种以上错误的，按照前款规定的顺序修正。</w:t>
      </w:r>
    </w:p>
    <w:p>
      <w:pPr>
        <w:spacing w:line="360" w:lineRule="auto"/>
        <w:ind w:firstLine="480" w:firstLineChars="200"/>
        <w:jc w:val="both"/>
        <w:rPr>
          <w:rFonts w:ascii="仿宋" w:hAnsi="仿宋" w:eastAsia="仿宋" w:cs="仿宋"/>
          <w:w w:val="95"/>
          <w:sz w:val="24"/>
          <w:szCs w:val="24"/>
          <w:lang w:eastAsia="zh-CN"/>
        </w:rPr>
      </w:pPr>
      <w:r>
        <w:rPr>
          <w:rFonts w:ascii="仿宋" w:hAnsi="仿宋" w:eastAsia="仿宋" w:cs="仿宋"/>
          <w:sz w:val="24"/>
          <w:szCs w:val="24"/>
          <w:lang w:eastAsia="zh-CN"/>
        </w:rPr>
        <w:t>27.5</w:t>
      </w:r>
      <w:r>
        <w:rPr>
          <w:rFonts w:ascii="仿宋" w:hAnsi="仿宋" w:eastAsia="仿宋" w:cs="仿宋"/>
          <w:spacing w:val="6"/>
          <w:sz w:val="24"/>
          <w:szCs w:val="24"/>
          <w:lang w:eastAsia="zh-CN"/>
        </w:rPr>
        <w:t>评委会将按上述修正错误的方法调整投标文件中的投</w:t>
      </w:r>
      <w:r>
        <w:rPr>
          <w:rFonts w:ascii="仿宋" w:hAnsi="仿宋" w:eastAsia="仿宋" w:cs="仿宋"/>
          <w:w w:val="95"/>
          <w:sz w:val="24"/>
          <w:szCs w:val="24"/>
          <w:lang w:eastAsia="zh-CN"/>
        </w:rPr>
        <w:t>标报价，调整后的价格应对投标人具有约束力。如果投标人不接受修正后的价格，则其投标将被拒绝，其投标保证金不予退还。</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27.6</w:t>
      </w:r>
      <w:r>
        <w:rPr>
          <w:rFonts w:ascii="仿宋" w:hAnsi="仿宋" w:eastAsia="仿宋" w:cs="仿宋"/>
          <w:spacing w:val="-4"/>
          <w:sz w:val="24"/>
          <w:szCs w:val="24"/>
          <w:lang w:eastAsia="zh-CN"/>
        </w:rPr>
        <w:t>评委会将允许修正投标文件中不构成重大偏离的、微小</w:t>
      </w:r>
      <w:r>
        <w:rPr>
          <w:rFonts w:ascii="仿宋" w:hAnsi="仿宋" w:eastAsia="仿宋" w:cs="仿宋"/>
          <w:w w:val="95"/>
          <w:sz w:val="24"/>
          <w:szCs w:val="24"/>
          <w:lang w:eastAsia="zh-CN"/>
        </w:rPr>
        <w:t>的、非正规的、不一致的或不规则的地方，但这些修改不能影响</w:t>
      </w:r>
      <w:r>
        <w:rPr>
          <w:rFonts w:ascii="仿宋" w:hAnsi="仿宋" w:eastAsia="仿宋" w:cs="仿宋"/>
          <w:sz w:val="24"/>
          <w:szCs w:val="24"/>
          <w:lang w:eastAsia="zh-CN"/>
        </w:rPr>
        <w:t>任何投标人相应的名次排列。</w:t>
      </w:r>
    </w:p>
    <w:p>
      <w:pPr>
        <w:spacing w:line="360" w:lineRule="auto"/>
        <w:ind w:firstLine="480" w:firstLineChars="200"/>
        <w:jc w:val="both"/>
        <w:rPr>
          <w:rFonts w:ascii="仿宋" w:hAnsi="仿宋" w:eastAsia="仿宋" w:cs="仿宋"/>
          <w:color w:val="auto"/>
          <w:sz w:val="24"/>
          <w:szCs w:val="24"/>
          <w:lang w:eastAsia="zh-CN"/>
        </w:rPr>
      </w:pPr>
      <w:r>
        <w:rPr>
          <w:rFonts w:ascii="仿宋" w:hAnsi="仿宋" w:eastAsia="仿宋" w:cs="仿宋"/>
          <w:color w:val="auto"/>
          <w:sz w:val="24"/>
          <w:szCs w:val="24"/>
          <w:lang w:eastAsia="zh-CN"/>
        </w:rPr>
        <w:t>27.7</w:t>
      </w:r>
      <w:r>
        <w:rPr>
          <w:rFonts w:ascii="仿宋" w:hAnsi="仿宋" w:eastAsia="仿宋" w:cs="仿宋"/>
          <w:color w:val="auto"/>
          <w:spacing w:val="-4"/>
          <w:sz w:val="24"/>
          <w:szCs w:val="24"/>
          <w:lang w:eastAsia="zh-CN"/>
        </w:rPr>
        <w:t>采用最低评标价法的采购项目，提供相同品牌产品的不</w:t>
      </w:r>
      <w:r>
        <w:rPr>
          <w:rFonts w:ascii="仿宋" w:hAnsi="仿宋" w:eastAsia="仿宋" w:cs="仿宋"/>
          <w:color w:val="auto"/>
          <w:w w:val="95"/>
          <w:sz w:val="24"/>
          <w:szCs w:val="24"/>
          <w:lang w:eastAsia="zh-CN"/>
        </w:rPr>
        <w:t>同投标人参加同一合同项下投标的，以其中通过资格审查、符合性审查且报价最低的参加评标；报价相同的，由评标委员会按照招标文件规定的方式（招标文件未规定的通过随机抽取的方式）</w:t>
      </w:r>
      <w:r>
        <w:rPr>
          <w:rFonts w:ascii="仿宋" w:hAnsi="仿宋" w:eastAsia="仿宋" w:cs="仿宋"/>
          <w:color w:val="auto"/>
          <w:sz w:val="24"/>
          <w:szCs w:val="24"/>
          <w:lang w:eastAsia="zh-CN"/>
        </w:rPr>
        <w:t>确定一个参加评标的投标人，其他投标无效。</w:t>
      </w:r>
    </w:p>
    <w:p>
      <w:pPr>
        <w:spacing w:line="360" w:lineRule="auto"/>
        <w:ind w:firstLine="480" w:firstLineChars="200"/>
        <w:jc w:val="both"/>
        <w:rPr>
          <w:rFonts w:ascii="仿宋" w:hAnsi="仿宋" w:eastAsia="仿宋" w:cs="仿宋"/>
          <w:color w:val="auto"/>
          <w:sz w:val="24"/>
          <w:szCs w:val="24"/>
          <w:lang w:eastAsia="zh-CN"/>
        </w:rPr>
      </w:pPr>
      <w:r>
        <w:rPr>
          <w:rFonts w:ascii="仿宋" w:hAnsi="仿宋" w:eastAsia="仿宋" w:cs="仿宋"/>
          <w:color w:val="auto"/>
          <w:sz w:val="24"/>
          <w:szCs w:val="24"/>
          <w:lang w:eastAsia="zh-CN"/>
        </w:rPr>
        <w:t>使用综合评分法的采购项目，提供相同品牌产品且通过资格</w:t>
      </w:r>
      <w:r>
        <w:rPr>
          <w:rFonts w:ascii="仿宋" w:hAnsi="仿宋" w:eastAsia="仿宋" w:cs="仿宋"/>
          <w:color w:val="auto"/>
          <w:w w:val="95"/>
          <w:sz w:val="24"/>
          <w:szCs w:val="24"/>
          <w:lang w:eastAsia="zh-CN"/>
        </w:rPr>
        <w:t>审查、符合性审查的不同投标人参加同一合同项下投标的，按一家投标人计算，评审后得分最高的同品牌投标人获得中标人推荐资格；评审得分相同的，由评标委员会根据招标文件规定的方式</w:t>
      </w:r>
      <w:r>
        <w:rPr>
          <w:rFonts w:ascii="仿宋" w:hAnsi="仿宋" w:eastAsia="仿宋" w:cs="仿宋"/>
          <w:color w:val="auto"/>
          <w:spacing w:val="11"/>
          <w:sz w:val="24"/>
          <w:szCs w:val="24"/>
          <w:lang w:eastAsia="zh-CN"/>
        </w:rPr>
        <w:t>（招标文件未规定的采取随机抽取的方式）确定一个中标候选</w:t>
      </w:r>
      <w:r>
        <w:rPr>
          <w:rFonts w:ascii="仿宋" w:hAnsi="仿宋" w:eastAsia="仿宋" w:cs="仿宋"/>
          <w:color w:val="auto"/>
          <w:sz w:val="24"/>
          <w:szCs w:val="24"/>
          <w:lang w:eastAsia="zh-CN"/>
        </w:rPr>
        <w:t>人，其他同品牌投标人不作为中标候选人。</w:t>
      </w:r>
    </w:p>
    <w:p>
      <w:pPr>
        <w:spacing w:line="360" w:lineRule="auto"/>
        <w:jc w:val="both"/>
        <w:rPr>
          <w:rFonts w:ascii="仿宋" w:hAnsi="仿宋" w:eastAsia="仿宋" w:cs="仿宋"/>
          <w:sz w:val="24"/>
          <w:szCs w:val="24"/>
          <w:lang w:eastAsia="zh-CN"/>
        </w:rPr>
      </w:pPr>
      <w:r>
        <w:rPr>
          <w:rFonts w:ascii="仿宋" w:hAnsi="仿宋" w:eastAsia="仿宋" w:cs="仿宋"/>
          <w:b/>
          <w:bCs/>
          <w:w w:val="95"/>
          <w:sz w:val="24"/>
          <w:szCs w:val="24"/>
          <w:lang w:eastAsia="zh-CN"/>
        </w:rPr>
        <w:t>非单一产品采购项目</w:t>
      </w:r>
      <w:r>
        <w:rPr>
          <w:rFonts w:ascii="仿宋" w:hAnsi="仿宋" w:eastAsia="仿宋" w:cs="仿宋"/>
          <w:w w:val="95"/>
          <w:sz w:val="24"/>
          <w:szCs w:val="24"/>
          <w:lang w:eastAsia="zh-CN"/>
        </w:rPr>
        <w:t>，招标文件中将载明其中的</w:t>
      </w:r>
      <w:r>
        <w:rPr>
          <w:rFonts w:ascii="仿宋" w:hAnsi="仿宋" w:eastAsia="仿宋" w:cs="仿宋"/>
          <w:b/>
          <w:bCs/>
          <w:w w:val="95"/>
          <w:sz w:val="24"/>
          <w:szCs w:val="24"/>
          <w:lang w:eastAsia="zh-CN"/>
        </w:rPr>
        <w:t>核心产品</w:t>
      </w:r>
      <w:r>
        <w:rPr>
          <w:rFonts w:ascii="仿宋" w:hAnsi="仿宋" w:eastAsia="仿宋" w:cs="仿宋"/>
          <w:w w:val="95"/>
          <w:sz w:val="24"/>
          <w:szCs w:val="24"/>
          <w:lang w:eastAsia="zh-CN"/>
        </w:rPr>
        <w:t>。多家</w:t>
      </w:r>
      <w:r>
        <w:rPr>
          <w:rFonts w:ascii="仿宋" w:hAnsi="仿宋" w:eastAsia="仿宋" w:cs="仿宋"/>
          <w:sz w:val="24"/>
          <w:szCs w:val="24"/>
          <w:lang w:eastAsia="zh-CN"/>
        </w:rPr>
        <w:t>投标人提供的核心产品品牌相同的，按前两款规定处理。</w:t>
      </w:r>
    </w:p>
    <w:p>
      <w:pPr>
        <w:spacing w:line="360" w:lineRule="auto"/>
        <w:jc w:val="both"/>
        <w:rPr>
          <w:rFonts w:ascii="仿宋" w:hAnsi="仿宋" w:eastAsia="仿宋" w:cs="仿宋"/>
          <w:sz w:val="24"/>
          <w:szCs w:val="24"/>
          <w:lang w:eastAsia="zh-CN"/>
        </w:rPr>
      </w:pPr>
      <w:bookmarkStart w:id="66" w:name="28、无效投标条款和废标条款"/>
      <w:bookmarkEnd w:id="66"/>
      <w:r>
        <w:rPr>
          <w:rFonts w:ascii="仿宋" w:hAnsi="仿宋" w:eastAsia="仿宋" w:cs="仿宋"/>
          <w:sz w:val="24"/>
          <w:szCs w:val="24"/>
          <w:lang w:eastAsia="zh-CN"/>
        </w:rPr>
        <w:t>28、无效投标条款和废标条款</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28.1无效投标条款</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28.1.1未按要求交纳投标保证金的。</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28.1.2未按照招标文件规定要求密封、签署、盖章的。</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28.1.3投标人在报价时采用选择性报价的。</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28.1.4投标人不具备招标文件中规定资格要求的。</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28.1.5投标人的报价超过了采购预算或最高限价的。</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28.1.6未通过符合性检查的。</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28.1.7不符合招标文件中规定的其他实质性要求和条件</w:t>
      </w:r>
      <w:r>
        <w:rPr>
          <w:rFonts w:ascii="仿宋" w:hAnsi="仿宋" w:eastAsia="仿宋" w:cs="仿宋"/>
          <w:i/>
          <w:sz w:val="24"/>
          <w:szCs w:val="24"/>
          <w:u w:val="single" w:color="000000"/>
          <w:lang w:eastAsia="zh-CN"/>
        </w:rPr>
        <w:t>。</w:t>
      </w:r>
    </w:p>
    <w:p>
      <w:pPr>
        <w:tabs>
          <w:tab w:val="left" w:pos="2188"/>
          <w:tab w:val="left" w:pos="2671"/>
          <w:tab w:val="left" w:pos="3385"/>
          <w:tab w:val="left" w:pos="4582"/>
          <w:tab w:val="left" w:pos="5182"/>
          <w:tab w:val="left" w:pos="5781"/>
          <w:tab w:val="left" w:pos="6379"/>
          <w:tab w:val="left" w:pos="6978"/>
          <w:tab w:val="left" w:pos="7578"/>
          <w:tab w:val="left" w:pos="8178"/>
          <w:tab w:val="left" w:pos="8775"/>
        </w:tabs>
        <w:spacing w:line="360" w:lineRule="auto"/>
        <w:ind w:firstLine="476" w:firstLineChars="200"/>
        <w:jc w:val="both"/>
        <w:rPr>
          <w:rFonts w:ascii="仿宋" w:hAnsi="仿宋" w:eastAsia="仿宋" w:cs="仿宋"/>
          <w:sz w:val="24"/>
          <w:szCs w:val="24"/>
          <w:lang w:eastAsia="zh-CN"/>
        </w:rPr>
      </w:pPr>
      <w:r>
        <w:rPr>
          <w:rFonts w:ascii="仿宋" w:hAnsi="仿宋" w:eastAsia="仿宋" w:cs="仿宋"/>
          <w:spacing w:val="-1"/>
          <w:sz w:val="24"/>
          <w:szCs w:val="24"/>
          <w:lang w:eastAsia="zh-CN"/>
        </w:rPr>
        <w:t>28.1.8</w:t>
      </w:r>
      <w:r>
        <w:rPr>
          <w:rFonts w:ascii="仿宋" w:hAnsi="仿宋" w:eastAsia="仿宋" w:cs="仿宋"/>
          <w:w w:val="95"/>
          <w:sz w:val="24"/>
          <w:szCs w:val="24"/>
          <w:lang w:eastAsia="zh-CN"/>
        </w:rPr>
        <w:t>投标人被 “信用中国”网</w:t>
      </w:r>
      <w:r>
        <w:rPr>
          <w:rFonts w:ascii="仿宋" w:hAnsi="仿宋" w:eastAsia="仿宋" w:cs="仿宋"/>
          <w:sz w:val="24"/>
          <w:szCs w:val="24"/>
          <w:lang w:eastAsia="zh-CN"/>
        </w:rPr>
        <w:t>站</w:t>
      </w:r>
      <w:r>
        <w:rPr>
          <w:rFonts w:ascii="仿宋" w:hAnsi="仿宋" w:eastAsia="仿宋" w:cs="仿宋"/>
          <w:w w:val="95"/>
          <w:sz w:val="24"/>
          <w:szCs w:val="24"/>
          <w:lang w:eastAsia="zh-CN"/>
        </w:rPr>
        <w:t>（</w:t>
      </w:r>
      <w:r>
        <w:fldChar w:fldCharType="begin"/>
      </w:r>
      <w:r>
        <w:instrText xml:space="preserve"> HYPERLINK "http://www.creditchina.gov.cn/" \h </w:instrText>
      </w:r>
      <w:r>
        <w:fldChar w:fldCharType="separate"/>
      </w:r>
      <w:r>
        <w:rPr>
          <w:rFonts w:ascii="仿宋" w:hAnsi="仿宋" w:eastAsia="仿宋" w:cs="仿宋"/>
          <w:w w:val="95"/>
          <w:sz w:val="24"/>
          <w:szCs w:val="24"/>
          <w:lang w:eastAsia="zh-CN"/>
        </w:rPr>
        <w:t>www.creditchina.gov.cn</w:t>
      </w:r>
      <w:r>
        <w:rPr>
          <w:rFonts w:ascii="仿宋" w:hAnsi="仿宋" w:eastAsia="仿宋" w:cs="仿宋"/>
          <w:w w:val="95"/>
          <w:sz w:val="24"/>
          <w:szCs w:val="24"/>
          <w:lang w:eastAsia="zh-CN"/>
        </w:rPr>
        <w:fldChar w:fldCharType="end"/>
      </w:r>
      <w:r>
        <w:rPr>
          <w:rFonts w:ascii="仿宋" w:hAnsi="仿宋" w:eastAsia="仿宋" w:cs="仿宋"/>
          <w:w w:val="95"/>
          <w:sz w:val="24"/>
          <w:szCs w:val="24"/>
          <w:lang w:eastAsia="zh-CN"/>
        </w:rPr>
        <w:t>）列入失信被执行人或重大税收违法</w:t>
      </w:r>
      <w:r>
        <w:rPr>
          <w:rFonts w:ascii="仿宋" w:hAnsi="仿宋" w:eastAsia="仿宋" w:cs="仿宋"/>
          <w:sz w:val="24"/>
          <w:szCs w:val="24"/>
          <w:lang w:eastAsia="zh-CN"/>
        </w:rPr>
        <w:t>案件当事人名单或政府采购严重失信行为记录名单。</w:t>
      </w:r>
    </w:p>
    <w:p>
      <w:pPr>
        <w:tabs>
          <w:tab w:val="left" w:pos="2068"/>
        </w:tabs>
        <w:spacing w:line="360" w:lineRule="auto"/>
        <w:ind w:firstLine="476" w:firstLineChars="200"/>
        <w:jc w:val="both"/>
        <w:rPr>
          <w:rFonts w:ascii="仿宋" w:hAnsi="仿宋" w:eastAsia="仿宋" w:cs="仿宋"/>
          <w:sz w:val="24"/>
          <w:szCs w:val="24"/>
          <w:lang w:eastAsia="zh-CN"/>
        </w:rPr>
      </w:pPr>
      <w:r>
        <w:rPr>
          <w:rFonts w:ascii="仿宋" w:hAnsi="仿宋" w:eastAsia="仿宋" w:cs="仿宋"/>
          <w:spacing w:val="-1"/>
          <w:sz w:val="24"/>
          <w:szCs w:val="24"/>
          <w:lang w:eastAsia="zh-CN"/>
        </w:rPr>
        <w:t>28.1.9</w:t>
      </w:r>
      <w:r>
        <w:rPr>
          <w:rFonts w:ascii="仿宋" w:hAnsi="仿宋" w:eastAsia="仿宋" w:cs="仿宋"/>
          <w:sz w:val="24"/>
          <w:szCs w:val="24"/>
          <w:lang w:eastAsia="zh-CN"/>
        </w:rPr>
        <w:t>投标文件含有采购人不能接受的附加条件的。</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28.1.10</w:t>
      </w:r>
      <w:r>
        <w:rPr>
          <w:rFonts w:ascii="仿宋" w:hAnsi="仿宋" w:eastAsia="仿宋" w:cs="仿宋"/>
          <w:spacing w:val="14"/>
          <w:sz w:val="24"/>
          <w:szCs w:val="24"/>
          <w:lang w:eastAsia="zh-CN"/>
        </w:rPr>
        <w:t>评标委员会认为投标人的报价明显低于其他通过</w:t>
      </w:r>
      <w:r>
        <w:rPr>
          <w:rFonts w:ascii="仿宋" w:hAnsi="仿宋" w:eastAsia="仿宋" w:cs="仿宋"/>
          <w:w w:val="95"/>
          <w:sz w:val="24"/>
          <w:szCs w:val="24"/>
          <w:lang w:eastAsia="zh-CN"/>
        </w:rPr>
        <w:t>符合性审查投标人的报价，有可能影响产品质量或者不能诚信履约的，应当要求其在评标现场合理的时间内提供书面说明，必要时提交相关证明材料；投标人不能证明其报价合理性的，评标委</w:t>
      </w:r>
      <w:r>
        <w:rPr>
          <w:rFonts w:ascii="仿宋" w:hAnsi="仿宋" w:eastAsia="仿宋" w:cs="仿宋"/>
          <w:sz w:val="24"/>
          <w:szCs w:val="24"/>
          <w:lang w:eastAsia="zh-CN"/>
        </w:rPr>
        <w:t>员会应当将其作为无效投标处理。</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28.1.11其他法律、法规及本招标文件规定的属无效投标的情形。</w:t>
      </w: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28.2废标条款：</w:t>
      </w:r>
    </w:p>
    <w:p>
      <w:pPr>
        <w:spacing w:line="360" w:lineRule="auto"/>
        <w:ind w:left="440" w:leftChars="200"/>
        <w:jc w:val="both"/>
        <w:rPr>
          <w:rFonts w:ascii="仿宋" w:hAnsi="仿宋" w:eastAsia="仿宋" w:cs="仿宋"/>
          <w:sz w:val="24"/>
          <w:szCs w:val="24"/>
          <w:lang w:eastAsia="zh-CN"/>
        </w:rPr>
      </w:pPr>
      <w:r>
        <w:rPr>
          <w:rFonts w:ascii="仿宋" w:hAnsi="仿宋" w:eastAsia="仿宋" w:cs="仿宋"/>
          <w:sz w:val="24"/>
          <w:szCs w:val="24"/>
          <w:lang w:eastAsia="zh-CN"/>
        </w:rPr>
        <w:t>28.2.1</w:t>
      </w:r>
      <w:r>
        <w:rPr>
          <w:rFonts w:ascii="仿宋" w:hAnsi="仿宋" w:eastAsia="仿宋" w:cs="仿宋"/>
          <w:spacing w:val="6"/>
          <w:sz w:val="24"/>
          <w:szCs w:val="24"/>
          <w:lang w:eastAsia="zh-CN"/>
        </w:rPr>
        <w:t>符合专业条件的供应商或者对招标文件作实质响应</w:t>
      </w:r>
      <w:r>
        <w:rPr>
          <w:rFonts w:ascii="仿宋" w:hAnsi="仿宋" w:eastAsia="仿宋" w:cs="仿宋"/>
          <w:spacing w:val="-3"/>
          <w:sz w:val="24"/>
          <w:szCs w:val="24"/>
          <w:lang w:eastAsia="zh-CN"/>
        </w:rPr>
        <w:t>的供应商不足三家的。28.2.2出现影响采购公正的违法、违规行</w:t>
      </w:r>
      <w:r>
        <w:rPr>
          <w:rFonts w:ascii="仿宋" w:hAnsi="仿宋" w:eastAsia="仿宋" w:cs="仿宋"/>
          <w:sz w:val="24"/>
          <w:szCs w:val="24"/>
          <w:lang w:eastAsia="zh-CN"/>
        </w:rPr>
        <w:t>为的。</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28.2.3因重大变故，采购任务取消的。</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28.2.4</w:t>
      </w:r>
      <w:r>
        <w:rPr>
          <w:rFonts w:ascii="仿宋" w:hAnsi="仿宋" w:eastAsia="仿宋" w:cs="仿宋"/>
          <w:spacing w:val="-4"/>
          <w:sz w:val="24"/>
          <w:szCs w:val="24"/>
          <w:lang w:eastAsia="zh-CN"/>
        </w:rPr>
        <w:t>评标委员会认定招标文件存在歧义、重大缺陷导致评</w:t>
      </w:r>
      <w:r>
        <w:rPr>
          <w:rFonts w:ascii="仿宋" w:hAnsi="仿宋" w:eastAsia="仿宋" w:cs="仿宋"/>
          <w:sz w:val="24"/>
          <w:szCs w:val="24"/>
          <w:lang w:eastAsia="zh-CN"/>
        </w:rPr>
        <w:t>审工作无法进行。</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28.3</w:t>
      </w:r>
      <w:r>
        <w:rPr>
          <w:rFonts w:ascii="仿宋" w:hAnsi="仿宋" w:eastAsia="仿宋" w:cs="仿宋"/>
          <w:spacing w:val="6"/>
          <w:sz w:val="24"/>
          <w:szCs w:val="24"/>
          <w:lang w:eastAsia="zh-CN"/>
        </w:rPr>
        <w:t>投标截止时间结束后参加投标的供应商不足三家的处</w:t>
      </w:r>
      <w:r>
        <w:rPr>
          <w:rFonts w:ascii="仿宋" w:hAnsi="仿宋" w:eastAsia="仿宋" w:cs="仿宋"/>
          <w:sz w:val="24"/>
          <w:szCs w:val="24"/>
          <w:lang w:eastAsia="zh-CN"/>
        </w:rPr>
        <w:t>理：</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28.3.1</w:t>
      </w:r>
      <w:r>
        <w:rPr>
          <w:rFonts w:ascii="仿宋" w:hAnsi="仿宋" w:eastAsia="仿宋" w:cs="仿宋"/>
          <w:spacing w:val="6"/>
          <w:sz w:val="24"/>
          <w:szCs w:val="24"/>
          <w:lang w:eastAsia="zh-CN"/>
        </w:rPr>
        <w:t>如出现投标截止时间结束后参加投标的供应商或者</w:t>
      </w:r>
      <w:r>
        <w:rPr>
          <w:rFonts w:ascii="仿宋" w:hAnsi="仿宋" w:eastAsia="仿宋" w:cs="仿宋"/>
          <w:w w:val="95"/>
          <w:sz w:val="24"/>
          <w:szCs w:val="24"/>
          <w:lang w:eastAsia="zh-CN"/>
        </w:rPr>
        <w:t>在评标期间对招标文件做出实质响应的供应商不足三家情况，按</w:t>
      </w:r>
      <w:r>
        <w:rPr>
          <w:rFonts w:ascii="仿宋" w:hAnsi="仿宋" w:eastAsia="仿宋" w:cs="仿宋"/>
          <w:sz w:val="24"/>
          <w:szCs w:val="24"/>
          <w:lang w:eastAsia="zh-CN"/>
        </w:rPr>
        <w:t>政府采购相关规定执行。</w:t>
      </w: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28.4</w:t>
      </w:r>
      <w:r>
        <w:rPr>
          <w:rFonts w:ascii="仿宋" w:hAnsi="仿宋" w:eastAsia="仿宋" w:cs="仿宋"/>
          <w:spacing w:val="-4"/>
          <w:sz w:val="24"/>
          <w:szCs w:val="24"/>
          <w:lang w:eastAsia="zh-CN"/>
        </w:rPr>
        <w:t>供应商有下列情形之一的，处以采购金额千分之五以上</w:t>
      </w:r>
      <w:r>
        <w:rPr>
          <w:rFonts w:ascii="仿宋" w:hAnsi="仿宋" w:eastAsia="仿宋" w:cs="仿宋"/>
          <w:w w:val="95"/>
          <w:sz w:val="24"/>
          <w:szCs w:val="24"/>
          <w:lang w:eastAsia="zh-CN"/>
        </w:rPr>
        <w:t>千分之十以下的罚款，列入不良行为记录名单，在一至三年内禁止参加政府采购活动，有违法所得的，并处没收违法所得，情节严重的，由工商行政管理机关吊销营业执照；构成犯罪的，依法</w:t>
      </w:r>
      <w:r>
        <w:rPr>
          <w:rFonts w:ascii="仿宋" w:hAnsi="仿宋" w:eastAsia="仿宋" w:cs="仿宋"/>
          <w:sz w:val="24"/>
          <w:szCs w:val="24"/>
          <w:lang w:eastAsia="zh-CN"/>
        </w:rPr>
        <w:t>追究刑事责任：</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（一）提供虚假材料谋取中标、成交的；</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（二）采取不正当手段诋毁、排挤其他供应商的；</w:t>
      </w:r>
    </w:p>
    <w:p>
      <w:pPr>
        <w:spacing w:line="360" w:lineRule="auto"/>
        <w:ind w:firstLine="456" w:firstLineChars="200"/>
        <w:jc w:val="both"/>
        <w:rPr>
          <w:rFonts w:ascii="仿宋" w:hAnsi="仿宋" w:eastAsia="仿宋" w:cs="仿宋"/>
          <w:sz w:val="24"/>
          <w:szCs w:val="24"/>
          <w:lang w:eastAsia="zh-CN"/>
        </w:rPr>
      </w:pPr>
      <w:r>
        <w:rPr>
          <w:rFonts w:ascii="仿宋" w:hAnsi="仿宋" w:eastAsia="仿宋" w:cs="仿宋"/>
          <w:spacing w:val="-6"/>
          <w:sz w:val="24"/>
          <w:szCs w:val="24"/>
          <w:lang w:eastAsia="zh-CN"/>
        </w:rPr>
        <w:t>（三）与采购人、其他供应商或者采购代理机构恶意串通的；</w:t>
      </w:r>
    </w:p>
    <w:p>
      <w:pPr>
        <w:spacing w:line="360" w:lineRule="auto"/>
        <w:ind w:firstLine="456" w:firstLineChars="200"/>
        <w:jc w:val="both"/>
        <w:rPr>
          <w:rFonts w:ascii="仿宋" w:hAnsi="仿宋" w:eastAsia="仿宋" w:cs="仿宋"/>
          <w:sz w:val="24"/>
          <w:szCs w:val="24"/>
          <w:lang w:eastAsia="zh-CN"/>
        </w:rPr>
      </w:pPr>
      <w:r>
        <w:rPr>
          <w:rFonts w:ascii="仿宋" w:hAnsi="仿宋" w:eastAsia="仿宋" w:cs="仿宋"/>
          <w:w w:val="95"/>
          <w:sz w:val="24"/>
          <w:szCs w:val="24"/>
          <w:lang w:eastAsia="zh-CN"/>
        </w:rPr>
        <w:t>（四）向采购人、采购代理机构行贿或者提供其他不正当利</w:t>
      </w:r>
      <w:r>
        <w:rPr>
          <w:rFonts w:ascii="仿宋" w:hAnsi="仿宋" w:eastAsia="仿宋" w:cs="仿宋"/>
          <w:sz w:val="24"/>
          <w:szCs w:val="24"/>
          <w:lang w:eastAsia="zh-CN"/>
        </w:rPr>
        <w:t>益的；</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（五）在招标采购过程中与采购人进行协商谈判的；</w:t>
      </w:r>
    </w:p>
    <w:p>
      <w:pPr>
        <w:spacing w:line="360" w:lineRule="auto"/>
        <w:ind w:firstLine="504" w:firstLineChars="200"/>
        <w:jc w:val="both"/>
        <w:rPr>
          <w:rFonts w:ascii="仿宋" w:hAnsi="仿宋" w:eastAsia="仿宋" w:cs="仿宋"/>
          <w:sz w:val="24"/>
          <w:szCs w:val="24"/>
          <w:lang w:eastAsia="zh-CN"/>
        </w:rPr>
      </w:pPr>
      <w:r>
        <w:rPr>
          <w:rFonts w:ascii="仿宋" w:hAnsi="仿宋" w:eastAsia="仿宋" w:cs="仿宋"/>
          <w:spacing w:val="6"/>
          <w:sz w:val="24"/>
          <w:szCs w:val="24"/>
          <w:lang w:eastAsia="zh-CN"/>
        </w:rPr>
        <w:t>（六）拒绝有关部门监督检查或者提供虚假情况的。</w:t>
      </w:r>
      <w:r>
        <w:rPr>
          <w:rFonts w:ascii="仿宋" w:hAnsi="仿宋" w:eastAsia="仿宋" w:cs="仿宋"/>
          <w:spacing w:val="7"/>
          <w:sz w:val="24"/>
          <w:szCs w:val="24"/>
          <w:lang w:eastAsia="zh-CN"/>
        </w:rPr>
        <w:t>供应</w:t>
      </w:r>
      <w:r>
        <w:rPr>
          <w:rFonts w:ascii="仿宋" w:hAnsi="仿宋" w:eastAsia="仿宋" w:cs="仿宋"/>
          <w:sz w:val="24"/>
          <w:szCs w:val="24"/>
          <w:lang w:eastAsia="zh-CN"/>
        </w:rPr>
        <w:t>商有前款第（一）至（五）项情形之一的，中标、成交无效。</w:t>
      </w: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28.5评标办法</w:t>
      </w:r>
    </w:p>
    <w:p>
      <w:pPr>
        <w:spacing w:line="360" w:lineRule="auto"/>
        <w:jc w:val="both"/>
        <w:rPr>
          <w:rFonts w:ascii="仿宋" w:hAnsi="仿宋" w:eastAsia="仿宋" w:cs="仿宋"/>
          <w:sz w:val="24"/>
          <w:szCs w:val="24"/>
          <w:lang w:eastAsia="zh-CN"/>
        </w:rPr>
      </w:pPr>
      <w:r>
        <w:rPr>
          <w:rFonts w:ascii="仿宋" w:hAnsi="仿宋" w:eastAsia="仿宋" w:cs="仿宋"/>
          <w:w w:val="95"/>
          <w:sz w:val="24"/>
          <w:szCs w:val="24"/>
          <w:lang w:eastAsia="zh-CN"/>
        </w:rPr>
        <w:t>综合评分法，是指投标文件满足招标文件全部实质性要求，且按</w:t>
      </w:r>
      <w:r>
        <w:rPr>
          <w:rFonts w:ascii="仿宋" w:hAnsi="仿宋" w:eastAsia="仿宋" w:cs="仿宋"/>
          <w:spacing w:val="11"/>
          <w:sz w:val="24"/>
          <w:szCs w:val="24"/>
          <w:lang w:eastAsia="zh-CN"/>
        </w:rPr>
        <w:t>照评审因素的量化指标评审得分最高的投标人为中标候选人的</w:t>
      </w:r>
      <w:r>
        <w:rPr>
          <w:rFonts w:ascii="仿宋" w:hAnsi="仿宋" w:eastAsia="仿宋" w:cs="仿宋"/>
          <w:w w:val="95"/>
          <w:sz w:val="24"/>
          <w:szCs w:val="24"/>
          <w:lang w:eastAsia="zh-CN"/>
        </w:rPr>
        <w:t>评标方法。价格分应当采用低价优先法计算，即满足招标文件要求且投标价格最低的投标报价为评标基准价，其价格分为满分。</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说明：1、招标方不保证最低报价中标。</w:t>
      </w:r>
    </w:p>
    <w:p>
      <w:pPr>
        <w:spacing w:line="360" w:lineRule="auto"/>
        <w:ind w:firstLine="504" w:firstLineChars="200"/>
        <w:jc w:val="both"/>
        <w:rPr>
          <w:rFonts w:ascii="仿宋" w:hAnsi="仿宋" w:eastAsia="仿宋" w:cs="仿宋"/>
          <w:sz w:val="24"/>
          <w:szCs w:val="24"/>
          <w:lang w:eastAsia="zh-CN"/>
        </w:rPr>
      </w:pPr>
      <w:r>
        <w:rPr>
          <w:rFonts w:ascii="仿宋" w:hAnsi="仿宋" w:eastAsia="仿宋" w:cs="仿宋"/>
          <w:spacing w:val="6"/>
          <w:sz w:val="24"/>
          <w:szCs w:val="24"/>
          <w:lang w:eastAsia="zh-CN"/>
        </w:rPr>
        <w:t>2、本次投标根据评标结果选出</w:t>
      </w:r>
      <w:r>
        <w:rPr>
          <w:rFonts w:hint="eastAsia" w:ascii="仿宋" w:hAnsi="仿宋" w:eastAsia="仿宋" w:cs="仿宋"/>
          <w:spacing w:val="6"/>
          <w:sz w:val="24"/>
          <w:szCs w:val="24"/>
          <w:lang w:eastAsia="zh-CN"/>
        </w:rPr>
        <w:t>3名中标候</w:t>
      </w:r>
      <w:r>
        <w:rPr>
          <w:rFonts w:hint="eastAsia" w:ascii="仿宋" w:hAnsi="仿宋" w:eastAsia="仿宋" w:cs="仿宋"/>
          <w:color w:val="auto"/>
          <w:spacing w:val="6"/>
          <w:sz w:val="24"/>
          <w:szCs w:val="24"/>
          <w:lang w:eastAsia="zh-CN"/>
        </w:rPr>
        <w:t>选人</w:t>
      </w:r>
      <w:r>
        <w:rPr>
          <w:rFonts w:ascii="仿宋" w:hAnsi="仿宋" w:eastAsia="仿宋" w:cs="仿宋"/>
          <w:color w:val="auto"/>
          <w:sz w:val="24"/>
          <w:szCs w:val="24"/>
          <w:lang w:eastAsia="zh-CN"/>
        </w:rPr>
        <w:t>。</w:t>
      </w:r>
    </w:p>
    <w:p>
      <w:pPr>
        <w:spacing w:line="360" w:lineRule="auto"/>
        <w:ind w:firstLine="528" w:firstLineChars="200"/>
        <w:jc w:val="both"/>
        <w:rPr>
          <w:rFonts w:ascii="仿宋" w:hAnsi="仿宋" w:eastAsia="仿宋" w:cs="仿宋"/>
          <w:sz w:val="24"/>
          <w:szCs w:val="24"/>
          <w:lang w:eastAsia="zh-CN"/>
        </w:rPr>
      </w:pPr>
      <w:r>
        <w:rPr>
          <w:rFonts w:ascii="仿宋" w:hAnsi="仿宋" w:eastAsia="仿宋" w:cs="仿宋"/>
          <w:spacing w:val="12"/>
          <w:sz w:val="24"/>
          <w:szCs w:val="24"/>
          <w:lang w:eastAsia="zh-CN"/>
        </w:rPr>
        <w:t>最低评标价法，是指投标文件满足招标文件全部实质性要</w:t>
      </w:r>
      <w:r>
        <w:rPr>
          <w:rFonts w:ascii="仿宋" w:hAnsi="仿宋" w:eastAsia="仿宋" w:cs="仿宋"/>
          <w:w w:val="95"/>
          <w:sz w:val="24"/>
          <w:szCs w:val="24"/>
          <w:lang w:eastAsia="zh-CN"/>
        </w:rPr>
        <w:t>求，且投标报价最低的投标人为中标候选人的评标方法。技术、服务等标准统一的货物服务项目，应当采用最低评标价法。采用最低评标价法评标时，除了算术修正和落实政府采购政策需进行</w:t>
      </w:r>
      <w:r>
        <w:rPr>
          <w:rFonts w:ascii="仿宋" w:hAnsi="仿宋" w:eastAsia="仿宋" w:cs="仿宋"/>
          <w:sz w:val="24"/>
          <w:szCs w:val="24"/>
          <w:lang w:eastAsia="zh-CN"/>
        </w:rPr>
        <w:t>的价格扣除外，不能对投标人的投标价格进行任何调整。</w:t>
      </w:r>
    </w:p>
    <w:p>
      <w:pPr>
        <w:rPr>
          <w:rFonts w:ascii="仿宋" w:hAnsi="仿宋" w:eastAsia="仿宋" w:cs="仿宋"/>
          <w:sz w:val="24"/>
          <w:szCs w:val="24"/>
          <w:lang w:eastAsia="zh-CN"/>
        </w:rPr>
      </w:pPr>
      <w:r>
        <w:rPr>
          <w:rFonts w:ascii="仿宋" w:hAnsi="仿宋" w:eastAsia="仿宋" w:cs="仿宋"/>
          <w:sz w:val="24"/>
          <w:szCs w:val="24"/>
          <w:lang w:eastAsia="zh-CN"/>
        </w:rPr>
        <w:br w:type="page"/>
      </w:r>
    </w:p>
    <w:p>
      <w:pPr>
        <w:pStyle w:val="5"/>
        <w:numPr>
          <w:ilvl w:val="0"/>
          <w:numId w:val="0"/>
        </w:numPr>
        <w:spacing w:before="360" w:after="360"/>
        <w:ind w:left="720" w:hanging="720"/>
        <w:rPr>
          <w:lang w:eastAsia="zh-CN"/>
        </w:rPr>
      </w:pPr>
      <w:bookmarkStart w:id="67" w:name="六、定标"/>
      <w:bookmarkEnd w:id="67"/>
      <w:r>
        <w:rPr>
          <w:lang w:eastAsia="zh-CN"/>
        </w:rPr>
        <w:t>六、定标</w:t>
      </w:r>
    </w:p>
    <w:p>
      <w:pPr>
        <w:spacing w:line="360" w:lineRule="auto"/>
        <w:jc w:val="both"/>
        <w:rPr>
          <w:rFonts w:ascii="仿宋" w:hAnsi="仿宋" w:eastAsia="仿宋" w:cs="仿宋"/>
          <w:sz w:val="24"/>
          <w:szCs w:val="24"/>
          <w:lang w:eastAsia="zh-CN"/>
        </w:rPr>
      </w:pPr>
      <w:bookmarkStart w:id="68" w:name="29、确定中标单位"/>
      <w:bookmarkEnd w:id="68"/>
      <w:r>
        <w:rPr>
          <w:rFonts w:ascii="仿宋" w:hAnsi="仿宋" w:eastAsia="仿宋" w:cs="仿宋"/>
          <w:sz w:val="24"/>
          <w:szCs w:val="24"/>
          <w:lang w:eastAsia="zh-CN"/>
        </w:rPr>
        <w:t>29、确定中标单位</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29.1</w:t>
      </w:r>
      <w:r>
        <w:rPr>
          <w:rFonts w:ascii="仿宋" w:hAnsi="仿宋" w:eastAsia="仿宋" w:cs="仿宋"/>
          <w:spacing w:val="6"/>
          <w:sz w:val="24"/>
          <w:szCs w:val="24"/>
          <w:lang w:eastAsia="zh-CN"/>
        </w:rPr>
        <w:t>评委会根据本招标文件规定评分办法与评分标准向采</w:t>
      </w:r>
      <w:r>
        <w:rPr>
          <w:rFonts w:ascii="仿宋" w:hAnsi="仿宋" w:eastAsia="仿宋" w:cs="仿宋"/>
          <w:sz w:val="24"/>
          <w:szCs w:val="24"/>
          <w:lang w:eastAsia="zh-CN"/>
        </w:rPr>
        <w:t>购人推荐出1名中标候选人。</w:t>
      </w:r>
    </w:p>
    <w:p>
      <w:pPr>
        <w:spacing w:line="360" w:lineRule="auto"/>
        <w:ind w:firstLine="480" w:firstLineChars="200"/>
        <w:jc w:val="both"/>
        <w:rPr>
          <w:rFonts w:ascii="仿宋" w:hAnsi="仿宋" w:eastAsia="仿宋" w:cs="仿宋"/>
          <w:sz w:val="24"/>
          <w:szCs w:val="24"/>
          <w:lang w:eastAsia="zh-CN"/>
        </w:rPr>
      </w:pPr>
      <w:r>
        <w:rPr>
          <w:rFonts w:ascii="仿宋" w:hAnsi="仿宋" w:eastAsia="仿宋"/>
          <w:sz w:val="24"/>
          <w:szCs w:val="24"/>
        </w:rPr>
        <mc:AlternateContent>
          <mc:Choice Requires="wpg">
            <w:drawing>
              <wp:anchor distT="0" distB="0" distL="114300" distR="114300" simplePos="0" relativeHeight="251659264" behindDoc="1" locked="0" layoutInCell="1" allowOverlap="1">
                <wp:simplePos x="0" y="0"/>
                <wp:positionH relativeFrom="page">
                  <wp:posOffset>1932940</wp:posOffset>
                </wp:positionH>
                <wp:positionV relativeFrom="paragraph">
                  <wp:posOffset>8255</wp:posOffset>
                </wp:positionV>
                <wp:extent cx="152400" cy="1270"/>
                <wp:effectExtent l="8890" t="11430" r="10160" b="6350"/>
                <wp:wrapNone/>
                <wp:docPr id="1608992256" name="Group 71"/>
                <wp:cNvGraphicFramePr/>
                <a:graphic xmlns:a="http://schemas.openxmlformats.org/drawingml/2006/main">
                  <a:graphicData uri="http://schemas.microsoft.com/office/word/2010/wordprocessingGroup">
                    <wpg:wgp>
                      <wpg:cNvGrpSpPr/>
                      <wpg:grpSpPr>
                        <a:xfrm>
                          <a:off x="0" y="0"/>
                          <a:ext cx="152400" cy="1270"/>
                          <a:chOff x="3044" y="13"/>
                          <a:chExt cx="240" cy="2"/>
                        </a:xfrm>
                      </wpg:grpSpPr>
                      <wps:wsp>
                        <wps:cNvPr id="1832799205" name="Freeform 72"/>
                        <wps:cNvSpPr/>
                        <wps:spPr bwMode="auto">
                          <a:xfrm>
                            <a:off x="3044" y="13"/>
                            <a:ext cx="240" cy="2"/>
                          </a:xfrm>
                          <a:custGeom>
                            <a:avLst/>
                            <a:gdLst>
                              <a:gd name="T0" fmla="+- 0 3044 3044"/>
                              <a:gd name="T1" fmla="*/ T0 w 240"/>
                              <a:gd name="T2" fmla="+- 0 3284 3044"/>
                              <a:gd name="T3" fmla="*/ T2 w 240"/>
                            </a:gdLst>
                            <a:ahLst/>
                            <a:cxnLst>
                              <a:cxn ang="0">
                                <a:pos x="T1" y="0"/>
                              </a:cxn>
                              <a:cxn ang="0">
                                <a:pos x="T3" y="0"/>
                              </a:cxn>
                            </a:cxnLst>
                            <a:rect l="0" t="0" r="r" b="b"/>
                            <a:pathLst>
                              <a:path w="240">
                                <a:moveTo>
                                  <a:pt x="0" y="0"/>
                                </a:moveTo>
                                <a:lnTo>
                                  <a:pt x="240" y="0"/>
                                </a:lnTo>
                              </a:path>
                            </a:pathLst>
                          </a:custGeom>
                          <a:noFill/>
                          <a:ln w="10973">
                            <a:solidFill>
                              <a:srgbClr val="000000"/>
                            </a:solidFill>
                            <a:round/>
                          </a:ln>
                        </wps:spPr>
                        <wps:bodyPr rot="0" vert="horz" wrap="square" lIns="91440" tIns="45720" rIns="91440" bIns="45720" anchor="t" anchorCtr="0" upright="1">
                          <a:noAutofit/>
                        </wps:bodyPr>
                      </wps:wsp>
                    </wpg:wgp>
                  </a:graphicData>
                </a:graphic>
              </wp:anchor>
            </w:drawing>
          </mc:Choice>
          <mc:Fallback>
            <w:pict>
              <v:group id="Group 71" o:spid="_x0000_s1026" o:spt="203" style="position:absolute;left:0pt;margin-left:152.2pt;margin-top:0.65pt;height:0.1pt;width:12pt;mso-position-horizontal-relative:page;z-index:-251657216;mso-width-relative:page;mso-height-relative:page;" coordorigin="3044,13" coordsize="240,2" o:gfxdata="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">
                <o:lock v:ext="edit" aspectratio="f"/>
                <v:shape id="Freeform 72" o:spid="_x0000_s1026" o:spt="100" style="position:absolute;left:3044;top:13;height:2;width:240;" filled="f" stroked="t" coordsize="240,1" o:gfxdata="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CF&#10;bsc9wwAAAOMAAAAPAAAAAAAAAAEAIAAAACIAAABkcnMvZG93bnJldi54bWxQSwECFAAUAAAACACH&#10;TuJAMy8FnjsAAAA5AAAAEAAAAAAAAAABACAAAAASAQAAZHJzL3NoYXBleG1sLnhtbFBLBQYAAAAA&#10;BgAGAFsBAAC8AwAAAAA=&#10;" path="m0,0l240,0e">
                  <v:path o:connectlocs="0,0;240,0" o:connectangles="0,0"/>
                  <v:fill on="f" focussize="0,0"/>
                  <v:stroke weight="0.864015748031496pt" color="#000000" joinstyle="round"/>
                  <v:imagedata o:title=""/>
                  <o:lock v:ext="edit" aspectratio="f"/>
                </v:shape>
              </v:group>
            </w:pict>
          </mc:Fallback>
        </mc:AlternateContent>
      </w:r>
      <w:r>
        <w:rPr>
          <w:rFonts w:ascii="仿宋" w:hAnsi="仿宋" w:eastAsia="仿宋" w:cs="仿宋"/>
          <w:sz w:val="24"/>
          <w:szCs w:val="24"/>
          <w:lang w:eastAsia="zh-CN"/>
        </w:rPr>
        <w:t>29.2采购人应根据评委会推荐的中标候选人确定中标人。</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29.3</w:t>
      </w:r>
      <w:r>
        <w:rPr>
          <w:rFonts w:hint="eastAsia" w:ascii="仿宋" w:hAnsi="仿宋" w:eastAsia="仿宋" w:cs="仿宋"/>
          <w:w w:val="95"/>
          <w:sz w:val="24"/>
          <w:szCs w:val="24"/>
          <w:lang w:eastAsia="zh-CN"/>
        </w:rPr>
        <w:t>玛纳斯县政务服务和公共资源交易管理中心</w:t>
      </w:r>
      <w:r>
        <w:rPr>
          <w:rFonts w:ascii="仿宋" w:hAnsi="仿宋" w:eastAsia="仿宋" w:cs="仿宋"/>
          <w:sz w:val="24"/>
          <w:szCs w:val="24"/>
          <w:lang w:eastAsia="zh-CN"/>
        </w:rPr>
        <w:t>将在“新疆政府采购网”</w:t>
      </w:r>
      <w:r>
        <w:rPr>
          <w:rFonts w:ascii="仿宋" w:hAnsi="仿宋" w:eastAsia="仿宋" w:cs="仿宋"/>
          <w:w w:val="95"/>
          <w:sz w:val="24"/>
          <w:szCs w:val="24"/>
          <w:lang w:eastAsia="zh-CN"/>
        </w:rPr>
        <w:t>发布中标公告，公告期限为</w:t>
      </w:r>
      <w:r>
        <w:rPr>
          <w:rFonts w:ascii="仿宋" w:hAnsi="仿宋" w:eastAsia="仿宋" w:cs="仿宋"/>
          <w:sz w:val="24"/>
          <w:szCs w:val="24"/>
          <w:lang w:eastAsia="zh-CN"/>
        </w:rPr>
        <w:t>1个工作日。</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29.4若有充分证据证明，中标人出现下列情况之一的，一经查实，将被取消中标资格：</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29.4.1提供虚假材料谋取中标的。</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29.4.2</w:t>
      </w:r>
      <w:r>
        <w:rPr>
          <w:rFonts w:ascii="仿宋" w:hAnsi="仿宋" w:eastAsia="仿宋" w:cs="仿宋"/>
          <w:spacing w:val="-4"/>
          <w:sz w:val="24"/>
          <w:szCs w:val="24"/>
          <w:lang w:eastAsia="zh-CN"/>
        </w:rPr>
        <w:t>向采购人、</w:t>
      </w:r>
      <w:r>
        <w:rPr>
          <w:rFonts w:hint="eastAsia" w:ascii="仿宋" w:hAnsi="仿宋" w:eastAsia="仿宋" w:cs="仿宋"/>
          <w:w w:val="95"/>
          <w:sz w:val="24"/>
          <w:szCs w:val="24"/>
          <w:lang w:eastAsia="zh-CN"/>
        </w:rPr>
        <w:t>玛纳斯县政务服务和公共资源交易管理中心</w:t>
      </w:r>
      <w:r>
        <w:rPr>
          <w:rFonts w:ascii="仿宋" w:hAnsi="仿宋" w:eastAsia="仿宋" w:cs="仿宋"/>
          <w:spacing w:val="-4"/>
          <w:sz w:val="24"/>
          <w:szCs w:val="24"/>
          <w:lang w:eastAsia="zh-CN"/>
        </w:rPr>
        <w:t>行贿或者提供其</w:t>
      </w:r>
      <w:r>
        <w:rPr>
          <w:rFonts w:ascii="仿宋" w:hAnsi="仿宋" w:eastAsia="仿宋" w:cs="仿宋"/>
          <w:sz w:val="24"/>
          <w:szCs w:val="24"/>
          <w:lang w:eastAsia="zh-CN"/>
        </w:rPr>
        <w:t>他不正当利益的。</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29.4.3</w:t>
      </w:r>
      <w:r>
        <w:rPr>
          <w:rFonts w:ascii="仿宋" w:hAnsi="仿宋" w:eastAsia="仿宋" w:cs="仿宋"/>
          <w:spacing w:val="-4"/>
          <w:sz w:val="24"/>
          <w:szCs w:val="24"/>
          <w:lang w:eastAsia="zh-CN"/>
        </w:rPr>
        <w:t>恶意竞争，投标总报价明显低于其自身合理成本且又</w:t>
      </w:r>
      <w:r>
        <w:rPr>
          <w:rFonts w:ascii="仿宋" w:hAnsi="仿宋" w:eastAsia="仿宋" w:cs="仿宋"/>
          <w:sz w:val="24"/>
          <w:szCs w:val="24"/>
          <w:lang w:eastAsia="zh-CN"/>
        </w:rPr>
        <w:t>无法提供证明的。</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29.4.4</w:t>
      </w:r>
      <w:r>
        <w:rPr>
          <w:rFonts w:ascii="仿宋" w:hAnsi="仿宋" w:eastAsia="仿宋" w:cs="仿宋"/>
          <w:spacing w:val="-4"/>
          <w:sz w:val="24"/>
          <w:szCs w:val="24"/>
          <w:lang w:eastAsia="zh-CN"/>
        </w:rPr>
        <w:t>属于本文件规定的无效条件，但在评标过程中又未被</w:t>
      </w:r>
      <w:r>
        <w:rPr>
          <w:rFonts w:ascii="仿宋" w:hAnsi="仿宋" w:eastAsia="仿宋" w:cs="仿宋"/>
          <w:sz w:val="24"/>
          <w:szCs w:val="24"/>
          <w:lang w:eastAsia="zh-CN"/>
        </w:rPr>
        <w:t>评委会发现的。</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29.4.5与采购人或者其他供应商恶意串通的。</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29.4.6采取不正当手段诋毁、排挤其他供应商的。</w:t>
      </w: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29.5.</w:t>
      </w:r>
      <w:r>
        <w:rPr>
          <w:rFonts w:ascii="仿宋" w:hAnsi="仿宋" w:eastAsia="仿宋" w:cs="仿宋"/>
          <w:spacing w:val="-7"/>
          <w:sz w:val="24"/>
          <w:szCs w:val="24"/>
          <w:lang w:eastAsia="zh-CN"/>
        </w:rPr>
        <w:t>有下列情形之一的，视为投标人串通投标，投标无效：</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29.5.1不同投标人的投标文件由同一单位或者个人编制。</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29.5.2不同投标人委托同一单位或者个人办理投标事宜。</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29.5.3</w:t>
      </w:r>
      <w:r>
        <w:rPr>
          <w:rFonts w:ascii="仿宋" w:hAnsi="仿宋" w:eastAsia="仿宋" w:cs="仿宋"/>
          <w:spacing w:val="6"/>
          <w:sz w:val="24"/>
          <w:szCs w:val="24"/>
          <w:lang w:eastAsia="zh-CN"/>
        </w:rPr>
        <w:t>不同投标人的投标文件载明的项目管理成员或者联</w:t>
      </w:r>
      <w:r>
        <w:rPr>
          <w:rFonts w:ascii="仿宋" w:hAnsi="仿宋" w:eastAsia="仿宋" w:cs="仿宋"/>
          <w:sz w:val="24"/>
          <w:szCs w:val="24"/>
          <w:lang w:eastAsia="zh-CN"/>
        </w:rPr>
        <w:t>系人员为同一人。</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29.5.4</w:t>
      </w:r>
      <w:r>
        <w:rPr>
          <w:rFonts w:ascii="仿宋" w:hAnsi="仿宋" w:eastAsia="仿宋" w:cs="仿宋"/>
          <w:spacing w:val="6"/>
          <w:sz w:val="24"/>
          <w:szCs w:val="24"/>
          <w:lang w:eastAsia="zh-CN"/>
        </w:rPr>
        <w:t>不同投标人的投标文件异常一致或者投标报价呈规</w:t>
      </w:r>
      <w:r>
        <w:rPr>
          <w:rFonts w:ascii="仿宋" w:hAnsi="仿宋" w:eastAsia="仿宋" w:cs="仿宋"/>
          <w:sz w:val="24"/>
          <w:szCs w:val="24"/>
          <w:lang w:eastAsia="zh-CN"/>
        </w:rPr>
        <w:t>律性差异。</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29.5.5不同投标人的投标文件相互混装。</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29.5.6</w:t>
      </w:r>
      <w:r>
        <w:rPr>
          <w:rFonts w:ascii="仿宋" w:hAnsi="仿宋" w:eastAsia="仿宋" w:cs="仿宋"/>
          <w:spacing w:val="6"/>
          <w:sz w:val="24"/>
          <w:szCs w:val="24"/>
          <w:lang w:eastAsia="zh-CN"/>
        </w:rPr>
        <w:t>不同投标人的投标保证金从同一单位或者个人的账</w:t>
      </w:r>
      <w:r>
        <w:rPr>
          <w:rFonts w:ascii="仿宋" w:hAnsi="仿宋" w:eastAsia="仿宋" w:cs="仿宋"/>
          <w:sz w:val="24"/>
          <w:szCs w:val="24"/>
          <w:lang w:eastAsia="zh-CN"/>
        </w:rPr>
        <w:t>户转出。</w:t>
      </w:r>
    </w:p>
    <w:p>
      <w:pPr>
        <w:spacing w:line="360" w:lineRule="auto"/>
        <w:jc w:val="both"/>
        <w:rPr>
          <w:rFonts w:ascii="仿宋" w:hAnsi="仿宋" w:eastAsia="仿宋" w:cs="仿宋"/>
          <w:sz w:val="24"/>
          <w:szCs w:val="24"/>
          <w:lang w:eastAsia="zh-CN"/>
        </w:rPr>
      </w:pPr>
      <w:bookmarkStart w:id="69" w:name="30、质疑处理"/>
      <w:bookmarkEnd w:id="69"/>
      <w:r>
        <w:rPr>
          <w:rFonts w:ascii="仿宋" w:hAnsi="仿宋" w:eastAsia="仿宋" w:cs="仿宋"/>
          <w:sz w:val="24"/>
          <w:szCs w:val="24"/>
          <w:lang w:eastAsia="zh-CN"/>
        </w:rPr>
        <w:t>30、质疑处理</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30.1</w:t>
      </w:r>
      <w:r>
        <w:rPr>
          <w:rFonts w:ascii="仿宋" w:hAnsi="仿宋" w:eastAsia="仿宋" w:cs="仿宋"/>
          <w:spacing w:val="6"/>
          <w:sz w:val="24"/>
          <w:szCs w:val="24"/>
          <w:lang w:eastAsia="zh-CN"/>
        </w:rPr>
        <w:t>提出质疑的供应商应当是参与所质疑项目采购活动的</w:t>
      </w:r>
      <w:r>
        <w:rPr>
          <w:rFonts w:ascii="仿宋" w:hAnsi="仿宋" w:eastAsia="仿宋" w:cs="仿宋"/>
          <w:w w:val="95"/>
          <w:sz w:val="24"/>
          <w:szCs w:val="24"/>
          <w:lang w:eastAsia="zh-CN"/>
        </w:rPr>
        <w:t>供应商。潜在供应商依法获取其可质疑的采购文件的，可以对采</w:t>
      </w:r>
      <w:r>
        <w:rPr>
          <w:rFonts w:ascii="仿宋" w:hAnsi="仿宋" w:eastAsia="仿宋" w:cs="仿宋"/>
          <w:sz w:val="24"/>
          <w:szCs w:val="24"/>
          <w:lang w:eastAsia="zh-CN"/>
        </w:rPr>
        <w:t>购文件提出质疑。</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30.2</w:t>
      </w:r>
      <w:r>
        <w:rPr>
          <w:rFonts w:ascii="仿宋" w:hAnsi="仿宋" w:eastAsia="仿宋" w:cs="仿宋"/>
          <w:spacing w:val="-4"/>
          <w:sz w:val="24"/>
          <w:szCs w:val="24"/>
          <w:lang w:eastAsia="zh-CN"/>
        </w:rPr>
        <w:t>供应商认为采购文件、采购过程和采购结果使自己的权</w:t>
      </w:r>
      <w:r>
        <w:rPr>
          <w:rFonts w:ascii="仿宋" w:hAnsi="仿宋" w:eastAsia="仿宋" w:cs="仿宋"/>
          <w:w w:val="95"/>
          <w:sz w:val="24"/>
          <w:szCs w:val="24"/>
          <w:lang w:eastAsia="zh-CN"/>
        </w:rPr>
        <w:t>益受到损害的，可以在知道或应知其权益受到损害之日起七个工</w:t>
      </w:r>
      <w:r>
        <w:rPr>
          <w:rFonts w:ascii="仿宋" w:hAnsi="仿宋" w:eastAsia="仿宋" w:cs="仿宋"/>
          <w:spacing w:val="11"/>
          <w:sz w:val="24"/>
          <w:szCs w:val="24"/>
          <w:lang w:eastAsia="zh-CN"/>
        </w:rPr>
        <w:t>作日内，以书面形式向</w:t>
      </w:r>
      <w:r>
        <w:rPr>
          <w:rFonts w:hint="eastAsia" w:ascii="仿宋" w:hAnsi="仿宋" w:eastAsia="仿宋" w:cs="仿宋"/>
          <w:w w:val="95"/>
          <w:sz w:val="24"/>
          <w:szCs w:val="24"/>
          <w:lang w:eastAsia="zh-CN"/>
        </w:rPr>
        <w:t>玛纳斯县政务服务和公共资源交易管理中心</w:t>
      </w:r>
      <w:r>
        <w:rPr>
          <w:rFonts w:ascii="仿宋" w:hAnsi="仿宋" w:eastAsia="仿宋" w:cs="仿宋"/>
          <w:spacing w:val="11"/>
          <w:sz w:val="24"/>
          <w:szCs w:val="24"/>
          <w:lang w:eastAsia="zh-CN"/>
        </w:rPr>
        <w:t>或采购人提出质</w:t>
      </w:r>
      <w:r>
        <w:rPr>
          <w:rFonts w:ascii="仿宋" w:hAnsi="仿宋" w:eastAsia="仿宋" w:cs="仿宋"/>
          <w:sz w:val="24"/>
          <w:szCs w:val="24"/>
          <w:lang w:eastAsia="zh-CN"/>
        </w:rPr>
        <w:t>疑。上述应知其权益受到损害之日，是指：</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30.2.1</w:t>
      </w:r>
      <w:r>
        <w:rPr>
          <w:rFonts w:ascii="仿宋" w:hAnsi="仿宋" w:eastAsia="仿宋" w:cs="仿宋"/>
          <w:spacing w:val="-4"/>
          <w:sz w:val="24"/>
          <w:szCs w:val="24"/>
          <w:lang w:eastAsia="zh-CN"/>
        </w:rPr>
        <w:t>对可以质疑的采购文件提出质疑的，为收到采购文件</w:t>
      </w:r>
      <w:r>
        <w:rPr>
          <w:rFonts w:ascii="仿宋" w:hAnsi="仿宋" w:eastAsia="仿宋" w:cs="仿宋"/>
          <w:sz w:val="24"/>
          <w:szCs w:val="24"/>
          <w:lang w:eastAsia="zh-CN"/>
        </w:rPr>
        <w:t>之日或者采购文件公告期限届满之日；</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30.2.2</w:t>
      </w:r>
      <w:r>
        <w:rPr>
          <w:rFonts w:ascii="仿宋" w:hAnsi="仿宋" w:eastAsia="仿宋" w:cs="仿宋"/>
          <w:spacing w:val="7"/>
          <w:sz w:val="24"/>
          <w:szCs w:val="24"/>
          <w:lang w:eastAsia="zh-CN"/>
        </w:rPr>
        <w:t>对采购过程提出质疑的，为各采购程序环节结束之</w:t>
      </w:r>
      <w:r>
        <w:rPr>
          <w:rFonts w:ascii="仿宋" w:hAnsi="仿宋" w:eastAsia="仿宋" w:cs="仿宋"/>
          <w:sz w:val="24"/>
          <w:szCs w:val="24"/>
          <w:lang w:eastAsia="zh-CN"/>
        </w:rPr>
        <w:t>日；</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30.2.3</w:t>
      </w:r>
      <w:r>
        <w:rPr>
          <w:rFonts w:ascii="仿宋" w:hAnsi="仿宋" w:eastAsia="仿宋" w:cs="仿宋"/>
          <w:spacing w:val="-4"/>
          <w:sz w:val="24"/>
          <w:szCs w:val="24"/>
          <w:lang w:eastAsia="zh-CN"/>
        </w:rPr>
        <w:t>对中标或者成交结果提出质疑的，为中标或者成交结</w:t>
      </w:r>
      <w:r>
        <w:rPr>
          <w:rFonts w:ascii="仿宋" w:hAnsi="仿宋" w:eastAsia="仿宋" w:cs="仿宋"/>
          <w:sz w:val="24"/>
          <w:szCs w:val="24"/>
          <w:lang w:eastAsia="zh-CN"/>
        </w:rPr>
        <w:t>果公告期限届满之日。</w:t>
      </w:r>
    </w:p>
    <w:p>
      <w:pPr>
        <w:spacing w:line="360" w:lineRule="auto"/>
        <w:jc w:val="both"/>
        <w:rPr>
          <w:rFonts w:ascii="仿宋" w:hAnsi="仿宋" w:eastAsia="仿宋" w:cs="仿宋"/>
          <w:sz w:val="24"/>
          <w:szCs w:val="24"/>
          <w:lang w:eastAsia="zh-CN"/>
        </w:rPr>
      </w:pPr>
      <w:r>
        <w:rPr>
          <w:rFonts w:ascii="仿宋" w:hAnsi="仿宋" w:eastAsia="仿宋" w:cs="仿宋"/>
          <w:spacing w:val="11"/>
          <w:sz w:val="24"/>
          <w:szCs w:val="24"/>
          <w:lang w:eastAsia="zh-CN"/>
        </w:rPr>
        <w:t>供应商应当在法定质疑期内一次性提出针对同一采购程序环节</w:t>
      </w:r>
      <w:r>
        <w:rPr>
          <w:rFonts w:ascii="仿宋" w:hAnsi="仿宋" w:eastAsia="仿宋" w:cs="仿宋"/>
          <w:w w:val="95"/>
          <w:sz w:val="24"/>
          <w:szCs w:val="24"/>
          <w:lang w:eastAsia="zh-CN"/>
        </w:rPr>
        <w:t>的质疑。供应商如在法定期限内对同一采购程序环节提出多次质</w:t>
      </w:r>
      <w:r>
        <w:rPr>
          <w:rFonts w:ascii="仿宋" w:hAnsi="仿宋" w:eastAsia="仿宋" w:cs="仿宋"/>
          <w:spacing w:val="11"/>
          <w:w w:val="95"/>
          <w:sz w:val="24"/>
          <w:szCs w:val="24"/>
          <w:lang w:eastAsia="zh-CN"/>
        </w:rPr>
        <w:t>疑的，</w:t>
      </w:r>
      <w:r>
        <w:rPr>
          <w:rFonts w:hint="eastAsia" w:ascii="仿宋" w:hAnsi="仿宋" w:eastAsia="仿宋" w:cs="仿宋"/>
          <w:w w:val="95"/>
          <w:sz w:val="24"/>
          <w:szCs w:val="24"/>
          <w:lang w:eastAsia="zh-CN"/>
        </w:rPr>
        <w:t>玛纳斯县政务服务和公共资源交易管理中心</w:t>
      </w:r>
      <w:r>
        <w:rPr>
          <w:rFonts w:ascii="仿宋" w:hAnsi="仿宋" w:eastAsia="仿宋" w:cs="仿宋"/>
          <w:b/>
          <w:bCs/>
          <w:spacing w:val="11"/>
          <w:w w:val="95"/>
          <w:sz w:val="24"/>
          <w:szCs w:val="24"/>
          <w:lang w:eastAsia="zh-CN"/>
        </w:rPr>
        <w:t>将只对供应商第一次质疑作出答</w:t>
      </w:r>
      <w:r>
        <w:rPr>
          <w:rFonts w:ascii="仿宋" w:hAnsi="仿宋" w:eastAsia="仿宋" w:cs="仿宋"/>
          <w:b/>
          <w:bCs/>
          <w:sz w:val="24"/>
          <w:szCs w:val="24"/>
          <w:lang w:eastAsia="zh-CN"/>
        </w:rPr>
        <w:t>复。</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30.3质疑函必须按照本招标文件中《质疑函范本》要求的格式和内容进行填写。供应商如组成联合体参加投标，则《质疑函范本》中要求签字、盖章、加盖公章之处，联合体各方均须按要求签字、盖章、加盖公章。</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30.4</w:t>
      </w:r>
      <w:r>
        <w:rPr>
          <w:rFonts w:hint="eastAsia" w:ascii="仿宋" w:hAnsi="仿宋" w:eastAsia="仿宋" w:cs="仿宋"/>
          <w:w w:val="95"/>
          <w:sz w:val="24"/>
          <w:szCs w:val="24"/>
          <w:lang w:eastAsia="zh-CN"/>
        </w:rPr>
        <w:t>玛纳斯县政务服务和公共资源交易管理中心</w:t>
      </w:r>
      <w:r>
        <w:rPr>
          <w:rFonts w:ascii="仿宋" w:hAnsi="仿宋" w:eastAsia="仿宋" w:cs="仿宋"/>
          <w:spacing w:val="6"/>
          <w:sz w:val="24"/>
          <w:szCs w:val="24"/>
          <w:lang w:eastAsia="zh-CN"/>
        </w:rPr>
        <w:t>只接收以纸质原件形式送达的</w:t>
      </w:r>
      <w:r>
        <w:rPr>
          <w:rFonts w:ascii="仿宋" w:hAnsi="仿宋" w:eastAsia="仿宋" w:cs="仿宋"/>
          <w:sz w:val="24"/>
          <w:szCs w:val="24"/>
          <w:lang w:eastAsia="zh-CN"/>
        </w:rPr>
        <w:t>质疑。</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30.5以下情形的质疑不予受理</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30.5.1</w:t>
      </w:r>
      <w:r>
        <w:rPr>
          <w:rFonts w:ascii="仿宋" w:hAnsi="仿宋" w:eastAsia="仿宋" w:cs="仿宋"/>
          <w:spacing w:val="6"/>
          <w:sz w:val="24"/>
          <w:szCs w:val="24"/>
          <w:lang w:eastAsia="zh-CN"/>
        </w:rPr>
        <w:t>内容不符合《政府采购质疑和投诉办法》第十二条</w:t>
      </w:r>
      <w:r>
        <w:rPr>
          <w:rFonts w:ascii="仿宋" w:hAnsi="仿宋" w:eastAsia="仿宋" w:cs="仿宋"/>
          <w:sz w:val="24"/>
          <w:szCs w:val="24"/>
          <w:lang w:eastAsia="zh-CN"/>
        </w:rPr>
        <w:t>规定的质疑。</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30.5.2超出政府采购法定期限的质疑。</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30.5.3以传真、电子邮件等方式递交的非原件形式的质疑。</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30.5.4</w:t>
      </w:r>
      <w:r>
        <w:rPr>
          <w:rFonts w:ascii="仿宋" w:hAnsi="仿宋" w:eastAsia="仿宋" w:cs="仿宋"/>
          <w:spacing w:val="6"/>
          <w:sz w:val="24"/>
          <w:szCs w:val="24"/>
          <w:lang w:eastAsia="zh-CN"/>
        </w:rPr>
        <w:t>未参加投标活动的供应商或在投标活动中自身权益</w:t>
      </w:r>
      <w:r>
        <w:rPr>
          <w:rFonts w:ascii="仿宋" w:hAnsi="仿宋" w:eastAsia="仿宋" w:cs="仿宋"/>
          <w:sz w:val="24"/>
          <w:szCs w:val="24"/>
          <w:lang w:eastAsia="zh-CN"/>
        </w:rPr>
        <w:t>未受到损害的供应商所提出的质疑。</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30.5.5</w:t>
      </w:r>
      <w:r>
        <w:rPr>
          <w:rFonts w:ascii="仿宋" w:hAnsi="仿宋" w:eastAsia="仿宋" w:cs="仿宋"/>
          <w:spacing w:val="-4"/>
          <w:sz w:val="24"/>
          <w:szCs w:val="24"/>
          <w:lang w:eastAsia="zh-CN"/>
        </w:rPr>
        <w:t>供应商组成联合体参加投标，联合体中任何一方或多</w:t>
      </w:r>
      <w:r>
        <w:rPr>
          <w:rFonts w:ascii="仿宋" w:hAnsi="仿宋" w:eastAsia="仿宋" w:cs="仿宋"/>
          <w:sz w:val="24"/>
          <w:szCs w:val="24"/>
          <w:lang w:eastAsia="zh-CN"/>
        </w:rPr>
        <w:t>方未按要求签字、盖章、加盖公章的质疑。</w:t>
      </w:r>
    </w:p>
    <w:p>
      <w:pPr>
        <w:tabs>
          <w:tab w:val="left" w:pos="1749"/>
        </w:tabs>
        <w:spacing w:line="360" w:lineRule="auto"/>
        <w:ind w:firstLine="456" w:firstLineChars="200"/>
        <w:jc w:val="both"/>
        <w:rPr>
          <w:rFonts w:ascii="仿宋" w:hAnsi="仿宋" w:eastAsia="仿宋" w:cs="仿宋"/>
          <w:sz w:val="24"/>
          <w:szCs w:val="24"/>
          <w:lang w:eastAsia="zh-CN"/>
        </w:rPr>
      </w:pPr>
      <w:r>
        <w:rPr>
          <w:rFonts w:ascii="仿宋" w:hAnsi="仿宋" w:eastAsia="仿宋" w:cs="仿宋"/>
          <w:w w:val="95"/>
          <w:sz w:val="24"/>
          <w:szCs w:val="24"/>
          <w:lang w:eastAsia="zh-CN"/>
        </w:rPr>
        <w:t>30.6</w:t>
      </w:r>
      <w:r>
        <w:rPr>
          <w:rFonts w:ascii="仿宋" w:hAnsi="仿宋" w:eastAsia="仿宋" w:cs="仿宋"/>
          <w:b/>
          <w:bCs/>
          <w:spacing w:val="-7"/>
          <w:w w:val="95"/>
          <w:sz w:val="24"/>
          <w:szCs w:val="24"/>
          <w:lang w:eastAsia="zh-CN"/>
        </w:rPr>
        <w:t>供应商提出书面质疑必须有理、有据，不得捏造事实、</w:t>
      </w:r>
      <w:r>
        <w:rPr>
          <w:rFonts w:ascii="仿宋" w:hAnsi="仿宋" w:eastAsia="仿宋" w:cs="仿宋"/>
          <w:b/>
          <w:bCs/>
          <w:sz w:val="24"/>
          <w:szCs w:val="24"/>
          <w:lang w:eastAsia="zh-CN"/>
        </w:rPr>
        <w:t>提供虚假材料进行恶意质疑。否则，一经查实，</w:t>
      </w:r>
      <w:r>
        <w:rPr>
          <w:rFonts w:hint="eastAsia" w:ascii="仿宋" w:hAnsi="仿宋" w:eastAsia="仿宋" w:cs="仿宋"/>
          <w:w w:val="95"/>
          <w:sz w:val="24"/>
          <w:szCs w:val="24"/>
          <w:lang w:eastAsia="zh-CN"/>
        </w:rPr>
        <w:t>玛纳斯县政务服务和公共资源交易管理中心</w:t>
      </w:r>
      <w:r>
        <w:rPr>
          <w:rFonts w:ascii="仿宋" w:hAnsi="仿宋" w:eastAsia="仿宋" w:cs="仿宋"/>
          <w:b/>
          <w:bCs/>
          <w:sz w:val="24"/>
          <w:szCs w:val="24"/>
          <w:lang w:eastAsia="zh-CN"/>
        </w:rPr>
        <w:t>有权依据政府采购的有关规定，报请政府采购监管部门对该供应商进行相应的行政处罚和记录该供应商的失信信息。</w:t>
      </w:r>
    </w:p>
    <w:p>
      <w:pPr>
        <w:spacing w:line="360" w:lineRule="auto"/>
        <w:jc w:val="both"/>
        <w:rPr>
          <w:rFonts w:ascii="仿宋" w:hAnsi="仿宋" w:eastAsia="仿宋" w:cs="仿宋"/>
          <w:sz w:val="24"/>
          <w:szCs w:val="24"/>
          <w:lang w:eastAsia="zh-CN"/>
        </w:rPr>
      </w:pPr>
      <w:bookmarkStart w:id="70" w:name="31、中标通知书"/>
      <w:bookmarkEnd w:id="70"/>
      <w:r>
        <w:rPr>
          <w:rFonts w:ascii="仿宋" w:hAnsi="仿宋" w:eastAsia="仿宋" w:cs="仿宋"/>
          <w:sz w:val="24"/>
          <w:szCs w:val="24"/>
          <w:lang w:eastAsia="zh-CN"/>
        </w:rPr>
        <w:t>31、中标通知书</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31.l</w:t>
      </w:r>
      <w:r>
        <w:rPr>
          <w:rFonts w:ascii="仿宋" w:hAnsi="仿宋" w:eastAsia="仿宋" w:cs="仿宋"/>
          <w:spacing w:val="6"/>
          <w:sz w:val="24"/>
          <w:szCs w:val="24"/>
          <w:lang w:eastAsia="zh-CN"/>
        </w:rPr>
        <w:t>中标结果确定后，</w:t>
      </w:r>
      <w:r>
        <w:rPr>
          <w:rFonts w:hint="eastAsia" w:ascii="仿宋" w:hAnsi="仿宋" w:eastAsia="仿宋" w:cs="仿宋"/>
          <w:spacing w:val="6"/>
          <w:sz w:val="24"/>
          <w:szCs w:val="24"/>
          <w:lang w:eastAsia="zh-CN"/>
        </w:rPr>
        <w:t>玛纳斯县政务服务和公共资源交易管理中心</w:t>
      </w:r>
      <w:r>
        <w:rPr>
          <w:rFonts w:ascii="仿宋" w:hAnsi="仿宋" w:eastAsia="仿宋" w:cs="仿宋"/>
          <w:spacing w:val="6"/>
          <w:sz w:val="24"/>
          <w:szCs w:val="24"/>
          <w:lang w:eastAsia="zh-CN"/>
        </w:rPr>
        <w:t>将向中标</w:t>
      </w:r>
      <w:r>
        <w:rPr>
          <w:rFonts w:ascii="仿宋" w:hAnsi="仿宋" w:eastAsia="仿宋" w:cs="仿宋"/>
          <w:sz w:val="24"/>
          <w:szCs w:val="24"/>
          <w:lang w:eastAsia="zh-CN"/>
        </w:rPr>
        <w:t>供应商发出中标通知书。</w:t>
      </w:r>
    </w:p>
    <w:p>
      <w:pPr>
        <w:spacing w:line="360" w:lineRule="auto"/>
        <w:ind w:firstLine="480" w:firstLineChars="200"/>
        <w:jc w:val="both"/>
        <w:rPr>
          <w:rFonts w:ascii="仿宋" w:hAnsi="仿宋" w:eastAsia="仿宋"/>
          <w:sz w:val="24"/>
          <w:szCs w:val="24"/>
          <w:lang w:eastAsia="zh-CN"/>
        </w:rPr>
      </w:pPr>
      <w:r>
        <w:rPr>
          <w:rFonts w:ascii="仿宋" w:hAnsi="仿宋" w:eastAsia="仿宋" w:cs="仿宋"/>
          <w:sz w:val="24"/>
          <w:szCs w:val="24"/>
          <w:lang w:eastAsia="zh-CN"/>
        </w:rPr>
        <w:t>31.2</w:t>
      </w:r>
      <w:r>
        <w:rPr>
          <w:rFonts w:ascii="仿宋" w:hAnsi="仿宋" w:eastAsia="仿宋" w:cs="仿宋"/>
          <w:spacing w:val="6"/>
          <w:sz w:val="24"/>
          <w:szCs w:val="24"/>
          <w:lang w:eastAsia="zh-CN"/>
        </w:rPr>
        <w:t>中标供应商收到中标通知书后，须立即以书面形式回</w:t>
      </w:r>
      <w:r>
        <w:rPr>
          <w:rFonts w:ascii="仿宋" w:hAnsi="仿宋" w:eastAsia="仿宋" w:cs="仿宋"/>
          <w:w w:val="95"/>
          <w:sz w:val="24"/>
          <w:szCs w:val="24"/>
          <w:lang w:eastAsia="zh-CN"/>
        </w:rPr>
        <w:t>复</w:t>
      </w:r>
      <w:r>
        <w:rPr>
          <w:rFonts w:hint="eastAsia" w:ascii="仿宋" w:hAnsi="仿宋" w:eastAsia="仿宋" w:cs="仿宋"/>
          <w:w w:val="95"/>
          <w:sz w:val="24"/>
          <w:szCs w:val="24"/>
          <w:lang w:eastAsia="zh-CN"/>
        </w:rPr>
        <w:t>玛纳斯县政务服务和公共资源交易管理中心</w:t>
      </w:r>
      <w:r>
        <w:rPr>
          <w:rFonts w:ascii="仿宋" w:hAnsi="仿宋" w:eastAsia="仿宋" w:cs="仿宋"/>
          <w:w w:val="95"/>
          <w:sz w:val="24"/>
          <w:szCs w:val="24"/>
          <w:lang w:eastAsia="zh-CN"/>
        </w:rPr>
        <w:t>，确认中标通知书已收到。若无书面</w:t>
      </w:r>
      <w:r>
        <w:rPr>
          <w:rFonts w:ascii="仿宋" w:hAnsi="仿宋" w:eastAsia="仿宋"/>
          <w:sz w:val="24"/>
          <w:szCs w:val="24"/>
          <w:lang w:eastAsia="zh-CN"/>
        </w:rPr>
        <w:t>回复，则公告后视同中标人已经知悉并同意接受。</w:t>
      </w:r>
    </w:p>
    <w:p>
      <w:pPr>
        <w:spacing w:line="360" w:lineRule="auto"/>
        <w:ind w:firstLine="480" w:firstLineChars="200"/>
        <w:jc w:val="both"/>
        <w:rPr>
          <w:rFonts w:ascii="仿宋" w:hAnsi="仿宋" w:eastAsia="仿宋" w:cs="仿宋"/>
          <w:spacing w:val="-6"/>
          <w:sz w:val="24"/>
          <w:szCs w:val="24"/>
          <w:lang w:eastAsia="zh-CN"/>
        </w:rPr>
      </w:pPr>
      <w:r>
        <w:rPr>
          <w:rFonts w:ascii="仿宋" w:hAnsi="仿宋" w:eastAsia="仿宋" w:cs="仿宋"/>
          <w:sz w:val="24"/>
          <w:szCs w:val="24"/>
          <w:lang w:eastAsia="zh-CN"/>
        </w:rPr>
        <w:t>31.3</w:t>
      </w:r>
      <w:r>
        <w:rPr>
          <w:rFonts w:ascii="仿宋" w:hAnsi="仿宋" w:eastAsia="仿宋" w:cs="仿宋"/>
          <w:spacing w:val="-4"/>
          <w:sz w:val="24"/>
          <w:szCs w:val="24"/>
          <w:lang w:eastAsia="zh-CN"/>
        </w:rPr>
        <w:t>中标通知书将是合同的一个组成部分。对采购人和中标</w:t>
      </w:r>
      <w:r>
        <w:rPr>
          <w:rFonts w:ascii="仿宋" w:hAnsi="仿宋" w:eastAsia="仿宋" w:cs="仿宋"/>
          <w:sz w:val="24"/>
          <w:szCs w:val="24"/>
          <w:lang w:eastAsia="zh-CN"/>
        </w:rPr>
        <w:t>供应商均具有法律效力。中标通知书发出后，采购人改变中标结</w:t>
      </w:r>
      <w:r>
        <w:rPr>
          <w:rFonts w:ascii="仿宋" w:hAnsi="仿宋" w:eastAsia="仿宋" w:cs="仿宋"/>
          <w:spacing w:val="-6"/>
          <w:sz w:val="24"/>
          <w:szCs w:val="24"/>
          <w:lang w:eastAsia="zh-CN"/>
        </w:rPr>
        <w:t>果的，或者中标供应商放弃中标项目的，应当依法承担法律责任。</w:t>
      </w:r>
      <w:bookmarkStart w:id="71" w:name="_bookmark2"/>
      <w:bookmarkEnd w:id="71"/>
      <w:bookmarkStart w:id="72" w:name="第三章__合同文本"/>
      <w:bookmarkEnd w:id="72"/>
    </w:p>
    <w:p>
      <w:pPr>
        <w:rPr>
          <w:rFonts w:ascii="仿宋" w:hAnsi="仿宋" w:eastAsia="仿宋" w:cs="仿宋"/>
          <w:spacing w:val="-6"/>
          <w:sz w:val="24"/>
          <w:szCs w:val="24"/>
          <w:lang w:eastAsia="zh-CN"/>
        </w:rPr>
      </w:pPr>
      <w:r>
        <w:rPr>
          <w:rFonts w:ascii="仿宋" w:hAnsi="仿宋" w:eastAsia="仿宋" w:cs="仿宋"/>
          <w:spacing w:val="-6"/>
          <w:sz w:val="24"/>
          <w:szCs w:val="24"/>
          <w:lang w:eastAsia="zh-CN"/>
        </w:rPr>
        <w:br w:type="page"/>
      </w:r>
    </w:p>
    <w:p>
      <w:pPr>
        <w:pStyle w:val="4"/>
        <w:numPr>
          <w:ilvl w:val="0"/>
          <w:numId w:val="0"/>
        </w:numPr>
        <w:spacing w:before="360" w:after="360"/>
        <w:ind w:left="576" w:hanging="576"/>
        <w:jc w:val="center"/>
        <w:rPr>
          <w:w w:val="95"/>
          <w:lang w:eastAsia="zh-CN"/>
        </w:rPr>
      </w:pPr>
      <w:r>
        <w:rPr>
          <w:w w:val="95"/>
          <w:lang w:eastAsia="zh-CN"/>
        </w:rPr>
        <w:t>第三章 合同文本</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以下为中标后签定本项目合同的通用条款，中标人不得提出实质性的修改，关于专用条款将由采购人与中标人结合本项目具体情况协商后签订。</w:t>
      </w:r>
    </w:p>
    <w:p>
      <w:pPr>
        <w:spacing w:line="360" w:lineRule="auto"/>
        <w:jc w:val="both"/>
        <w:rPr>
          <w:rFonts w:ascii="仿宋" w:hAnsi="仿宋" w:eastAsia="仿宋" w:cs="仿宋"/>
          <w:sz w:val="24"/>
          <w:szCs w:val="24"/>
          <w:lang w:eastAsia="zh-CN"/>
        </w:rPr>
      </w:pPr>
    </w:p>
    <w:p>
      <w:pPr>
        <w:jc w:val="center"/>
        <w:rPr>
          <w:rFonts w:ascii="仿宋" w:hAnsi="仿宋" w:eastAsia="仿宋"/>
          <w:b/>
          <w:bCs/>
          <w:sz w:val="28"/>
          <w:szCs w:val="28"/>
          <w:lang w:eastAsia="zh-CN"/>
        </w:rPr>
      </w:pPr>
      <w:bookmarkStart w:id="73" w:name="政府采购合同（合同编号）"/>
      <w:bookmarkEnd w:id="73"/>
      <w:r>
        <w:rPr>
          <w:rFonts w:ascii="仿宋" w:hAnsi="仿宋" w:eastAsia="仿宋"/>
          <w:b/>
          <w:bCs/>
          <w:sz w:val="28"/>
          <w:szCs w:val="28"/>
          <w:lang w:eastAsia="zh-CN"/>
        </w:rPr>
        <w:t>政府采购合同（合同编号）</w:t>
      </w:r>
    </w:p>
    <w:p>
      <w:pPr>
        <w:spacing w:line="360" w:lineRule="auto"/>
        <w:jc w:val="both"/>
        <w:rPr>
          <w:rFonts w:ascii="仿宋" w:hAnsi="仿宋" w:eastAsia="仿宋" w:cs="仿宋"/>
          <w:b/>
          <w:bCs/>
          <w:sz w:val="24"/>
          <w:szCs w:val="24"/>
          <w:lang w:eastAsia="zh-CN"/>
        </w:rPr>
      </w:pPr>
    </w:p>
    <w:p>
      <w:pPr>
        <w:tabs>
          <w:tab w:val="left" w:pos="6026"/>
        </w:tabs>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项目名称：</w:t>
      </w:r>
      <w:r>
        <w:rPr>
          <w:rFonts w:ascii="仿宋" w:hAnsi="仿宋" w:eastAsia="仿宋" w:cs="仿宋"/>
          <w:sz w:val="24"/>
          <w:szCs w:val="24"/>
          <w:lang w:eastAsia="zh-CN"/>
        </w:rPr>
        <w:tab/>
      </w:r>
      <w:r>
        <w:rPr>
          <w:rFonts w:ascii="仿宋" w:hAnsi="仿宋" w:eastAsia="仿宋" w:cs="仿宋"/>
          <w:sz w:val="24"/>
          <w:szCs w:val="24"/>
          <w:lang w:eastAsia="zh-CN"/>
        </w:rPr>
        <w:t>项目编号：</w:t>
      </w:r>
    </w:p>
    <w:p>
      <w:pPr>
        <w:tabs>
          <w:tab w:val="left" w:pos="2943"/>
        </w:tabs>
        <w:spacing w:line="360" w:lineRule="auto"/>
        <w:jc w:val="both"/>
        <w:rPr>
          <w:rFonts w:ascii="仿宋" w:hAnsi="仿宋" w:eastAsia="仿宋" w:cs="Times New Roman"/>
          <w:sz w:val="24"/>
          <w:szCs w:val="24"/>
          <w:u w:val="single" w:color="000000"/>
          <w:lang w:eastAsia="zh-CN"/>
        </w:rPr>
      </w:pPr>
      <w:r>
        <w:rPr>
          <w:rFonts w:ascii="仿宋" w:hAnsi="仿宋" w:eastAsia="仿宋" w:cs="仿宋"/>
          <w:sz w:val="24"/>
          <w:szCs w:val="24"/>
          <w:lang w:eastAsia="zh-CN"/>
        </w:rPr>
        <w:t>甲方：（买方）</w:t>
      </w:r>
      <w:r>
        <w:rPr>
          <w:rFonts w:ascii="仿宋" w:hAnsi="仿宋" w:eastAsia="仿宋" w:cs="Times New Roman"/>
          <w:sz w:val="24"/>
          <w:szCs w:val="24"/>
          <w:u w:val="single" w:color="000000"/>
          <w:lang w:eastAsia="zh-CN"/>
        </w:rPr>
        <w:tab/>
      </w:r>
    </w:p>
    <w:p>
      <w:pPr>
        <w:tabs>
          <w:tab w:val="left" w:pos="2943"/>
        </w:tabs>
        <w:spacing w:line="360" w:lineRule="auto"/>
        <w:jc w:val="both"/>
        <w:rPr>
          <w:rFonts w:ascii="仿宋" w:hAnsi="仿宋" w:eastAsia="仿宋" w:cs="Times New Roman"/>
          <w:sz w:val="24"/>
          <w:szCs w:val="24"/>
          <w:lang w:eastAsia="zh-CN"/>
        </w:rPr>
      </w:pPr>
      <w:r>
        <w:rPr>
          <w:rFonts w:ascii="仿宋" w:hAnsi="仿宋" w:eastAsia="仿宋" w:cs="仿宋"/>
          <w:sz w:val="24"/>
          <w:szCs w:val="24"/>
          <w:lang w:eastAsia="zh-CN"/>
        </w:rPr>
        <w:t>乙方：（卖方）</w:t>
      </w:r>
      <w:r>
        <w:rPr>
          <w:rFonts w:ascii="仿宋" w:hAnsi="仿宋" w:eastAsia="仿宋" w:cs="Times New Roman"/>
          <w:sz w:val="24"/>
          <w:szCs w:val="24"/>
          <w:u w:val="single" w:color="000000"/>
          <w:lang w:eastAsia="zh-CN"/>
        </w:rPr>
        <w:tab/>
      </w:r>
    </w:p>
    <w:p>
      <w:pPr>
        <w:tabs>
          <w:tab w:val="left" w:pos="6245"/>
        </w:tabs>
        <w:spacing w:line="360" w:lineRule="auto"/>
        <w:jc w:val="both"/>
        <w:rPr>
          <w:rFonts w:ascii="仿宋" w:hAnsi="仿宋" w:eastAsia="仿宋" w:cs="仿宋"/>
          <w:sz w:val="24"/>
          <w:szCs w:val="24"/>
          <w:lang w:eastAsia="zh-CN"/>
        </w:rPr>
      </w:pPr>
      <w:r>
        <w:rPr>
          <w:rFonts w:ascii="仿宋" w:hAnsi="仿宋" w:eastAsia="仿宋" w:cs="仿宋"/>
          <w:spacing w:val="-3"/>
          <w:sz w:val="24"/>
          <w:szCs w:val="24"/>
          <w:lang w:eastAsia="zh-CN"/>
        </w:rPr>
        <w:t>甲、乙双方根据政府采购</w:t>
      </w:r>
      <w:r>
        <w:rPr>
          <w:rFonts w:ascii="仿宋" w:hAnsi="仿宋" w:eastAsia="仿宋" w:cs="Times New Roman"/>
          <w:spacing w:val="-3"/>
          <w:sz w:val="24"/>
          <w:szCs w:val="24"/>
          <w:u w:val="single" w:color="000000"/>
          <w:lang w:eastAsia="zh-CN"/>
        </w:rPr>
        <w:tab/>
      </w:r>
      <w:r>
        <w:rPr>
          <w:rFonts w:ascii="仿宋" w:hAnsi="仿宋" w:eastAsia="仿宋" w:cs="仿宋"/>
          <w:spacing w:val="-2"/>
          <w:sz w:val="24"/>
          <w:szCs w:val="24"/>
          <w:lang w:eastAsia="zh-CN"/>
        </w:rPr>
        <w:t>项目公开招标的结果，签署</w:t>
      </w:r>
      <w:r>
        <w:rPr>
          <w:rFonts w:ascii="仿宋" w:hAnsi="仿宋" w:eastAsia="仿宋" w:cs="仿宋"/>
          <w:sz w:val="24"/>
          <w:szCs w:val="24"/>
          <w:lang w:eastAsia="zh-CN"/>
        </w:rPr>
        <w:t>本合同。</w:t>
      </w:r>
    </w:p>
    <w:p>
      <w:pPr>
        <w:spacing w:line="360" w:lineRule="auto"/>
        <w:jc w:val="both"/>
        <w:rPr>
          <w:rFonts w:ascii="仿宋" w:hAnsi="仿宋" w:eastAsia="仿宋" w:cs="仿宋"/>
          <w:sz w:val="24"/>
          <w:szCs w:val="24"/>
          <w:lang w:eastAsia="zh-CN"/>
        </w:rPr>
      </w:pPr>
      <w:r>
        <w:rPr>
          <w:rFonts w:ascii="仿宋" w:hAnsi="仿宋" w:eastAsia="仿宋" w:cs="仿宋"/>
          <w:b/>
          <w:bCs/>
          <w:sz w:val="24"/>
          <w:szCs w:val="24"/>
          <w:lang w:eastAsia="zh-CN"/>
        </w:rPr>
        <w:t>一、产品内容</w:t>
      </w: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1.1产品名称：</w:t>
      </w: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1.2型号规格：</w:t>
      </w: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1.3数量（单位）：</w:t>
      </w:r>
    </w:p>
    <w:p>
      <w:pPr>
        <w:spacing w:line="360" w:lineRule="auto"/>
        <w:jc w:val="both"/>
        <w:rPr>
          <w:rFonts w:ascii="仿宋" w:hAnsi="仿宋" w:eastAsia="仿宋" w:cs="仿宋"/>
          <w:sz w:val="24"/>
          <w:szCs w:val="24"/>
          <w:lang w:eastAsia="zh-CN"/>
        </w:rPr>
      </w:pPr>
      <w:r>
        <w:rPr>
          <w:rFonts w:ascii="仿宋" w:hAnsi="仿宋" w:eastAsia="仿宋" w:cs="仿宋"/>
          <w:b/>
          <w:bCs/>
          <w:sz w:val="24"/>
          <w:szCs w:val="24"/>
          <w:lang w:eastAsia="zh-CN"/>
        </w:rPr>
        <w:t>二、合同金额</w:t>
      </w:r>
    </w:p>
    <w:p>
      <w:pPr>
        <w:tabs>
          <w:tab w:val="left" w:pos="724"/>
          <w:tab w:val="left" w:pos="8817"/>
        </w:tabs>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2.1</w:t>
      </w:r>
      <w:r>
        <w:rPr>
          <w:rFonts w:ascii="仿宋" w:hAnsi="仿宋" w:eastAsia="仿宋" w:cs="仿宋"/>
          <w:sz w:val="24"/>
          <w:szCs w:val="24"/>
          <w:lang w:eastAsia="zh-CN"/>
        </w:rPr>
        <w:tab/>
      </w:r>
      <w:r>
        <w:rPr>
          <w:rFonts w:ascii="仿宋" w:hAnsi="仿宋" w:eastAsia="仿宋" w:cs="仿宋"/>
          <w:sz w:val="24"/>
          <w:szCs w:val="24"/>
          <w:lang w:eastAsia="zh-CN"/>
        </w:rPr>
        <w:t>本合同金额为（大写）：</w:t>
      </w:r>
      <w:r>
        <w:rPr>
          <w:rFonts w:ascii="仿宋" w:hAnsi="仿宋" w:eastAsia="仿宋" w:cs="Times New Roman"/>
          <w:sz w:val="24"/>
          <w:szCs w:val="24"/>
          <w:u w:val="single" w:color="000000"/>
          <w:lang w:eastAsia="zh-CN"/>
        </w:rPr>
        <w:tab/>
      </w:r>
      <w:r>
        <w:rPr>
          <w:rFonts w:ascii="仿宋" w:hAnsi="仿宋" w:eastAsia="仿宋" w:cs="仿宋"/>
          <w:sz w:val="24"/>
          <w:szCs w:val="24"/>
          <w:lang w:eastAsia="zh-CN"/>
        </w:rPr>
        <w:t>元</w:t>
      </w:r>
    </w:p>
    <w:p>
      <w:pPr>
        <w:tabs>
          <w:tab w:val="left" w:pos="2596"/>
        </w:tabs>
        <w:spacing w:line="360" w:lineRule="auto"/>
        <w:jc w:val="both"/>
        <w:rPr>
          <w:rFonts w:ascii="仿宋" w:hAnsi="仿宋" w:eastAsia="仿宋" w:cs="仿宋"/>
          <w:sz w:val="24"/>
          <w:szCs w:val="24"/>
          <w:lang w:eastAsia="zh-CN"/>
        </w:rPr>
      </w:pPr>
      <w:r>
        <w:rPr>
          <w:rFonts w:ascii="仿宋" w:hAnsi="仿宋" w:eastAsia="仿宋" w:cs="仿宋"/>
          <w:spacing w:val="-1"/>
          <w:sz w:val="24"/>
          <w:szCs w:val="24"/>
          <w:lang w:eastAsia="zh-CN"/>
        </w:rPr>
        <w:t>（</w:t>
      </w:r>
      <w:r>
        <w:rPr>
          <w:rFonts w:ascii="仿宋" w:hAnsi="仿宋" w:eastAsia="仿宋" w:cs="Times New Roman"/>
          <w:spacing w:val="-1"/>
          <w:sz w:val="24"/>
          <w:szCs w:val="24"/>
          <w:u w:val="single" w:color="000000"/>
          <w:lang w:eastAsia="zh-CN"/>
        </w:rPr>
        <w:tab/>
      </w:r>
      <w:r>
        <w:rPr>
          <w:rFonts w:ascii="仿宋" w:hAnsi="仿宋" w:eastAsia="仿宋" w:cs="仿宋"/>
          <w:sz w:val="24"/>
          <w:szCs w:val="24"/>
          <w:lang w:eastAsia="zh-CN"/>
        </w:rPr>
        <w:t>元）人民币或其他币种。</w:t>
      </w:r>
    </w:p>
    <w:p>
      <w:pPr>
        <w:tabs>
          <w:tab w:val="left" w:pos="2596"/>
        </w:tabs>
        <w:spacing w:line="360" w:lineRule="auto"/>
        <w:jc w:val="both"/>
        <w:rPr>
          <w:rFonts w:ascii="仿宋" w:hAnsi="仿宋" w:eastAsia="仿宋" w:cs="仿宋"/>
          <w:sz w:val="24"/>
          <w:szCs w:val="24"/>
          <w:lang w:eastAsia="zh-CN"/>
        </w:rPr>
      </w:pPr>
      <w:r>
        <w:rPr>
          <w:rFonts w:ascii="仿宋" w:hAnsi="仿宋" w:eastAsia="仿宋" w:cs="仿宋"/>
          <w:b/>
          <w:bCs/>
          <w:sz w:val="24"/>
          <w:szCs w:val="24"/>
          <w:lang w:eastAsia="zh-CN"/>
        </w:rPr>
        <w:t>三、技术资料</w:t>
      </w: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3.1乙方应按招标文件规定的时间向甲方提供使用产品的有关技术资料。</w:t>
      </w: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3.2没有甲方事先书面同意，乙方不得将由甲方提供的有关合同或任何合同条文、规</w:t>
      </w:r>
      <w:r>
        <w:rPr>
          <w:rFonts w:ascii="仿宋" w:hAnsi="仿宋" w:eastAsia="仿宋" w:cs="仿宋"/>
          <w:spacing w:val="-3"/>
          <w:sz w:val="24"/>
          <w:szCs w:val="24"/>
          <w:lang w:eastAsia="zh-CN"/>
        </w:rPr>
        <w:t>格、计划、图纸、样品或资料提供给与履行本合同无关的任何其他人。即使向履行</w:t>
      </w:r>
      <w:r>
        <w:rPr>
          <w:rFonts w:ascii="仿宋" w:hAnsi="仿宋" w:eastAsia="仿宋" w:cs="仿宋"/>
          <w:sz w:val="24"/>
          <w:szCs w:val="24"/>
          <w:lang w:eastAsia="zh-CN"/>
        </w:rPr>
        <w:t>本合同有关的人员提供，也应注意保密并限于履行合同的必需范围。</w:t>
      </w:r>
    </w:p>
    <w:p>
      <w:pPr>
        <w:spacing w:line="360" w:lineRule="auto"/>
        <w:jc w:val="both"/>
        <w:rPr>
          <w:rFonts w:ascii="仿宋" w:hAnsi="仿宋" w:eastAsia="仿宋" w:cs="仿宋"/>
          <w:sz w:val="24"/>
          <w:szCs w:val="24"/>
          <w:lang w:eastAsia="zh-CN"/>
        </w:rPr>
      </w:pPr>
      <w:r>
        <w:rPr>
          <w:rFonts w:ascii="仿宋" w:hAnsi="仿宋" w:eastAsia="仿宋" w:cs="仿宋"/>
          <w:b/>
          <w:bCs/>
          <w:sz w:val="24"/>
          <w:szCs w:val="24"/>
          <w:lang w:eastAsia="zh-CN"/>
        </w:rPr>
        <w:t>四、知识产权</w:t>
      </w: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4.1</w:t>
      </w:r>
      <w:r>
        <w:rPr>
          <w:rFonts w:ascii="仿宋" w:hAnsi="仿宋" w:eastAsia="仿宋" w:cs="仿宋"/>
          <w:spacing w:val="-4"/>
          <w:sz w:val="24"/>
          <w:szCs w:val="24"/>
          <w:lang w:eastAsia="zh-CN"/>
        </w:rPr>
        <w:t>乙方应保证甲方在使用、接受本合同产品和服务或其任何一部分时不受第三方提出</w:t>
      </w: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侵犯其专利权、版权、商标权和工业设计权等知识产权的起诉。一旦出现侵权，由乙方负全部责任。</w:t>
      </w:r>
    </w:p>
    <w:p>
      <w:pPr>
        <w:spacing w:line="360" w:lineRule="auto"/>
        <w:jc w:val="both"/>
        <w:rPr>
          <w:rFonts w:ascii="仿宋" w:hAnsi="仿宋" w:eastAsia="仿宋" w:cs="仿宋"/>
          <w:sz w:val="24"/>
          <w:szCs w:val="24"/>
          <w:lang w:eastAsia="zh-CN"/>
        </w:rPr>
      </w:pPr>
      <w:r>
        <w:rPr>
          <w:rFonts w:ascii="仿宋" w:hAnsi="仿宋" w:eastAsia="仿宋" w:cs="仿宋"/>
          <w:b/>
          <w:bCs/>
          <w:sz w:val="24"/>
          <w:szCs w:val="24"/>
          <w:lang w:eastAsia="zh-CN"/>
        </w:rPr>
        <w:t>五、产权担保</w:t>
      </w: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5.1乙方保证所交付的产品的所有权完全属于乙方且无任何抵押、查封等产权瑕疵。</w:t>
      </w:r>
      <w:r>
        <w:rPr>
          <w:rFonts w:ascii="仿宋" w:hAnsi="仿宋" w:eastAsia="仿宋" w:cs="仿宋"/>
          <w:b/>
          <w:bCs/>
          <w:sz w:val="24"/>
          <w:szCs w:val="24"/>
          <w:lang w:eastAsia="zh-CN"/>
        </w:rPr>
        <w:t>六、</w:t>
      </w:r>
      <w:r>
        <w:rPr>
          <w:rFonts w:hint="eastAsia" w:ascii="仿宋" w:hAnsi="仿宋" w:eastAsia="仿宋" w:cs="仿宋"/>
          <w:b/>
          <w:bCs/>
          <w:sz w:val="24"/>
          <w:szCs w:val="24"/>
          <w:lang w:eastAsia="zh-CN"/>
        </w:rPr>
        <w:t>六、</w:t>
      </w:r>
      <w:r>
        <w:rPr>
          <w:rFonts w:ascii="仿宋" w:hAnsi="仿宋" w:eastAsia="仿宋" w:cs="仿宋"/>
          <w:b/>
          <w:bCs/>
          <w:sz w:val="24"/>
          <w:szCs w:val="24"/>
          <w:lang w:eastAsia="zh-CN"/>
        </w:rPr>
        <w:t>履约保证金</w:t>
      </w:r>
    </w:p>
    <w:p>
      <w:pPr>
        <w:tabs>
          <w:tab w:val="left" w:pos="3386"/>
        </w:tabs>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6.1乙方交纳人民币</w:t>
      </w:r>
      <w:r>
        <w:rPr>
          <w:rFonts w:ascii="仿宋" w:hAnsi="仿宋" w:eastAsia="仿宋" w:cs="Times New Roman"/>
          <w:sz w:val="24"/>
          <w:szCs w:val="24"/>
          <w:u w:val="single" w:color="000000"/>
          <w:lang w:eastAsia="zh-CN"/>
        </w:rPr>
        <w:tab/>
      </w:r>
      <w:r>
        <w:rPr>
          <w:rFonts w:ascii="仿宋" w:hAnsi="仿宋" w:eastAsia="仿宋" w:cs="仿宋"/>
          <w:sz w:val="24"/>
          <w:szCs w:val="24"/>
          <w:lang w:eastAsia="zh-CN"/>
        </w:rPr>
        <w:t>元作为本合同的履约保证金。</w:t>
      </w:r>
    </w:p>
    <w:p>
      <w:pPr>
        <w:tabs>
          <w:tab w:val="left" w:pos="3386"/>
        </w:tabs>
        <w:spacing w:line="360" w:lineRule="auto"/>
        <w:jc w:val="both"/>
        <w:rPr>
          <w:rFonts w:ascii="仿宋" w:hAnsi="仿宋" w:eastAsia="仿宋" w:cs="仿宋"/>
          <w:sz w:val="24"/>
          <w:szCs w:val="24"/>
          <w:lang w:eastAsia="zh-CN"/>
        </w:rPr>
      </w:pPr>
      <w:r>
        <w:rPr>
          <w:rFonts w:ascii="仿宋" w:hAnsi="仿宋" w:eastAsia="仿宋" w:cs="仿宋"/>
          <w:b/>
          <w:bCs/>
          <w:sz w:val="24"/>
          <w:szCs w:val="24"/>
          <w:lang w:eastAsia="zh-CN"/>
        </w:rPr>
        <w:t>七、转包或分包</w:t>
      </w: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7.1本合同范围的产品，应由乙方直接供应，不得转让他人供应；</w:t>
      </w: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7.2除非得到甲方的书面同意，乙方不得部分分包给他人供应。</w:t>
      </w: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7.3如有转让和未经甲方同意的分包行为，甲方有权给予终止合同。</w:t>
      </w:r>
    </w:p>
    <w:p>
      <w:pPr>
        <w:spacing w:line="360" w:lineRule="auto"/>
        <w:jc w:val="both"/>
        <w:rPr>
          <w:rFonts w:ascii="仿宋" w:hAnsi="仿宋" w:eastAsia="仿宋" w:cs="仿宋"/>
          <w:sz w:val="24"/>
          <w:szCs w:val="24"/>
          <w:lang w:eastAsia="zh-CN"/>
        </w:rPr>
      </w:pPr>
      <w:r>
        <w:rPr>
          <w:rFonts w:ascii="仿宋" w:hAnsi="仿宋" w:eastAsia="仿宋" w:cs="仿宋"/>
          <w:b/>
          <w:bCs/>
          <w:sz w:val="24"/>
          <w:szCs w:val="24"/>
          <w:lang w:eastAsia="zh-CN"/>
        </w:rPr>
        <w:t>八、维保期</w:t>
      </w:r>
    </w:p>
    <w:p>
      <w:pPr>
        <w:tabs>
          <w:tab w:val="left" w:pos="2425"/>
        </w:tabs>
        <w:spacing w:line="360" w:lineRule="auto"/>
        <w:jc w:val="both"/>
        <w:rPr>
          <w:rFonts w:ascii="仿宋" w:hAnsi="仿宋" w:eastAsia="仿宋" w:cs="仿宋"/>
          <w:color w:val="auto"/>
          <w:sz w:val="24"/>
          <w:szCs w:val="24"/>
          <w:u w:val="single" w:color="auto"/>
          <w:lang w:eastAsia="zh-CN"/>
        </w:rPr>
      </w:pPr>
      <w:r>
        <w:rPr>
          <w:rFonts w:ascii="仿宋" w:hAnsi="仿宋" w:eastAsia="仿宋" w:cs="仿宋"/>
          <w:sz w:val="24"/>
          <w:szCs w:val="24"/>
          <w:lang w:eastAsia="zh-CN"/>
        </w:rPr>
        <w:t>8.1</w:t>
      </w:r>
      <w:r>
        <w:rPr>
          <w:rFonts w:ascii="仿宋" w:hAnsi="仿宋" w:eastAsia="仿宋" w:cs="仿宋"/>
          <w:color w:val="auto"/>
          <w:sz w:val="24"/>
          <w:szCs w:val="24"/>
          <w:lang w:eastAsia="zh-CN"/>
        </w:rPr>
        <w:t>产品维保期</w:t>
      </w:r>
      <w:r>
        <w:rPr>
          <w:rFonts w:ascii="仿宋" w:hAnsi="仿宋" w:eastAsia="仿宋" w:cs="Times New Roman"/>
          <w:color w:val="auto"/>
          <w:sz w:val="24"/>
          <w:szCs w:val="24"/>
          <w:u w:val="single" w:color="auto"/>
          <w:lang w:eastAsia="zh-CN"/>
        </w:rPr>
        <w:tab/>
      </w:r>
      <w:r>
        <w:rPr>
          <w:rFonts w:ascii="仿宋" w:hAnsi="仿宋" w:eastAsia="仿宋" w:cs="仿宋"/>
          <w:color w:val="auto"/>
          <w:sz w:val="24"/>
          <w:szCs w:val="24"/>
          <w:u w:val="single" w:color="auto"/>
          <w:lang w:eastAsia="zh-CN"/>
        </w:rPr>
        <w:t>年。（自通过甲方验收合格之日起计）</w:t>
      </w:r>
    </w:p>
    <w:p>
      <w:pPr>
        <w:tabs>
          <w:tab w:val="left" w:pos="2425"/>
        </w:tabs>
        <w:spacing w:line="360" w:lineRule="auto"/>
        <w:jc w:val="both"/>
        <w:rPr>
          <w:rFonts w:ascii="仿宋" w:hAnsi="仿宋" w:eastAsia="仿宋" w:cs="仿宋"/>
          <w:color w:val="auto"/>
          <w:sz w:val="24"/>
          <w:szCs w:val="24"/>
          <w:u w:val="single" w:color="auto"/>
          <w:lang w:eastAsia="zh-CN"/>
        </w:rPr>
      </w:pPr>
      <w:r>
        <w:rPr>
          <w:rFonts w:ascii="仿宋" w:hAnsi="仿宋" w:eastAsia="仿宋" w:cs="仿宋"/>
          <w:b/>
          <w:bCs/>
          <w:color w:val="auto"/>
          <w:sz w:val="24"/>
          <w:szCs w:val="24"/>
          <w:u w:val="single" w:color="auto"/>
          <w:lang w:eastAsia="zh-CN"/>
        </w:rPr>
        <w:t>九、交货期、交货方式及交货地点</w:t>
      </w:r>
    </w:p>
    <w:p>
      <w:pPr>
        <w:tabs>
          <w:tab w:val="left" w:pos="2955"/>
        </w:tabs>
        <w:spacing w:line="360" w:lineRule="auto"/>
        <w:jc w:val="both"/>
        <w:rPr>
          <w:rFonts w:ascii="仿宋" w:hAnsi="仿宋" w:eastAsia="仿宋" w:cs="Times New Roman"/>
          <w:color w:val="auto"/>
          <w:sz w:val="24"/>
          <w:szCs w:val="24"/>
          <w:u w:val="single" w:color="auto"/>
          <w:lang w:eastAsia="zh-CN"/>
        </w:rPr>
      </w:pPr>
      <w:r>
        <w:rPr>
          <w:rFonts w:ascii="仿宋" w:hAnsi="仿宋" w:eastAsia="仿宋" w:cs="仿宋"/>
          <w:color w:val="auto"/>
          <w:sz w:val="24"/>
          <w:szCs w:val="24"/>
          <w:u w:val="single" w:color="auto"/>
          <w:lang w:eastAsia="zh-CN"/>
        </w:rPr>
        <w:t>9.1交货期：</w:t>
      </w:r>
      <w:r>
        <w:rPr>
          <w:rFonts w:ascii="仿宋" w:hAnsi="仿宋" w:eastAsia="仿宋" w:cs="Times New Roman"/>
          <w:color w:val="auto"/>
          <w:sz w:val="24"/>
          <w:szCs w:val="24"/>
          <w:u w:val="single" w:color="auto"/>
          <w:lang w:eastAsia="zh-CN"/>
        </w:rPr>
        <w:tab/>
      </w:r>
    </w:p>
    <w:p>
      <w:pPr>
        <w:tabs>
          <w:tab w:val="left" w:pos="2955"/>
        </w:tabs>
        <w:spacing w:line="360" w:lineRule="auto"/>
        <w:jc w:val="both"/>
        <w:rPr>
          <w:rFonts w:ascii="仿宋" w:hAnsi="仿宋" w:eastAsia="仿宋" w:cs="Times New Roman"/>
          <w:color w:val="auto"/>
          <w:sz w:val="24"/>
          <w:szCs w:val="24"/>
          <w:u w:val="single" w:color="auto"/>
          <w:lang w:eastAsia="zh-CN"/>
        </w:rPr>
      </w:pPr>
      <w:r>
        <w:rPr>
          <w:rFonts w:ascii="仿宋" w:hAnsi="仿宋" w:eastAsia="仿宋" w:cs="仿宋"/>
          <w:color w:val="auto"/>
          <w:sz w:val="24"/>
          <w:szCs w:val="24"/>
          <w:u w:val="single" w:color="auto"/>
          <w:lang w:eastAsia="zh-CN"/>
        </w:rPr>
        <w:t>9.2交货方式：</w:t>
      </w:r>
      <w:r>
        <w:rPr>
          <w:rFonts w:ascii="仿宋" w:hAnsi="仿宋" w:eastAsia="仿宋" w:cs="Times New Roman"/>
          <w:color w:val="auto"/>
          <w:sz w:val="24"/>
          <w:szCs w:val="24"/>
          <w:u w:val="single" w:color="auto"/>
          <w:lang w:eastAsia="zh-CN"/>
        </w:rPr>
        <w:tab/>
      </w:r>
    </w:p>
    <w:p>
      <w:pPr>
        <w:tabs>
          <w:tab w:val="left" w:pos="2463"/>
        </w:tabs>
        <w:spacing w:line="360" w:lineRule="auto"/>
        <w:jc w:val="both"/>
        <w:rPr>
          <w:rFonts w:ascii="仿宋" w:hAnsi="仿宋" w:eastAsia="仿宋" w:cs="Times New Roman"/>
          <w:color w:val="FF0000"/>
          <w:sz w:val="24"/>
          <w:szCs w:val="24"/>
          <w:u w:val="single" w:color="auto"/>
          <w:lang w:eastAsia="zh-CN"/>
        </w:rPr>
      </w:pPr>
      <w:r>
        <w:rPr>
          <w:rFonts w:ascii="仿宋" w:hAnsi="仿宋" w:eastAsia="仿宋" w:cs="仿宋"/>
          <w:color w:val="auto"/>
          <w:sz w:val="24"/>
          <w:szCs w:val="24"/>
          <w:u w:val="single" w:color="auto"/>
          <w:lang w:eastAsia="zh-CN"/>
        </w:rPr>
        <w:t>9.3交货地点：</w:t>
      </w:r>
      <w:r>
        <w:rPr>
          <w:rFonts w:ascii="仿宋" w:hAnsi="仿宋" w:eastAsia="仿宋" w:cs="Times New Roman"/>
          <w:color w:val="auto"/>
          <w:sz w:val="24"/>
          <w:szCs w:val="24"/>
          <w:u w:val="single" w:color="auto"/>
          <w:lang w:eastAsia="zh-CN"/>
        </w:rPr>
        <w:tab/>
      </w:r>
    </w:p>
    <w:p>
      <w:pPr>
        <w:tabs>
          <w:tab w:val="left" w:pos="2463"/>
        </w:tabs>
        <w:spacing w:line="360" w:lineRule="auto"/>
        <w:jc w:val="both"/>
        <w:rPr>
          <w:rFonts w:ascii="仿宋" w:hAnsi="仿宋" w:eastAsia="仿宋" w:cs="仿宋"/>
          <w:sz w:val="24"/>
          <w:szCs w:val="24"/>
          <w:lang w:eastAsia="zh-CN"/>
        </w:rPr>
      </w:pPr>
      <w:r>
        <w:rPr>
          <w:rFonts w:ascii="仿宋" w:hAnsi="仿宋" w:eastAsia="仿宋" w:cs="仿宋"/>
          <w:b/>
          <w:bCs/>
          <w:sz w:val="24"/>
          <w:szCs w:val="24"/>
          <w:lang w:eastAsia="zh-CN"/>
        </w:rPr>
        <w:t>十、货款支付</w:t>
      </w: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10.1付款方式：；</w:t>
      </w:r>
    </w:p>
    <w:p>
      <w:pPr>
        <w:spacing w:line="360" w:lineRule="auto"/>
        <w:jc w:val="both"/>
        <w:rPr>
          <w:rFonts w:ascii="仿宋" w:hAnsi="仿宋" w:eastAsia="仿宋" w:cs="仿宋"/>
          <w:sz w:val="24"/>
          <w:szCs w:val="24"/>
          <w:lang w:eastAsia="zh-CN"/>
        </w:rPr>
      </w:pPr>
      <w:r>
        <w:rPr>
          <w:rFonts w:ascii="仿宋" w:hAnsi="仿宋" w:eastAsia="仿宋" w:cs="仿宋"/>
          <w:b/>
          <w:bCs/>
          <w:sz w:val="24"/>
          <w:szCs w:val="24"/>
          <w:lang w:eastAsia="zh-CN"/>
        </w:rPr>
        <w:t>十一.税</w:t>
      </w: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11.1本合同执行中相关的一切税费均由乙方负担。</w:t>
      </w:r>
    </w:p>
    <w:p>
      <w:pPr>
        <w:spacing w:line="360" w:lineRule="auto"/>
        <w:jc w:val="both"/>
        <w:rPr>
          <w:rFonts w:ascii="仿宋" w:hAnsi="仿宋" w:eastAsia="仿宋" w:cs="仿宋"/>
          <w:sz w:val="24"/>
          <w:szCs w:val="24"/>
          <w:lang w:eastAsia="zh-CN"/>
        </w:rPr>
      </w:pPr>
      <w:r>
        <w:rPr>
          <w:rFonts w:ascii="仿宋" w:hAnsi="仿宋" w:eastAsia="仿宋" w:cs="仿宋"/>
          <w:b/>
          <w:bCs/>
          <w:sz w:val="24"/>
          <w:szCs w:val="24"/>
          <w:lang w:eastAsia="zh-CN"/>
        </w:rPr>
        <w:t>十二、质量保证及售后服务</w:t>
      </w: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12.1乙方应按招标文件规定的产品性能、技术要求、质量标准向甲方提供未经使用的全新产品。</w:t>
      </w: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12.2乙方提供的产品在质量期内因产品本身的质量问题发生故障，乙方应负责免费更换。对达不到技术要求者，根据实际情况，经双方协商，可按以下办法处理：</w:t>
      </w: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⑴更换：由乙方承担所发生的全部费用。</w:t>
      </w: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⑵贬值处理：由甲乙双方合议定价。</w:t>
      </w:r>
    </w:p>
    <w:p>
      <w:pPr>
        <w:spacing w:line="360" w:lineRule="auto"/>
        <w:jc w:val="both"/>
        <w:rPr>
          <w:rFonts w:ascii="仿宋" w:hAnsi="仿宋" w:eastAsia="仿宋" w:cs="仿宋"/>
          <w:sz w:val="24"/>
          <w:szCs w:val="24"/>
          <w:lang w:eastAsia="zh-CN"/>
        </w:rPr>
      </w:pPr>
      <w:r>
        <w:rPr>
          <w:rFonts w:ascii="仿宋" w:hAnsi="仿宋" w:eastAsia="仿宋" w:cs="仿宋"/>
          <w:spacing w:val="-7"/>
          <w:sz w:val="24"/>
          <w:szCs w:val="24"/>
          <w:lang w:eastAsia="zh-CN"/>
        </w:rPr>
        <w:t>⑶退货处理：乙方应退还甲方支付的合同款，同时应承担该产品的直接费用（运输、</w:t>
      </w:r>
      <w:r>
        <w:rPr>
          <w:rFonts w:ascii="仿宋" w:hAnsi="仿宋" w:eastAsia="仿宋" w:cs="仿宋"/>
          <w:sz w:val="24"/>
          <w:szCs w:val="24"/>
          <w:lang w:eastAsia="zh-CN"/>
        </w:rPr>
        <w:t>保险、检验、货款利息及银行手续费等）。</w:t>
      </w:r>
    </w:p>
    <w:p>
      <w:pPr>
        <w:tabs>
          <w:tab w:val="left" w:pos="7659"/>
        </w:tabs>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12.3如在使用过程中发生质量问题，乙方在接到甲方通知后在</w:t>
      </w:r>
      <w:r>
        <w:rPr>
          <w:rFonts w:ascii="仿宋" w:hAnsi="仿宋" w:eastAsia="仿宋" w:cs="Times New Roman"/>
          <w:sz w:val="24"/>
          <w:szCs w:val="24"/>
          <w:u w:val="single" w:color="auto"/>
          <w:lang w:eastAsia="zh-CN"/>
        </w:rPr>
        <w:tab/>
      </w:r>
      <w:r>
        <w:rPr>
          <w:rFonts w:ascii="仿宋" w:hAnsi="仿宋" w:eastAsia="仿宋" w:cs="仿宋"/>
          <w:sz w:val="24"/>
          <w:szCs w:val="24"/>
          <w:lang w:eastAsia="zh-CN"/>
        </w:rPr>
        <w:t>时间内到达甲方现场。</w:t>
      </w: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12.4</w:t>
      </w:r>
      <w:r>
        <w:rPr>
          <w:rFonts w:ascii="仿宋" w:hAnsi="仿宋" w:eastAsia="仿宋" w:cs="仿宋"/>
          <w:spacing w:val="4"/>
          <w:sz w:val="24"/>
          <w:szCs w:val="24"/>
          <w:lang w:eastAsia="zh-CN"/>
        </w:rPr>
        <w:t>在维保期内，乙方应对产品出现的质量及安全问题负责处理解决并承担一切费</w:t>
      </w:r>
      <w:r>
        <w:rPr>
          <w:rFonts w:ascii="仿宋" w:hAnsi="仿宋" w:eastAsia="仿宋" w:cs="仿宋"/>
          <w:sz w:val="24"/>
          <w:szCs w:val="24"/>
          <w:lang w:eastAsia="zh-CN"/>
        </w:rPr>
        <w:t>用。</w:t>
      </w:r>
    </w:p>
    <w:p>
      <w:pPr>
        <w:tabs>
          <w:tab w:val="left" w:pos="4046"/>
        </w:tabs>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12.5上述的产品的免费保修期</w:t>
      </w:r>
      <w:r>
        <w:rPr>
          <w:rFonts w:ascii="仿宋" w:hAnsi="仿宋" w:eastAsia="仿宋" w:cs="仿宋"/>
          <w:color w:val="auto"/>
          <w:sz w:val="24"/>
          <w:szCs w:val="24"/>
          <w:lang w:eastAsia="zh-CN"/>
        </w:rPr>
        <w:t>为</w:t>
      </w:r>
      <w:r>
        <w:rPr>
          <w:rFonts w:ascii="仿宋" w:hAnsi="仿宋" w:eastAsia="仿宋" w:cs="Times New Roman"/>
          <w:color w:val="auto"/>
          <w:sz w:val="24"/>
          <w:szCs w:val="24"/>
          <w:u w:val="single" w:color="auto"/>
          <w:lang w:eastAsia="zh-CN"/>
        </w:rPr>
        <w:tab/>
      </w:r>
      <w:r>
        <w:rPr>
          <w:rFonts w:ascii="仿宋" w:hAnsi="仿宋" w:eastAsia="仿宋" w:cs="仿宋"/>
          <w:color w:val="auto"/>
          <w:spacing w:val="-5"/>
          <w:sz w:val="24"/>
          <w:szCs w:val="24"/>
          <w:lang w:eastAsia="zh-CN"/>
        </w:rPr>
        <w:t>年</w:t>
      </w:r>
      <w:r>
        <w:rPr>
          <w:rFonts w:ascii="仿宋" w:hAnsi="仿宋" w:eastAsia="仿宋" w:cs="仿宋"/>
          <w:spacing w:val="-5"/>
          <w:sz w:val="24"/>
          <w:szCs w:val="24"/>
          <w:lang w:eastAsia="zh-CN"/>
        </w:rPr>
        <w:t>，因人为因素出现的故障不在免费保修范围内。</w:t>
      </w:r>
      <w:r>
        <w:rPr>
          <w:rFonts w:ascii="仿宋" w:hAnsi="仿宋" w:eastAsia="仿宋" w:cs="仿宋"/>
          <w:sz w:val="24"/>
          <w:szCs w:val="24"/>
          <w:lang w:eastAsia="zh-CN"/>
        </w:rPr>
        <w:t>超过保修期后，终生维修，维修时只收部件成本费。</w:t>
      </w:r>
    </w:p>
    <w:p>
      <w:pPr>
        <w:spacing w:line="360" w:lineRule="auto"/>
        <w:jc w:val="both"/>
        <w:rPr>
          <w:rFonts w:ascii="仿宋" w:hAnsi="仿宋" w:eastAsia="仿宋" w:cs="仿宋"/>
          <w:sz w:val="24"/>
          <w:szCs w:val="24"/>
          <w:lang w:eastAsia="zh-CN"/>
        </w:rPr>
      </w:pPr>
      <w:r>
        <w:rPr>
          <w:rFonts w:ascii="仿宋" w:hAnsi="仿宋" w:eastAsia="仿宋" w:cs="仿宋"/>
          <w:b/>
          <w:bCs/>
          <w:sz w:val="24"/>
          <w:szCs w:val="24"/>
          <w:lang w:eastAsia="zh-CN"/>
        </w:rPr>
        <w:t>十三、调试和验收</w:t>
      </w: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13.1初验条件：所投软硬件产品全部安装部署到位，产品外观、数量、功能、性能、技术参数以及集成服务等符合招标文件要求。</w:t>
      </w: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13.2</w:t>
      </w:r>
      <w:r>
        <w:rPr>
          <w:rFonts w:ascii="仿宋" w:hAnsi="仿宋" w:eastAsia="仿宋" w:cs="仿宋"/>
          <w:spacing w:val="-5"/>
          <w:sz w:val="24"/>
          <w:szCs w:val="24"/>
          <w:lang w:eastAsia="zh-CN"/>
        </w:rPr>
        <w:t>终验条件：通过甲方初验后，所投软硬件产品运行正常，满足甲方本次项目需求，</w:t>
      </w:r>
      <w:r>
        <w:rPr>
          <w:rFonts w:ascii="仿宋" w:hAnsi="仿宋" w:eastAsia="仿宋" w:cs="仿宋"/>
          <w:sz w:val="24"/>
          <w:szCs w:val="24"/>
          <w:lang w:eastAsia="zh-CN"/>
        </w:rPr>
        <w:t>提交全部报告材料（含中标方在本单位财务独立核算的财务资料）。</w:t>
      </w: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13.3</w:t>
      </w:r>
      <w:r>
        <w:rPr>
          <w:rFonts w:ascii="仿宋" w:hAnsi="仿宋" w:eastAsia="仿宋" w:cs="仿宋"/>
          <w:spacing w:val="4"/>
          <w:sz w:val="24"/>
          <w:szCs w:val="24"/>
          <w:lang w:eastAsia="zh-CN"/>
        </w:rPr>
        <w:t>对技术复杂的产品，甲方可请国家认可的专业检测机构参与初步验收及最终验</w:t>
      </w:r>
      <w:r>
        <w:rPr>
          <w:rFonts w:ascii="仿宋" w:hAnsi="仿宋" w:eastAsia="仿宋" w:cs="仿宋"/>
          <w:sz w:val="24"/>
          <w:szCs w:val="24"/>
          <w:lang w:eastAsia="zh-CN"/>
        </w:rPr>
        <w:t>收，并由其出具质量检测报告，验收费用由乙方承担。</w:t>
      </w:r>
    </w:p>
    <w:p>
      <w:pPr>
        <w:spacing w:line="360" w:lineRule="auto"/>
        <w:jc w:val="both"/>
        <w:rPr>
          <w:rFonts w:ascii="仿宋" w:hAnsi="仿宋" w:eastAsia="仿宋" w:cs="仿宋"/>
          <w:sz w:val="24"/>
          <w:szCs w:val="24"/>
          <w:lang w:eastAsia="zh-CN"/>
        </w:rPr>
      </w:pPr>
      <w:r>
        <w:rPr>
          <w:rFonts w:ascii="仿宋" w:hAnsi="仿宋" w:eastAsia="仿宋" w:cs="仿宋"/>
          <w:b/>
          <w:bCs/>
          <w:sz w:val="24"/>
          <w:szCs w:val="24"/>
          <w:lang w:eastAsia="zh-CN"/>
        </w:rPr>
        <w:t>十四、产品包装、发运及运输</w:t>
      </w: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14.1乙方应在产品发运前对其进行满足运输距离、防潮、防震、防锈和防破损装卸等要求包装，以保证产品安全运达甲方指定地点。</w:t>
      </w: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14.2使用说明书、质量检验证明书、随配附件和工具以及清单一并附于产品内。</w:t>
      </w: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14.3乙方在产品发运手续办理完毕后24小时内或货到甲方48</w:t>
      </w:r>
      <w:r>
        <w:rPr>
          <w:rFonts w:ascii="仿宋" w:hAnsi="仿宋" w:eastAsia="仿宋" w:cs="仿宋"/>
          <w:spacing w:val="-5"/>
          <w:sz w:val="24"/>
          <w:szCs w:val="24"/>
          <w:lang w:eastAsia="zh-CN"/>
        </w:rPr>
        <w:t>小时前通知甲方，以准</w:t>
      </w:r>
      <w:r>
        <w:rPr>
          <w:rFonts w:ascii="仿宋" w:hAnsi="仿宋" w:eastAsia="仿宋" w:cs="仿宋"/>
          <w:sz w:val="24"/>
          <w:szCs w:val="24"/>
          <w:lang w:eastAsia="zh-CN"/>
        </w:rPr>
        <w:t>备接货。</w:t>
      </w: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14.4产品在交付甲方前发生的风险均由乙方负责。</w:t>
      </w: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14.5</w:t>
      </w:r>
      <w:r>
        <w:rPr>
          <w:rFonts w:ascii="仿宋" w:hAnsi="仿宋" w:eastAsia="仿宋" w:cs="仿宋"/>
          <w:spacing w:val="-3"/>
          <w:sz w:val="24"/>
          <w:szCs w:val="24"/>
          <w:lang w:eastAsia="zh-CN"/>
        </w:rPr>
        <w:t>产品在规定的交付期限内由乙方送达甲方指定的地点视为交付，乙方同时需通知</w:t>
      </w:r>
      <w:r>
        <w:rPr>
          <w:rFonts w:ascii="仿宋" w:hAnsi="仿宋" w:eastAsia="仿宋" w:cs="仿宋"/>
          <w:sz w:val="24"/>
          <w:szCs w:val="24"/>
          <w:lang w:eastAsia="zh-CN"/>
        </w:rPr>
        <w:t>甲方产品已送达。</w:t>
      </w:r>
    </w:p>
    <w:p>
      <w:pPr>
        <w:spacing w:line="360" w:lineRule="auto"/>
        <w:jc w:val="both"/>
        <w:rPr>
          <w:rFonts w:ascii="仿宋" w:hAnsi="仿宋" w:eastAsia="仿宋" w:cs="仿宋"/>
          <w:sz w:val="24"/>
          <w:szCs w:val="24"/>
          <w:lang w:eastAsia="zh-CN"/>
        </w:rPr>
      </w:pPr>
      <w:r>
        <w:rPr>
          <w:rFonts w:ascii="仿宋" w:hAnsi="仿宋" w:eastAsia="仿宋" w:cs="仿宋"/>
          <w:b/>
          <w:bCs/>
          <w:sz w:val="24"/>
          <w:szCs w:val="24"/>
          <w:lang w:eastAsia="zh-CN"/>
        </w:rPr>
        <w:t>十五、违约责任</w:t>
      </w: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15.1甲方无正当理由拒收产品的，甲方向乙方偿付拒收货款总值的百分之五违约金。</w:t>
      </w: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15.2甲方无故逾期验收和办理货款支付手续的,甲方应按逾期付款总额每日万分之五向乙方支付违约金。</w:t>
      </w: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15.3乙方逾期交付产品的，乙方应按逾期交货总额每日千分之六向甲方支付违约金，由甲方从待付货款中扣除。逾期超过约定日期10个工作日不能交货的，甲方可解</w:t>
      </w:r>
      <w:r>
        <w:rPr>
          <w:rFonts w:ascii="仿宋" w:hAnsi="仿宋" w:eastAsia="仿宋" w:cs="仿宋"/>
          <w:spacing w:val="-3"/>
          <w:sz w:val="24"/>
          <w:szCs w:val="24"/>
          <w:lang w:eastAsia="zh-CN"/>
        </w:rPr>
        <w:t>除本合同。乙方因逾期交货或因其他违约行为导致甲方解除合同的，乙方应向甲方</w:t>
      </w:r>
      <w:r>
        <w:rPr>
          <w:rFonts w:ascii="仿宋" w:hAnsi="仿宋" w:eastAsia="仿宋" w:cs="仿宋"/>
          <w:sz w:val="24"/>
          <w:szCs w:val="24"/>
          <w:lang w:eastAsia="zh-CN"/>
        </w:rPr>
        <w:t>支付合同总值5%的违约金，如造成甲方损失超过违约金的，超出部分由乙方继续承担赔偿责任。</w:t>
      </w: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15.4乙方所交的产品品种、型号、规格、技术参数、质量不符合合同规定及招标文件</w:t>
      </w:r>
      <w:r>
        <w:rPr>
          <w:rFonts w:ascii="仿宋" w:hAnsi="仿宋" w:eastAsia="仿宋" w:cs="仿宋"/>
          <w:spacing w:val="-3"/>
          <w:sz w:val="24"/>
          <w:szCs w:val="24"/>
          <w:lang w:eastAsia="zh-CN"/>
        </w:rPr>
        <w:t>规定标准的，甲方有权拒收该产品，乙方愿意更换产品但逾期交货的，按乙方逾期</w:t>
      </w:r>
      <w:r>
        <w:rPr>
          <w:rFonts w:ascii="仿宋" w:hAnsi="仿宋" w:eastAsia="仿宋" w:cs="仿宋"/>
          <w:sz w:val="24"/>
          <w:szCs w:val="24"/>
          <w:lang w:eastAsia="zh-CN"/>
        </w:rPr>
        <w:t>交货处理。乙方拒绝更换产品的，甲方可单方面解除合同。</w:t>
      </w:r>
    </w:p>
    <w:p>
      <w:pPr>
        <w:spacing w:line="360" w:lineRule="auto"/>
        <w:jc w:val="both"/>
        <w:rPr>
          <w:rFonts w:ascii="仿宋" w:hAnsi="仿宋" w:eastAsia="仿宋" w:cs="仿宋"/>
          <w:sz w:val="24"/>
          <w:szCs w:val="24"/>
          <w:lang w:eastAsia="zh-CN"/>
        </w:rPr>
      </w:pPr>
      <w:r>
        <w:rPr>
          <w:rFonts w:ascii="仿宋" w:hAnsi="仿宋" w:eastAsia="仿宋" w:cs="仿宋"/>
          <w:b/>
          <w:bCs/>
          <w:sz w:val="24"/>
          <w:szCs w:val="24"/>
          <w:lang w:eastAsia="zh-CN"/>
        </w:rPr>
        <w:t>十六、不可抗力事件处理</w:t>
      </w: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16.1在合同有效期内，任何一方因不可抗力事件导致不能履行合同，则合同履行期可延长，其延长期与不可抗力影响期相同。</w:t>
      </w: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16.2不可抗力事件发生后，应立即通知对方，并寄送有关权威机构出具的证明。</w:t>
      </w: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16.3不可抗力事件延续120天以上，双方应通过友好协商，确定是否继续履行合同。</w:t>
      </w:r>
    </w:p>
    <w:p>
      <w:pPr>
        <w:spacing w:line="360" w:lineRule="auto"/>
        <w:jc w:val="both"/>
        <w:rPr>
          <w:rFonts w:ascii="仿宋" w:hAnsi="仿宋" w:eastAsia="仿宋" w:cs="仿宋"/>
          <w:sz w:val="24"/>
          <w:szCs w:val="24"/>
          <w:lang w:eastAsia="zh-CN"/>
        </w:rPr>
      </w:pPr>
      <w:r>
        <w:rPr>
          <w:rFonts w:ascii="仿宋" w:hAnsi="仿宋" w:eastAsia="仿宋" w:cs="仿宋"/>
          <w:b/>
          <w:bCs/>
          <w:sz w:val="24"/>
          <w:szCs w:val="24"/>
          <w:lang w:eastAsia="zh-CN"/>
        </w:rPr>
        <w:t>十七、诉讼</w:t>
      </w:r>
    </w:p>
    <w:p>
      <w:pPr>
        <w:tabs>
          <w:tab w:val="left" w:pos="5546"/>
        </w:tabs>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17.1双方在执行合同中所发生的一切争议，应通过协商解决。如协商不成，可向合同签订地法院起诉，合同签订地在此约定为</w:t>
      </w:r>
      <w:r>
        <w:rPr>
          <w:rFonts w:ascii="仿宋" w:hAnsi="仿宋" w:eastAsia="仿宋" w:cs="Times New Roman"/>
          <w:sz w:val="24"/>
          <w:szCs w:val="24"/>
          <w:u w:val="single" w:color="000000"/>
          <w:lang w:eastAsia="zh-CN"/>
        </w:rPr>
        <w:tab/>
      </w:r>
      <w:r>
        <w:rPr>
          <w:rFonts w:ascii="仿宋" w:hAnsi="仿宋" w:eastAsia="仿宋" w:cs="仿宋"/>
          <w:sz w:val="24"/>
          <w:szCs w:val="24"/>
          <w:lang w:eastAsia="zh-CN"/>
        </w:rPr>
        <w:t>。</w:t>
      </w:r>
    </w:p>
    <w:p>
      <w:pPr>
        <w:spacing w:line="360" w:lineRule="auto"/>
        <w:jc w:val="both"/>
        <w:rPr>
          <w:rFonts w:ascii="仿宋" w:hAnsi="仿宋" w:eastAsia="仿宋" w:cs="仿宋"/>
          <w:sz w:val="24"/>
          <w:szCs w:val="24"/>
          <w:lang w:eastAsia="zh-CN"/>
        </w:rPr>
      </w:pPr>
      <w:r>
        <w:rPr>
          <w:rFonts w:ascii="仿宋" w:hAnsi="仿宋" w:eastAsia="仿宋" w:cs="仿宋"/>
          <w:b/>
          <w:bCs/>
          <w:sz w:val="24"/>
          <w:szCs w:val="24"/>
          <w:lang w:eastAsia="zh-CN"/>
        </w:rPr>
        <w:t>十八、组成本合同的文件包括：</w:t>
      </w: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18.1合同通用条款和专用条款；</w:t>
      </w: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18.2采购文件和乙方的投标文件；</w:t>
      </w: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18.3中标通知书；</w:t>
      </w: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18.4甲乙双方商定的其他必要文件。上述合同文件内容互为补充，如有不明确，由甲方负责解释。</w:t>
      </w:r>
    </w:p>
    <w:p>
      <w:pPr>
        <w:spacing w:line="360" w:lineRule="auto"/>
        <w:jc w:val="both"/>
        <w:rPr>
          <w:rFonts w:ascii="仿宋" w:hAnsi="仿宋" w:eastAsia="仿宋" w:cs="仿宋"/>
          <w:sz w:val="24"/>
          <w:szCs w:val="24"/>
          <w:lang w:eastAsia="zh-CN"/>
        </w:rPr>
      </w:pPr>
      <w:r>
        <w:rPr>
          <w:rFonts w:ascii="仿宋" w:hAnsi="仿宋" w:eastAsia="仿宋" w:cs="仿宋"/>
          <w:b/>
          <w:bCs/>
          <w:sz w:val="24"/>
          <w:szCs w:val="24"/>
          <w:lang w:eastAsia="zh-CN"/>
        </w:rPr>
        <w:t>十九、合同生效及其它</w:t>
      </w: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19.1合同经双方法定代表人或授权委托代表人签字并加盖单位公章，并经</w:t>
      </w:r>
      <w:r>
        <w:rPr>
          <w:rFonts w:hint="eastAsia" w:ascii="仿宋" w:hAnsi="仿宋" w:eastAsia="仿宋" w:cs="仿宋"/>
          <w:sz w:val="24"/>
          <w:szCs w:val="24"/>
          <w:lang w:eastAsia="zh-CN"/>
        </w:rPr>
        <w:t>玛纳斯县政务服务和公共资源交易管理中心</w:t>
      </w:r>
      <w:r>
        <w:rPr>
          <w:rFonts w:ascii="仿宋" w:hAnsi="仿宋" w:eastAsia="仿宋" w:cs="仿宋"/>
          <w:sz w:val="24"/>
          <w:szCs w:val="24"/>
          <w:lang w:eastAsia="zh-CN"/>
        </w:rPr>
        <w:t>见证盖章后生效。</w:t>
      </w: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19.2本合同未尽事宜，遵照《合同法》有关条文执行。</w:t>
      </w:r>
    </w:p>
    <w:p>
      <w:pPr>
        <w:tabs>
          <w:tab w:val="left" w:pos="3986"/>
        </w:tabs>
        <w:spacing w:line="360" w:lineRule="auto"/>
        <w:jc w:val="both"/>
        <w:rPr>
          <w:rFonts w:ascii="仿宋" w:hAnsi="仿宋" w:eastAsia="仿宋" w:cs="仿宋"/>
          <w:spacing w:val="-5"/>
          <w:sz w:val="24"/>
          <w:szCs w:val="24"/>
          <w:lang w:eastAsia="zh-CN"/>
        </w:rPr>
      </w:pPr>
      <w:r>
        <w:rPr>
          <w:rFonts w:ascii="仿宋" w:hAnsi="仿宋" w:eastAsia="仿宋" w:cs="仿宋"/>
          <w:sz w:val="24"/>
          <w:szCs w:val="24"/>
          <w:lang w:eastAsia="zh-CN"/>
        </w:rPr>
        <w:t>19.3</w:t>
      </w:r>
      <w:r>
        <w:rPr>
          <w:rFonts w:ascii="仿宋" w:hAnsi="仿宋" w:eastAsia="仿宋" w:cs="仿宋"/>
          <w:spacing w:val="-5"/>
          <w:sz w:val="24"/>
          <w:szCs w:val="24"/>
          <w:lang w:eastAsia="zh-CN"/>
        </w:rPr>
        <w:t>本合同正本一式三份，具有同等法律效力，甲方、乙方及财政监管部门各执一份。</w:t>
      </w:r>
    </w:p>
    <w:p>
      <w:pPr>
        <w:tabs>
          <w:tab w:val="left" w:pos="3986"/>
        </w:tabs>
        <w:spacing w:line="360" w:lineRule="auto"/>
        <w:jc w:val="both"/>
        <w:rPr>
          <w:rFonts w:ascii="仿宋" w:hAnsi="仿宋" w:eastAsia="仿宋" w:cs="仿宋"/>
          <w:sz w:val="24"/>
          <w:szCs w:val="24"/>
          <w:highlight w:val="none"/>
          <w:lang w:eastAsia="zh-CN"/>
        </w:rPr>
      </w:pPr>
      <w:r>
        <w:rPr>
          <w:rFonts w:ascii="仿宋" w:hAnsi="仿宋" w:eastAsia="仿宋" w:cs="仿宋"/>
          <w:sz w:val="24"/>
          <w:szCs w:val="24"/>
          <w:lang w:eastAsia="zh-CN"/>
        </w:rPr>
        <w:t>甲方：</w:t>
      </w:r>
      <w:r>
        <w:rPr>
          <w:rFonts w:ascii="仿宋" w:hAnsi="仿宋" w:eastAsia="仿宋" w:cs="仿宋"/>
          <w:sz w:val="24"/>
          <w:szCs w:val="24"/>
          <w:lang w:eastAsia="zh-CN"/>
        </w:rPr>
        <w:tab/>
      </w:r>
      <w:r>
        <w:rPr>
          <w:rFonts w:ascii="仿宋" w:hAnsi="仿宋" w:eastAsia="仿宋" w:cs="仿宋"/>
          <w:sz w:val="24"/>
          <w:szCs w:val="24"/>
          <w:lang w:eastAsia="zh-CN"/>
        </w:rPr>
        <w:t>乙方：</w:t>
      </w:r>
    </w:p>
    <w:p>
      <w:pPr>
        <w:tabs>
          <w:tab w:val="left" w:pos="3986"/>
        </w:tabs>
        <w:spacing w:line="360" w:lineRule="auto"/>
        <w:jc w:val="both"/>
        <w:rPr>
          <w:rFonts w:ascii="仿宋" w:hAnsi="仿宋" w:eastAsia="仿宋" w:cs="仿宋"/>
          <w:sz w:val="24"/>
          <w:szCs w:val="24"/>
          <w:highlight w:val="none"/>
          <w:lang w:eastAsia="zh-CN"/>
        </w:rPr>
      </w:pPr>
      <w:r>
        <w:rPr>
          <w:rFonts w:ascii="仿宋" w:hAnsi="仿宋" w:eastAsia="仿宋" w:cs="仿宋"/>
          <w:sz w:val="24"/>
          <w:szCs w:val="24"/>
          <w:highlight w:val="none"/>
          <w:lang w:eastAsia="zh-CN"/>
        </w:rPr>
        <w:t>地址：</w:t>
      </w:r>
      <w:r>
        <w:rPr>
          <w:rFonts w:ascii="仿宋" w:hAnsi="仿宋" w:eastAsia="仿宋" w:cs="仿宋"/>
          <w:sz w:val="24"/>
          <w:szCs w:val="24"/>
          <w:highlight w:val="none"/>
          <w:lang w:eastAsia="zh-CN"/>
        </w:rPr>
        <w:tab/>
      </w:r>
      <w:r>
        <w:rPr>
          <w:rFonts w:ascii="仿宋" w:hAnsi="仿宋" w:eastAsia="仿宋" w:cs="仿宋"/>
          <w:sz w:val="24"/>
          <w:szCs w:val="24"/>
          <w:highlight w:val="none"/>
          <w:lang w:eastAsia="zh-CN"/>
        </w:rPr>
        <w:t>地址：</w:t>
      </w:r>
    </w:p>
    <w:p>
      <w:pPr>
        <w:tabs>
          <w:tab w:val="left" w:pos="3986"/>
        </w:tabs>
        <w:spacing w:line="360" w:lineRule="auto"/>
        <w:jc w:val="both"/>
        <w:rPr>
          <w:rFonts w:ascii="仿宋" w:hAnsi="仿宋" w:eastAsia="仿宋" w:cs="仿宋"/>
          <w:sz w:val="24"/>
          <w:szCs w:val="24"/>
          <w:highlight w:val="none"/>
          <w:lang w:eastAsia="zh-CN"/>
        </w:rPr>
      </w:pPr>
      <w:r>
        <w:rPr>
          <w:rFonts w:ascii="仿宋" w:hAnsi="仿宋" w:eastAsia="仿宋" w:cs="仿宋"/>
          <w:sz w:val="24"/>
          <w:szCs w:val="24"/>
          <w:highlight w:val="none"/>
          <w:lang w:eastAsia="zh-CN"/>
        </w:rPr>
        <w:t>法定代表人或授权代表：</w:t>
      </w:r>
      <w:r>
        <w:rPr>
          <w:rFonts w:ascii="仿宋" w:hAnsi="仿宋" w:eastAsia="仿宋" w:cs="仿宋"/>
          <w:sz w:val="24"/>
          <w:szCs w:val="24"/>
          <w:highlight w:val="none"/>
          <w:lang w:eastAsia="zh-CN"/>
        </w:rPr>
        <w:tab/>
      </w:r>
      <w:r>
        <w:rPr>
          <w:rFonts w:ascii="仿宋" w:hAnsi="仿宋" w:eastAsia="仿宋" w:cs="仿宋"/>
          <w:sz w:val="24"/>
          <w:szCs w:val="24"/>
          <w:highlight w:val="none"/>
          <w:lang w:eastAsia="zh-CN"/>
        </w:rPr>
        <w:t>法定代表人或授权代表：</w:t>
      </w:r>
    </w:p>
    <w:p>
      <w:pPr>
        <w:tabs>
          <w:tab w:val="left" w:pos="3436"/>
          <w:tab w:val="left" w:pos="5717"/>
          <w:tab w:val="left" w:pos="7399"/>
          <w:tab w:val="left" w:pos="7820"/>
          <w:tab w:val="left" w:pos="8240"/>
        </w:tabs>
        <w:spacing w:line="360" w:lineRule="auto"/>
        <w:jc w:val="both"/>
        <w:rPr>
          <w:rFonts w:ascii="仿宋" w:hAnsi="仿宋" w:eastAsia="仿宋" w:cs="仿宋"/>
          <w:sz w:val="24"/>
          <w:szCs w:val="24"/>
          <w:highlight w:val="none"/>
          <w:lang w:eastAsia="zh-CN"/>
        </w:rPr>
      </w:pPr>
      <w:r>
        <w:rPr>
          <w:rFonts w:ascii="仿宋" w:hAnsi="仿宋" w:eastAsia="仿宋" w:cs="仿宋"/>
          <w:sz w:val="24"/>
          <w:szCs w:val="24"/>
          <w:highlight w:val="none"/>
          <w:lang w:eastAsia="zh-CN"/>
        </w:rPr>
        <w:t>联系电话：</w:t>
      </w:r>
      <w:r>
        <w:rPr>
          <w:rFonts w:ascii="仿宋" w:hAnsi="仿宋" w:eastAsia="仿宋" w:cs="仿宋"/>
          <w:sz w:val="24"/>
          <w:szCs w:val="24"/>
          <w:highlight w:val="none"/>
          <w:lang w:eastAsia="zh-CN"/>
        </w:rPr>
        <w:tab/>
      </w:r>
      <w:r>
        <w:rPr>
          <w:rFonts w:ascii="仿宋" w:hAnsi="仿宋" w:eastAsia="仿宋" w:cs="仿宋"/>
          <w:sz w:val="24"/>
          <w:szCs w:val="24"/>
          <w:highlight w:val="none"/>
          <w:lang w:eastAsia="zh-CN"/>
        </w:rPr>
        <w:t>联系电话：</w:t>
      </w:r>
      <w:r>
        <w:rPr>
          <w:rFonts w:ascii="仿宋" w:hAnsi="仿宋" w:eastAsia="仿宋" w:cs="仿宋"/>
          <w:sz w:val="24"/>
          <w:szCs w:val="24"/>
          <w:highlight w:val="none"/>
          <w:lang w:eastAsia="zh-CN"/>
        </w:rPr>
        <w:tab/>
      </w:r>
      <w:r>
        <w:rPr>
          <w:rFonts w:ascii="仿宋" w:hAnsi="仿宋" w:eastAsia="仿宋" w:cs="仿宋"/>
          <w:spacing w:val="-1"/>
          <w:sz w:val="24"/>
          <w:szCs w:val="24"/>
          <w:highlight w:val="none"/>
          <w:lang w:eastAsia="zh-CN"/>
        </w:rPr>
        <w:t>签订日期：</w:t>
      </w:r>
      <w:r>
        <w:rPr>
          <w:rFonts w:ascii="仿宋" w:hAnsi="仿宋" w:eastAsia="仿宋" w:cs="仿宋"/>
          <w:spacing w:val="-1"/>
          <w:sz w:val="24"/>
          <w:szCs w:val="24"/>
          <w:highlight w:val="none"/>
          <w:lang w:eastAsia="zh-CN"/>
        </w:rPr>
        <w:tab/>
      </w:r>
      <w:r>
        <w:rPr>
          <w:rFonts w:ascii="仿宋" w:hAnsi="仿宋" w:eastAsia="仿宋" w:cs="仿宋"/>
          <w:sz w:val="24"/>
          <w:szCs w:val="24"/>
          <w:highlight w:val="none"/>
          <w:lang w:eastAsia="zh-CN"/>
        </w:rPr>
        <w:t>年</w:t>
      </w:r>
      <w:r>
        <w:rPr>
          <w:rFonts w:ascii="仿宋" w:hAnsi="仿宋" w:eastAsia="仿宋" w:cs="仿宋"/>
          <w:sz w:val="24"/>
          <w:szCs w:val="24"/>
          <w:highlight w:val="none"/>
          <w:lang w:eastAsia="zh-CN"/>
        </w:rPr>
        <w:tab/>
      </w:r>
      <w:r>
        <w:rPr>
          <w:rFonts w:ascii="仿宋" w:hAnsi="仿宋" w:eastAsia="仿宋" w:cs="仿宋"/>
          <w:sz w:val="24"/>
          <w:szCs w:val="24"/>
          <w:highlight w:val="none"/>
          <w:lang w:eastAsia="zh-CN"/>
        </w:rPr>
        <w:t>月</w:t>
      </w:r>
      <w:r>
        <w:rPr>
          <w:rFonts w:ascii="仿宋" w:hAnsi="仿宋" w:eastAsia="仿宋" w:cs="仿宋"/>
          <w:sz w:val="24"/>
          <w:szCs w:val="24"/>
          <w:highlight w:val="none"/>
          <w:lang w:eastAsia="zh-CN"/>
        </w:rPr>
        <w:tab/>
      </w:r>
      <w:r>
        <w:rPr>
          <w:rFonts w:ascii="仿宋" w:hAnsi="仿宋" w:eastAsia="仿宋" w:cs="仿宋"/>
          <w:sz w:val="24"/>
          <w:szCs w:val="24"/>
          <w:highlight w:val="none"/>
          <w:lang w:eastAsia="zh-CN"/>
        </w:rPr>
        <w:t>日</w:t>
      </w:r>
    </w:p>
    <w:p>
      <w:pPr>
        <w:spacing w:line="360" w:lineRule="auto"/>
        <w:jc w:val="both"/>
        <w:rPr>
          <w:rFonts w:ascii="仿宋" w:hAnsi="仿宋" w:eastAsia="仿宋" w:cs="仿宋"/>
          <w:sz w:val="24"/>
          <w:szCs w:val="24"/>
          <w:highlight w:val="none"/>
          <w:lang w:eastAsia="zh-CN"/>
        </w:rPr>
        <w:sectPr>
          <w:headerReference r:id="rId7" w:type="default"/>
          <w:footerReference r:id="rId8" w:type="default"/>
          <w:pgSz w:w="11910" w:h="16840"/>
          <w:pgMar w:top="1100" w:right="1360" w:bottom="1080" w:left="1220" w:header="880" w:footer="888" w:gutter="0"/>
          <w:pgBorders>
            <w:top w:val="none" w:sz="0" w:space="0"/>
            <w:left w:val="none" w:sz="0" w:space="0"/>
            <w:bottom w:val="none" w:sz="0" w:space="0"/>
            <w:right w:val="none" w:sz="0" w:space="0"/>
          </w:pgBorders>
          <w:pgNumType w:fmt="decimal"/>
          <w:cols w:space="720" w:num="1"/>
        </w:sectPr>
      </w:pPr>
    </w:p>
    <w:p>
      <w:pPr>
        <w:pStyle w:val="4"/>
        <w:numPr>
          <w:ilvl w:val="0"/>
          <w:numId w:val="0"/>
        </w:numPr>
        <w:spacing w:before="360" w:after="360"/>
        <w:ind w:left="576" w:hanging="576"/>
        <w:jc w:val="center"/>
        <w:rPr>
          <w:highlight w:val="none"/>
          <w:lang w:eastAsia="zh-CN"/>
        </w:rPr>
      </w:pPr>
      <w:bookmarkStart w:id="74" w:name="_bookmark3"/>
      <w:bookmarkEnd w:id="74"/>
      <w:bookmarkStart w:id="75" w:name="第四章__项目需求"/>
      <w:bookmarkEnd w:id="75"/>
      <w:r>
        <w:rPr>
          <w:w w:val="95"/>
          <w:highlight w:val="none"/>
          <w:lang w:eastAsia="zh-CN"/>
        </w:rPr>
        <w:t xml:space="preserve">第四章 </w:t>
      </w:r>
      <w:r>
        <w:rPr>
          <w:highlight w:val="none"/>
          <w:lang w:eastAsia="zh-CN"/>
        </w:rPr>
        <w:t>项目需求</w:t>
      </w:r>
    </w:p>
    <w:p>
      <w:pPr>
        <w:pStyle w:val="18"/>
        <w:tabs>
          <w:tab w:val="left" w:pos="5689"/>
        </w:tabs>
        <w:spacing w:before="360" w:beforeLines="150" w:after="360" w:afterLines="150" w:line="0" w:lineRule="atLeast"/>
        <w:ind w:left="0"/>
        <w:jc w:val="center"/>
        <w:rPr>
          <w:b/>
          <w:bCs/>
          <w:color w:val="auto"/>
          <w:spacing w:val="-1"/>
          <w:sz w:val="36"/>
          <w:szCs w:val="36"/>
          <w:highlight w:val="none"/>
          <w:lang w:eastAsia="zh-CN"/>
        </w:rPr>
      </w:pPr>
      <w:bookmarkStart w:id="76" w:name="第一部分、货物需求及技术规格"/>
      <w:bookmarkEnd w:id="76"/>
      <w:r>
        <w:rPr>
          <w:b/>
          <w:bCs/>
          <w:color w:val="auto"/>
          <w:sz w:val="36"/>
          <w:szCs w:val="36"/>
          <w:highlight w:val="none"/>
          <w:lang w:eastAsia="zh-CN"/>
        </w:rPr>
        <w:t>第一部分、</w:t>
      </w:r>
      <w:r>
        <w:rPr>
          <w:rFonts w:hint="eastAsia"/>
          <w:b/>
          <w:bCs/>
          <w:color w:val="auto"/>
          <w:sz w:val="36"/>
          <w:szCs w:val="36"/>
          <w:highlight w:val="none"/>
          <w:lang w:eastAsia="zh-CN"/>
        </w:rPr>
        <w:t>采购</w:t>
      </w:r>
      <w:r>
        <w:rPr>
          <w:b/>
          <w:bCs/>
          <w:color w:val="auto"/>
          <w:sz w:val="36"/>
          <w:szCs w:val="36"/>
          <w:highlight w:val="none"/>
          <w:lang w:eastAsia="zh-CN"/>
        </w:rPr>
        <w:t>需求及技术规格</w:t>
      </w:r>
      <w:r>
        <w:rPr>
          <w:b/>
          <w:bCs/>
          <w:color w:val="auto"/>
          <w:spacing w:val="-1"/>
          <w:sz w:val="36"/>
          <w:szCs w:val="36"/>
          <w:highlight w:val="none"/>
          <w:lang w:eastAsia="zh-CN"/>
        </w:rPr>
        <w:t>预算</w:t>
      </w:r>
    </w:p>
    <w:p>
      <w:pPr>
        <w:pStyle w:val="18"/>
        <w:tabs>
          <w:tab w:val="left" w:pos="4726"/>
        </w:tabs>
        <w:spacing w:before="0" w:line="360" w:lineRule="auto"/>
        <w:ind w:left="0"/>
        <w:jc w:val="both"/>
        <w:rPr>
          <w:rFonts w:cs="仿宋"/>
          <w:color w:val="auto"/>
          <w:sz w:val="24"/>
          <w:szCs w:val="24"/>
          <w:highlight w:val="none"/>
          <w:lang w:eastAsia="zh-CN"/>
        </w:rPr>
      </w:pPr>
      <w:r>
        <w:rPr>
          <w:rFonts w:hint="eastAsia"/>
          <w:color w:val="auto"/>
          <w:spacing w:val="-1"/>
          <w:sz w:val="24"/>
          <w:szCs w:val="24"/>
          <w:highlight w:val="none"/>
          <w:lang w:eastAsia="zh-CN"/>
        </w:rPr>
        <w:t>预算</w:t>
      </w:r>
      <w:r>
        <w:rPr>
          <w:color w:val="auto"/>
          <w:spacing w:val="-1"/>
          <w:sz w:val="24"/>
          <w:szCs w:val="24"/>
          <w:highlight w:val="none"/>
          <w:lang w:eastAsia="zh-CN"/>
        </w:rPr>
        <w:t>资金：</w:t>
      </w:r>
      <w:r>
        <w:rPr>
          <w:rFonts w:hint="eastAsia" w:cs="仿宋"/>
          <w:color w:val="auto"/>
          <w:spacing w:val="-1"/>
          <w:sz w:val="24"/>
          <w:szCs w:val="24"/>
          <w:highlight w:val="none"/>
          <w:u w:val="single" w:color="000000"/>
          <w:lang w:val="en-US" w:eastAsia="zh-CN"/>
        </w:rPr>
        <w:t>2010</w:t>
      </w:r>
      <w:r>
        <w:rPr>
          <w:color w:val="auto"/>
          <w:spacing w:val="-1"/>
          <w:sz w:val="24"/>
          <w:szCs w:val="24"/>
          <w:highlight w:val="none"/>
          <w:lang w:eastAsia="zh-CN"/>
        </w:rPr>
        <w:t>万元</w:t>
      </w:r>
      <w:r>
        <w:rPr>
          <w:color w:val="auto"/>
          <w:spacing w:val="-1"/>
          <w:sz w:val="24"/>
          <w:szCs w:val="24"/>
          <w:highlight w:val="none"/>
          <w:lang w:eastAsia="zh-CN"/>
        </w:rPr>
        <w:tab/>
      </w:r>
      <w:r>
        <w:rPr>
          <w:color w:val="auto"/>
          <w:spacing w:val="-1"/>
          <w:sz w:val="24"/>
          <w:szCs w:val="24"/>
          <w:highlight w:val="none"/>
          <w:lang w:eastAsia="zh-CN"/>
        </w:rPr>
        <w:t>资金来源：</w:t>
      </w:r>
      <w:r>
        <w:rPr>
          <w:rFonts w:cs="仿宋"/>
          <w:color w:val="auto"/>
          <w:spacing w:val="-1"/>
          <w:sz w:val="24"/>
          <w:szCs w:val="24"/>
          <w:highlight w:val="none"/>
          <w:u w:val="single" w:color="000000"/>
          <w:lang w:eastAsia="zh-CN"/>
        </w:rPr>
        <w:t>_</w:t>
      </w:r>
      <w:r>
        <w:rPr>
          <w:rFonts w:hint="eastAsia"/>
          <w:color w:val="auto"/>
          <w:spacing w:val="-1"/>
          <w:sz w:val="24"/>
          <w:szCs w:val="24"/>
          <w:highlight w:val="none"/>
          <w:u w:val="single" w:color="000000"/>
          <w:lang w:eastAsia="zh-CN"/>
        </w:rPr>
        <w:t>援疆资金和地方配套资金</w:t>
      </w:r>
      <w:r>
        <w:rPr>
          <w:rFonts w:cs="仿宋"/>
          <w:color w:val="auto"/>
          <w:spacing w:val="-1"/>
          <w:sz w:val="24"/>
          <w:szCs w:val="24"/>
          <w:highlight w:val="none"/>
          <w:u w:val="single" w:color="000000"/>
          <w:lang w:eastAsia="zh-CN"/>
        </w:rPr>
        <w:t>_</w:t>
      </w:r>
    </w:p>
    <w:tbl>
      <w:tblPr>
        <w:tblStyle w:val="49"/>
        <w:tblW w:w="8932" w:type="dxa"/>
        <w:tblInd w:w="0" w:type="dxa"/>
        <w:tblLayout w:type="fixed"/>
        <w:tblCellMar>
          <w:top w:w="0" w:type="dxa"/>
          <w:left w:w="0" w:type="dxa"/>
          <w:bottom w:w="0" w:type="dxa"/>
          <w:right w:w="0" w:type="dxa"/>
        </w:tblCellMar>
      </w:tblPr>
      <w:tblGrid>
        <w:gridCol w:w="605"/>
        <w:gridCol w:w="1646"/>
        <w:gridCol w:w="977"/>
        <w:gridCol w:w="900"/>
        <w:gridCol w:w="1486"/>
        <w:gridCol w:w="1140"/>
        <w:gridCol w:w="1081"/>
        <w:gridCol w:w="1097"/>
      </w:tblGrid>
      <w:tr>
        <w:tblPrEx>
          <w:tblCellMar>
            <w:top w:w="0" w:type="dxa"/>
            <w:left w:w="0" w:type="dxa"/>
            <w:bottom w:w="0" w:type="dxa"/>
            <w:right w:w="0" w:type="dxa"/>
          </w:tblCellMar>
        </w:tblPrEx>
        <w:trPr>
          <w:trHeight w:val="590" w:hRule="exact"/>
        </w:trPr>
        <w:tc>
          <w:tcPr>
            <w:tcW w:w="605"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仿宋" w:hAnsi="仿宋" w:eastAsia="仿宋" w:cs="仿宋"/>
                <w:color w:val="auto"/>
                <w:sz w:val="21"/>
                <w:szCs w:val="21"/>
                <w:highlight w:val="none"/>
              </w:rPr>
            </w:pPr>
            <w:r>
              <w:rPr>
                <w:rFonts w:ascii="仿宋" w:hAnsi="仿宋" w:eastAsia="仿宋" w:cs="仿宋"/>
                <w:color w:val="auto"/>
                <w:sz w:val="21"/>
                <w:szCs w:val="21"/>
                <w:highlight w:val="none"/>
              </w:rPr>
              <w:t>序号</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仿宋" w:hAnsi="仿宋" w:eastAsia="仿宋" w:cs="仿宋"/>
                <w:color w:val="auto"/>
                <w:sz w:val="21"/>
                <w:szCs w:val="21"/>
                <w:highlight w:val="none"/>
              </w:rPr>
            </w:pPr>
            <w:r>
              <w:rPr>
                <w:rFonts w:ascii="仿宋" w:hAnsi="仿宋" w:eastAsia="仿宋" w:cs="仿宋"/>
                <w:color w:val="auto"/>
                <w:sz w:val="21"/>
                <w:szCs w:val="21"/>
                <w:highlight w:val="none"/>
              </w:rPr>
              <w:t>采购</w:t>
            </w:r>
            <w:r>
              <w:rPr>
                <w:rFonts w:ascii="仿宋" w:hAnsi="仿宋" w:eastAsia="仿宋" w:cs="仿宋"/>
                <w:color w:val="auto"/>
                <w:spacing w:val="-3"/>
                <w:sz w:val="21"/>
                <w:szCs w:val="21"/>
                <w:highlight w:val="none"/>
              </w:rPr>
              <w:t>名</w:t>
            </w:r>
            <w:r>
              <w:rPr>
                <w:rFonts w:ascii="仿宋" w:hAnsi="仿宋" w:eastAsia="仿宋" w:cs="仿宋"/>
                <w:color w:val="auto"/>
                <w:sz w:val="21"/>
                <w:szCs w:val="21"/>
                <w:highlight w:val="none"/>
              </w:rPr>
              <w:t>称</w:t>
            </w:r>
          </w:p>
        </w:tc>
        <w:tc>
          <w:tcPr>
            <w:tcW w:w="977"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仿宋" w:hAnsi="仿宋" w:eastAsia="仿宋" w:cs="仿宋"/>
                <w:color w:val="auto"/>
                <w:sz w:val="21"/>
                <w:szCs w:val="21"/>
                <w:highlight w:val="none"/>
              </w:rPr>
            </w:pPr>
            <w:r>
              <w:rPr>
                <w:rFonts w:ascii="仿宋" w:hAnsi="仿宋" w:eastAsia="仿宋" w:cs="仿宋"/>
                <w:color w:val="auto"/>
                <w:sz w:val="21"/>
                <w:szCs w:val="21"/>
                <w:highlight w:val="none"/>
              </w:rPr>
              <w:t>技术参数</w:t>
            </w:r>
          </w:p>
        </w:tc>
        <w:tc>
          <w:tcPr>
            <w:tcW w:w="90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仿宋" w:hAnsi="仿宋" w:eastAsia="仿宋" w:cs="仿宋"/>
                <w:color w:val="auto"/>
                <w:sz w:val="21"/>
                <w:szCs w:val="21"/>
                <w:highlight w:val="none"/>
              </w:rPr>
            </w:pPr>
            <w:r>
              <w:rPr>
                <w:rFonts w:ascii="仿宋" w:hAnsi="仿宋" w:eastAsia="仿宋" w:cs="仿宋"/>
                <w:color w:val="auto"/>
                <w:sz w:val="21"/>
                <w:szCs w:val="21"/>
                <w:highlight w:val="none"/>
              </w:rPr>
              <w:t>数量</w:t>
            </w:r>
          </w:p>
        </w:tc>
        <w:tc>
          <w:tcPr>
            <w:tcW w:w="148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仿宋" w:hAnsi="仿宋" w:eastAsia="仿宋" w:cs="仿宋"/>
                <w:color w:val="auto"/>
                <w:sz w:val="21"/>
                <w:szCs w:val="21"/>
                <w:highlight w:val="none"/>
              </w:rPr>
            </w:pPr>
            <w:r>
              <w:rPr>
                <w:rFonts w:ascii="仿宋" w:hAnsi="仿宋" w:eastAsia="仿宋" w:cs="仿宋"/>
                <w:color w:val="auto"/>
                <w:sz w:val="21"/>
                <w:szCs w:val="21"/>
                <w:highlight w:val="none"/>
              </w:rPr>
              <w:t>完工</w:t>
            </w:r>
            <w:r>
              <w:rPr>
                <w:rFonts w:ascii="仿宋" w:hAnsi="仿宋" w:eastAsia="仿宋" w:cs="仿宋"/>
                <w:color w:val="auto"/>
                <w:spacing w:val="-3"/>
                <w:sz w:val="21"/>
                <w:szCs w:val="21"/>
                <w:highlight w:val="none"/>
              </w:rPr>
              <w:t>日</w:t>
            </w:r>
            <w:r>
              <w:rPr>
                <w:rFonts w:ascii="仿宋" w:hAnsi="仿宋" w:eastAsia="仿宋" w:cs="仿宋"/>
                <w:color w:val="auto"/>
                <w:sz w:val="21"/>
                <w:szCs w:val="21"/>
                <w:highlight w:val="none"/>
              </w:rPr>
              <w:t>期</w:t>
            </w:r>
          </w:p>
        </w:tc>
        <w:tc>
          <w:tcPr>
            <w:tcW w:w="114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仿宋" w:hAnsi="仿宋" w:eastAsia="仿宋" w:cs="仿宋"/>
                <w:color w:val="auto"/>
                <w:sz w:val="21"/>
                <w:szCs w:val="21"/>
                <w:highlight w:val="none"/>
              </w:rPr>
            </w:pPr>
            <w:r>
              <w:rPr>
                <w:rFonts w:ascii="仿宋" w:hAnsi="仿宋" w:eastAsia="仿宋" w:cs="仿宋"/>
                <w:color w:val="auto"/>
                <w:sz w:val="21"/>
                <w:szCs w:val="21"/>
                <w:highlight w:val="none"/>
              </w:rPr>
              <w:t>质保</w:t>
            </w:r>
            <w:r>
              <w:rPr>
                <w:rFonts w:ascii="仿宋" w:hAnsi="仿宋" w:eastAsia="仿宋" w:cs="仿宋"/>
                <w:color w:val="auto"/>
                <w:spacing w:val="-3"/>
                <w:sz w:val="21"/>
                <w:szCs w:val="21"/>
                <w:highlight w:val="none"/>
              </w:rPr>
              <w:t>期</w:t>
            </w:r>
            <w:r>
              <w:rPr>
                <w:rFonts w:ascii="仿宋" w:hAnsi="仿宋" w:eastAsia="仿宋" w:cs="仿宋"/>
                <w:color w:val="auto"/>
                <w:sz w:val="21"/>
                <w:szCs w:val="21"/>
                <w:highlight w:val="none"/>
              </w:rPr>
              <w:t>限</w:t>
            </w:r>
          </w:p>
        </w:tc>
        <w:tc>
          <w:tcPr>
            <w:tcW w:w="1081"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仿宋" w:hAnsi="仿宋" w:eastAsia="仿宋" w:cs="仿宋"/>
                <w:color w:val="auto"/>
                <w:sz w:val="21"/>
                <w:szCs w:val="21"/>
                <w:highlight w:val="none"/>
              </w:rPr>
            </w:pPr>
            <w:r>
              <w:rPr>
                <w:rFonts w:ascii="仿宋" w:hAnsi="仿宋" w:eastAsia="仿宋" w:cs="仿宋"/>
                <w:color w:val="auto"/>
                <w:sz w:val="21"/>
                <w:szCs w:val="21"/>
                <w:highlight w:val="none"/>
              </w:rPr>
              <w:t>交货</w:t>
            </w:r>
            <w:r>
              <w:rPr>
                <w:rFonts w:ascii="仿宋" w:hAnsi="仿宋" w:eastAsia="仿宋" w:cs="仿宋"/>
                <w:color w:val="auto"/>
                <w:spacing w:val="-3"/>
                <w:sz w:val="21"/>
                <w:szCs w:val="21"/>
                <w:highlight w:val="none"/>
              </w:rPr>
              <w:t>地</w:t>
            </w:r>
            <w:r>
              <w:rPr>
                <w:rFonts w:ascii="仿宋" w:hAnsi="仿宋" w:eastAsia="仿宋" w:cs="仿宋"/>
                <w:color w:val="auto"/>
                <w:sz w:val="21"/>
                <w:szCs w:val="21"/>
                <w:highlight w:val="none"/>
              </w:rPr>
              <w:t>点</w:t>
            </w:r>
          </w:p>
        </w:tc>
        <w:tc>
          <w:tcPr>
            <w:tcW w:w="1097"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仿宋" w:hAnsi="仿宋" w:eastAsia="仿宋" w:cs="仿宋"/>
                <w:color w:val="auto"/>
                <w:sz w:val="21"/>
                <w:szCs w:val="21"/>
                <w:highlight w:val="none"/>
              </w:rPr>
            </w:pPr>
            <w:r>
              <w:rPr>
                <w:rFonts w:ascii="仿宋" w:hAnsi="仿宋" w:eastAsia="仿宋" w:cs="仿宋"/>
                <w:color w:val="auto"/>
                <w:sz w:val="21"/>
                <w:szCs w:val="21"/>
                <w:highlight w:val="none"/>
              </w:rPr>
              <w:t>备注</w:t>
            </w:r>
          </w:p>
        </w:tc>
      </w:tr>
      <w:tr>
        <w:tblPrEx>
          <w:tblCellMar>
            <w:top w:w="0" w:type="dxa"/>
            <w:left w:w="0" w:type="dxa"/>
            <w:bottom w:w="0" w:type="dxa"/>
            <w:right w:w="0" w:type="dxa"/>
          </w:tblCellMar>
        </w:tblPrEx>
        <w:trPr>
          <w:trHeight w:val="2890" w:hRule="exact"/>
        </w:trPr>
        <w:tc>
          <w:tcPr>
            <w:tcW w:w="605"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仿宋" w:hAnsi="仿宋" w:eastAsia="仿宋" w:cs="仿宋"/>
                <w:color w:val="auto"/>
                <w:sz w:val="21"/>
                <w:szCs w:val="21"/>
                <w:highlight w:val="none"/>
              </w:rPr>
            </w:pPr>
            <w:r>
              <w:rPr>
                <w:rFonts w:ascii="仿宋"/>
                <w:color w:val="auto"/>
                <w:sz w:val="21"/>
                <w:highlight w:val="none"/>
              </w:rPr>
              <w:t>1</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51"/>
              <w:ind w:right="137"/>
              <w:jc w:val="center"/>
              <w:rPr>
                <w:rFonts w:ascii="仿宋" w:hAnsi="仿宋" w:eastAsia="仿宋" w:cs="仿宋"/>
                <w:color w:val="auto"/>
                <w:sz w:val="20"/>
                <w:szCs w:val="20"/>
                <w:highlight w:val="none"/>
                <w:lang w:eastAsia="zh-CN"/>
              </w:rPr>
            </w:pPr>
            <w:r>
              <w:rPr>
                <w:rFonts w:hint="eastAsia" w:ascii="仿宋" w:hAnsi="仿宋" w:eastAsia="仿宋" w:cs="宋体"/>
                <w:color w:val="auto"/>
                <w:sz w:val="20"/>
                <w:szCs w:val="20"/>
                <w:highlight w:val="none"/>
                <w:lang w:eastAsia="zh-CN"/>
              </w:rPr>
              <w:t>玛纳斯县域医共体平台建设项目</w:t>
            </w:r>
          </w:p>
        </w:tc>
        <w:tc>
          <w:tcPr>
            <w:tcW w:w="977" w:type="dxa"/>
            <w:tcBorders>
              <w:top w:val="single" w:color="000000" w:sz="4" w:space="0"/>
              <w:left w:val="single" w:color="000000" w:sz="4" w:space="0"/>
              <w:bottom w:val="single" w:color="000000" w:sz="4" w:space="0"/>
              <w:right w:val="single" w:color="000000" w:sz="4" w:space="0"/>
            </w:tcBorders>
            <w:vAlign w:val="center"/>
          </w:tcPr>
          <w:p>
            <w:pPr>
              <w:pStyle w:val="51"/>
              <w:ind w:right="164"/>
              <w:jc w:val="center"/>
              <w:rPr>
                <w:rFonts w:ascii="仿宋" w:hAnsi="仿宋" w:eastAsia="仿宋" w:cs="仿宋"/>
                <w:color w:val="auto"/>
                <w:sz w:val="21"/>
                <w:szCs w:val="21"/>
                <w:highlight w:val="none"/>
              </w:rPr>
            </w:pPr>
            <w:r>
              <w:rPr>
                <w:rFonts w:ascii="仿宋" w:hAnsi="仿宋" w:eastAsia="仿宋" w:cs="仿宋"/>
                <w:color w:val="auto"/>
                <w:sz w:val="21"/>
                <w:szCs w:val="21"/>
                <w:highlight w:val="none"/>
              </w:rPr>
              <w:t>详见第 二部分</w:t>
            </w:r>
          </w:p>
        </w:tc>
        <w:tc>
          <w:tcPr>
            <w:tcW w:w="90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仿宋" w:hAnsi="仿宋" w:eastAsia="仿宋" w:cs="仿宋"/>
                <w:color w:val="auto"/>
                <w:sz w:val="21"/>
                <w:szCs w:val="21"/>
                <w:highlight w:val="none"/>
              </w:rPr>
            </w:pPr>
            <w:r>
              <w:rPr>
                <w:rFonts w:ascii="仿宋" w:hAnsi="仿宋" w:eastAsia="仿宋" w:cs="仿宋"/>
                <w:color w:val="auto"/>
                <w:sz w:val="21"/>
                <w:szCs w:val="21"/>
                <w:highlight w:val="none"/>
              </w:rPr>
              <w:t>一批</w:t>
            </w:r>
          </w:p>
        </w:tc>
        <w:tc>
          <w:tcPr>
            <w:tcW w:w="1486"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eastAsia="zh-CN"/>
              </w:rPr>
              <w:t>自合同</w:t>
            </w:r>
            <w:bookmarkStart w:id="133" w:name="_GoBack"/>
            <w:bookmarkEnd w:id="133"/>
            <w:r>
              <w:rPr>
                <w:rFonts w:hint="eastAsia" w:ascii="仿宋" w:hAnsi="仿宋" w:eastAsia="仿宋" w:cs="仿宋"/>
                <w:color w:val="auto"/>
                <w:sz w:val="21"/>
                <w:szCs w:val="21"/>
                <w:highlight w:val="none"/>
                <w:lang w:eastAsia="zh-CN"/>
              </w:rPr>
              <w:t>签订之日起</w:t>
            </w:r>
            <w:r>
              <w:rPr>
                <w:rFonts w:hint="eastAsia" w:ascii="仿宋" w:hAnsi="仿宋" w:eastAsia="仿宋" w:cs="仿宋"/>
                <w:color w:val="auto"/>
                <w:sz w:val="21"/>
                <w:szCs w:val="21"/>
                <w:highlight w:val="none"/>
                <w:lang w:val="en-US" w:eastAsia="zh-CN"/>
              </w:rPr>
              <w:t>6</w:t>
            </w:r>
            <w:r>
              <w:rPr>
                <w:rFonts w:hint="eastAsia" w:ascii="仿宋" w:hAnsi="仿宋" w:eastAsia="仿宋" w:cs="仿宋"/>
                <w:color w:val="auto"/>
                <w:sz w:val="21"/>
                <w:szCs w:val="21"/>
                <w:highlight w:val="none"/>
                <w:lang w:eastAsia="zh-CN"/>
              </w:rPr>
              <w:t>个月内基本完成建设。</w:t>
            </w:r>
          </w:p>
        </w:tc>
        <w:tc>
          <w:tcPr>
            <w:tcW w:w="1140" w:type="dxa"/>
            <w:tcBorders>
              <w:top w:val="single" w:color="000000" w:sz="4" w:space="0"/>
              <w:left w:val="single" w:color="000000" w:sz="4" w:space="0"/>
              <w:bottom w:val="single" w:color="000000" w:sz="4" w:space="0"/>
              <w:right w:val="single" w:color="000000" w:sz="4" w:space="0"/>
            </w:tcBorders>
            <w:vAlign w:val="center"/>
          </w:tcPr>
          <w:p>
            <w:pPr>
              <w:pStyle w:val="51"/>
              <w:jc w:val="center"/>
              <w:rPr>
                <w:rFonts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eastAsia="zh-CN"/>
              </w:rPr>
              <w:t>硬件三年，软件三年</w:t>
            </w:r>
          </w:p>
        </w:tc>
        <w:tc>
          <w:tcPr>
            <w:tcW w:w="1081" w:type="dxa"/>
            <w:tcBorders>
              <w:top w:val="single" w:color="000000" w:sz="4" w:space="0"/>
              <w:left w:val="single" w:color="000000" w:sz="4" w:space="0"/>
              <w:bottom w:val="single" w:color="000000" w:sz="4" w:space="0"/>
              <w:right w:val="single" w:color="000000" w:sz="4" w:space="0"/>
            </w:tcBorders>
            <w:vAlign w:val="center"/>
          </w:tcPr>
          <w:p>
            <w:pPr>
              <w:pStyle w:val="51"/>
              <w:ind w:right="111"/>
              <w:jc w:val="center"/>
              <w:rPr>
                <w:rFonts w:ascii="仿宋" w:hAnsi="仿宋" w:eastAsia="仿宋" w:cs="仿宋"/>
                <w:color w:val="auto"/>
                <w:sz w:val="21"/>
                <w:szCs w:val="21"/>
                <w:highlight w:val="none"/>
              </w:rPr>
            </w:pPr>
            <w:r>
              <w:rPr>
                <w:rFonts w:ascii="仿宋" w:hAnsi="仿宋" w:eastAsia="仿宋" w:cs="仿宋"/>
                <w:color w:val="auto"/>
                <w:sz w:val="21"/>
                <w:szCs w:val="21"/>
                <w:highlight w:val="none"/>
              </w:rPr>
              <w:t>采购</w:t>
            </w:r>
            <w:r>
              <w:rPr>
                <w:rFonts w:ascii="仿宋" w:hAnsi="仿宋" w:eastAsia="仿宋" w:cs="仿宋"/>
                <w:color w:val="auto"/>
                <w:spacing w:val="-3"/>
                <w:sz w:val="21"/>
                <w:szCs w:val="21"/>
                <w:highlight w:val="none"/>
              </w:rPr>
              <w:t>单</w:t>
            </w:r>
            <w:r>
              <w:rPr>
                <w:rFonts w:ascii="仿宋" w:hAnsi="仿宋" w:eastAsia="仿宋" w:cs="仿宋"/>
                <w:color w:val="auto"/>
                <w:sz w:val="21"/>
                <w:szCs w:val="21"/>
                <w:highlight w:val="none"/>
              </w:rPr>
              <w:t>位 指定</w:t>
            </w:r>
            <w:r>
              <w:rPr>
                <w:rFonts w:ascii="仿宋" w:hAnsi="仿宋" w:eastAsia="仿宋" w:cs="仿宋"/>
                <w:color w:val="auto"/>
                <w:spacing w:val="-3"/>
                <w:sz w:val="21"/>
                <w:szCs w:val="21"/>
                <w:highlight w:val="none"/>
              </w:rPr>
              <w:t>地</w:t>
            </w:r>
            <w:r>
              <w:rPr>
                <w:rFonts w:ascii="仿宋" w:hAnsi="仿宋" w:eastAsia="仿宋" w:cs="仿宋"/>
                <w:color w:val="auto"/>
                <w:sz w:val="21"/>
                <w:szCs w:val="21"/>
                <w:highlight w:val="none"/>
              </w:rPr>
              <w:t>点</w:t>
            </w:r>
          </w:p>
        </w:tc>
        <w:tc>
          <w:tcPr>
            <w:tcW w:w="1097" w:type="dxa"/>
            <w:tcBorders>
              <w:top w:val="single" w:color="000000" w:sz="4" w:space="0"/>
              <w:left w:val="single" w:color="000000" w:sz="4" w:space="0"/>
              <w:bottom w:val="single" w:color="000000" w:sz="4" w:space="0"/>
              <w:right w:val="single" w:color="000000" w:sz="4" w:space="0"/>
            </w:tcBorders>
            <w:vAlign w:val="center"/>
          </w:tcPr>
          <w:p>
            <w:pPr>
              <w:jc w:val="center"/>
              <w:rPr>
                <w:color w:val="auto"/>
                <w:highlight w:val="none"/>
              </w:rPr>
            </w:pPr>
          </w:p>
        </w:tc>
      </w:tr>
    </w:tbl>
    <w:p>
      <w:pPr>
        <w:pStyle w:val="237"/>
        <w:spacing w:line="400" w:lineRule="exact"/>
        <w:rPr>
          <w:rFonts w:hint="eastAsia" w:ascii="仿宋" w:hAnsi="仿宋" w:eastAsia="仿宋" w:cs="宋体"/>
          <w:color w:val="auto"/>
          <w:sz w:val="24"/>
          <w:szCs w:val="24"/>
          <w:highlight w:val="none"/>
          <w:lang w:val="en-US" w:eastAsia="zh-CN"/>
        </w:rPr>
      </w:pPr>
      <w:r>
        <w:rPr>
          <w:rFonts w:ascii="仿宋" w:hAnsi="仿宋" w:eastAsia="仿宋" w:cs="宋体"/>
          <w:color w:val="auto"/>
          <w:sz w:val="24"/>
          <w:szCs w:val="24"/>
          <w:highlight w:val="none"/>
          <w:lang w:eastAsia="zh-CN"/>
        </w:rPr>
        <w:t>注：</w:t>
      </w:r>
      <w:r>
        <w:rPr>
          <w:rFonts w:ascii="仿宋" w:hAnsi="仿宋" w:eastAsia="仿宋" w:cs="Times New Roman"/>
          <w:color w:val="auto"/>
          <w:sz w:val="24"/>
          <w:szCs w:val="24"/>
          <w:highlight w:val="none"/>
          <w:lang w:eastAsia="zh-CN"/>
        </w:rPr>
        <w:t>1</w:t>
      </w:r>
      <w:r>
        <w:rPr>
          <w:rFonts w:ascii="仿宋" w:hAnsi="仿宋" w:eastAsia="仿宋" w:cs="宋体"/>
          <w:color w:val="auto"/>
          <w:sz w:val="24"/>
          <w:szCs w:val="24"/>
          <w:highlight w:val="none"/>
          <w:lang w:eastAsia="zh-CN"/>
        </w:rPr>
        <w:t>、投标报价含货物费、人工费、管理费、税费及相关全部费用</w:t>
      </w:r>
      <w:r>
        <w:rPr>
          <w:rFonts w:hint="eastAsia" w:ascii="仿宋" w:hAnsi="仿宋" w:eastAsia="仿宋" w:cs="宋体"/>
          <w:color w:val="auto"/>
          <w:sz w:val="24"/>
          <w:szCs w:val="24"/>
          <w:highlight w:val="none"/>
          <w:lang w:eastAsia="zh-CN"/>
        </w:rPr>
        <w:t>，包括</w:t>
      </w:r>
      <w:r>
        <w:rPr>
          <w:rFonts w:hint="eastAsia" w:ascii="仿宋" w:hAnsi="仿宋" w:eastAsia="仿宋" w:cs="宋体"/>
          <w:color w:val="auto"/>
          <w:sz w:val="24"/>
          <w:szCs w:val="24"/>
          <w:highlight w:val="none"/>
          <w:lang w:val="en-US" w:eastAsia="zh-CN"/>
        </w:rPr>
        <w:t>与医共体成员单位现有检验、放射、心电、B超、病理、胃肠镜等设备及现有软件系统连接接口相关费用及第三方接口费。与数据平台接口、电子健康卡接口、银医系统接口、公众号接口、CA接口等接口费用。</w:t>
      </w:r>
    </w:p>
    <w:p>
      <w:pPr>
        <w:spacing w:line="360" w:lineRule="auto"/>
        <w:jc w:val="both"/>
        <w:rPr>
          <w:rFonts w:ascii="仿宋" w:hAnsi="仿宋" w:eastAsia="仿宋" w:cs="宋体"/>
          <w:color w:val="auto"/>
          <w:sz w:val="24"/>
          <w:szCs w:val="24"/>
          <w:lang w:eastAsia="zh-CN"/>
        </w:rPr>
      </w:pPr>
    </w:p>
    <w:p>
      <w:pPr>
        <w:pStyle w:val="18"/>
        <w:tabs>
          <w:tab w:val="left" w:pos="5689"/>
        </w:tabs>
        <w:spacing w:before="360" w:beforeLines="150" w:after="360" w:afterLines="150" w:line="0" w:lineRule="atLeast"/>
        <w:ind w:left="0"/>
        <w:jc w:val="center"/>
        <w:rPr>
          <w:b/>
          <w:bCs/>
          <w:color w:val="auto"/>
          <w:sz w:val="36"/>
          <w:szCs w:val="36"/>
          <w:lang w:eastAsia="zh-CN"/>
        </w:rPr>
      </w:pPr>
      <w:bookmarkStart w:id="77" w:name="第二部分、_详细技术参数"/>
      <w:bookmarkEnd w:id="77"/>
      <w:r>
        <w:rPr>
          <w:b/>
          <w:bCs/>
          <w:color w:val="auto"/>
          <w:sz w:val="36"/>
          <w:szCs w:val="36"/>
          <w:lang w:eastAsia="zh-CN"/>
        </w:rPr>
        <w:t>第二部分、详细技术参数</w:t>
      </w:r>
    </w:p>
    <w:p>
      <w:pPr>
        <w:pStyle w:val="5"/>
        <w:numPr>
          <w:ilvl w:val="0"/>
          <w:numId w:val="8"/>
        </w:numPr>
        <w:spacing w:before="360" w:after="360"/>
        <w:rPr>
          <w:sz w:val="32"/>
          <w:szCs w:val="32"/>
          <w:lang w:eastAsia="zh-CN"/>
        </w:rPr>
      </w:pPr>
      <w:bookmarkStart w:id="78" w:name="_Toc130318858"/>
      <w:bookmarkStart w:id="79" w:name="_Toc99620343"/>
      <w:bookmarkStart w:id="80" w:name="_Toc146042175"/>
      <w:r>
        <w:rPr>
          <w:sz w:val="32"/>
          <w:szCs w:val="32"/>
          <w:lang w:eastAsia="zh-CN"/>
        </w:rPr>
        <w:t>项目建设目标、规模、内容、建设期</w:t>
      </w:r>
      <w:bookmarkEnd w:id="78"/>
      <w:bookmarkEnd w:id="79"/>
      <w:bookmarkEnd w:id="80"/>
    </w:p>
    <w:p>
      <w:pPr>
        <w:pStyle w:val="6"/>
        <w:numPr>
          <w:ilvl w:val="0"/>
          <w:numId w:val="9"/>
        </w:numPr>
        <w:spacing w:before="360" w:after="360"/>
        <w:rPr>
          <w:lang w:eastAsia="zh-CN"/>
        </w:rPr>
      </w:pPr>
      <w:bookmarkStart w:id="81" w:name="_Toc99620344"/>
      <w:bookmarkStart w:id="82" w:name="_Toc130318859"/>
      <w:bookmarkStart w:id="83" w:name="_Toc146042176"/>
      <w:r>
        <w:rPr>
          <w:rFonts w:hint="eastAsia"/>
          <w:lang w:eastAsia="zh-CN"/>
        </w:rPr>
        <w:t>建设目标</w:t>
      </w:r>
      <w:bookmarkEnd w:id="81"/>
      <w:bookmarkEnd w:id="82"/>
      <w:bookmarkEnd w:id="83"/>
    </w:p>
    <w:p>
      <w:pPr>
        <w:spacing w:line="360" w:lineRule="auto"/>
        <w:ind w:firstLine="480"/>
        <w:rPr>
          <w:rFonts w:ascii="仿宋" w:hAnsi="仿宋" w:eastAsia="仿宋"/>
          <w:bCs/>
          <w:sz w:val="24"/>
          <w:szCs w:val="24"/>
          <w:lang w:eastAsia="zh-CN"/>
        </w:rPr>
      </w:pPr>
      <w:r>
        <w:rPr>
          <w:rFonts w:hint="eastAsia" w:ascii="仿宋" w:hAnsi="仿宋" w:eastAsia="仿宋"/>
          <w:bCs/>
          <w:sz w:val="24"/>
          <w:szCs w:val="24"/>
          <w:lang w:eastAsia="zh-CN"/>
        </w:rPr>
        <w:t>按照国家、省对医共体建设的相关要求，全面落实县委县政府决策部署，运用云计算、互联网+、大数据等先进技术手段，以全县居民健康为中心，构建连接玛纳斯医共体内各成员机构的医共体信息服务平台为重点，采用“平台+医院”一体化建设模式，以全面推进医共体信息化建设，促进医共体资源流动整合、业务优化融合，促进家庭医生签约服务和居民健康管理做实做细，有力提升医共体整体运营管理水平、医疗费用管控能力，支撑医共体构建利益共同分享、责任共同分担、事业共同发展、技术共同提高的紧密型医疗共同体，打造“双下沉、两提升”升级版，有力支撑县域医共体建设，推进资源共建共享、管理同标同质、服务优质高效，提升基层医疗卫生服务能力，更好满足群众的医疗健康需求，切实改善全县人民就医体验，为健康玛纳斯建设添砖加瓦。</w:t>
      </w:r>
    </w:p>
    <w:p>
      <w:pPr>
        <w:spacing w:line="360" w:lineRule="auto"/>
        <w:ind w:firstLine="480"/>
        <w:rPr>
          <w:rFonts w:ascii="仿宋" w:hAnsi="仿宋" w:eastAsia="仿宋"/>
          <w:bCs/>
          <w:sz w:val="24"/>
          <w:szCs w:val="24"/>
          <w:lang w:eastAsia="zh-CN"/>
        </w:rPr>
      </w:pPr>
      <w:r>
        <w:rPr>
          <w:rFonts w:hint="eastAsia" w:ascii="仿宋" w:hAnsi="仿宋" w:eastAsia="仿宋"/>
          <w:bCs/>
          <w:sz w:val="24"/>
          <w:szCs w:val="24"/>
          <w:lang w:eastAsia="zh-CN"/>
        </w:rPr>
        <w:t>通过统筹建设管理信息系统，实现信息共建共享、互联互通，全面推进医共体资源调配、业务经营、质量评价、财务分析、效率监测等数字化管理，提升基于大数据的服务运营能力，进一步优化服务流程、降低运行成本、提高服务质量和资源利用效率，打造数字化、智能型的医共体。</w:t>
      </w:r>
    </w:p>
    <w:p>
      <w:pPr>
        <w:pStyle w:val="6"/>
        <w:numPr>
          <w:ilvl w:val="0"/>
          <w:numId w:val="9"/>
        </w:numPr>
        <w:spacing w:before="360" w:after="360"/>
        <w:rPr>
          <w:lang w:eastAsia="zh-CN"/>
        </w:rPr>
      </w:pPr>
      <w:bookmarkStart w:id="84" w:name="_Toc99620345"/>
      <w:bookmarkStart w:id="85" w:name="_Toc146042177"/>
      <w:bookmarkStart w:id="86" w:name="_Toc130318860"/>
      <w:r>
        <w:rPr>
          <w:rFonts w:hint="eastAsia"/>
          <w:lang w:eastAsia="zh-CN"/>
        </w:rPr>
        <w:t>建设规模及内容</w:t>
      </w:r>
      <w:bookmarkEnd w:id="84"/>
      <w:bookmarkEnd w:id="85"/>
      <w:bookmarkEnd w:id="86"/>
    </w:p>
    <w:p>
      <w:pPr>
        <w:spacing w:line="360" w:lineRule="auto"/>
        <w:ind w:firstLine="480"/>
        <w:rPr>
          <w:rFonts w:ascii="仿宋" w:hAnsi="仿宋" w:eastAsia="仿宋"/>
          <w:sz w:val="24"/>
          <w:szCs w:val="24"/>
          <w:lang w:eastAsia="zh-CN"/>
        </w:rPr>
      </w:pPr>
      <w:r>
        <w:rPr>
          <w:rFonts w:hint="eastAsia" w:ascii="仿宋" w:hAnsi="仿宋" w:eastAsia="仿宋"/>
          <w:sz w:val="24"/>
          <w:szCs w:val="24"/>
          <w:lang w:eastAsia="zh-CN"/>
        </w:rPr>
        <w:t>主要建设内容及建设规模：</w:t>
      </w:r>
    </w:p>
    <w:p>
      <w:pPr>
        <w:pStyle w:val="7"/>
        <w:numPr>
          <w:ilvl w:val="0"/>
          <w:numId w:val="10"/>
        </w:numPr>
        <w:spacing w:before="360" w:after="360"/>
      </w:pPr>
      <w:r>
        <w:rPr>
          <w:rFonts w:hint="eastAsia"/>
        </w:rPr>
        <w:t>网络建设</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本次网络建设：内网核心交换机2台、外网核心交换机1台、内网汇聚交换机</w:t>
      </w:r>
      <w:r>
        <w:rPr>
          <w:rFonts w:ascii="仿宋" w:hAnsi="仿宋" w:eastAsia="仿宋"/>
          <w:sz w:val="24"/>
          <w:szCs w:val="24"/>
          <w:lang w:val="zh-CN" w:eastAsia="zh-CN"/>
        </w:rPr>
        <w:t>4</w:t>
      </w:r>
      <w:r>
        <w:rPr>
          <w:rFonts w:hint="eastAsia" w:ascii="仿宋" w:hAnsi="仿宋" w:eastAsia="仿宋"/>
          <w:sz w:val="24"/>
          <w:szCs w:val="24"/>
          <w:lang w:val="zh-CN" w:eastAsia="zh-CN"/>
        </w:rPr>
        <w:t>台、外网汇聚交换机2台、内网24口POE交换机</w:t>
      </w:r>
      <w:r>
        <w:rPr>
          <w:rFonts w:ascii="仿宋" w:hAnsi="仿宋" w:eastAsia="仿宋"/>
          <w:sz w:val="24"/>
          <w:szCs w:val="24"/>
          <w:lang w:val="zh-CN" w:eastAsia="zh-CN"/>
        </w:rPr>
        <w:t>17</w:t>
      </w:r>
      <w:r>
        <w:rPr>
          <w:rFonts w:hint="eastAsia" w:ascii="仿宋" w:hAnsi="仿宋" w:eastAsia="仿宋"/>
          <w:sz w:val="24"/>
          <w:szCs w:val="24"/>
          <w:lang w:val="zh-CN" w:eastAsia="zh-CN"/>
        </w:rPr>
        <w:t>台、外网24口POE交换机17台、8口POE交换机1</w:t>
      </w:r>
      <w:r>
        <w:rPr>
          <w:rFonts w:ascii="仿宋" w:hAnsi="仿宋" w:eastAsia="仿宋"/>
          <w:sz w:val="24"/>
          <w:szCs w:val="24"/>
          <w:lang w:val="zh-CN" w:eastAsia="zh-CN"/>
        </w:rPr>
        <w:t>7台、</w:t>
      </w:r>
      <w:r>
        <w:rPr>
          <w:rFonts w:hint="eastAsia" w:ascii="仿宋" w:hAnsi="仿宋" w:eastAsia="仿宋"/>
          <w:sz w:val="24"/>
          <w:szCs w:val="24"/>
          <w:lang w:val="zh-CN" w:eastAsia="zh-CN"/>
        </w:rPr>
        <w:t>无线控制器</w:t>
      </w:r>
      <w:r>
        <w:rPr>
          <w:rFonts w:ascii="仿宋" w:hAnsi="仿宋" w:eastAsia="仿宋"/>
          <w:sz w:val="24"/>
          <w:szCs w:val="24"/>
          <w:lang w:val="zh-CN" w:eastAsia="zh-CN"/>
        </w:rPr>
        <w:t>2台、</w:t>
      </w:r>
      <w:r>
        <w:rPr>
          <w:rFonts w:hint="eastAsia" w:ascii="仿宋" w:hAnsi="仿宋" w:eastAsia="仿宋"/>
          <w:sz w:val="24"/>
          <w:szCs w:val="24"/>
          <w:lang w:val="zh-CN" w:eastAsia="zh-CN"/>
        </w:rPr>
        <w:t xml:space="preserve">吸顶式AP </w:t>
      </w:r>
      <w:r>
        <w:rPr>
          <w:rFonts w:ascii="仿宋" w:hAnsi="仿宋" w:eastAsia="仿宋"/>
          <w:sz w:val="24"/>
          <w:szCs w:val="24"/>
          <w:lang w:val="zh-CN" w:eastAsia="zh-CN"/>
        </w:rPr>
        <w:t>5</w:t>
      </w:r>
      <w:r>
        <w:rPr>
          <w:rFonts w:hint="eastAsia" w:ascii="仿宋" w:hAnsi="仿宋" w:eastAsia="仿宋"/>
          <w:sz w:val="24"/>
          <w:szCs w:val="24"/>
          <w:lang w:val="zh-CN" w:eastAsia="zh-CN"/>
        </w:rPr>
        <w:t>3</w:t>
      </w:r>
      <w:r>
        <w:rPr>
          <w:rFonts w:ascii="仿宋" w:hAnsi="仿宋" w:eastAsia="仿宋"/>
          <w:sz w:val="24"/>
          <w:szCs w:val="24"/>
          <w:lang w:val="zh-CN" w:eastAsia="zh-CN"/>
        </w:rPr>
        <w:t>6台、</w:t>
      </w:r>
      <w:r>
        <w:rPr>
          <w:rFonts w:hint="eastAsia" w:ascii="仿宋" w:hAnsi="仿宋" w:eastAsia="仿宋"/>
          <w:sz w:val="24"/>
          <w:szCs w:val="24"/>
          <w:lang w:val="zh-CN" w:eastAsia="zh-CN"/>
        </w:rPr>
        <w:t>网络管理系统1套。</w:t>
      </w:r>
    </w:p>
    <w:p>
      <w:pPr>
        <w:pStyle w:val="7"/>
        <w:numPr>
          <w:ilvl w:val="0"/>
          <w:numId w:val="10"/>
        </w:numPr>
        <w:spacing w:before="360" w:after="360"/>
      </w:pPr>
      <w:r>
        <w:rPr>
          <w:rFonts w:hint="eastAsia"/>
        </w:rPr>
        <w:t>云桌面建设</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本次云桌面建设：桌面云服务器</w:t>
      </w:r>
      <w:r>
        <w:rPr>
          <w:rFonts w:ascii="仿宋" w:hAnsi="仿宋" w:eastAsia="仿宋"/>
          <w:sz w:val="24"/>
          <w:szCs w:val="24"/>
          <w:lang w:val="zh-CN" w:eastAsia="zh-CN"/>
        </w:rPr>
        <w:t>1</w:t>
      </w:r>
      <w:r>
        <w:rPr>
          <w:rFonts w:hint="eastAsia" w:ascii="仿宋" w:hAnsi="仿宋" w:eastAsia="仿宋"/>
          <w:sz w:val="24"/>
          <w:szCs w:val="24"/>
          <w:lang w:val="zh-CN" w:eastAsia="zh-CN"/>
        </w:rPr>
        <w:t>台、桌面云胖终端</w:t>
      </w:r>
      <w:r>
        <w:rPr>
          <w:rFonts w:ascii="仿宋" w:hAnsi="仿宋" w:eastAsia="仿宋"/>
          <w:sz w:val="24"/>
          <w:szCs w:val="24"/>
          <w:lang w:val="zh-CN" w:eastAsia="zh-CN"/>
        </w:rPr>
        <w:t>250</w:t>
      </w:r>
      <w:r>
        <w:rPr>
          <w:rFonts w:hint="eastAsia" w:ascii="仿宋" w:hAnsi="仿宋" w:eastAsia="仿宋"/>
          <w:sz w:val="24"/>
          <w:szCs w:val="24"/>
          <w:lang w:val="zh-CN" w:eastAsia="zh-CN"/>
        </w:rPr>
        <w:t>台。</w:t>
      </w:r>
    </w:p>
    <w:p>
      <w:pPr>
        <w:pStyle w:val="7"/>
        <w:numPr>
          <w:ilvl w:val="0"/>
          <w:numId w:val="10"/>
        </w:numPr>
        <w:spacing w:before="360" w:after="360"/>
        <w:rPr>
          <w:lang w:eastAsia="zh-CN"/>
        </w:rPr>
      </w:pPr>
      <w:r>
        <w:rPr>
          <w:rFonts w:hint="eastAsia"/>
          <w:lang w:eastAsia="zh-CN"/>
        </w:rPr>
        <w:t>等级保护及密码安全应用系统建设</w:t>
      </w:r>
    </w:p>
    <w:p>
      <w:pPr>
        <w:spacing w:line="360" w:lineRule="auto"/>
        <w:ind w:firstLine="480"/>
        <w:jc w:val="both"/>
        <w:rPr>
          <w:rFonts w:ascii="仿宋" w:hAnsi="仿宋" w:eastAsia="仿宋"/>
          <w:sz w:val="24"/>
          <w:szCs w:val="24"/>
          <w:lang w:eastAsia="zh-CN"/>
        </w:rPr>
      </w:pPr>
      <w:r>
        <w:rPr>
          <w:rFonts w:hint="eastAsia" w:ascii="仿宋" w:hAnsi="仿宋" w:eastAsia="仿宋"/>
          <w:sz w:val="24"/>
          <w:szCs w:val="24"/>
          <w:lang w:val="zh-CN" w:eastAsia="zh-CN"/>
        </w:rPr>
        <w:t>本次等等级保护及密码安全应用系统建设：1</w:t>
      </w:r>
      <w:r>
        <w:rPr>
          <w:rFonts w:ascii="仿宋" w:hAnsi="仿宋" w:eastAsia="仿宋"/>
          <w:sz w:val="24"/>
          <w:szCs w:val="24"/>
          <w:lang w:val="zh-CN" w:eastAsia="zh-CN"/>
        </w:rPr>
        <w:t>.等级保护建设</w:t>
      </w:r>
      <w:r>
        <w:rPr>
          <w:rFonts w:hint="eastAsia" w:ascii="仿宋" w:hAnsi="仿宋" w:eastAsia="仿宋"/>
          <w:sz w:val="24"/>
          <w:szCs w:val="24"/>
          <w:lang w:val="zh-CN" w:eastAsia="zh-CN"/>
        </w:rPr>
        <w:t>出口防火墙1台、边界防火墙</w:t>
      </w:r>
      <w:r>
        <w:rPr>
          <w:rFonts w:ascii="仿宋" w:hAnsi="仿宋" w:eastAsia="仿宋"/>
          <w:sz w:val="24"/>
          <w:szCs w:val="24"/>
          <w:lang w:val="zh-CN" w:eastAsia="zh-CN"/>
        </w:rPr>
        <w:t>2</w:t>
      </w:r>
      <w:r>
        <w:rPr>
          <w:rFonts w:hint="eastAsia" w:ascii="仿宋" w:hAnsi="仿宋" w:eastAsia="仿宋"/>
          <w:sz w:val="24"/>
          <w:szCs w:val="24"/>
          <w:lang w:val="zh-CN" w:eastAsia="zh-CN"/>
        </w:rPr>
        <w:t>台、入侵防御1台、全网行为管理</w:t>
      </w:r>
      <w:r>
        <w:rPr>
          <w:rFonts w:ascii="仿宋" w:hAnsi="仿宋" w:eastAsia="仿宋"/>
          <w:sz w:val="24"/>
          <w:szCs w:val="24"/>
          <w:lang w:val="zh-CN" w:eastAsia="zh-CN"/>
        </w:rPr>
        <w:t>1</w:t>
      </w:r>
      <w:r>
        <w:rPr>
          <w:rFonts w:hint="eastAsia" w:ascii="仿宋" w:hAnsi="仿宋" w:eastAsia="仿宋"/>
          <w:sz w:val="24"/>
          <w:szCs w:val="24"/>
          <w:lang w:val="zh-CN" w:eastAsia="zh-CN"/>
        </w:rPr>
        <w:t>台、漏洞扫描</w:t>
      </w:r>
      <w:r>
        <w:rPr>
          <w:rFonts w:ascii="仿宋" w:hAnsi="仿宋" w:eastAsia="仿宋"/>
          <w:sz w:val="24"/>
          <w:szCs w:val="24"/>
          <w:lang w:val="zh-CN" w:eastAsia="zh-CN"/>
        </w:rPr>
        <w:t>1</w:t>
      </w:r>
      <w:r>
        <w:rPr>
          <w:rFonts w:hint="eastAsia" w:ascii="仿宋" w:hAnsi="仿宋" w:eastAsia="仿宋"/>
          <w:sz w:val="24"/>
          <w:szCs w:val="24"/>
          <w:lang w:val="zh-CN" w:eastAsia="zh-CN"/>
        </w:rPr>
        <w:t>台、日志审计</w:t>
      </w:r>
      <w:r>
        <w:rPr>
          <w:rFonts w:ascii="仿宋" w:hAnsi="仿宋" w:eastAsia="仿宋"/>
          <w:sz w:val="24"/>
          <w:szCs w:val="24"/>
          <w:lang w:val="zh-CN" w:eastAsia="zh-CN"/>
        </w:rPr>
        <w:t>1</w:t>
      </w:r>
      <w:r>
        <w:rPr>
          <w:rFonts w:hint="eastAsia" w:ascii="仿宋" w:hAnsi="仿宋" w:eastAsia="仿宋"/>
          <w:sz w:val="24"/>
          <w:szCs w:val="24"/>
          <w:lang w:val="zh-CN" w:eastAsia="zh-CN"/>
        </w:rPr>
        <w:t>台、终端杀毒</w:t>
      </w:r>
      <w:r>
        <w:rPr>
          <w:rFonts w:ascii="仿宋" w:hAnsi="仿宋" w:eastAsia="仿宋"/>
          <w:sz w:val="24"/>
          <w:szCs w:val="24"/>
          <w:lang w:val="zh-CN" w:eastAsia="zh-CN"/>
        </w:rPr>
        <w:t>1</w:t>
      </w:r>
      <w:r>
        <w:rPr>
          <w:rFonts w:hint="eastAsia" w:ascii="仿宋" w:hAnsi="仿宋" w:eastAsia="仿宋"/>
          <w:sz w:val="24"/>
          <w:szCs w:val="24"/>
          <w:lang w:val="zh-CN" w:eastAsia="zh-CN"/>
        </w:rPr>
        <w:t>台、数据库审计</w:t>
      </w:r>
      <w:r>
        <w:rPr>
          <w:rFonts w:ascii="仿宋" w:hAnsi="仿宋" w:eastAsia="仿宋"/>
          <w:sz w:val="24"/>
          <w:szCs w:val="24"/>
          <w:lang w:val="zh-CN" w:eastAsia="zh-CN"/>
        </w:rPr>
        <w:t>1</w:t>
      </w:r>
      <w:r>
        <w:rPr>
          <w:rFonts w:hint="eastAsia" w:ascii="仿宋" w:hAnsi="仿宋" w:eastAsia="仿宋"/>
          <w:sz w:val="24"/>
          <w:szCs w:val="24"/>
          <w:lang w:val="zh-CN" w:eastAsia="zh-CN"/>
        </w:rPr>
        <w:t>台、</w:t>
      </w:r>
      <w:r>
        <w:rPr>
          <w:rFonts w:ascii="仿宋" w:hAnsi="仿宋" w:eastAsia="仿宋"/>
          <w:sz w:val="24"/>
          <w:szCs w:val="24"/>
          <w:lang w:val="zh-CN" w:eastAsia="zh-CN"/>
        </w:rPr>
        <w:t>WAF1</w:t>
      </w:r>
      <w:r>
        <w:rPr>
          <w:rFonts w:hint="eastAsia" w:ascii="仿宋" w:hAnsi="仿宋" w:eastAsia="仿宋"/>
          <w:sz w:val="24"/>
          <w:szCs w:val="24"/>
          <w:lang w:val="zh-CN" w:eastAsia="zh-CN"/>
        </w:rPr>
        <w:t>台、网闸</w:t>
      </w:r>
      <w:r>
        <w:rPr>
          <w:rFonts w:ascii="仿宋" w:hAnsi="仿宋" w:eastAsia="仿宋"/>
          <w:sz w:val="24"/>
          <w:szCs w:val="24"/>
          <w:lang w:val="zh-CN" w:eastAsia="zh-CN"/>
        </w:rPr>
        <w:t>1</w:t>
      </w:r>
      <w:r>
        <w:rPr>
          <w:rFonts w:hint="eastAsia" w:ascii="仿宋" w:hAnsi="仿宋" w:eastAsia="仿宋"/>
          <w:sz w:val="24"/>
          <w:szCs w:val="24"/>
          <w:lang w:val="zh-CN" w:eastAsia="zh-CN"/>
        </w:rPr>
        <w:t>台、堡垒机</w:t>
      </w:r>
      <w:r>
        <w:rPr>
          <w:rFonts w:ascii="仿宋" w:hAnsi="仿宋" w:eastAsia="仿宋"/>
          <w:sz w:val="24"/>
          <w:szCs w:val="24"/>
          <w:lang w:val="zh-CN" w:eastAsia="zh-CN"/>
        </w:rPr>
        <w:t>1</w:t>
      </w:r>
      <w:r>
        <w:rPr>
          <w:rFonts w:hint="eastAsia" w:ascii="仿宋" w:hAnsi="仿宋" w:eastAsia="仿宋"/>
          <w:sz w:val="24"/>
          <w:szCs w:val="24"/>
          <w:lang w:val="zh-CN" w:eastAsia="zh-CN"/>
        </w:rPr>
        <w:t>台。2</w:t>
      </w:r>
      <w:r>
        <w:rPr>
          <w:rFonts w:ascii="仿宋" w:hAnsi="仿宋" w:eastAsia="仿宋"/>
          <w:sz w:val="24"/>
          <w:szCs w:val="24"/>
          <w:lang w:val="zh-CN" w:eastAsia="zh-CN"/>
        </w:rPr>
        <w:t>.密码安全应用建设</w:t>
      </w:r>
      <w:r>
        <w:rPr>
          <w:rFonts w:hint="eastAsia" w:ascii="仿宋" w:hAnsi="仿宋" w:eastAsia="仿宋"/>
          <w:sz w:val="24"/>
          <w:szCs w:val="24"/>
          <w:lang w:val="zh-CN" w:eastAsia="zh-CN"/>
        </w:rPr>
        <w:t>智能密码钥匙（UKey）2</w:t>
      </w:r>
      <w:r>
        <w:rPr>
          <w:rFonts w:ascii="仿宋" w:hAnsi="仿宋" w:eastAsia="仿宋"/>
          <w:sz w:val="24"/>
          <w:szCs w:val="24"/>
          <w:lang w:val="zh-CN" w:eastAsia="zh-CN"/>
        </w:rPr>
        <w:t>0个、</w:t>
      </w:r>
      <w:r>
        <w:rPr>
          <w:rFonts w:hint="eastAsia" w:ascii="仿宋" w:hAnsi="仿宋" w:eastAsia="仿宋"/>
          <w:sz w:val="24"/>
          <w:szCs w:val="24"/>
          <w:lang w:val="zh-CN" w:eastAsia="zh-CN"/>
        </w:rPr>
        <w:t>第三方数字证书（个人证书）2</w:t>
      </w:r>
      <w:r>
        <w:rPr>
          <w:rFonts w:ascii="仿宋" w:hAnsi="仿宋" w:eastAsia="仿宋"/>
          <w:sz w:val="24"/>
          <w:szCs w:val="24"/>
          <w:lang w:val="zh-CN" w:eastAsia="zh-CN"/>
        </w:rPr>
        <w:t>0张、</w:t>
      </w:r>
      <w:r>
        <w:rPr>
          <w:rFonts w:hint="eastAsia" w:ascii="仿宋" w:hAnsi="仿宋" w:eastAsia="仿宋"/>
          <w:sz w:val="24"/>
          <w:szCs w:val="24"/>
          <w:lang w:val="zh-CN" w:eastAsia="zh-CN"/>
        </w:rPr>
        <w:t>国密浏览器插件1</w:t>
      </w:r>
      <w:r>
        <w:rPr>
          <w:rFonts w:ascii="仿宋" w:hAnsi="仿宋" w:eastAsia="仿宋"/>
          <w:sz w:val="24"/>
          <w:szCs w:val="24"/>
          <w:lang w:val="zh-CN" w:eastAsia="zh-CN"/>
        </w:rPr>
        <w:t>0个、</w:t>
      </w:r>
      <w:r>
        <w:rPr>
          <w:rFonts w:hint="eastAsia" w:ascii="仿宋" w:hAnsi="仿宋" w:eastAsia="仿宋"/>
          <w:sz w:val="24"/>
          <w:szCs w:val="24"/>
          <w:lang w:val="zh-CN" w:eastAsia="zh-CN"/>
        </w:rPr>
        <w:t>第三方数字证书（设备证书）3张、服务器密码机2台、SSLVPN安全网关1台、国密门禁系统1套、国密视频监控系统1套</w:t>
      </w:r>
    </w:p>
    <w:p>
      <w:pPr>
        <w:pStyle w:val="7"/>
        <w:numPr>
          <w:ilvl w:val="0"/>
          <w:numId w:val="10"/>
        </w:numPr>
        <w:spacing w:before="360" w:after="360"/>
      </w:pPr>
      <w:r>
        <w:rPr>
          <w:rFonts w:hint="eastAsia"/>
        </w:rPr>
        <w:t>指挥中心建设</w:t>
      </w:r>
    </w:p>
    <w:p>
      <w:pPr>
        <w:spacing w:line="360" w:lineRule="auto"/>
        <w:ind w:firstLine="480"/>
        <w:jc w:val="both"/>
        <w:rPr>
          <w:rFonts w:ascii="仿宋" w:hAnsi="仿宋" w:eastAsia="仿宋"/>
          <w:sz w:val="24"/>
          <w:szCs w:val="24"/>
          <w:lang w:val="zh-CN" w:eastAsia="zh-CN"/>
        </w:rPr>
      </w:pPr>
      <w:r>
        <w:rPr>
          <w:rFonts w:hint="eastAsia" w:ascii="仿宋" w:hAnsi="仿宋" w:eastAsia="仿宋"/>
          <w:sz w:val="24"/>
          <w:szCs w:val="24"/>
          <w:lang w:val="zh-CN" w:eastAsia="zh-CN"/>
        </w:rPr>
        <w:t>本次指挥中心建设：1、LED显示系统新建LED显示屏18㎡、发送盒9台、配套配电柜1套、机箱1套、中控卡1张、4路HDMI输入卡1张、4路DVI输入卡1张、预监回显卡1张、4路HDMI输出卡3张；2、</w:t>
      </w:r>
      <w:r>
        <w:rPr>
          <w:rFonts w:hint="eastAsia" w:ascii="仿宋" w:hAnsi="仿宋" w:eastAsia="仿宋"/>
          <w:sz w:val="24"/>
          <w:szCs w:val="24"/>
          <w:lang w:val="zh-CN" w:eastAsia="zh-CN"/>
        </w:rPr>
        <w:tab/>
      </w:r>
      <w:r>
        <w:rPr>
          <w:rFonts w:hint="eastAsia" w:ascii="仿宋" w:hAnsi="仿宋" w:eastAsia="仿宋"/>
          <w:sz w:val="24"/>
          <w:szCs w:val="24"/>
          <w:lang w:val="zh-CN" w:eastAsia="zh-CN"/>
        </w:rPr>
        <w:t>专业扩声系统新建音频处理器1台、桌面话筒25只、智能混音器2台、</w:t>
      </w:r>
      <w:r>
        <w:rPr>
          <w:rFonts w:hint="eastAsia" w:ascii="仿宋" w:hAnsi="仿宋" w:eastAsia="仿宋"/>
          <w:sz w:val="24"/>
          <w:szCs w:val="24"/>
          <w:lang w:val="zh-CN" w:eastAsia="zh-CN"/>
        </w:rPr>
        <w:tab/>
      </w:r>
      <w:r>
        <w:rPr>
          <w:rFonts w:hint="eastAsia" w:ascii="仿宋" w:hAnsi="仿宋" w:eastAsia="仿宋"/>
          <w:sz w:val="24"/>
          <w:szCs w:val="24"/>
          <w:lang w:val="zh-CN" w:eastAsia="zh-CN"/>
        </w:rPr>
        <w:t>抑制器1台、音箱2台、天花喇叭4只、专业功放2台、电源管理器1台；3、无纸化会议系统新建无纸化主机1台、智能无纸化会议管理服务器软件1套、无纸化流媒体主机1台、无纸化流媒体服务器嵌入软件1套、无纸化升降器21台、无纸化升降器内嵌软件21台、无纸化会议终端21台、无纸化会议终端软件21套、无纸化会议安卓App1套、无纸化网络主机1台、笔记本电脑1</w:t>
      </w:r>
      <w:r>
        <w:rPr>
          <w:rFonts w:ascii="仿宋" w:hAnsi="仿宋" w:eastAsia="仿宋"/>
          <w:sz w:val="24"/>
          <w:szCs w:val="24"/>
          <w:lang w:val="zh-CN" w:eastAsia="zh-CN"/>
        </w:rPr>
        <w:t>0</w:t>
      </w:r>
      <w:r>
        <w:rPr>
          <w:rFonts w:hint="eastAsia" w:ascii="仿宋" w:hAnsi="仿宋" w:eastAsia="仿宋"/>
          <w:sz w:val="24"/>
          <w:szCs w:val="24"/>
          <w:lang w:val="zh-CN" w:eastAsia="zh-CN"/>
        </w:rPr>
        <w:t>台、打印机1</w:t>
      </w:r>
      <w:r>
        <w:rPr>
          <w:rFonts w:ascii="仿宋" w:hAnsi="仿宋" w:eastAsia="仿宋"/>
          <w:sz w:val="24"/>
          <w:szCs w:val="24"/>
          <w:lang w:val="zh-CN" w:eastAsia="zh-CN"/>
        </w:rPr>
        <w:t>0</w:t>
      </w:r>
      <w:r>
        <w:rPr>
          <w:rFonts w:hint="eastAsia" w:ascii="仿宋" w:hAnsi="仿宋" w:eastAsia="仿宋"/>
          <w:sz w:val="24"/>
          <w:szCs w:val="24"/>
          <w:lang w:val="zh-CN" w:eastAsia="zh-CN"/>
        </w:rPr>
        <w:t>台、台式电脑1台；4、会议专用桌椅新建会议台</w:t>
      </w:r>
      <w:r>
        <w:rPr>
          <w:rFonts w:ascii="仿宋" w:hAnsi="仿宋" w:eastAsia="仿宋"/>
          <w:sz w:val="24"/>
          <w:szCs w:val="24"/>
          <w:lang w:val="zh-CN" w:eastAsia="zh-CN"/>
        </w:rPr>
        <w:t>1</w:t>
      </w:r>
      <w:r>
        <w:rPr>
          <w:rFonts w:hint="eastAsia" w:ascii="仿宋" w:hAnsi="仿宋" w:eastAsia="仿宋"/>
          <w:sz w:val="24"/>
          <w:szCs w:val="24"/>
          <w:lang w:val="zh-CN" w:eastAsia="zh-CN"/>
        </w:rPr>
        <w:t>张、会议椅20把、主会议椅1把。</w:t>
      </w:r>
    </w:p>
    <w:p>
      <w:pPr>
        <w:pStyle w:val="7"/>
        <w:numPr>
          <w:ilvl w:val="0"/>
          <w:numId w:val="10"/>
        </w:numPr>
        <w:spacing w:before="360" w:after="360"/>
        <w:rPr>
          <w:lang w:eastAsia="zh-CN"/>
        </w:rPr>
      </w:pPr>
      <w:r>
        <w:rPr>
          <w:rFonts w:hint="eastAsia"/>
          <w:lang w:eastAsia="zh-CN"/>
        </w:rPr>
        <w:t>玛纳斯县域医共体平台建设</w:t>
      </w:r>
    </w:p>
    <w:p>
      <w:pPr>
        <w:spacing w:line="360" w:lineRule="auto"/>
        <w:ind w:firstLine="480"/>
        <w:jc w:val="both"/>
        <w:rPr>
          <w:rFonts w:ascii="仿宋" w:hAnsi="仿宋" w:eastAsia="仿宋"/>
          <w:sz w:val="24"/>
          <w:szCs w:val="24"/>
          <w:lang w:val="zh-CN" w:eastAsia="zh-CN"/>
        </w:rPr>
      </w:pPr>
      <w:r>
        <w:rPr>
          <w:rFonts w:hint="eastAsia" w:ascii="仿宋" w:hAnsi="仿宋" w:eastAsia="仿宋"/>
          <w:sz w:val="24"/>
          <w:szCs w:val="24"/>
          <w:lang w:val="zh-CN" w:eastAsia="zh-CN"/>
        </w:rPr>
        <w:t>本次玛纳斯县域医共体平台新建：1、县人民医院信息化系统应用新建医院管理系统（HIS）1套、电子病历管理系统（EMR）1套、检验信息管理系统（LIS）1套、影像信息管理系统(PACS)</w:t>
      </w:r>
      <w:r>
        <w:rPr>
          <w:rFonts w:hint="eastAsia" w:ascii="仿宋" w:hAnsi="仿宋" w:eastAsia="仿宋"/>
          <w:sz w:val="24"/>
          <w:szCs w:val="24"/>
          <w:lang w:eastAsia="zh-CN"/>
        </w:rPr>
        <w:t xml:space="preserve"> </w:t>
      </w:r>
      <w:r>
        <w:rPr>
          <w:rFonts w:hint="eastAsia" w:ascii="仿宋" w:hAnsi="仿宋" w:eastAsia="仿宋"/>
          <w:sz w:val="24"/>
          <w:szCs w:val="24"/>
          <w:lang w:val="zh-CN" w:eastAsia="zh-CN"/>
        </w:rPr>
        <w:t>1套、移动查房系统1套、移动护理系统1套、手术麻醉管理系统1套、临床路径管理系统1套、危急值管理系统1套、血库管理系统1套、合理用药监测系统1套、处方点评系统1套、院内感染管理系统1套、CA电子签名系统1套、临床辅助决策系统（CDSS）1套、不良事件系统1套、DRG管理系统1套、互联网医院（微信公众号）1套、体检系统1套、OA系统1套、血透管理系统1套、供应室管理系统1套、排队叫号系统1套、自助服务系统1套、HRP系统1套、急诊管理系统1套、重症监护系统1套、单病种上报管理1套、资产精细化设备全生命周期管理系统1套、传染病上报1套、抗菌药物管理与统计分析1套、医院医保费用智能监管系统1套。2、医</w:t>
      </w:r>
      <w:r>
        <w:rPr>
          <w:rFonts w:hint="eastAsia" w:ascii="仿宋" w:hAnsi="仿宋" w:eastAsia="仿宋"/>
          <w:sz w:val="24"/>
          <w:szCs w:val="24"/>
          <w:lang w:val="zh-CN" w:eastAsia="zh-CN"/>
        </w:rPr>
        <w:tab/>
      </w:r>
      <w:r>
        <w:rPr>
          <w:rFonts w:hint="eastAsia" w:ascii="仿宋" w:hAnsi="仿宋" w:eastAsia="仿宋"/>
          <w:sz w:val="24"/>
          <w:szCs w:val="24"/>
          <w:lang w:val="zh-CN" w:eastAsia="zh-CN"/>
        </w:rPr>
        <w:t>共体（县人民医院）信息集成平台新建集成平台1套、数据中心1套、统一门户1套、报表中心1套、基础信息管理1套、主数据管理1套、MPI主索引管理1套、患者360视图1套、综合决策分析1套、可视化展示1套。3、平台硬件内网业务服务器8台、内网物理服务器5台、服务器汇聚交换机2台、管理交换机1台、内网虚拟化平台1台、内网磁盘阵列1台、存储交换机2台、数据备份系统1台。</w:t>
      </w:r>
      <w:r>
        <w:rPr>
          <w:rFonts w:ascii="仿宋" w:hAnsi="仿宋" w:eastAsia="仿宋"/>
          <w:sz w:val="24"/>
          <w:szCs w:val="24"/>
          <w:lang w:val="zh-CN" w:eastAsia="zh-CN"/>
        </w:rPr>
        <w:t>4、机房建设</w:t>
      </w:r>
      <w:r>
        <w:rPr>
          <w:rFonts w:hint="eastAsia" w:ascii="仿宋" w:hAnsi="仿宋" w:eastAsia="仿宋"/>
          <w:sz w:val="24"/>
          <w:szCs w:val="24"/>
          <w:lang w:val="zh-CN" w:eastAsia="zh-CN"/>
        </w:rPr>
        <w:t>服务器机柜2台、5P空调2台。</w:t>
      </w:r>
    </w:p>
    <w:p>
      <w:pPr>
        <w:pStyle w:val="6"/>
        <w:numPr>
          <w:ilvl w:val="0"/>
          <w:numId w:val="9"/>
        </w:numPr>
        <w:spacing w:before="360" w:after="360"/>
        <w:rPr>
          <w:lang w:eastAsia="zh-CN"/>
        </w:rPr>
      </w:pPr>
      <w:bookmarkStart w:id="87" w:name="_Toc99620346"/>
      <w:bookmarkStart w:id="88" w:name="_Toc146042178"/>
      <w:bookmarkStart w:id="89" w:name="_Toc130318861"/>
      <w:r>
        <w:rPr>
          <w:lang w:eastAsia="zh-CN"/>
        </w:rPr>
        <w:t>建设周期</w:t>
      </w:r>
      <w:bookmarkEnd w:id="87"/>
      <w:bookmarkEnd w:id="88"/>
      <w:bookmarkEnd w:id="89"/>
    </w:p>
    <w:p>
      <w:pPr>
        <w:spacing w:line="360" w:lineRule="auto"/>
        <w:ind w:firstLine="480"/>
        <w:rPr>
          <w:rFonts w:ascii="仿宋" w:hAnsi="仿宋" w:eastAsia="仿宋"/>
          <w:bCs/>
          <w:sz w:val="24"/>
          <w:szCs w:val="24"/>
          <w:lang w:eastAsia="zh-CN"/>
        </w:rPr>
      </w:pPr>
      <w:r>
        <w:rPr>
          <w:rFonts w:hint="eastAsia" w:ascii="仿宋" w:hAnsi="仿宋" w:eastAsia="仿宋"/>
          <w:bCs/>
          <w:sz w:val="24"/>
          <w:szCs w:val="24"/>
          <w:lang w:eastAsia="zh-CN"/>
        </w:rPr>
        <w:t>本项目建设周期为</w:t>
      </w:r>
      <w:r>
        <w:rPr>
          <w:rFonts w:hint="eastAsia" w:ascii="仿宋" w:hAnsi="仿宋" w:eastAsia="仿宋"/>
          <w:bCs/>
          <w:sz w:val="24"/>
          <w:szCs w:val="24"/>
          <w:lang w:val="en-US" w:eastAsia="zh-CN"/>
        </w:rPr>
        <w:t>6</w:t>
      </w:r>
      <w:r>
        <w:rPr>
          <w:rFonts w:hint="eastAsia" w:ascii="仿宋" w:hAnsi="仿宋" w:eastAsia="仿宋"/>
          <w:bCs/>
          <w:sz w:val="24"/>
          <w:szCs w:val="24"/>
          <w:lang w:eastAsia="zh-CN"/>
        </w:rPr>
        <w:t>个月</w:t>
      </w:r>
      <w:r>
        <w:rPr>
          <w:rFonts w:ascii="仿宋" w:hAnsi="仿宋" w:eastAsia="仿宋"/>
          <w:bCs/>
          <w:sz w:val="24"/>
          <w:szCs w:val="24"/>
          <w:lang w:eastAsia="zh-CN"/>
        </w:rPr>
        <w:t>。</w:t>
      </w:r>
    </w:p>
    <w:p>
      <w:pPr>
        <w:pStyle w:val="6"/>
        <w:numPr>
          <w:ilvl w:val="0"/>
          <w:numId w:val="9"/>
        </w:numPr>
        <w:spacing w:before="360" w:after="360"/>
        <w:rPr>
          <w:lang w:eastAsia="zh-CN"/>
        </w:rPr>
      </w:pPr>
      <w:bookmarkStart w:id="90" w:name="_Toc146042233"/>
      <w:r>
        <w:rPr>
          <w:rFonts w:hint="eastAsia"/>
          <w:lang w:eastAsia="zh-CN"/>
        </w:rPr>
        <w:t>玛纳斯县域医共体平台</w:t>
      </w:r>
      <w:bookmarkEnd w:id="90"/>
      <w:r>
        <w:rPr>
          <w:rFonts w:hint="eastAsia"/>
          <w:lang w:eastAsia="zh-CN"/>
        </w:rPr>
        <w:t>要求</w:t>
      </w:r>
    </w:p>
    <w:p>
      <w:pPr>
        <w:pStyle w:val="50"/>
        <w:numPr>
          <w:ilvl w:val="0"/>
          <w:numId w:val="11"/>
        </w:numPr>
        <w:outlineLvl w:val="0"/>
        <w:rPr>
          <w:rFonts w:ascii="宋体" w:hAnsi="宋体" w:eastAsia="宋体"/>
          <w:vanish/>
          <w:sz w:val="90"/>
          <w:szCs w:val="90"/>
          <w:lang w:eastAsia="zh-CN"/>
        </w:rPr>
      </w:pPr>
      <w:bookmarkStart w:id="91" w:name="_Toc146042234"/>
    </w:p>
    <w:p>
      <w:pPr>
        <w:pStyle w:val="50"/>
        <w:numPr>
          <w:ilvl w:val="0"/>
          <w:numId w:val="11"/>
        </w:numPr>
        <w:outlineLvl w:val="0"/>
        <w:rPr>
          <w:rFonts w:ascii="宋体" w:hAnsi="宋体" w:eastAsia="宋体"/>
          <w:vanish/>
          <w:sz w:val="90"/>
          <w:szCs w:val="90"/>
          <w:lang w:eastAsia="zh-CN"/>
        </w:rPr>
      </w:pPr>
    </w:p>
    <w:p>
      <w:pPr>
        <w:pStyle w:val="50"/>
        <w:numPr>
          <w:ilvl w:val="0"/>
          <w:numId w:val="11"/>
        </w:numPr>
        <w:outlineLvl w:val="0"/>
        <w:rPr>
          <w:rFonts w:ascii="宋体" w:hAnsi="宋体" w:eastAsia="宋体"/>
          <w:vanish/>
          <w:sz w:val="90"/>
          <w:szCs w:val="90"/>
          <w:lang w:eastAsia="zh-CN"/>
        </w:rPr>
      </w:pPr>
    </w:p>
    <w:p>
      <w:pPr>
        <w:pStyle w:val="50"/>
        <w:numPr>
          <w:ilvl w:val="0"/>
          <w:numId w:val="11"/>
        </w:numPr>
        <w:outlineLvl w:val="0"/>
        <w:rPr>
          <w:rFonts w:ascii="宋体" w:hAnsi="宋体" w:eastAsia="宋体"/>
          <w:vanish/>
          <w:sz w:val="90"/>
          <w:szCs w:val="90"/>
          <w:lang w:eastAsia="zh-CN"/>
        </w:rPr>
      </w:pPr>
    </w:p>
    <w:p>
      <w:pPr>
        <w:pStyle w:val="50"/>
        <w:numPr>
          <w:ilvl w:val="1"/>
          <w:numId w:val="11"/>
        </w:numPr>
        <w:spacing w:before="360" w:beforeLines="150" w:after="360" w:afterLines="150"/>
        <w:outlineLvl w:val="1"/>
        <w:rPr>
          <w:rFonts w:ascii="宋体" w:hAnsi="宋体" w:eastAsia="宋体"/>
          <w:b/>
          <w:bCs/>
          <w:vanish/>
          <w:sz w:val="44"/>
          <w:szCs w:val="44"/>
          <w:lang w:eastAsia="zh-CN"/>
        </w:rPr>
      </w:pPr>
    </w:p>
    <w:p>
      <w:pPr>
        <w:pStyle w:val="50"/>
        <w:numPr>
          <w:ilvl w:val="1"/>
          <w:numId w:val="11"/>
        </w:numPr>
        <w:spacing w:before="360" w:beforeLines="150" w:after="360" w:afterLines="150"/>
        <w:outlineLvl w:val="1"/>
        <w:rPr>
          <w:rFonts w:ascii="宋体" w:hAnsi="宋体" w:eastAsia="宋体"/>
          <w:b/>
          <w:bCs/>
          <w:vanish/>
          <w:sz w:val="44"/>
          <w:szCs w:val="44"/>
          <w:lang w:eastAsia="zh-CN"/>
        </w:rPr>
      </w:pPr>
    </w:p>
    <w:p>
      <w:pPr>
        <w:pStyle w:val="50"/>
        <w:numPr>
          <w:ilvl w:val="2"/>
          <w:numId w:val="11"/>
        </w:numPr>
        <w:spacing w:before="360" w:beforeLines="150" w:after="360" w:afterLines="150"/>
        <w:outlineLvl w:val="2"/>
        <w:rPr>
          <w:rFonts w:ascii="仿宋" w:hAnsi="仿宋" w:eastAsia="仿宋"/>
          <w:b/>
          <w:bCs/>
          <w:vanish/>
          <w:sz w:val="36"/>
          <w:szCs w:val="36"/>
          <w:lang w:eastAsia="zh-CN"/>
        </w:rPr>
      </w:pPr>
    </w:p>
    <w:p>
      <w:pPr>
        <w:pStyle w:val="50"/>
        <w:numPr>
          <w:ilvl w:val="2"/>
          <w:numId w:val="11"/>
        </w:numPr>
        <w:spacing w:before="360" w:beforeLines="150" w:after="360" w:afterLines="150"/>
        <w:outlineLvl w:val="2"/>
        <w:rPr>
          <w:rFonts w:ascii="仿宋" w:hAnsi="仿宋" w:eastAsia="仿宋"/>
          <w:b/>
          <w:bCs/>
          <w:vanish/>
          <w:sz w:val="36"/>
          <w:szCs w:val="36"/>
          <w:lang w:eastAsia="zh-CN"/>
        </w:rPr>
      </w:pPr>
    </w:p>
    <w:p>
      <w:pPr>
        <w:pStyle w:val="50"/>
        <w:numPr>
          <w:ilvl w:val="3"/>
          <w:numId w:val="11"/>
        </w:numPr>
        <w:spacing w:before="360" w:beforeLines="150" w:after="360" w:afterLines="150" w:line="0" w:lineRule="atLeast"/>
        <w:outlineLvl w:val="3"/>
        <w:rPr>
          <w:rFonts w:ascii="仿宋" w:hAnsi="仿宋" w:eastAsia="仿宋"/>
          <w:b/>
          <w:bCs/>
          <w:vanish/>
          <w:sz w:val="32"/>
          <w:szCs w:val="32"/>
          <w:lang w:eastAsia="zh-CN"/>
        </w:rPr>
      </w:pPr>
    </w:p>
    <w:p>
      <w:pPr>
        <w:pStyle w:val="50"/>
        <w:numPr>
          <w:ilvl w:val="3"/>
          <w:numId w:val="11"/>
        </w:numPr>
        <w:spacing w:before="360" w:beforeLines="150" w:after="360" w:afterLines="150" w:line="0" w:lineRule="atLeast"/>
        <w:outlineLvl w:val="3"/>
        <w:rPr>
          <w:rFonts w:ascii="仿宋" w:hAnsi="仿宋" w:eastAsia="仿宋"/>
          <w:b/>
          <w:bCs/>
          <w:vanish/>
          <w:sz w:val="32"/>
          <w:szCs w:val="32"/>
          <w:lang w:eastAsia="zh-CN"/>
        </w:rPr>
      </w:pPr>
    </w:p>
    <w:p>
      <w:pPr>
        <w:pStyle w:val="50"/>
        <w:numPr>
          <w:ilvl w:val="3"/>
          <w:numId w:val="11"/>
        </w:numPr>
        <w:spacing w:before="360" w:beforeLines="150" w:after="360" w:afterLines="150" w:line="0" w:lineRule="atLeast"/>
        <w:outlineLvl w:val="3"/>
        <w:rPr>
          <w:rFonts w:ascii="仿宋" w:hAnsi="仿宋" w:eastAsia="仿宋"/>
          <w:b/>
          <w:bCs/>
          <w:vanish/>
          <w:sz w:val="32"/>
          <w:szCs w:val="32"/>
          <w:lang w:eastAsia="zh-CN"/>
        </w:rPr>
      </w:pPr>
    </w:p>
    <w:p>
      <w:pPr>
        <w:pStyle w:val="50"/>
        <w:numPr>
          <w:ilvl w:val="3"/>
          <w:numId w:val="11"/>
        </w:numPr>
        <w:spacing w:before="360" w:beforeLines="150" w:after="360" w:afterLines="150" w:line="0" w:lineRule="atLeast"/>
        <w:outlineLvl w:val="3"/>
        <w:rPr>
          <w:rFonts w:ascii="仿宋" w:hAnsi="仿宋" w:eastAsia="仿宋"/>
          <w:b/>
          <w:bCs/>
          <w:vanish/>
          <w:sz w:val="32"/>
          <w:szCs w:val="32"/>
          <w:lang w:eastAsia="zh-CN"/>
        </w:rPr>
      </w:pPr>
    </w:p>
    <w:p>
      <w:pPr>
        <w:pStyle w:val="50"/>
        <w:numPr>
          <w:ilvl w:val="0"/>
          <w:numId w:val="1"/>
        </w:numPr>
        <w:outlineLvl w:val="0"/>
        <w:rPr>
          <w:rFonts w:ascii="宋体" w:hAnsi="宋体" w:eastAsia="宋体"/>
          <w:vanish/>
          <w:sz w:val="90"/>
          <w:szCs w:val="90"/>
          <w:lang w:eastAsia="zh-CN"/>
        </w:rPr>
      </w:pPr>
    </w:p>
    <w:p>
      <w:pPr>
        <w:pStyle w:val="50"/>
        <w:numPr>
          <w:ilvl w:val="0"/>
          <w:numId w:val="1"/>
        </w:numPr>
        <w:outlineLvl w:val="0"/>
        <w:rPr>
          <w:rFonts w:ascii="宋体" w:hAnsi="宋体" w:eastAsia="宋体"/>
          <w:vanish/>
          <w:sz w:val="90"/>
          <w:szCs w:val="90"/>
          <w:lang w:eastAsia="zh-CN"/>
        </w:rPr>
      </w:pPr>
    </w:p>
    <w:p>
      <w:pPr>
        <w:pStyle w:val="50"/>
        <w:numPr>
          <w:ilvl w:val="0"/>
          <w:numId w:val="1"/>
        </w:numPr>
        <w:outlineLvl w:val="0"/>
        <w:rPr>
          <w:rFonts w:ascii="宋体" w:hAnsi="宋体" w:eastAsia="宋体"/>
          <w:vanish/>
          <w:sz w:val="90"/>
          <w:szCs w:val="90"/>
          <w:lang w:eastAsia="zh-CN"/>
        </w:rPr>
      </w:pPr>
    </w:p>
    <w:p>
      <w:pPr>
        <w:pStyle w:val="50"/>
        <w:numPr>
          <w:ilvl w:val="0"/>
          <w:numId w:val="1"/>
        </w:numPr>
        <w:outlineLvl w:val="0"/>
        <w:rPr>
          <w:rFonts w:ascii="宋体" w:hAnsi="宋体" w:eastAsia="宋体"/>
          <w:vanish/>
          <w:sz w:val="90"/>
          <w:szCs w:val="90"/>
          <w:lang w:eastAsia="zh-CN"/>
        </w:rPr>
      </w:pPr>
    </w:p>
    <w:p>
      <w:pPr>
        <w:pStyle w:val="50"/>
        <w:numPr>
          <w:ilvl w:val="1"/>
          <w:numId w:val="1"/>
        </w:numPr>
        <w:spacing w:before="360" w:beforeLines="150" w:after="360" w:afterLines="150"/>
        <w:ind w:left="796" w:leftChars="0" w:firstLineChars="0"/>
        <w:outlineLvl w:val="1"/>
        <w:rPr>
          <w:rFonts w:ascii="宋体" w:hAnsi="宋体" w:eastAsia="宋体"/>
          <w:b/>
          <w:bCs/>
          <w:vanish/>
          <w:sz w:val="44"/>
          <w:szCs w:val="44"/>
          <w:lang w:eastAsia="zh-CN"/>
        </w:rPr>
      </w:pPr>
    </w:p>
    <w:p>
      <w:pPr>
        <w:pStyle w:val="50"/>
        <w:numPr>
          <w:ilvl w:val="1"/>
          <w:numId w:val="1"/>
        </w:numPr>
        <w:spacing w:before="360" w:beforeLines="150" w:after="360" w:afterLines="150"/>
        <w:ind w:left="796" w:leftChars="0" w:firstLineChars="0"/>
        <w:outlineLvl w:val="1"/>
        <w:rPr>
          <w:rFonts w:ascii="宋体" w:hAnsi="宋体" w:eastAsia="宋体"/>
          <w:b/>
          <w:bCs/>
          <w:vanish/>
          <w:sz w:val="44"/>
          <w:szCs w:val="44"/>
          <w:lang w:eastAsia="zh-CN"/>
        </w:rPr>
      </w:pPr>
    </w:p>
    <w:p>
      <w:pPr>
        <w:pStyle w:val="50"/>
        <w:numPr>
          <w:ilvl w:val="2"/>
          <w:numId w:val="1"/>
        </w:numPr>
        <w:spacing w:before="360" w:beforeLines="150" w:after="360" w:afterLines="150"/>
        <w:outlineLvl w:val="2"/>
        <w:rPr>
          <w:rFonts w:ascii="仿宋" w:hAnsi="仿宋" w:eastAsia="仿宋"/>
          <w:b/>
          <w:bCs/>
          <w:vanish/>
          <w:sz w:val="36"/>
          <w:szCs w:val="36"/>
          <w:lang w:eastAsia="zh-CN"/>
        </w:rPr>
      </w:pPr>
    </w:p>
    <w:p>
      <w:pPr>
        <w:pStyle w:val="50"/>
        <w:numPr>
          <w:ilvl w:val="2"/>
          <w:numId w:val="1"/>
        </w:numPr>
        <w:spacing w:before="360" w:beforeLines="150" w:after="360" w:afterLines="150"/>
        <w:outlineLvl w:val="2"/>
        <w:rPr>
          <w:rFonts w:ascii="仿宋" w:hAnsi="仿宋" w:eastAsia="仿宋"/>
          <w:b/>
          <w:bCs/>
          <w:vanish/>
          <w:sz w:val="36"/>
          <w:szCs w:val="36"/>
          <w:lang w:eastAsia="zh-CN"/>
        </w:rPr>
      </w:pPr>
    </w:p>
    <w:p>
      <w:pPr>
        <w:pStyle w:val="50"/>
        <w:numPr>
          <w:ilvl w:val="3"/>
          <w:numId w:val="1"/>
        </w:numPr>
        <w:spacing w:before="360" w:beforeLines="150" w:after="360" w:afterLines="150" w:line="0" w:lineRule="atLeast"/>
        <w:outlineLvl w:val="3"/>
        <w:rPr>
          <w:rFonts w:ascii="仿宋" w:hAnsi="仿宋" w:eastAsia="仿宋"/>
          <w:b/>
          <w:bCs/>
          <w:vanish/>
          <w:sz w:val="32"/>
          <w:szCs w:val="32"/>
          <w:lang w:eastAsia="zh-CN"/>
        </w:rPr>
      </w:pPr>
    </w:p>
    <w:p>
      <w:pPr>
        <w:pStyle w:val="50"/>
        <w:numPr>
          <w:ilvl w:val="3"/>
          <w:numId w:val="1"/>
        </w:numPr>
        <w:spacing w:before="360" w:beforeLines="150" w:after="360" w:afterLines="150" w:line="0" w:lineRule="atLeast"/>
        <w:outlineLvl w:val="3"/>
        <w:rPr>
          <w:rFonts w:ascii="仿宋" w:hAnsi="仿宋" w:eastAsia="仿宋"/>
          <w:b/>
          <w:bCs/>
          <w:vanish/>
          <w:sz w:val="32"/>
          <w:szCs w:val="32"/>
          <w:lang w:eastAsia="zh-CN"/>
        </w:rPr>
      </w:pPr>
    </w:p>
    <w:p>
      <w:pPr>
        <w:pStyle w:val="50"/>
        <w:numPr>
          <w:ilvl w:val="3"/>
          <w:numId w:val="1"/>
        </w:numPr>
        <w:spacing w:before="360" w:beforeLines="150" w:after="360" w:afterLines="150" w:line="0" w:lineRule="atLeast"/>
        <w:outlineLvl w:val="3"/>
        <w:rPr>
          <w:rFonts w:ascii="仿宋" w:hAnsi="仿宋" w:eastAsia="仿宋"/>
          <w:b/>
          <w:bCs/>
          <w:vanish/>
          <w:sz w:val="32"/>
          <w:szCs w:val="32"/>
          <w:lang w:eastAsia="zh-CN"/>
        </w:rPr>
      </w:pPr>
    </w:p>
    <w:p>
      <w:pPr>
        <w:pStyle w:val="50"/>
        <w:numPr>
          <w:ilvl w:val="3"/>
          <w:numId w:val="1"/>
        </w:numPr>
        <w:spacing w:before="360" w:beforeLines="150" w:after="360" w:afterLines="150" w:line="0" w:lineRule="atLeast"/>
        <w:outlineLvl w:val="3"/>
        <w:rPr>
          <w:rFonts w:ascii="仿宋" w:hAnsi="仿宋" w:eastAsia="仿宋"/>
          <w:b/>
          <w:bCs/>
          <w:vanish/>
          <w:sz w:val="32"/>
          <w:szCs w:val="32"/>
          <w:lang w:eastAsia="zh-CN"/>
        </w:rPr>
      </w:pPr>
    </w:p>
    <w:p>
      <w:pPr>
        <w:pStyle w:val="7"/>
        <w:spacing w:before="360" w:after="360"/>
        <w:rPr>
          <w:lang w:eastAsia="zh-CN"/>
        </w:rPr>
      </w:pPr>
      <w:r>
        <w:rPr>
          <w:rFonts w:hint="eastAsia"/>
          <w:lang w:eastAsia="zh-CN"/>
        </w:rPr>
        <w:t>县人民医院信息化系统应用</w:t>
      </w:r>
      <w:bookmarkEnd w:id="91"/>
    </w:p>
    <w:p>
      <w:pPr>
        <w:pStyle w:val="8"/>
        <w:rPr>
          <w:lang w:eastAsia="zh-CN"/>
        </w:rPr>
      </w:pPr>
      <w:r>
        <w:rPr>
          <w:rFonts w:hint="eastAsia"/>
          <w:lang w:eastAsia="zh-CN"/>
        </w:rPr>
        <w:t>医院管理系统（HIS）</w:t>
      </w:r>
    </w:p>
    <w:p>
      <w:pPr>
        <w:pStyle w:val="9"/>
        <w:numPr>
          <w:ilvl w:val="0"/>
          <w:numId w:val="0"/>
        </w:numPr>
        <w:spacing w:line="360" w:lineRule="auto"/>
        <w:ind w:left="3"/>
        <w:rPr>
          <w:sz w:val="24"/>
          <w:szCs w:val="24"/>
          <w:lang w:eastAsia="zh-CN"/>
        </w:rPr>
      </w:pPr>
      <w:r>
        <w:rPr>
          <w:rFonts w:hint="eastAsia"/>
          <w:sz w:val="24"/>
          <w:szCs w:val="24"/>
          <w:lang w:eastAsia="zh-CN"/>
        </w:rPr>
        <w:t>门诊管理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门诊管理是用于处理医院门急诊划价和收费的计算机应用程序，包括窗口挂号、门诊病历处理、收费、退费、打印报销凭证、结帐、统计等功能。医院门急诊挂号收费系统是直接为门急诊病人服务的，建立病人标识码，减少病人排队时间，提高挂号、划价、收费工作的效率和服务质量，减少病人排队时间、减轻工作强度，优化执行财务监督制度的流程是该系统的主要目标。</w:t>
      </w:r>
    </w:p>
    <w:p>
      <w:pPr>
        <w:numPr>
          <w:ilvl w:val="0"/>
          <w:numId w:val="12"/>
        </w:numPr>
        <w:spacing w:line="360" w:lineRule="auto"/>
        <w:jc w:val="both"/>
        <w:rPr>
          <w:rFonts w:ascii="仿宋" w:hAnsi="仿宋" w:eastAsia="仿宋"/>
          <w:sz w:val="24"/>
          <w:szCs w:val="24"/>
          <w:lang w:val="zh-CN"/>
        </w:rPr>
      </w:pPr>
      <w:r>
        <w:rPr>
          <w:rFonts w:hint="eastAsia" w:ascii="仿宋" w:hAnsi="仿宋" w:eastAsia="仿宋"/>
          <w:sz w:val="24"/>
          <w:szCs w:val="24"/>
          <w:lang w:val="zh-CN"/>
        </w:rPr>
        <w:t>初始化功能</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包括建立医院工作环境参数、诊别、时间、科室名称及代号、号别、号类字典、专家名单、合同单位、医疗保障机构、医生名表、收费科目字典、收费类别、病人交费、绿色通道（特殊缴费）等有关字典。</w:t>
      </w:r>
    </w:p>
    <w:p>
      <w:pPr>
        <w:numPr>
          <w:ilvl w:val="0"/>
          <w:numId w:val="12"/>
        </w:numPr>
        <w:spacing w:line="360" w:lineRule="auto"/>
        <w:jc w:val="both"/>
        <w:rPr>
          <w:rFonts w:ascii="仿宋" w:hAnsi="仿宋" w:eastAsia="仿宋"/>
          <w:sz w:val="24"/>
          <w:szCs w:val="24"/>
          <w:lang w:val="zh-CN"/>
        </w:rPr>
      </w:pPr>
      <w:r>
        <w:rPr>
          <w:rFonts w:hint="eastAsia" w:ascii="仿宋" w:hAnsi="仿宋" w:eastAsia="仿宋"/>
          <w:sz w:val="24"/>
          <w:szCs w:val="24"/>
          <w:lang w:val="zh-CN"/>
        </w:rPr>
        <w:t>挂号处理功能</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支持医保、公费、自费等多种身份的病人挂号。</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支持现金、刷卡、支付宝、微信、刷脸等多种收费方式。</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支持窗口挂号、预约挂号、电话挂号、自动挂号功能。挂号员根据病人请求快速选择诊别、科室、号别、医生，生成挂号信息，打印挂号单，统一号源，并产生就诊病人基本信息等功能。</w:t>
      </w:r>
    </w:p>
    <w:p>
      <w:pPr>
        <w:numPr>
          <w:ilvl w:val="0"/>
          <w:numId w:val="12"/>
        </w:numPr>
        <w:spacing w:line="360" w:lineRule="auto"/>
        <w:jc w:val="both"/>
        <w:rPr>
          <w:rFonts w:ascii="仿宋" w:hAnsi="仿宋" w:eastAsia="仿宋"/>
          <w:sz w:val="24"/>
          <w:szCs w:val="24"/>
          <w:lang w:val="zh-CN"/>
        </w:rPr>
      </w:pPr>
      <w:r>
        <w:rPr>
          <w:rFonts w:hint="eastAsia" w:ascii="仿宋" w:hAnsi="仿宋" w:eastAsia="仿宋"/>
          <w:sz w:val="24"/>
          <w:szCs w:val="24"/>
          <w:lang w:val="zh-CN"/>
        </w:rPr>
        <w:t>退号处理功能</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能完成病人退号，并正确处理病人看病日期、午别、诊别、类别、号别以及应退费用和相关统计等。</w:t>
      </w:r>
    </w:p>
    <w:p>
      <w:pPr>
        <w:numPr>
          <w:ilvl w:val="0"/>
          <w:numId w:val="12"/>
        </w:numPr>
        <w:spacing w:line="360" w:lineRule="auto"/>
        <w:jc w:val="both"/>
        <w:rPr>
          <w:rFonts w:ascii="仿宋" w:hAnsi="仿宋" w:eastAsia="仿宋"/>
          <w:sz w:val="24"/>
          <w:szCs w:val="24"/>
          <w:lang w:val="zh-CN"/>
        </w:rPr>
      </w:pPr>
      <w:r>
        <w:rPr>
          <w:rFonts w:hint="eastAsia" w:ascii="仿宋" w:hAnsi="仿宋" w:eastAsia="仿宋"/>
          <w:sz w:val="24"/>
          <w:szCs w:val="24"/>
          <w:lang w:val="zh-CN"/>
        </w:rPr>
        <w:t>查询功能</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能完成预约号、退号，病人、科室、医师的挂号状况，医师出诊时间，科室挂号现状等查询。</w:t>
      </w:r>
    </w:p>
    <w:p>
      <w:pPr>
        <w:numPr>
          <w:ilvl w:val="0"/>
          <w:numId w:val="12"/>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门急诊挂号收费核算功能</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能即时完成会计科目、收费项目和科室核算等。</w:t>
      </w:r>
    </w:p>
    <w:p>
      <w:pPr>
        <w:numPr>
          <w:ilvl w:val="0"/>
          <w:numId w:val="12"/>
        </w:numPr>
        <w:spacing w:line="360" w:lineRule="auto"/>
        <w:jc w:val="both"/>
        <w:rPr>
          <w:rFonts w:ascii="仿宋" w:hAnsi="仿宋" w:eastAsia="仿宋"/>
          <w:sz w:val="24"/>
          <w:szCs w:val="24"/>
          <w:lang w:val="zh-CN"/>
        </w:rPr>
      </w:pPr>
      <w:r>
        <w:rPr>
          <w:rFonts w:hint="eastAsia" w:ascii="仿宋" w:hAnsi="仿宋" w:eastAsia="仿宋"/>
          <w:sz w:val="24"/>
          <w:szCs w:val="24"/>
          <w:lang w:val="zh-CN"/>
        </w:rPr>
        <w:t>收费处理功能</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从网络系统中自动获取或直接录入患者收费信息：包括患者姓名、病历号、结算类别、医疗类别、临床诊断、医生编码，开处方科室名称、药品/诊疗项目名称、数量等收费有关信息，系统自动划价，输入所收费用，系统自动找零，支持手工收费和医保患者通过读卡收费。</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诊间结算功能：支持在诊间进行结算功能。</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扫码缴费功能：支持扫码缴费功能。</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处理退款功能：必须按现行会计制度和有关规定严格管理退款过程，程序必须使用冲帐方式退款，保留操作全过程的记录，大型医院应使用执行科室确认监督机制强化管理。严格发票号管理，建立完善的登记制度，建议同时使用发票号和机器生成号管理发票。</w:t>
      </w:r>
    </w:p>
    <w:p>
      <w:pPr>
        <w:numPr>
          <w:ilvl w:val="0"/>
          <w:numId w:val="12"/>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门急诊收费报销凭证打印功能</w:t>
      </w:r>
      <w:r>
        <w:rPr>
          <w:rFonts w:hint="eastAsia" w:ascii="仿宋" w:hAnsi="仿宋" w:eastAsia="仿宋"/>
          <w:sz w:val="24"/>
          <w:szCs w:val="24"/>
          <w:lang w:val="zh-CN" w:eastAsia="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必须按财政和卫生行政部门规定格式打印报销凭证，要求打印并保留存根，计算机生成的凭证序号必须连续，不得出现重号。</w:t>
      </w:r>
    </w:p>
    <w:p>
      <w:pPr>
        <w:numPr>
          <w:ilvl w:val="0"/>
          <w:numId w:val="12"/>
        </w:numPr>
        <w:spacing w:line="360" w:lineRule="auto"/>
        <w:jc w:val="both"/>
        <w:rPr>
          <w:rFonts w:ascii="仿宋" w:hAnsi="仿宋" w:eastAsia="仿宋"/>
          <w:sz w:val="24"/>
          <w:szCs w:val="24"/>
          <w:lang w:val="zh-CN"/>
        </w:rPr>
      </w:pPr>
      <w:r>
        <w:rPr>
          <w:rFonts w:hint="eastAsia" w:ascii="仿宋" w:hAnsi="仿宋" w:eastAsia="仿宋"/>
          <w:sz w:val="24"/>
          <w:szCs w:val="24"/>
          <w:lang w:val="zh-CN"/>
        </w:rPr>
        <w:t>结算功能</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日结功能：必须完成日收费科目汇总，科目明细汇总，科室核算统计汇总。</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月结处理功能：必须完成全院月收费科目汇总，科室核算统计汇总。</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全院门诊收费月、季、年报表处理功能。</w:t>
      </w:r>
    </w:p>
    <w:p>
      <w:pPr>
        <w:numPr>
          <w:ilvl w:val="0"/>
          <w:numId w:val="12"/>
        </w:numPr>
        <w:spacing w:line="360" w:lineRule="auto"/>
        <w:jc w:val="both"/>
        <w:rPr>
          <w:rFonts w:ascii="仿宋" w:hAnsi="仿宋" w:eastAsia="仿宋"/>
          <w:sz w:val="24"/>
          <w:szCs w:val="24"/>
          <w:lang w:val="zh-CN"/>
        </w:rPr>
      </w:pPr>
      <w:r>
        <w:rPr>
          <w:rFonts w:hint="eastAsia" w:ascii="仿宋" w:hAnsi="仿宋" w:eastAsia="仿宋"/>
          <w:sz w:val="24"/>
          <w:szCs w:val="24"/>
          <w:lang w:val="zh-CN"/>
        </w:rPr>
        <w:t>门急诊病人统计功能</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能实现提供按科室、门诊工作量统计的功能。</w:t>
      </w:r>
    </w:p>
    <w:p>
      <w:pPr>
        <w:numPr>
          <w:ilvl w:val="0"/>
          <w:numId w:val="12"/>
        </w:numPr>
        <w:spacing w:line="360" w:lineRule="auto"/>
        <w:jc w:val="both"/>
        <w:rPr>
          <w:rFonts w:ascii="仿宋" w:hAnsi="仿宋" w:eastAsia="仿宋"/>
          <w:sz w:val="24"/>
          <w:szCs w:val="24"/>
          <w:lang w:val="zh-CN"/>
        </w:rPr>
      </w:pPr>
      <w:r>
        <w:rPr>
          <w:rFonts w:hint="eastAsia" w:ascii="仿宋" w:hAnsi="仿宋" w:eastAsia="仿宋"/>
          <w:sz w:val="24"/>
          <w:szCs w:val="24"/>
          <w:lang w:val="zh-CN"/>
        </w:rPr>
        <w:t>统计查询功能</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患者费用查询、收费员工作量统计、病人基本信息维护、收款员发票查询、作废发票查询。</w:t>
      </w:r>
    </w:p>
    <w:p>
      <w:pPr>
        <w:numPr>
          <w:ilvl w:val="0"/>
          <w:numId w:val="12"/>
        </w:numPr>
        <w:spacing w:line="360" w:lineRule="auto"/>
        <w:jc w:val="both"/>
        <w:rPr>
          <w:rFonts w:ascii="仿宋" w:hAnsi="仿宋" w:eastAsia="仿宋"/>
          <w:sz w:val="24"/>
          <w:szCs w:val="24"/>
          <w:lang w:val="zh-CN"/>
        </w:rPr>
      </w:pPr>
      <w:r>
        <w:rPr>
          <w:rFonts w:hint="eastAsia" w:ascii="仿宋" w:hAnsi="仿宋" w:eastAsia="仿宋"/>
          <w:sz w:val="24"/>
          <w:szCs w:val="24"/>
          <w:lang w:val="zh-CN"/>
        </w:rPr>
        <w:t>报表打印输出功能</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按收费贷方科目汇总和合计，以便收费员结帐；</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按收费借方和贷方科目打印，以便会计进行日记帐；按收费凭证内容打印，以便会计存档；包括一级科室和检查治疗科室工作量统计；</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包括医疗门诊收入和药品门诊收入统计汇总；包括一级科室和检查治疗科室工作量统计汇总；按治疗费用和药品费用科目进行统计汇总；</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打印全院门诊月、季、年收费核算分析报表；门诊发票重打。</w:t>
      </w:r>
    </w:p>
    <w:p>
      <w:pPr>
        <w:numPr>
          <w:ilvl w:val="0"/>
          <w:numId w:val="12"/>
        </w:numPr>
        <w:spacing w:line="360" w:lineRule="auto"/>
        <w:jc w:val="both"/>
        <w:rPr>
          <w:rFonts w:ascii="仿宋" w:hAnsi="仿宋" w:eastAsia="仿宋"/>
          <w:sz w:val="24"/>
          <w:szCs w:val="24"/>
          <w:lang w:val="zh-CN"/>
        </w:rPr>
      </w:pPr>
      <w:r>
        <w:rPr>
          <w:rFonts w:hint="eastAsia" w:ascii="仿宋" w:hAnsi="仿宋" w:eastAsia="仿宋"/>
          <w:sz w:val="24"/>
          <w:szCs w:val="24"/>
          <w:lang w:val="zh-CN"/>
        </w:rPr>
        <w:t>系统维护功能</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能实现病人基本信息、挂号费用等维护。</w:t>
      </w:r>
    </w:p>
    <w:p>
      <w:pPr>
        <w:pStyle w:val="9"/>
        <w:numPr>
          <w:ilvl w:val="0"/>
          <w:numId w:val="0"/>
        </w:numPr>
        <w:spacing w:line="360" w:lineRule="auto"/>
        <w:ind w:left="3"/>
        <w:rPr>
          <w:sz w:val="24"/>
          <w:szCs w:val="24"/>
          <w:lang w:eastAsia="zh-CN"/>
        </w:rPr>
      </w:pPr>
      <w:r>
        <w:rPr>
          <w:rFonts w:hint="eastAsia"/>
          <w:sz w:val="24"/>
          <w:szCs w:val="24"/>
          <w:lang w:eastAsia="zh-CN"/>
        </w:rPr>
        <w:t>住院管理</w:t>
      </w:r>
      <w:r>
        <w:rPr>
          <w:rFonts w:hint="eastAsia"/>
          <w:sz w:val="24"/>
          <w:szCs w:val="24"/>
          <w:lang w:eastAsia="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住院管理是用于医院住院患者登记管理、住院病人费用管理的计算机应用程序，包括入院登记、床位管理、住院预交金管理、住院病历管理、住院病人结算、费用录入、打印收费细目和发票、住院预交金管理、欠款管理等功能。方便患者办理住院手续，严格住院预交金管理制度，支持医保患者就医，促进医院合理使用床位，提高床位周转率是该系统的主要任务。住院收费管理系统的设计应能够及时准确地为患者和临床医护人员提供费用信息，及时准确地为患者办理出院手续，支持医院经济核算、提供信息共享和减轻工作人员的劳动强度。</w:t>
      </w:r>
    </w:p>
    <w:p>
      <w:pPr>
        <w:numPr>
          <w:ilvl w:val="0"/>
          <w:numId w:val="13"/>
        </w:numPr>
        <w:spacing w:line="360" w:lineRule="auto"/>
        <w:jc w:val="both"/>
        <w:rPr>
          <w:rFonts w:ascii="仿宋" w:hAnsi="仿宋" w:eastAsia="仿宋"/>
          <w:sz w:val="24"/>
          <w:szCs w:val="24"/>
          <w:lang w:val="zh-CN"/>
        </w:rPr>
      </w:pPr>
      <w:r>
        <w:rPr>
          <w:rFonts w:hint="eastAsia" w:ascii="仿宋" w:hAnsi="仿宋" w:eastAsia="仿宋"/>
          <w:sz w:val="24"/>
          <w:szCs w:val="24"/>
          <w:lang w:val="zh-CN"/>
        </w:rPr>
        <w:t>入院管理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支持医保患者按医保规定程序办理入院登记，同时拥有绿色通道及多途径入院功能。</w:t>
      </w:r>
    </w:p>
    <w:p>
      <w:pPr>
        <w:numPr>
          <w:ilvl w:val="0"/>
          <w:numId w:val="13"/>
        </w:numPr>
        <w:spacing w:line="360" w:lineRule="auto"/>
        <w:jc w:val="both"/>
        <w:rPr>
          <w:rFonts w:ascii="仿宋" w:hAnsi="仿宋" w:eastAsia="仿宋"/>
          <w:sz w:val="24"/>
          <w:szCs w:val="24"/>
          <w:lang w:val="zh-CN"/>
        </w:rPr>
      </w:pPr>
      <w:r>
        <w:rPr>
          <w:rFonts w:hint="eastAsia" w:ascii="仿宋" w:hAnsi="仿宋" w:eastAsia="仿宋"/>
          <w:sz w:val="24"/>
          <w:szCs w:val="24"/>
          <w:lang w:val="zh-CN"/>
        </w:rPr>
        <w:t>预交金管理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交纳预交金管理，打印预交金收据凭证。</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预交金日结并打印清单。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按照不同方式统计预交金并打印清单。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按照不同方式查询预交金并打印清单。</w:t>
      </w:r>
    </w:p>
    <w:p>
      <w:pPr>
        <w:numPr>
          <w:ilvl w:val="0"/>
          <w:numId w:val="13"/>
        </w:numPr>
        <w:spacing w:line="360" w:lineRule="auto"/>
        <w:jc w:val="both"/>
        <w:rPr>
          <w:rFonts w:ascii="仿宋" w:hAnsi="仿宋" w:eastAsia="仿宋"/>
          <w:sz w:val="24"/>
          <w:szCs w:val="24"/>
          <w:lang w:val="zh-CN"/>
        </w:rPr>
      </w:pPr>
      <w:r>
        <w:rPr>
          <w:rFonts w:hint="eastAsia" w:ascii="仿宋" w:hAnsi="仿宋" w:eastAsia="仿宋"/>
          <w:sz w:val="24"/>
          <w:szCs w:val="24"/>
          <w:lang w:val="zh-CN"/>
        </w:rPr>
        <w:t>病人费用管理</w:t>
      </w:r>
    </w:p>
    <w:p>
      <w:pPr>
        <w:spacing w:line="360" w:lineRule="auto"/>
        <w:ind w:firstLine="480"/>
        <w:rPr>
          <w:rFonts w:ascii="仿宋" w:hAnsi="仿宋" w:eastAsia="仿宋"/>
          <w:sz w:val="24"/>
          <w:szCs w:val="24"/>
          <w:lang w:val="zh-CN"/>
        </w:rPr>
      </w:pPr>
      <w:r>
        <w:rPr>
          <w:rFonts w:hint="eastAsia" w:ascii="仿宋" w:hAnsi="仿宋" w:eastAsia="仿宋"/>
          <w:sz w:val="24"/>
          <w:szCs w:val="24"/>
          <w:lang w:val="zh-CN"/>
        </w:rPr>
        <w:t>读取医嘱并计算费用。</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病人费用录入：具有单项费用录入和全项费用录入功能选择，可以从检查、诊察、治疗、药房、病房费用发生处录入或集中费用单据由收费处录入。</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病人结帐：具备病人住院期间的结算、出院总结算、床旁结算，以及病人出院后再召回病人功能。</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住院病人预交金使用最低限额警告功能。</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病人费用查询：提供病人/家属查询自己的各种费用使用情况。</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病人欠费和退费管理功能。</w:t>
      </w:r>
    </w:p>
    <w:p>
      <w:pPr>
        <w:numPr>
          <w:ilvl w:val="0"/>
          <w:numId w:val="13"/>
        </w:numPr>
        <w:spacing w:line="360" w:lineRule="auto"/>
        <w:jc w:val="both"/>
        <w:rPr>
          <w:rFonts w:ascii="仿宋" w:hAnsi="仿宋" w:eastAsia="仿宋"/>
          <w:sz w:val="24"/>
          <w:szCs w:val="24"/>
          <w:lang w:val="zh-CN"/>
        </w:rPr>
      </w:pPr>
      <w:r>
        <w:rPr>
          <w:rFonts w:hint="eastAsia" w:ascii="仿宋" w:hAnsi="仿宋" w:eastAsia="仿宋"/>
          <w:sz w:val="24"/>
          <w:szCs w:val="24"/>
          <w:lang w:val="zh-CN"/>
        </w:rPr>
        <w:t>出院管理</w:t>
      </w:r>
    </w:p>
    <w:p>
      <w:pPr>
        <w:spacing w:line="360" w:lineRule="auto"/>
        <w:ind w:firstLine="480"/>
        <w:rPr>
          <w:rFonts w:ascii="仿宋" w:hAnsi="仿宋" w:eastAsia="仿宋"/>
          <w:sz w:val="24"/>
          <w:szCs w:val="24"/>
          <w:lang w:val="zh-CN"/>
        </w:rPr>
      </w:pPr>
      <w:r>
        <w:rPr>
          <w:rFonts w:hint="eastAsia" w:ascii="仿宋" w:hAnsi="仿宋" w:eastAsia="仿宋"/>
          <w:sz w:val="24"/>
          <w:szCs w:val="24"/>
          <w:lang w:val="zh-CN"/>
        </w:rPr>
        <w:t>出院登记。</w:t>
      </w:r>
    </w:p>
    <w:p>
      <w:pPr>
        <w:spacing w:line="360" w:lineRule="auto"/>
        <w:ind w:firstLine="480"/>
        <w:rPr>
          <w:rFonts w:ascii="仿宋" w:hAnsi="仿宋" w:eastAsia="仿宋"/>
          <w:sz w:val="24"/>
          <w:szCs w:val="24"/>
          <w:lang w:val="zh-CN"/>
        </w:rPr>
      </w:pPr>
      <w:r>
        <w:rPr>
          <w:rFonts w:hint="eastAsia" w:ascii="仿宋" w:hAnsi="仿宋" w:eastAsia="仿宋"/>
          <w:sz w:val="24"/>
          <w:szCs w:val="24"/>
          <w:lang w:val="zh-CN"/>
        </w:rPr>
        <w:t>出院召回。</w:t>
      </w:r>
    </w:p>
    <w:p>
      <w:pPr>
        <w:spacing w:line="360" w:lineRule="auto"/>
        <w:ind w:firstLine="480"/>
        <w:rPr>
          <w:rFonts w:ascii="仿宋" w:hAnsi="仿宋" w:eastAsia="仿宋"/>
          <w:sz w:val="24"/>
          <w:szCs w:val="24"/>
          <w:lang w:val="zh-CN"/>
        </w:rPr>
      </w:pPr>
      <w:r>
        <w:rPr>
          <w:rFonts w:hint="eastAsia" w:ascii="仿宋" w:hAnsi="仿宋" w:eastAsia="仿宋"/>
          <w:sz w:val="24"/>
          <w:szCs w:val="24"/>
          <w:lang w:val="zh-CN"/>
        </w:rPr>
        <w:t>出入院统计。</w:t>
      </w:r>
    </w:p>
    <w:p>
      <w:pPr>
        <w:numPr>
          <w:ilvl w:val="0"/>
          <w:numId w:val="13"/>
        </w:numPr>
        <w:spacing w:line="360" w:lineRule="auto"/>
        <w:jc w:val="both"/>
        <w:rPr>
          <w:rFonts w:ascii="仿宋" w:hAnsi="仿宋" w:eastAsia="仿宋"/>
          <w:sz w:val="24"/>
          <w:szCs w:val="24"/>
          <w:lang w:val="zh-CN"/>
        </w:rPr>
      </w:pPr>
      <w:r>
        <w:rPr>
          <w:rFonts w:hint="eastAsia" w:ascii="仿宋" w:hAnsi="仿宋" w:eastAsia="仿宋"/>
          <w:sz w:val="24"/>
          <w:szCs w:val="24"/>
          <w:lang w:val="zh-CN"/>
        </w:rPr>
        <w:t>住院财务管理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日结账：包括当日病人预交金、入院病人预交费、在院病人各项费用、出院病人结帐和退款等统计汇总。</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旬、月、季、年结帐：包括住院病人预交金、出院病人结帐等帐务处理。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住院财务分析：应具有住院收费财务管理的月、季、年度和不同年、季、月度的收费经济分析评价功能。</w:t>
      </w:r>
    </w:p>
    <w:p>
      <w:pPr>
        <w:numPr>
          <w:ilvl w:val="0"/>
          <w:numId w:val="13"/>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住院收费科室工作量统计</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月科室工作量统计：完成月科室、病房、药房、检查治疗科室工作量统计和费用汇总工作。</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年科室工作量统计：完成年度全院、科室、病房、药房、检查治疗科室工作量统计、费用汇总功能。</w:t>
      </w:r>
    </w:p>
    <w:p>
      <w:pPr>
        <w:numPr>
          <w:ilvl w:val="0"/>
          <w:numId w:val="13"/>
        </w:numPr>
        <w:spacing w:line="360" w:lineRule="auto"/>
        <w:jc w:val="both"/>
        <w:rPr>
          <w:rFonts w:ascii="仿宋" w:hAnsi="仿宋" w:eastAsia="仿宋"/>
          <w:sz w:val="24"/>
          <w:szCs w:val="24"/>
          <w:lang w:val="zh-CN"/>
        </w:rPr>
      </w:pPr>
      <w:r>
        <w:rPr>
          <w:rFonts w:hint="eastAsia" w:ascii="仿宋" w:hAnsi="仿宋" w:eastAsia="仿宋"/>
          <w:sz w:val="24"/>
          <w:szCs w:val="24"/>
          <w:lang w:val="zh-CN"/>
        </w:rPr>
        <w:t>查询统计功能</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包括药品、诊疗项目（名称、用量、使用者名称、单价等相关信息）查询、科室收入统计、患者住院信息查询、病人查询、结算查询。</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住院发票查询。</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病人查询：查询患者的住院信息、打印清单。</w:t>
      </w:r>
    </w:p>
    <w:p>
      <w:pPr>
        <w:numPr>
          <w:ilvl w:val="0"/>
          <w:numId w:val="13"/>
        </w:numPr>
        <w:spacing w:line="360" w:lineRule="auto"/>
        <w:jc w:val="both"/>
        <w:rPr>
          <w:rFonts w:ascii="仿宋" w:hAnsi="仿宋" w:eastAsia="仿宋"/>
          <w:sz w:val="24"/>
          <w:szCs w:val="24"/>
          <w:lang w:val="zh-CN"/>
        </w:rPr>
      </w:pPr>
      <w:r>
        <w:rPr>
          <w:rFonts w:hint="eastAsia" w:ascii="仿宋" w:hAnsi="仿宋" w:eastAsia="仿宋"/>
          <w:sz w:val="24"/>
          <w:szCs w:val="24"/>
          <w:lang w:val="zh-CN"/>
        </w:rPr>
        <w:t>打印输出功能</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打印各种统计查询内容。</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打印病人报销凭证和住院费用清单：凭证格式必须符合财政和卫生行政部门的统一要求或承认的凭证格式和报销收费科目，符合会计制度的规定，住院费用清单需要满足有关部门的要求：</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1）打印日结帐汇总表。</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2）打印日结帐明细表。</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3）打印月、旬结帐报表。</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4）打印科室核算月统计报表。</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5）打印病人预交金清单。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6）打印病人欠款清单。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7）打印月、季、年收费统计报表</w:t>
      </w:r>
    </w:p>
    <w:p>
      <w:pPr>
        <w:numPr>
          <w:ilvl w:val="0"/>
          <w:numId w:val="13"/>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床位管理功能</w:t>
      </w:r>
      <w:r>
        <w:rPr>
          <w:rFonts w:hint="eastAsia" w:ascii="仿宋" w:hAnsi="仿宋" w:eastAsia="仿宋"/>
          <w:sz w:val="24"/>
          <w:szCs w:val="24"/>
          <w:lang w:val="zh-CN" w:eastAsia="zh-CN"/>
        </w:rPr>
        <w:tab/>
      </w:r>
      <w:r>
        <w:rPr>
          <w:rFonts w:hint="eastAsia" w:ascii="仿宋" w:hAnsi="仿宋" w:eastAsia="仿宋"/>
          <w:sz w:val="24"/>
          <w:szCs w:val="24"/>
          <w:lang w:val="zh-CN" w:eastAsia="zh-CN"/>
        </w:rPr>
        <w:t>具有增加、删除、定义床位属性功能</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处理病人选床、转床、转科功能；</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打印床位日报表。</w:t>
      </w:r>
    </w:p>
    <w:p>
      <w:pPr>
        <w:pStyle w:val="9"/>
        <w:numPr>
          <w:ilvl w:val="0"/>
          <w:numId w:val="0"/>
        </w:numPr>
        <w:spacing w:line="360" w:lineRule="auto"/>
        <w:ind w:left="3"/>
        <w:rPr>
          <w:sz w:val="24"/>
          <w:szCs w:val="24"/>
          <w:lang w:eastAsia="zh-CN"/>
        </w:rPr>
      </w:pPr>
      <w:r>
        <w:rPr>
          <w:rFonts w:hint="eastAsia"/>
          <w:sz w:val="24"/>
          <w:szCs w:val="24"/>
          <w:lang w:eastAsia="zh-CN"/>
        </w:rPr>
        <w:t>药库管理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是用于协助医院对药品仓库管理的计算机应用程序，其主要任务是对西药库、中药库的采购入库、采购退货、调拔出库、定期盘点管理、药品会计核算等信息的管理。</w:t>
      </w:r>
    </w:p>
    <w:p>
      <w:pPr>
        <w:numPr>
          <w:ilvl w:val="0"/>
          <w:numId w:val="14"/>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录入或自动获取药品名称、规格、批号、价格、生产厂家、供货商、包装单位、发药单位等药品信息以及医疗保险信息中的医疗保险类别和处方药标志等。</w:t>
      </w:r>
    </w:p>
    <w:p>
      <w:pPr>
        <w:numPr>
          <w:ilvl w:val="0"/>
          <w:numId w:val="14"/>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提供药品入库、出库、调价、调拨、盘点、报损丢失、退药等功能。</w:t>
      </w:r>
    </w:p>
    <w:p>
      <w:pPr>
        <w:numPr>
          <w:ilvl w:val="0"/>
          <w:numId w:val="14"/>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提供特殊药品入库、出库管理功能（如：赠送、实验药品等）。</w:t>
      </w:r>
    </w:p>
    <w:p>
      <w:pPr>
        <w:numPr>
          <w:ilvl w:val="0"/>
          <w:numId w:val="14"/>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提供药品库存的日结、月结、年结功能，并能校对帐目及库存的平衡关系。</w:t>
      </w:r>
    </w:p>
    <w:p>
      <w:pPr>
        <w:numPr>
          <w:ilvl w:val="0"/>
          <w:numId w:val="14"/>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可随时生成各种药品的入库明细、出库明细、盘点明细、调价明细、调拨明细、报损明细、退药明细以及上面各项的汇总数据。</w:t>
      </w:r>
    </w:p>
    <w:p>
      <w:pPr>
        <w:numPr>
          <w:ilvl w:val="0"/>
          <w:numId w:val="14"/>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可追踪各个药品的明细流水帐，可随时查验任一品种的库存变化入、出、存明细信息。</w:t>
      </w:r>
    </w:p>
    <w:p>
      <w:pPr>
        <w:numPr>
          <w:ilvl w:val="0"/>
          <w:numId w:val="14"/>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自动接收科室领药单功能。</w:t>
      </w:r>
    </w:p>
    <w:p>
      <w:pPr>
        <w:numPr>
          <w:ilvl w:val="0"/>
          <w:numId w:val="14"/>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提供药品的核算功能，可统计分析各药房的消耗、库存。</w:t>
      </w:r>
    </w:p>
    <w:p>
      <w:pPr>
        <w:numPr>
          <w:ilvl w:val="0"/>
          <w:numId w:val="14"/>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可自动调整各种单据的输出内容和格式，并有操作员签字栏。</w:t>
      </w:r>
    </w:p>
    <w:p>
      <w:pPr>
        <w:numPr>
          <w:ilvl w:val="0"/>
          <w:numId w:val="14"/>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提供药品的有效期管理、可自动报警和统计过期药品的品种数和金额，并有库存量提示功能。</w:t>
      </w:r>
    </w:p>
    <w:p>
      <w:pPr>
        <w:numPr>
          <w:ilvl w:val="0"/>
          <w:numId w:val="14"/>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支持药品批次管理，不是批号。</w:t>
      </w:r>
    </w:p>
    <w:p>
      <w:pPr>
        <w:pStyle w:val="9"/>
        <w:numPr>
          <w:ilvl w:val="0"/>
          <w:numId w:val="0"/>
        </w:numPr>
        <w:spacing w:line="360" w:lineRule="auto"/>
        <w:ind w:left="3"/>
        <w:rPr>
          <w:sz w:val="24"/>
          <w:szCs w:val="24"/>
          <w:lang w:eastAsia="zh-CN"/>
        </w:rPr>
      </w:pPr>
      <w:r>
        <w:rPr>
          <w:rFonts w:hint="eastAsia"/>
          <w:sz w:val="24"/>
          <w:szCs w:val="24"/>
          <w:lang w:eastAsia="zh-CN"/>
        </w:rPr>
        <w:t>住院药房管理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用于协助医院对住院药房管理的计算机应用程序，其主要任务是对西药、成药的调拔入库、定期盘点管理、药品调价、药品会计核算等信息的管理。</w:t>
      </w:r>
    </w:p>
    <w:p>
      <w:pPr>
        <w:numPr>
          <w:ilvl w:val="0"/>
          <w:numId w:val="15"/>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可自动获取药品名称、规格、批号、价格、生产厂家、药品来源、药品剂型、属性、类别和住院患者等药品基本信息。</w:t>
      </w:r>
    </w:p>
    <w:p>
      <w:pPr>
        <w:numPr>
          <w:ilvl w:val="0"/>
          <w:numId w:val="15"/>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具有分别按患者的临时医嘱和长期医嘱执行确认上帐功能，并自动生成针剂、片剂、输液、和其它等类型的摆药单和统领单，同时追踪各药品的库存及患者的押金等，打印中草药处方单，并实现对特殊医嘱、隔日医嘱等的处理。</w:t>
      </w:r>
    </w:p>
    <w:p>
      <w:pPr>
        <w:numPr>
          <w:ilvl w:val="0"/>
          <w:numId w:val="15"/>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提供查询和打印药品的出库明细功能。</w:t>
      </w:r>
    </w:p>
    <w:p>
      <w:pPr>
        <w:numPr>
          <w:ilvl w:val="0"/>
          <w:numId w:val="15"/>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支持多个住院药房管理。</w:t>
      </w:r>
    </w:p>
    <w:p>
      <w:pPr>
        <w:pStyle w:val="9"/>
        <w:numPr>
          <w:ilvl w:val="0"/>
          <w:numId w:val="0"/>
        </w:numPr>
        <w:spacing w:line="360" w:lineRule="auto"/>
        <w:ind w:left="3"/>
        <w:rPr>
          <w:sz w:val="24"/>
          <w:szCs w:val="24"/>
          <w:lang w:eastAsia="zh-CN"/>
        </w:rPr>
      </w:pPr>
      <w:r>
        <w:rPr>
          <w:rFonts w:hint="eastAsia"/>
          <w:sz w:val="24"/>
          <w:szCs w:val="24"/>
          <w:lang w:eastAsia="zh-CN"/>
        </w:rPr>
        <w:t>门诊医生管理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门诊医生管理是协助门诊医生完成日常医疗工作的计算机应用程序。其主要任务是处理门诊记录、诊断、处方、检查、检验、治疗处置、手术和卫生材料等信息。</w:t>
      </w:r>
    </w:p>
    <w:p>
      <w:pPr>
        <w:numPr>
          <w:ilvl w:val="0"/>
          <w:numId w:val="16"/>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自动获取或提供如下信息</w:t>
      </w:r>
    </w:p>
    <w:p>
      <w:pPr>
        <w:numPr>
          <w:ilvl w:val="0"/>
          <w:numId w:val="17"/>
        </w:numPr>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病人基本信息：就诊卡号、病案号、姓名、性别、年龄、医保费用类别等。</w:t>
      </w:r>
    </w:p>
    <w:p>
      <w:pPr>
        <w:numPr>
          <w:ilvl w:val="0"/>
          <w:numId w:val="17"/>
        </w:numPr>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诊疗相关信息：病史资料、主诉、现病史、既往史等。</w:t>
      </w:r>
    </w:p>
    <w:p>
      <w:pPr>
        <w:numPr>
          <w:ilvl w:val="0"/>
          <w:numId w:val="17"/>
        </w:numPr>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医生信息：科室、姓名、职称、诊疗时间等。</w:t>
      </w:r>
    </w:p>
    <w:p>
      <w:pPr>
        <w:numPr>
          <w:ilvl w:val="0"/>
          <w:numId w:val="17"/>
        </w:numPr>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费用信息：项目名称、规格、价格、医保费用类别、数量等。</w:t>
      </w:r>
    </w:p>
    <w:p>
      <w:pPr>
        <w:numPr>
          <w:ilvl w:val="0"/>
          <w:numId w:val="17"/>
        </w:numPr>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合理用药信息：常规用法及剂量、费用、功能及适应症、不良反应及禁忌症等。</w:t>
      </w:r>
    </w:p>
    <w:p>
      <w:pPr>
        <w:numPr>
          <w:ilvl w:val="0"/>
          <w:numId w:val="16"/>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支持医生处理门诊记录、检查、检验、诊断、处方、治疗处置、卫生材料、手术、收入院等诊疗活动。</w:t>
      </w:r>
    </w:p>
    <w:p>
      <w:pPr>
        <w:numPr>
          <w:ilvl w:val="0"/>
          <w:numId w:val="16"/>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提供处方的自动监测和咨询功能：药品剂量、药品相互作用、配伍禁忌、适应症等。</w:t>
      </w:r>
    </w:p>
    <w:p>
      <w:pPr>
        <w:numPr>
          <w:ilvl w:val="0"/>
          <w:numId w:val="16"/>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提供协定方建立、维护、调取功能</w:t>
      </w:r>
    </w:p>
    <w:p>
      <w:pPr>
        <w:numPr>
          <w:ilvl w:val="0"/>
          <w:numId w:val="16"/>
        </w:numPr>
        <w:spacing w:line="360" w:lineRule="auto"/>
        <w:jc w:val="both"/>
        <w:rPr>
          <w:rFonts w:ascii="仿宋" w:hAnsi="仿宋" w:eastAsia="仿宋"/>
          <w:sz w:val="24"/>
          <w:szCs w:val="24"/>
          <w:lang w:val="zh-CN"/>
        </w:rPr>
      </w:pPr>
      <w:r>
        <w:rPr>
          <w:rFonts w:hint="eastAsia" w:ascii="仿宋" w:hAnsi="仿宋" w:eastAsia="仿宋"/>
          <w:sz w:val="24"/>
          <w:szCs w:val="24"/>
          <w:lang w:val="zh-CN"/>
        </w:rPr>
        <w:t>提供门诊日志功能</w:t>
      </w:r>
    </w:p>
    <w:p>
      <w:pPr>
        <w:numPr>
          <w:ilvl w:val="0"/>
          <w:numId w:val="16"/>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提供医院、科室、医生常用临床项目字典，医嘱模板及相应编辑功能。</w:t>
      </w:r>
    </w:p>
    <w:p>
      <w:pPr>
        <w:numPr>
          <w:ilvl w:val="0"/>
          <w:numId w:val="16"/>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自动审核录入医嘱的完整性，记录医生姓名及时间，一经确认不得更改，同时提供医嘱作废功能。</w:t>
      </w:r>
    </w:p>
    <w:p>
      <w:pPr>
        <w:numPr>
          <w:ilvl w:val="0"/>
          <w:numId w:val="16"/>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所有医嘱均提供备注功能，医师可以输入相关注意事项。</w:t>
      </w:r>
    </w:p>
    <w:p>
      <w:pPr>
        <w:numPr>
          <w:ilvl w:val="0"/>
          <w:numId w:val="16"/>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支持医生查询相关资料：历次就诊信息、检验检查结果。</w:t>
      </w:r>
    </w:p>
    <w:p>
      <w:pPr>
        <w:numPr>
          <w:ilvl w:val="0"/>
          <w:numId w:val="16"/>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自动核算就诊费用，支持医保费用管理。</w:t>
      </w:r>
    </w:p>
    <w:p>
      <w:pPr>
        <w:numPr>
          <w:ilvl w:val="0"/>
          <w:numId w:val="16"/>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提供打印功能，如处方、检查检验申请单等，打印结果由相关医师签字生效。</w:t>
      </w:r>
    </w:p>
    <w:p>
      <w:pPr>
        <w:numPr>
          <w:ilvl w:val="0"/>
          <w:numId w:val="16"/>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提供医生权限管理，如部门、等级、功能等。</w:t>
      </w:r>
    </w:p>
    <w:p>
      <w:pPr>
        <w:numPr>
          <w:ilvl w:val="0"/>
          <w:numId w:val="16"/>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自动向有关部门传送检查、检验、诊断、处方、治疗处置、手术、收住院等诊疗信息，以及相关的费用信息，保证医嘱指令顺利执行。</w:t>
      </w:r>
    </w:p>
    <w:p>
      <w:pPr>
        <w:numPr>
          <w:ilvl w:val="0"/>
          <w:numId w:val="16"/>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门诊诊间同时支持开西医诊断和中医诊断，并且支持能同时开40个诊断</w:t>
      </w:r>
    </w:p>
    <w:p>
      <w:pPr>
        <w:numPr>
          <w:ilvl w:val="0"/>
          <w:numId w:val="16"/>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门诊诊间瀑布式设计，病历、诊断、处方、检查、检验开具时无需切换界面。</w:t>
      </w:r>
    </w:p>
    <w:p>
      <w:pPr>
        <w:numPr>
          <w:ilvl w:val="0"/>
          <w:numId w:val="16"/>
        </w:numPr>
        <w:spacing w:line="360" w:lineRule="auto"/>
        <w:jc w:val="both"/>
        <w:rPr>
          <w:rFonts w:ascii="仿宋" w:hAnsi="仿宋" w:eastAsia="仿宋"/>
          <w:sz w:val="24"/>
          <w:szCs w:val="24"/>
          <w:lang w:val="zh-CN"/>
        </w:rPr>
      </w:pPr>
      <w:r>
        <w:rPr>
          <w:rFonts w:hint="eastAsia" w:ascii="仿宋" w:hAnsi="仿宋" w:eastAsia="仿宋"/>
          <w:sz w:val="24"/>
          <w:szCs w:val="24"/>
          <w:lang w:val="zh-CN"/>
        </w:rPr>
        <w:t>文书表单模块化。</w:t>
      </w:r>
    </w:p>
    <w:p>
      <w:pPr>
        <w:pStyle w:val="9"/>
        <w:numPr>
          <w:ilvl w:val="0"/>
          <w:numId w:val="0"/>
        </w:numPr>
        <w:spacing w:line="360" w:lineRule="auto"/>
        <w:ind w:left="3"/>
        <w:rPr>
          <w:sz w:val="24"/>
          <w:szCs w:val="24"/>
        </w:rPr>
      </w:pPr>
      <w:r>
        <w:rPr>
          <w:rFonts w:hint="eastAsia"/>
          <w:sz w:val="24"/>
          <w:szCs w:val="24"/>
        </w:rPr>
        <w:t>住院医生站管理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住院医生站管理是协助医生完成病房日常医疗工作的计算机应用程序。其主要任务是处理诊断、处方、检查、检验、治疗处置、手术、护理、卫生材料以及会诊、转科、出院等信息。</w:t>
      </w:r>
    </w:p>
    <w:p>
      <w:pPr>
        <w:numPr>
          <w:ilvl w:val="0"/>
          <w:numId w:val="18"/>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自动获取或提供如下信息：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医生主管范围内病人基本信息：姓名、性别、年龄、住院病历号、病区、床号、入院诊断、病情状态、护理等级、费用情况等。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诊疗相关信息：病史资料、主诉、现病史、诊疗史、体格检查等。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医生信息：科室、姓名、职称、诊疗时间等。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费用信息：项目名称、规格、价格、医保费用类别、数量等。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合理用药信息：常规用法及剂量、费用、功能及适应症、不良反应及禁忌症等。</w:t>
      </w:r>
    </w:p>
    <w:p>
      <w:pPr>
        <w:numPr>
          <w:ilvl w:val="0"/>
          <w:numId w:val="18"/>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支持医生处理医嘱：检查、检验、处方、治疗处置、卫生材料、手术、护理、会诊、转科、出院等。</w:t>
      </w:r>
    </w:p>
    <w:p>
      <w:pPr>
        <w:numPr>
          <w:ilvl w:val="0"/>
          <w:numId w:val="18"/>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提供医院、科室、医生常用临床项目字典，医嘱组套、模板及相应编辑功能。。</w:t>
      </w:r>
    </w:p>
    <w:p>
      <w:pPr>
        <w:numPr>
          <w:ilvl w:val="0"/>
          <w:numId w:val="18"/>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提供药品相互作用、配伍禁忌、适应症设置</w:t>
      </w:r>
    </w:p>
    <w:p>
      <w:pPr>
        <w:numPr>
          <w:ilvl w:val="0"/>
          <w:numId w:val="18"/>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提供长期和临时医嘱处理功能，包括医嘱的开立、停止和作废。</w:t>
      </w:r>
    </w:p>
    <w:p>
      <w:pPr>
        <w:numPr>
          <w:ilvl w:val="0"/>
          <w:numId w:val="18"/>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支持医生查询相关资料：历次门诊、住院信息，检验检查结果，并提供比较功能。提供医嘱执行情况、病床使用情况、处方、患者费用明细等查询。</w:t>
      </w:r>
    </w:p>
    <w:p>
      <w:pPr>
        <w:numPr>
          <w:ilvl w:val="0"/>
          <w:numId w:val="18"/>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支持医生按照国际疾病分类标准下达诊断（入院、出院、术前、术后、转入、转出等）。支持疾病编码、拼音、汉字等多重检索。</w:t>
      </w:r>
    </w:p>
    <w:p>
      <w:pPr>
        <w:numPr>
          <w:ilvl w:val="0"/>
          <w:numId w:val="18"/>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自动审核录入医嘱的完整性，提供对所有医嘱进行审核确认功能，根据确认后的医嘱自动定时产生用药信息和医嘱执行单，记录医生姓名及时间，一经确认不得更改。</w:t>
      </w:r>
    </w:p>
    <w:p>
      <w:pPr>
        <w:numPr>
          <w:ilvl w:val="0"/>
          <w:numId w:val="18"/>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所有医嘱均提供备注功能，医师可以输入相关注意事项。</w:t>
      </w:r>
    </w:p>
    <w:p>
      <w:pPr>
        <w:numPr>
          <w:ilvl w:val="0"/>
          <w:numId w:val="18"/>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支持所有医嘱和申请单打印功能，符合有关医疗文件的格式要求，必须提供医生、操作员签字栏，打印结果由处方医师签字生效。</w:t>
      </w:r>
    </w:p>
    <w:p>
      <w:pPr>
        <w:numPr>
          <w:ilvl w:val="0"/>
          <w:numId w:val="18"/>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提供医生权限管理，如部门、等级、功能等。</w:t>
      </w:r>
    </w:p>
    <w:p>
      <w:pPr>
        <w:numPr>
          <w:ilvl w:val="0"/>
          <w:numId w:val="18"/>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自动核算各项费用，支持医保费用管理。</w:t>
      </w:r>
    </w:p>
    <w:p>
      <w:pPr>
        <w:numPr>
          <w:ilvl w:val="0"/>
          <w:numId w:val="18"/>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自动向有关部门传送检查、检验、诊断、处方、治疗处置、手术、转科、出院等诊疗信息，以及相关的费用信息，保证医嘱指令顺利执行。</w:t>
      </w:r>
    </w:p>
    <w:p>
      <w:pPr>
        <w:numPr>
          <w:ilvl w:val="0"/>
          <w:numId w:val="18"/>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医嘱现不需要每天审核，新医嘱只需要审核一次。</w:t>
      </w:r>
    </w:p>
    <w:p>
      <w:pPr>
        <w:numPr>
          <w:ilvl w:val="0"/>
          <w:numId w:val="18"/>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医嘱补发送功能，明天发送等。</w:t>
      </w:r>
    </w:p>
    <w:p>
      <w:pPr>
        <w:pStyle w:val="9"/>
        <w:numPr>
          <w:ilvl w:val="0"/>
          <w:numId w:val="0"/>
        </w:numPr>
        <w:spacing w:line="360" w:lineRule="auto"/>
        <w:ind w:left="3"/>
        <w:rPr>
          <w:sz w:val="24"/>
          <w:szCs w:val="24"/>
          <w:lang w:eastAsia="zh-CN"/>
        </w:rPr>
      </w:pPr>
      <w:r>
        <w:rPr>
          <w:rFonts w:hint="eastAsia"/>
          <w:sz w:val="24"/>
          <w:szCs w:val="24"/>
          <w:lang w:eastAsia="zh-CN"/>
        </w:rPr>
        <w:t>住院护士</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住院护士是协助病房护士对住院患者完成日常的护理工作的计算机应用程序。其主要任务是协助护士核对并处理医生下达的长期和临时医嘱，对医嘱执行情况进行管理。同时协助护士完成护理及病区床位管理等日常工作。</w:t>
      </w:r>
    </w:p>
    <w:p>
      <w:pPr>
        <w:numPr>
          <w:ilvl w:val="0"/>
          <w:numId w:val="19"/>
        </w:numPr>
        <w:spacing w:line="360" w:lineRule="auto"/>
        <w:jc w:val="both"/>
        <w:rPr>
          <w:rFonts w:ascii="仿宋" w:hAnsi="仿宋" w:eastAsia="仿宋"/>
          <w:sz w:val="24"/>
          <w:szCs w:val="24"/>
          <w:lang w:val="zh-CN"/>
        </w:rPr>
      </w:pPr>
      <w:r>
        <w:rPr>
          <w:rFonts w:hint="eastAsia" w:ascii="仿宋" w:hAnsi="仿宋" w:eastAsia="仿宋"/>
          <w:sz w:val="24"/>
          <w:szCs w:val="24"/>
          <w:lang w:val="zh-CN"/>
        </w:rPr>
        <w:t>床位管理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病区床位使用情况一览表（显示床号、病历号、姓名、性别、年龄、诊断、病情、护理等级、陪护、饮食情况）。</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病区一次性卫生材料消耗量查询，卫生材料申请单打印。</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床位安排界面直观显示在院人数、出院申请人数。</w:t>
      </w:r>
    </w:p>
    <w:p>
      <w:pPr>
        <w:numPr>
          <w:ilvl w:val="0"/>
          <w:numId w:val="19"/>
        </w:numPr>
        <w:spacing w:line="360" w:lineRule="auto"/>
        <w:jc w:val="both"/>
        <w:rPr>
          <w:rFonts w:ascii="仿宋" w:hAnsi="仿宋" w:eastAsia="仿宋"/>
          <w:sz w:val="24"/>
          <w:szCs w:val="24"/>
          <w:lang w:val="zh-CN"/>
        </w:rPr>
      </w:pPr>
      <w:r>
        <w:rPr>
          <w:rFonts w:hint="eastAsia" w:ascii="仿宋" w:hAnsi="仿宋" w:eastAsia="仿宋"/>
          <w:sz w:val="24"/>
          <w:szCs w:val="24"/>
          <w:lang w:val="zh-CN"/>
        </w:rPr>
        <w:t>医嘱处理</w:t>
      </w:r>
    </w:p>
    <w:p>
      <w:pPr>
        <w:spacing w:line="360" w:lineRule="auto"/>
        <w:ind w:firstLine="480"/>
        <w:rPr>
          <w:rFonts w:ascii="仿宋" w:hAnsi="仿宋" w:eastAsia="仿宋"/>
          <w:sz w:val="24"/>
          <w:szCs w:val="24"/>
          <w:lang w:val="zh-CN"/>
        </w:rPr>
      </w:pPr>
      <w:r>
        <w:rPr>
          <w:rFonts w:hint="eastAsia" w:ascii="仿宋" w:hAnsi="仿宋" w:eastAsia="仿宋"/>
          <w:sz w:val="24"/>
          <w:szCs w:val="24"/>
          <w:lang w:val="zh-CN"/>
        </w:rPr>
        <w:t>医嘱录入。</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审核医嘱（新开立、停止、作废），查询、打印病区医嘱审核处理情况</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记录病人生命体征及相关项目</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打印长期及临时医嘱单（具备续打功能），重整长期医嘱。</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打印、查询病区对药单（领药单），支持对药单分类维护。</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打印、查询病区长期、临时医嘱治疗单（口服、注射、输液、辅治疗等），支持治疗单分类维护。打印、查询输液记录卡及瓶签。</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长期及临时医嘱执行确认。</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填写药品皮试结果。</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打印检查化验申请单。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打印病案首页。</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医嘱记录查询。</w:t>
      </w:r>
    </w:p>
    <w:p>
      <w:pPr>
        <w:numPr>
          <w:ilvl w:val="0"/>
          <w:numId w:val="19"/>
        </w:numPr>
        <w:spacing w:line="360" w:lineRule="auto"/>
        <w:jc w:val="both"/>
        <w:rPr>
          <w:rFonts w:ascii="仿宋" w:hAnsi="仿宋" w:eastAsia="仿宋"/>
          <w:sz w:val="24"/>
          <w:szCs w:val="24"/>
          <w:lang w:val="zh-CN"/>
        </w:rPr>
      </w:pPr>
      <w:r>
        <w:rPr>
          <w:rFonts w:hint="eastAsia" w:ascii="仿宋" w:hAnsi="仿宋" w:eastAsia="仿宋"/>
          <w:sz w:val="24"/>
          <w:szCs w:val="24"/>
          <w:lang w:val="zh-CN"/>
        </w:rPr>
        <w:t>费用管理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护士站收费（一次性材料、治疗费等），具备模板功能。</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停止及作废医嘱退费申请。</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病区（病人）退费情况一览表。</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住院费用清单（含每日费用清单）查询打印。</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查询病区欠费病人清单，打印催缴通知单。</w:t>
      </w:r>
    </w:p>
    <w:p>
      <w:pPr>
        <w:pStyle w:val="9"/>
        <w:numPr>
          <w:ilvl w:val="0"/>
          <w:numId w:val="0"/>
        </w:numPr>
        <w:spacing w:line="360" w:lineRule="auto"/>
        <w:ind w:left="3"/>
        <w:rPr>
          <w:sz w:val="24"/>
          <w:szCs w:val="24"/>
          <w:lang w:eastAsia="zh-CN"/>
        </w:rPr>
      </w:pPr>
      <w:r>
        <w:rPr>
          <w:rFonts w:hint="eastAsia"/>
          <w:sz w:val="24"/>
          <w:szCs w:val="24"/>
          <w:lang w:eastAsia="zh-CN"/>
        </w:rPr>
        <w:t>院长查询</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院长查询是指为医院领导掌握医院运行状况而提供数据查询、分析的计算机应用程序。该包括：日常事务、财务信息、医疗信息、药品信息、职工信息、病员信息等功能，从医院信息系统中加工处理出有关医院管理的医、教、研和人、财、物分析决策信息，以便为院长及各级管理者决策提供依据。</w:t>
      </w:r>
    </w:p>
    <w:p>
      <w:pPr>
        <w:numPr>
          <w:ilvl w:val="0"/>
          <w:numId w:val="20"/>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门诊报表：患者费用汇总表、门诊日结汇总表、科室收费汇总表、医生收费汇总表、门诊挂号流水报表、收费流水报表</w:t>
      </w:r>
    </w:p>
    <w:p>
      <w:pPr>
        <w:numPr>
          <w:ilvl w:val="0"/>
          <w:numId w:val="20"/>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药房报表：药房入库明细表、药房结存报表、药房入库汇总报表、药房出库汇总报表、药房出库明细表、药房进销存报表、药房发药明细表、药房发药汇总表、药房库存占用情况表</w:t>
      </w:r>
    </w:p>
    <w:p>
      <w:pPr>
        <w:numPr>
          <w:ilvl w:val="0"/>
          <w:numId w:val="20"/>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药库报表：药库入库汇总表、药库入库明细表、药库出库汇总表、药库出库明细表、药库进销存报表、药库结存报表</w:t>
      </w:r>
    </w:p>
    <w:p>
      <w:pPr>
        <w:numPr>
          <w:ilvl w:val="0"/>
          <w:numId w:val="20"/>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住院报表：住院预收押金报表；住院押金按病人报表、医护工作量报表、收入汇总报表、病区收费明细报表、病区汇总报表、收费按执行科室报表、出院费用按病人报表、出院病人费用项目报表、出院结算报表、住院日结汇总报表</w:t>
      </w:r>
    </w:p>
    <w:p>
      <w:pPr>
        <w:pStyle w:val="9"/>
        <w:numPr>
          <w:ilvl w:val="0"/>
          <w:numId w:val="0"/>
        </w:numPr>
        <w:spacing w:line="360" w:lineRule="auto"/>
        <w:ind w:left="3"/>
        <w:rPr>
          <w:sz w:val="24"/>
          <w:szCs w:val="24"/>
          <w:lang w:eastAsia="zh-CN"/>
        </w:rPr>
      </w:pPr>
      <w:r>
        <w:rPr>
          <w:rFonts w:hint="eastAsia"/>
          <w:sz w:val="24"/>
          <w:szCs w:val="24"/>
          <w:lang w:eastAsia="zh-CN"/>
        </w:rPr>
        <w:t>医技管理系统(含住院及门诊)</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医技终端确认：对传输到医技终端的医嘱进行确认执行，同时扣除费用。</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医技终端退费：对已确认的医嘱进行退费，且只能退在本科收的费用。</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终端批费查询：查询医嘱的终端确认及收退费情况。</w:t>
      </w:r>
    </w:p>
    <w:p>
      <w:pPr>
        <w:pStyle w:val="8"/>
        <w:rPr>
          <w:lang w:eastAsia="zh-CN"/>
        </w:rPr>
      </w:pPr>
      <w:r>
        <w:rPr>
          <w:rFonts w:hint="eastAsia"/>
          <w:lang w:eastAsia="zh-CN"/>
        </w:rPr>
        <w:t>电子病历管理系统（EMR）</w:t>
      </w:r>
    </w:p>
    <w:p>
      <w:pPr>
        <w:pStyle w:val="9"/>
        <w:numPr>
          <w:ilvl w:val="0"/>
          <w:numId w:val="0"/>
        </w:numPr>
        <w:spacing w:line="360" w:lineRule="auto"/>
        <w:ind w:left="3"/>
        <w:rPr>
          <w:sz w:val="24"/>
          <w:szCs w:val="24"/>
          <w:lang w:eastAsia="zh-CN"/>
        </w:rPr>
      </w:pPr>
      <w:r>
        <w:rPr>
          <w:rFonts w:hint="eastAsia"/>
          <w:sz w:val="24"/>
          <w:szCs w:val="24"/>
          <w:lang w:eastAsia="zh-CN"/>
        </w:rPr>
        <w:t>医护工作站</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床位图展示、病案首页、入院记录、病程记录、手术记录、会诊记录、护理记录和知情文件等管理。</w:t>
      </w:r>
    </w:p>
    <w:p>
      <w:pPr>
        <w:numPr>
          <w:ilvl w:val="0"/>
          <w:numId w:val="21"/>
        </w:numPr>
        <w:spacing w:line="360" w:lineRule="auto"/>
        <w:jc w:val="both"/>
        <w:rPr>
          <w:rFonts w:ascii="仿宋" w:hAnsi="仿宋" w:eastAsia="仿宋"/>
          <w:sz w:val="24"/>
          <w:szCs w:val="24"/>
          <w:lang w:val="zh-CN"/>
        </w:rPr>
      </w:pPr>
      <w:r>
        <w:rPr>
          <w:rFonts w:hint="eastAsia" w:ascii="仿宋" w:hAnsi="仿宋" w:eastAsia="仿宋"/>
          <w:sz w:val="24"/>
          <w:szCs w:val="24"/>
          <w:lang w:val="zh-CN"/>
        </w:rPr>
        <w:t>病人列表</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病人中心，病区床位图展示。</w:t>
      </w:r>
    </w:p>
    <w:p>
      <w:pPr>
        <w:numPr>
          <w:ilvl w:val="0"/>
          <w:numId w:val="21"/>
        </w:numPr>
        <w:spacing w:line="360" w:lineRule="auto"/>
        <w:jc w:val="both"/>
        <w:rPr>
          <w:rFonts w:ascii="仿宋" w:hAnsi="仿宋" w:eastAsia="仿宋"/>
          <w:sz w:val="24"/>
          <w:szCs w:val="24"/>
          <w:lang w:val="zh-CN"/>
        </w:rPr>
      </w:pPr>
      <w:r>
        <w:rPr>
          <w:rFonts w:hint="eastAsia" w:ascii="仿宋" w:hAnsi="仿宋" w:eastAsia="仿宋"/>
          <w:sz w:val="24"/>
          <w:szCs w:val="24"/>
          <w:lang w:val="zh-CN"/>
        </w:rPr>
        <w:t>入院记录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记录患者的入院情况，一般包括姓名、性别、年龄、民族、婚姻、出生地、职业、入院时间、记录时间、病史陈述者，主诉、现病史、既往史等信息。</w:t>
      </w:r>
    </w:p>
    <w:p>
      <w:pPr>
        <w:numPr>
          <w:ilvl w:val="0"/>
          <w:numId w:val="21"/>
        </w:numPr>
        <w:spacing w:line="360" w:lineRule="auto"/>
        <w:jc w:val="both"/>
        <w:rPr>
          <w:rFonts w:ascii="仿宋" w:hAnsi="仿宋" w:eastAsia="仿宋"/>
          <w:sz w:val="24"/>
          <w:szCs w:val="24"/>
          <w:lang w:val="zh-CN"/>
        </w:rPr>
      </w:pPr>
      <w:r>
        <w:rPr>
          <w:rFonts w:hint="eastAsia" w:ascii="仿宋" w:hAnsi="仿宋" w:eastAsia="仿宋"/>
          <w:sz w:val="24"/>
          <w:szCs w:val="24"/>
          <w:lang w:val="zh-CN"/>
        </w:rPr>
        <w:t>医嘱查看</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支持与第三方HIS系统对接，可以实现直接在电子病历系统中查看医嘱功能。</w:t>
      </w:r>
    </w:p>
    <w:p>
      <w:pPr>
        <w:numPr>
          <w:ilvl w:val="0"/>
          <w:numId w:val="21"/>
        </w:numPr>
        <w:spacing w:line="360" w:lineRule="auto"/>
        <w:jc w:val="both"/>
        <w:rPr>
          <w:rFonts w:ascii="仿宋" w:hAnsi="仿宋" w:eastAsia="仿宋"/>
          <w:sz w:val="24"/>
          <w:szCs w:val="24"/>
          <w:lang w:val="zh-CN"/>
        </w:rPr>
      </w:pPr>
      <w:r>
        <w:rPr>
          <w:rFonts w:hint="eastAsia" w:ascii="仿宋" w:hAnsi="仿宋" w:eastAsia="仿宋"/>
          <w:sz w:val="24"/>
          <w:szCs w:val="24"/>
          <w:lang w:val="zh-CN"/>
        </w:rPr>
        <w:t>病程记录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记录患者病情及住院期间诊疗过程的情况（首次病程、日常病程记录等）。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病程记录续打印，无需医生选择页面，选择页码，选择位置，只需选择要续打的记录，点击续打即可自动完成。</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结构化的首次病程记录，主诉、现病史等可以自动同步到入院记录中。</w:t>
      </w:r>
    </w:p>
    <w:p>
      <w:pPr>
        <w:numPr>
          <w:ilvl w:val="0"/>
          <w:numId w:val="21"/>
        </w:numPr>
        <w:spacing w:line="360" w:lineRule="auto"/>
        <w:jc w:val="both"/>
        <w:rPr>
          <w:rFonts w:ascii="仿宋" w:hAnsi="仿宋" w:eastAsia="仿宋"/>
          <w:sz w:val="24"/>
          <w:szCs w:val="24"/>
          <w:lang w:val="zh-CN"/>
        </w:rPr>
      </w:pPr>
      <w:r>
        <w:rPr>
          <w:rFonts w:hint="eastAsia" w:ascii="仿宋" w:hAnsi="仿宋" w:eastAsia="仿宋"/>
          <w:sz w:val="24"/>
          <w:szCs w:val="24"/>
          <w:lang w:val="zh-CN"/>
        </w:rPr>
        <w:t>手术记录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记录患者手术情况（手术名称、麻醉方式，术前、术中诊断情况等信息）。</w:t>
      </w:r>
    </w:p>
    <w:p>
      <w:pPr>
        <w:numPr>
          <w:ilvl w:val="0"/>
          <w:numId w:val="21"/>
        </w:numPr>
        <w:spacing w:line="360" w:lineRule="auto"/>
        <w:jc w:val="both"/>
        <w:rPr>
          <w:rFonts w:ascii="仿宋" w:hAnsi="仿宋" w:eastAsia="仿宋"/>
          <w:sz w:val="24"/>
          <w:szCs w:val="24"/>
          <w:lang w:val="zh-CN"/>
        </w:rPr>
      </w:pPr>
      <w:r>
        <w:rPr>
          <w:rFonts w:hint="eastAsia" w:ascii="仿宋" w:hAnsi="仿宋" w:eastAsia="仿宋"/>
          <w:sz w:val="24"/>
          <w:szCs w:val="24"/>
          <w:lang w:val="zh-CN"/>
        </w:rPr>
        <w:t>会诊记录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记录患者会诊情况（会诊理由、会诊记录及处理意见等信息）。</w:t>
      </w:r>
    </w:p>
    <w:p>
      <w:pPr>
        <w:numPr>
          <w:ilvl w:val="0"/>
          <w:numId w:val="21"/>
        </w:numPr>
        <w:spacing w:line="360" w:lineRule="auto"/>
        <w:jc w:val="both"/>
        <w:rPr>
          <w:rFonts w:ascii="仿宋" w:hAnsi="仿宋" w:eastAsia="仿宋"/>
          <w:sz w:val="24"/>
          <w:szCs w:val="24"/>
          <w:lang w:val="zh-CN"/>
        </w:rPr>
      </w:pPr>
      <w:r>
        <w:rPr>
          <w:rFonts w:hint="eastAsia" w:ascii="仿宋" w:hAnsi="仿宋" w:eastAsia="仿宋"/>
          <w:sz w:val="24"/>
          <w:szCs w:val="24"/>
          <w:lang w:val="zh-CN"/>
        </w:rPr>
        <w:t>谈话记录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记录患者谈话情况（术前谈话记录，患者意见等信息）。</w:t>
      </w:r>
    </w:p>
    <w:p>
      <w:pPr>
        <w:numPr>
          <w:ilvl w:val="0"/>
          <w:numId w:val="21"/>
        </w:numPr>
        <w:spacing w:line="360" w:lineRule="auto"/>
        <w:jc w:val="both"/>
        <w:rPr>
          <w:rFonts w:ascii="仿宋" w:hAnsi="仿宋" w:eastAsia="仿宋"/>
          <w:sz w:val="24"/>
          <w:szCs w:val="24"/>
          <w:lang w:val="zh-CN"/>
        </w:rPr>
      </w:pPr>
      <w:r>
        <w:rPr>
          <w:rFonts w:hint="eastAsia" w:ascii="仿宋" w:hAnsi="仿宋" w:eastAsia="仿宋"/>
          <w:sz w:val="24"/>
          <w:szCs w:val="24"/>
          <w:lang w:val="zh-CN"/>
        </w:rPr>
        <w:t>出院记录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记录患者出院情况（入【出】院诊断、住院天数、疗效评价、入【出】院情况、出院医嘱等信息）。</w:t>
      </w:r>
    </w:p>
    <w:p>
      <w:pPr>
        <w:numPr>
          <w:ilvl w:val="0"/>
          <w:numId w:val="21"/>
        </w:numPr>
        <w:spacing w:line="360" w:lineRule="auto"/>
        <w:jc w:val="both"/>
        <w:rPr>
          <w:rFonts w:ascii="仿宋" w:hAnsi="仿宋" w:eastAsia="仿宋"/>
          <w:sz w:val="24"/>
          <w:szCs w:val="24"/>
          <w:lang w:val="zh-CN"/>
        </w:rPr>
      </w:pPr>
      <w:r>
        <w:rPr>
          <w:rFonts w:hint="eastAsia" w:ascii="仿宋" w:hAnsi="仿宋" w:eastAsia="仿宋"/>
          <w:sz w:val="24"/>
          <w:szCs w:val="24"/>
          <w:lang w:val="zh-CN"/>
        </w:rPr>
        <w:t>死亡记录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记录患者死亡情况（死亡时间、入院情况、入院诊断、诊疗经过、死亡原因、死亡诊断等信息）。</w:t>
      </w:r>
    </w:p>
    <w:p>
      <w:pPr>
        <w:numPr>
          <w:ilvl w:val="0"/>
          <w:numId w:val="21"/>
        </w:numPr>
        <w:spacing w:line="360" w:lineRule="auto"/>
        <w:jc w:val="both"/>
        <w:rPr>
          <w:rFonts w:ascii="仿宋" w:hAnsi="仿宋" w:eastAsia="仿宋"/>
          <w:sz w:val="24"/>
          <w:szCs w:val="24"/>
          <w:lang w:val="zh-CN"/>
        </w:rPr>
      </w:pPr>
      <w:r>
        <w:rPr>
          <w:rFonts w:hint="eastAsia" w:ascii="仿宋" w:hAnsi="仿宋" w:eastAsia="仿宋"/>
          <w:sz w:val="24"/>
          <w:szCs w:val="24"/>
          <w:lang w:val="zh-CN"/>
        </w:rPr>
        <w:t>知情文书</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记录患者表示自愿进行医疗治疗的文件证明（入院告知书或患者同意书）</w:t>
      </w:r>
    </w:p>
    <w:p>
      <w:pPr>
        <w:numPr>
          <w:ilvl w:val="0"/>
          <w:numId w:val="21"/>
        </w:numPr>
        <w:spacing w:line="360" w:lineRule="auto"/>
        <w:jc w:val="both"/>
        <w:rPr>
          <w:rFonts w:ascii="仿宋" w:hAnsi="仿宋" w:eastAsia="仿宋"/>
          <w:sz w:val="24"/>
          <w:szCs w:val="24"/>
          <w:lang w:val="zh-CN"/>
        </w:rPr>
      </w:pPr>
      <w:r>
        <w:rPr>
          <w:rFonts w:hint="eastAsia" w:ascii="仿宋" w:hAnsi="仿宋" w:eastAsia="仿宋"/>
          <w:sz w:val="24"/>
          <w:szCs w:val="24"/>
          <w:lang w:val="zh-CN"/>
        </w:rPr>
        <w:t>检验检查</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可调阅患者LIS报告、PACS报告、心电图等检验检查信息。</w:t>
      </w:r>
    </w:p>
    <w:p>
      <w:pPr>
        <w:numPr>
          <w:ilvl w:val="0"/>
          <w:numId w:val="21"/>
        </w:numPr>
        <w:spacing w:line="360" w:lineRule="auto"/>
        <w:jc w:val="both"/>
        <w:rPr>
          <w:rFonts w:ascii="仿宋" w:hAnsi="仿宋" w:eastAsia="仿宋"/>
          <w:sz w:val="24"/>
          <w:szCs w:val="24"/>
          <w:lang w:val="zh-CN"/>
        </w:rPr>
      </w:pPr>
      <w:r>
        <w:rPr>
          <w:rFonts w:hint="eastAsia" w:ascii="仿宋" w:hAnsi="仿宋" w:eastAsia="仿宋"/>
          <w:sz w:val="24"/>
          <w:szCs w:val="24"/>
          <w:lang w:val="zh-CN"/>
        </w:rPr>
        <w:t>三测单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支持单人多次录入体温及出入量数据；自动绘制体温记录曲线，帮助护士填写、打印、查询三测单。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三测单，动态画图，支持点击预览，自动描线到对应位置显示数字，方便护士查看。</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 xml:space="preserve">三测单，可绘制月体温单，把1-31号的体温，画在一张图上，利于分析其体温变化。 </w:t>
      </w:r>
    </w:p>
    <w:p>
      <w:pPr>
        <w:numPr>
          <w:ilvl w:val="0"/>
          <w:numId w:val="21"/>
        </w:numPr>
        <w:spacing w:line="360" w:lineRule="auto"/>
        <w:jc w:val="both"/>
        <w:rPr>
          <w:rFonts w:ascii="仿宋" w:hAnsi="仿宋" w:eastAsia="仿宋"/>
          <w:sz w:val="24"/>
          <w:szCs w:val="24"/>
          <w:lang w:val="zh-CN"/>
        </w:rPr>
      </w:pPr>
      <w:r>
        <w:rPr>
          <w:rFonts w:hint="eastAsia" w:ascii="仿宋" w:hAnsi="仿宋" w:eastAsia="仿宋"/>
          <w:sz w:val="24"/>
          <w:szCs w:val="24"/>
          <w:lang w:val="zh-CN"/>
        </w:rPr>
        <w:t>护理文书</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管理护理文书的书写、打印、审核及查询病历及医技报告。</w:t>
      </w:r>
    </w:p>
    <w:p>
      <w:pPr>
        <w:numPr>
          <w:ilvl w:val="0"/>
          <w:numId w:val="21"/>
        </w:numPr>
        <w:spacing w:line="360" w:lineRule="auto"/>
        <w:jc w:val="both"/>
        <w:rPr>
          <w:rFonts w:ascii="仿宋" w:hAnsi="仿宋" w:eastAsia="仿宋"/>
          <w:sz w:val="24"/>
          <w:szCs w:val="24"/>
          <w:lang w:val="zh-CN"/>
        </w:rPr>
      </w:pPr>
      <w:r>
        <w:rPr>
          <w:rFonts w:hint="eastAsia" w:ascii="仿宋" w:hAnsi="仿宋" w:eastAsia="仿宋"/>
          <w:sz w:val="24"/>
          <w:szCs w:val="24"/>
          <w:lang w:val="zh-CN"/>
        </w:rPr>
        <w:t>表格护理记录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表格化的护理记录，支持复杂表头自定义。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表格化的护理记录，增删改查，编辑录入。</w:t>
      </w:r>
    </w:p>
    <w:p>
      <w:pPr>
        <w:numPr>
          <w:ilvl w:val="0"/>
          <w:numId w:val="21"/>
        </w:numPr>
        <w:spacing w:line="360" w:lineRule="auto"/>
        <w:jc w:val="both"/>
        <w:rPr>
          <w:rFonts w:ascii="仿宋" w:hAnsi="仿宋" w:eastAsia="仿宋"/>
          <w:sz w:val="24"/>
          <w:szCs w:val="24"/>
          <w:lang w:val="zh-CN"/>
        </w:rPr>
      </w:pPr>
      <w:r>
        <w:rPr>
          <w:rFonts w:hint="eastAsia" w:ascii="仿宋" w:hAnsi="仿宋" w:eastAsia="仿宋"/>
          <w:sz w:val="24"/>
          <w:szCs w:val="24"/>
          <w:lang w:val="zh-CN"/>
        </w:rPr>
        <w:t>护理评估</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护理评估、护理评分、护理计划。</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护理评估可以制作任意格式的模板，任意方法的算分方法并自动算分，省去了护士的算分过程，提高工作效率。</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护理评估支持自动回填上一次记录，方便比对、修改、录入。</w:t>
      </w:r>
    </w:p>
    <w:p>
      <w:pPr>
        <w:pStyle w:val="9"/>
        <w:numPr>
          <w:ilvl w:val="0"/>
          <w:numId w:val="0"/>
        </w:numPr>
        <w:spacing w:line="360" w:lineRule="auto"/>
        <w:ind w:left="3"/>
        <w:rPr>
          <w:sz w:val="24"/>
          <w:szCs w:val="24"/>
        </w:rPr>
      </w:pPr>
      <w:r>
        <w:rPr>
          <w:rFonts w:hint="eastAsia"/>
          <w:sz w:val="24"/>
          <w:szCs w:val="24"/>
        </w:rPr>
        <w:t>病历模板管理</w:t>
      </w:r>
    </w:p>
    <w:p>
      <w:pPr>
        <w:numPr>
          <w:ilvl w:val="0"/>
          <w:numId w:val="22"/>
        </w:numPr>
        <w:spacing w:line="360" w:lineRule="auto"/>
        <w:jc w:val="both"/>
        <w:rPr>
          <w:rFonts w:ascii="仿宋" w:hAnsi="仿宋" w:eastAsia="仿宋"/>
          <w:sz w:val="24"/>
          <w:szCs w:val="24"/>
          <w:lang w:val="zh-CN"/>
        </w:rPr>
      </w:pPr>
      <w:r>
        <w:rPr>
          <w:rFonts w:hint="eastAsia" w:ascii="仿宋" w:hAnsi="仿宋" w:eastAsia="仿宋"/>
          <w:sz w:val="24"/>
          <w:szCs w:val="24"/>
          <w:lang w:val="zh-CN"/>
        </w:rPr>
        <w:t>基本元素</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对电子病历系统所使用的基本元素进行维护。</w:t>
      </w:r>
    </w:p>
    <w:p>
      <w:pPr>
        <w:numPr>
          <w:ilvl w:val="0"/>
          <w:numId w:val="22"/>
        </w:numPr>
        <w:spacing w:line="360" w:lineRule="auto"/>
        <w:jc w:val="both"/>
        <w:rPr>
          <w:rFonts w:ascii="仿宋" w:hAnsi="仿宋" w:eastAsia="仿宋"/>
          <w:sz w:val="24"/>
          <w:szCs w:val="24"/>
          <w:lang w:val="zh-CN"/>
        </w:rPr>
      </w:pPr>
      <w:r>
        <w:rPr>
          <w:rFonts w:hint="eastAsia" w:ascii="仿宋" w:hAnsi="仿宋" w:eastAsia="仿宋"/>
          <w:sz w:val="24"/>
          <w:szCs w:val="24"/>
          <w:lang w:val="zh-CN"/>
        </w:rPr>
        <w:t>数据组</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对电子病历系统所使用的数据组进行维护。</w:t>
      </w:r>
    </w:p>
    <w:p>
      <w:pPr>
        <w:numPr>
          <w:ilvl w:val="0"/>
          <w:numId w:val="22"/>
        </w:numPr>
        <w:spacing w:line="360" w:lineRule="auto"/>
        <w:jc w:val="both"/>
        <w:rPr>
          <w:rFonts w:ascii="仿宋" w:hAnsi="仿宋" w:eastAsia="仿宋"/>
          <w:sz w:val="24"/>
          <w:szCs w:val="24"/>
          <w:lang w:val="zh-CN"/>
        </w:rPr>
      </w:pPr>
      <w:r>
        <w:rPr>
          <w:rFonts w:hint="eastAsia" w:ascii="仿宋" w:hAnsi="仿宋" w:eastAsia="仿宋"/>
          <w:sz w:val="24"/>
          <w:szCs w:val="24"/>
          <w:lang w:val="zh-CN"/>
        </w:rPr>
        <w:t>段落模板</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对电子病历系统所使用的段落模板进行维护。</w:t>
      </w:r>
    </w:p>
    <w:p>
      <w:pPr>
        <w:numPr>
          <w:ilvl w:val="0"/>
          <w:numId w:val="22"/>
        </w:numPr>
        <w:spacing w:line="360" w:lineRule="auto"/>
        <w:jc w:val="both"/>
        <w:rPr>
          <w:rFonts w:ascii="仿宋" w:hAnsi="仿宋" w:eastAsia="仿宋"/>
          <w:sz w:val="24"/>
          <w:szCs w:val="24"/>
          <w:lang w:val="zh-CN"/>
        </w:rPr>
      </w:pPr>
      <w:r>
        <w:rPr>
          <w:rFonts w:hint="eastAsia" w:ascii="仿宋" w:hAnsi="仿宋" w:eastAsia="仿宋"/>
          <w:sz w:val="24"/>
          <w:szCs w:val="24"/>
          <w:lang w:val="zh-CN"/>
        </w:rPr>
        <w:t>常用语</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对电子病历系统所使用的常用语进行维护。</w:t>
      </w:r>
    </w:p>
    <w:p>
      <w:pPr>
        <w:numPr>
          <w:ilvl w:val="0"/>
          <w:numId w:val="22"/>
        </w:numPr>
        <w:spacing w:line="360" w:lineRule="auto"/>
        <w:jc w:val="both"/>
        <w:rPr>
          <w:rFonts w:ascii="仿宋" w:hAnsi="仿宋" w:eastAsia="仿宋"/>
          <w:sz w:val="24"/>
          <w:szCs w:val="24"/>
          <w:lang w:val="zh-CN"/>
        </w:rPr>
      </w:pPr>
      <w:r>
        <w:rPr>
          <w:rFonts w:hint="eastAsia" w:ascii="仿宋" w:hAnsi="仿宋" w:eastAsia="仿宋"/>
          <w:sz w:val="24"/>
          <w:szCs w:val="24"/>
          <w:lang w:val="zh-CN"/>
        </w:rPr>
        <w:t>住院病历模板</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对电子病历系统所使用的住院模板进行维护。</w:t>
      </w:r>
    </w:p>
    <w:p>
      <w:pPr>
        <w:numPr>
          <w:ilvl w:val="0"/>
          <w:numId w:val="22"/>
        </w:numPr>
        <w:spacing w:line="360" w:lineRule="auto"/>
        <w:jc w:val="both"/>
        <w:rPr>
          <w:rFonts w:ascii="仿宋" w:hAnsi="仿宋" w:eastAsia="仿宋"/>
          <w:sz w:val="24"/>
          <w:szCs w:val="24"/>
          <w:lang w:val="zh-CN"/>
        </w:rPr>
      </w:pPr>
      <w:r>
        <w:rPr>
          <w:rFonts w:hint="eastAsia" w:ascii="仿宋" w:hAnsi="仿宋" w:eastAsia="仿宋"/>
          <w:sz w:val="24"/>
          <w:szCs w:val="24"/>
          <w:lang w:val="zh-CN"/>
        </w:rPr>
        <w:t>模板库管理</w:t>
      </w:r>
    </w:p>
    <w:p>
      <w:pPr>
        <w:spacing w:line="360" w:lineRule="auto"/>
        <w:ind w:firstLine="480"/>
        <w:rPr>
          <w:rFonts w:ascii="仿宋" w:hAnsi="仿宋" w:eastAsia="仿宋"/>
          <w:sz w:val="24"/>
          <w:szCs w:val="24"/>
          <w:lang w:val="zh-CN"/>
        </w:rPr>
      </w:pPr>
      <w:r>
        <w:rPr>
          <w:rFonts w:hint="eastAsia" w:ascii="仿宋" w:hAnsi="仿宋" w:eastAsia="仿宋"/>
          <w:sz w:val="24"/>
          <w:szCs w:val="24"/>
          <w:lang w:val="zh-CN"/>
        </w:rPr>
        <w:t>对标准模板的管理。</w:t>
      </w:r>
    </w:p>
    <w:p>
      <w:pPr>
        <w:pStyle w:val="9"/>
        <w:numPr>
          <w:ilvl w:val="0"/>
          <w:numId w:val="0"/>
        </w:numPr>
        <w:spacing w:line="360" w:lineRule="auto"/>
        <w:ind w:left="3"/>
        <w:rPr>
          <w:sz w:val="24"/>
          <w:szCs w:val="24"/>
        </w:rPr>
      </w:pPr>
      <w:r>
        <w:rPr>
          <w:rFonts w:hint="eastAsia"/>
          <w:sz w:val="24"/>
          <w:szCs w:val="24"/>
        </w:rPr>
        <w:t>病案管理</w:t>
      </w:r>
    </w:p>
    <w:p>
      <w:pPr>
        <w:numPr>
          <w:ilvl w:val="0"/>
          <w:numId w:val="23"/>
        </w:numPr>
        <w:spacing w:line="360" w:lineRule="auto"/>
        <w:jc w:val="both"/>
        <w:rPr>
          <w:rFonts w:ascii="仿宋" w:hAnsi="仿宋" w:eastAsia="仿宋"/>
          <w:sz w:val="24"/>
          <w:szCs w:val="24"/>
          <w:lang w:val="zh-CN"/>
        </w:rPr>
      </w:pPr>
      <w:r>
        <w:rPr>
          <w:rFonts w:hint="eastAsia" w:ascii="仿宋" w:hAnsi="仿宋" w:eastAsia="仿宋"/>
          <w:sz w:val="24"/>
          <w:szCs w:val="24"/>
          <w:lang w:val="zh-CN"/>
        </w:rPr>
        <w:t>病案首页</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首页是病案信息的摘要与汇总，通过对首页的自动生成与维护，保证病案首页填写的及时、准确、完整性。</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病案首页可以自动同步医生在his开的出院诊断。</w:t>
      </w:r>
    </w:p>
    <w:p>
      <w:pPr>
        <w:numPr>
          <w:ilvl w:val="0"/>
          <w:numId w:val="23"/>
        </w:numPr>
        <w:spacing w:line="360" w:lineRule="auto"/>
        <w:jc w:val="both"/>
        <w:rPr>
          <w:rFonts w:ascii="仿宋" w:hAnsi="仿宋" w:eastAsia="仿宋"/>
          <w:sz w:val="24"/>
          <w:szCs w:val="24"/>
          <w:lang w:val="zh-CN"/>
        </w:rPr>
      </w:pPr>
      <w:r>
        <w:rPr>
          <w:rFonts w:hint="eastAsia" w:ascii="仿宋" w:hAnsi="仿宋" w:eastAsia="仿宋"/>
          <w:sz w:val="24"/>
          <w:szCs w:val="24"/>
          <w:lang w:val="zh-CN"/>
        </w:rPr>
        <w:t>病历授权</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进行授权管理，方便值班医生维护病历</w:t>
      </w:r>
    </w:p>
    <w:p>
      <w:pPr>
        <w:numPr>
          <w:ilvl w:val="0"/>
          <w:numId w:val="23"/>
        </w:numPr>
        <w:spacing w:line="360" w:lineRule="auto"/>
        <w:jc w:val="both"/>
        <w:rPr>
          <w:rFonts w:ascii="仿宋" w:hAnsi="仿宋" w:eastAsia="仿宋"/>
          <w:sz w:val="24"/>
          <w:szCs w:val="24"/>
          <w:lang w:val="zh-CN"/>
        </w:rPr>
      </w:pPr>
      <w:r>
        <w:rPr>
          <w:rFonts w:hint="eastAsia" w:ascii="仿宋" w:hAnsi="仿宋" w:eastAsia="仿宋"/>
          <w:sz w:val="24"/>
          <w:szCs w:val="24"/>
          <w:lang w:val="zh-CN"/>
        </w:rPr>
        <w:t>借阅管理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对病案进行审核、借阅、归档管理</w:t>
      </w:r>
    </w:p>
    <w:p>
      <w:pPr>
        <w:numPr>
          <w:ilvl w:val="0"/>
          <w:numId w:val="23"/>
        </w:numPr>
        <w:spacing w:line="360" w:lineRule="auto"/>
        <w:jc w:val="both"/>
        <w:rPr>
          <w:rFonts w:ascii="仿宋" w:hAnsi="仿宋" w:eastAsia="仿宋"/>
          <w:sz w:val="24"/>
          <w:szCs w:val="24"/>
          <w:lang w:val="zh-CN"/>
        </w:rPr>
      </w:pPr>
      <w:r>
        <w:rPr>
          <w:rFonts w:hint="eastAsia" w:ascii="仿宋" w:hAnsi="仿宋" w:eastAsia="仿宋"/>
          <w:sz w:val="24"/>
          <w:szCs w:val="24"/>
          <w:lang w:val="zh-CN"/>
        </w:rPr>
        <w:t>Drgs</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Drgs导出cvs直接上传国家平台</w:t>
      </w:r>
    </w:p>
    <w:p>
      <w:pPr>
        <w:pStyle w:val="9"/>
        <w:numPr>
          <w:ilvl w:val="0"/>
          <w:numId w:val="0"/>
        </w:numPr>
        <w:spacing w:line="360" w:lineRule="auto"/>
        <w:ind w:left="3"/>
        <w:rPr>
          <w:sz w:val="24"/>
          <w:szCs w:val="24"/>
        </w:rPr>
      </w:pPr>
      <w:r>
        <w:rPr>
          <w:rFonts w:hint="eastAsia"/>
          <w:sz w:val="24"/>
          <w:szCs w:val="24"/>
        </w:rPr>
        <w:t>病案质控</w:t>
      </w:r>
    </w:p>
    <w:p>
      <w:pPr>
        <w:numPr>
          <w:ilvl w:val="0"/>
          <w:numId w:val="24"/>
        </w:numPr>
        <w:spacing w:line="360" w:lineRule="auto"/>
        <w:jc w:val="both"/>
        <w:rPr>
          <w:rFonts w:ascii="仿宋" w:hAnsi="仿宋" w:eastAsia="仿宋"/>
          <w:sz w:val="24"/>
          <w:szCs w:val="24"/>
          <w:lang w:val="zh-CN"/>
        </w:rPr>
      </w:pPr>
      <w:r>
        <w:rPr>
          <w:rFonts w:hint="eastAsia" w:ascii="仿宋" w:hAnsi="仿宋" w:eastAsia="仿宋"/>
          <w:sz w:val="24"/>
          <w:szCs w:val="24"/>
          <w:lang w:val="zh-CN"/>
        </w:rPr>
        <w:t>时控设置</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对病历的书写时间、病案的归档等按照规则进行时间控制。比如:8小时书写首次病程，24小时书写入院记录等。</w:t>
      </w:r>
    </w:p>
    <w:p>
      <w:pPr>
        <w:numPr>
          <w:ilvl w:val="0"/>
          <w:numId w:val="24"/>
        </w:numPr>
        <w:spacing w:line="360" w:lineRule="auto"/>
        <w:jc w:val="both"/>
        <w:rPr>
          <w:rFonts w:ascii="仿宋" w:hAnsi="仿宋" w:eastAsia="仿宋"/>
          <w:sz w:val="24"/>
          <w:szCs w:val="24"/>
          <w:lang w:val="zh-CN"/>
        </w:rPr>
      </w:pPr>
      <w:r>
        <w:rPr>
          <w:rFonts w:hint="eastAsia" w:ascii="仿宋" w:hAnsi="仿宋" w:eastAsia="仿宋"/>
          <w:sz w:val="24"/>
          <w:szCs w:val="24"/>
          <w:lang w:val="zh-CN"/>
        </w:rPr>
        <w:t>质控规则设置</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设置病历的缺陷规则，扣分分值，为病历的质控提供基础规则</w:t>
      </w:r>
    </w:p>
    <w:p>
      <w:pPr>
        <w:numPr>
          <w:ilvl w:val="0"/>
          <w:numId w:val="24"/>
        </w:numPr>
        <w:spacing w:line="360" w:lineRule="auto"/>
        <w:jc w:val="both"/>
        <w:rPr>
          <w:rFonts w:ascii="仿宋" w:hAnsi="仿宋" w:eastAsia="仿宋"/>
          <w:sz w:val="24"/>
          <w:szCs w:val="24"/>
          <w:lang w:val="zh-CN"/>
        </w:rPr>
      </w:pPr>
      <w:r>
        <w:rPr>
          <w:rFonts w:hint="eastAsia" w:ascii="仿宋" w:hAnsi="仿宋" w:eastAsia="仿宋"/>
          <w:sz w:val="24"/>
          <w:szCs w:val="24"/>
          <w:lang w:val="zh-CN"/>
        </w:rPr>
        <w:t>病案评分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可以对医生书写的住院志、病程记录、病案首页、出院或死亡记录、知情同意书、会诊记录等进行评分</w:t>
      </w:r>
    </w:p>
    <w:p>
      <w:pPr>
        <w:numPr>
          <w:ilvl w:val="0"/>
          <w:numId w:val="24"/>
        </w:numPr>
        <w:spacing w:line="360" w:lineRule="auto"/>
        <w:jc w:val="both"/>
        <w:rPr>
          <w:rFonts w:ascii="仿宋" w:hAnsi="仿宋" w:eastAsia="仿宋"/>
          <w:sz w:val="24"/>
          <w:szCs w:val="24"/>
          <w:lang w:val="zh-CN"/>
        </w:rPr>
      </w:pPr>
      <w:r>
        <w:rPr>
          <w:rFonts w:hint="eastAsia" w:ascii="仿宋" w:hAnsi="仿宋" w:eastAsia="仿宋"/>
          <w:sz w:val="24"/>
          <w:szCs w:val="24"/>
          <w:lang w:val="zh-CN"/>
        </w:rPr>
        <w:t>病案评分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分为申请归档、评审中、不合格3个状态，当评分完成，如满足设置的评分条件（比如高于80分），可自动归档，否则自动打回整改。</w:t>
      </w:r>
    </w:p>
    <w:p>
      <w:pPr>
        <w:numPr>
          <w:ilvl w:val="0"/>
          <w:numId w:val="24"/>
        </w:numPr>
        <w:spacing w:line="360" w:lineRule="auto"/>
        <w:jc w:val="both"/>
        <w:rPr>
          <w:rFonts w:ascii="仿宋" w:hAnsi="仿宋" w:eastAsia="仿宋"/>
          <w:sz w:val="24"/>
          <w:szCs w:val="24"/>
          <w:lang w:val="zh-CN"/>
        </w:rPr>
      </w:pPr>
      <w:r>
        <w:rPr>
          <w:rFonts w:hint="eastAsia" w:ascii="仿宋" w:hAnsi="仿宋" w:eastAsia="仿宋"/>
          <w:sz w:val="24"/>
          <w:szCs w:val="24"/>
          <w:lang w:val="zh-CN"/>
        </w:rPr>
        <w:t>整改病历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被打回需整改的病历，集中通知到书写医生，方便其整改。</w:t>
      </w:r>
    </w:p>
    <w:p>
      <w:pPr>
        <w:pStyle w:val="8"/>
        <w:rPr>
          <w:lang w:eastAsia="zh-CN"/>
        </w:rPr>
      </w:pPr>
      <w:r>
        <w:rPr>
          <w:rFonts w:hint="eastAsia"/>
          <w:lang w:eastAsia="zh-CN"/>
        </w:rPr>
        <w:t>检验信息管理系统（LIS）</w:t>
      </w:r>
    </w:p>
    <w:p>
      <w:pPr>
        <w:pStyle w:val="9"/>
        <w:numPr>
          <w:ilvl w:val="0"/>
          <w:numId w:val="0"/>
        </w:numPr>
        <w:spacing w:line="360" w:lineRule="auto"/>
        <w:ind w:left="3"/>
        <w:rPr>
          <w:sz w:val="24"/>
          <w:szCs w:val="24"/>
        </w:rPr>
      </w:pPr>
      <w:r>
        <w:rPr>
          <w:rFonts w:hint="eastAsia"/>
          <w:sz w:val="24"/>
          <w:szCs w:val="24"/>
        </w:rPr>
        <w:t>检验业务管理系统</w:t>
      </w:r>
    </w:p>
    <w:p>
      <w:pPr>
        <w:numPr>
          <w:ilvl w:val="0"/>
          <w:numId w:val="25"/>
        </w:numPr>
        <w:spacing w:line="360" w:lineRule="auto"/>
        <w:jc w:val="both"/>
        <w:rPr>
          <w:rFonts w:ascii="仿宋" w:hAnsi="仿宋" w:eastAsia="仿宋"/>
          <w:sz w:val="24"/>
          <w:szCs w:val="24"/>
          <w:lang w:val="zh-CN"/>
        </w:rPr>
      </w:pPr>
      <w:r>
        <w:rPr>
          <w:rFonts w:hint="eastAsia" w:ascii="仿宋" w:hAnsi="仿宋" w:eastAsia="仿宋"/>
          <w:sz w:val="24"/>
          <w:szCs w:val="24"/>
          <w:lang w:val="zh-CN"/>
        </w:rPr>
        <w:t>标本采样</w:t>
      </w:r>
    </w:p>
    <w:p>
      <w:pPr>
        <w:numPr>
          <w:ilvl w:val="0"/>
          <w:numId w:val="26"/>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支持打印条码工作模式。</w:t>
      </w:r>
    </w:p>
    <w:p>
      <w:pPr>
        <w:numPr>
          <w:ilvl w:val="0"/>
          <w:numId w:val="26"/>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自动提示本次采样需用的采样管类型、颜色等。</w:t>
      </w:r>
    </w:p>
    <w:p>
      <w:pPr>
        <w:numPr>
          <w:ilvl w:val="0"/>
          <w:numId w:val="26"/>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标本采样支持标本容器图片直观显示，并且支持已合管项目重新选择的功能。</w:t>
      </w:r>
    </w:p>
    <w:p>
      <w:pPr>
        <w:numPr>
          <w:ilvl w:val="0"/>
          <w:numId w:val="26"/>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打印的样本标签应有明确的标识，区分各个不同的小组；预置条码部分要提供相应的样本分组说明。</w:t>
      </w:r>
    </w:p>
    <w:p>
      <w:pPr>
        <w:numPr>
          <w:ilvl w:val="0"/>
          <w:numId w:val="26"/>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样本采集模块有相应的样本采集信息的记录：包括样本采集时间、样本量、其他采样说明等信息。</w:t>
      </w:r>
    </w:p>
    <w:p>
      <w:pPr>
        <w:numPr>
          <w:ilvl w:val="0"/>
          <w:numId w:val="26"/>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支付病人取单回执单打印，打印信息包括采样注意事项、取单时间、取单地点等。</w:t>
      </w:r>
    </w:p>
    <w:p>
      <w:pPr>
        <w:numPr>
          <w:ilvl w:val="0"/>
          <w:numId w:val="26"/>
        </w:numPr>
        <w:spacing w:line="360" w:lineRule="auto"/>
        <w:jc w:val="both"/>
        <w:rPr>
          <w:rFonts w:ascii="仿宋" w:hAnsi="仿宋" w:eastAsia="仿宋"/>
          <w:sz w:val="24"/>
          <w:szCs w:val="24"/>
          <w:lang w:val="zh-CN"/>
        </w:rPr>
      </w:pPr>
      <w:r>
        <w:rPr>
          <w:rFonts w:hint="eastAsia" w:ascii="仿宋" w:hAnsi="仿宋" w:eastAsia="仿宋"/>
          <w:sz w:val="24"/>
          <w:szCs w:val="24"/>
          <w:lang w:val="zh-CN"/>
        </w:rPr>
        <w:t>支持急诊标本提示功能</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标本送检</w:t>
      </w:r>
      <w:r>
        <w:rPr>
          <w:rFonts w:hint="eastAsia" w:ascii="仿宋" w:hAnsi="仿宋" w:eastAsia="仿宋"/>
          <w:sz w:val="24"/>
          <w:szCs w:val="24"/>
          <w:lang w:val="zh-CN" w:eastAsia="zh-CN"/>
        </w:rPr>
        <w:tab/>
      </w:r>
      <w:r>
        <w:rPr>
          <w:rFonts w:hint="eastAsia" w:ascii="仿宋" w:hAnsi="仿宋" w:eastAsia="仿宋"/>
          <w:sz w:val="24"/>
          <w:szCs w:val="24"/>
          <w:lang w:val="zh-CN" w:eastAsia="zh-CN"/>
        </w:rPr>
        <w:t>扫条形码直接获取病人信息及检验项目，对样本进行送检登记。</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详细记录样本送检人员和送检时间。</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送检是发现不合格的样本可以退回重新采样。</w:t>
      </w:r>
    </w:p>
    <w:p>
      <w:pPr>
        <w:numPr>
          <w:ilvl w:val="0"/>
          <w:numId w:val="25"/>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可打印本次样本送检清单。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支持整包、单个标本核收，并自动生成接收清单，针对超时条码予以提示。</w:t>
      </w:r>
    </w:p>
    <w:p>
      <w:pPr>
        <w:numPr>
          <w:ilvl w:val="0"/>
          <w:numId w:val="25"/>
        </w:numPr>
        <w:spacing w:line="360" w:lineRule="auto"/>
        <w:jc w:val="both"/>
        <w:rPr>
          <w:rFonts w:ascii="仿宋" w:hAnsi="仿宋" w:eastAsia="仿宋"/>
          <w:sz w:val="24"/>
          <w:szCs w:val="24"/>
          <w:lang w:val="zh-CN"/>
        </w:rPr>
      </w:pPr>
      <w:r>
        <w:rPr>
          <w:rFonts w:hint="eastAsia" w:ascii="仿宋" w:hAnsi="仿宋" w:eastAsia="仿宋"/>
          <w:sz w:val="24"/>
          <w:szCs w:val="24"/>
          <w:lang w:val="zh-CN"/>
        </w:rPr>
        <w:t>标本核收</w:t>
      </w:r>
      <w:r>
        <w:rPr>
          <w:rFonts w:hint="eastAsia" w:ascii="仿宋" w:hAnsi="仿宋" w:eastAsia="仿宋"/>
          <w:sz w:val="24"/>
          <w:szCs w:val="24"/>
          <w:lang w:val="zh-CN"/>
        </w:rPr>
        <w:tab/>
      </w:r>
    </w:p>
    <w:p>
      <w:pPr>
        <w:numPr>
          <w:ilvl w:val="0"/>
          <w:numId w:val="27"/>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支持条形码扫描读入进行核收。</w:t>
      </w:r>
    </w:p>
    <w:p>
      <w:pPr>
        <w:numPr>
          <w:ilvl w:val="0"/>
          <w:numId w:val="27"/>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可进行样本取消核收操作，并留有日志记录。</w:t>
      </w:r>
    </w:p>
    <w:p>
      <w:pPr>
        <w:numPr>
          <w:ilvl w:val="0"/>
          <w:numId w:val="27"/>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不合格标本登记，提示拒收原因、拒收人和拒收时间备查。有让步、重采、退单三个功能。</w:t>
      </w:r>
    </w:p>
    <w:p>
      <w:pPr>
        <w:numPr>
          <w:ilvl w:val="0"/>
          <w:numId w:val="25"/>
        </w:numPr>
        <w:spacing w:line="360" w:lineRule="auto"/>
        <w:jc w:val="both"/>
        <w:rPr>
          <w:rFonts w:ascii="仿宋" w:hAnsi="仿宋" w:eastAsia="仿宋"/>
          <w:sz w:val="24"/>
          <w:szCs w:val="24"/>
          <w:lang w:val="zh-CN"/>
        </w:rPr>
      </w:pPr>
      <w:r>
        <w:rPr>
          <w:rFonts w:hint="eastAsia" w:ascii="仿宋" w:hAnsi="仿宋" w:eastAsia="仿宋"/>
          <w:sz w:val="24"/>
          <w:szCs w:val="24"/>
          <w:lang w:val="zh-CN"/>
        </w:rPr>
        <w:t>标本检验</w:t>
      </w:r>
      <w:r>
        <w:rPr>
          <w:rFonts w:hint="eastAsia" w:ascii="仿宋" w:hAnsi="仿宋" w:eastAsia="仿宋"/>
          <w:sz w:val="24"/>
          <w:szCs w:val="24"/>
          <w:lang w:val="zh-CN"/>
        </w:rPr>
        <w:tab/>
      </w:r>
    </w:p>
    <w:p>
      <w:pPr>
        <w:numPr>
          <w:ilvl w:val="0"/>
          <w:numId w:val="28"/>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自动接收仪器检验结果，自动生成计算项目的结果值,将不同的单项检测结果，自动归并到组合项目中。</w:t>
      </w:r>
    </w:p>
    <w:p>
      <w:pPr>
        <w:numPr>
          <w:ilvl w:val="0"/>
          <w:numId w:val="28"/>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提供多种形式的报告模板和常用术语字典录入工具，辅助书写检验报告。</w:t>
      </w:r>
    </w:p>
    <w:p>
      <w:pPr>
        <w:numPr>
          <w:ilvl w:val="0"/>
          <w:numId w:val="28"/>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可以文字、数据和图形（如血常规和尿常规图形）显示检验结果。</w:t>
      </w:r>
    </w:p>
    <w:p>
      <w:pPr>
        <w:numPr>
          <w:ilvl w:val="0"/>
          <w:numId w:val="28"/>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检验结果自动进行参考值范围检查，对正常结果和超限结果用不同颜色醒目提示。</w:t>
      </w:r>
    </w:p>
    <w:p>
      <w:pPr>
        <w:numPr>
          <w:ilvl w:val="0"/>
          <w:numId w:val="28"/>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支持多台仪器组成同一个工作组，联合工作模式。</w:t>
      </w:r>
    </w:p>
    <w:p>
      <w:pPr>
        <w:numPr>
          <w:ilvl w:val="0"/>
          <w:numId w:val="28"/>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支持显示患者的历史检验次数和检验结果及检验结果动态变化图。</w:t>
      </w:r>
    </w:p>
    <w:p>
      <w:pPr>
        <w:numPr>
          <w:ilvl w:val="0"/>
          <w:numId w:val="28"/>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支持辅助提示：可查看检验醒目的临床意义，包括项目的高低值代表的不同意义，新开展的项目信息等情况，能随时提供给临床，便于查询。</w:t>
      </w:r>
    </w:p>
    <w:p>
      <w:pPr>
        <w:numPr>
          <w:ilvl w:val="0"/>
          <w:numId w:val="28"/>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项目分析：计算一段时期内某个项目的平均值、最大值、最小值，标准值，变异系数等并自动生成分析图表。</w:t>
      </w:r>
    </w:p>
    <w:p>
      <w:pPr>
        <w:numPr>
          <w:ilvl w:val="0"/>
          <w:numId w:val="28"/>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外送标本管理及各类统计功能。</w:t>
      </w:r>
    </w:p>
    <w:p>
      <w:pPr>
        <w:numPr>
          <w:ilvl w:val="0"/>
          <w:numId w:val="25"/>
        </w:numPr>
        <w:spacing w:line="360" w:lineRule="auto"/>
        <w:jc w:val="both"/>
        <w:rPr>
          <w:rFonts w:ascii="仿宋" w:hAnsi="仿宋" w:eastAsia="仿宋"/>
          <w:sz w:val="24"/>
          <w:szCs w:val="24"/>
          <w:lang w:val="zh-CN"/>
        </w:rPr>
      </w:pPr>
      <w:r>
        <w:rPr>
          <w:rFonts w:hint="eastAsia" w:ascii="仿宋" w:hAnsi="仿宋" w:eastAsia="仿宋"/>
          <w:sz w:val="24"/>
          <w:szCs w:val="24"/>
          <w:lang w:val="zh-CN"/>
        </w:rPr>
        <w:t>报告审核</w:t>
      </w:r>
      <w:r>
        <w:rPr>
          <w:rFonts w:hint="eastAsia" w:ascii="仿宋" w:hAnsi="仿宋" w:eastAsia="仿宋"/>
          <w:sz w:val="24"/>
          <w:szCs w:val="24"/>
          <w:lang w:val="zh-CN"/>
        </w:rPr>
        <w:tab/>
      </w:r>
    </w:p>
    <w:p>
      <w:pPr>
        <w:numPr>
          <w:ilvl w:val="0"/>
          <w:numId w:val="29"/>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可以按照设定的规则自动检查检验结果错项、漏项、多项,提示检验结果的异常与否，系统自动报警，避免人为审核的误差。</w:t>
      </w:r>
    </w:p>
    <w:p>
      <w:pPr>
        <w:numPr>
          <w:ilvl w:val="0"/>
          <w:numId w:val="29"/>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支持单个标本审核与标本批量审核。</w:t>
      </w:r>
    </w:p>
    <w:p>
      <w:pPr>
        <w:numPr>
          <w:ilvl w:val="0"/>
          <w:numId w:val="29"/>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检验报告可实行双人审定制度,可以设定不同的审定权限。</w:t>
      </w:r>
    </w:p>
    <w:p>
      <w:pPr>
        <w:numPr>
          <w:ilvl w:val="0"/>
          <w:numId w:val="29"/>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审核后的检验结果，在没有上级授权的情况下不允许检验者进行修改；</w:t>
      </w:r>
    </w:p>
    <w:p>
      <w:pPr>
        <w:numPr>
          <w:ilvl w:val="0"/>
          <w:numId w:val="29"/>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检验结果修改记录回溯查询功能。</w:t>
      </w:r>
    </w:p>
    <w:p>
      <w:pPr>
        <w:numPr>
          <w:ilvl w:val="0"/>
          <w:numId w:val="29"/>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自动生成计算项目，判定结果高低状态，标示结果异常状态。</w:t>
      </w:r>
    </w:p>
    <w:p>
      <w:pPr>
        <w:numPr>
          <w:ilvl w:val="0"/>
          <w:numId w:val="29"/>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可要根据不同年龄、性别和生理周期自动调用不同的参考值，无此项者按缺省值。</w:t>
      </w:r>
    </w:p>
    <w:p>
      <w:pPr>
        <w:numPr>
          <w:ilvl w:val="0"/>
          <w:numId w:val="29"/>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结果审核检验项目支持在线查看检验项目知识支持，知识内容包括：中文名称、英文名称、临床意义、参考范围、医学决定水平、危急值范围、影响因素、病人准备、标本采集和运送要求等。</w:t>
      </w:r>
    </w:p>
    <w:p>
      <w:pPr>
        <w:numPr>
          <w:ilvl w:val="0"/>
          <w:numId w:val="29"/>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支持结果审核中当前标本的病人能一键查询该病人的所有检验结果。并且能够显示历史曲线图。</w:t>
      </w:r>
    </w:p>
    <w:p>
      <w:pPr>
        <w:numPr>
          <w:ilvl w:val="0"/>
          <w:numId w:val="25"/>
        </w:numPr>
        <w:spacing w:line="360" w:lineRule="auto"/>
        <w:jc w:val="both"/>
        <w:rPr>
          <w:rFonts w:ascii="仿宋" w:hAnsi="仿宋" w:eastAsia="仿宋"/>
          <w:sz w:val="24"/>
          <w:szCs w:val="24"/>
          <w:lang w:val="zh-CN"/>
        </w:rPr>
      </w:pPr>
      <w:r>
        <w:rPr>
          <w:rFonts w:hint="eastAsia" w:ascii="仿宋" w:hAnsi="仿宋" w:eastAsia="仿宋"/>
          <w:sz w:val="24"/>
          <w:szCs w:val="24"/>
          <w:lang w:val="zh-CN"/>
        </w:rPr>
        <w:t>标本状态</w:t>
      </w:r>
      <w:r>
        <w:rPr>
          <w:rFonts w:hint="eastAsia" w:ascii="仿宋" w:hAnsi="仿宋" w:eastAsia="仿宋"/>
          <w:sz w:val="24"/>
          <w:szCs w:val="24"/>
          <w:lang w:val="zh-CN"/>
        </w:rPr>
        <w:tab/>
      </w:r>
    </w:p>
    <w:p>
      <w:pPr>
        <w:numPr>
          <w:ilvl w:val="0"/>
          <w:numId w:val="30"/>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可按多种索引、关键字查询统计。查询结果可导出成EXCEL等多种格式。</w:t>
      </w:r>
    </w:p>
    <w:p>
      <w:pPr>
        <w:numPr>
          <w:ilvl w:val="0"/>
          <w:numId w:val="30"/>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根据权限不同，可进行跨检验专业组的报告查询，可也可按标本不同状态进行过滤查询。</w:t>
      </w:r>
    </w:p>
    <w:p>
      <w:pPr>
        <w:numPr>
          <w:ilvl w:val="0"/>
          <w:numId w:val="30"/>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支持有问题的标本退回处理。不合格标本登记，退回、重新采集和退费等功能支持。</w:t>
      </w:r>
    </w:p>
    <w:p>
      <w:pPr>
        <w:numPr>
          <w:ilvl w:val="0"/>
          <w:numId w:val="30"/>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检验总汇查询，并可支持图形化界面分类汇总显示。</w:t>
      </w:r>
    </w:p>
    <w:p>
      <w:pPr>
        <w:numPr>
          <w:ilvl w:val="0"/>
          <w:numId w:val="30"/>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支持全界面标本监控跟踪功能。</w:t>
      </w:r>
    </w:p>
    <w:p>
      <w:pPr>
        <w:pStyle w:val="9"/>
        <w:numPr>
          <w:ilvl w:val="0"/>
          <w:numId w:val="0"/>
        </w:numPr>
        <w:spacing w:line="360" w:lineRule="auto"/>
        <w:ind w:left="3"/>
        <w:rPr>
          <w:sz w:val="24"/>
          <w:szCs w:val="24"/>
          <w:lang w:eastAsia="zh-CN"/>
        </w:rPr>
      </w:pPr>
      <w:r>
        <w:rPr>
          <w:rFonts w:hint="eastAsia"/>
          <w:sz w:val="24"/>
          <w:szCs w:val="24"/>
          <w:lang w:eastAsia="zh-CN"/>
        </w:rPr>
        <w:t>标本条形码管理系统</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支持标本条形码打印格式。（条形码号唯一）</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支持标本条形码病人取单取回执单打印。</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支持标本条形码二维码打印。</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支持条形码自定义输出打印格式。</w:t>
      </w:r>
    </w:p>
    <w:p>
      <w:pPr>
        <w:pStyle w:val="9"/>
        <w:numPr>
          <w:ilvl w:val="0"/>
          <w:numId w:val="0"/>
        </w:numPr>
        <w:spacing w:line="360" w:lineRule="auto"/>
        <w:ind w:left="3"/>
        <w:rPr>
          <w:sz w:val="24"/>
          <w:szCs w:val="24"/>
          <w:lang w:eastAsia="zh-CN"/>
        </w:rPr>
      </w:pPr>
      <w:r>
        <w:rPr>
          <w:rFonts w:hint="eastAsia"/>
          <w:sz w:val="24"/>
          <w:szCs w:val="24"/>
          <w:lang w:eastAsia="zh-CN"/>
        </w:rPr>
        <w:t>质控管理系统</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室内、室间质量控制全程控制，可以设定对区域内所属管理的医疗机构进行远程质控管理。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实现自动接收仪器的质控结果。</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实现绘制质控图、标示结果失控或在控状态并打印输出, 自动判断仪器的失控和在控状态，并给操作者提示。质控图上标注试剂厂家、效期等信息。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实现支持多规则质控Westguard规则，并且支持自定义多规则选择。</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实现支持双水平质控管理。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自动计算X、SD、CV。</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自动按月生成质控报告。</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质控看版功能，对失控处理支持记录录入，维修、保养、定标、失控处理、样本比对等行为记录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支持同一个批号在不同仪器上的数据列表比较功能。</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质控数据成批输入与删除。</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可以追溯质控项目中靶值、标准差、CV%的修改记录。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对质控数据支持失控处理记录，可以记录纠正值、失控规则、纠正措施、处理结果、纠正评估等，并且能支持是否纳入统计。</w:t>
      </w:r>
    </w:p>
    <w:p>
      <w:pPr>
        <w:pStyle w:val="9"/>
        <w:numPr>
          <w:ilvl w:val="0"/>
          <w:numId w:val="0"/>
        </w:numPr>
        <w:spacing w:line="360" w:lineRule="auto"/>
        <w:ind w:left="3"/>
        <w:rPr>
          <w:sz w:val="24"/>
          <w:szCs w:val="24"/>
        </w:rPr>
      </w:pPr>
      <w:r>
        <w:rPr>
          <w:rFonts w:hint="eastAsia"/>
          <w:sz w:val="24"/>
          <w:szCs w:val="24"/>
        </w:rPr>
        <w:t>检验报告发布管理系统</w:t>
      </w:r>
    </w:p>
    <w:p>
      <w:pPr>
        <w:numPr>
          <w:ilvl w:val="0"/>
          <w:numId w:val="31"/>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审核后可自动打印检验报告单功能。</w:t>
      </w:r>
    </w:p>
    <w:p>
      <w:pPr>
        <w:numPr>
          <w:ilvl w:val="0"/>
          <w:numId w:val="31"/>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可通过颜色或字体区别常规报告、急诊报告、打印报告、未打印报告；对急诊报告能够自动提示检验操作人员，防止超时报告。</w:t>
      </w:r>
    </w:p>
    <w:p>
      <w:pPr>
        <w:numPr>
          <w:ilvl w:val="0"/>
          <w:numId w:val="31"/>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根据用户设置的打印规则，判断是否符合打印条件，自动调整打印输出检验报告单的内容，动态调整检验报告单。</w:t>
      </w:r>
    </w:p>
    <w:p>
      <w:pPr>
        <w:numPr>
          <w:ilvl w:val="0"/>
          <w:numId w:val="31"/>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可设置报告单类型，自定义报告单的输出内容，自定义报告单提示信息的方式。</w:t>
      </w:r>
    </w:p>
    <w:p>
      <w:pPr>
        <w:numPr>
          <w:ilvl w:val="0"/>
          <w:numId w:val="31"/>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检验报告可以转换成pdf、jpg等通用格式文件，保存和发布。</w:t>
      </w:r>
    </w:p>
    <w:p>
      <w:pPr>
        <w:numPr>
          <w:ilvl w:val="0"/>
          <w:numId w:val="31"/>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能够按科室或标本状态批量打印检验报告。</w:t>
      </w:r>
    </w:p>
    <w:p>
      <w:pPr>
        <w:numPr>
          <w:ilvl w:val="0"/>
          <w:numId w:val="31"/>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支持自助取单机自动打印检验报告单，支持市民卡、就诊卡、医保卡、条形码及输入卡号等方式进行自助打印；支持设定打印指定天数内的检验报告单。</w:t>
      </w:r>
    </w:p>
    <w:p>
      <w:pPr>
        <w:numPr>
          <w:ilvl w:val="0"/>
          <w:numId w:val="31"/>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支持自定义检验报告单格式的功能。</w:t>
      </w:r>
    </w:p>
    <w:p>
      <w:pPr>
        <w:numPr>
          <w:ilvl w:val="0"/>
          <w:numId w:val="31"/>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提供检验报告预览功能。</w:t>
      </w:r>
    </w:p>
    <w:p>
      <w:pPr>
        <w:numPr>
          <w:ilvl w:val="0"/>
          <w:numId w:val="31"/>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支持打印检验报告单时记录打印时间、打印人、打印机器。</w:t>
      </w:r>
    </w:p>
    <w:p>
      <w:pPr>
        <w:numPr>
          <w:ilvl w:val="0"/>
          <w:numId w:val="31"/>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支持可以设定检验报告单是否可以重复打印。</w:t>
      </w:r>
    </w:p>
    <w:p>
      <w:pPr>
        <w:numPr>
          <w:ilvl w:val="0"/>
          <w:numId w:val="31"/>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支持检验报告单防被伪造的机制和功能。</w:t>
      </w:r>
    </w:p>
    <w:p>
      <w:pPr>
        <w:pStyle w:val="9"/>
        <w:numPr>
          <w:ilvl w:val="0"/>
          <w:numId w:val="0"/>
        </w:numPr>
        <w:spacing w:line="360" w:lineRule="auto"/>
        <w:ind w:left="3"/>
        <w:rPr>
          <w:sz w:val="24"/>
          <w:szCs w:val="24"/>
          <w:lang w:eastAsia="zh-CN"/>
        </w:rPr>
      </w:pPr>
      <w:r>
        <w:rPr>
          <w:rFonts w:hint="eastAsia"/>
          <w:sz w:val="24"/>
          <w:szCs w:val="24"/>
          <w:lang w:eastAsia="zh-CN"/>
        </w:rPr>
        <w:t>危急值管理系统</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危急值发现信息主动推送提醒，有声音提醒，并且能记录。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支持危急值未处理提示处理功能，处理记录操作支持自动获取主管医生以及主管医生联系电话。</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支持危急值解除功能。</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支持危急值主动发送到医生、护理工作站，并能反馈医生确认收到信息，形在有效危急值闭环管理模式</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支持危急值登记册生成并打印功能。</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支持危急值查询分析功能。</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危急值按科室、项目统计功能。</w:t>
      </w:r>
    </w:p>
    <w:p>
      <w:pPr>
        <w:pStyle w:val="9"/>
        <w:numPr>
          <w:ilvl w:val="0"/>
          <w:numId w:val="0"/>
        </w:numPr>
        <w:spacing w:line="360" w:lineRule="auto"/>
        <w:ind w:left="3"/>
        <w:rPr>
          <w:sz w:val="24"/>
          <w:szCs w:val="24"/>
        </w:rPr>
      </w:pPr>
      <w:r>
        <w:rPr>
          <w:rFonts w:hint="eastAsia"/>
          <w:sz w:val="24"/>
          <w:szCs w:val="24"/>
        </w:rPr>
        <w:t>仪器通讯接口模块</w:t>
      </w:r>
    </w:p>
    <w:p>
      <w:pPr>
        <w:numPr>
          <w:ilvl w:val="0"/>
          <w:numId w:val="32"/>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支持检验仪器的单向通讯，可自动接收仪器检验结果。</w:t>
      </w:r>
    </w:p>
    <w:p>
      <w:pPr>
        <w:numPr>
          <w:ilvl w:val="0"/>
          <w:numId w:val="32"/>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支持检验仪器的双向通讯，对大型的生化、免疫类仪器，可以支持无固定位置的放置检验样本，而仪器通过扫描样本条码，直接从LIS系统读取检验项目，减少人工设置的工作量。</w:t>
      </w:r>
    </w:p>
    <w:p>
      <w:pPr>
        <w:numPr>
          <w:ilvl w:val="0"/>
          <w:numId w:val="32"/>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支持读入仪器操作系统的数据文件。</w:t>
      </w:r>
    </w:p>
    <w:p>
      <w:pPr>
        <w:numPr>
          <w:ilvl w:val="0"/>
          <w:numId w:val="32"/>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通讯诊断，通讯故障时，通讯程序支持故障提示，有对应通讯故障时的诊断功能。</w:t>
      </w:r>
    </w:p>
    <w:p>
      <w:pPr>
        <w:numPr>
          <w:ilvl w:val="0"/>
          <w:numId w:val="32"/>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提供试管打包机接口程序，支持不同厂家的试管打包机连接到LIS系统，可以把不同小组，不同设备所做的样本自动分开，针对不同采样信息自动进行样本采集的准备。</w:t>
      </w:r>
    </w:p>
    <w:p>
      <w:pPr>
        <w:numPr>
          <w:ilvl w:val="0"/>
          <w:numId w:val="32"/>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与HIS无缝对接接口（包括门诊、住院、诊间、自助打印/查询、病区护士站等）。</w:t>
      </w:r>
    </w:p>
    <w:p>
      <w:pPr>
        <w:pStyle w:val="9"/>
        <w:numPr>
          <w:ilvl w:val="0"/>
          <w:numId w:val="0"/>
        </w:numPr>
        <w:spacing w:line="360" w:lineRule="auto"/>
        <w:ind w:left="3"/>
        <w:rPr>
          <w:sz w:val="24"/>
          <w:szCs w:val="24"/>
          <w:lang w:eastAsia="zh-CN"/>
        </w:rPr>
      </w:pPr>
      <w:r>
        <w:rPr>
          <w:rFonts w:hint="eastAsia"/>
          <w:sz w:val="24"/>
          <w:szCs w:val="24"/>
          <w:lang w:eastAsia="zh-CN"/>
        </w:rPr>
        <w:t>HIS－LIS相关接口模块</w:t>
      </w:r>
    </w:p>
    <w:p>
      <w:pPr>
        <w:numPr>
          <w:ilvl w:val="0"/>
          <w:numId w:val="33"/>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数据传输采用基于Web的REST服务模式提供接口函数；</w:t>
      </w:r>
    </w:p>
    <w:p>
      <w:pPr>
        <w:numPr>
          <w:ilvl w:val="0"/>
          <w:numId w:val="33"/>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LIS系统从HIS系统中得到病人的基础信息如病人姓名、性别、民族、科室、诊断、检验项目等检验申请信息。</w:t>
      </w:r>
    </w:p>
    <w:p>
      <w:pPr>
        <w:numPr>
          <w:ilvl w:val="0"/>
          <w:numId w:val="33"/>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LIS系统从HIS数据库中得到病人的医嘱检验项目信息。</w:t>
      </w:r>
    </w:p>
    <w:p>
      <w:pPr>
        <w:numPr>
          <w:ilvl w:val="0"/>
          <w:numId w:val="33"/>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LIS系统向HIS返回医嘱检验项目信息的状态如记费状态，确认费用，退费信息。</w:t>
      </w:r>
    </w:p>
    <w:p>
      <w:pPr>
        <w:numPr>
          <w:ilvl w:val="0"/>
          <w:numId w:val="33"/>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LIS系统向HIS返回检验结果信息。</w:t>
      </w:r>
    </w:p>
    <w:p>
      <w:pPr>
        <w:pStyle w:val="8"/>
        <w:rPr>
          <w:lang w:eastAsia="zh-CN"/>
        </w:rPr>
      </w:pPr>
      <w:r>
        <w:rPr>
          <w:rFonts w:hint="eastAsia"/>
          <w:lang w:eastAsia="zh-CN"/>
        </w:rPr>
        <w:t>影像信息管理系统(PACS)</w:t>
      </w:r>
    </w:p>
    <w:p>
      <w:pPr>
        <w:pStyle w:val="9"/>
        <w:numPr>
          <w:ilvl w:val="0"/>
          <w:numId w:val="0"/>
        </w:numPr>
        <w:spacing w:line="360" w:lineRule="auto"/>
        <w:ind w:left="3"/>
        <w:rPr>
          <w:sz w:val="24"/>
          <w:szCs w:val="24"/>
        </w:rPr>
      </w:pPr>
      <w:r>
        <w:rPr>
          <w:rFonts w:hint="eastAsia"/>
          <w:sz w:val="24"/>
          <w:szCs w:val="24"/>
        </w:rPr>
        <w:t>检查登记管理系统</w:t>
      </w:r>
    </w:p>
    <w:p>
      <w:pPr>
        <w:numPr>
          <w:ilvl w:val="0"/>
          <w:numId w:val="34"/>
        </w:numPr>
        <w:spacing w:line="360" w:lineRule="auto"/>
        <w:jc w:val="both"/>
        <w:rPr>
          <w:rFonts w:ascii="仿宋" w:hAnsi="仿宋" w:eastAsia="仿宋"/>
          <w:sz w:val="24"/>
          <w:szCs w:val="24"/>
          <w:lang w:val="zh-CN"/>
        </w:rPr>
      </w:pPr>
      <w:r>
        <w:rPr>
          <w:rFonts w:hint="eastAsia" w:ascii="仿宋" w:hAnsi="仿宋" w:eastAsia="仿宋"/>
          <w:sz w:val="24"/>
          <w:szCs w:val="24"/>
          <w:lang w:val="zh-CN"/>
        </w:rPr>
        <w:t>服务器软件</w:t>
      </w:r>
    </w:p>
    <w:p>
      <w:pPr>
        <w:spacing w:line="360" w:lineRule="auto"/>
        <w:ind w:firstLine="480"/>
        <w:rPr>
          <w:rFonts w:ascii="仿宋" w:hAnsi="仿宋" w:eastAsia="仿宋"/>
          <w:sz w:val="24"/>
          <w:szCs w:val="24"/>
          <w:lang w:val="zh-CN"/>
        </w:rPr>
      </w:pPr>
      <w:r>
        <w:rPr>
          <w:rFonts w:hint="eastAsia" w:ascii="仿宋" w:hAnsi="仿宋" w:eastAsia="仿宋"/>
          <w:sz w:val="24"/>
          <w:szCs w:val="24"/>
          <w:lang w:val="zh-CN"/>
        </w:rPr>
        <w:t>1支持CR/DX/CT/MR/RF/XA/NM/PT/US/SC等各种DICOM数据类型。支持JPEG Lossless/Lossy压缩。</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rPr>
        <w:tab/>
      </w:r>
      <w:r>
        <w:rPr>
          <w:rFonts w:hint="eastAsia" w:ascii="仿宋" w:hAnsi="仿宋" w:eastAsia="仿宋"/>
          <w:sz w:val="24"/>
          <w:szCs w:val="24"/>
          <w:lang w:val="zh-CN" w:eastAsia="zh-CN"/>
        </w:rPr>
        <w:t>DICOM影像直接从影像设备传送到PACS服务器，无需通过其他PACS工作站中转。存储支持DAS、SAN、NAS等各种存储设备。</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支持对不同影像设备分別设定不同的传输语法和DICOM头信息信息提取策略。</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支持为各科室配置不同的存储访问优先级、不同压缩方法和压缩比。</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图像自动匹配。自动将影像与RIS系统中的信息匹配；同一检查影像自动归并；支持校验病人信息。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支持采用集中式数据库及分布式影像储存管理机制。分布式存储支持IHE XDS Register 服务软件，提供XDS文档注册服务；IHE XDS Repository 服务软件，整合数据中心的报告与影像；DICOM WADO Server 服务软件；PIX/PDQ 接口软件等。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各科室统一的用户界面和管理界面。可以根据用户的角色、工作组等多维参数，确定用户的权限。</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支持将用户登录/注销操作、数据更改操作（删除影像、修改影像信息、手工匹配/合并检查等）以Log方式记录。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影像和报告服务器分开，影像服务器故障时，诊断和临床应用不受影响；报告服务器故障时，确保用户仍可以从影像获取服务器取得影像；存储设备故障时，影像获取服务器仍可从影像设备获取影像。</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存储的影像文件名称可以自定义，方便直接拷贝和导出。</w:t>
      </w:r>
    </w:p>
    <w:p>
      <w:pPr>
        <w:numPr>
          <w:ilvl w:val="0"/>
          <w:numId w:val="34"/>
        </w:numPr>
        <w:spacing w:line="360" w:lineRule="auto"/>
        <w:jc w:val="both"/>
        <w:rPr>
          <w:rFonts w:ascii="仿宋" w:hAnsi="仿宋" w:eastAsia="仿宋"/>
          <w:sz w:val="24"/>
          <w:szCs w:val="24"/>
          <w:lang w:val="zh-CN"/>
        </w:rPr>
      </w:pPr>
      <w:r>
        <w:rPr>
          <w:rFonts w:hint="eastAsia" w:ascii="仿宋" w:hAnsi="仿宋" w:eastAsia="仿宋"/>
          <w:sz w:val="24"/>
          <w:szCs w:val="24"/>
          <w:lang w:val="zh-CN"/>
        </w:rPr>
        <w:t>医技检查登记系统</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申请单电子化，同时支持拍摄申请单和从医生站传电子申请单的方式。支持申请单拍摄，拍摄时间&lt;2秒；允许事后拍摄检查申请单。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支持急诊加快管理，在不明确病人信息下执行检查，后续补充和修改信息。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检查单打印，可打印条码，可设置打印张数。</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支持多个检查项目同时登记，支持检查的确认、取消和更改。查询和跟踪检查的状态。</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病人姓名拼音自动生成。</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支持病人信息归档：确保病人信息的准确性和一致性，必要时可手工纠正及保留修改痕迹。</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支持检查项目输入时可按照检查类型或检查设备过滤以便快速定位。</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自动核对来复检的病人，进行统一编号；支持手工编辑检查号以满足个性化要求。</w:t>
      </w:r>
    </w:p>
    <w:p>
      <w:pPr>
        <w:pStyle w:val="9"/>
        <w:numPr>
          <w:ilvl w:val="0"/>
          <w:numId w:val="0"/>
        </w:numPr>
        <w:spacing w:line="360" w:lineRule="auto"/>
        <w:ind w:left="3"/>
        <w:rPr>
          <w:sz w:val="24"/>
          <w:szCs w:val="24"/>
        </w:rPr>
      </w:pPr>
      <w:r>
        <w:rPr>
          <w:rFonts w:hint="eastAsia"/>
          <w:sz w:val="24"/>
          <w:szCs w:val="24"/>
        </w:rPr>
        <w:t>放射</w:t>
      </w:r>
      <w:r>
        <w:rPr>
          <w:rFonts w:hint="eastAsia"/>
          <w:sz w:val="24"/>
          <w:szCs w:val="24"/>
          <w:lang w:eastAsia="zh-CN"/>
        </w:rPr>
        <w:t>检查信息</w:t>
      </w:r>
      <w:r>
        <w:rPr>
          <w:rFonts w:hint="eastAsia"/>
          <w:sz w:val="24"/>
          <w:szCs w:val="24"/>
        </w:rPr>
        <w:t>管理系统</w:t>
      </w:r>
    </w:p>
    <w:p>
      <w:pPr>
        <w:numPr>
          <w:ilvl w:val="0"/>
          <w:numId w:val="35"/>
        </w:numPr>
        <w:spacing w:line="360" w:lineRule="auto"/>
        <w:jc w:val="both"/>
        <w:rPr>
          <w:rFonts w:ascii="仿宋" w:hAnsi="仿宋" w:eastAsia="仿宋"/>
          <w:sz w:val="24"/>
          <w:szCs w:val="24"/>
          <w:lang w:val="zh-CN"/>
        </w:rPr>
      </w:pPr>
      <w:r>
        <w:rPr>
          <w:rFonts w:hint="eastAsia" w:ascii="仿宋" w:hAnsi="仿宋" w:eastAsia="仿宋"/>
          <w:sz w:val="24"/>
          <w:szCs w:val="24"/>
          <w:lang w:val="zh-CN"/>
        </w:rPr>
        <w:t>病人数据管理</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支持多种查询条件组合查询。</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支持基本查询和高级查询。</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支持根据检查时间、登记时间、报告时间等各种时间查询。</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支持根据各种检查状态筛选。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支持各种医院使用编号的查询（影像号、模态号、门诊号、住院号、病历号等）。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支持特定编号奇偶过滤。</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支持汉字、拼音及拼音首字母查询病人姓名、请检医生、登记医生、报告医生等。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支持临床诊断、检查备注、影像表现、诊断结论等的精确查询及模糊查询。</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支持诊断组分类查询。</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支持多院区查询。</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支持亚专科分类检索。</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支持公有化和私有化快捷查询定义。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支持由用户自定义配置查询方式，支持自定义保存多种查询条件的组合，并一键查询出满足组合条件的信息。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查询项目可个性化配置。</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支持实时显示查询结果。</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大数据量自动优化显示。</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检查任务列表可以设置为自动或者手动刷新。</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支持任务优先级，且可用不同颜色标示，急诊病人置顶。</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支持病人信息、检查信息、设备信息、时间节点、状态信息等多项目显示。</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支持检查任务列表二次筛选查询，调整显示项目和顺序。</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支持历史检查和同名检查的同步查询显示。</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支持查看和补拍电子申请单。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支持影像自动匹配和归档。</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支持查看医嘱和临床诊断信息。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支持添加和查看检查备注，方便诊断医生与技师、临床医生之间沟通交流。</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支持链接查看电子病历、病理结果等外系统信息。</w:t>
      </w:r>
    </w:p>
    <w:p>
      <w:pPr>
        <w:numPr>
          <w:ilvl w:val="0"/>
          <w:numId w:val="35"/>
        </w:numPr>
        <w:spacing w:line="360" w:lineRule="auto"/>
        <w:jc w:val="both"/>
        <w:rPr>
          <w:rFonts w:ascii="仿宋" w:hAnsi="仿宋" w:eastAsia="仿宋"/>
          <w:sz w:val="24"/>
          <w:szCs w:val="24"/>
          <w:lang w:val="zh-CN"/>
        </w:rPr>
      </w:pPr>
      <w:r>
        <w:rPr>
          <w:rFonts w:hint="eastAsia" w:ascii="仿宋" w:hAnsi="仿宋" w:eastAsia="仿宋"/>
          <w:sz w:val="24"/>
          <w:szCs w:val="24"/>
          <w:lang w:val="zh-CN"/>
        </w:rPr>
        <w:t>报告编辑</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支持在工作列表、历史检查、同名检查、报告编辑和报告模板在一个界面上同屏展示，帮助医生快速定位检查，避免页面切换。</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自动获取检查相关信息显示。</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自动弹出检查申请单，自动获取相关检查申请单列表。</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自动加载当前病人的全部历史检查列表。</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可跨科室查看病人的历史检查。</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支持查看历史检查单，历史报告，历史图像。</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支持自动加载和调阅当前检查图像。</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支持自动加载和调阅当前检查的历史图像。</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能浏览其他影像科室检查的图像和诊断。</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提供检查备注功能：当技师在检查过程中发现了一些需要注意的情况，他们可以通过检查备注形式提请诊断医生注意。</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完全所见即所得的报告书写界面。</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报告书写框可根据书写内容自动调节大小，无需操作滚动条。</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支持多页报告。</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支持多报告文档同屏对比编辑，可同时打开三个以上报告进行编辑，支持病人当前报告与历史报告对比查看。</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当前报告与历史报告的位置可实现上下、左右等多种形式的对比。</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支持放射图文报告。</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支持图文中图像自动排版。</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支持编辑图文报告模板。</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支持报告书写和审核后自动关闭并打开列表顺序下一个病人的报告界面。</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支持报告富文本编辑，可调整字体大小，首行缩进，编号等展示形式，可对报告内容进行剪切、复制、粘贴、清空等操作。</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支持自动加载报告打印模板，可在书写报告时，根据模态随时切换打印模板。</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支持标准的报告打印格式模板，用户可自定义修改，以适应不同医院不同科室的需求，并可以根据用户要求定制需要的模板。</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支持导出打印模板。</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根据选择检查部位自动加载同级别的所有的诊断模板到诊断语句模板树中供用户选择。</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支持将当前书写的报告内容保存为诊断模板。</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用户可以方便灵活的定义诊断模板，提高报告生成速度，模板分为公用模和私有模板。</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支持将病人多个关联检查合并写一份报告。</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支持急诊报告特殊处理，在无图、无申请单状态下书写诊断报告。</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支持临时报告书写。</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支持报告内容合理性的自动验证：可自定义验证规则，如男性对应子宫等。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可设置报告可修改的时间限制，保证修改报告的及时性。</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支持二级医生审核。</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支持快速审核和批量审核报告。</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支持直接将书写完毕后的报告打印。</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可设置审核之后直接打印报告。</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支持急诊报告特殊打印和临时报告打印。</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支持报告批量打印功能。</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支持自助打印。</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支持报告电子签名。针对法规要求，可以配置显示电子签名/显示报告医生/显示签名，在医生签名栏打印显示为该医生的签字手迹图形。</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记录所有书写报告的过程及内容。支持修改痕迹保留，满足相关法律法规的要求。</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支持报告归类功能，可自动根据配置的归类信息保存。</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支持报告标记功能，标记阶段性、疾病的类型，可以进行流程控制要求一定要进行归类/标记。</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支持阴阳性结果标记。</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支持会诊标记，在编辑报告的同时标记此检查作为会诊讨论病例。</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支持通过检查类型、病人类型、病人ID号等组合查询回顾查看会诊病例。</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支持有权限的医生进行会诊结果录入。</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支持多个会诊医生签名。</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报告收藏功能，可以根据自己需要将感兴趣的病历材料保存为教学、个人收藏、分类收藏等，用于示教、写论文等。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支持报告医生对于胶片等级进行评定。</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支持介入治疗报告，记录该检查相关的介入治疗信息。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支持危急值/慢性病/传染病短信通知临床医生功能。</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支持病理结果、手术结果与诊断符合率管理。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支持科室排班管理。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支持检查项目、机房设备等管理内容。</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软件锁定功能：报告医生暂时离开时可锁定工作站，并只能通过输入当前用户的密码解开锁定。</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满足屏幕多分辨率显示要求。</w:t>
      </w:r>
    </w:p>
    <w:p>
      <w:pPr>
        <w:numPr>
          <w:ilvl w:val="0"/>
          <w:numId w:val="35"/>
        </w:numPr>
        <w:spacing w:line="360" w:lineRule="auto"/>
        <w:jc w:val="both"/>
        <w:rPr>
          <w:rFonts w:ascii="仿宋" w:hAnsi="仿宋" w:eastAsia="仿宋"/>
          <w:sz w:val="24"/>
          <w:szCs w:val="24"/>
          <w:lang w:val="zh-CN"/>
        </w:rPr>
      </w:pPr>
      <w:r>
        <w:rPr>
          <w:rFonts w:hint="eastAsia" w:ascii="仿宋" w:hAnsi="仿宋" w:eastAsia="仿宋"/>
          <w:sz w:val="24"/>
          <w:szCs w:val="24"/>
          <w:lang w:val="zh-CN"/>
        </w:rPr>
        <w:t>权限和用户管理</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可以按用户角色和组类别赋予使用权限，权限可以按照预约登记、诊断报告、主任工作站和管理平台等。每个用户必须使用各自的ID和密码登录系统。</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系统的所有用户由系统管理员统一创建，并根据该用户在业务流程中担任的角色设置用户权限，还可根据用户需求设置初始密码。</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用户登录系统后，对用户登录/离开，影响操作、数据更改都会被系统保留，以LOG的方式记录在数据库中并备份。</w:t>
      </w:r>
    </w:p>
    <w:p>
      <w:pPr>
        <w:pStyle w:val="9"/>
        <w:numPr>
          <w:ilvl w:val="0"/>
          <w:numId w:val="0"/>
        </w:numPr>
        <w:spacing w:line="360" w:lineRule="auto"/>
        <w:ind w:left="3"/>
        <w:rPr>
          <w:sz w:val="24"/>
          <w:szCs w:val="24"/>
        </w:rPr>
      </w:pPr>
      <w:r>
        <w:rPr>
          <w:rFonts w:hint="eastAsia"/>
          <w:sz w:val="24"/>
          <w:szCs w:val="24"/>
        </w:rPr>
        <w:t>放射影像阅片系统</w:t>
      </w:r>
    </w:p>
    <w:p>
      <w:pPr>
        <w:numPr>
          <w:ilvl w:val="0"/>
          <w:numId w:val="36"/>
        </w:numPr>
        <w:spacing w:line="360" w:lineRule="auto"/>
        <w:jc w:val="both"/>
        <w:rPr>
          <w:rFonts w:ascii="仿宋" w:hAnsi="仿宋" w:eastAsia="仿宋"/>
          <w:sz w:val="24"/>
          <w:szCs w:val="24"/>
          <w:lang w:val="zh-CN"/>
        </w:rPr>
      </w:pPr>
      <w:r>
        <w:rPr>
          <w:rFonts w:hint="eastAsia" w:ascii="仿宋" w:hAnsi="仿宋" w:eastAsia="仿宋"/>
          <w:sz w:val="24"/>
          <w:szCs w:val="24"/>
          <w:lang w:val="zh-CN"/>
        </w:rPr>
        <w:t>病人数据管理</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本地影像查询支持任意条件组合查询（检查日期、病人姓名、病人ID、性别、设备类型、检查描述、流水号）。</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本地影像查询支持不同科室、不同院区等多数据源查询。</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本地影像查询列表显示内容包含姓名，病人ID，性别，出生日期，设备类型，检查部位，检查名称，检查日期，检查时间，检查描述，流水号，序列数，图像数，数据源，检查状态，请检要求，病区，床号，确认状态，病人类型，机房，机器，检查UID。</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可以按照点击字段将列表中的数据列进行排序。</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通过拖动列表内的字段列标题，可以调整字段列的排列顺序。</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通过双击查询结果中的某一条数据记录，可以自动进入阅片界面查看图像。</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不影响当前阅片的情况下，可以将查询列表中的检查图像追加到阅片界面，支持多次追加。</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支持重新对病人信息和影像进行匹配。</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可取消已有病人信息和影像的匹配关系。</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支持对多个检查进行合并。</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区域影像查询支持按照检查日期、病人ID查询。</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提供DICOM影像查询/获取服务（DICOM Q/R），可为各种支持DICOM标准的影像设备提供影像查询/获取服务。</w:t>
      </w:r>
    </w:p>
    <w:p>
      <w:pPr>
        <w:numPr>
          <w:ilvl w:val="0"/>
          <w:numId w:val="36"/>
        </w:numPr>
        <w:spacing w:line="360" w:lineRule="auto"/>
        <w:jc w:val="both"/>
        <w:rPr>
          <w:rFonts w:ascii="仿宋" w:hAnsi="仿宋" w:eastAsia="仿宋"/>
          <w:sz w:val="24"/>
          <w:szCs w:val="24"/>
          <w:lang w:val="zh-CN"/>
        </w:rPr>
      </w:pPr>
      <w:r>
        <w:rPr>
          <w:rFonts w:hint="eastAsia" w:ascii="仿宋" w:hAnsi="仿宋" w:eastAsia="仿宋"/>
          <w:sz w:val="24"/>
          <w:szCs w:val="24"/>
          <w:lang w:val="zh-CN"/>
        </w:rPr>
        <w:t>阅片／图像查看</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rPr>
      </w:pPr>
      <w:r>
        <w:rPr>
          <w:rFonts w:hint="eastAsia" w:ascii="仿宋" w:hAnsi="仿宋" w:eastAsia="仿宋"/>
          <w:sz w:val="24"/>
          <w:szCs w:val="24"/>
          <w:lang w:val="zh-CN"/>
        </w:rPr>
        <w:t>支持常见影像类型的显示：CR、DX、DR、CT、MR、RF、XA、NM、PT、ES、MG、GM、US、SC。</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支持DICOM多帧图像的显示，包含US、RF 和XA 等设备类型。</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支持DICOM多帧影像显示播放、自动循环、调节帧率。</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支持序列影像动态播放显示。</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支持通过快捷键进行窗口序列快速切换。</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支持通过鼠标滚轮前后滚动进行图像翻页查看。</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支持通过滚动条进行翻页查看。</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支持通过快捷键进行单幅图像或整页图像翻页。</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支持图像翻页加速功能，支持整屏翻页查看图像。</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支持图像全选和多选。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可按影像编号进行正序和逆序排列。</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图像上的四角标注信息可以被隐藏和显示。</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支持查看DICOM图像的头文件信息。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支持查看其它用户保存过的表示一致性（PS）。</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支持病人、检查、序列二级树形嵌套结构展现检查、序列缩略图信息，系统支持自动将同一个病人的检查放在该病人的名下。</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支持多检查、多病人缩略图显示，可根据用户需要选择加载完整图像。</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缩略图可以折叠收起，也可以展开显示。</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可以通过拖拽或单击的方式将所要显示的图像显示在图像显示区中。</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选中序列窗口时，相对应的缩略图也会高亮显示。</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多屏上支持多个缩略图显示，方便使用。</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用户可以根据屏幕特性配置自定义配置缩略图显示的位置。</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在2G内存的终端电脑上，能加载8000张以上的图片，并能正常阅片。</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系统预置多种显示协议。可根据检查的设备类型、检查部位、图像参数以及是否包含历史检查等多种条件进行组合，提供用户所需的显示布局和显示数据。可根据用户的需要自定义显示协议。</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支持用户保存阅片操作（缩放、平移、调窗、测量、标注）。</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支持多屏显示，可以自定义多屏显示顺序。</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支持检查图像以序列（堆栈）模式显示。</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支持检查图像以平铺模式显示。</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支持将当前界面显示的布局保存为个人显示布局。</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序列显示下可以将序列窗口放大到整个屏幕显示。</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根据图像类型自动切换最佳匹配工具栏。</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支持当前图像与历史图像同步查看，支持选中图像窗口同步对比查看。</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支持CT/MR图像同一检查内多序列自动同步滚动查看。</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支持CT/MR图像同一检查或不同检查内多序列手动同步滚动查看。</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支持MR和CT影像的定位线显示。</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同一检查内多序列图像多定位线交叉引用，可实时显示图像间的空间位置关系。</w:t>
      </w:r>
    </w:p>
    <w:p>
      <w:pPr>
        <w:spacing w:line="360" w:lineRule="auto"/>
        <w:ind w:firstLine="480"/>
        <w:rPr>
          <w:rFonts w:ascii="仿宋" w:hAnsi="仿宋" w:eastAsia="仿宋"/>
          <w:sz w:val="24"/>
          <w:szCs w:val="24"/>
          <w:lang w:val="zh-CN"/>
        </w:rPr>
      </w:pPr>
      <w:r>
        <w:rPr>
          <w:rFonts w:hint="eastAsia" w:ascii="仿宋" w:hAnsi="仿宋" w:eastAsia="仿宋"/>
          <w:sz w:val="24"/>
          <w:szCs w:val="24"/>
          <w:lang w:val="zh-CN"/>
        </w:rPr>
        <w:t>支持对CT、MR不同序列之间的三向联动显示功能（Triangulation），能实时显示鼠标指定位置在其他序列反映的准确位置。</w:t>
      </w:r>
    </w:p>
    <w:p>
      <w:pPr>
        <w:numPr>
          <w:ilvl w:val="0"/>
          <w:numId w:val="36"/>
        </w:numPr>
        <w:spacing w:line="360" w:lineRule="auto"/>
        <w:jc w:val="both"/>
        <w:rPr>
          <w:rFonts w:ascii="仿宋" w:hAnsi="仿宋" w:eastAsia="仿宋"/>
          <w:sz w:val="24"/>
          <w:szCs w:val="24"/>
          <w:lang w:val="zh-CN"/>
        </w:rPr>
      </w:pPr>
      <w:r>
        <w:rPr>
          <w:rFonts w:hint="eastAsia" w:ascii="仿宋" w:hAnsi="仿宋" w:eastAsia="仿宋"/>
          <w:sz w:val="24"/>
          <w:szCs w:val="24"/>
          <w:lang w:val="zh-CN"/>
        </w:rPr>
        <w:t>图像处理</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可对图像窗口进行缩小和放大操作。</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可将限定区域内的图像放大查看。</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支持图像在显示窗口平面内移动位置，以便查看图像的不同部分。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图像可向左、右、垂直、水平旋转。</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支持对图像（非彩色图、非伪彩色图）进行窗宽（Window Width）、窗位（Window Level）调节，改变显示效果。</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图像可显示为反色状态。</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可对图像上感兴趣区域（ROI）进行窗宽窗位调节。</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系统根据不同设备类型的图像提供常用的窗宽窗位信息，用户可以自定义。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支持高级图像组织均衡功能。</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将选定窗口影像恢复为初始加载影像的显示。</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支持原始序列图像导出。</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支持原始检查图像导出。</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支持导出原始图像和当前窗口所见图像，导出时可以选择缩放比例。</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支持导出多种格式的单帧图像和多帧图像的检查。</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导出界面可以选择导出的图像是否“隐藏四角信息”，“隐藏姓名”。</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支持导入一幅或多幅多种格式（DCM、BMP、JPG）的图像文件。</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支持导入检查并与已有病人图像进行关联。</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将鼠标放置在图像左侧、中间、右侧不同区域，可进行常用操作（平移、快速翻页、缩放）功能，而不需要通过点击工具栏的切换按钮执行。</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支持同一个病人的多个检查合并和删除。</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支持手动和自动拆分序列。</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支持新生成的图像序列上传服务器。</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支持将选中的图像/序列/检查发送到指定的DICOM节点。</w:t>
      </w:r>
    </w:p>
    <w:p>
      <w:pPr>
        <w:numPr>
          <w:ilvl w:val="0"/>
          <w:numId w:val="36"/>
        </w:numPr>
        <w:spacing w:line="360" w:lineRule="auto"/>
        <w:jc w:val="both"/>
        <w:rPr>
          <w:rFonts w:ascii="仿宋" w:hAnsi="仿宋" w:eastAsia="仿宋"/>
          <w:sz w:val="24"/>
          <w:szCs w:val="24"/>
          <w:lang w:val="zh-CN"/>
        </w:rPr>
      </w:pPr>
      <w:r>
        <w:rPr>
          <w:rFonts w:hint="eastAsia" w:ascii="仿宋" w:hAnsi="仿宋" w:eastAsia="仿宋"/>
          <w:sz w:val="24"/>
          <w:szCs w:val="24"/>
          <w:lang w:val="zh-CN"/>
        </w:rPr>
        <w:t>测量标注</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提供长度/距离测量、角度测量、单点CT值。</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提供矩形或椭圆感兴趣区域（ROI）测量。</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提供平片心胸比测量，可以自动计算并显示心胸比值。</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用于CT、MR图像的感兴趣区域的密度统计直方图显示。</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支持平片图像骨科专业测量（两线测量、髋臼指数测量、中心线测量、平行线测量）。</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在图像上添加文字标注。</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在图像上添加箭头标注指向感兴趣特征点。</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对于测量值可以进行移动和修改，避免遮挡病灶部位。</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可以将测量标注复制后粘贴到新图像的相对应位置。</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可以删除单次测量和图像上全部的测量标注。</w:t>
      </w:r>
    </w:p>
    <w:p>
      <w:pPr>
        <w:numPr>
          <w:ilvl w:val="0"/>
          <w:numId w:val="36"/>
        </w:numPr>
        <w:spacing w:line="360" w:lineRule="auto"/>
        <w:jc w:val="both"/>
        <w:rPr>
          <w:rFonts w:ascii="仿宋" w:hAnsi="仿宋" w:eastAsia="仿宋"/>
          <w:sz w:val="24"/>
          <w:szCs w:val="24"/>
          <w:lang w:val="zh-CN"/>
        </w:rPr>
      </w:pPr>
      <w:r>
        <w:rPr>
          <w:rFonts w:hint="eastAsia" w:ascii="仿宋" w:hAnsi="仿宋" w:eastAsia="仿宋"/>
          <w:sz w:val="24"/>
          <w:szCs w:val="24"/>
          <w:lang w:val="zh-CN"/>
        </w:rPr>
        <w:t>影像打印输出</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支持多种影像选择方式（单幅、序列、检查、屏幕显示）发送到打印。</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支持将多帧影像发送到打印窗口。</w:t>
      </w:r>
    </w:p>
    <w:p>
      <w:pPr>
        <w:spacing w:line="360" w:lineRule="auto"/>
        <w:ind w:firstLine="480"/>
        <w:rPr>
          <w:rFonts w:ascii="仿宋" w:hAnsi="仿宋" w:eastAsia="仿宋"/>
          <w:sz w:val="24"/>
          <w:szCs w:val="24"/>
          <w:lang w:val="zh-CN"/>
        </w:rPr>
      </w:pPr>
      <w:r>
        <w:rPr>
          <w:rFonts w:hint="eastAsia" w:ascii="仿宋" w:hAnsi="仿宋" w:eastAsia="仿宋"/>
          <w:sz w:val="24"/>
          <w:szCs w:val="24"/>
          <w:lang w:val="zh-CN"/>
        </w:rPr>
        <w:t>支持DICOM打印。</w:t>
      </w:r>
    </w:p>
    <w:p>
      <w:pPr>
        <w:spacing w:line="360" w:lineRule="auto"/>
        <w:ind w:firstLine="480"/>
        <w:rPr>
          <w:rFonts w:ascii="仿宋" w:hAnsi="仿宋" w:eastAsia="仿宋"/>
          <w:sz w:val="24"/>
          <w:szCs w:val="24"/>
          <w:lang w:val="zh-CN"/>
        </w:rPr>
      </w:pPr>
      <w:r>
        <w:rPr>
          <w:rFonts w:hint="eastAsia" w:ascii="仿宋" w:hAnsi="仿宋" w:eastAsia="仿宋"/>
          <w:sz w:val="24"/>
          <w:szCs w:val="24"/>
          <w:lang w:val="zh-CN"/>
        </w:rPr>
        <w:t>支持按需打印。</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支持各类DICOM激光相机，如干式/湿式。</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可针对不同影像设备分别设定不同的胶片打印模式。</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可根据用户的需求设置存储策略，在删除“电子胶片”前可以确认“实物胶片”是否打印。</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支持多相机输出胶片时的负载均衡功能。</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服务器可接受的打印客户端并发数&gt;5；响应打印指令时间&lt;5秒。</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支持最小化、简洁窗口和完整操作界面三种打印界面的显示。</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支持打印任务列表显示，并可重启、取消打印任务。</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根据设备类型、胶片尺寸和方向自动匹配胶片版式，用户可以自定义设置。</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支持多页胶片打印，可以进行翻页操作。</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支持新建和删除胶片。</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支持删除单张胶片内单幅和全部图像。</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支持将单张胶片内的某单元格拆分成多个分格。</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同一胶片上的图像可通过拖拽任意调整位置。</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支持手动和自动重排功能，可以在用户需要时自动填充空白图像单元格。</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可以对打印四角信息的字体大小进行调整。</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可以隐藏打印四角信息或单独隐藏病人姓名。</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支持在打印界面进行图像的缩放、平移、窗宽窗位调整、反色、旋转和翻转等操作。</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胶片排版时可以选择定位像。</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支持测量标注信息附加到图像上进行打印。</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给图像标注左右等位置信息。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可以设置打印节点、尺寸、胶片方向、打印格式、打印份数等。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支持胶片和纸质打印。</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将选定图像复制到剪贴板，可提供给其他程序使用。</w:t>
      </w:r>
    </w:p>
    <w:p>
      <w:pPr>
        <w:pStyle w:val="9"/>
        <w:numPr>
          <w:ilvl w:val="0"/>
          <w:numId w:val="0"/>
        </w:numPr>
        <w:spacing w:line="360" w:lineRule="auto"/>
        <w:ind w:left="3"/>
        <w:rPr>
          <w:sz w:val="24"/>
          <w:szCs w:val="24"/>
        </w:rPr>
      </w:pPr>
      <w:r>
        <w:rPr>
          <w:rFonts w:hint="eastAsia"/>
          <w:sz w:val="24"/>
          <w:szCs w:val="24"/>
        </w:rPr>
        <w:t>超声管理系统</w:t>
      </w:r>
    </w:p>
    <w:p>
      <w:pPr>
        <w:numPr>
          <w:ilvl w:val="0"/>
          <w:numId w:val="37"/>
        </w:numPr>
        <w:spacing w:line="360" w:lineRule="auto"/>
        <w:jc w:val="both"/>
        <w:rPr>
          <w:rFonts w:ascii="仿宋" w:hAnsi="仿宋" w:eastAsia="仿宋"/>
          <w:sz w:val="24"/>
          <w:szCs w:val="24"/>
          <w:lang w:val="zh-CN"/>
        </w:rPr>
      </w:pPr>
      <w:r>
        <w:rPr>
          <w:rFonts w:hint="eastAsia" w:ascii="仿宋" w:hAnsi="仿宋" w:eastAsia="仿宋"/>
          <w:sz w:val="24"/>
          <w:szCs w:val="24"/>
          <w:lang w:val="zh-CN"/>
        </w:rPr>
        <w:t>超声图像采集</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rPr>
      </w:pPr>
      <w:r>
        <w:rPr>
          <w:rFonts w:hint="eastAsia" w:ascii="仿宋" w:hAnsi="仿宋" w:eastAsia="仿宋"/>
          <w:sz w:val="24"/>
          <w:szCs w:val="24"/>
          <w:lang w:val="zh-CN"/>
        </w:rPr>
        <w:t>提供高精度的S-Video接口采集和复合视频接口图像采集方式。</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支持从超声设备直接采集单帧（DICOM）、多帧（DICOM）。</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支持匿名采集、后台采集或异步采集，支持超声报告与图像采集分离的工作方式</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采集静态图像，采集数量不限。</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采集动态图像，形成DICOM多帧格式或AVI影片格式，时间不限，可实时回放。</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768×576×24bit高精度的图像获取。</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鼠标拖曳即可完成图像筛选功能，方便快捷。</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为了使医生能单人操作，支持多功能小键盘或脚踏开关。</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支持采集卡+DICOM双工模式，满足各种规模医院的应用需求。</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支持浮动视频监控窗口，可缩放并支持鼠标拖动。</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支持缩略图栏，在缩略图上点击鼠标可放大显示图像。</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支持在缩略栏调整图像所属检查。</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支持报告书写界面和图像显示界面同屏显示。</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图像显示界面可手动调节大小、拖拽、位置移动。</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支持全选所有图像功能，图像删除功能。</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支持图像导入、导出功能，支持BMP/JPG格式。</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支持录像导出功能。</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支持调节图像显示参数，如大小、亮度、对比度等。</w:t>
      </w:r>
    </w:p>
    <w:p>
      <w:pPr>
        <w:numPr>
          <w:ilvl w:val="0"/>
          <w:numId w:val="37"/>
        </w:numPr>
        <w:spacing w:line="360" w:lineRule="auto"/>
        <w:jc w:val="both"/>
        <w:rPr>
          <w:rFonts w:ascii="仿宋" w:hAnsi="仿宋" w:eastAsia="仿宋"/>
          <w:sz w:val="24"/>
          <w:szCs w:val="24"/>
          <w:lang w:val="zh-CN"/>
        </w:rPr>
      </w:pPr>
      <w:r>
        <w:rPr>
          <w:rFonts w:hint="eastAsia" w:ascii="仿宋" w:hAnsi="仿宋" w:eastAsia="仿宋"/>
          <w:sz w:val="24"/>
          <w:szCs w:val="24"/>
          <w:lang w:val="zh-CN"/>
        </w:rPr>
        <w:t>超声图文报告</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报告撰写、审核，基于专家模版的计算机辅助报告系统。</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丰富的检查诊断知识库，并配有常用术语（可以随时添加和修改）。</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支持在工作列表、历史检查、同名检查、报告编辑和报告模板在一个界面上同屏展示，帮助医生快速定位检查，避免页面切换。</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自动弹出检查申请单，自动获取相关检查申请单列表。</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自动加载当前病人的全部历史检查列表。</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完全所见即所得的报告书写界面。</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报告书写框可根据书写内容自动调节大小，无需操作滚动条。</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支持多页报告。</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支持多报告文档同屏对比编辑，可同时打开三个以上报告进行编辑，支持病人当前报告与历史报告对比查看。</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当前报告与历史报告的位置可实现上下、左右等多种形式的对比。</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支持图文报告，支持图文中图像自动排版。</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支持编辑图文报告模板。</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支持报告书写和审核后自动关闭并打开列表顺序下一个病人的报告界面。</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支持报告富文本编辑，可调整字体大小，首行缩进，编号等展示形式，可对报告内容进行剪切、复制、粘贴、清空等操作。</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支持自动加载报告打印模板，可在书写报告时，根据模态随时切换打印模板。</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支持标准的报告打印格式模板，用户可自定义修改，以适应不同医院不同科室的需求，并可以根据用户要求定制需要的模板。</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支持导出打印模板。</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根据选择检查部位自动加载同级别的所有的诊断模板到诊断语句模板树中供用户选择。</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支持将当前书写的报告内容保存为诊断模板。</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用户可以方便灵活的定义诊断模板，提高报告生成速度，模板分为公用模和私有模板。</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支持关键词功能，可由用户自定义设置关键词。</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支持鼠标选择关键词和键盘选择关键词。</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支持将病人多个关联检查合并写一份报告。</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支持急诊报告特殊处理，在无图、无申请单状态下书写诊断报告。</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支持临时报告书写。</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支持报告内容合理性的自动验证：可自定义验证规则，如男性对应子宫等。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支持批量编写体检病人报告。</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支持书写诊断报告的同时后台采集，无需切换界面。</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可设置报告可修改的时间限制，保证修改报告的及时性。</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支持二级医生审核。</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支持快速审核和批量审核报告。</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支持直接将书写完毕后的报告打印。</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可设置审核之后直接打印报告。</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支持急诊报告特殊打印和临时报告打印。</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支持报告批量打印功能。</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支持图文报告自助打印。</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支持报告电子签名。针对法规要求，可以配置显示电子签名/显示报告医生/显示签名，在医生签名栏打印显示为该医生的签字手迹图形。</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记录所有书写报告的过程及内容，支持修改痕迹保留，满足相关法律法规的要求。</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支持报告归类功能，可自动根据配置的归类信息保存。</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支持报告标记功能，标记阶段性、疾病的类型，可以进行流程控制要求一定要进行归类/标记。</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超声工作站打开10幅US图像的速度不大于3秒。</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超声工作站可支持彩色和黑白图像采集、显示。</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超声工作站实行口令授权登录的方式，防止非指定人员进入。</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软件锁定功能：报告医生暂时离开时可锁定工作站，并只能通过输入当前用户的密码解开锁定。</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满足屏幕多分辨率显示要求。</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报告收藏功能，可以根据自己需要将感兴趣的病历材料保存为教学、个人收藏、分类收藏等，用于示教、写论文等。</w:t>
      </w:r>
    </w:p>
    <w:p>
      <w:pPr>
        <w:pStyle w:val="9"/>
        <w:numPr>
          <w:ilvl w:val="0"/>
          <w:numId w:val="0"/>
        </w:numPr>
        <w:spacing w:line="360" w:lineRule="auto"/>
        <w:ind w:left="3"/>
        <w:rPr>
          <w:sz w:val="24"/>
          <w:szCs w:val="24"/>
        </w:rPr>
      </w:pPr>
      <w:r>
        <w:rPr>
          <w:rFonts w:hint="eastAsia"/>
          <w:sz w:val="24"/>
          <w:szCs w:val="24"/>
        </w:rPr>
        <w:t>内窥镜管理系统</w:t>
      </w:r>
    </w:p>
    <w:p>
      <w:pPr>
        <w:numPr>
          <w:ilvl w:val="0"/>
          <w:numId w:val="38"/>
        </w:numPr>
        <w:spacing w:line="360" w:lineRule="auto"/>
        <w:jc w:val="both"/>
        <w:rPr>
          <w:rFonts w:ascii="仿宋" w:hAnsi="仿宋" w:eastAsia="仿宋"/>
          <w:sz w:val="24"/>
          <w:szCs w:val="24"/>
          <w:lang w:val="zh-CN"/>
        </w:rPr>
      </w:pPr>
      <w:r>
        <w:rPr>
          <w:rFonts w:hint="eastAsia" w:ascii="仿宋" w:hAnsi="仿宋" w:eastAsia="仿宋"/>
          <w:sz w:val="24"/>
          <w:szCs w:val="24"/>
          <w:lang w:val="zh-CN"/>
        </w:rPr>
        <w:t>内镜图像采集</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支持从DICOM 3.0接口的内镜设备传输影像至工作站；支持胃镜、肠镜、喉镜、支气管镜等各种内窥镜。</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支持通过图像采集卡从内镜设备直接采集单帧（DICOM）、多帧（DICOM），支持采集卡+DICOM双工模式，满足各种规模医院的应用需求。</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采集动态图像，形成DICOM多帧格式或AVI影片格式，时间不限，可在任何符合DICOM 3.0的PACS系统中实时回放。</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支持鼠标、键盘、外接小键盘、脚踏开关等多种采集触发方式；外接小键盘三个键之内，方便操作，并且能绑定在内镜键盘上。</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支持图像冻结数秒后（可自定义）自动采集图像的功能，支持动态录像（AVI）采集、回放、在回放过程中采集单帧影像。</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支持匿名采集、后台采集或异步采集，支持内镜报告与图像采集分离的工作方式。</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支持在采集时设置对视频窗口进行裁剪。</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支持多帧DICOM图像循环播放，可以手动设定播放速率。</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支持浮动视频监控窗口，可缩放并支持鼠标拖动。</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支持缩略图栏，在缩略图上点击鼠标可放大显示图像。</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支持在缩略栏调整图像所属检查。</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支持报告书写界面和图像显示界面同屏显示。</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图像显示界面可手动调节大小、拖拽、位置移动。</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支持图像导入、导出功能，支持BMP／JPG／TIF／DICOM格式，可以实现自动DICOM格式图像的发送。</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支持录像导出功能。</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影像数据能够存储在本地硬盘，支持在线、离线存储方式。</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支持多种图像后处理功能（大小、亮度、对比度调节等）。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显示黑白和彩色影像。</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支持为采集下来的每一幅影像添加描述文字标注，并可打印在诊断报告上。</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支持单工作站以及整个系统的图像备份和恢复（CD／DVD刻录）。</w:t>
      </w:r>
    </w:p>
    <w:p>
      <w:pPr>
        <w:numPr>
          <w:ilvl w:val="0"/>
          <w:numId w:val="38"/>
        </w:numPr>
        <w:spacing w:line="360" w:lineRule="auto"/>
        <w:jc w:val="both"/>
        <w:rPr>
          <w:rFonts w:ascii="仿宋" w:hAnsi="仿宋" w:eastAsia="仿宋"/>
          <w:sz w:val="24"/>
          <w:szCs w:val="24"/>
          <w:lang w:val="zh-CN"/>
        </w:rPr>
      </w:pPr>
      <w:r>
        <w:rPr>
          <w:rFonts w:hint="eastAsia" w:ascii="仿宋" w:hAnsi="仿宋" w:eastAsia="仿宋"/>
          <w:sz w:val="24"/>
          <w:szCs w:val="24"/>
          <w:lang w:val="zh-CN"/>
        </w:rPr>
        <w:t>内镜图文报告</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报告撰写、审核，基于专家模版的计算机辅助报告系统。</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丰富的检查诊断知识库，并配有常用术语（可以随时添加和修改）。</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以固定描述项和可选项以及多级短语的方式组织报告模版。</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支持为不同的内窥镜定义各自的诊断报告模版并可由用户自定义。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支持在工作列表、历史检查、同名检查、报告编辑和报告模板在一个界面上同屏展示，帮助医生快速定位检查，避免页面切换。</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自动弹出检查申请单，自动获取相关检查申请单列表。</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自动加载当前病人的全部历史检查列表。</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完全所见即所得的报告书写界面。</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报告书写框可根据书写内容自动调节大小，无需操作滚动条。</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支持多页报告。</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支持多报告文档同屏对比编辑，可同时打开三个以上报告进行编辑，支持病人当前报告与历史报告对比查看。</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当前报告与历史报告的位置可实现上下、左右等多种形式的对比。</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支持图文报告，支持图文中图像自动排版。</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支持编辑图文报告模板。</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支持报告书写和审核后自动关闭并打开列表顺序下一个病人的报告界面。</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支持报告富文本编辑，可调整字体大小，首行缩进，编号等展示形式，可对报告内容进行剪切、复制、粘贴、清空等操作。</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支持自动加载报告打印模板，可在书写报告时，根据模态随时切换打印模板。</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支持标准的报告打印格式模板，用户可自定义修改，以适应不同医院不同科室的需求，并可以根据用户要求定制需要的模板。</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支持导出打印模板。</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根据选择检查部位自动加载同级别的所有的诊断模板到诊断语句模板树中供用户选择。</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支持将当前书写的报告内容保存为诊断模板。</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用户可以方便灵活的定义诊断模板，提高报告生成速度，模板分为公用模和私有模板。</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支持关键词功能，可由用户自定义设置关键词。</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支持鼠标选择关键词和键盘选择关键词。</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支持书写诊断报告的同时后台采集，无需切换界面。</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支持将病人多个关联检查合并写一份报告。</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支持急诊报告特殊处理，在无图、无申请单状态下书写诊断报告。</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支持临时报告书写。</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支持报告内容合理性的自动验证：可自定义验证规则，如男性对应子宫等。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支持书写诊断报告的同时后台采集，无需切换界面。</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可针对特定疾病、诊断结果、影像表征进行组合查询。</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支持影像诊断和临床病理诊断符合率统计查询。</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在缩略图栏即可完成报告贴图选择，并可支持贴图顺序，不限贴图数量。</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支持先贴图后文字、先文字后贴图、文字与贴图混排等多种报告单格式。</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支持有权限的医生进行报告回退操作。</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可设置报告可修改的时间限制，保证修改报告的及时性。</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支持二级医生审核。</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支持快速审核和批量审核报告。</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支持直接将书写完毕后的报告打印。</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可设置审核之后直接打印报告。</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支持急诊报告特殊打印和临时报告打印。</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支持报告批量打印功能。</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支持报告电子签名。针对法规要求，可以配置显示电子签名/显示报告医生/显示签名，在医生签名栏打印显示为该医生的签字手迹图形。</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记录所有书写报告的过程及内容，支持修改痕迹保留，满足相关法律法规的要求。</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支持报告标记和疾病归类功能，便于病例归档和统计分析。</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支持解剖示意图功能，可为不同的检查项目分别定义解剖示意图。</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支持解剖示意图定位标记功能，标记可拖放并自动以颜色区别。</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解剖示意图可以与定位标记结合后，打印在诊断报告上。</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内镜工作站实行口令授权登录的方式，防止非指定人员进入。</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软件锁定功能：报告医生暂时离开时可锁定工作站，并只能通过输入当前用户的密码解开锁定。</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满足屏幕多分辨率显示要求。</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报告收藏功能，可以根据自己需要将感兴趣的病历材料保存为教学、个人收藏、分类收藏等，用于示教、写论文等。</w:t>
      </w:r>
    </w:p>
    <w:p>
      <w:pPr>
        <w:pStyle w:val="9"/>
        <w:numPr>
          <w:ilvl w:val="0"/>
          <w:numId w:val="0"/>
        </w:numPr>
        <w:spacing w:line="360" w:lineRule="auto"/>
        <w:ind w:left="3"/>
        <w:rPr>
          <w:sz w:val="24"/>
          <w:szCs w:val="24"/>
        </w:rPr>
      </w:pPr>
      <w:r>
        <w:rPr>
          <w:rFonts w:hint="eastAsia"/>
          <w:sz w:val="24"/>
          <w:szCs w:val="24"/>
        </w:rPr>
        <w:t>科室主任管理系统</w:t>
      </w:r>
    </w:p>
    <w:p>
      <w:pPr>
        <w:numPr>
          <w:ilvl w:val="0"/>
          <w:numId w:val="39"/>
        </w:numPr>
        <w:spacing w:line="360" w:lineRule="auto"/>
        <w:jc w:val="both"/>
        <w:rPr>
          <w:rFonts w:ascii="仿宋" w:hAnsi="仿宋" w:eastAsia="仿宋"/>
          <w:sz w:val="24"/>
          <w:szCs w:val="24"/>
          <w:lang w:val="zh-CN"/>
        </w:rPr>
      </w:pPr>
      <w:r>
        <w:rPr>
          <w:rFonts w:hint="eastAsia" w:ascii="仿宋" w:hAnsi="仿宋" w:eastAsia="仿宋"/>
          <w:sz w:val="24"/>
          <w:szCs w:val="24"/>
          <w:lang w:val="zh-CN"/>
        </w:rPr>
        <w:t>统计管理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医生工作量统计、登记员工作量统计、检查技师工作量统计，支持加权统计，可以灵活配置权值。</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诊断阳性率统计。</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诊断符合率统计。</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特殊疾病统计。</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检查项目明细统计。</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申请科室明细统计。</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统计报表保存、打印和导出。</w:t>
      </w:r>
    </w:p>
    <w:p>
      <w:pPr>
        <w:numPr>
          <w:ilvl w:val="0"/>
          <w:numId w:val="39"/>
        </w:numPr>
        <w:spacing w:line="360" w:lineRule="auto"/>
        <w:jc w:val="both"/>
        <w:rPr>
          <w:rFonts w:ascii="仿宋" w:hAnsi="仿宋" w:eastAsia="仿宋"/>
          <w:sz w:val="24"/>
          <w:szCs w:val="24"/>
          <w:lang w:val="zh-CN"/>
        </w:rPr>
      </w:pPr>
      <w:r>
        <w:rPr>
          <w:rFonts w:hint="eastAsia" w:ascii="仿宋" w:hAnsi="仿宋" w:eastAsia="仿宋"/>
          <w:sz w:val="24"/>
          <w:szCs w:val="24"/>
          <w:lang w:val="zh-CN"/>
        </w:rPr>
        <w:t>主任管理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报告内容模板、打印模板、统计模板管理。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用户管理、角色和权限管理等。</w:t>
      </w:r>
    </w:p>
    <w:p>
      <w:pPr>
        <w:pStyle w:val="9"/>
        <w:numPr>
          <w:ilvl w:val="0"/>
          <w:numId w:val="0"/>
        </w:numPr>
        <w:spacing w:line="360" w:lineRule="auto"/>
        <w:ind w:left="3"/>
        <w:rPr>
          <w:sz w:val="24"/>
          <w:szCs w:val="24"/>
          <w:lang w:eastAsia="zh-CN"/>
        </w:rPr>
      </w:pPr>
      <w:r>
        <w:rPr>
          <w:rFonts w:hint="eastAsia"/>
          <w:sz w:val="24"/>
          <w:szCs w:val="24"/>
          <w:lang w:eastAsia="zh-CN"/>
        </w:rPr>
        <w:t>影像报告管理系统</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支持在工作列表、历史检查、同名检查、报告编辑和报告模板在一个界面上同屏展示，帮助医生快速定位检查，避免页面切换。</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自动获取检查相关信息显示。</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自动弹出检查申请单，自动获取相关检查申请单列表。</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自动加载当前病人的全部历史检查列表。</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可跨科室查看病人的历史检查。</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支持查看历史检查单，历史报告，历史图像。</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支持自动加载和调阅当前检查图像。</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支持自动加载和调阅当前检查的历史图像。</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能浏览其他影像科室检查的图像和诊断。</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提供检查备注功能：当技师在检查过程中发现了一些需要注意的情况，他们可以通过检查备注形式提请诊断医生注意。</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完全所见即所得的报告书写界面。</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报告书写框可根据书写内容自动调节大小，无需操作滚动条。</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支持多页报告。</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支持多报告文档同屏对比编辑，可同时打开三个以上报告进行编辑，支持病人当前报告与历史报告对比查看。</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当前报告与历史报告的位置可实现上下、左右等多种形式的对比。</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支持放射图文报告。</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支持图文中图像自动排版。</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支持编辑图文报告模板。</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支持报告书写和审核后自动关闭并打开列表顺序下一个病人的报告界面。</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支持报告富文本编辑，可调整字体大小，首行缩进，编号等展示形式，可对报告内容进行剪切、复制、粘贴、清空等操作。</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支持自动加载报告打印模板，可在书写报告时，根据模态随时切换打印模板。</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支持标准的报告打印格式模板，用户可自定义修改，以适应不同医院不同科室的需求，并可以根据用户要求定制需要的模板。</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支持导出打印模板。</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根据选择检查部位自动加载同级别的所有的诊断模板到诊断语句模板树中供用户选择。</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支持将当前书写的报告内容保存为诊断模板。</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用户可以方便灵活的定义诊断模板，提高报告生成速度，模板分为公用模和私有模板。</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支持将病人多个关联检查合并写一份报告。</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支持急诊报告特殊处理，在无图、无申请单状态下书写诊断报告。</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支持临时报告书写。</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支持报告内容合理性的自动验证：可自定义验证规则，如男性对应子宫等。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可设置报告可修改的时间限制，保证修改报告的及时性。</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支持二级医生审核。</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支持快速审核和批量审核报告。</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支持直接将书写完毕后的报告打印。</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可设置审核之后直接打印报告。</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支持急诊报告特殊打印和临时报告打印。</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支持报告批量打印功能。</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支持自助打印。</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支持报告电子签名。针对法规要求，可以配置显示电子签名/显示报告医生/显示签名，在医生签名栏打印显示为该医生的签字手迹图形。</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记录所有书写报告的过程及内容。支持修改痕迹保留，满足相关法律法规的要求。</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支持报告归类功能，可自动根据配置的归类信息保存。</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支持报告标记功能，标记阶段性、疾病的类型，可以进行流程控制要求一定要进行归类/标记。</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支持阴阳性结果标记。</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支持会诊标记，在编辑报告的同时标记此检查作为会诊讨论病例。</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支持通过检查类型、病人类型、病人ID号等组合查询回顾查看会诊病例。</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支持有权限的医生进行会诊结果录入。</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支持多个会诊医生签名。</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报告收藏功能，可以根据自己需要将感兴趣的病历材料保存为教学、个人收藏、分类收藏等，用于示教、写论文等。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支持报告医生对于胶片等级进行评定。</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支持介入治疗报告，记录该检查相关的介入治疗信息。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支持危急值/慢性病/传染病短信通知临床医生功能。</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支持病理结果、手术结果与诊断符合率管理。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支持科室排班管理。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支持检查项目、机房设备等管理内容。</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软件锁定功能：报告医生暂时离开时可锁定工作站，并只能通过输入当前用户的密码解开锁定。</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满足屏幕多分辨率显示要求。</w:t>
      </w:r>
    </w:p>
    <w:p>
      <w:pPr>
        <w:pStyle w:val="9"/>
        <w:numPr>
          <w:ilvl w:val="0"/>
          <w:numId w:val="0"/>
        </w:numPr>
        <w:spacing w:line="360" w:lineRule="auto"/>
        <w:ind w:left="3"/>
        <w:rPr>
          <w:sz w:val="24"/>
          <w:szCs w:val="24"/>
        </w:rPr>
      </w:pPr>
      <w:r>
        <w:rPr>
          <w:rFonts w:hint="eastAsia"/>
          <w:sz w:val="24"/>
          <w:szCs w:val="24"/>
        </w:rPr>
        <w:t>心电信息系统</w:t>
      </w:r>
    </w:p>
    <w:p>
      <w:pPr>
        <w:numPr>
          <w:ilvl w:val="0"/>
          <w:numId w:val="40"/>
        </w:numPr>
        <w:spacing w:line="360" w:lineRule="auto"/>
        <w:jc w:val="both"/>
        <w:rPr>
          <w:rFonts w:ascii="仿宋" w:hAnsi="仿宋" w:eastAsia="仿宋"/>
          <w:sz w:val="24"/>
          <w:szCs w:val="24"/>
          <w:lang w:val="zh-CN"/>
        </w:rPr>
      </w:pPr>
      <w:r>
        <w:rPr>
          <w:rFonts w:hint="eastAsia" w:ascii="仿宋" w:hAnsi="仿宋" w:eastAsia="仿宋"/>
          <w:sz w:val="24"/>
          <w:szCs w:val="24"/>
          <w:lang w:val="zh-CN"/>
        </w:rPr>
        <w:t>登记系统</w:t>
      </w:r>
    </w:p>
    <w:p>
      <w:pPr>
        <w:numPr>
          <w:ilvl w:val="0"/>
          <w:numId w:val="41"/>
        </w:numPr>
        <w:spacing w:line="360" w:lineRule="auto"/>
        <w:jc w:val="both"/>
        <w:rPr>
          <w:rFonts w:ascii="仿宋" w:hAnsi="仿宋" w:eastAsia="仿宋"/>
          <w:sz w:val="24"/>
          <w:szCs w:val="24"/>
          <w:lang w:val="zh-CN"/>
        </w:rPr>
      </w:pPr>
      <w:r>
        <w:rPr>
          <w:rFonts w:hint="eastAsia" w:ascii="仿宋" w:hAnsi="仿宋" w:eastAsia="仿宋"/>
          <w:sz w:val="24"/>
          <w:szCs w:val="24"/>
          <w:lang w:val="zh-CN"/>
        </w:rPr>
        <w:t>病人信息登记</w:t>
      </w:r>
    </w:p>
    <w:p>
      <w:pPr>
        <w:numPr>
          <w:ilvl w:val="0"/>
          <w:numId w:val="42"/>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病人基本信息的新建、保存、修改、删除；</w:t>
      </w:r>
    </w:p>
    <w:p>
      <w:pPr>
        <w:numPr>
          <w:ilvl w:val="0"/>
          <w:numId w:val="42"/>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病人信息的多条件查询（姓名、编号、设备类型、检查时间等）；</w:t>
      </w:r>
    </w:p>
    <w:p>
      <w:pPr>
        <w:numPr>
          <w:ilvl w:val="0"/>
          <w:numId w:val="42"/>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数据字典的维护（病人来源、检查号设置、费用类别、检查部位等）；</w:t>
      </w:r>
    </w:p>
    <w:p>
      <w:pPr>
        <w:numPr>
          <w:ilvl w:val="0"/>
          <w:numId w:val="43"/>
        </w:numPr>
        <w:spacing w:line="360" w:lineRule="auto"/>
        <w:jc w:val="both"/>
        <w:rPr>
          <w:rFonts w:ascii="仿宋" w:hAnsi="仿宋" w:eastAsia="仿宋"/>
          <w:sz w:val="24"/>
          <w:szCs w:val="24"/>
          <w:lang w:val="zh-CN"/>
        </w:rPr>
      </w:pPr>
      <w:r>
        <w:rPr>
          <w:rFonts w:hint="eastAsia" w:ascii="仿宋" w:hAnsi="仿宋" w:eastAsia="仿宋"/>
          <w:sz w:val="24"/>
          <w:szCs w:val="24"/>
          <w:lang w:val="zh-CN"/>
        </w:rPr>
        <w:t>网络接口的配置</w:t>
      </w:r>
    </w:p>
    <w:p>
      <w:pPr>
        <w:numPr>
          <w:ilvl w:val="0"/>
          <w:numId w:val="41"/>
        </w:numPr>
        <w:spacing w:line="360" w:lineRule="auto"/>
        <w:jc w:val="both"/>
        <w:rPr>
          <w:rFonts w:ascii="仿宋" w:hAnsi="仿宋" w:eastAsia="仿宋"/>
          <w:sz w:val="24"/>
          <w:szCs w:val="24"/>
          <w:lang w:val="zh-CN"/>
        </w:rPr>
      </w:pPr>
      <w:r>
        <w:rPr>
          <w:rFonts w:ascii="仿宋" w:hAnsi="仿宋" w:eastAsia="仿宋"/>
          <w:sz w:val="24"/>
          <w:szCs w:val="24"/>
          <w:lang w:val="zh-CN"/>
        </w:rPr>
        <w:t>Modality Worklist</w:t>
      </w:r>
    </w:p>
    <w:p>
      <w:pPr>
        <w:numPr>
          <w:ilvl w:val="0"/>
          <w:numId w:val="44"/>
        </w:numPr>
        <w:spacing w:line="360" w:lineRule="auto"/>
        <w:jc w:val="both"/>
        <w:rPr>
          <w:rFonts w:ascii="仿宋" w:hAnsi="仿宋" w:eastAsia="仿宋"/>
          <w:sz w:val="24"/>
          <w:szCs w:val="24"/>
          <w:lang w:val="zh-CN"/>
        </w:rPr>
      </w:pPr>
      <w:r>
        <w:rPr>
          <w:rFonts w:hint="eastAsia" w:ascii="仿宋" w:hAnsi="仿宋" w:eastAsia="仿宋"/>
          <w:sz w:val="24"/>
          <w:szCs w:val="24"/>
          <w:lang w:val="zh-CN"/>
        </w:rPr>
        <w:t>后台多线程处理；</w:t>
      </w:r>
    </w:p>
    <w:p>
      <w:pPr>
        <w:numPr>
          <w:ilvl w:val="0"/>
          <w:numId w:val="44"/>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同时支持多台设备进行WORKLIST查询；</w:t>
      </w:r>
    </w:p>
    <w:p>
      <w:pPr>
        <w:numPr>
          <w:ilvl w:val="0"/>
          <w:numId w:val="44"/>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影像设备的合法性验证；</w:t>
      </w:r>
    </w:p>
    <w:p>
      <w:pPr>
        <w:numPr>
          <w:ilvl w:val="0"/>
          <w:numId w:val="44"/>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自动中文转拼音、以及部位传输等。</w:t>
      </w:r>
    </w:p>
    <w:p>
      <w:pPr>
        <w:numPr>
          <w:ilvl w:val="0"/>
          <w:numId w:val="40"/>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采集、浏览系统报告管理</w:t>
      </w:r>
    </w:p>
    <w:p>
      <w:pPr>
        <w:numPr>
          <w:ilvl w:val="0"/>
          <w:numId w:val="45"/>
        </w:numPr>
        <w:spacing w:line="360" w:lineRule="auto"/>
        <w:jc w:val="both"/>
        <w:rPr>
          <w:rFonts w:ascii="仿宋" w:hAnsi="仿宋" w:eastAsia="仿宋"/>
          <w:sz w:val="24"/>
          <w:szCs w:val="24"/>
          <w:lang w:val="zh-CN"/>
        </w:rPr>
      </w:pPr>
      <w:r>
        <w:rPr>
          <w:rFonts w:hint="eastAsia" w:ascii="仿宋" w:hAnsi="仿宋" w:eastAsia="仿宋"/>
          <w:sz w:val="24"/>
          <w:szCs w:val="24"/>
          <w:lang w:val="zh-CN"/>
        </w:rPr>
        <w:t>病人的图像和报告管理</w:t>
      </w:r>
    </w:p>
    <w:p>
      <w:pPr>
        <w:numPr>
          <w:ilvl w:val="0"/>
          <w:numId w:val="44"/>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多条件查询病人的图像和报告（根据姓名、病号、住院号、病人来源、报告医师、审核医师、诊断等条件）；</w:t>
      </w:r>
    </w:p>
    <w:p>
      <w:pPr>
        <w:numPr>
          <w:ilvl w:val="0"/>
          <w:numId w:val="44"/>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检查状态的自动变更（已登记、已检查、已报告、已审核等）；</w:t>
      </w:r>
    </w:p>
    <w:p>
      <w:pPr>
        <w:numPr>
          <w:ilvl w:val="0"/>
          <w:numId w:val="44"/>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病人图像和报告的删除、刷新等。</w:t>
      </w:r>
    </w:p>
    <w:p>
      <w:pPr>
        <w:numPr>
          <w:ilvl w:val="0"/>
          <w:numId w:val="45"/>
        </w:numPr>
        <w:spacing w:line="360" w:lineRule="auto"/>
        <w:jc w:val="both"/>
        <w:rPr>
          <w:rFonts w:ascii="仿宋" w:hAnsi="仿宋" w:eastAsia="仿宋"/>
          <w:sz w:val="24"/>
          <w:szCs w:val="24"/>
          <w:lang w:val="zh-CN"/>
        </w:rPr>
      </w:pPr>
      <w:r>
        <w:rPr>
          <w:rFonts w:hint="eastAsia" w:ascii="仿宋" w:hAnsi="仿宋" w:eastAsia="仿宋"/>
          <w:sz w:val="24"/>
          <w:szCs w:val="24"/>
          <w:lang w:val="zh-CN"/>
        </w:rPr>
        <w:t>数据采集</w:t>
      </w:r>
    </w:p>
    <w:p>
      <w:pPr>
        <w:numPr>
          <w:ilvl w:val="0"/>
          <w:numId w:val="44"/>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心电图机和数据格式的选择；</w:t>
      </w:r>
    </w:p>
    <w:p>
      <w:pPr>
        <w:numPr>
          <w:ilvl w:val="0"/>
          <w:numId w:val="44"/>
        </w:numPr>
        <w:spacing w:line="360" w:lineRule="auto"/>
        <w:jc w:val="both"/>
        <w:rPr>
          <w:rFonts w:ascii="仿宋" w:hAnsi="仿宋" w:eastAsia="仿宋"/>
          <w:sz w:val="24"/>
          <w:szCs w:val="24"/>
          <w:lang w:val="zh-CN"/>
        </w:rPr>
      </w:pPr>
      <w:r>
        <w:rPr>
          <w:rFonts w:hint="eastAsia" w:ascii="仿宋" w:hAnsi="仿宋" w:eastAsia="仿宋"/>
          <w:sz w:val="24"/>
          <w:szCs w:val="24"/>
          <w:lang w:val="zh-CN"/>
        </w:rPr>
        <w:t>心电图数据的解析；</w:t>
      </w:r>
    </w:p>
    <w:p>
      <w:pPr>
        <w:numPr>
          <w:ilvl w:val="0"/>
          <w:numId w:val="44"/>
        </w:numPr>
        <w:spacing w:line="360" w:lineRule="auto"/>
        <w:jc w:val="both"/>
        <w:rPr>
          <w:rFonts w:ascii="仿宋" w:hAnsi="仿宋" w:eastAsia="仿宋"/>
          <w:sz w:val="24"/>
          <w:szCs w:val="24"/>
          <w:lang w:val="zh-CN"/>
        </w:rPr>
      </w:pPr>
      <w:r>
        <w:rPr>
          <w:rFonts w:hint="eastAsia" w:ascii="仿宋" w:hAnsi="仿宋" w:eastAsia="仿宋"/>
          <w:sz w:val="24"/>
          <w:szCs w:val="24"/>
          <w:lang w:val="zh-CN"/>
        </w:rPr>
        <w:t>心电图数据的归档。</w:t>
      </w:r>
    </w:p>
    <w:p>
      <w:pPr>
        <w:numPr>
          <w:ilvl w:val="0"/>
          <w:numId w:val="45"/>
        </w:numPr>
        <w:spacing w:line="360" w:lineRule="auto"/>
        <w:jc w:val="both"/>
        <w:rPr>
          <w:rFonts w:ascii="仿宋" w:hAnsi="仿宋" w:eastAsia="仿宋"/>
          <w:sz w:val="24"/>
          <w:szCs w:val="24"/>
          <w:lang w:val="zh-CN"/>
        </w:rPr>
      </w:pPr>
      <w:r>
        <w:rPr>
          <w:rFonts w:hint="eastAsia" w:ascii="仿宋" w:hAnsi="仿宋" w:eastAsia="仿宋"/>
          <w:sz w:val="24"/>
          <w:szCs w:val="24"/>
          <w:lang w:val="zh-CN"/>
        </w:rPr>
        <w:t>浏览图像</w:t>
      </w:r>
    </w:p>
    <w:p>
      <w:pPr>
        <w:numPr>
          <w:ilvl w:val="0"/>
          <w:numId w:val="44"/>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标准12导心电图数据浏览；</w:t>
      </w:r>
    </w:p>
    <w:p>
      <w:pPr>
        <w:numPr>
          <w:ilvl w:val="0"/>
          <w:numId w:val="44"/>
        </w:numPr>
        <w:spacing w:line="360" w:lineRule="auto"/>
        <w:jc w:val="both"/>
        <w:rPr>
          <w:rFonts w:ascii="仿宋" w:hAnsi="仿宋" w:eastAsia="仿宋"/>
          <w:sz w:val="24"/>
          <w:szCs w:val="24"/>
          <w:lang w:val="zh-CN"/>
        </w:rPr>
      </w:pPr>
      <w:r>
        <w:rPr>
          <w:rFonts w:hint="eastAsia" w:ascii="仿宋" w:hAnsi="仿宋" w:eastAsia="仿宋"/>
          <w:sz w:val="24"/>
          <w:szCs w:val="24"/>
          <w:lang w:val="zh-CN"/>
        </w:rPr>
        <w:t>分栏显示；</w:t>
      </w:r>
    </w:p>
    <w:p>
      <w:pPr>
        <w:numPr>
          <w:ilvl w:val="0"/>
          <w:numId w:val="44"/>
        </w:numPr>
        <w:spacing w:line="360" w:lineRule="auto"/>
        <w:jc w:val="both"/>
        <w:rPr>
          <w:rFonts w:ascii="仿宋" w:hAnsi="仿宋" w:eastAsia="仿宋"/>
          <w:sz w:val="24"/>
          <w:szCs w:val="24"/>
          <w:lang w:val="zh-CN"/>
        </w:rPr>
      </w:pPr>
      <w:r>
        <w:rPr>
          <w:rFonts w:hint="eastAsia" w:ascii="仿宋" w:hAnsi="仿宋" w:eastAsia="仿宋"/>
          <w:sz w:val="24"/>
          <w:szCs w:val="24"/>
          <w:lang w:val="zh-CN"/>
        </w:rPr>
        <w:t>图像回访；</w:t>
      </w:r>
    </w:p>
    <w:p>
      <w:pPr>
        <w:numPr>
          <w:ilvl w:val="0"/>
          <w:numId w:val="44"/>
        </w:numPr>
        <w:spacing w:line="360" w:lineRule="auto"/>
        <w:jc w:val="both"/>
        <w:rPr>
          <w:rFonts w:ascii="仿宋" w:hAnsi="仿宋" w:eastAsia="仿宋"/>
          <w:sz w:val="24"/>
          <w:szCs w:val="24"/>
          <w:lang w:val="zh-CN"/>
        </w:rPr>
      </w:pPr>
      <w:r>
        <w:rPr>
          <w:rFonts w:hint="eastAsia" w:ascii="仿宋" w:hAnsi="仿宋" w:eastAsia="仿宋"/>
          <w:sz w:val="24"/>
          <w:szCs w:val="24"/>
          <w:lang w:val="zh-CN"/>
        </w:rPr>
        <w:t>图像编辑；</w:t>
      </w:r>
    </w:p>
    <w:p>
      <w:pPr>
        <w:numPr>
          <w:ilvl w:val="0"/>
          <w:numId w:val="44"/>
        </w:numPr>
        <w:spacing w:line="360" w:lineRule="auto"/>
        <w:jc w:val="both"/>
        <w:rPr>
          <w:rFonts w:ascii="仿宋" w:hAnsi="仿宋" w:eastAsia="仿宋"/>
          <w:sz w:val="24"/>
          <w:szCs w:val="24"/>
          <w:lang w:val="zh-CN"/>
        </w:rPr>
      </w:pPr>
      <w:r>
        <w:rPr>
          <w:rFonts w:hint="eastAsia" w:ascii="仿宋" w:hAnsi="仿宋" w:eastAsia="仿宋"/>
          <w:sz w:val="24"/>
          <w:szCs w:val="24"/>
          <w:lang w:val="zh-CN"/>
        </w:rPr>
        <w:t>增益、步长的调整；</w:t>
      </w:r>
    </w:p>
    <w:p>
      <w:pPr>
        <w:numPr>
          <w:ilvl w:val="0"/>
          <w:numId w:val="44"/>
        </w:numPr>
        <w:spacing w:line="360" w:lineRule="auto"/>
        <w:jc w:val="both"/>
        <w:rPr>
          <w:rFonts w:ascii="仿宋" w:hAnsi="仿宋" w:eastAsia="仿宋"/>
          <w:sz w:val="24"/>
          <w:szCs w:val="24"/>
          <w:lang w:val="zh-CN"/>
        </w:rPr>
      </w:pPr>
      <w:r>
        <w:rPr>
          <w:rFonts w:hint="eastAsia" w:ascii="仿宋" w:hAnsi="仿宋" w:eastAsia="仿宋"/>
          <w:sz w:val="24"/>
          <w:szCs w:val="24"/>
          <w:lang w:val="zh-CN"/>
        </w:rPr>
        <w:t>图像的缩放；</w:t>
      </w:r>
    </w:p>
    <w:p>
      <w:pPr>
        <w:numPr>
          <w:ilvl w:val="0"/>
          <w:numId w:val="44"/>
        </w:numPr>
        <w:spacing w:line="360" w:lineRule="auto"/>
        <w:jc w:val="both"/>
        <w:rPr>
          <w:rFonts w:ascii="仿宋" w:hAnsi="仿宋" w:eastAsia="仿宋"/>
          <w:sz w:val="24"/>
          <w:szCs w:val="24"/>
          <w:lang w:val="zh-CN"/>
        </w:rPr>
      </w:pPr>
      <w:r>
        <w:rPr>
          <w:rFonts w:hint="eastAsia" w:ascii="仿宋" w:hAnsi="仿宋" w:eastAsia="仿宋"/>
          <w:sz w:val="24"/>
          <w:szCs w:val="24"/>
          <w:lang w:val="zh-CN"/>
        </w:rPr>
        <w:t>图像的测量；</w:t>
      </w:r>
    </w:p>
    <w:p>
      <w:pPr>
        <w:numPr>
          <w:ilvl w:val="0"/>
          <w:numId w:val="44"/>
        </w:numPr>
        <w:spacing w:line="360" w:lineRule="auto"/>
        <w:jc w:val="both"/>
        <w:rPr>
          <w:rFonts w:ascii="仿宋" w:hAnsi="仿宋" w:eastAsia="仿宋"/>
          <w:sz w:val="24"/>
          <w:szCs w:val="24"/>
          <w:lang w:val="zh-CN"/>
        </w:rPr>
      </w:pPr>
      <w:r>
        <w:rPr>
          <w:rFonts w:hint="eastAsia" w:ascii="仿宋" w:hAnsi="仿宋" w:eastAsia="仿宋"/>
          <w:sz w:val="24"/>
          <w:szCs w:val="24"/>
          <w:lang w:val="zh-CN"/>
        </w:rPr>
        <w:t>重新定位。</w:t>
      </w:r>
    </w:p>
    <w:p>
      <w:pPr>
        <w:numPr>
          <w:ilvl w:val="0"/>
          <w:numId w:val="45"/>
        </w:numPr>
        <w:spacing w:line="360" w:lineRule="auto"/>
        <w:jc w:val="both"/>
        <w:rPr>
          <w:rFonts w:ascii="仿宋" w:hAnsi="仿宋" w:eastAsia="仿宋"/>
          <w:sz w:val="24"/>
          <w:szCs w:val="24"/>
          <w:lang w:val="zh-CN"/>
        </w:rPr>
      </w:pPr>
      <w:r>
        <w:rPr>
          <w:rFonts w:hint="eastAsia" w:ascii="仿宋" w:hAnsi="仿宋" w:eastAsia="仿宋"/>
          <w:sz w:val="24"/>
          <w:szCs w:val="24"/>
          <w:lang w:val="zh-CN"/>
        </w:rPr>
        <w:t>报告格式自定义</w:t>
      </w:r>
    </w:p>
    <w:p>
      <w:pPr>
        <w:numPr>
          <w:ilvl w:val="0"/>
          <w:numId w:val="44"/>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报告格式的任意自定义；</w:t>
      </w:r>
    </w:p>
    <w:p>
      <w:pPr>
        <w:numPr>
          <w:ilvl w:val="0"/>
          <w:numId w:val="44"/>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可以方便设定不需要打印的字段；</w:t>
      </w:r>
    </w:p>
    <w:p>
      <w:pPr>
        <w:numPr>
          <w:ilvl w:val="0"/>
          <w:numId w:val="44"/>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打印报告的字体、颜色的自定义。</w:t>
      </w:r>
    </w:p>
    <w:p>
      <w:pPr>
        <w:numPr>
          <w:ilvl w:val="0"/>
          <w:numId w:val="45"/>
        </w:numPr>
        <w:spacing w:line="360" w:lineRule="auto"/>
        <w:jc w:val="both"/>
        <w:rPr>
          <w:rFonts w:ascii="仿宋" w:hAnsi="仿宋" w:eastAsia="仿宋"/>
          <w:sz w:val="24"/>
          <w:szCs w:val="24"/>
          <w:lang w:val="zh-CN"/>
        </w:rPr>
      </w:pPr>
      <w:r>
        <w:rPr>
          <w:rFonts w:hint="eastAsia" w:ascii="仿宋" w:hAnsi="仿宋" w:eastAsia="仿宋"/>
          <w:sz w:val="24"/>
          <w:szCs w:val="24"/>
          <w:lang w:val="zh-CN"/>
        </w:rPr>
        <w:t>历史报告查询</w:t>
      </w:r>
    </w:p>
    <w:p>
      <w:pPr>
        <w:numPr>
          <w:ilvl w:val="0"/>
          <w:numId w:val="44"/>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查询病人的一定时间内的历史报告；</w:t>
      </w:r>
    </w:p>
    <w:p>
      <w:pPr>
        <w:numPr>
          <w:ilvl w:val="0"/>
          <w:numId w:val="44"/>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多种条件的自动查询模式；</w:t>
      </w:r>
    </w:p>
    <w:p>
      <w:pPr>
        <w:numPr>
          <w:ilvl w:val="0"/>
          <w:numId w:val="44"/>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快速浏览历史报告内容。</w:t>
      </w:r>
    </w:p>
    <w:p>
      <w:pPr>
        <w:numPr>
          <w:ilvl w:val="0"/>
          <w:numId w:val="45"/>
        </w:numPr>
        <w:spacing w:line="360" w:lineRule="auto"/>
        <w:jc w:val="both"/>
        <w:rPr>
          <w:rFonts w:ascii="仿宋" w:hAnsi="仿宋" w:eastAsia="仿宋"/>
          <w:sz w:val="24"/>
          <w:szCs w:val="24"/>
          <w:lang w:val="zh-CN"/>
        </w:rPr>
      </w:pPr>
      <w:r>
        <w:rPr>
          <w:rFonts w:hint="eastAsia" w:ascii="仿宋" w:hAnsi="仿宋" w:eastAsia="仿宋"/>
          <w:sz w:val="24"/>
          <w:szCs w:val="24"/>
          <w:lang w:val="zh-CN"/>
        </w:rPr>
        <w:t>诊断报告</w:t>
      </w:r>
    </w:p>
    <w:p>
      <w:pPr>
        <w:numPr>
          <w:ilvl w:val="0"/>
          <w:numId w:val="44"/>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方便使用自定义的诊断模板；</w:t>
      </w:r>
    </w:p>
    <w:p>
      <w:pPr>
        <w:numPr>
          <w:ilvl w:val="0"/>
          <w:numId w:val="44"/>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诊断词条的自定义维护；</w:t>
      </w:r>
    </w:p>
    <w:p>
      <w:pPr>
        <w:numPr>
          <w:ilvl w:val="0"/>
          <w:numId w:val="44"/>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所见即所得的打印模式。</w:t>
      </w:r>
    </w:p>
    <w:p>
      <w:pPr>
        <w:numPr>
          <w:ilvl w:val="0"/>
          <w:numId w:val="40"/>
        </w:numPr>
        <w:spacing w:line="360" w:lineRule="auto"/>
        <w:jc w:val="both"/>
        <w:rPr>
          <w:rFonts w:ascii="仿宋" w:hAnsi="仿宋" w:eastAsia="仿宋"/>
          <w:sz w:val="24"/>
          <w:szCs w:val="24"/>
          <w:lang w:val="zh-CN"/>
        </w:rPr>
      </w:pPr>
      <w:r>
        <w:rPr>
          <w:rFonts w:hint="eastAsia" w:ascii="仿宋" w:hAnsi="仿宋" w:eastAsia="仿宋"/>
          <w:sz w:val="24"/>
          <w:szCs w:val="24"/>
          <w:lang w:val="zh-CN"/>
        </w:rPr>
        <w:t>信息统计</w:t>
      </w:r>
    </w:p>
    <w:p>
      <w:pPr>
        <w:numPr>
          <w:ilvl w:val="0"/>
          <w:numId w:val="44"/>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送诊医师、送诊科室送诊人数统计；</w:t>
      </w:r>
    </w:p>
    <w:p>
      <w:pPr>
        <w:numPr>
          <w:ilvl w:val="0"/>
          <w:numId w:val="44"/>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检查医师检查人数统计；</w:t>
      </w:r>
    </w:p>
    <w:p>
      <w:pPr>
        <w:numPr>
          <w:ilvl w:val="0"/>
          <w:numId w:val="44"/>
        </w:numPr>
        <w:spacing w:line="360" w:lineRule="auto"/>
        <w:jc w:val="both"/>
        <w:rPr>
          <w:rFonts w:ascii="仿宋" w:hAnsi="仿宋" w:eastAsia="仿宋"/>
          <w:sz w:val="24"/>
          <w:szCs w:val="24"/>
          <w:lang w:val="zh-CN"/>
        </w:rPr>
      </w:pPr>
      <w:r>
        <w:rPr>
          <w:rFonts w:hint="eastAsia" w:ascii="仿宋" w:hAnsi="仿宋" w:eastAsia="仿宋"/>
          <w:sz w:val="24"/>
          <w:szCs w:val="24"/>
          <w:lang w:val="zh-CN"/>
        </w:rPr>
        <w:t>报告医师工作量统计；</w:t>
      </w:r>
    </w:p>
    <w:p>
      <w:pPr>
        <w:numPr>
          <w:ilvl w:val="0"/>
          <w:numId w:val="44"/>
        </w:numPr>
        <w:spacing w:line="360" w:lineRule="auto"/>
        <w:jc w:val="both"/>
        <w:rPr>
          <w:rFonts w:ascii="仿宋" w:hAnsi="仿宋" w:eastAsia="仿宋"/>
          <w:sz w:val="24"/>
          <w:szCs w:val="24"/>
          <w:lang w:val="zh-CN"/>
        </w:rPr>
      </w:pPr>
      <w:r>
        <w:rPr>
          <w:rFonts w:hint="eastAsia" w:ascii="仿宋" w:hAnsi="仿宋" w:eastAsia="仿宋"/>
          <w:sz w:val="24"/>
          <w:szCs w:val="24"/>
          <w:lang w:val="zh-CN"/>
        </w:rPr>
        <w:t>审核医师工作量统计；</w:t>
      </w:r>
    </w:p>
    <w:p>
      <w:pPr>
        <w:numPr>
          <w:ilvl w:val="0"/>
          <w:numId w:val="44"/>
        </w:numPr>
        <w:spacing w:line="360" w:lineRule="auto"/>
        <w:jc w:val="both"/>
        <w:rPr>
          <w:rFonts w:ascii="仿宋" w:hAnsi="仿宋" w:eastAsia="仿宋"/>
          <w:sz w:val="24"/>
          <w:szCs w:val="24"/>
          <w:lang w:val="zh-CN"/>
        </w:rPr>
      </w:pPr>
      <w:r>
        <w:rPr>
          <w:rFonts w:hint="eastAsia" w:ascii="仿宋" w:hAnsi="仿宋" w:eastAsia="仿宋"/>
          <w:sz w:val="24"/>
          <w:szCs w:val="24"/>
          <w:lang w:val="zh-CN"/>
        </w:rPr>
        <w:t>设备检查人数统计；</w:t>
      </w:r>
    </w:p>
    <w:p>
      <w:pPr>
        <w:numPr>
          <w:ilvl w:val="0"/>
          <w:numId w:val="44"/>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住院、门诊、急诊人数统计。</w:t>
      </w:r>
    </w:p>
    <w:p>
      <w:pPr>
        <w:pStyle w:val="8"/>
        <w:rPr>
          <w:lang w:eastAsia="zh-CN"/>
        </w:rPr>
      </w:pPr>
      <w:r>
        <w:rPr>
          <w:rFonts w:hint="eastAsia"/>
          <w:lang w:eastAsia="zh-CN"/>
        </w:rPr>
        <w:t>移动查房系统</w:t>
      </w:r>
    </w:p>
    <w:p>
      <w:pPr>
        <w:pStyle w:val="9"/>
        <w:numPr>
          <w:ilvl w:val="0"/>
          <w:numId w:val="0"/>
        </w:numPr>
        <w:spacing w:line="360" w:lineRule="auto"/>
        <w:ind w:left="3"/>
        <w:rPr>
          <w:sz w:val="24"/>
          <w:szCs w:val="24"/>
        </w:rPr>
      </w:pPr>
      <w:r>
        <w:rPr>
          <w:rFonts w:hint="eastAsia"/>
          <w:sz w:val="24"/>
          <w:szCs w:val="24"/>
        </w:rPr>
        <w:t>管理员系统设置</w:t>
      </w:r>
      <w:r>
        <w:rPr>
          <w:rFonts w:hint="eastAsia"/>
          <w:sz w:val="24"/>
          <w:szCs w:val="24"/>
        </w:rPr>
        <w:tab/>
      </w:r>
      <w:r>
        <w:rPr>
          <w:rFonts w:hint="eastAsia"/>
          <w:sz w:val="24"/>
          <w:szCs w:val="24"/>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用于设置服务器地址等。</w:t>
      </w:r>
    </w:p>
    <w:p>
      <w:pPr>
        <w:pStyle w:val="9"/>
        <w:numPr>
          <w:ilvl w:val="0"/>
          <w:numId w:val="0"/>
        </w:numPr>
        <w:spacing w:line="360" w:lineRule="auto"/>
        <w:ind w:left="3"/>
        <w:rPr>
          <w:sz w:val="24"/>
          <w:szCs w:val="24"/>
        </w:rPr>
      </w:pPr>
      <w:r>
        <w:rPr>
          <w:rFonts w:hint="eastAsia"/>
          <w:sz w:val="24"/>
          <w:szCs w:val="24"/>
        </w:rPr>
        <w:t>基本信息</w:t>
      </w:r>
    </w:p>
    <w:p>
      <w:pPr>
        <w:numPr>
          <w:ilvl w:val="0"/>
          <w:numId w:val="46"/>
        </w:numPr>
        <w:spacing w:line="360" w:lineRule="auto"/>
        <w:jc w:val="both"/>
        <w:rPr>
          <w:rFonts w:ascii="仿宋" w:hAnsi="仿宋" w:eastAsia="仿宋"/>
          <w:sz w:val="24"/>
          <w:szCs w:val="24"/>
          <w:lang w:val="zh-CN"/>
        </w:rPr>
      </w:pPr>
      <w:r>
        <w:rPr>
          <w:rFonts w:hint="eastAsia" w:ascii="仿宋" w:hAnsi="仿宋" w:eastAsia="仿宋"/>
          <w:sz w:val="24"/>
          <w:szCs w:val="24"/>
          <w:lang w:val="zh-CN"/>
        </w:rPr>
        <w:t>入院信息</w:t>
      </w:r>
    </w:p>
    <w:p>
      <w:pPr>
        <w:numPr>
          <w:ilvl w:val="0"/>
          <w:numId w:val="46"/>
        </w:numPr>
        <w:spacing w:line="360" w:lineRule="auto"/>
        <w:jc w:val="both"/>
        <w:rPr>
          <w:rFonts w:ascii="仿宋" w:hAnsi="仿宋" w:eastAsia="仿宋"/>
          <w:sz w:val="24"/>
          <w:szCs w:val="24"/>
          <w:lang w:val="zh-CN"/>
        </w:rPr>
      </w:pPr>
      <w:r>
        <w:rPr>
          <w:rFonts w:hint="eastAsia" w:ascii="仿宋" w:hAnsi="仿宋" w:eastAsia="仿宋"/>
          <w:sz w:val="24"/>
          <w:szCs w:val="24"/>
          <w:lang w:val="zh-CN"/>
        </w:rPr>
        <w:t>诊断信息</w:t>
      </w:r>
    </w:p>
    <w:p>
      <w:pPr>
        <w:numPr>
          <w:ilvl w:val="0"/>
          <w:numId w:val="46"/>
        </w:numPr>
        <w:spacing w:line="360" w:lineRule="auto"/>
        <w:jc w:val="both"/>
        <w:rPr>
          <w:rFonts w:ascii="仿宋" w:hAnsi="仿宋" w:eastAsia="仿宋"/>
          <w:sz w:val="24"/>
          <w:szCs w:val="24"/>
          <w:lang w:val="zh-CN"/>
        </w:rPr>
      </w:pPr>
      <w:r>
        <w:rPr>
          <w:rFonts w:hint="eastAsia" w:ascii="仿宋" w:hAnsi="仿宋" w:eastAsia="仿宋"/>
          <w:sz w:val="24"/>
          <w:szCs w:val="24"/>
          <w:lang w:val="zh-CN"/>
        </w:rPr>
        <w:t>手术信息</w:t>
      </w:r>
    </w:p>
    <w:p>
      <w:pPr>
        <w:numPr>
          <w:ilvl w:val="0"/>
          <w:numId w:val="46"/>
        </w:numPr>
        <w:spacing w:line="360" w:lineRule="auto"/>
        <w:jc w:val="both"/>
        <w:rPr>
          <w:rFonts w:ascii="仿宋" w:hAnsi="仿宋" w:eastAsia="仿宋"/>
          <w:sz w:val="24"/>
          <w:szCs w:val="24"/>
          <w:lang w:val="zh-CN"/>
        </w:rPr>
      </w:pPr>
      <w:r>
        <w:rPr>
          <w:rFonts w:hint="eastAsia" w:ascii="仿宋" w:hAnsi="仿宋" w:eastAsia="仿宋"/>
          <w:sz w:val="24"/>
          <w:szCs w:val="24"/>
          <w:lang w:val="zh-CN"/>
        </w:rPr>
        <w:t>门诊及历次住院信息</w:t>
      </w:r>
    </w:p>
    <w:p>
      <w:pPr>
        <w:numPr>
          <w:ilvl w:val="0"/>
          <w:numId w:val="46"/>
        </w:numPr>
        <w:spacing w:line="360" w:lineRule="auto"/>
        <w:jc w:val="both"/>
        <w:rPr>
          <w:rFonts w:ascii="仿宋" w:hAnsi="仿宋" w:eastAsia="仿宋"/>
          <w:sz w:val="24"/>
          <w:szCs w:val="24"/>
          <w:lang w:val="zh-CN"/>
        </w:rPr>
      </w:pPr>
      <w:r>
        <w:rPr>
          <w:rFonts w:hint="eastAsia" w:ascii="仿宋" w:hAnsi="仿宋" w:eastAsia="仿宋"/>
          <w:sz w:val="24"/>
          <w:szCs w:val="24"/>
          <w:lang w:val="zh-CN"/>
        </w:rPr>
        <w:t>费用信息</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查看病人在院期间以及门诊与历次住院的信息。</w:t>
      </w:r>
    </w:p>
    <w:p>
      <w:pPr>
        <w:pStyle w:val="9"/>
        <w:numPr>
          <w:ilvl w:val="0"/>
          <w:numId w:val="0"/>
        </w:numPr>
        <w:spacing w:line="360" w:lineRule="auto"/>
        <w:ind w:left="3"/>
        <w:rPr>
          <w:sz w:val="24"/>
          <w:szCs w:val="24"/>
        </w:rPr>
      </w:pPr>
      <w:r>
        <w:rPr>
          <w:rFonts w:hint="eastAsia"/>
          <w:sz w:val="24"/>
          <w:szCs w:val="24"/>
        </w:rPr>
        <w:t>检验、检查</w:t>
      </w:r>
      <w:r>
        <w:rPr>
          <w:rFonts w:hint="eastAsia"/>
          <w:sz w:val="24"/>
          <w:szCs w:val="24"/>
        </w:rPr>
        <w:tab/>
      </w:r>
    </w:p>
    <w:p>
      <w:pPr>
        <w:numPr>
          <w:ilvl w:val="0"/>
          <w:numId w:val="47"/>
        </w:numPr>
        <w:spacing w:line="360" w:lineRule="auto"/>
        <w:jc w:val="both"/>
        <w:rPr>
          <w:rFonts w:ascii="仿宋" w:hAnsi="仿宋" w:eastAsia="仿宋"/>
          <w:sz w:val="24"/>
          <w:szCs w:val="24"/>
          <w:lang w:val="zh-CN"/>
        </w:rPr>
      </w:pPr>
      <w:r>
        <w:rPr>
          <w:rFonts w:hint="eastAsia" w:ascii="仿宋" w:hAnsi="仿宋" w:eastAsia="仿宋"/>
          <w:sz w:val="24"/>
          <w:szCs w:val="24"/>
          <w:lang w:val="zh-CN"/>
        </w:rPr>
        <w:t>检验列表及报告单查看</w:t>
      </w:r>
    </w:p>
    <w:p>
      <w:pPr>
        <w:numPr>
          <w:ilvl w:val="0"/>
          <w:numId w:val="47"/>
        </w:numPr>
        <w:spacing w:line="360" w:lineRule="auto"/>
        <w:jc w:val="both"/>
        <w:rPr>
          <w:rFonts w:ascii="仿宋" w:hAnsi="仿宋" w:eastAsia="仿宋"/>
          <w:sz w:val="24"/>
          <w:szCs w:val="24"/>
          <w:lang w:val="zh-CN"/>
        </w:rPr>
      </w:pPr>
      <w:r>
        <w:rPr>
          <w:rFonts w:hint="eastAsia" w:ascii="仿宋" w:hAnsi="仿宋" w:eastAsia="仿宋"/>
          <w:sz w:val="24"/>
          <w:szCs w:val="24"/>
          <w:lang w:val="zh-CN"/>
        </w:rPr>
        <w:t>检查列表及报告单查看</w:t>
      </w:r>
    </w:p>
    <w:p>
      <w:pPr>
        <w:numPr>
          <w:ilvl w:val="0"/>
          <w:numId w:val="47"/>
        </w:numPr>
        <w:spacing w:line="360" w:lineRule="auto"/>
        <w:jc w:val="both"/>
        <w:rPr>
          <w:rFonts w:ascii="仿宋" w:hAnsi="仿宋" w:eastAsia="仿宋"/>
          <w:sz w:val="24"/>
          <w:szCs w:val="24"/>
          <w:lang w:val="zh-CN"/>
        </w:rPr>
      </w:pPr>
      <w:r>
        <w:rPr>
          <w:rFonts w:hint="eastAsia" w:ascii="仿宋" w:hAnsi="仿宋" w:eastAsia="仿宋"/>
          <w:sz w:val="24"/>
          <w:szCs w:val="24"/>
          <w:lang w:val="zh-CN"/>
        </w:rPr>
        <w:t>检验、检查开具</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除了LIS报告单外，还能查看标准的DICOM报告单。</w:t>
      </w:r>
    </w:p>
    <w:p>
      <w:pPr>
        <w:pStyle w:val="9"/>
        <w:numPr>
          <w:ilvl w:val="0"/>
          <w:numId w:val="0"/>
        </w:numPr>
        <w:spacing w:line="360" w:lineRule="auto"/>
        <w:ind w:left="3"/>
        <w:rPr>
          <w:sz w:val="24"/>
          <w:szCs w:val="24"/>
        </w:rPr>
      </w:pPr>
      <w:r>
        <w:rPr>
          <w:rFonts w:hint="eastAsia"/>
          <w:sz w:val="24"/>
          <w:szCs w:val="24"/>
        </w:rPr>
        <w:t>医嘱管理</w:t>
      </w:r>
      <w:r>
        <w:rPr>
          <w:rFonts w:hint="eastAsia"/>
          <w:sz w:val="24"/>
          <w:szCs w:val="24"/>
        </w:rPr>
        <w:tab/>
      </w:r>
    </w:p>
    <w:p>
      <w:pPr>
        <w:numPr>
          <w:ilvl w:val="0"/>
          <w:numId w:val="48"/>
        </w:numPr>
        <w:spacing w:line="360" w:lineRule="auto"/>
        <w:jc w:val="both"/>
        <w:rPr>
          <w:rFonts w:ascii="仿宋" w:hAnsi="仿宋" w:eastAsia="仿宋"/>
          <w:sz w:val="24"/>
          <w:szCs w:val="24"/>
          <w:lang w:val="zh-CN"/>
        </w:rPr>
      </w:pPr>
      <w:r>
        <w:rPr>
          <w:rFonts w:hint="eastAsia" w:ascii="仿宋" w:hAnsi="仿宋" w:eastAsia="仿宋"/>
          <w:sz w:val="24"/>
          <w:szCs w:val="24"/>
          <w:lang w:val="zh-CN"/>
        </w:rPr>
        <w:t>长期医嘱管理</w:t>
      </w:r>
    </w:p>
    <w:p>
      <w:pPr>
        <w:numPr>
          <w:ilvl w:val="0"/>
          <w:numId w:val="48"/>
        </w:numPr>
        <w:spacing w:line="360" w:lineRule="auto"/>
        <w:jc w:val="both"/>
        <w:rPr>
          <w:rFonts w:ascii="仿宋" w:hAnsi="仿宋" w:eastAsia="仿宋"/>
          <w:sz w:val="24"/>
          <w:szCs w:val="24"/>
          <w:lang w:val="zh-CN"/>
        </w:rPr>
      </w:pPr>
      <w:r>
        <w:rPr>
          <w:rFonts w:hint="eastAsia" w:ascii="仿宋" w:hAnsi="仿宋" w:eastAsia="仿宋"/>
          <w:sz w:val="24"/>
          <w:szCs w:val="24"/>
          <w:lang w:val="zh-CN"/>
        </w:rPr>
        <w:t>临时医嘱管理</w:t>
      </w:r>
    </w:p>
    <w:p>
      <w:pPr>
        <w:numPr>
          <w:ilvl w:val="0"/>
          <w:numId w:val="48"/>
        </w:numPr>
        <w:spacing w:line="360" w:lineRule="auto"/>
        <w:jc w:val="both"/>
        <w:rPr>
          <w:rFonts w:ascii="仿宋" w:hAnsi="仿宋" w:eastAsia="仿宋"/>
          <w:sz w:val="24"/>
          <w:szCs w:val="24"/>
          <w:lang w:val="zh-CN"/>
        </w:rPr>
      </w:pPr>
      <w:r>
        <w:rPr>
          <w:rFonts w:hint="eastAsia" w:ascii="仿宋" w:hAnsi="仿宋" w:eastAsia="仿宋"/>
          <w:sz w:val="24"/>
          <w:szCs w:val="24"/>
          <w:lang w:val="zh-CN"/>
        </w:rPr>
        <w:t>中药医嘱管理</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实现PC端中医嘱管理的所有内容</w:t>
      </w:r>
    </w:p>
    <w:p>
      <w:pPr>
        <w:pStyle w:val="9"/>
        <w:numPr>
          <w:ilvl w:val="0"/>
          <w:numId w:val="0"/>
        </w:numPr>
        <w:spacing w:line="360" w:lineRule="auto"/>
        <w:ind w:left="3"/>
        <w:rPr>
          <w:sz w:val="24"/>
          <w:szCs w:val="24"/>
        </w:rPr>
      </w:pPr>
      <w:r>
        <w:rPr>
          <w:rFonts w:hint="eastAsia"/>
          <w:sz w:val="24"/>
          <w:szCs w:val="24"/>
        </w:rPr>
        <w:t>电子病历</w:t>
      </w:r>
      <w:r>
        <w:rPr>
          <w:rFonts w:hint="eastAsia"/>
          <w:sz w:val="24"/>
          <w:szCs w:val="24"/>
        </w:rPr>
        <w:tab/>
      </w:r>
    </w:p>
    <w:p>
      <w:pPr>
        <w:numPr>
          <w:ilvl w:val="0"/>
          <w:numId w:val="49"/>
        </w:numPr>
        <w:spacing w:line="360" w:lineRule="auto"/>
        <w:jc w:val="both"/>
        <w:rPr>
          <w:rFonts w:ascii="仿宋" w:hAnsi="仿宋" w:eastAsia="仿宋"/>
          <w:sz w:val="24"/>
          <w:szCs w:val="24"/>
          <w:lang w:val="zh-CN"/>
        </w:rPr>
      </w:pPr>
      <w:r>
        <w:rPr>
          <w:rFonts w:hint="eastAsia" w:ascii="仿宋" w:hAnsi="仿宋" w:eastAsia="仿宋"/>
          <w:sz w:val="24"/>
          <w:szCs w:val="24"/>
          <w:lang w:val="zh-CN"/>
        </w:rPr>
        <w:t>病历查看</w:t>
      </w:r>
    </w:p>
    <w:p>
      <w:pPr>
        <w:numPr>
          <w:ilvl w:val="0"/>
          <w:numId w:val="49"/>
        </w:numPr>
        <w:spacing w:line="360" w:lineRule="auto"/>
        <w:jc w:val="both"/>
        <w:rPr>
          <w:rFonts w:ascii="仿宋" w:hAnsi="仿宋" w:eastAsia="仿宋"/>
          <w:sz w:val="24"/>
          <w:szCs w:val="24"/>
          <w:lang w:val="zh-CN"/>
        </w:rPr>
      </w:pPr>
      <w:r>
        <w:rPr>
          <w:rFonts w:hint="eastAsia" w:ascii="仿宋" w:hAnsi="仿宋" w:eastAsia="仿宋"/>
          <w:sz w:val="24"/>
          <w:szCs w:val="24"/>
          <w:lang w:val="zh-CN"/>
        </w:rPr>
        <w:t>知情同意书签署</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查看病人所有电子病历内容</w:t>
      </w:r>
    </w:p>
    <w:p>
      <w:pPr>
        <w:pStyle w:val="9"/>
        <w:numPr>
          <w:ilvl w:val="0"/>
          <w:numId w:val="0"/>
        </w:numPr>
        <w:spacing w:line="360" w:lineRule="auto"/>
        <w:ind w:left="3"/>
        <w:rPr>
          <w:sz w:val="24"/>
          <w:szCs w:val="24"/>
        </w:rPr>
      </w:pPr>
      <w:r>
        <w:rPr>
          <w:rFonts w:hint="eastAsia"/>
          <w:sz w:val="24"/>
          <w:szCs w:val="24"/>
        </w:rPr>
        <w:t>体征查看</w:t>
      </w:r>
      <w:r>
        <w:rPr>
          <w:rFonts w:hint="eastAsia"/>
          <w:sz w:val="24"/>
          <w:szCs w:val="24"/>
        </w:rPr>
        <w:tab/>
      </w:r>
    </w:p>
    <w:p>
      <w:pPr>
        <w:numPr>
          <w:ilvl w:val="0"/>
          <w:numId w:val="50"/>
        </w:numPr>
        <w:spacing w:line="360" w:lineRule="auto"/>
        <w:jc w:val="both"/>
        <w:rPr>
          <w:rFonts w:ascii="仿宋" w:hAnsi="仿宋" w:eastAsia="仿宋"/>
          <w:sz w:val="24"/>
          <w:szCs w:val="24"/>
          <w:lang w:val="zh-CN"/>
        </w:rPr>
      </w:pPr>
      <w:r>
        <w:rPr>
          <w:rFonts w:hint="eastAsia" w:ascii="仿宋" w:hAnsi="仿宋" w:eastAsia="仿宋"/>
          <w:sz w:val="24"/>
          <w:szCs w:val="24"/>
          <w:lang w:val="zh-CN"/>
        </w:rPr>
        <w:t>体温单</w:t>
      </w:r>
    </w:p>
    <w:p>
      <w:pPr>
        <w:numPr>
          <w:ilvl w:val="0"/>
          <w:numId w:val="50"/>
        </w:numPr>
        <w:spacing w:line="360" w:lineRule="auto"/>
        <w:jc w:val="both"/>
        <w:rPr>
          <w:rFonts w:ascii="仿宋" w:hAnsi="仿宋" w:eastAsia="仿宋"/>
          <w:sz w:val="24"/>
          <w:szCs w:val="24"/>
          <w:lang w:val="zh-CN"/>
        </w:rPr>
      </w:pPr>
      <w:r>
        <w:rPr>
          <w:rFonts w:hint="eastAsia" w:ascii="仿宋" w:hAnsi="仿宋" w:eastAsia="仿宋"/>
          <w:sz w:val="24"/>
          <w:szCs w:val="24"/>
          <w:lang w:val="zh-CN"/>
        </w:rPr>
        <w:t>其他体征</w:t>
      </w:r>
      <w:r>
        <w:rPr>
          <w:rFonts w:hint="eastAsia" w:ascii="仿宋" w:hAnsi="仿宋" w:eastAsia="仿宋"/>
          <w:sz w:val="24"/>
          <w:szCs w:val="24"/>
          <w:lang w:val="zh-CN"/>
        </w:rPr>
        <w:tab/>
      </w:r>
    </w:p>
    <w:p>
      <w:pPr>
        <w:pStyle w:val="8"/>
        <w:rPr>
          <w:lang w:eastAsia="zh-CN"/>
        </w:rPr>
      </w:pPr>
      <w:r>
        <w:rPr>
          <w:rFonts w:hint="eastAsia"/>
          <w:lang w:eastAsia="zh-CN"/>
        </w:rPr>
        <w:t>移动护理系统</w:t>
      </w:r>
    </w:p>
    <w:p>
      <w:pPr>
        <w:pStyle w:val="9"/>
        <w:numPr>
          <w:ilvl w:val="0"/>
          <w:numId w:val="0"/>
        </w:numPr>
        <w:spacing w:line="360" w:lineRule="auto"/>
        <w:ind w:left="3"/>
        <w:rPr>
          <w:sz w:val="24"/>
          <w:szCs w:val="24"/>
        </w:rPr>
      </w:pPr>
      <w:r>
        <w:rPr>
          <w:rFonts w:hint="eastAsia"/>
          <w:sz w:val="24"/>
          <w:szCs w:val="24"/>
        </w:rPr>
        <w:t>患者综合管理模块</w:t>
      </w:r>
    </w:p>
    <w:p>
      <w:pPr>
        <w:numPr>
          <w:ilvl w:val="0"/>
          <w:numId w:val="51"/>
        </w:numPr>
        <w:spacing w:line="360" w:lineRule="auto"/>
        <w:jc w:val="both"/>
        <w:rPr>
          <w:rFonts w:ascii="仿宋" w:hAnsi="仿宋" w:eastAsia="仿宋"/>
          <w:sz w:val="24"/>
          <w:szCs w:val="24"/>
          <w:lang w:val="zh-CN"/>
        </w:rPr>
      </w:pPr>
      <w:r>
        <w:rPr>
          <w:rFonts w:hint="eastAsia" w:ascii="仿宋" w:hAnsi="仿宋" w:eastAsia="仿宋"/>
          <w:sz w:val="24"/>
          <w:szCs w:val="24"/>
          <w:lang w:val="zh-CN"/>
        </w:rPr>
        <w:t>患者基本信息</w:t>
      </w:r>
    </w:p>
    <w:p>
      <w:pPr>
        <w:spacing w:line="360" w:lineRule="auto"/>
        <w:ind w:firstLine="480"/>
        <w:rPr>
          <w:rFonts w:ascii="仿宋" w:hAnsi="仿宋" w:eastAsia="仿宋"/>
          <w:sz w:val="24"/>
          <w:szCs w:val="24"/>
          <w:lang w:val="zh-CN"/>
        </w:rPr>
      </w:pPr>
      <w:r>
        <w:rPr>
          <w:rFonts w:hint="eastAsia" w:ascii="仿宋" w:hAnsi="仿宋" w:eastAsia="仿宋"/>
          <w:sz w:val="24"/>
          <w:szCs w:val="24"/>
          <w:lang w:val="zh-CN" w:eastAsia="zh-CN"/>
        </w:rPr>
        <w:t>显示所选中的患者基本信息，包括姓名、性别、护理级别、联系方式、住址、身份证号、主治医生、诊断、饮食、费用等。</w:t>
      </w:r>
      <w:r>
        <w:rPr>
          <w:rFonts w:hint="eastAsia" w:ascii="仿宋" w:hAnsi="仿宋" w:eastAsia="仿宋"/>
          <w:sz w:val="24"/>
          <w:szCs w:val="24"/>
          <w:lang w:val="zh-CN"/>
        </w:rPr>
        <w:t>（所显示信息受 his 现有信息的限制）</w:t>
      </w:r>
    </w:p>
    <w:p>
      <w:pPr>
        <w:numPr>
          <w:ilvl w:val="0"/>
          <w:numId w:val="51"/>
        </w:numPr>
        <w:spacing w:line="360" w:lineRule="auto"/>
        <w:jc w:val="both"/>
        <w:rPr>
          <w:rFonts w:ascii="仿宋" w:hAnsi="仿宋" w:eastAsia="仿宋"/>
          <w:sz w:val="24"/>
          <w:szCs w:val="24"/>
          <w:lang w:val="zh-CN"/>
        </w:rPr>
      </w:pPr>
      <w:r>
        <w:rPr>
          <w:rFonts w:hint="eastAsia" w:ascii="仿宋" w:hAnsi="仿宋" w:eastAsia="仿宋"/>
          <w:sz w:val="24"/>
          <w:szCs w:val="24"/>
          <w:lang w:val="zh-CN"/>
        </w:rPr>
        <w:t>移动端-病区患者一览表</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用户登陆移动设备后，可以根据所属护理单元查看在区患者。</w:t>
      </w:r>
    </w:p>
    <w:p>
      <w:pPr>
        <w:numPr>
          <w:ilvl w:val="0"/>
          <w:numId w:val="51"/>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PC 端-病区患者床位一览表</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用户登陆护理系统 PC 端后，可以根据所属护理单元查看在区患者。</w:t>
      </w:r>
    </w:p>
    <w:p>
      <w:pPr>
        <w:numPr>
          <w:ilvl w:val="0"/>
          <w:numId w:val="51"/>
        </w:numPr>
        <w:spacing w:line="360" w:lineRule="auto"/>
        <w:jc w:val="both"/>
        <w:rPr>
          <w:rFonts w:ascii="仿宋" w:hAnsi="仿宋" w:eastAsia="仿宋"/>
          <w:sz w:val="24"/>
          <w:szCs w:val="24"/>
          <w:lang w:val="zh-CN"/>
        </w:rPr>
      </w:pPr>
      <w:r>
        <w:rPr>
          <w:rFonts w:hint="eastAsia" w:ascii="仿宋" w:hAnsi="仿宋" w:eastAsia="仿宋"/>
          <w:sz w:val="24"/>
          <w:szCs w:val="24"/>
          <w:lang w:val="zh-CN"/>
        </w:rPr>
        <w:t>显示等级登记护理</w:t>
      </w:r>
    </w:p>
    <w:p>
      <w:pPr>
        <w:spacing w:line="360" w:lineRule="auto"/>
        <w:ind w:left="480"/>
        <w:rPr>
          <w:rFonts w:ascii="仿宋" w:hAnsi="仿宋" w:eastAsia="仿宋"/>
          <w:sz w:val="24"/>
          <w:szCs w:val="24"/>
          <w:lang w:val="zh-CN"/>
        </w:rPr>
      </w:pPr>
      <w:r>
        <w:rPr>
          <w:rFonts w:hint="eastAsia" w:ascii="仿宋" w:hAnsi="仿宋" w:eastAsia="仿宋"/>
          <w:sz w:val="24"/>
          <w:szCs w:val="24"/>
          <w:lang w:val="zh-CN"/>
        </w:rPr>
        <w:t>显示登记登记护理。</w:t>
      </w:r>
    </w:p>
    <w:p>
      <w:pPr>
        <w:numPr>
          <w:ilvl w:val="0"/>
          <w:numId w:val="51"/>
        </w:numPr>
        <w:spacing w:line="360" w:lineRule="auto"/>
        <w:jc w:val="both"/>
        <w:rPr>
          <w:rFonts w:ascii="仿宋" w:hAnsi="仿宋" w:eastAsia="仿宋"/>
          <w:sz w:val="24"/>
          <w:szCs w:val="24"/>
          <w:lang w:val="zh-CN"/>
        </w:rPr>
      </w:pPr>
      <w:r>
        <w:rPr>
          <w:rFonts w:hint="eastAsia" w:ascii="仿宋" w:hAnsi="仿宋" w:eastAsia="仿宋"/>
          <w:sz w:val="24"/>
          <w:szCs w:val="24"/>
          <w:lang w:val="zh-CN"/>
        </w:rPr>
        <w:t>巡视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 xml:space="preserve">患者出入病区进行扫描登记以便追踪患者情况。 </w:t>
      </w:r>
    </w:p>
    <w:p>
      <w:pPr>
        <w:pStyle w:val="9"/>
        <w:numPr>
          <w:ilvl w:val="0"/>
          <w:numId w:val="0"/>
        </w:numPr>
        <w:spacing w:line="360" w:lineRule="auto"/>
        <w:ind w:left="3"/>
        <w:rPr>
          <w:sz w:val="24"/>
          <w:szCs w:val="24"/>
        </w:rPr>
      </w:pPr>
      <w:r>
        <w:rPr>
          <w:rFonts w:hint="eastAsia"/>
          <w:sz w:val="24"/>
          <w:szCs w:val="24"/>
        </w:rPr>
        <w:t>医嘱执行模块</w:t>
      </w:r>
    </w:p>
    <w:p>
      <w:pPr>
        <w:numPr>
          <w:ilvl w:val="0"/>
          <w:numId w:val="52"/>
        </w:numPr>
        <w:spacing w:line="360" w:lineRule="auto"/>
        <w:jc w:val="both"/>
        <w:rPr>
          <w:rFonts w:ascii="仿宋" w:hAnsi="仿宋" w:eastAsia="仿宋"/>
          <w:sz w:val="24"/>
          <w:szCs w:val="24"/>
          <w:lang w:val="zh-CN"/>
        </w:rPr>
      </w:pPr>
      <w:r>
        <w:rPr>
          <w:rFonts w:hint="eastAsia" w:ascii="仿宋" w:hAnsi="仿宋" w:eastAsia="仿宋"/>
          <w:sz w:val="24"/>
          <w:szCs w:val="24"/>
          <w:lang w:val="zh-CN"/>
        </w:rPr>
        <w:t>新医嘱查看</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在护理系统的 pc 端的病人一览界面中，可以在医生下达新医嘱后在床位卡上进行提示。</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病区配液的模式中，按给定的时间频度和医嘱有效期，将医嘱按照频次拆分后，产生输液类医嘱瓶签。</w:t>
      </w:r>
    </w:p>
    <w:p>
      <w:pPr>
        <w:numPr>
          <w:ilvl w:val="0"/>
          <w:numId w:val="52"/>
        </w:numPr>
        <w:spacing w:line="360" w:lineRule="auto"/>
        <w:jc w:val="both"/>
        <w:rPr>
          <w:rFonts w:ascii="仿宋" w:hAnsi="仿宋" w:eastAsia="仿宋"/>
          <w:sz w:val="24"/>
          <w:szCs w:val="24"/>
          <w:lang w:val="zh-CN"/>
        </w:rPr>
      </w:pPr>
      <w:r>
        <w:rPr>
          <w:rFonts w:hint="eastAsia" w:ascii="仿宋" w:hAnsi="仿宋" w:eastAsia="仿宋"/>
          <w:sz w:val="24"/>
          <w:szCs w:val="24"/>
          <w:lang w:val="zh-CN"/>
        </w:rPr>
        <w:t>备药扫描</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病人输液用药成组药品的扫描。</w:t>
      </w:r>
    </w:p>
    <w:p>
      <w:pPr>
        <w:numPr>
          <w:ilvl w:val="0"/>
          <w:numId w:val="52"/>
        </w:numPr>
        <w:spacing w:line="360" w:lineRule="auto"/>
        <w:jc w:val="both"/>
        <w:rPr>
          <w:rFonts w:ascii="仿宋" w:hAnsi="仿宋" w:eastAsia="仿宋"/>
          <w:sz w:val="24"/>
          <w:szCs w:val="24"/>
          <w:lang w:val="zh-CN"/>
        </w:rPr>
      </w:pPr>
      <w:r>
        <w:rPr>
          <w:rFonts w:hint="eastAsia" w:ascii="仿宋" w:hAnsi="仿宋" w:eastAsia="仿宋"/>
          <w:sz w:val="24"/>
          <w:szCs w:val="24"/>
          <w:lang w:val="zh-CN"/>
        </w:rPr>
        <w:t>输液配药复核</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核扫描输液配药的复核扫描操作。</w:t>
      </w:r>
    </w:p>
    <w:p>
      <w:pPr>
        <w:numPr>
          <w:ilvl w:val="0"/>
          <w:numId w:val="52"/>
        </w:numPr>
        <w:spacing w:line="360" w:lineRule="auto"/>
        <w:jc w:val="both"/>
        <w:rPr>
          <w:rFonts w:ascii="仿宋" w:hAnsi="仿宋" w:eastAsia="仿宋"/>
          <w:sz w:val="24"/>
          <w:szCs w:val="24"/>
          <w:lang w:val="zh-CN"/>
        </w:rPr>
      </w:pPr>
      <w:r>
        <w:rPr>
          <w:rFonts w:hint="eastAsia" w:ascii="仿宋" w:hAnsi="仿宋" w:eastAsia="仿宋"/>
          <w:sz w:val="24"/>
          <w:szCs w:val="24"/>
          <w:lang w:val="zh-CN"/>
        </w:rPr>
        <w:t>护士站收药核对</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护理人员对病人输液用药成组药品的扫描。</w:t>
      </w:r>
    </w:p>
    <w:p>
      <w:pPr>
        <w:numPr>
          <w:ilvl w:val="0"/>
          <w:numId w:val="52"/>
        </w:numPr>
        <w:spacing w:line="360" w:lineRule="auto"/>
        <w:jc w:val="both"/>
        <w:rPr>
          <w:rFonts w:ascii="仿宋" w:hAnsi="仿宋" w:eastAsia="仿宋"/>
          <w:sz w:val="24"/>
          <w:szCs w:val="24"/>
          <w:lang w:val="zh-CN"/>
        </w:rPr>
      </w:pPr>
      <w:r>
        <w:rPr>
          <w:rFonts w:hint="eastAsia" w:ascii="仿宋" w:hAnsi="仿宋" w:eastAsia="仿宋"/>
          <w:sz w:val="24"/>
          <w:szCs w:val="24"/>
          <w:lang w:val="zh-CN"/>
        </w:rPr>
        <w:t>医嘱执行记录查看</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在 PC 和移动端查看护士对于病人医嘱执行的相关记录。</w:t>
      </w:r>
    </w:p>
    <w:p>
      <w:pPr>
        <w:numPr>
          <w:ilvl w:val="0"/>
          <w:numId w:val="52"/>
        </w:numPr>
        <w:spacing w:line="360" w:lineRule="auto"/>
        <w:jc w:val="both"/>
        <w:rPr>
          <w:rFonts w:ascii="仿宋" w:hAnsi="仿宋" w:eastAsia="仿宋"/>
          <w:sz w:val="24"/>
          <w:szCs w:val="24"/>
          <w:lang w:val="zh-CN"/>
        </w:rPr>
      </w:pPr>
      <w:r>
        <w:rPr>
          <w:rFonts w:hint="eastAsia" w:ascii="仿宋" w:hAnsi="仿宋" w:eastAsia="仿宋"/>
          <w:sz w:val="24"/>
          <w:szCs w:val="24"/>
          <w:lang w:val="zh-CN"/>
        </w:rPr>
        <w:t>医嘱执行巡视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对执行用药患者情况的查看及基本操作。</w:t>
      </w:r>
    </w:p>
    <w:p>
      <w:pPr>
        <w:pStyle w:val="9"/>
        <w:numPr>
          <w:ilvl w:val="0"/>
          <w:numId w:val="0"/>
        </w:numPr>
        <w:spacing w:line="360" w:lineRule="auto"/>
        <w:ind w:left="3"/>
        <w:rPr>
          <w:sz w:val="24"/>
          <w:szCs w:val="24"/>
        </w:rPr>
      </w:pPr>
      <w:r>
        <w:rPr>
          <w:rFonts w:hint="eastAsia"/>
          <w:sz w:val="24"/>
          <w:szCs w:val="24"/>
        </w:rPr>
        <w:t>全科生命体征管理模块</w:t>
      </w:r>
    </w:p>
    <w:p>
      <w:pPr>
        <w:numPr>
          <w:ilvl w:val="0"/>
          <w:numId w:val="53"/>
        </w:numPr>
        <w:spacing w:line="360" w:lineRule="auto"/>
        <w:jc w:val="both"/>
        <w:rPr>
          <w:rFonts w:ascii="仿宋" w:hAnsi="仿宋" w:eastAsia="仿宋"/>
          <w:sz w:val="24"/>
          <w:szCs w:val="24"/>
          <w:lang w:val="zh-CN"/>
        </w:rPr>
      </w:pPr>
      <w:r>
        <w:rPr>
          <w:rFonts w:hint="eastAsia" w:ascii="仿宋" w:hAnsi="仿宋" w:eastAsia="仿宋"/>
          <w:sz w:val="24"/>
          <w:szCs w:val="24"/>
          <w:lang w:val="zh-CN"/>
        </w:rPr>
        <w:t>Pc端体征批量采集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根据批量采集的的病人体征信息，并根据体征待测提醒列表，批量录入到系统中，生成体温单，并可进行体温单打印。</w:t>
      </w:r>
    </w:p>
    <w:p>
      <w:pPr>
        <w:numPr>
          <w:ilvl w:val="0"/>
          <w:numId w:val="53"/>
        </w:numPr>
        <w:spacing w:line="360" w:lineRule="auto"/>
        <w:jc w:val="both"/>
        <w:rPr>
          <w:rFonts w:ascii="仿宋" w:hAnsi="仿宋" w:eastAsia="仿宋"/>
          <w:sz w:val="24"/>
          <w:szCs w:val="24"/>
          <w:lang w:val="zh-CN"/>
        </w:rPr>
      </w:pPr>
      <w:r>
        <w:rPr>
          <w:rFonts w:hint="eastAsia" w:ascii="仿宋" w:hAnsi="仿宋" w:eastAsia="仿宋"/>
          <w:sz w:val="24"/>
          <w:szCs w:val="24"/>
          <w:lang w:val="zh-CN"/>
        </w:rPr>
        <w:t>体征床旁采集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病人体征信息的床旁实时采集，采集体征信息包括:体温、脉搏、呼吸、心率、出入液量、血氧饱和度、疼痛、各种引流管、体重、各类住院事件。</w:t>
      </w:r>
    </w:p>
    <w:p>
      <w:pPr>
        <w:numPr>
          <w:ilvl w:val="0"/>
          <w:numId w:val="53"/>
        </w:numPr>
        <w:spacing w:line="360" w:lineRule="auto"/>
        <w:jc w:val="both"/>
        <w:rPr>
          <w:rFonts w:ascii="仿宋" w:hAnsi="仿宋" w:eastAsia="仿宋"/>
          <w:sz w:val="24"/>
          <w:szCs w:val="24"/>
          <w:lang w:val="zh-CN"/>
        </w:rPr>
      </w:pPr>
      <w:r>
        <w:rPr>
          <w:rFonts w:hint="eastAsia" w:ascii="仿宋" w:hAnsi="仿宋" w:eastAsia="仿宋"/>
          <w:sz w:val="24"/>
          <w:szCs w:val="24"/>
          <w:lang w:val="zh-CN"/>
        </w:rPr>
        <w:t>体征信息查看</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PDA\PC 端支持病人体征信息实时查看，可以选择过滤条件。</w:t>
      </w:r>
    </w:p>
    <w:p>
      <w:pPr>
        <w:numPr>
          <w:ilvl w:val="0"/>
          <w:numId w:val="53"/>
        </w:numPr>
        <w:spacing w:line="360" w:lineRule="auto"/>
        <w:jc w:val="both"/>
        <w:rPr>
          <w:rFonts w:ascii="仿宋" w:hAnsi="仿宋" w:eastAsia="仿宋"/>
          <w:sz w:val="24"/>
          <w:szCs w:val="24"/>
          <w:lang w:val="zh-CN"/>
        </w:rPr>
      </w:pPr>
      <w:r>
        <w:rPr>
          <w:rFonts w:hint="eastAsia" w:ascii="仿宋" w:hAnsi="仿宋" w:eastAsia="仿宋"/>
          <w:sz w:val="24"/>
          <w:szCs w:val="24"/>
          <w:lang w:val="zh-CN"/>
        </w:rPr>
        <w:t>体温单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体温单修改、预览、打印：针对录入的体征信息，按卫健委规定的体温单格式输出。</w:t>
      </w:r>
    </w:p>
    <w:p>
      <w:pPr>
        <w:pStyle w:val="8"/>
        <w:rPr>
          <w:lang w:eastAsia="zh-CN"/>
        </w:rPr>
      </w:pPr>
      <w:r>
        <w:rPr>
          <w:rFonts w:hint="eastAsia"/>
          <w:lang w:eastAsia="zh-CN"/>
        </w:rPr>
        <w:t>手术麻醉管理系统</w:t>
      </w:r>
    </w:p>
    <w:p>
      <w:pPr>
        <w:pStyle w:val="9"/>
        <w:numPr>
          <w:ilvl w:val="0"/>
          <w:numId w:val="0"/>
        </w:numPr>
        <w:spacing w:line="360" w:lineRule="auto"/>
        <w:ind w:left="3"/>
        <w:rPr>
          <w:sz w:val="24"/>
          <w:szCs w:val="24"/>
        </w:rPr>
      </w:pPr>
      <w:r>
        <w:rPr>
          <w:rFonts w:hint="eastAsia"/>
          <w:sz w:val="24"/>
          <w:szCs w:val="24"/>
        </w:rPr>
        <w:t>手术排班</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能够批量接收HIS下达的手术申请信息。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能够接收指定患者HIS下达的手术申请信息。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能够查看临床科室申请的手术申请单详细信息。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能够以图形化界面批量排班，支持鼠标拖拽批量排班。</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能够批量对手术间进行排班，同时能显示当前手术间的已排班数量。</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能通过与医院信息系统集成，查看患者的检验信息。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能够为手术申请分配手术间。能够为手术申请信息分配洗手护士和巡回护士。</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能够为手术申请信息分配麻醉医生。</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对未排班的手术申请，支持手术申请撤销功能。</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对已经排班的手术申请，支持手术申请取消功能。</w:t>
      </w:r>
    </w:p>
    <w:p>
      <w:pPr>
        <w:pStyle w:val="9"/>
        <w:numPr>
          <w:ilvl w:val="0"/>
          <w:numId w:val="0"/>
        </w:numPr>
        <w:spacing w:line="360" w:lineRule="auto"/>
        <w:ind w:left="3"/>
        <w:rPr>
          <w:sz w:val="24"/>
          <w:szCs w:val="24"/>
          <w:lang w:eastAsia="zh-CN"/>
        </w:rPr>
      </w:pPr>
      <w:r>
        <w:rPr>
          <w:rFonts w:hint="eastAsia"/>
          <w:sz w:val="24"/>
          <w:szCs w:val="24"/>
          <w:lang w:eastAsia="zh-CN"/>
        </w:rPr>
        <w:t>术前准备</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能够按照医院要求的格式自动生成术前访视单。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对访视中患者的检验信息可自动检查患者的检验数据。</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能够按照医院要求的格式自动生成患者知情同意书。</w:t>
      </w:r>
    </w:p>
    <w:p>
      <w:pPr>
        <w:pStyle w:val="9"/>
        <w:numPr>
          <w:ilvl w:val="0"/>
          <w:numId w:val="0"/>
        </w:numPr>
        <w:spacing w:line="360" w:lineRule="auto"/>
        <w:ind w:left="3"/>
        <w:rPr>
          <w:sz w:val="24"/>
          <w:szCs w:val="24"/>
          <w:lang w:eastAsia="zh-CN"/>
        </w:rPr>
      </w:pPr>
      <w:r>
        <w:rPr>
          <w:rFonts w:hint="eastAsia"/>
          <w:sz w:val="24"/>
          <w:szCs w:val="24"/>
          <w:lang w:eastAsia="zh-CN"/>
        </w:rPr>
        <w:t>术中麻醉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能够自动获取监护仪、麻醉机的患者体征信息，如血压、脉搏、心率、SPO2、呼吸频率等患者生命体征信息。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系统可以对采集到的体征数据进行修正。</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能够支持手术过程中手术信息的维护。</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支持所见即所得的麻醉单。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能够从手术申请中提取患者基本信息、手术人员信息自动填充到文书中。</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能够通过下拉菜单、拼音字头模糊检索出药品、事件字典信息，实现麻醉事件及用药的快速录入。</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能够自动记取该点对应的时间作为事件发生时间（或持续事件的起始时间），自动匹配该事件对应的剂量、途径、持续情况等。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能够在现有用药事件基础上实现快速追加录入。</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能够快速选择药品录入，录入时自动匹配录入的药品剂量、浓度、速度单位。</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能够配置快捷药品事件栏以及药品常用量，在独立界面以按钮形式展现，实现常用药品、事件的快速录入。</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能够支持药品快速检索并对常用药品或常用量优先排序。</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能够支持根据麻醉过程数据，按照要求自动填入并生成麻醉记录、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能够将术中麻醉操作以数字序号方式标记在治疗序号区域对应时间点，对应麻醉备注区域事件详情。</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能够在手术过程中，自动计算患者的入量。</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能够实现交接班麻醉医生的记录。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能够以时间轴的方式显示患者的手术流程，便于医护人员对手术流程的把控。</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能够支持当前手术没完成，不得进入下一台手术。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能够根据医院的需求维护患者的手术状态，并支持术中患者手术状</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态的修正。</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能够自动将采集到的监护仪、麻醉机生命体征参数记录在麻醉单上， 并将数据实时传送到服务器数据库内存储。</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支持设置体征参数在麻醉单上的显示方式，提供至少两种不同风格供选择。</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能够在麻醉单模拟监护仪对体征参数进行实时动态显示，同时不干扰麻醉记录单趋势图的正常显示。</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能够设置用户权限对受干扰的体征数据进行修正，后台保存修正前数据，前端正常显示。</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能够提供图形化修改体征的便捷操作。</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能够在麻醉单上自由拖拽事件的时间节点</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能够在麻醉单上自由拖拽单次、持续用药的时间，麻醉持续用药支持拖拽速度以修改不同速度开始时间</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能够提供修正前原始数据的保存功能。</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能够实现麻醉单模板套用，并支持以公有和私有的方式管理麻醉记录单模板。</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能够支持安全核查并根据核查记录，自动生成复合标准的安全核查记录，支持预览打印。</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能够支持麻醉总结记录，生成符合标准的麻醉总结文书，并支持预览打印。</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能够实现交接班麻醉医生、交班护理人员的记录。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能够支持记录患者出室后去向，并以后可统计。</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能够支持麻醉会诊、麻醉实施、麻醉后访视。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支持分类显示手术详情。</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能够生成无痛分娩记录单。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支持单次及批量添加体征。</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支持单个或多个编辑用药。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支持选择时间点同时编辑体征和用药数据。</w:t>
      </w:r>
    </w:p>
    <w:p>
      <w:pPr>
        <w:pStyle w:val="9"/>
        <w:numPr>
          <w:ilvl w:val="0"/>
          <w:numId w:val="0"/>
        </w:numPr>
        <w:spacing w:line="360" w:lineRule="auto"/>
        <w:ind w:left="3"/>
        <w:rPr>
          <w:sz w:val="24"/>
          <w:szCs w:val="24"/>
          <w:lang w:eastAsia="zh-CN"/>
        </w:rPr>
      </w:pPr>
      <w:r>
        <w:rPr>
          <w:rFonts w:hint="eastAsia"/>
          <w:sz w:val="24"/>
          <w:szCs w:val="24"/>
          <w:lang w:eastAsia="zh-CN"/>
        </w:rPr>
        <w:t>急诊管理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能够通过录入患者ID或住院号从HIS系统中提取急诊手术信息。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能够对急诊患者手术能快速进入手术。</w:t>
      </w:r>
    </w:p>
    <w:p>
      <w:pPr>
        <w:pStyle w:val="9"/>
        <w:numPr>
          <w:ilvl w:val="0"/>
          <w:numId w:val="0"/>
        </w:numPr>
        <w:spacing w:line="360" w:lineRule="auto"/>
        <w:ind w:left="3"/>
        <w:rPr>
          <w:sz w:val="24"/>
          <w:szCs w:val="24"/>
          <w:lang w:eastAsia="zh-CN"/>
        </w:rPr>
      </w:pPr>
      <w:r>
        <w:rPr>
          <w:rFonts w:hint="eastAsia"/>
          <w:sz w:val="24"/>
          <w:szCs w:val="24"/>
          <w:lang w:eastAsia="zh-CN"/>
        </w:rPr>
        <w:t>手术取消</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能够对已经安排的手术、手术人员、麻醉人员进行修改或者取消手术。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能够查阅手术取消原因。</w:t>
      </w:r>
    </w:p>
    <w:p>
      <w:pPr>
        <w:pStyle w:val="9"/>
        <w:numPr>
          <w:ilvl w:val="0"/>
          <w:numId w:val="0"/>
        </w:numPr>
        <w:spacing w:line="360" w:lineRule="auto"/>
        <w:ind w:left="3"/>
        <w:rPr>
          <w:sz w:val="24"/>
          <w:szCs w:val="24"/>
          <w:lang w:eastAsia="zh-CN"/>
        </w:rPr>
      </w:pPr>
      <w:r>
        <w:rPr>
          <w:rFonts w:hint="eastAsia"/>
          <w:sz w:val="24"/>
          <w:szCs w:val="24"/>
          <w:lang w:eastAsia="zh-CN"/>
        </w:rPr>
        <w:t>术后</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能够按照医院要求的格式生成术后随访单，记录患者术后随访信息。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能够自定义模板管理。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能够按照医院要求的格式生成术后镇痛记录单，记录患者术后镇痛效果。</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能够支持复苏记录单，支持监护数据实时采集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能够支持麻醉小结</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能够集中分区块颜色显示近期不同类型的手术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能够连接患者出室后的体征延续，并将患者术中的数据延续到复苏室</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支持手术室复苏或者复苏室复苏模式</w:t>
      </w:r>
    </w:p>
    <w:p>
      <w:pPr>
        <w:pStyle w:val="9"/>
        <w:numPr>
          <w:ilvl w:val="0"/>
          <w:numId w:val="0"/>
        </w:numPr>
        <w:spacing w:line="360" w:lineRule="auto"/>
        <w:ind w:left="3"/>
        <w:rPr>
          <w:sz w:val="24"/>
          <w:szCs w:val="24"/>
          <w:lang w:eastAsia="zh-CN"/>
        </w:rPr>
      </w:pPr>
      <w:r>
        <w:rPr>
          <w:rFonts w:hint="eastAsia"/>
          <w:sz w:val="24"/>
          <w:szCs w:val="24"/>
          <w:lang w:eastAsia="zh-CN"/>
        </w:rPr>
        <w:t>系统管理模块</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支持多种集成方式。</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能够支持通过HIS获取患者基本信息、手术申请信息等。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能够支持通过LIS获取患者检验报告。</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能够获取监护仪上的血压、脉搏、心率、SPO2等患者生命体征信息。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能够实时获取麻醉机上的呼吸频率、潮气量、呼吸比、ETCO2等患者生命体征信息。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支持集中采集生命体征</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支持跨平台部署服务器</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支持使用开源框架，无版权问题</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支持自动提取his人员、科室等数据字典表。</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支持用户手工维护本地字典。</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支持自定义维护科室手术间。</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支持配置麻醉记录字典，包括麻醉事件、麻醉常用量、麻醉方法。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能够支持保存模板。</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能够支持套用模板。</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支持不同文书模板配置。</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能够支持管理员对公用模板管理。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能够支持麻醉医生对自己的模板进行管理。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能够为指定用户分配角色以获得相应的程序访问权限。</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能够编辑系统角色的名称，用于分配一系列的程序功能访问权限。</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能够根据医院信息化管理的要求创建用户，包括登陆用户名、密码及所在科室。</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能够修改指定用户的登陆密码。</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能够分配指定角色所具备的系统权限。</w:t>
      </w:r>
    </w:p>
    <w:p>
      <w:pPr>
        <w:pStyle w:val="9"/>
        <w:numPr>
          <w:ilvl w:val="0"/>
          <w:numId w:val="0"/>
        </w:numPr>
        <w:spacing w:line="360" w:lineRule="auto"/>
        <w:ind w:left="3"/>
        <w:rPr>
          <w:sz w:val="24"/>
          <w:szCs w:val="24"/>
          <w:lang w:eastAsia="zh-CN"/>
        </w:rPr>
      </w:pPr>
      <w:r>
        <w:rPr>
          <w:rFonts w:hint="eastAsia"/>
          <w:sz w:val="24"/>
          <w:szCs w:val="24"/>
          <w:lang w:eastAsia="zh-CN"/>
        </w:rPr>
        <w:t>统计查询需求</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能够支持查询指定日期内所有手术的麻醉相关详细信息。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能够支持查询指定日期内的ASA分级统计</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能够支持查询指定日期内所有入PACU患者手术情况。</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能够支持按麻醉医生角色统计其麻醉台数及麻醉时长。</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能够支持统计指定时间段内所有手术的详细信息。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能够统计指定日期范围内的ASA不同等级的例数以及所占总例数的百分比。</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能够支持查询指定日期内所有手术的详细信息。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能够支持统计一段期间内护士参与的手术例数。</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能够支持统计首台划刀统计。</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能够支持查询手术用血情况。</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能够支持查询指定日期内的输血统计。</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能够支持查询指定日期内的复苏统计信息。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能够提供不同年龄的手术分析。</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能够统提供不同手术去向的分析。</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能够支持查询指定日期内医院各科室的手术量。</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能够支持查询指定日期内麻醉医生的工分。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能够支持查询指定日期内麻醉医生的工作时长、护士的工作时长。</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能够支持查询指定日期内手术医生的工作例数以及手术详情。</w:t>
      </w:r>
    </w:p>
    <w:p>
      <w:pPr>
        <w:pStyle w:val="8"/>
        <w:rPr>
          <w:lang w:eastAsia="zh-CN"/>
        </w:rPr>
      </w:pPr>
      <w:r>
        <w:rPr>
          <w:rFonts w:hint="eastAsia"/>
          <w:lang w:eastAsia="zh-CN"/>
        </w:rPr>
        <w:t>临床路径管理系统</w:t>
      </w:r>
    </w:p>
    <w:p>
      <w:pPr>
        <w:pStyle w:val="9"/>
        <w:numPr>
          <w:ilvl w:val="0"/>
          <w:numId w:val="0"/>
        </w:numPr>
        <w:spacing w:line="360" w:lineRule="auto"/>
        <w:ind w:left="3"/>
        <w:rPr>
          <w:sz w:val="24"/>
          <w:szCs w:val="24"/>
        </w:rPr>
      </w:pPr>
      <w:r>
        <w:rPr>
          <w:rFonts w:hint="eastAsia"/>
          <w:sz w:val="24"/>
          <w:szCs w:val="24"/>
        </w:rPr>
        <w:t>基础数据维护</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用户维护：提供使用临床路径系统的用户登陆信息维护，包括用户唯一识别ID号、登录名及密码、用户基本信息等其他信息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身份鉴别功能：即使用使用系统时，必须确认用户的真实身份；用户进入系统都要经过密码认证。</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操作权限控制：对各类信息定义不同的操作权限要求，并对比当前操作用户的身份设置，没有相应权限的用户不允许对特定的信息进行操作。系统提供对临床路径各资源进行操作授权功能。</w:t>
      </w:r>
    </w:p>
    <w:p>
      <w:pPr>
        <w:pStyle w:val="9"/>
        <w:numPr>
          <w:ilvl w:val="0"/>
          <w:numId w:val="0"/>
        </w:numPr>
        <w:spacing w:line="360" w:lineRule="auto"/>
        <w:rPr>
          <w:sz w:val="24"/>
          <w:szCs w:val="24"/>
          <w:lang w:eastAsia="zh-CN"/>
        </w:rPr>
      </w:pPr>
      <w:r>
        <w:rPr>
          <w:rFonts w:hint="eastAsia"/>
          <w:sz w:val="24"/>
          <w:szCs w:val="24"/>
          <w:lang w:eastAsia="zh-CN"/>
        </w:rPr>
        <w:t>临床路径表单维护</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表单字典维护：提供各类基础数据的维护功能，此外还提供设计临床路径表单所需项目的数据维护等。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临床路径表单维护：采用临床路径表单样式灵活定制方式</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路径标准设定：临床路径标准包括临床路径适用诊断或手术标准、标准住院天数、标准费用、表单时间设定、进入临床路径标准、退出临床路径标准等。</w:t>
      </w:r>
    </w:p>
    <w:p>
      <w:pPr>
        <w:pStyle w:val="9"/>
        <w:numPr>
          <w:ilvl w:val="0"/>
          <w:numId w:val="0"/>
        </w:numPr>
        <w:spacing w:line="360" w:lineRule="auto"/>
        <w:ind w:left="3"/>
        <w:rPr>
          <w:sz w:val="24"/>
          <w:szCs w:val="24"/>
          <w:lang w:eastAsia="zh-CN"/>
        </w:rPr>
      </w:pPr>
      <w:r>
        <w:rPr>
          <w:rFonts w:hint="eastAsia"/>
          <w:sz w:val="24"/>
          <w:szCs w:val="24"/>
          <w:lang w:eastAsia="zh-CN"/>
        </w:rPr>
        <w:t>临床路径使用管理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患者数据管理：患者数据管理分为：患者基本信息、患者医嘱信息、患者病历信息等。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入径管理：系统按照表单维护要求，自动根据患者的诊断和手术方式。</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医嘱类项目执行管理：临床路经的医嘱执行需要与住院医生站的医嘱功能模块有机结合。</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变异信息管理：系统以临床路径项目为单位记录变异信息，建立每个项目每次执行的变异情况。</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提供流程可修改功能：允许在一定权限范围内的用户，根据患者病情需要，对表单进行一定范围的流程修改。</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出径管理：当患者病情好转或因病情发生变化不适宜现有的临床路径，选择退出该临床路径时，系统可给予简单明了的出径标准评估，一旦符合便可退出路径。</w:t>
      </w:r>
    </w:p>
    <w:p>
      <w:pPr>
        <w:pStyle w:val="9"/>
        <w:numPr>
          <w:ilvl w:val="0"/>
          <w:numId w:val="0"/>
        </w:numPr>
        <w:spacing w:line="360" w:lineRule="auto"/>
        <w:ind w:left="3"/>
        <w:rPr>
          <w:sz w:val="24"/>
          <w:szCs w:val="24"/>
          <w:lang w:eastAsia="zh-CN"/>
        </w:rPr>
      </w:pPr>
      <w:r>
        <w:rPr>
          <w:rFonts w:hint="eastAsia"/>
          <w:sz w:val="24"/>
          <w:szCs w:val="24"/>
          <w:lang w:eastAsia="zh-CN"/>
        </w:rPr>
        <w:t>临床路径评估回溯管理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该模块是整个系统的核心，由于临床路径诊治取得的数据是课题科学分析的基础，可以为医院对该课题的实施情况评估提供科学的理论与数据依据。医院专家组可以从中总结出科学有效的治疗方案。并找出其中不规范治疗的原因及解决办法。</w:t>
      </w:r>
    </w:p>
    <w:p>
      <w:pPr>
        <w:pStyle w:val="9"/>
        <w:numPr>
          <w:ilvl w:val="0"/>
          <w:numId w:val="0"/>
        </w:numPr>
        <w:spacing w:line="360" w:lineRule="auto"/>
        <w:ind w:left="3"/>
        <w:rPr>
          <w:sz w:val="24"/>
          <w:szCs w:val="24"/>
          <w:lang w:eastAsia="zh-CN"/>
        </w:rPr>
      </w:pPr>
      <w:r>
        <w:rPr>
          <w:rFonts w:hint="eastAsia"/>
          <w:sz w:val="24"/>
          <w:szCs w:val="24"/>
          <w:lang w:eastAsia="zh-CN"/>
        </w:rPr>
        <w:t>临床路径统计报表</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系统提供各种临床路径常用统计报表。</w:t>
      </w:r>
    </w:p>
    <w:p>
      <w:pPr>
        <w:pStyle w:val="8"/>
        <w:rPr>
          <w:lang w:eastAsia="zh-CN"/>
        </w:rPr>
      </w:pPr>
      <w:r>
        <w:rPr>
          <w:rFonts w:hint="eastAsia"/>
          <w:lang w:eastAsia="zh-CN"/>
        </w:rPr>
        <w:t>危急值管理系统</w:t>
      </w:r>
    </w:p>
    <w:p>
      <w:pPr>
        <w:numPr>
          <w:ilvl w:val="0"/>
          <w:numId w:val="54"/>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提供最新危急值显示功能，可直观查看当前危急值信息做处理；</w:t>
      </w:r>
    </w:p>
    <w:p>
      <w:pPr>
        <w:numPr>
          <w:ilvl w:val="0"/>
          <w:numId w:val="54"/>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支持医生端查看危急值详情，进行危急值处理，可确认是否是危急值进行推送；</w:t>
      </w:r>
    </w:p>
    <w:p>
      <w:pPr>
        <w:numPr>
          <w:ilvl w:val="0"/>
          <w:numId w:val="54"/>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经过复查，确认该结果属于危急值的，可以直接对危急值的产生和结果、判断标准进行快速详细的记录，并生成危急值报告。</w:t>
      </w:r>
    </w:p>
    <w:p>
      <w:pPr>
        <w:numPr>
          <w:ilvl w:val="0"/>
          <w:numId w:val="54"/>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支持危急值撤销功能，已处理的危急值无法撤销；</w:t>
      </w:r>
    </w:p>
    <w:p>
      <w:pPr>
        <w:numPr>
          <w:ilvl w:val="0"/>
          <w:numId w:val="54"/>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持危急值新增功能，可手工录入非数值型危急值；</w:t>
      </w:r>
    </w:p>
    <w:p>
      <w:pPr>
        <w:numPr>
          <w:ilvl w:val="0"/>
          <w:numId w:val="54"/>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支持统计查询，查询检验科已登记的危急值信息。</w:t>
      </w:r>
    </w:p>
    <w:p>
      <w:pPr>
        <w:pStyle w:val="8"/>
        <w:rPr>
          <w:lang w:eastAsia="zh-CN"/>
        </w:rPr>
      </w:pPr>
      <w:r>
        <w:rPr>
          <w:rFonts w:hint="eastAsia"/>
          <w:lang w:eastAsia="zh-CN"/>
        </w:rPr>
        <w:t>血库管理系统</w:t>
      </w:r>
    </w:p>
    <w:p>
      <w:pPr>
        <w:pStyle w:val="9"/>
        <w:numPr>
          <w:ilvl w:val="0"/>
          <w:numId w:val="0"/>
        </w:numPr>
        <w:spacing w:line="360" w:lineRule="auto"/>
        <w:ind w:left="3"/>
        <w:rPr>
          <w:sz w:val="24"/>
          <w:szCs w:val="24"/>
        </w:rPr>
      </w:pPr>
      <w:r>
        <w:rPr>
          <w:rFonts w:hint="eastAsia"/>
          <w:sz w:val="24"/>
          <w:szCs w:val="24"/>
        </w:rPr>
        <w:t>出入库</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标准血出入库；调配出入库；紧急用血出库；血袋回收。</w:t>
      </w:r>
    </w:p>
    <w:p>
      <w:pPr>
        <w:pStyle w:val="9"/>
        <w:numPr>
          <w:ilvl w:val="0"/>
          <w:numId w:val="0"/>
        </w:numPr>
        <w:spacing w:line="360" w:lineRule="auto"/>
        <w:ind w:left="3"/>
        <w:rPr>
          <w:sz w:val="24"/>
          <w:szCs w:val="24"/>
          <w:lang w:eastAsia="zh-CN"/>
        </w:rPr>
      </w:pPr>
      <w:r>
        <w:rPr>
          <w:rFonts w:hint="eastAsia"/>
          <w:sz w:val="24"/>
          <w:szCs w:val="24"/>
          <w:lang w:eastAsia="zh-CN"/>
        </w:rPr>
        <w:t>检验及用血</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血型的正定反定审核；用血凭证；交叉配血。</w:t>
      </w:r>
    </w:p>
    <w:p>
      <w:pPr>
        <w:pStyle w:val="9"/>
        <w:numPr>
          <w:ilvl w:val="0"/>
          <w:numId w:val="0"/>
        </w:numPr>
        <w:spacing w:line="360" w:lineRule="auto"/>
        <w:ind w:left="3"/>
        <w:rPr>
          <w:sz w:val="24"/>
          <w:szCs w:val="24"/>
          <w:lang w:eastAsia="zh-CN"/>
        </w:rPr>
      </w:pPr>
      <w:r>
        <w:rPr>
          <w:rFonts w:hint="eastAsia"/>
          <w:sz w:val="24"/>
          <w:szCs w:val="24"/>
          <w:lang w:eastAsia="zh-CN"/>
        </w:rPr>
        <w:t>报表</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入库报表；出库报表；回收血袋明细；输血单补打；费用报表；有效期明细；库存明细；入库统计；出库统计；工作量统计；配血统计。</w:t>
      </w:r>
    </w:p>
    <w:p>
      <w:pPr>
        <w:pStyle w:val="8"/>
        <w:rPr>
          <w:lang w:eastAsia="zh-CN"/>
        </w:rPr>
      </w:pPr>
      <w:r>
        <w:rPr>
          <w:rFonts w:hint="eastAsia"/>
          <w:lang w:eastAsia="zh-CN"/>
        </w:rPr>
        <w:t>合理用药监测系统</w:t>
      </w:r>
    </w:p>
    <w:p>
      <w:pPr>
        <w:pStyle w:val="9"/>
        <w:numPr>
          <w:ilvl w:val="0"/>
          <w:numId w:val="0"/>
        </w:numPr>
        <w:spacing w:line="360" w:lineRule="auto"/>
        <w:ind w:left="3"/>
        <w:rPr>
          <w:sz w:val="24"/>
          <w:szCs w:val="24"/>
          <w:lang w:eastAsia="zh-CN"/>
        </w:rPr>
      </w:pPr>
      <w:r>
        <w:rPr>
          <w:rFonts w:hint="eastAsia"/>
          <w:sz w:val="24"/>
          <w:szCs w:val="24"/>
          <w:lang w:eastAsia="zh-CN"/>
        </w:rPr>
        <w:t>处方（医嘱）审查功能</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药物相互作用审查</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体外注射药物配伍审查</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药品超最大剂量审查</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禁忌症审查</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超适应症审查</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年龄与性别用药审查</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妊娠用药审查</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哺乳用药审查</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药物过敏审查</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给药途径审查</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重复用药审查</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肝功能损害患者的用药审查</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肾功能损害患者的用药审查</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麻醉药品处方量审核</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精神药品处方量审核</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兴奋剂提示</w:t>
      </w:r>
    </w:p>
    <w:p>
      <w:pPr>
        <w:pStyle w:val="9"/>
        <w:numPr>
          <w:ilvl w:val="0"/>
          <w:numId w:val="0"/>
        </w:numPr>
        <w:spacing w:line="360" w:lineRule="auto"/>
        <w:ind w:left="3"/>
        <w:rPr>
          <w:sz w:val="24"/>
          <w:szCs w:val="24"/>
          <w:lang w:eastAsia="zh-CN"/>
        </w:rPr>
      </w:pPr>
      <w:r>
        <w:rPr>
          <w:rFonts w:hint="eastAsia"/>
          <w:sz w:val="24"/>
          <w:szCs w:val="24"/>
          <w:lang w:eastAsia="zh-CN"/>
        </w:rPr>
        <w:t>自定义审查功能</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药物相互作用自定义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重复用药规则自定义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最大剂量用药自定义、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药品疗程总剂量自定义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适应症自定义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特殊人群用药自定义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妊娠期用药自定义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哺乳期规则自定义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皮试规则自定义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过敏规则自定义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用药天数自定义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门诊输液审查自定义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不良反应审查自定义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补钾浓度规则自定义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细菌耐药性规则自定义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静脉用药滴速自定义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中成药毒性成分规则自定义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门诊给药途径限制自定义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十八反十九畏规则自定义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溶媒审查自定义</w:t>
      </w:r>
    </w:p>
    <w:p>
      <w:pPr>
        <w:pStyle w:val="9"/>
        <w:numPr>
          <w:ilvl w:val="0"/>
          <w:numId w:val="0"/>
        </w:numPr>
        <w:spacing w:line="360" w:lineRule="auto"/>
        <w:ind w:left="3"/>
        <w:rPr>
          <w:sz w:val="24"/>
          <w:szCs w:val="24"/>
          <w:lang w:eastAsia="zh-CN"/>
        </w:rPr>
      </w:pPr>
      <w:r>
        <w:rPr>
          <w:rFonts w:hint="eastAsia"/>
          <w:sz w:val="24"/>
          <w:szCs w:val="24"/>
          <w:lang w:eastAsia="zh-CN"/>
        </w:rPr>
        <w:t>分级警示</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自定义警示级别</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自定义提示是否自动弹出</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自定义提示时间</w:t>
      </w:r>
    </w:p>
    <w:p>
      <w:pPr>
        <w:pStyle w:val="9"/>
        <w:numPr>
          <w:ilvl w:val="0"/>
          <w:numId w:val="0"/>
        </w:numPr>
        <w:spacing w:line="360" w:lineRule="auto"/>
        <w:ind w:left="3"/>
        <w:rPr>
          <w:sz w:val="24"/>
          <w:szCs w:val="24"/>
          <w:lang w:eastAsia="zh-CN"/>
        </w:rPr>
      </w:pPr>
      <w:r>
        <w:rPr>
          <w:rFonts w:hint="eastAsia"/>
          <w:sz w:val="24"/>
          <w:szCs w:val="24"/>
          <w:lang w:eastAsia="zh-CN"/>
        </w:rPr>
        <w:t>用药监控统计</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多种查询条件</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统计报表</w:t>
      </w:r>
    </w:p>
    <w:p>
      <w:pPr>
        <w:pStyle w:val="9"/>
        <w:numPr>
          <w:ilvl w:val="0"/>
          <w:numId w:val="0"/>
        </w:numPr>
        <w:spacing w:line="360" w:lineRule="auto"/>
        <w:ind w:left="3"/>
        <w:rPr>
          <w:sz w:val="24"/>
          <w:szCs w:val="24"/>
          <w:lang w:eastAsia="zh-CN"/>
        </w:rPr>
      </w:pPr>
      <w:r>
        <w:rPr>
          <w:rFonts w:hint="eastAsia"/>
          <w:sz w:val="24"/>
          <w:szCs w:val="24"/>
          <w:lang w:eastAsia="zh-CN"/>
        </w:rPr>
        <w:t>医药咨询</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药品说明书查询</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药物相互作用与配伍查询</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儿童与老年人用药查询</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哺乳期用药查询</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妊娠期用药查询</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肝肾功能不全用药查询</w:t>
      </w:r>
    </w:p>
    <w:p>
      <w:pPr>
        <w:spacing w:line="360" w:lineRule="auto"/>
        <w:ind w:firstLine="480"/>
        <w:rPr>
          <w:rFonts w:ascii="仿宋" w:hAnsi="仿宋" w:eastAsia="仿宋"/>
          <w:sz w:val="24"/>
          <w:szCs w:val="24"/>
          <w:lang w:val="zh-CN"/>
        </w:rPr>
      </w:pPr>
      <w:r>
        <w:rPr>
          <w:rFonts w:hint="eastAsia" w:ascii="仿宋" w:hAnsi="仿宋" w:eastAsia="仿宋"/>
          <w:sz w:val="24"/>
          <w:szCs w:val="24"/>
          <w:lang w:val="zh-CN"/>
        </w:rPr>
        <w:t>常用医学公式</w:t>
      </w:r>
    </w:p>
    <w:p>
      <w:pPr>
        <w:pStyle w:val="8"/>
        <w:rPr>
          <w:lang w:eastAsia="zh-CN"/>
        </w:rPr>
      </w:pPr>
      <w:r>
        <w:rPr>
          <w:rFonts w:hint="eastAsia"/>
          <w:lang w:eastAsia="zh-CN"/>
        </w:rPr>
        <w:t>处方点评系统</w:t>
      </w:r>
    </w:p>
    <w:p>
      <w:pPr>
        <w:pStyle w:val="9"/>
        <w:numPr>
          <w:ilvl w:val="0"/>
          <w:numId w:val="0"/>
        </w:numPr>
        <w:spacing w:line="360" w:lineRule="auto"/>
        <w:ind w:left="3"/>
        <w:rPr>
          <w:sz w:val="24"/>
          <w:szCs w:val="24"/>
        </w:rPr>
      </w:pPr>
      <w:r>
        <w:rPr>
          <w:rFonts w:hint="eastAsia"/>
          <w:sz w:val="24"/>
          <w:szCs w:val="24"/>
        </w:rPr>
        <w:t>系统管理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用户管理：添加修改用户账户，密码和所属角色等信息。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角色管理：系统角色的新增、修改和删除功能，并可以配置具体角色对应页面功能关系。</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权限管理：管理员可对本机构各角色的功能权限进行新增、修改和删除管理。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科室信息维护：可以查看医院的科室信息，并可修改科室相关属性(门急诊住院科室属性)。</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医生信息维护：可以查看医院的医生信息，并可修改医生相关属性（职称，抗菌药等级等属性）。</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药品信息维护：可以查看医院的药品信息，并可修改药品相关属性（抗菌药等级，标准DDD和药品相关分类信息）。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药品自定义分类维护：可以查看自定义的药品分类，并对新增药品分类进行维护。</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给药途径维护：可以查看医院的给药途径信息，并维护相关属性（是否注射，是否静脉输液，是否皮试等）。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检验信息维护：可以查看医院标准检验信息。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检验结果维护：可以查看医院检验结果信息。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手术信息维护：可以查看医院手术信息。</w:t>
      </w:r>
    </w:p>
    <w:p>
      <w:pPr>
        <w:pStyle w:val="9"/>
        <w:numPr>
          <w:ilvl w:val="0"/>
          <w:numId w:val="0"/>
        </w:numPr>
        <w:spacing w:line="360" w:lineRule="auto"/>
        <w:ind w:left="3"/>
        <w:rPr>
          <w:sz w:val="24"/>
          <w:szCs w:val="24"/>
          <w:lang w:eastAsia="zh-CN"/>
        </w:rPr>
      </w:pPr>
      <w:r>
        <w:rPr>
          <w:rFonts w:hint="eastAsia"/>
          <w:sz w:val="24"/>
          <w:szCs w:val="24"/>
          <w:lang w:eastAsia="zh-CN"/>
        </w:rPr>
        <w:t>处方点评（含专项点评）</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基础点评</w:t>
      </w:r>
      <w:r>
        <w:rPr>
          <w:rFonts w:hint="eastAsia" w:ascii="仿宋" w:hAnsi="仿宋" w:eastAsia="仿宋"/>
          <w:sz w:val="24"/>
          <w:szCs w:val="24"/>
          <w:lang w:val="zh-CN" w:eastAsia="zh-CN"/>
        </w:rPr>
        <w:tab/>
      </w:r>
      <w:r>
        <w:rPr>
          <w:rFonts w:hint="eastAsia" w:ascii="仿宋" w:hAnsi="仿宋" w:eastAsia="仿宋"/>
          <w:sz w:val="24"/>
          <w:szCs w:val="24"/>
          <w:lang w:val="zh-CN" w:eastAsia="zh-CN"/>
        </w:rPr>
        <w:t>门急诊处方点评：系统支持多样化条件抽取门诊处方，点评任务分配及点评进度跟踪、汇总，点评工作表的生成导出、点评问题汇总分析。</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住院医嘱点评：系统支持多样化条件抽取住院医嘱，点评任务分配及点评进度跟踪、汇总，点评工作表的生成导出、点评问题汇总分析。</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专项点评</w:t>
      </w:r>
      <w:r>
        <w:rPr>
          <w:rFonts w:hint="eastAsia" w:ascii="仿宋" w:hAnsi="仿宋" w:eastAsia="仿宋"/>
          <w:sz w:val="24"/>
          <w:szCs w:val="24"/>
          <w:lang w:val="zh-CN" w:eastAsia="zh-CN"/>
        </w:rPr>
        <w:tab/>
      </w:r>
      <w:r>
        <w:rPr>
          <w:rFonts w:hint="eastAsia" w:ascii="仿宋" w:hAnsi="仿宋" w:eastAsia="仿宋"/>
          <w:sz w:val="24"/>
          <w:szCs w:val="24"/>
          <w:lang w:val="zh-CN" w:eastAsia="zh-CN"/>
        </w:rPr>
        <w:t>抗菌药物点评-门急诊处方点评：系统针对抗菌药物专项内容，支持自定义设置抽样条件，抽取门急诊处方进行分配、点评、进度跟踪汇总，支持生成导出点评工作表及点评问题汇总分析。</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抗菌药物点评-住院医嘱点评：系统针对抗菌药物专项内容，支持自定义设置抽样条件，抽取住院医嘱进行分配、点评、进度跟踪汇总，支持生成导出点评工作表及点评问题汇总分析。</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中药饮片点评-门急诊处方点评：系统针对中药饮片专项内容，支持自定义设置抽样条件，抽取门急诊处方进行分配、点评、进度跟踪汇总，支持生成导出点评工作表及点评问题汇总分析。</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中药饮片点评-住院医嘱点评：系统针对中药饮片专项内容，支持自定义设置抽样条件，抽取住院医嘱进行分配、点评、进度跟踪汇总，支持生成导出点评工作表及点评问题汇总分析。</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基本药物点评-门急诊处方点评：系统针对基本药物专项内容，支持自定义设置抽样条件，抽取门急诊处方进行分配、点评、进度跟踪汇总，支持生成导出点评工作表及点评问题汇总分析。</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基本药物点评-住院医嘱点评：系统针对基本药物专项内容，支持自定义设置抽样条件，抽取住院医嘱进行分配、点评、进度跟踪汇总，支持生成导出点评工作表及点评问题汇总分析。</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围手术期抗菌药物点评：系统针对围手术期抗菌药物专项内容，支持自定义设置抽样条件，抽取住院医嘱进行分配、点评、进度跟踪汇总，支持生成导出点评工作表及点评问题汇总分析。</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点评任务管理：可自行设置月度、季度、年度任务，并在开始时间自动分发区域内机构进行自动点评、人工点评，可实时查看点评任务进度和结果信息。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自动点评：可根据点评任务进行自动抽取、自动点评。</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点评结果查看：可实时查看点评进度及结果信息，支持各类工作表、报表查看和导出。</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人工点评：支持药师查看点评任务明细、处方（医嘱）明细，进行人工点评。</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点评反馈：支持医生根据点评结果与药师进行在线沟通。</w:t>
      </w:r>
    </w:p>
    <w:p>
      <w:pPr>
        <w:pStyle w:val="8"/>
        <w:rPr>
          <w:lang w:eastAsia="zh-CN"/>
        </w:rPr>
      </w:pPr>
      <w:r>
        <w:rPr>
          <w:rFonts w:hint="eastAsia"/>
          <w:lang w:eastAsia="zh-CN"/>
        </w:rPr>
        <w:t>院内感染管理系统</w:t>
      </w:r>
    </w:p>
    <w:p>
      <w:pPr>
        <w:pStyle w:val="9"/>
        <w:numPr>
          <w:ilvl w:val="0"/>
          <w:numId w:val="0"/>
        </w:numPr>
        <w:spacing w:line="360" w:lineRule="auto"/>
        <w:ind w:left="3"/>
        <w:rPr>
          <w:sz w:val="24"/>
          <w:szCs w:val="24"/>
        </w:rPr>
      </w:pPr>
      <w:r>
        <w:rPr>
          <w:rFonts w:hint="eastAsia"/>
          <w:sz w:val="24"/>
          <w:szCs w:val="24"/>
        </w:rPr>
        <w:t>感染管理模块</w:t>
      </w:r>
    </w:p>
    <w:p>
      <w:pPr>
        <w:numPr>
          <w:ilvl w:val="0"/>
          <w:numId w:val="55"/>
        </w:numPr>
        <w:spacing w:line="360" w:lineRule="auto"/>
        <w:jc w:val="both"/>
        <w:rPr>
          <w:rFonts w:ascii="仿宋" w:hAnsi="仿宋" w:eastAsia="仿宋"/>
          <w:sz w:val="24"/>
          <w:szCs w:val="24"/>
          <w:lang w:val="zh-CN"/>
        </w:rPr>
      </w:pPr>
      <w:r>
        <w:rPr>
          <w:rFonts w:hint="eastAsia" w:ascii="仿宋" w:hAnsi="仿宋" w:eastAsia="仿宋"/>
          <w:sz w:val="24"/>
          <w:szCs w:val="24"/>
          <w:lang w:val="zh-CN"/>
        </w:rPr>
        <w:t>监测功能</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实时监测：可监测全院所有临床科室住院患者情况，可显示科室在院数、入院数、出院数、感染数、和多耐数。具体到某个患者显示如：患者姓名、床位号、入院诊断、体温、抗菌药物使用情况、器械治疗使用情况、化验检查结果、体温图、大便次数、病历、临时医嘱、长期医嘱和影像检查。（其中红色显示表示不在正常值范围或需要重点关注，如：三管中的红绿黄分别表示三管使用的三个状态，手术中的红灰绿同样表示手术的三个不同时刻）</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医院感染病例：显示医生上报的感染病例，感染管理人员（院感人员）未确认是显示待审核，确认为感染病例状态为监测中。</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外科手术部位：对外科手术部位按照科室、时间（月、季度、年）和切口类型进行归档直接打印或导出。</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多重耐药菌：对发生多耐信息以列表形式显示，显示信息为科室名称、病人姓名、病原菌名称、感染部位和报告日期。</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出院患者：显示选定时间出院患者详细信息，并可在此项填写感染病例漏报内容。</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科室工作进展：显示科室是否自查、手卫生知晓调查人数和观察人数。</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新出现病情：显示出院患者出院诊断。</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阳性病原学结果：显示选定时间当天或前一天的阳性病原学结果（未降低感染管理与公共卫生系统从LIS中读取数据对LIS资源的占用，所以一般设置在凌晨和中午12点读取数据）。</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制定环境卫生监测计划：针对具体科室消毒、灭菌和环境卫生制定监测计划，设置合格阈值。</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查看环境卫生监测结果：科室环境监测结果按月份以报表格式呈现。</w:t>
      </w:r>
    </w:p>
    <w:p>
      <w:pPr>
        <w:numPr>
          <w:ilvl w:val="0"/>
          <w:numId w:val="55"/>
        </w:numPr>
        <w:spacing w:line="360" w:lineRule="auto"/>
        <w:jc w:val="both"/>
        <w:rPr>
          <w:rFonts w:ascii="仿宋" w:hAnsi="仿宋" w:eastAsia="仿宋"/>
          <w:sz w:val="24"/>
          <w:szCs w:val="24"/>
          <w:lang w:val="zh-CN"/>
        </w:rPr>
      </w:pPr>
      <w:r>
        <w:rPr>
          <w:rFonts w:hint="eastAsia" w:ascii="仿宋" w:hAnsi="仿宋" w:eastAsia="仿宋"/>
          <w:sz w:val="24"/>
          <w:szCs w:val="24"/>
          <w:lang w:val="zh-CN"/>
        </w:rPr>
        <w:t>通知功能</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公告：可向全院或具体某个科室下发公告（安装感染管理与公共卫生软件客户端）。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发送通知：可向全院或具体某个医护人员发送通知（安装感染管理与公共卫生软件客户端）。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查看阅读情况：可查看发送通知的目标科室，查看通知的阅读情况。</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查看通知：可具体查看通知内容。</w:t>
      </w:r>
    </w:p>
    <w:p>
      <w:pPr>
        <w:numPr>
          <w:ilvl w:val="0"/>
          <w:numId w:val="55"/>
        </w:numPr>
        <w:spacing w:line="360" w:lineRule="auto"/>
        <w:jc w:val="both"/>
        <w:rPr>
          <w:rFonts w:ascii="仿宋" w:hAnsi="仿宋" w:eastAsia="仿宋"/>
          <w:sz w:val="24"/>
          <w:szCs w:val="24"/>
          <w:lang w:val="zh-CN"/>
        </w:rPr>
      </w:pPr>
      <w:r>
        <w:rPr>
          <w:rFonts w:hint="eastAsia" w:ascii="仿宋" w:hAnsi="仿宋" w:eastAsia="仿宋"/>
          <w:sz w:val="24"/>
          <w:szCs w:val="24"/>
          <w:lang w:val="zh-CN"/>
        </w:rPr>
        <w:t>手卫生功能</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知晓调查录入：可选定具体科室、日期、职业和具体某个人进行。手卫生知晓调查，填写完数据可自动生成报表（报表时间段为月、季度、年），报表支持直接打印和导出。</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手卫生观察录入：可选定具体科室、日期、职业和具体某个人进行。手卫生观察录入，填写完数据可自动生成报表（报表时间段为月、季度、年），报表支持直接打印和导出。</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手消毒观察录入：可选定具体科室、日期、职业和具体某个人进行。手消毒观察录入，填写完数据可自动生成报表（报表时间段为月、季度、年），报表支持直接打印和导出。</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调查项设置：可根据医院实际情况设置手卫生知晓调查调查项具体内容。</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检查科室执行情况：可查看每月各科室手卫生报表，了解科室手卫生执行情况。</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历史记录：可对全院、各科室，具体时间段（月、季度、年）进行手卫生报表统计。</w:t>
      </w:r>
    </w:p>
    <w:p>
      <w:pPr>
        <w:numPr>
          <w:ilvl w:val="0"/>
          <w:numId w:val="55"/>
        </w:numPr>
        <w:spacing w:line="360" w:lineRule="auto"/>
        <w:jc w:val="both"/>
        <w:rPr>
          <w:rFonts w:ascii="仿宋" w:hAnsi="仿宋" w:eastAsia="仿宋"/>
          <w:sz w:val="24"/>
          <w:szCs w:val="24"/>
          <w:lang w:val="zh-CN"/>
        </w:rPr>
      </w:pPr>
      <w:r>
        <w:rPr>
          <w:rFonts w:hint="eastAsia" w:ascii="仿宋" w:hAnsi="仿宋" w:eastAsia="仿宋"/>
          <w:sz w:val="24"/>
          <w:szCs w:val="24"/>
          <w:lang w:val="zh-CN"/>
        </w:rPr>
        <w:t>职业暴漏功能</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登记：按照国家要求对出现职业暴漏医护人员等信息进行登记，具体内容有暴露地点、暴漏方式、暴露源、暴漏疾病等信息。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追踪：可对职业暴露事件按照国家及医院要求进行追踪和管理。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历史记录：可查看本院医务人员职业暴漏的历史纪录，点击具体事件，可查看医务人员职业暴漏登记表。</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处理意见模板：根据国家要求和医院实际情况编辑医院职业暴漏的默认预防措施处理意见模板。</w:t>
      </w:r>
    </w:p>
    <w:p>
      <w:pPr>
        <w:numPr>
          <w:ilvl w:val="0"/>
          <w:numId w:val="55"/>
        </w:numPr>
        <w:spacing w:line="360" w:lineRule="auto"/>
        <w:jc w:val="both"/>
        <w:rPr>
          <w:rFonts w:ascii="仿宋" w:hAnsi="仿宋" w:eastAsia="仿宋"/>
          <w:sz w:val="24"/>
          <w:szCs w:val="24"/>
          <w:lang w:val="zh-CN"/>
        </w:rPr>
      </w:pPr>
      <w:r>
        <w:rPr>
          <w:rFonts w:hint="eastAsia" w:ascii="仿宋" w:hAnsi="仿宋" w:eastAsia="仿宋"/>
          <w:sz w:val="24"/>
          <w:szCs w:val="24"/>
          <w:lang w:val="zh-CN"/>
        </w:rPr>
        <w:t>量化考核功能</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新建督查：可新建督察科室，设置督查时间及科室存在问题。</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督查列表：显示医院感染控制监督的督查列表，并根据督查内容，填写检查落实情况。</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考核记录：显示所选时间段内科室的考核记录。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考核细则编辑：根据国家要求和医院实际情况编辑医院考核细则。</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考核设置：可设置科室考核类别。</w:t>
      </w:r>
    </w:p>
    <w:p>
      <w:pPr>
        <w:numPr>
          <w:ilvl w:val="0"/>
          <w:numId w:val="55"/>
        </w:numPr>
        <w:spacing w:line="360" w:lineRule="auto"/>
        <w:jc w:val="both"/>
        <w:rPr>
          <w:rFonts w:ascii="仿宋" w:hAnsi="仿宋" w:eastAsia="仿宋"/>
          <w:sz w:val="24"/>
          <w:szCs w:val="24"/>
          <w:lang w:val="zh-CN"/>
        </w:rPr>
      </w:pPr>
      <w:r>
        <w:rPr>
          <w:rFonts w:hint="eastAsia" w:ascii="仿宋" w:hAnsi="仿宋" w:eastAsia="仿宋"/>
          <w:sz w:val="24"/>
          <w:szCs w:val="24"/>
          <w:lang w:val="zh-CN"/>
        </w:rPr>
        <w:t>历史记录功能</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感染病例报告记录：显示感染病例报告内容，如详细信息科室、感染部位、状态等。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外科手术监测记录：显示外科手术监测内容，如手术名称、患者信息、状态等。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归档手术：按时间显示归档手术，具体内容有科室、住院号、姓名、手术日期、切口类别、愈合等级和Asa评分信息。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病人日志与月报检测表：可根据科室和时间（每月）生成病人日志和月报检测表，具体内容为：新住进患者数、当日住院患者人数、留置导尿管病人数、中心静脉插管病人数、手术病人数、气管插管人数和使用呼吸机病人数。</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多重耐药菌记录：可查看医院发生多重耐药菌的记录，如科室名称、病人姓名、病原菌名称、感染部位、报告日期和解除日期。</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环境卫生记录：根据监测中环境卫生监测结果按月份自动生成医院消毒、灭菌、环境卫生监测报告。</w:t>
      </w:r>
    </w:p>
    <w:p>
      <w:pPr>
        <w:numPr>
          <w:ilvl w:val="0"/>
          <w:numId w:val="55"/>
        </w:numPr>
        <w:spacing w:line="360" w:lineRule="auto"/>
        <w:jc w:val="both"/>
        <w:rPr>
          <w:rFonts w:ascii="仿宋" w:hAnsi="仿宋" w:eastAsia="仿宋"/>
          <w:sz w:val="24"/>
          <w:szCs w:val="24"/>
          <w:lang w:val="zh-CN"/>
        </w:rPr>
      </w:pPr>
      <w:r>
        <w:rPr>
          <w:rFonts w:hint="eastAsia" w:ascii="仿宋" w:hAnsi="仿宋" w:eastAsia="仿宋"/>
          <w:sz w:val="24"/>
          <w:szCs w:val="24"/>
          <w:lang w:val="zh-CN"/>
        </w:rPr>
        <w:t>统计分析功能</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质量控制指标：按照国家卫计委医院管理研究所制定的《医院感染监测基本数据集及质量控制指标集实施指南(2016版)》64项指标进行数据采集生成报表。</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抗菌药物使用调查：可按科室和月份在生成的报表中查看抗菌药物使用调查数据。</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全员抗菌药物统计：可按月份查看各科室和全院抗菌药物的额统计数据。</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感染统计：可按月份查看各科室和全院的感染部位、感染率汇总表。</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感染漏报统计：可按月对感染病例漏报数据进行统计</w:t>
      </w:r>
    </w:p>
    <w:p>
      <w:pPr>
        <w:numPr>
          <w:ilvl w:val="0"/>
          <w:numId w:val="55"/>
        </w:numPr>
        <w:spacing w:line="360" w:lineRule="auto"/>
        <w:jc w:val="both"/>
        <w:rPr>
          <w:rFonts w:ascii="仿宋" w:hAnsi="仿宋" w:eastAsia="仿宋"/>
          <w:sz w:val="24"/>
          <w:szCs w:val="24"/>
          <w:lang w:val="zh-CN"/>
        </w:rPr>
      </w:pPr>
      <w:r>
        <w:rPr>
          <w:rFonts w:hint="eastAsia" w:ascii="仿宋" w:hAnsi="仿宋" w:eastAsia="仿宋"/>
          <w:sz w:val="24"/>
          <w:szCs w:val="24"/>
          <w:lang w:val="zh-CN"/>
        </w:rPr>
        <w:t>系统管理功能</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科室管理：对各科室主任、副主任和护士长和副护士长划分。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人员管理：可增加科室人员、人员角色和科室调动。</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控制面板：显示医院名称。</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科室设置：可设置科室类别和进行科室序号编排。</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人员列表 : 可增加科室和科室人员。</w:t>
      </w:r>
    </w:p>
    <w:p>
      <w:pPr>
        <w:numPr>
          <w:ilvl w:val="0"/>
          <w:numId w:val="55"/>
        </w:numPr>
        <w:spacing w:line="360" w:lineRule="auto"/>
        <w:jc w:val="both"/>
        <w:rPr>
          <w:rFonts w:ascii="仿宋" w:hAnsi="仿宋" w:eastAsia="仿宋"/>
          <w:sz w:val="24"/>
          <w:szCs w:val="24"/>
          <w:lang w:val="zh-CN"/>
        </w:rPr>
      </w:pPr>
      <w:r>
        <w:rPr>
          <w:rFonts w:hint="eastAsia" w:ascii="仿宋" w:hAnsi="仿宋" w:eastAsia="仿宋"/>
          <w:sz w:val="24"/>
          <w:szCs w:val="24"/>
          <w:lang w:val="zh-CN"/>
        </w:rPr>
        <w:t>学习交流</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知识库：根据医院实际所需填写内容。</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知识讨论：医生可在此项进行知识讨论。</w:t>
      </w:r>
    </w:p>
    <w:p>
      <w:pPr>
        <w:numPr>
          <w:ilvl w:val="0"/>
          <w:numId w:val="55"/>
        </w:numPr>
        <w:spacing w:line="360" w:lineRule="auto"/>
        <w:jc w:val="both"/>
        <w:rPr>
          <w:rFonts w:ascii="仿宋" w:hAnsi="仿宋" w:eastAsia="仿宋"/>
          <w:sz w:val="24"/>
          <w:szCs w:val="24"/>
          <w:lang w:val="zh-CN"/>
        </w:rPr>
      </w:pPr>
      <w:r>
        <w:rPr>
          <w:rFonts w:hint="eastAsia" w:ascii="仿宋" w:hAnsi="仿宋" w:eastAsia="仿宋"/>
          <w:sz w:val="24"/>
          <w:szCs w:val="24"/>
          <w:lang w:val="zh-CN"/>
        </w:rPr>
        <w:t>术语编辑</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标记物项目：常见标记物机器正常值的显示。</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病原学样本：常见病原学样本及其别名。</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操作诊疗：操作诊疗名称及编码。</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感染部位：常见感染部位显示。</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抗菌药物：医院使用抗菌药物级别划分和别名及分类划分。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器械治疗：常见器械治疗显示。</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药敏抗菌药物：医院使用抗菌药物分类和别名整理。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医学专业代码：医学常见代码显示。</w:t>
      </w:r>
    </w:p>
    <w:p>
      <w:pPr>
        <w:pStyle w:val="9"/>
        <w:numPr>
          <w:ilvl w:val="0"/>
          <w:numId w:val="0"/>
        </w:numPr>
        <w:spacing w:line="360" w:lineRule="auto"/>
        <w:ind w:left="3"/>
        <w:rPr>
          <w:sz w:val="24"/>
          <w:szCs w:val="24"/>
        </w:rPr>
      </w:pPr>
      <w:r>
        <w:rPr>
          <w:rFonts w:hint="eastAsia"/>
          <w:sz w:val="24"/>
          <w:szCs w:val="24"/>
        </w:rPr>
        <w:t>公共卫生系统功能</w:t>
      </w:r>
    </w:p>
    <w:p>
      <w:pPr>
        <w:numPr>
          <w:ilvl w:val="0"/>
          <w:numId w:val="56"/>
        </w:numPr>
        <w:spacing w:line="360" w:lineRule="auto"/>
        <w:jc w:val="both"/>
        <w:rPr>
          <w:rFonts w:ascii="仿宋" w:hAnsi="仿宋" w:eastAsia="仿宋"/>
          <w:sz w:val="24"/>
          <w:szCs w:val="24"/>
          <w:lang w:val="zh-CN"/>
        </w:rPr>
      </w:pPr>
      <w:r>
        <w:rPr>
          <w:rFonts w:hint="eastAsia" w:ascii="仿宋" w:hAnsi="仿宋" w:eastAsia="仿宋"/>
          <w:sz w:val="24"/>
          <w:szCs w:val="24"/>
          <w:lang w:val="zh-CN"/>
        </w:rPr>
        <w:t>通知</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公告：可向全院或具体某个科室下发公告（安装感染管理与公共卫生软件客户端）。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发送通知：可向全院或具体某个医护人员发送通知（安装感染管理与公共卫生软件客户端）。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查看阅读情况：可查看发送通知的目标科室，查看通知的阅读情况。</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查看通知：可具体查看通知内容。</w:t>
      </w:r>
    </w:p>
    <w:p>
      <w:pPr>
        <w:pStyle w:val="8"/>
        <w:rPr>
          <w:lang w:eastAsia="zh-CN"/>
        </w:rPr>
      </w:pPr>
      <w:r>
        <w:rPr>
          <w:rFonts w:hint="eastAsia"/>
          <w:lang w:eastAsia="zh-CN"/>
        </w:rPr>
        <w:t>CA电子签名系统</w:t>
      </w:r>
    </w:p>
    <w:p>
      <w:pPr>
        <w:pStyle w:val="9"/>
        <w:numPr>
          <w:ilvl w:val="0"/>
          <w:numId w:val="0"/>
        </w:numPr>
        <w:spacing w:line="360" w:lineRule="auto"/>
        <w:ind w:left="3"/>
        <w:rPr>
          <w:sz w:val="24"/>
          <w:szCs w:val="24"/>
          <w:lang w:eastAsia="zh-CN"/>
        </w:rPr>
      </w:pPr>
      <w:r>
        <w:rPr>
          <w:rFonts w:hint="eastAsia"/>
          <w:sz w:val="24"/>
          <w:szCs w:val="24"/>
          <w:lang w:eastAsia="zh-CN"/>
        </w:rPr>
        <w:t xml:space="preserve">医护及患者实名认证服务 </w:t>
      </w:r>
    </w:p>
    <w:p>
      <w:pPr>
        <w:numPr>
          <w:ilvl w:val="0"/>
          <w:numId w:val="57"/>
        </w:numPr>
        <w:spacing w:line="360" w:lineRule="auto"/>
        <w:jc w:val="both"/>
        <w:rPr>
          <w:rFonts w:ascii="仿宋" w:hAnsi="仿宋" w:eastAsia="仿宋"/>
          <w:sz w:val="24"/>
          <w:szCs w:val="24"/>
          <w:lang w:val="zh-CN"/>
        </w:rPr>
      </w:pPr>
      <w:r>
        <w:rPr>
          <w:rFonts w:hint="eastAsia" w:ascii="仿宋" w:hAnsi="仿宋" w:eastAsia="仿宋"/>
          <w:sz w:val="24"/>
          <w:szCs w:val="24"/>
          <w:lang w:val="zh-CN"/>
        </w:rPr>
        <w:t>个人银行四要素认证</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用户通过此种方式认证，提交银行卡号、真实姓名、身份证号、银行预留手机号四要素信息进行比对，信息完全一致，再发送验证码到银行手机号，短信验证码通过之后，通过实名认证。</w:t>
      </w:r>
    </w:p>
    <w:p>
      <w:pPr>
        <w:numPr>
          <w:ilvl w:val="0"/>
          <w:numId w:val="57"/>
        </w:numPr>
        <w:spacing w:line="360" w:lineRule="auto"/>
        <w:jc w:val="both"/>
        <w:rPr>
          <w:rFonts w:ascii="仿宋" w:hAnsi="仿宋" w:eastAsia="仿宋"/>
          <w:sz w:val="24"/>
          <w:szCs w:val="24"/>
          <w:lang w:val="zh-CN"/>
        </w:rPr>
      </w:pPr>
      <w:r>
        <w:rPr>
          <w:rFonts w:hint="eastAsia" w:ascii="仿宋" w:hAnsi="仿宋" w:eastAsia="仿宋"/>
          <w:sz w:val="24"/>
          <w:szCs w:val="24"/>
          <w:lang w:val="zh-CN"/>
        </w:rPr>
        <w:t>运营商三要素认证：</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用户填写姓名、身份证号、本人手机号三项基本信息；打通运营商（电信+移动+联通）验证这三项信息的真实性；向该手机号发送验证码，用户完成验证码校验。</w:t>
      </w:r>
    </w:p>
    <w:p>
      <w:pPr>
        <w:numPr>
          <w:ilvl w:val="0"/>
          <w:numId w:val="57"/>
        </w:numPr>
        <w:spacing w:line="360" w:lineRule="auto"/>
        <w:jc w:val="both"/>
        <w:rPr>
          <w:rFonts w:ascii="仿宋" w:hAnsi="仿宋" w:eastAsia="仿宋"/>
          <w:sz w:val="24"/>
          <w:szCs w:val="24"/>
          <w:lang w:val="zh-CN"/>
        </w:rPr>
      </w:pPr>
      <w:r>
        <w:rPr>
          <w:rFonts w:hint="eastAsia" w:ascii="仿宋" w:hAnsi="仿宋" w:eastAsia="仿宋"/>
          <w:sz w:val="24"/>
          <w:szCs w:val="24"/>
          <w:lang w:val="zh-CN"/>
        </w:rPr>
        <w:t>刷脸认证</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引入腾讯微众、芝麻信用等成熟的人脸识别服务，对用户进行活体检测，获得活体照片，连接公安库，与公安留底网纹照进行人脸识别比对，并校验用户姓名身份证号是否匹配，比对均一致则实名认证通过。</w:t>
      </w:r>
    </w:p>
    <w:p>
      <w:pPr>
        <w:pStyle w:val="9"/>
        <w:numPr>
          <w:ilvl w:val="0"/>
          <w:numId w:val="0"/>
        </w:numPr>
        <w:spacing w:line="360" w:lineRule="auto"/>
        <w:ind w:left="3"/>
        <w:rPr>
          <w:sz w:val="24"/>
          <w:szCs w:val="24"/>
          <w:lang w:eastAsia="zh-CN"/>
        </w:rPr>
      </w:pPr>
      <w:r>
        <w:rPr>
          <w:rFonts w:hint="eastAsia"/>
          <w:sz w:val="24"/>
          <w:szCs w:val="24"/>
          <w:lang w:eastAsia="zh-CN"/>
        </w:rPr>
        <w:t>数字证书服务</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用户实名认证通过之后，对接CA机构，为用户颁发实名数字证书。公司打通了多家CA认证中心系统，多通道的CA认证服务，可以确保用户能够享受不间断的发证服务。</w:t>
      </w:r>
    </w:p>
    <w:p>
      <w:pPr>
        <w:pStyle w:val="9"/>
        <w:numPr>
          <w:ilvl w:val="0"/>
          <w:numId w:val="0"/>
        </w:numPr>
        <w:spacing w:line="360" w:lineRule="auto"/>
        <w:ind w:left="3"/>
        <w:rPr>
          <w:sz w:val="24"/>
          <w:szCs w:val="24"/>
        </w:rPr>
      </w:pPr>
      <w:r>
        <w:rPr>
          <w:rFonts w:hint="eastAsia"/>
          <w:sz w:val="24"/>
          <w:szCs w:val="24"/>
        </w:rPr>
        <w:t>电子印章服务</w:t>
      </w:r>
    </w:p>
    <w:p>
      <w:pPr>
        <w:numPr>
          <w:ilvl w:val="0"/>
          <w:numId w:val="58"/>
        </w:numPr>
        <w:spacing w:line="360" w:lineRule="auto"/>
        <w:jc w:val="both"/>
        <w:rPr>
          <w:rFonts w:ascii="仿宋" w:hAnsi="仿宋" w:eastAsia="仿宋"/>
          <w:sz w:val="24"/>
          <w:szCs w:val="24"/>
          <w:lang w:val="zh-CN"/>
        </w:rPr>
      </w:pPr>
      <w:r>
        <w:rPr>
          <w:rFonts w:hint="eastAsia" w:ascii="仿宋" w:hAnsi="仿宋" w:eastAsia="仿宋"/>
          <w:sz w:val="24"/>
          <w:szCs w:val="24"/>
          <w:lang w:val="zh-CN"/>
        </w:rPr>
        <w:t>模板印章生成服务</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模板印章生成服务是根据用户实名身份信息为用户制作指定的模板印章。</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公司平台根据用户信息完成模板印章制作后返回制作完成的电子印章数据，作为用户签署印章使用。</w:t>
      </w:r>
    </w:p>
    <w:p>
      <w:pPr>
        <w:numPr>
          <w:ilvl w:val="0"/>
          <w:numId w:val="58"/>
        </w:numPr>
        <w:spacing w:line="360" w:lineRule="auto"/>
        <w:jc w:val="both"/>
        <w:rPr>
          <w:rFonts w:ascii="仿宋" w:hAnsi="仿宋" w:eastAsia="仿宋"/>
          <w:sz w:val="24"/>
          <w:szCs w:val="24"/>
          <w:lang w:val="zh-CN"/>
        </w:rPr>
      </w:pPr>
      <w:r>
        <w:rPr>
          <w:rFonts w:hint="eastAsia" w:ascii="仿宋" w:hAnsi="仿宋" w:eastAsia="仿宋"/>
          <w:sz w:val="24"/>
          <w:szCs w:val="24"/>
          <w:lang w:val="zh-CN"/>
        </w:rPr>
        <w:t>自定义印章生成服务</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所谓自定义印章服务，就是通过开放接口的方式，支持用户上传自定义印章图片。包括企业自定义印章和个人自定义印章、个人手绘签名等。</w:t>
      </w:r>
    </w:p>
    <w:p>
      <w:pPr>
        <w:pStyle w:val="9"/>
        <w:numPr>
          <w:ilvl w:val="0"/>
          <w:numId w:val="0"/>
        </w:numPr>
        <w:spacing w:line="360" w:lineRule="auto"/>
        <w:ind w:left="3"/>
        <w:rPr>
          <w:sz w:val="24"/>
          <w:szCs w:val="24"/>
        </w:rPr>
      </w:pPr>
      <w:r>
        <w:rPr>
          <w:rFonts w:hint="eastAsia"/>
          <w:sz w:val="24"/>
          <w:szCs w:val="24"/>
        </w:rPr>
        <w:t>电子签名服务</w:t>
      </w:r>
    </w:p>
    <w:p>
      <w:pPr>
        <w:numPr>
          <w:ilvl w:val="0"/>
          <w:numId w:val="59"/>
        </w:numPr>
        <w:spacing w:line="360" w:lineRule="auto"/>
        <w:jc w:val="both"/>
        <w:rPr>
          <w:rFonts w:ascii="仿宋" w:hAnsi="仿宋" w:eastAsia="仿宋"/>
          <w:sz w:val="24"/>
          <w:szCs w:val="24"/>
          <w:lang w:val="zh-CN"/>
        </w:rPr>
      </w:pPr>
      <w:r>
        <w:rPr>
          <w:rFonts w:hint="eastAsia" w:ascii="仿宋" w:hAnsi="仿宋" w:eastAsia="仿宋"/>
          <w:sz w:val="24"/>
          <w:szCs w:val="24"/>
          <w:lang w:val="zh-CN"/>
        </w:rPr>
        <w:t>数字签名标准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数字签名标准</w:t>
      </w:r>
      <w:r>
        <w:rPr>
          <w:rFonts w:hint="eastAsia" w:ascii="仿宋" w:hAnsi="仿宋" w:eastAsia="仿宋"/>
          <w:sz w:val="24"/>
          <w:szCs w:val="24"/>
          <w:lang w:val="zh-CN" w:eastAsia="zh-CN"/>
        </w:rPr>
        <w:tab/>
      </w:r>
      <w:r>
        <w:rPr>
          <w:rFonts w:hint="eastAsia" w:ascii="仿宋" w:hAnsi="仿宋" w:eastAsia="仿宋"/>
          <w:sz w:val="24"/>
          <w:szCs w:val="24"/>
          <w:lang w:val="zh-CN" w:eastAsia="zh-CN"/>
        </w:rPr>
        <w:t>：PADES标准</w:t>
      </w:r>
    </w:p>
    <w:p>
      <w:pPr>
        <w:spacing w:line="360" w:lineRule="auto"/>
        <w:ind w:firstLine="480"/>
        <w:rPr>
          <w:rFonts w:ascii="仿宋" w:hAnsi="仿宋" w:eastAsia="仿宋"/>
          <w:sz w:val="24"/>
          <w:szCs w:val="24"/>
          <w:lang w:val="zh-CN"/>
        </w:rPr>
      </w:pPr>
      <w:r>
        <w:rPr>
          <w:rFonts w:hint="eastAsia" w:ascii="仿宋" w:hAnsi="仿宋" w:eastAsia="仿宋"/>
          <w:sz w:val="24"/>
          <w:szCs w:val="24"/>
          <w:lang w:val="zh-CN"/>
        </w:rPr>
        <w:t>签名文件格式</w:t>
      </w:r>
      <w:r>
        <w:rPr>
          <w:rFonts w:hint="eastAsia" w:ascii="仿宋" w:hAnsi="仿宋" w:eastAsia="仿宋"/>
          <w:sz w:val="24"/>
          <w:szCs w:val="24"/>
          <w:lang w:val="zh-CN"/>
        </w:rPr>
        <w:tab/>
      </w:r>
      <w:r>
        <w:rPr>
          <w:rFonts w:hint="eastAsia" w:ascii="仿宋" w:hAnsi="仿宋" w:eastAsia="仿宋"/>
          <w:sz w:val="24"/>
          <w:szCs w:val="24"/>
          <w:lang w:val="zh-CN"/>
        </w:rPr>
        <w:t>：PDF、OFD</w:t>
      </w:r>
    </w:p>
    <w:p>
      <w:pPr>
        <w:numPr>
          <w:ilvl w:val="0"/>
          <w:numId w:val="59"/>
        </w:numPr>
        <w:spacing w:line="360" w:lineRule="auto"/>
        <w:jc w:val="both"/>
        <w:rPr>
          <w:rFonts w:ascii="仿宋" w:hAnsi="仿宋" w:eastAsia="仿宋"/>
          <w:sz w:val="24"/>
          <w:szCs w:val="24"/>
          <w:lang w:val="zh-CN"/>
        </w:rPr>
      </w:pPr>
      <w:r>
        <w:rPr>
          <w:rFonts w:hint="eastAsia" w:ascii="仿宋" w:hAnsi="仿宋" w:eastAsia="仿宋"/>
          <w:sz w:val="24"/>
          <w:szCs w:val="24"/>
          <w:lang w:val="zh-CN"/>
        </w:rPr>
        <w:t>数字签名加密算法</w:t>
      </w:r>
    </w:p>
    <w:p>
      <w:pPr>
        <w:spacing w:line="360" w:lineRule="auto"/>
        <w:ind w:firstLine="480"/>
        <w:rPr>
          <w:rFonts w:ascii="仿宋" w:hAnsi="仿宋" w:eastAsia="仿宋"/>
          <w:sz w:val="24"/>
          <w:szCs w:val="24"/>
          <w:lang w:val="zh-CN"/>
        </w:rPr>
      </w:pPr>
      <w:r>
        <w:rPr>
          <w:rFonts w:hint="eastAsia" w:ascii="仿宋" w:hAnsi="仿宋" w:eastAsia="仿宋"/>
          <w:sz w:val="24"/>
          <w:szCs w:val="24"/>
          <w:lang w:val="zh-CN"/>
        </w:rPr>
        <w:t>国际算法：</w:t>
      </w:r>
      <w:r>
        <w:rPr>
          <w:rFonts w:hint="eastAsia" w:ascii="仿宋" w:hAnsi="仿宋" w:eastAsia="仿宋"/>
          <w:sz w:val="24"/>
          <w:szCs w:val="24"/>
          <w:lang w:val="zh-CN"/>
        </w:rPr>
        <w:tab/>
      </w:r>
      <w:r>
        <w:rPr>
          <w:rFonts w:hint="eastAsia" w:ascii="仿宋" w:hAnsi="仿宋" w:eastAsia="仿宋"/>
          <w:sz w:val="24"/>
          <w:szCs w:val="24"/>
          <w:lang w:val="zh-CN"/>
        </w:rPr>
        <w:t>RSA2048、SHA256</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国产算法：</w:t>
      </w:r>
      <w:r>
        <w:rPr>
          <w:rFonts w:hint="eastAsia" w:ascii="仿宋" w:hAnsi="仿宋" w:eastAsia="仿宋"/>
          <w:sz w:val="24"/>
          <w:szCs w:val="24"/>
          <w:lang w:val="zh-CN" w:eastAsia="zh-CN"/>
        </w:rPr>
        <w:tab/>
      </w:r>
      <w:r>
        <w:rPr>
          <w:rFonts w:hint="eastAsia" w:ascii="仿宋" w:hAnsi="仿宋" w:eastAsia="仿宋"/>
          <w:sz w:val="24"/>
          <w:szCs w:val="24"/>
          <w:lang w:val="zh-CN" w:eastAsia="zh-CN"/>
        </w:rPr>
        <w:t>SM2、SM3</w:t>
      </w:r>
    </w:p>
    <w:p>
      <w:pPr>
        <w:numPr>
          <w:ilvl w:val="0"/>
          <w:numId w:val="59"/>
        </w:numPr>
        <w:spacing w:line="360" w:lineRule="auto"/>
        <w:jc w:val="both"/>
        <w:rPr>
          <w:rFonts w:ascii="仿宋" w:hAnsi="仿宋" w:eastAsia="仿宋"/>
          <w:sz w:val="24"/>
          <w:szCs w:val="24"/>
          <w:lang w:val="zh-CN"/>
        </w:rPr>
      </w:pPr>
      <w:r>
        <w:rPr>
          <w:rFonts w:hint="eastAsia" w:ascii="仿宋" w:hAnsi="仿宋" w:eastAsia="仿宋"/>
          <w:sz w:val="24"/>
          <w:szCs w:val="24"/>
          <w:lang w:val="zh-CN"/>
        </w:rPr>
        <w:t>签署方式</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原文签署</w:t>
      </w:r>
      <w:r>
        <w:rPr>
          <w:rFonts w:hint="eastAsia" w:ascii="仿宋" w:hAnsi="仿宋" w:eastAsia="仿宋"/>
          <w:sz w:val="24"/>
          <w:szCs w:val="24"/>
          <w:lang w:val="zh-CN" w:eastAsia="zh-CN"/>
        </w:rPr>
        <w:tab/>
      </w:r>
      <w:r>
        <w:rPr>
          <w:rFonts w:hint="eastAsia" w:ascii="仿宋" w:hAnsi="仿宋" w:eastAsia="仿宋"/>
          <w:sz w:val="24"/>
          <w:szCs w:val="24"/>
          <w:lang w:val="zh-CN" w:eastAsia="zh-CN"/>
        </w:rPr>
        <w:t>签名文件原文上传公司，在公司平台进行签名加密操作，借助于公司这个公证的第三方平台，确保签名过程的法律效力。</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摘要签署</w:t>
      </w:r>
      <w:r>
        <w:rPr>
          <w:rFonts w:hint="eastAsia" w:ascii="仿宋" w:hAnsi="仿宋" w:eastAsia="仿宋"/>
          <w:sz w:val="24"/>
          <w:szCs w:val="24"/>
          <w:lang w:val="zh-CN" w:eastAsia="zh-CN"/>
        </w:rPr>
        <w:tab/>
      </w:r>
      <w:r>
        <w:rPr>
          <w:rFonts w:hint="eastAsia" w:ascii="仿宋" w:hAnsi="仿宋" w:eastAsia="仿宋"/>
          <w:sz w:val="24"/>
          <w:szCs w:val="24"/>
          <w:lang w:val="zh-CN" w:eastAsia="zh-CN"/>
        </w:rPr>
        <w:t>摘要签署是基于部分用户的隐私保护需求，希望能够保证原文的信息安全，确保原文数据不被任何他方系统获取。我们根据数字签名的原理，将摘要运算和私钥加密运算分离，摘要运算在应用系统本地完成，私钥加密运算在公司平台完成。</w:t>
      </w:r>
    </w:p>
    <w:p>
      <w:pPr>
        <w:numPr>
          <w:ilvl w:val="0"/>
          <w:numId w:val="59"/>
        </w:numPr>
        <w:spacing w:line="360" w:lineRule="auto"/>
        <w:jc w:val="both"/>
        <w:rPr>
          <w:rFonts w:ascii="仿宋" w:hAnsi="仿宋" w:eastAsia="仿宋"/>
          <w:sz w:val="24"/>
          <w:szCs w:val="24"/>
          <w:lang w:val="zh-CN"/>
        </w:rPr>
      </w:pPr>
      <w:r>
        <w:rPr>
          <w:rFonts w:hint="eastAsia" w:ascii="仿宋" w:hAnsi="仿宋" w:eastAsia="仿宋"/>
          <w:sz w:val="24"/>
          <w:szCs w:val="24"/>
          <w:lang w:val="zh-CN"/>
        </w:rPr>
        <w:t>签章位置</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支持单页签署、多页签署、骑缝章签署，支持坐标定位、关键字定位、手动拖拽定位。</w:t>
      </w:r>
    </w:p>
    <w:p>
      <w:pPr>
        <w:numPr>
          <w:ilvl w:val="0"/>
          <w:numId w:val="59"/>
        </w:numPr>
        <w:spacing w:line="360" w:lineRule="auto"/>
        <w:jc w:val="both"/>
        <w:rPr>
          <w:rFonts w:ascii="仿宋" w:hAnsi="仿宋" w:eastAsia="仿宋"/>
          <w:sz w:val="24"/>
          <w:szCs w:val="24"/>
          <w:lang w:val="zh-CN"/>
        </w:rPr>
      </w:pPr>
      <w:r>
        <w:rPr>
          <w:rFonts w:hint="eastAsia" w:ascii="仿宋" w:hAnsi="仿宋" w:eastAsia="仿宋"/>
          <w:sz w:val="24"/>
          <w:szCs w:val="24"/>
          <w:lang w:val="zh-CN"/>
        </w:rPr>
        <w:t>签署意愿认证方式</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短信验证码</w:t>
      </w:r>
      <w:r>
        <w:rPr>
          <w:rFonts w:hint="eastAsia" w:ascii="仿宋" w:hAnsi="仿宋" w:eastAsia="仿宋"/>
          <w:sz w:val="24"/>
          <w:szCs w:val="24"/>
          <w:lang w:val="zh-CN" w:eastAsia="zh-CN"/>
        </w:rPr>
        <w:tab/>
      </w:r>
      <w:r>
        <w:rPr>
          <w:rFonts w:hint="eastAsia" w:ascii="仿宋" w:hAnsi="仿宋" w:eastAsia="仿宋"/>
          <w:sz w:val="24"/>
          <w:szCs w:val="24"/>
          <w:lang w:val="zh-CN" w:eastAsia="zh-CN"/>
        </w:rPr>
        <w:t>通过向用户手机发送一条验证码，来达到意愿认证目的。</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刷脸认证</w:t>
      </w:r>
      <w:r>
        <w:rPr>
          <w:rFonts w:hint="eastAsia" w:ascii="仿宋" w:hAnsi="仿宋" w:eastAsia="仿宋"/>
          <w:sz w:val="24"/>
          <w:szCs w:val="24"/>
          <w:lang w:val="zh-CN" w:eastAsia="zh-CN"/>
        </w:rPr>
        <w:tab/>
      </w:r>
      <w:r>
        <w:rPr>
          <w:rFonts w:hint="eastAsia" w:ascii="仿宋" w:hAnsi="仿宋" w:eastAsia="仿宋"/>
          <w:sz w:val="24"/>
          <w:szCs w:val="24"/>
          <w:lang w:val="zh-CN" w:eastAsia="zh-CN"/>
        </w:rPr>
        <w:t>通过活体检测、人脸识别的方式，确认签署人为用户本人。</w:t>
      </w:r>
    </w:p>
    <w:p>
      <w:pPr>
        <w:pStyle w:val="9"/>
        <w:numPr>
          <w:ilvl w:val="0"/>
          <w:numId w:val="0"/>
        </w:numPr>
        <w:spacing w:line="360" w:lineRule="auto"/>
        <w:ind w:left="3"/>
        <w:rPr>
          <w:sz w:val="24"/>
          <w:szCs w:val="24"/>
          <w:lang w:eastAsia="zh-CN"/>
        </w:rPr>
      </w:pPr>
      <w:r>
        <w:rPr>
          <w:rFonts w:hint="eastAsia"/>
          <w:sz w:val="24"/>
          <w:szCs w:val="24"/>
          <w:lang w:eastAsia="zh-CN"/>
        </w:rPr>
        <w:t>签名验证服务</w:t>
      </w:r>
    </w:p>
    <w:p>
      <w:pPr>
        <w:spacing w:line="360" w:lineRule="auto"/>
        <w:ind w:firstLine="480"/>
        <w:rPr>
          <w:rFonts w:ascii="仿宋" w:hAnsi="仿宋" w:eastAsia="仿宋"/>
          <w:sz w:val="24"/>
          <w:szCs w:val="24"/>
          <w:lang w:val="zh-CN"/>
        </w:rPr>
      </w:pPr>
      <w:r>
        <w:rPr>
          <w:rFonts w:hint="eastAsia" w:ascii="仿宋" w:hAnsi="仿宋" w:eastAsia="仿宋"/>
          <w:sz w:val="24"/>
          <w:szCs w:val="24"/>
          <w:lang w:val="zh-CN" w:eastAsia="zh-CN"/>
        </w:rPr>
        <w:t>提供文件验签服务，通过验签可快速判断合同真伪，是否为所签署盖章，从而解决顾虑。</w:t>
      </w:r>
      <w:r>
        <w:rPr>
          <w:rFonts w:hint="eastAsia" w:ascii="仿宋" w:hAnsi="仿宋" w:eastAsia="仿宋"/>
          <w:sz w:val="24"/>
          <w:szCs w:val="24"/>
          <w:lang w:val="zh-CN"/>
        </w:rPr>
        <w:t>验签方式有以下几种：</w:t>
      </w:r>
    </w:p>
    <w:p>
      <w:pPr>
        <w:numPr>
          <w:ilvl w:val="0"/>
          <w:numId w:val="60"/>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PDF文件验签-公司官网验签</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通过电子签章服务签署的PDF文件，可以在官网的【验证】窗口，通过上传PDF文档进行验证。</w:t>
      </w:r>
    </w:p>
    <w:p>
      <w:pPr>
        <w:numPr>
          <w:ilvl w:val="0"/>
          <w:numId w:val="60"/>
        </w:numPr>
        <w:spacing w:line="360" w:lineRule="auto"/>
        <w:jc w:val="both"/>
        <w:rPr>
          <w:rFonts w:ascii="仿宋" w:hAnsi="仿宋" w:eastAsia="仿宋"/>
          <w:sz w:val="24"/>
          <w:szCs w:val="24"/>
          <w:lang w:val="zh-CN"/>
        </w:rPr>
      </w:pPr>
      <w:r>
        <w:rPr>
          <w:rFonts w:hint="eastAsia" w:ascii="仿宋" w:hAnsi="仿宋" w:eastAsia="仿宋"/>
          <w:sz w:val="24"/>
          <w:szCs w:val="24"/>
          <w:lang w:val="zh-CN"/>
        </w:rPr>
        <w:t>PDF文件验签-Adobe-reader离线验签</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所有的电子合同都可通过Adobe阅读器验签。因为公司基于ISO32000认证的PDF版式文件，符合国际认证的PADES电子签名标准。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由于本公司的电子签名使用的是国内CA颁发的CA证书，所以使用Adobe Reader进行电子签名有效性验证的时候需要先将国内CA的证书导入到Adobe Reader的信任链接中。</w:t>
      </w:r>
    </w:p>
    <w:p>
      <w:pPr>
        <w:numPr>
          <w:ilvl w:val="0"/>
          <w:numId w:val="60"/>
        </w:numPr>
        <w:spacing w:line="360" w:lineRule="auto"/>
        <w:jc w:val="both"/>
        <w:rPr>
          <w:rFonts w:ascii="仿宋" w:hAnsi="仿宋" w:eastAsia="仿宋"/>
          <w:sz w:val="24"/>
          <w:szCs w:val="24"/>
          <w:lang w:val="zh-CN"/>
        </w:rPr>
      </w:pPr>
      <w:r>
        <w:rPr>
          <w:rFonts w:hint="eastAsia" w:ascii="仿宋" w:hAnsi="仿宋" w:eastAsia="仿宋"/>
          <w:sz w:val="24"/>
          <w:szCs w:val="24"/>
          <w:lang w:val="zh-CN"/>
        </w:rPr>
        <w:t>数据签署接口验签</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电子签章服务提供接口的形式来实现数据签署验签服务，业务系统将需要验签的数据和签署ID传输给电子签章客户端接口，客户端将验签数据封装成标准的json格式数据，并提取摘要。通过验证是否与签名结果中解析出的数据摘要一致来验证签署的有效性和完整性。</w:t>
      </w:r>
    </w:p>
    <w:p>
      <w:pPr>
        <w:pStyle w:val="9"/>
        <w:numPr>
          <w:ilvl w:val="0"/>
          <w:numId w:val="0"/>
        </w:numPr>
        <w:spacing w:line="360" w:lineRule="auto"/>
        <w:ind w:left="3"/>
        <w:rPr>
          <w:sz w:val="24"/>
          <w:szCs w:val="24"/>
          <w:lang w:eastAsia="zh-CN"/>
        </w:rPr>
      </w:pPr>
      <w:r>
        <w:rPr>
          <w:rFonts w:hint="eastAsia"/>
          <w:sz w:val="24"/>
          <w:szCs w:val="24"/>
          <w:lang w:eastAsia="zh-CN"/>
        </w:rPr>
        <w:t>存证出证服务</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系统提供的电子数据存证服务，是基于区块链技术的提供完整证据链的存证服务。在用户开始签约时，记录时间、人名、身份证、签约终端地址、签约终端型号等。如果合同带附件，则记录附件的HASH值在签约完成后对正式合同存证的同时实现附件的存证，操作记录留痕可追溯，用户进行签约的整个操作过程形成完整的证据链。</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系统同时提供出证服务，提高司法效率。</w:t>
      </w:r>
    </w:p>
    <w:p>
      <w:pPr>
        <w:pStyle w:val="8"/>
        <w:rPr>
          <w:lang w:eastAsia="zh-CN"/>
        </w:rPr>
      </w:pPr>
      <w:r>
        <w:rPr>
          <w:rFonts w:hint="eastAsia"/>
          <w:lang w:eastAsia="zh-CN"/>
        </w:rPr>
        <w:t>临床辅助决策系统（CDSS）</w:t>
      </w:r>
    </w:p>
    <w:p>
      <w:pPr>
        <w:pStyle w:val="9"/>
        <w:numPr>
          <w:ilvl w:val="0"/>
          <w:numId w:val="0"/>
        </w:numPr>
        <w:spacing w:line="360" w:lineRule="auto"/>
        <w:ind w:left="3"/>
        <w:rPr>
          <w:sz w:val="24"/>
          <w:szCs w:val="24"/>
        </w:rPr>
      </w:pPr>
      <w:r>
        <w:rPr>
          <w:rFonts w:hint="eastAsia"/>
          <w:sz w:val="24"/>
          <w:szCs w:val="24"/>
        </w:rPr>
        <w:t>数据管理</w:t>
      </w:r>
      <w:r>
        <w:rPr>
          <w:rFonts w:hint="eastAsia"/>
          <w:sz w:val="24"/>
          <w:szCs w:val="24"/>
        </w:rPr>
        <w:tab/>
      </w:r>
    </w:p>
    <w:p>
      <w:pPr>
        <w:numPr>
          <w:ilvl w:val="0"/>
          <w:numId w:val="61"/>
        </w:numPr>
        <w:spacing w:line="360" w:lineRule="auto"/>
        <w:jc w:val="both"/>
        <w:rPr>
          <w:rFonts w:ascii="仿宋" w:hAnsi="仿宋" w:eastAsia="仿宋"/>
          <w:sz w:val="24"/>
          <w:szCs w:val="24"/>
          <w:lang w:val="zh-CN"/>
        </w:rPr>
      </w:pPr>
      <w:r>
        <w:rPr>
          <w:rFonts w:hint="eastAsia" w:ascii="仿宋" w:hAnsi="仿宋" w:eastAsia="仿宋"/>
          <w:sz w:val="24"/>
          <w:szCs w:val="24"/>
          <w:lang w:val="zh-CN"/>
        </w:rPr>
        <w:t>数据采集</w:t>
      </w:r>
    </w:p>
    <w:p>
      <w:pPr>
        <w:numPr>
          <w:ilvl w:val="1"/>
          <w:numId w:val="62"/>
        </w:numPr>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提供数据采集的不同集成方式，包括原始数据视图接口、电子病历系统接口、集成平台接口和数据中心接口。</w:t>
      </w:r>
    </w:p>
    <w:p>
      <w:pPr>
        <w:numPr>
          <w:ilvl w:val="1"/>
          <w:numId w:val="62"/>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提供丰富的数据源配置选项，支持将多种数据库接入系统，例如MySQL、SQL Server、Oracle和PostgreSQL等。</w:t>
      </w:r>
    </w:p>
    <w:p>
      <w:pPr>
        <w:numPr>
          <w:ilvl w:val="1"/>
          <w:numId w:val="62"/>
        </w:numPr>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支持离线数据清洗对采集数据进行转换和抽取，确保数据被正确地提取出来并能够在系统中使用。</w:t>
      </w:r>
    </w:p>
    <w:p>
      <w:pPr>
        <w:numPr>
          <w:ilvl w:val="1"/>
          <w:numId w:val="62"/>
        </w:numPr>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支持增量数据采集，采用定时任务的方式实现数据的增量采集和汇集，以确保不会影响业务系统。</w:t>
      </w:r>
    </w:p>
    <w:p>
      <w:pPr>
        <w:numPr>
          <w:ilvl w:val="1"/>
          <w:numId w:val="62"/>
        </w:numPr>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支持实时数据的采集，使用实时数据采集方式获取数据，并确保业务系统的数据库性能不受影响。同时，系统提供数据集成过程的监控与管理。</w:t>
      </w:r>
    </w:p>
    <w:p>
      <w:pPr>
        <w:numPr>
          <w:ilvl w:val="1"/>
          <w:numId w:val="62"/>
        </w:numPr>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支持定时任务的时间配置，可以根据需要自由配置定时任务的时间，以实现更精细的定时任务控制。</w:t>
      </w:r>
    </w:p>
    <w:p>
      <w:pPr>
        <w:numPr>
          <w:ilvl w:val="0"/>
          <w:numId w:val="61"/>
        </w:numPr>
        <w:spacing w:line="360" w:lineRule="auto"/>
        <w:jc w:val="both"/>
        <w:rPr>
          <w:rFonts w:ascii="仿宋" w:hAnsi="仿宋" w:eastAsia="仿宋"/>
          <w:sz w:val="24"/>
          <w:szCs w:val="24"/>
          <w:lang w:val="zh-CN"/>
        </w:rPr>
      </w:pPr>
      <w:r>
        <w:rPr>
          <w:rFonts w:hint="eastAsia" w:ascii="仿宋" w:hAnsi="仿宋" w:eastAsia="仿宋"/>
          <w:sz w:val="24"/>
          <w:szCs w:val="24"/>
          <w:lang w:val="zh-CN"/>
        </w:rPr>
        <w:t>数据质量管理</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为确保产品效果，需要进行对基础数据的质量监控，其中包含以下业务：</w:t>
      </w:r>
    </w:p>
    <w:p>
      <w:pPr>
        <w:numPr>
          <w:ilvl w:val="0"/>
          <w:numId w:val="63"/>
        </w:numPr>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自动对病房医师、门诊医师等业务项目进行数据质量评分。</w:t>
      </w:r>
    </w:p>
    <w:p>
      <w:pPr>
        <w:numPr>
          <w:ilvl w:val="0"/>
          <w:numId w:val="63"/>
        </w:numPr>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针对病房医师，纳入数据质量监控的业务项目包括医嘱处理、检验申请、检查申请和病历记录。</w:t>
      </w:r>
    </w:p>
    <w:p>
      <w:pPr>
        <w:numPr>
          <w:ilvl w:val="0"/>
          <w:numId w:val="63"/>
        </w:numPr>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对各个业务数据的编码对照率、字段有值率、字段关联率和时间顺序进行自动统计，同时支持对缺陷数据下钻至记录明细。记录明细包括角色、院内业务项目、拦截规则信息、病历质量信息和系统操作日志信息等。</w:t>
      </w:r>
    </w:p>
    <w:p>
      <w:pPr>
        <w:numPr>
          <w:ilvl w:val="0"/>
          <w:numId w:val="61"/>
        </w:numPr>
        <w:spacing w:line="360" w:lineRule="auto"/>
        <w:jc w:val="both"/>
        <w:rPr>
          <w:rFonts w:ascii="仿宋" w:hAnsi="仿宋" w:eastAsia="仿宋"/>
          <w:sz w:val="24"/>
          <w:szCs w:val="24"/>
          <w:lang w:val="zh-CN"/>
        </w:rPr>
      </w:pPr>
      <w:r>
        <w:rPr>
          <w:rFonts w:hint="eastAsia" w:ascii="仿宋" w:hAnsi="仿宋" w:eastAsia="仿宋"/>
          <w:sz w:val="24"/>
          <w:szCs w:val="24"/>
          <w:lang w:val="zh-CN"/>
        </w:rPr>
        <w:t>人工智能数据处理</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可对各类非结构化医疗文书进行实时后结构化处理，如对于整段文本形式的出院记录可进行实时智能分析，包括：</w:t>
      </w:r>
    </w:p>
    <w:p>
      <w:pPr>
        <w:numPr>
          <w:ilvl w:val="0"/>
          <w:numId w:val="64"/>
        </w:numPr>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实体识别：识别医疗文本中具有特定意义的医学实体，如症状、疾病、药品、手术、临床表现、检验指标、时间、否定词、程度词、诱因等。</w:t>
      </w:r>
    </w:p>
    <w:p>
      <w:pPr>
        <w:numPr>
          <w:ilvl w:val="0"/>
          <w:numId w:val="64"/>
        </w:numPr>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关系抽取：识别医疗文本中实体与实体之间的关系，如症状的发生部位、诱因、频率、性状、伴随症状、持续时间、首发时间，疾病的持续时间、首发时间等。</w:t>
      </w:r>
    </w:p>
    <w:p>
      <w:pPr>
        <w:numPr>
          <w:ilvl w:val="0"/>
          <w:numId w:val="64"/>
        </w:numPr>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术语归一：为医疗文本中各种不同的医学术语的写法找到对应的标准术语，如“Ⅱ型糖尿病”、“糖尿病（2型）”和“2型糖尿病”均表示同一个概念。</w:t>
      </w:r>
    </w:p>
    <w:p>
      <w:pPr>
        <w:numPr>
          <w:ilvl w:val="0"/>
          <w:numId w:val="64"/>
        </w:numPr>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语义特征抽取：提取病历文书中的语义特征和医学知识特征，如自动识别与患者生理状态相关的特征标签、与病理状态相关的特征标签等。</w:t>
      </w:r>
    </w:p>
    <w:p>
      <w:pPr>
        <w:numPr>
          <w:ilvl w:val="0"/>
          <w:numId w:val="64"/>
        </w:numPr>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可视化算法能力：以web界面形式输入自定义文本展示抽取的实体类型、实体关系及值。</w:t>
      </w:r>
    </w:p>
    <w:p>
      <w:pPr>
        <w:numPr>
          <w:ilvl w:val="0"/>
          <w:numId w:val="64"/>
        </w:numPr>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API视图：支持以RESTful API接口方式调用自然语言处理引擎并返回相应识别结果。</w:t>
      </w:r>
    </w:p>
    <w:p>
      <w:pPr>
        <w:numPr>
          <w:ilvl w:val="0"/>
          <w:numId w:val="61"/>
        </w:numPr>
        <w:spacing w:line="360" w:lineRule="auto"/>
        <w:jc w:val="both"/>
        <w:rPr>
          <w:rFonts w:ascii="仿宋" w:hAnsi="仿宋" w:eastAsia="仿宋"/>
          <w:sz w:val="24"/>
          <w:szCs w:val="24"/>
          <w:lang w:val="zh-CN"/>
        </w:rPr>
      </w:pPr>
      <w:r>
        <w:rPr>
          <w:rFonts w:hint="eastAsia" w:ascii="仿宋" w:hAnsi="仿宋" w:eastAsia="仿宋"/>
          <w:sz w:val="24"/>
          <w:szCs w:val="24"/>
          <w:lang w:val="zh-CN"/>
        </w:rPr>
        <w:t>知识图谱可视化</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知识图谱可视化是将知识图谱中的数据可视化呈现出来，以便用户更直观地理解和查询知识图谱中的信息。该功能主要包括以下方面：</w:t>
      </w:r>
    </w:p>
    <w:p>
      <w:pPr>
        <w:numPr>
          <w:ilvl w:val="0"/>
          <w:numId w:val="65"/>
        </w:numPr>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节点可视化：将知识图谱中的每个节点以图形的形式表示出来，并根据节点的不同属性进行分类和标注。</w:t>
      </w:r>
    </w:p>
    <w:p>
      <w:pPr>
        <w:numPr>
          <w:ilvl w:val="0"/>
          <w:numId w:val="65"/>
        </w:numPr>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关系可视化：将知识图谱中的每个关系以图形的形式表示出来，并根据关系的不同属性进行分类和标注。</w:t>
      </w:r>
    </w:p>
    <w:p>
      <w:pPr>
        <w:numPr>
          <w:ilvl w:val="0"/>
          <w:numId w:val="65"/>
        </w:numPr>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检索和过滤：可以通过关键词搜索等方式快速定位到需要查看的节点或关系，并对其进行过滤</w:t>
      </w:r>
    </w:p>
    <w:p>
      <w:pPr>
        <w:numPr>
          <w:ilvl w:val="0"/>
          <w:numId w:val="65"/>
        </w:numPr>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探索和发现：可以通过交互操作来探索和发现知识图谱中的隐藏信息和潜在关联，提供更全面的视角和深度的理解。</w:t>
      </w:r>
    </w:p>
    <w:p>
      <w:pPr>
        <w:numPr>
          <w:ilvl w:val="0"/>
          <w:numId w:val="61"/>
        </w:numPr>
        <w:spacing w:line="360" w:lineRule="auto"/>
        <w:jc w:val="both"/>
        <w:rPr>
          <w:rFonts w:ascii="仿宋" w:hAnsi="仿宋" w:eastAsia="仿宋"/>
          <w:sz w:val="24"/>
          <w:szCs w:val="24"/>
          <w:lang w:val="zh-CN"/>
        </w:rPr>
      </w:pPr>
      <w:r>
        <w:rPr>
          <w:rFonts w:hint="eastAsia" w:ascii="仿宋" w:hAnsi="仿宋" w:eastAsia="仿宋"/>
          <w:sz w:val="24"/>
          <w:szCs w:val="24"/>
          <w:lang w:val="zh-CN"/>
        </w:rPr>
        <w:t>知识库检索</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支持通过多种方式（关键字、标题首字母）检索知识库内容，涉及疾病知识、检验检查知识、手术知识、评估表、药品说明书、指南文献等知识内容。</w:t>
      </w:r>
    </w:p>
    <w:p>
      <w:pPr>
        <w:pStyle w:val="9"/>
        <w:numPr>
          <w:ilvl w:val="0"/>
          <w:numId w:val="0"/>
        </w:numPr>
        <w:spacing w:line="360" w:lineRule="auto"/>
        <w:ind w:left="3"/>
        <w:rPr>
          <w:sz w:val="24"/>
          <w:szCs w:val="24"/>
          <w:lang w:eastAsia="zh-CN"/>
        </w:rPr>
      </w:pPr>
      <w:r>
        <w:rPr>
          <w:rFonts w:hint="eastAsia"/>
          <w:sz w:val="24"/>
          <w:szCs w:val="24"/>
          <w:lang w:eastAsia="zh-CN"/>
        </w:rPr>
        <w:t>临床辅助决策（住院版）</w:t>
      </w:r>
      <w:r>
        <w:rPr>
          <w:rFonts w:hint="eastAsia"/>
          <w:sz w:val="24"/>
          <w:szCs w:val="24"/>
          <w:lang w:eastAsia="zh-CN"/>
        </w:rPr>
        <w:tab/>
      </w:r>
    </w:p>
    <w:p>
      <w:pPr>
        <w:numPr>
          <w:ilvl w:val="0"/>
          <w:numId w:val="66"/>
        </w:numPr>
        <w:spacing w:line="360" w:lineRule="auto"/>
        <w:jc w:val="both"/>
        <w:rPr>
          <w:rFonts w:ascii="仿宋" w:hAnsi="仿宋" w:eastAsia="仿宋"/>
          <w:sz w:val="24"/>
          <w:szCs w:val="24"/>
          <w:lang w:val="zh-CN"/>
        </w:rPr>
      </w:pPr>
      <w:r>
        <w:rPr>
          <w:rFonts w:hint="eastAsia" w:ascii="仿宋" w:hAnsi="仿宋" w:eastAsia="仿宋"/>
          <w:sz w:val="24"/>
          <w:szCs w:val="24"/>
          <w:lang w:val="zh-CN"/>
        </w:rPr>
        <w:t>入院诊断推荐</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基于住院患者入院记录的主诉、现病史、既往史、个人史、体格检查、家族史、辅助检查结果等情况，智能推荐入院初步诊断，包括推荐疾病及其分期、分型、分级等，为医生提供诊断参考。</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提供推荐入院诊断的诊断依据，增加推理的医学可解释性。</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支持医生根据系统推荐的诊断，直接查阅诊断相关的疾病知识。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提示入院诊断的鉴别诊断，为医生提供鉴别参考，避免漏诊误诊。</w:t>
      </w:r>
    </w:p>
    <w:p>
      <w:pPr>
        <w:numPr>
          <w:ilvl w:val="0"/>
          <w:numId w:val="66"/>
        </w:numPr>
        <w:spacing w:line="360" w:lineRule="auto"/>
        <w:jc w:val="both"/>
        <w:rPr>
          <w:rFonts w:ascii="仿宋" w:hAnsi="仿宋" w:eastAsia="仿宋"/>
          <w:sz w:val="24"/>
          <w:szCs w:val="24"/>
          <w:lang w:val="zh-CN"/>
        </w:rPr>
      </w:pPr>
      <w:r>
        <w:rPr>
          <w:rFonts w:hint="eastAsia" w:ascii="仿宋" w:hAnsi="仿宋" w:eastAsia="仿宋"/>
          <w:sz w:val="24"/>
          <w:szCs w:val="24"/>
          <w:lang w:val="zh-CN"/>
        </w:rPr>
        <w:t>住院辅助检查推荐</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基于住院患者的入院情况，包含：症状、体征、既往史、家族史以及患者的性别、年龄等，推荐入院检验/检查医嘱项目，助力医生快速定位最需要的检验/检查项目。如对于冠状动脉粥样硬化性心脏病患者，推荐肌酸激酶、脑钠肽、血管造影等项目。</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支持医生根据系统推荐的检验/检查，直接查阅相关的知识，包括正常值/正常影像表现、临床意义、注意事项等内容。</w:t>
      </w:r>
    </w:p>
    <w:p>
      <w:pPr>
        <w:numPr>
          <w:ilvl w:val="0"/>
          <w:numId w:val="66"/>
        </w:numPr>
        <w:spacing w:line="360" w:lineRule="auto"/>
        <w:jc w:val="both"/>
        <w:rPr>
          <w:rFonts w:ascii="仿宋" w:hAnsi="仿宋" w:eastAsia="仿宋"/>
          <w:sz w:val="24"/>
          <w:szCs w:val="24"/>
          <w:lang w:val="zh-CN"/>
        </w:rPr>
      </w:pPr>
      <w:r>
        <w:rPr>
          <w:rFonts w:hint="eastAsia" w:ascii="仿宋" w:hAnsi="仿宋" w:eastAsia="仿宋"/>
          <w:sz w:val="24"/>
          <w:szCs w:val="24"/>
          <w:lang w:val="zh-CN"/>
        </w:rPr>
        <w:t>住院治疗方案推荐</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基于住院患者的入院情况（主诉、现病史、既往史等）、初步诊断以及患者的性别、年龄、过敏史等信息综合判断，推荐适宜的药物治疗方案，如对于初步诊断 “糖尿病”的患者，推荐格列齐特、二甲双胍、阿卡波糖等药品。</w:t>
      </w:r>
    </w:p>
    <w:p>
      <w:pPr>
        <w:numPr>
          <w:ilvl w:val="0"/>
          <w:numId w:val="66"/>
        </w:numPr>
        <w:spacing w:line="360" w:lineRule="auto"/>
        <w:jc w:val="both"/>
        <w:rPr>
          <w:rFonts w:ascii="仿宋" w:hAnsi="仿宋" w:eastAsia="仿宋"/>
          <w:sz w:val="24"/>
          <w:szCs w:val="24"/>
          <w:lang w:val="zh-CN"/>
        </w:rPr>
      </w:pPr>
      <w:r>
        <w:rPr>
          <w:rFonts w:hint="eastAsia" w:ascii="仿宋" w:hAnsi="仿宋" w:eastAsia="仿宋"/>
          <w:sz w:val="24"/>
          <w:szCs w:val="24"/>
          <w:lang w:val="zh-CN"/>
        </w:rPr>
        <w:t>住院医嘱知识支持</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住院医嘱申请、查看住院医嘱单时，可以快速获取医嘱项目知识，包括：检查、检验、药品、手术医嘱知识，如医生在开医嘱“支气管激发试验”时，可以点击医嘱名称快捷跳转知识库，查看“支气管激发试验”的定义、适应证、禁忌证、检查准备等内容。</w:t>
      </w:r>
    </w:p>
    <w:p>
      <w:pPr>
        <w:numPr>
          <w:ilvl w:val="0"/>
          <w:numId w:val="66"/>
        </w:numPr>
        <w:spacing w:line="360" w:lineRule="auto"/>
        <w:jc w:val="both"/>
        <w:rPr>
          <w:rFonts w:ascii="仿宋" w:hAnsi="仿宋" w:eastAsia="仿宋"/>
          <w:sz w:val="24"/>
          <w:szCs w:val="24"/>
          <w:lang w:val="zh-CN"/>
        </w:rPr>
      </w:pPr>
      <w:r>
        <w:rPr>
          <w:rFonts w:hint="eastAsia" w:ascii="仿宋" w:hAnsi="仿宋" w:eastAsia="仿宋"/>
          <w:sz w:val="24"/>
          <w:szCs w:val="24"/>
          <w:lang w:val="zh-CN"/>
        </w:rPr>
        <w:t>住院医嘱合理性校验</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住院医嘱申请时，根据患者的诊断、年龄段、生理状态、病理状态、性别、临床表现、用药情况、检验结果、过敏史等即时校验医嘱的合理性，包含：检验医嘱、检查医嘱、手术医嘱、药品医嘱，并进行拦截提示，规范医嘱合理性。</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【检查/检验合理性】</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根据患者的诊断、年龄段、生理状态、病理状态、性别、临床表现、用药情况、检验结果等，在医生开具检查/检验医嘱时，自动审核合理性，按配置的拦截等级对冲突项目主动进行提示。</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【手术/操作合理性】</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根据患者的诊断、年龄段、生理状态、病理状态、性别、临床表现、用药情况、检验结果、既往史等，在医生开具手术/操作申请时，自动审核合理性，按配置的拦截等级对冲突项目主动进行提示。</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【用药合理性】</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根据患者的年龄段、生理状态、过敏史、用药情况、检验结果等，在医生开立药品医嘱时，自动进行用药合理性审核，按配置的拦截等级对冲突项目主动进行提示。</w:t>
      </w:r>
    </w:p>
    <w:p>
      <w:pPr>
        <w:numPr>
          <w:ilvl w:val="0"/>
          <w:numId w:val="66"/>
        </w:numPr>
        <w:spacing w:line="360" w:lineRule="auto"/>
        <w:jc w:val="both"/>
        <w:rPr>
          <w:rFonts w:ascii="仿宋" w:hAnsi="仿宋" w:eastAsia="仿宋"/>
          <w:sz w:val="24"/>
          <w:szCs w:val="24"/>
          <w:lang w:val="zh-CN"/>
        </w:rPr>
      </w:pPr>
      <w:r>
        <w:rPr>
          <w:rFonts w:hint="eastAsia" w:ascii="仿宋" w:hAnsi="仿宋" w:eastAsia="仿宋"/>
          <w:sz w:val="24"/>
          <w:szCs w:val="24"/>
          <w:lang w:val="zh-CN"/>
        </w:rPr>
        <w:t>住院检验报告解读</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住院患者检验报告结果出来时，能根据性别、年龄段、生理周期等对多正常值结果进行全面分析，给出报告结果的判断与提示，并展示异常结果的临床意义。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出现危急检验结果时，能够警示医生，并提示危急值的临床意义。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可以查看根据各个报告项目历史检验结果绘制的趋势图。</w:t>
      </w:r>
    </w:p>
    <w:p>
      <w:pPr>
        <w:numPr>
          <w:ilvl w:val="0"/>
          <w:numId w:val="66"/>
        </w:numPr>
        <w:spacing w:line="360" w:lineRule="auto"/>
        <w:jc w:val="both"/>
        <w:rPr>
          <w:rFonts w:ascii="仿宋" w:hAnsi="仿宋" w:eastAsia="仿宋"/>
          <w:sz w:val="24"/>
          <w:szCs w:val="24"/>
          <w:lang w:val="zh-CN"/>
        </w:rPr>
      </w:pPr>
      <w:r>
        <w:rPr>
          <w:rFonts w:hint="eastAsia" w:ascii="仿宋" w:hAnsi="仿宋" w:eastAsia="仿宋"/>
          <w:sz w:val="24"/>
          <w:szCs w:val="24"/>
          <w:lang w:val="zh-CN"/>
        </w:rPr>
        <w:t>智能评估</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支持推荐科室常用评估表，医生可点击快速查看评估表详情；支持根据评估项并自动计算分值、提供评估结论。</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支持医生根据病人病情需要，主动搜索相应评估表，并为评估表提供查看文本知识和自动计分的服务。</w:t>
      </w:r>
    </w:p>
    <w:p>
      <w:pPr>
        <w:pStyle w:val="9"/>
        <w:numPr>
          <w:ilvl w:val="0"/>
          <w:numId w:val="0"/>
        </w:numPr>
        <w:spacing w:line="360" w:lineRule="auto"/>
        <w:ind w:left="3"/>
        <w:rPr>
          <w:sz w:val="24"/>
          <w:szCs w:val="24"/>
          <w:lang w:eastAsia="zh-CN"/>
        </w:rPr>
      </w:pPr>
      <w:r>
        <w:rPr>
          <w:rFonts w:hint="eastAsia"/>
          <w:sz w:val="24"/>
          <w:szCs w:val="24"/>
          <w:lang w:eastAsia="zh-CN"/>
        </w:rPr>
        <w:t>临床辅助决策（门诊版）</w:t>
      </w:r>
      <w:r>
        <w:rPr>
          <w:rFonts w:hint="eastAsia"/>
          <w:sz w:val="24"/>
          <w:szCs w:val="24"/>
          <w:lang w:eastAsia="zh-CN"/>
        </w:rPr>
        <w:tab/>
      </w:r>
    </w:p>
    <w:p>
      <w:pPr>
        <w:numPr>
          <w:ilvl w:val="0"/>
          <w:numId w:val="67"/>
        </w:numPr>
        <w:spacing w:line="360" w:lineRule="auto"/>
        <w:jc w:val="both"/>
        <w:rPr>
          <w:rFonts w:ascii="仿宋" w:hAnsi="仿宋" w:eastAsia="仿宋"/>
          <w:sz w:val="24"/>
          <w:szCs w:val="24"/>
          <w:lang w:val="zh-CN"/>
        </w:rPr>
      </w:pPr>
      <w:r>
        <w:rPr>
          <w:rFonts w:hint="eastAsia" w:ascii="仿宋" w:hAnsi="仿宋" w:eastAsia="仿宋"/>
          <w:sz w:val="24"/>
          <w:szCs w:val="24"/>
          <w:lang w:val="zh-CN"/>
        </w:rPr>
        <w:t>智能问诊推送</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可根据医生输入的主诉、现病史等患者病史信息，智能推送相应的问诊策略，包括相关的伴随症状。</w:t>
      </w:r>
    </w:p>
    <w:p>
      <w:pPr>
        <w:numPr>
          <w:ilvl w:val="0"/>
          <w:numId w:val="67"/>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基于门诊场景的诊断推荐</w:t>
      </w:r>
      <w:r>
        <w:rPr>
          <w:rFonts w:hint="eastAsia" w:ascii="仿宋" w:hAnsi="仿宋" w:eastAsia="仿宋"/>
          <w:sz w:val="24"/>
          <w:szCs w:val="24"/>
          <w:lang w:val="zh-CN" w:eastAsia="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基于采集门诊患者的症状、体征、体格检查、检验结果、检查结果以及既往史等情况，智能推送疑似诊断，助力医生全面考虑病情。</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给出推理疾病的相关诊断依据，做到推理可追溯。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提供门诊疾病的鉴别诊断，提醒医生需鉴别。</w:t>
      </w:r>
    </w:p>
    <w:p>
      <w:pPr>
        <w:numPr>
          <w:ilvl w:val="0"/>
          <w:numId w:val="67"/>
        </w:numPr>
        <w:spacing w:line="360" w:lineRule="auto"/>
        <w:jc w:val="both"/>
        <w:rPr>
          <w:rFonts w:ascii="仿宋" w:hAnsi="仿宋" w:eastAsia="仿宋"/>
          <w:sz w:val="24"/>
          <w:szCs w:val="24"/>
          <w:lang w:val="zh-CN"/>
        </w:rPr>
      </w:pPr>
      <w:r>
        <w:rPr>
          <w:rFonts w:hint="eastAsia" w:ascii="仿宋" w:hAnsi="仿宋" w:eastAsia="仿宋"/>
          <w:sz w:val="24"/>
          <w:szCs w:val="24"/>
          <w:lang w:val="zh-CN"/>
        </w:rPr>
        <w:t>诊断路径推荐</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自动抓取主诉症状，智能推荐诊断路径视图，从主要症状出发，以流程图的形式将相关诊断要点呈树状呈现，进一步辅助医生完成临床信息收集，明确诊断。</w:t>
      </w:r>
    </w:p>
    <w:p>
      <w:pPr>
        <w:numPr>
          <w:ilvl w:val="0"/>
          <w:numId w:val="67"/>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危急重症警示及处置流程推送</w:t>
      </w:r>
      <w:r>
        <w:rPr>
          <w:rFonts w:hint="eastAsia" w:ascii="仿宋" w:hAnsi="仿宋" w:eastAsia="仿宋"/>
          <w:sz w:val="24"/>
          <w:szCs w:val="24"/>
          <w:lang w:val="zh-CN" w:eastAsia="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根据患者情况（症状、体格检查、检查检验）等，智能识别危急重症，并警示提醒医生，以免遗漏重大病情。</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针对危急重症，如：急性冠脉综合征、肺栓塞、主动脉夹层等进行提醒并推荐危急处置流程，辅助医生快速处理。</w:t>
      </w:r>
    </w:p>
    <w:p>
      <w:pPr>
        <w:numPr>
          <w:ilvl w:val="0"/>
          <w:numId w:val="67"/>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基于门诊场景的检查检验推荐</w:t>
      </w:r>
      <w:r>
        <w:rPr>
          <w:rFonts w:hint="eastAsia" w:ascii="仿宋" w:hAnsi="仿宋" w:eastAsia="仿宋"/>
          <w:sz w:val="24"/>
          <w:szCs w:val="24"/>
          <w:lang w:val="zh-CN" w:eastAsia="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基于采集门诊患者的症状、体征、体格检查，以及患者的性别、年龄、过敏史、既往史、家族史等个人基本信息状况，推荐合理检验项目，助力医生快速定位最需要的检验/检查项。</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支持医生根据系统推荐的检验/检查，直接查阅相关的知识，包括正常值/正常影像表现、临床意义、注意事项等内容。</w:t>
      </w:r>
    </w:p>
    <w:p>
      <w:pPr>
        <w:numPr>
          <w:ilvl w:val="0"/>
          <w:numId w:val="67"/>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基于门诊场景的药品推荐</w:t>
      </w:r>
      <w:r>
        <w:rPr>
          <w:rFonts w:hint="eastAsia" w:ascii="仿宋" w:hAnsi="仿宋" w:eastAsia="仿宋"/>
          <w:sz w:val="24"/>
          <w:szCs w:val="24"/>
          <w:lang w:val="zh-CN" w:eastAsia="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基于采集患者的当前病情（主诉、现病史、既往史等）、初步诊断以及患者的性别、年龄、过敏史等个人基本信息状况，综合判断，智能推荐适宜的药物治疗方案。</w:t>
      </w:r>
    </w:p>
    <w:p>
      <w:pPr>
        <w:numPr>
          <w:ilvl w:val="0"/>
          <w:numId w:val="67"/>
        </w:numPr>
        <w:spacing w:line="360" w:lineRule="auto"/>
        <w:jc w:val="both"/>
        <w:rPr>
          <w:rFonts w:ascii="仿宋" w:hAnsi="仿宋" w:eastAsia="仿宋"/>
          <w:sz w:val="24"/>
          <w:szCs w:val="24"/>
          <w:lang w:val="zh-CN"/>
        </w:rPr>
      </w:pPr>
      <w:r>
        <w:rPr>
          <w:rFonts w:hint="eastAsia" w:ascii="仿宋" w:hAnsi="仿宋" w:eastAsia="仿宋"/>
          <w:sz w:val="24"/>
          <w:szCs w:val="24"/>
          <w:lang w:val="zh-CN"/>
        </w:rPr>
        <w:t>门诊医嘱知识支持</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门诊医嘱下达时，可以快速关联项目获得检查、检验、药品知识，如提供药物说明查询功能等。</w:t>
      </w:r>
    </w:p>
    <w:p>
      <w:pPr>
        <w:numPr>
          <w:ilvl w:val="0"/>
          <w:numId w:val="67"/>
        </w:numPr>
        <w:spacing w:line="360" w:lineRule="auto"/>
        <w:jc w:val="both"/>
        <w:rPr>
          <w:rFonts w:ascii="仿宋" w:hAnsi="仿宋" w:eastAsia="仿宋"/>
          <w:sz w:val="24"/>
          <w:szCs w:val="24"/>
          <w:lang w:val="zh-CN"/>
        </w:rPr>
      </w:pPr>
      <w:r>
        <w:rPr>
          <w:rFonts w:hint="eastAsia" w:ascii="仿宋" w:hAnsi="仿宋" w:eastAsia="仿宋"/>
          <w:sz w:val="24"/>
          <w:szCs w:val="24"/>
          <w:lang w:val="zh-CN"/>
        </w:rPr>
        <w:t>门诊医嘱校验及提示</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门诊医嘱申请时，根据患者的诊断、年龄段、生理状态、病理状态、性别、临床表现、用药情况、检验结果、过敏史等即时校验医嘱的合理性，对于不合理的医嘱按拦截等级提示，预防不良事件的发生。</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【检查/检验合理性】</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根据患者的诊断、年龄段、生理状态、病理状态、性别、临床表现、用药情况、检验结果等，在医生开具检查/检验医嘱时，自动审核合理性，按配置的拦截等级对冲突项目主动进行提示。</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【用药合理性】</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根据患者的年龄段、生理状态、过敏史、用药情况、检验结果等，在医生开立药品医嘱时，自动进行用药合理性审核，按配置的拦截等级对冲突项目主动进行提示。</w:t>
      </w:r>
    </w:p>
    <w:p>
      <w:pPr>
        <w:numPr>
          <w:ilvl w:val="0"/>
          <w:numId w:val="67"/>
        </w:numPr>
        <w:spacing w:line="360" w:lineRule="auto"/>
        <w:jc w:val="both"/>
        <w:rPr>
          <w:rFonts w:ascii="仿宋" w:hAnsi="仿宋" w:eastAsia="仿宋"/>
          <w:sz w:val="24"/>
          <w:szCs w:val="24"/>
          <w:lang w:val="zh-CN"/>
        </w:rPr>
      </w:pPr>
      <w:r>
        <w:rPr>
          <w:rFonts w:hint="eastAsia" w:ascii="仿宋" w:hAnsi="仿宋" w:eastAsia="仿宋"/>
          <w:sz w:val="24"/>
          <w:szCs w:val="24"/>
          <w:lang w:val="zh-CN"/>
        </w:rPr>
        <w:t>门诊检验报告解读</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查阅报告时，对于多正常参考值的检验报告项目，能够根据性别、年龄段、生理周期等自动选取适用的正常值范围，给出报告结果的判断与提示，并展示异常结果的临床意义。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出现危急检验结果时，能够警示医生，并提示危急值的临床意义。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可以查看各个报告项目的历史检验结果，及趋势图。</w:t>
      </w:r>
    </w:p>
    <w:p>
      <w:pPr>
        <w:numPr>
          <w:ilvl w:val="0"/>
          <w:numId w:val="67"/>
        </w:numPr>
        <w:spacing w:line="360" w:lineRule="auto"/>
        <w:jc w:val="both"/>
        <w:rPr>
          <w:rFonts w:ascii="仿宋" w:hAnsi="仿宋" w:eastAsia="仿宋"/>
          <w:sz w:val="24"/>
          <w:szCs w:val="24"/>
          <w:lang w:val="zh-CN"/>
        </w:rPr>
      </w:pPr>
      <w:r>
        <w:rPr>
          <w:rFonts w:hint="eastAsia" w:ascii="仿宋" w:hAnsi="仿宋" w:eastAsia="仿宋"/>
          <w:sz w:val="24"/>
          <w:szCs w:val="24"/>
          <w:lang w:val="zh-CN"/>
        </w:rPr>
        <w:t>病历书写助手</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可对门诊病历主诉、现病史、既往史、体格检查、诊断等项目进行书写规范性的实时校验，并给予书写建议。</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对当日门诊病历进行统计展示，包括规范病历占比、触发书写提示、接诊患者性别及年龄分布、诊断统计等。</w:t>
      </w:r>
    </w:p>
    <w:p>
      <w:pPr>
        <w:numPr>
          <w:ilvl w:val="0"/>
          <w:numId w:val="67"/>
        </w:numPr>
        <w:spacing w:line="360" w:lineRule="auto"/>
        <w:jc w:val="both"/>
        <w:rPr>
          <w:rFonts w:ascii="仿宋" w:hAnsi="仿宋" w:eastAsia="仿宋"/>
          <w:sz w:val="24"/>
          <w:szCs w:val="24"/>
          <w:lang w:val="zh-CN"/>
        </w:rPr>
      </w:pPr>
      <w:r>
        <w:rPr>
          <w:rFonts w:hint="eastAsia" w:ascii="仿宋" w:hAnsi="仿宋" w:eastAsia="仿宋"/>
          <w:sz w:val="24"/>
          <w:szCs w:val="24"/>
          <w:lang w:val="zh-CN"/>
        </w:rPr>
        <w:t>相似病历推荐</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根据症状、诊断、治疗，以及患者的性别、年龄、过敏史等多个维度，推荐相似病历，方便医生参考相似病历的诊疗方案。</w:t>
      </w:r>
    </w:p>
    <w:p>
      <w:pPr>
        <w:numPr>
          <w:ilvl w:val="0"/>
          <w:numId w:val="67"/>
        </w:numPr>
        <w:spacing w:line="360" w:lineRule="auto"/>
        <w:jc w:val="both"/>
        <w:rPr>
          <w:rFonts w:ascii="仿宋" w:hAnsi="仿宋" w:eastAsia="仿宋"/>
          <w:sz w:val="24"/>
          <w:szCs w:val="24"/>
          <w:lang w:val="zh-CN"/>
        </w:rPr>
      </w:pPr>
      <w:r>
        <w:rPr>
          <w:rFonts w:hint="eastAsia" w:ascii="仿宋" w:hAnsi="仿宋" w:eastAsia="仿宋"/>
          <w:sz w:val="24"/>
          <w:szCs w:val="24"/>
          <w:lang w:val="zh-CN"/>
        </w:rPr>
        <w:t>病历检索</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支持设置性别、年龄段、科室等相关条件，按照主诉、现病史等任意病历结构化项目检索门诊病历，支持搜索各院区跨医疗机构病历信息。</w:t>
      </w:r>
    </w:p>
    <w:p>
      <w:pPr>
        <w:pStyle w:val="9"/>
        <w:numPr>
          <w:ilvl w:val="0"/>
          <w:numId w:val="0"/>
        </w:numPr>
        <w:spacing w:line="360" w:lineRule="auto"/>
        <w:ind w:left="3"/>
        <w:rPr>
          <w:sz w:val="24"/>
          <w:szCs w:val="24"/>
        </w:rPr>
      </w:pPr>
      <w:r>
        <w:rPr>
          <w:rFonts w:hint="eastAsia"/>
          <w:sz w:val="24"/>
          <w:szCs w:val="24"/>
        </w:rPr>
        <w:t>知识库模块</w:t>
      </w:r>
      <w:r>
        <w:rPr>
          <w:rFonts w:hint="eastAsia"/>
          <w:sz w:val="24"/>
          <w:szCs w:val="24"/>
        </w:rPr>
        <w:tab/>
      </w:r>
    </w:p>
    <w:p>
      <w:pPr>
        <w:numPr>
          <w:ilvl w:val="0"/>
          <w:numId w:val="68"/>
        </w:numPr>
        <w:spacing w:line="360" w:lineRule="auto"/>
        <w:jc w:val="both"/>
        <w:rPr>
          <w:rFonts w:ascii="仿宋" w:hAnsi="仿宋" w:eastAsia="仿宋"/>
          <w:sz w:val="24"/>
          <w:szCs w:val="24"/>
          <w:lang w:val="zh-CN"/>
        </w:rPr>
      </w:pPr>
      <w:r>
        <w:rPr>
          <w:rFonts w:hint="eastAsia" w:ascii="仿宋" w:hAnsi="仿宋" w:eastAsia="仿宋"/>
          <w:sz w:val="24"/>
          <w:szCs w:val="24"/>
          <w:lang w:val="zh-CN"/>
        </w:rPr>
        <w:t>疾病知识</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提供10000多种疾病知识内容，包含疾病概述、流行病学、病原体、病因和发病机制、病理、分类、临床表现、实验室及其他检查、并发症、诊断与鉴别诊断、护理、预防等内容。</w:t>
      </w:r>
    </w:p>
    <w:p>
      <w:pPr>
        <w:numPr>
          <w:ilvl w:val="0"/>
          <w:numId w:val="68"/>
        </w:numPr>
        <w:spacing w:line="360" w:lineRule="auto"/>
        <w:jc w:val="both"/>
        <w:rPr>
          <w:rFonts w:ascii="仿宋" w:hAnsi="仿宋" w:eastAsia="仿宋"/>
          <w:sz w:val="24"/>
          <w:szCs w:val="24"/>
          <w:lang w:val="zh-CN"/>
        </w:rPr>
      </w:pPr>
      <w:r>
        <w:rPr>
          <w:rFonts w:hint="eastAsia" w:ascii="仿宋" w:hAnsi="仿宋" w:eastAsia="仿宋"/>
          <w:sz w:val="24"/>
          <w:szCs w:val="24"/>
          <w:lang w:val="zh-CN"/>
        </w:rPr>
        <w:t>药品知识</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提供130000多种药品知识及药品说明书，包括西药和中成药，内容包含药品别名、剂型、药理作用、药动学、适应症、禁忌症、注意事项、不良反应、用法用量、药物相互作用、儿童用药、老年人用药、妊娠及哺乳期用药等内容。</w:t>
      </w:r>
    </w:p>
    <w:p>
      <w:pPr>
        <w:numPr>
          <w:ilvl w:val="0"/>
          <w:numId w:val="68"/>
        </w:numPr>
        <w:spacing w:line="360" w:lineRule="auto"/>
        <w:jc w:val="both"/>
        <w:rPr>
          <w:rFonts w:ascii="仿宋" w:hAnsi="仿宋" w:eastAsia="仿宋"/>
          <w:sz w:val="24"/>
          <w:szCs w:val="24"/>
          <w:lang w:val="zh-CN"/>
        </w:rPr>
      </w:pPr>
      <w:r>
        <w:rPr>
          <w:rFonts w:hint="eastAsia" w:ascii="仿宋" w:hAnsi="仿宋" w:eastAsia="仿宋"/>
          <w:sz w:val="24"/>
          <w:szCs w:val="24"/>
          <w:lang w:val="zh-CN"/>
        </w:rPr>
        <w:t>用药建议</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提供1225多种疾病的用药建议，包括各疾病分型对应的药物治疗建议。</w:t>
      </w:r>
    </w:p>
    <w:p>
      <w:pPr>
        <w:numPr>
          <w:ilvl w:val="0"/>
          <w:numId w:val="68"/>
        </w:numPr>
        <w:spacing w:line="360" w:lineRule="auto"/>
        <w:jc w:val="both"/>
        <w:rPr>
          <w:rFonts w:ascii="仿宋" w:hAnsi="仿宋" w:eastAsia="仿宋"/>
          <w:sz w:val="24"/>
          <w:szCs w:val="24"/>
          <w:lang w:val="zh-CN"/>
        </w:rPr>
      </w:pPr>
      <w:r>
        <w:rPr>
          <w:rFonts w:hint="eastAsia" w:ascii="仿宋" w:hAnsi="仿宋" w:eastAsia="仿宋"/>
          <w:sz w:val="24"/>
          <w:szCs w:val="24"/>
          <w:lang w:val="zh-CN"/>
        </w:rPr>
        <w:t>检查建议</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提供5700余种疾病的检查建议，包含疾病相关的实验室检查、影像学检查、病原学检查等详细知识内容。</w:t>
      </w:r>
    </w:p>
    <w:p>
      <w:pPr>
        <w:numPr>
          <w:ilvl w:val="0"/>
          <w:numId w:val="68"/>
        </w:numPr>
        <w:spacing w:line="360" w:lineRule="auto"/>
        <w:jc w:val="both"/>
        <w:rPr>
          <w:rFonts w:ascii="仿宋" w:hAnsi="仿宋" w:eastAsia="仿宋"/>
          <w:sz w:val="24"/>
          <w:szCs w:val="24"/>
          <w:lang w:val="zh-CN"/>
        </w:rPr>
      </w:pPr>
      <w:r>
        <w:rPr>
          <w:rFonts w:hint="eastAsia" w:ascii="仿宋" w:hAnsi="仿宋" w:eastAsia="仿宋"/>
          <w:sz w:val="24"/>
          <w:szCs w:val="24"/>
          <w:lang w:val="zh-CN"/>
        </w:rPr>
        <w:t>检验知识</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提供1500多条检验知识内容，包含定义、正常值、临床意义、样本要求、注意事项等内容。</w:t>
      </w:r>
    </w:p>
    <w:p>
      <w:pPr>
        <w:numPr>
          <w:ilvl w:val="0"/>
          <w:numId w:val="68"/>
        </w:numPr>
        <w:spacing w:line="360" w:lineRule="auto"/>
        <w:jc w:val="both"/>
        <w:rPr>
          <w:rFonts w:ascii="仿宋" w:hAnsi="仿宋" w:eastAsia="仿宋"/>
          <w:sz w:val="24"/>
          <w:szCs w:val="24"/>
          <w:lang w:val="zh-CN"/>
        </w:rPr>
      </w:pPr>
      <w:r>
        <w:rPr>
          <w:rFonts w:hint="eastAsia" w:ascii="仿宋" w:hAnsi="仿宋" w:eastAsia="仿宋"/>
          <w:sz w:val="24"/>
          <w:szCs w:val="24"/>
          <w:lang w:val="zh-CN"/>
        </w:rPr>
        <w:t>检查知识</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提供1600多条检查知识内容，包含定义、正常影像学表现、检查过程、临床意义、注意事项等内容。</w:t>
      </w:r>
    </w:p>
    <w:p>
      <w:pPr>
        <w:numPr>
          <w:ilvl w:val="0"/>
          <w:numId w:val="68"/>
        </w:numPr>
        <w:spacing w:line="360" w:lineRule="auto"/>
        <w:jc w:val="both"/>
        <w:rPr>
          <w:rFonts w:ascii="仿宋" w:hAnsi="仿宋" w:eastAsia="仿宋"/>
          <w:sz w:val="24"/>
          <w:szCs w:val="24"/>
          <w:lang w:val="zh-CN"/>
        </w:rPr>
      </w:pPr>
      <w:r>
        <w:rPr>
          <w:rFonts w:hint="eastAsia" w:ascii="仿宋" w:hAnsi="仿宋" w:eastAsia="仿宋"/>
          <w:sz w:val="24"/>
          <w:szCs w:val="24"/>
          <w:lang w:val="zh-CN"/>
        </w:rPr>
        <w:t>手术知识</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提供4000多条手术知识内容，包含适应症、禁忌症、术前准备、麻醉和体位、手术步骤、术后处理、并发症等内容。</w:t>
      </w:r>
    </w:p>
    <w:p>
      <w:pPr>
        <w:numPr>
          <w:ilvl w:val="0"/>
          <w:numId w:val="68"/>
        </w:numPr>
        <w:spacing w:line="360" w:lineRule="auto"/>
        <w:jc w:val="both"/>
        <w:rPr>
          <w:rFonts w:ascii="仿宋" w:hAnsi="仿宋" w:eastAsia="仿宋"/>
          <w:sz w:val="24"/>
          <w:szCs w:val="24"/>
          <w:lang w:val="zh-CN"/>
        </w:rPr>
      </w:pPr>
      <w:r>
        <w:rPr>
          <w:rFonts w:hint="eastAsia" w:ascii="仿宋" w:hAnsi="仿宋" w:eastAsia="仿宋"/>
          <w:sz w:val="24"/>
          <w:szCs w:val="24"/>
          <w:lang w:val="zh-CN"/>
        </w:rPr>
        <w:t>指南文献</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提供20000多指南文献内容，包含指南共识、临床路径、国家文件、病例报告等内容。</w:t>
      </w:r>
    </w:p>
    <w:p>
      <w:pPr>
        <w:numPr>
          <w:ilvl w:val="0"/>
          <w:numId w:val="68"/>
        </w:numPr>
        <w:spacing w:line="360" w:lineRule="auto"/>
        <w:jc w:val="both"/>
        <w:rPr>
          <w:rFonts w:ascii="仿宋" w:hAnsi="仿宋" w:eastAsia="仿宋"/>
          <w:sz w:val="24"/>
          <w:szCs w:val="24"/>
          <w:lang w:val="zh-CN"/>
        </w:rPr>
      </w:pPr>
      <w:r>
        <w:rPr>
          <w:rFonts w:hint="eastAsia" w:ascii="仿宋" w:hAnsi="仿宋" w:eastAsia="仿宋"/>
          <w:sz w:val="24"/>
          <w:szCs w:val="24"/>
          <w:lang w:val="zh-CN"/>
        </w:rPr>
        <w:t>评估表</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提供2000多个评估表内容，包含评估内容、文献出处、评分自动计算等内容。</w:t>
      </w:r>
    </w:p>
    <w:p>
      <w:pPr>
        <w:numPr>
          <w:ilvl w:val="0"/>
          <w:numId w:val="68"/>
        </w:numPr>
        <w:spacing w:line="360" w:lineRule="auto"/>
        <w:jc w:val="both"/>
        <w:rPr>
          <w:rFonts w:ascii="仿宋" w:hAnsi="仿宋" w:eastAsia="仿宋"/>
          <w:sz w:val="24"/>
          <w:szCs w:val="24"/>
          <w:lang w:val="zh-CN"/>
        </w:rPr>
      </w:pPr>
      <w:r>
        <w:rPr>
          <w:rFonts w:hint="eastAsia" w:ascii="仿宋" w:hAnsi="仿宋" w:eastAsia="仿宋"/>
          <w:sz w:val="24"/>
          <w:szCs w:val="24"/>
          <w:lang w:val="zh-CN"/>
        </w:rPr>
        <w:t>知识库检索</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通过多种方式（拼音、首字母、关键词等）进行知识库检索，包括疾病、药品、检查、检验、手术、指南文献、评估表等。支持知识库切换，医生可以根据需要实时查询系统提供的默认知识库和院内自维护的知识库内容。</w:t>
      </w:r>
    </w:p>
    <w:p>
      <w:pPr>
        <w:numPr>
          <w:ilvl w:val="0"/>
          <w:numId w:val="68"/>
        </w:numPr>
        <w:spacing w:line="360" w:lineRule="auto"/>
        <w:jc w:val="both"/>
        <w:rPr>
          <w:rFonts w:ascii="仿宋" w:hAnsi="仿宋" w:eastAsia="仿宋"/>
          <w:sz w:val="24"/>
          <w:szCs w:val="24"/>
          <w:lang w:val="zh-CN"/>
        </w:rPr>
      </w:pPr>
      <w:r>
        <w:rPr>
          <w:rFonts w:hint="eastAsia" w:ascii="仿宋" w:hAnsi="仿宋" w:eastAsia="仿宋"/>
          <w:sz w:val="24"/>
          <w:szCs w:val="24"/>
          <w:lang w:val="zh-CN"/>
        </w:rPr>
        <w:t>知识库更新</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知识库支持远程定期的更新以及本地统一更新。</w:t>
      </w:r>
    </w:p>
    <w:p>
      <w:pPr>
        <w:pStyle w:val="9"/>
        <w:numPr>
          <w:ilvl w:val="0"/>
          <w:numId w:val="0"/>
        </w:numPr>
        <w:spacing w:line="360" w:lineRule="auto"/>
        <w:ind w:left="3"/>
        <w:rPr>
          <w:sz w:val="24"/>
          <w:szCs w:val="24"/>
          <w:lang w:eastAsia="zh-CN"/>
        </w:rPr>
      </w:pPr>
      <w:r>
        <w:rPr>
          <w:rFonts w:hint="eastAsia"/>
          <w:sz w:val="24"/>
          <w:szCs w:val="24"/>
          <w:lang w:eastAsia="zh-CN"/>
        </w:rPr>
        <w:t>知识管理平台（医学知识库及应用管理）</w:t>
      </w:r>
      <w:r>
        <w:rPr>
          <w:rFonts w:hint="eastAsia"/>
          <w:sz w:val="24"/>
          <w:szCs w:val="24"/>
          <w:lang w:eastAsia="zh-CN"/>
        </w:rPr>
        <w:tab/>
      </w:r>
    </w:p>
    <w:p>
      <w:pPr>
        <w:numPr>
          <w:ilvl w:val="0"/>
          <w:numId w:val="69"/>
        </w:numPr>
        <w:spacing w:line="360" w:lineRule="auto"/>
        <w:jc w:val="both"/>
        <w:rPr>
          <w:rFonts w:ascii="仿宋" w:hAnsi="仿宋" w:eastAsia="仿宋"/>
          <w:sz w:val="24"/>
          <w:szCs w:val="24"/>
          <w:lang w:val="zh-CN"/>
        </w:rPr>
      </w:pPr>
      <w:r>
        <w:rPr>
          <w:rFonts w:hint="eastAsia" w:ascii="仿宋" w:hAnsi="仿宋" w:eastAsia="仿宋"/>
          <w:sz w:val="24"/>
          <w:szCs w:val="24"/>
          <w:lang w:val="zh-CN"/>
        </w:rPr>
        <w:t>知识维护中心</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【知识维护】支持医院自行进行知识维护</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支持类型：检查、检验、手术项目说明；疾病、症状详情；药品知识及药品说明书；检验指标知识；文献资料；评估表资料；健康宣教知识等内容；</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操作日志：可查看各类知识的操作日志，包括操作用户、标题、操作时间等参数；</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知识编辑：支持建立多级目录，支持图文混合编辑；助力建设院内知识库，实现知识沉淀和信息共享；</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知识检索：支持通过知识标题、对照项目、创建人、创建时间、更新时间等进行知识检索；</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知识同步：支持知识更新后进行即刻数据同步。</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【字典对照】支持医院字典与系统知识库字典对应</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包含：检查、检验、手术、检验指标、药品等。</w:t>
      </w:r>
    </w:p>
    <w:p>
      <w:pPr>
        <w:numPr>
          <w:ilvl w:val="0"/>
          <w:numId w:val="69"/>
        </w:numPr>
        <w:spacing w:line="360" w:lineRule="auto"/>
        <w:jc w:val="both"/>
        <w:rPr>
          <w:rFonts w:ascii="仿宋" w:hAnsi="仿宋" w:eastAsia="仿宋"/>
          <w:sz w:val="24"/>
          <w:szCs w:val="24"/>
          <w:lang w:val="zh-CN"/>
        </w:rPr>
      </w:pPr>
      <w:r>
        <w:rPr>
          <w:rFonts w:hint="eastAsia" w:ascii="仿宋" w:hAnsi="仿宋" w:eastAsia="仿宋"/>
          <w:sz w:val="24"/>
          <w:szCs w:val="24"/>
          <w:lang w:val="zh-CN"/>
        </w:rPr>
        <w:t>规则应用中心</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支持医院维护医嘱项目与患者标签的合理性校验规则，包含规则详情、提示文案和拦截级别的配置。</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【检验合理性规则】</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支持医院根据院内（门/急诊、住院）检验字典，维护与患者诊断、年龄、生理状态、性别、临床表现、病理状态、用药情况、检验结果、用药等情况相关的检验医嘱合理性规则。</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【检查合理性规则】</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支持医院根据院内（门/急诊、住院）检查字典，维护与患者诊断、年龄、生理状态、性别、临床表现、病理状态、检验结果、用药等情况相关的检查医嘱合理性规则。</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【手术合理性规则】</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支持医院配置手术/操作合理性规则，包括与患者诊断、年龄、生理状态、病理状态、用药情况、检验结果、既往史等的合理性校验。</w:t>
      </w:r>
    </w:p>
    <w:p>
      <w:pPr>
        <w:numPr>
          <w:ilvl w:val="0"/>
          <w:numId w:val="69"/>
        </w:numPr>
        <w:spacing w:line="360" w:lineRule="auto"/>
        <w:jc w:val="both"/>
        <w:rPr>
          <w:rFonts w:ascii="仿宋" w:hAnsi="仿宋" w:eastAsia="仿宋"/>
          <w:sz w:val="24"/>
          <w:szCs w:val="24"/>
          <w:lang w:val="zh-CN"/>
        </w:rPr>
      </w:pPr>
      <w:r>
        <w:rPr>
          <w:rFonts w:hint="eastAsia" w:ascii="仿宋" w:hAnsi="仿宋" w:eastAsia="仿宋"/>
          <w:sz w:val="24"/>
          <w:szCs w:val="24"/>
          <w:lang w:val="zh-CN"/>
        </w:rPr>
        <w:t>机构管理中心</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支持自定义维护医疗机构和科室字典，支撑进行按院区、科室个性化配置的功能实现。</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 xml:space="preserve">支持将院内科室与标准科室字典进行映射，在多院区场景下，可按标准化科室名称统一管理知识及应用服务。 </w:t>
      </w:r>
    </w:p>
    <w:p>
      <w:pPr>
        <w:numPr>
          <w:ilvl w:val="0"/>
          <w:numId w:val="69"/>
        </w:numPr>
        <w:spacing w:line="360" w:lineRule="auto"/>
        <w:jc w:val="both"/>
        <w:rPr>
          <w:rFonts w:ascii="仿宋" w:hAnsi="仿宋" w:eastAsia="仿宋"/>
          <w:sz w:val="24"/>
          <w:szCs w:val="24"/>
          <w:lang w:val="zh-CN"/>
        </w:rPr>
      </w:pPr>
      <w:r>
        <w:rPr>
          <w:rFonts w:hint="eastAsia" w:ascii="仿宋" w:hAnsi="仿宋" w:eastAsia="仿宋"/>
          <w:sz w:val="24"/>
          <w:szCs w:val="24"/>
          <w:lang w:val="zh-CN"/>
        </w:rPr>
        <w:t>数据中心</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【合理性校验规则统计】</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记录机构、科室、医生的规则触发实践类型、时间、次数、相关病历号等信息；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可视化呈现规则触发量变化曲线，支持对不同科室、不同医生规则触发量进行统计排名，展示top10，方便进行管理及考核。</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【服务统计】</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支持对医学检索服务进行统计，按用户标识、检索模快、检索内容、检索时间进行呈现；支持知识详情页曝光情况统计，方便管理员了解知识需求。</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支持推理服务触发统计，按用户标识、触发服务、查看情况进行呈现；支持推理结果详情页曝光情况统计。</w:t>
      </w:r>
    </w:p>
    <w:p>
      <w:pPr>
        <w:numPr>
          <w:ilvl w:val="0"/>
          <w:numId w:val="69"/>
        </w:numPr>
        <w:spacing w:line="360" w:lineRule="auto"/>
        <w:jc w:val="both"/>
        <w:rPr>
          <w:rFonts w:ascii="仿宋" w:hAnsi="仿宋" w:eastAsia="仿宋"/>
          <w:sz w:val="24"/>
          <w:szCs w:val="24"/>
          <w:lang w:val="zh-CN"/>
        </w:rPr>
      </w:pPr>
      <w:r>
        <w:rPr>
          <w:rFonts w:hint="eastAsia" w:ascii="仿宋" w:hAnsi="仿宋" w:eastAsia="仿宋"/>
          <w:sz w:val="24"/>
          <w:szCs w:val="24"/>
          <w:lang w:val="zh-CN"/>
        </w:rPr>
        <w:t>用户中心</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支持进行用户角色管理，为不同角色进行权限配置，支持定义角色是否默认分配。</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支持添加、编辑、删除用户，可自定义用户账号、名称并为用户配置角色及用户权限，可恢复默认密码。</w:t>
      </w:r>
    </w:p>
    <w:p>
      <w:pPr>
        <w:numPr>
          <w:ilvl w:val="0"/>
          <w:numId w:val="69"/>
        </w:numPr>
        <w:spacing w:line="360" w:lineRule="auto"/>
        <w:jc w:val="both"/>
        <w:rPr>
          <w:rFonts w:ascii="仿宋" w:hAnsi="仿宋" w:eastAsia="仿宋"/>
          <w:sz w:val="24"/>
          <w:szCs w:val="24"/>
          <w:lang w:val="zh-CN"/>
        </w:rPr>
      </w:pPr>
      <w:r>
        <w:rPr>
          <w:rFonts w:hint="eastAsia" w:ascii="仿宋" w:hAnsi="仿宋" w:eastAsia="仿宋"/>
          <w:sz w:val="24"/>
          <w:szCs w:val="24"/>
          <w:lang w:val="zh-CN"/>
        </w:rPr>
        <w:t>字典维护中心</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支持医院字典管理，包含：检查项目、检验项目、手术项目、检验报告指标等，支持搜索、编辑不同类型字典。</w:t>
      </w:r>
    </w:p>
    <w:p>
      <w:pPr>
        <w:numPr>
          <w:ilvl w:val="0"/>
          <w:numId w:val="69"/>
        </w:numPr>
        <w:spacing w:line="360" w:lineRule="auto"/>
        <w:jc w:val="both"/>
        <w:rPr>
          <w:rFonts w:ascii="仿宋" w:hAnsi="仿宋" w:eastAsia="仿宋"/>
          <w:sz w:val="24"/>
          <w:szCs w:val="24"/>
          <w:lang w:val="zh-CN"/>
        </w:rPr>
      </w:pPr>
      <w:r>
        <w:rPr>
          <w:rFonts w:hint="eastAsia" w:ascii="仿宋" w:hAnsi="仿宋" w:eastAsia="仿宋"/>
          <w:sz w:val="24"/>
          <w:szCs w:val="24"/>
          <w:lang w:val="zh-CN"/>
        </w:rPr>
        <w:t>日志中心</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记录用户操作日志，支持按服务、模块、操作、用户、时间等搜索查看。</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可视化呈现用户操作日志统计，包括日志条数、具体服务、服务结果等。</w:t>
      </w:r>
    </w:p>
    <w:p>
      <w:pPr>
        <w:numPr>
          <w:ilvl w:val="0"/>
          <w:numId w:val="69"/>
        </w:numPr>
        <w:spacing w:line="360" w:lineRule="auto"/>
        <w:jc w:val="both"/>
        <w:rPr>
          <w:rFonts w:ascii="仿宋" w:hAnsi="仿宋" w:eastAsia="仿宋"/>
          <w:sz w:val="24"/>
          <w:szCs w:val="24"/>
          <w:lang w:val="zh-CN"/>
        </w:rPr>
      </w:pPr>
      <w:r>
        <w:rPr>
          <w:rFonts w:hint="eastAsia" w:ascii="仿宋" w:hAnsi="仿宋" w:eastAsia="仿宋"/>
          <w:sz w:val="24"/>
          <w:szCs w:val="24"/>
          <w:lang w:val="zh-CN"/>
        </w:rPr>
        <w:t>医学知识图谱</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可视化展示底层医学知识图谱。以疾病为出发，实现与疾病相关的特征之间的逻辑关系，包括：疾病标准编码ICD-10、手术操作标准编码ICD-9-CM3；疾病与症状、鉴别诊断、药品、辅助检查等逻辑关系。</w:t>
      </w:r>
    </w:p>
    <w:p>
      <w:pPr>
        <w:numPr>
          <w:ilvl w:val="0"/>
          <w:numId w:val="69"/>
        </w:numPr>
        <w:spacing w:line="360" w:lineRule="auto"/>
        <w:jc w:val="both"/>
        <w:rPr>
          <w:rFonts w:ascii="仿宋" w:hAnsi="仿宋" w:eastAsia="仿宋"/>
          <w:sz w:val="24"/>
          <w:szCs w:val="24"/>
          <w:lang w:val="zh-CN"/>
        </w:rPr>
      </w:pPr>
      <w:r>
        <w:rPr>
          <w:rFonts w:hint="eastAsia" w:ascii="仿宋" w:hAnsi="仿宋" w:eastAsia="仿宋"/>
          <w:sz w:val="24"/>
          <w:szCs w:val="24"/>
          <w:lang w:val="zh-CN"/>
        </w:rPr>
        <w:t>构建工具</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病历文本自然语言处理能力展示：支持病历后结构化处理，通过自然语言处理技术实现机器理解病历文本的语义。可可视化展示病历特征与特征之间的关系。</w:t>
      </w:r>
    </w:p>
    <w:p>
      <w:pPr>
        <w:numPr>
          <w:ilvl w:val="0"/>
          <w:numId w:val="69"/>
        </w:numPr>
        <w:spacing w:line="360" w:lineRule="auto"/>
        <w:jc w:val="both"/>
        <w:rPr>
          <w:rFonts w:ascii="仿宋" w:hAnsi="仿宋" w:eastAsia="仿宋"/>
          <w:sz w:val="24"/>
          <w:szCs w:val="24"/>
          <w:lang w:val="zh-CN"/>
        </w:rPr>
      </w:pPr>
      <w:r>
        <w:rPr>
          <w:rFonts w:hint="eastAsia" w:ascii="仿宋" w:hAnsi="仿宋" w:eastAsia="仿宋"/>
          <w:sz w:val="24"/>
          <w:szCs w:val="24"/>
          <w:lang w:val="zh-CN"/>
        </w:rPr>
        <w:t>数据驾驶舱</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可视化展示各医院诊疗信息、智能服务数据、知识检索服务数据等，为CDSS应用及服务水平提供数据支撑。</w:t>
      </w:r>
    </w:p>
    <w:p>
      <w:pPr>
        <w:pStyle w:val="8"/>
        <w:rPr>
          <w:lang w:eastAsia="zh-CN"/>
        </w:rPr>
      </w:pPr>
      <w:r>
        <w:rPr>
          <w:rFonts w:hint="eastAsia"/>
          <w:lang w:eastAsia="zh-CN"/>
        </w:rPr>
        <w:t>不良事件系统</w:t>
      </w:r>
    </w:p>
    <w:p>
      <w:pPr>
        <w:pStyle w:val="9"/>
        <w:numPr>
          <w:ilvl w:val="0"/>
          <w:numId w:val="0"/>
        </w:numPr>
        <w:spacing w:line="360" w:lineRule="auto"/>
        <w:ind w:left="3"/>
        <w:rPr>
          <w:sz w:val="24"/>
          <w:szCs w:val="24"/>
        </w:rPr>
      </w:pPr>
      <w:r>
        <w:rPr>
          <w:rFonts w:hint="eastAsia"/>
          <w:sz w:val="24"/>
          <w:szCs w:val="24"/>
        </w:rPr>
        <w:t>不良事件管理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不良事件管理是用于医院各种不良事件的登记、查询、打印、和各类报表的统计。</w:t>
      </w:r>
    </w:p>
    <w:p>
      <w:pPr>
        <w:numPr>
          <w:ilvl w:val="1"/>
          <w:numId w:val="70"/>
        </w:numPr>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医疗不良事件，患者和相关信息的登记、查询、打印功能。</w:t>
      </w:r>
    </w:p>
    <w:p>
      <w:pPr>
        <w:numPr>
          <w:ilvl w:val="1"/>
          <w:numId w:val="70"/>
        </w:numPr>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护理不良事件，患者和相关信息的登记、查询、打印功能。</w:t>
      </w:r>
    </w:p>
    <w:p>
      <w:pPr>
        <w:numPr>
          <w:ilvl w:val="1"/>
          <w:numId w:val="70"/>
        </w:numPr>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药品不良事件，患者和相关信息的登记、查询、打印功能。</w:t>
      </w:r>
    </w:p>
    <w:p>
      <w:pPr>
        <w:numPr>
          <w:ilvl w:val="1"/>
          <w:numId w:val="70"/>
        </w:numPr>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器械不良事件，患者和相关信息的登记、查询、打印功能。</w:t>
      </w:r>
    </w:p>
    <w:p>
      <w:pPr>
        <w:numPr>
          <w:ilvl w:val="1"/>
          <w:numId w:val="70"/>
        </w:numPr>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输血不良事件，患者和相关信息的登记、查询、打印功能。</w:t>
      </w:r>
    </w:p>
    <w:p>
      <w:pPr>
        <w:numPr>
          <w:ilvl w:val="1"/>
          <w:numId w:val="70"/>
        </w:numPr>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锐器伤不良事件，患者和相关信息的登记、查询、打印功能。</w:t>
      </w:r>
    </w:p>
    <w:p>
      <w:pPr>
        <w:numPr>
          <w:ilvl w:val="1"/>
          <w:numId w:val="70"/>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报表统计。</w:t>
      </w:r>
    </w:p>
    <w:p>
      <w:pPr>
        <w:pStyle w:val="8"/>
        <w:rPr>
          <w:lang w:eastAsia="zh-CN"/>
        </w:rPr>
      </w:pPr>
      <w:r>
        <w:rPr>
          <w:rFonts w:hint="eastAsia"/>
          <w:lang w:eastAsia="zh-CN"/>
        </w:rPr>
        <w:t>DRG管理系统</w:t>
      </w:r>
    </w:p>
    <w:p>
      <w:pPr>
        <w:pStyle w:val="9"/>
        <w:numPr>
          <w:ilvl w:val="0"/>
          <w:numId w:val="0"/>
        </w:numPr>
        <w:spacing w:line="360" w:lineRule="auto"/>
        <w:ind w:left="3"/>
        <w:rPr>
          <w:b/>
          <w:bCs/>
          <w:sz w:val="24"/>
          <w:szCs w:val="24"/>
        </w:rPr>
      </w:pPr>
      <w:r>
        <w:rPr>
          <w:rFonts w:hint="eastAsia"/>
          <w:b/>
          <w:bCs/>
          <w:sz w:val="24"/>
          <w:szCs w:val="24"/>
        </w:rPr>
        <w:t>智能小助手</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按照当地医保CHS-DRG分组及付费政策要求和《住院病案首页数据质量与控制指标》与《医保结算清单数据采集接口规范》，建立支付预分组模型和病案清单质控规则，提取诊疗过程中当前病例的分组、付费、病案填写相关参数信息，以智能小助手的形式，在HIS系统、病案系统中为医生及病案编码人员提供包括分组预测、分组推荐、编码质控、非编码质控、病案评分等预测与分析服务。</w:t>
      </w:r>
    </w:p>
    <w:p>
      <w:pPr>
        <w:pStyle w:val="9"/>
        <w:numPr>
          <w:ilvl w:val="0"/>
          <w:numId w:val="0"/>
        </w:numPr>
        <w:spacing w:line="360" w:lineRule="auto"/>
        <w:ind w:left="3"/>
        <w:rPr>
          <w:b/>
          <w:bCs/>
          <w:sz w:val="24"/>
          <w:szCs w:val="24"/>
          <w:lang w:eastAsia="zh-CN"/>
        </w:rPr>
      </w:pPr>
      <w:r>
        <w:rPr>
          <w:rFonts w:hint="eastAsia"/>
          <w:b/>
          <w:bCs/>
          <w:sz w:val="24"/>
          <w:szCs w:val="24"/>
          <w:lang w:eastAsia="zh-CN"/>
        </w:rPr>
        <w:t>医院病案清单质控</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在卫健委《住院病案首页数据质量与控制指标》和医保局《医保结算清单数据采集接口规范》等要求的基础上，按照CHS-DRG分组标准规范要求，建设医院病案清单质控应用，包括病案质控总览、病案首页质控、结算清单质控、医保分组质控、病例数据查询等功能模块，为病组精细化管理相关应用打下坚实的数据基础。</w:t>
      </w:r>
    </w:p>
    <w:p>
      <w:pPr>
        <w:pStyle w:val="9"/>
        <w:numPr>
          <w:ilvl w:val="0"/>
          <w:numId w:val="0"/>
        </w:numPr>
        <w:spacing w:line="360" w:lineRule="auto"/>
        <w:ind w:left="3"/>
        <w:rPr>
          <w:b/>
          <w:bCs/>
          <w:sz w:val="24"/>
          <w:szCs w:val="24"/>
          <w:lang w:eastAsia="zh-CN"/>
        </w:rPr>
      </w:pPr>
      <w:r>
        <w:rPr>
          <w:rFonts w:hint="eastAsia"/>
          <w:b/>
          <w:bCs/>
          <w:sz w:val="24"/>
          <w:szCs w:val="24"/>
          <w:lang w:eastAsia="zh-CN"/>
        </w:rPr>
        <w:t>医保结算清单上报管理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基于医保局《医保结算清单数据采集接口规范》等相关文件要求，收集病历全流程住院信息，支持生成可视化的医保结算清单，从结算清单的完整性、逻辑性、合理性与编码问题等多个维度表明结算清单的质控情况。提供包括结算清单总览、结算清单质控、结算清单修改、结算清单预览、结算清单上传、质控前后对比等，为DRG系统其他功能提供准确有效的数据支撑。</w:t>
      </w:r>
    </w:p>
    <w:p>
      <w:pPr>
        <w:pStyle w:val="9"/>
        <w:numPr>
          <w:ilvl w:val="0"/>
          <w:numId w:val="0"/>
        </w:numPr>
        <w:spacing w:line="360" w:lineRule="auto"/>
        <w:ind w:left="3"/>
        <w:rPr>
          <w:b/>
          <w:bCs/>
          <w:sz w:val="24"/>
          <w:szCs w:val="24"/>
          <w:lang w:eastAsia="zh-CN"/>
        </w:rPr>
      </w:pPr>
      <w:r>
        <w:rPr>
          <w:rFonts w:hint="eastAsia"/>
          <w:b/>
          <w:bCs/>
          <w:sz w:val="24"/>
          <w:szCs w:val="24"/>
          <w:lang w:eastAsia="zh-CN"/>
        </w:rPr>
        <w:t>医保付费预测分析</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基于区域本地化医疗大数据、历年结算数据及增幅数，按照市医保CHS-DRG分组及付费政策要求，建设医保付费预测分析，提供包括预测医保支付总览、科室/医生/病组/病例盈亏分析等功能模块，更好地适应医保支付方式改革背景下院内医保费用管理需求，明确自身费用控制的关键环节与管控区间，进一步提升医保费用管理的及时性和精准度</w:t>
      </w:r>
      <w:r>
        <w:rPr>
          <w:rFonts w:hint="eastAsia" w:ascii="仿宋" w:hAnsi="仿宋" w:eastAsia="仿宋"/>
          <w:b/>
          <w:bCs/>
          <w:sz w:val="24"/>
          <w:szCs w:val="24"/>
          <w:lang w:eastAsia="zh-CN"/>
        </w:rPr>
        <w:t>DRG综合能力评价</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在医院管理标准规范的基础上，按照市医保相关考核管理要求，建设院内DRG综合能力评价，提供包括院内DRG总体指标、病组覆盖分析、医院病种分析、医院综合分析、绩效评价分析、辅助管理分析等功能模块，更加全面、真实、准确的体现出全院各科室、各病区、各医疗组、各医务人员的绩效情况，进一步提升全院医务人员参与医院效能提升的主观能动性，以高水平精细化管理促进全院高质量发展。</w:t>
      </w:r>
    </w:p>
    <w:p>
      <w:pPr>
        <w:pStyle w:val="9"/>
        <w:numPr>
          <w:ilvl w:val="0"/>
          <w:numId w:val="0"/>
        </w:numPr>
        <w:spacing w:line="360" w:lineRule="auto"/>
        <w:ind w:left="3"/>
        <w:rPr>
          <w:b/>
          <w:bCs/>
          <w:sz w:val="24"/>
          <w:szCs w:val="24"/>
          <w:lang w:eastAsia="zh-CN"/>
        </w:rPr>
      </w:pPr>
      <w:r>
        <w:rPr>
          <w:rFonts w:hint="eastAsia"/>
          <w:b/>
          <w:bCs/>
          <w:sz w:val="24"/>
          <w:szCs w:val="24"/>
          <w:lang w:eastAsia="zh-CN"/>
        </w:rPr>
        <w:t>医院运营决策管理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结合医院运营管理需求，建设医院运营决策管理，提供包括运营综合指标、全院异常预警、科室费用预警、医保费用构成、OE值监管等功能模块，全方位反映新医保支付体系下医院运行情况，为医院的精细化管理和科学化决策提供数据支撑。</w:t>
      </w:r>
    </w:p>
    <w:p>
      <w:pPr>
        <w:pStyle w:val="9"/>
        <w:numPr>
          <w:ilvl w:val="0"/>
          <w:numId w:val="0"/>
        </w:numPr>
        <w:spacing w:line="360" w:lineRule="auto"/>
        <w:ind w:left="3"/>
        <w:rPr>
          <w:b/>
          <w:bCs/>
          <w:sz w:val="24"/>
          <w:szCs w:val="24"/>
          <w:lang w:eastAsia="zh-CN"/>
        </w:rPr>
      </w:pPr>
      <w:r>
        <w:rPr>
          <w:rFonts w:hint="eastAsia"/>
          <w:b/>
          <w:bCs/>
          <w:sz w:val="24"/>
          <w:szCs w:val="24"/>
          <w:lang w:eastAsia="zh-CN"/>
        </w:rPr>
        <w:t>系统管理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为应用系统提供平台级应用系统管理功能，支持系统个性化配置权限管理，包括配置角色、角色权限管理、分配账户、账户角色配置等。</w:t>
      </w:r>
    </w:p>
    <w:p>
      <w:pPr>
        <w:pStyle w:val="8"/>
        <w:rPr>
          <w:lang w:eastAsia="zh-CN"/>
        </w:rPr>
      </w:pPr>
      <w:r>
        <w:rPr>
          <w:rFonts w:hint="eastAsia"/>
          <w:lang w:eastAsia="zh-CN"/>
        </w:rPr>
        <w:t>互联网医院（微信公众号）</w:t>
      </w:r>
    </w:p>
    <w:p>
      <w:pPr>
        <w:pStyle w:val="9"/>
        <w:numPr>
          <w:ilvl w:val="0"/>
          <w:numId w:val="0"/>
        </w:numPr>
        <w:spacing w:line="360" w:lineRule="auto"/>
        <w:ind w:left="3"/>
        <w:rPr>
          <w:sz w:val="24"/>
          <w:szCs w:val="24"/>
          <w:lang w:eastAsia="zh-CN"/>
        </w:rPr>
      </w:pPr>
      <w:r>
        <w:rPr>
          <w:rFonts w:hint="eastAsia"/>
          <w:sz w:val="24"/>
          <w:szCs w:val="24"/>
          <w:lang w:eastAsia="zh-CN"/>
        </w:rPr>
        <w:t>用户</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用户</w:t>
      </w:r>
      <w:r>
        <w:rPr>
          <w:rFonts w:hint="eastAsia" w:ascii="仿宋" w:hAnsi="仿宋" w:eastAsia="仿宋"/>
          <w:sz w:val="24"/>
          <w:szCs w:val="24"/>
          <w:lang w:val="zh-CN" w:eastAsia="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用户登录页</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用户注册</w:t>
      </w:r>
      <w:r>
        <w:rPr>
          <w:rFonts w:hint="eastAsia" w:ascii="仿宋" w:hAnsi="仿宋" w:eastAsia="仿宋"/>
          <w:sz w:val="24"/>
          <w:szCs w:val="24"/>
          <w:lang w:val="zh-CN" w:eastAsia="zh-CN"/>
        </w:rPr>
        <w:tab/>
      </w:r>
      <w:r>
        <w:rPr>
          <w:rFonts w:hint="eastAsia" w:ascii="仿宋" w:hAnsi="仿宋" w:eastAsia="仿宋"/>
          <w:sz w:val="24"/>
          <w:szCs w:val="24"/>
          <w:lang w:val="zh-CN" w:eastAsia="zh-CN"/>
        </w:rPr>
        <w:t>用手机号注册</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用户登录</w:t>
      </w:r>
      <w:r>
        <w:rPr>
          <w:rFonts w:hint="eastAsia" w:ascii="仿宋" w:hAnsi="仿宋" w:eastAsia="仿宋"/>
          <w:sz w:val="24"/>
          <w:szCs w:val="24"/>
          <w:lang w:val="zh-CN" w:eastAsia="zh-CN"/>
        </w:rPr>
        <w:tab/>
      </w:r>
      <w:r>
        <w:rPr>
          <w:rFonts w:hint="eastAsia" w:ascii="仿宋" w:hAnsi="仿宋" w:eastAsia="仿宋"/>
          <w:sz w:val="24"/>
          <w:szCs w:val="24"/>
          <w:lang w:val="zh-CN" w:eastAsia="zh-CN"/>
        </w:rPr>
        <w:t>用手机号登录，提供密码和验证码两种登录方式</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修改密码</w:t>
      </w:r>
      <w:r>
        <w:rPr>
          <w:rFonts w:hint="eastAsia" w:ascii="仿宋" w:hAnsi="仿宋" w:eastAsia="仿宋"/>
          <w:sz w:val="24"/>
          <w:szCs w:val="24"/>
          <w:lang w:val="zh-CN" w:eastAsia="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找回密码</w:t>
      </w:r>
      <w:r>
        <w:rPr>
          <w:rFonts w:hint="eastAsia" w:ascii="仿宋" w:hAnsi="仿宋" w:eastAsia="仿宋"/>
          <w:sz w:val="24"/>
          <w:szCs w:val="24"/>
          <w:lang w:val="zh-CN" w:eastAsia="zh-CN"/>
        </w:rPr>
        <w:tab/>
      </w:r>
    </w:p>
    <w:p>
      <w:pPr>
        <w:pStyle w:val="9"/>
        <w:numPr>
          <w:ilvl w:val="0"/>
          <w:numId w:val="0"/>
        </w:numPr>
        <w:spacing w:line="360" w:lineRule="auto"/>
        <w:ind w:left="3"/>
        <w:rPr>
          <w:sz w:val="24"/>
          <w:szCs w:val="24"/>
          <w:lang w:eastAsia="zh-CN"/>
        </w:rPr>
      </w:pPr>
      <w:r>
        <w:rPr>
          <w:rFonts w:hint="eastAsia"/>
          <w:sz w:val="24"/>
          <w:szCs w:val="24"/>
          <w:lang w:eastAsia="zh-CN"/>
        </w:rPr>
        <w:t>预约挂号</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我的预约</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预约登记+推送</w:t>
      </w:r>
      <w:r>
        <w:rPr>
          <w:rFonts w:hint="eastAsia" w:ascii="仿宋" w:hAnsi="仿宋" w:eastAsia="仿宋"/>
          <w:sz w:val="24"/>
          <w:szCs w:val="24"/>
          <w:lang w:val="zh-CN" w:eastAsia="zh-CN"/>
        </w:rPr>
        <w:tab/>
      </w:r>
      <w:r>
        <w:rPr>
          <w:rFonts w:hint="eastAsia" w:ascii="仿宋" w:hAnsi="仿宋" w:eastAsia="仿宋"/>
          <w:sz w:val="24"/>
          <w:szCs w:val="24"/>
          <w:lang w:val="zh-CN" w:eastAsia="zh-CN"/>
        </w:rPr>
        <w:t>预约登记后直接进入his，云微信这边生成一个预约订单。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取消预约</w:t>
      </w:r>
      <w:r>
        <w:rPr>
          <w:rFonts w:hint="eastAsia" w:ascii="仿宋" w:hAnsi="仿宋" w:eastAsia="仿宋"/>
          <w:sz w:val="24"/>
          <w:szCs w:val="24"/>
          <w:lang w:val="zh-CN" w:eastAsia="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预约挂号+推送</w:t>
      </w:r>
      <w:r>
        <w:rPr>
          <w:rFonts w:hint="eastAsia" w:ascii="仿宋" w:hAnsi="仿宋" w:eastAsia="仿宋"/>
          <w:sz w:val="24"/>
          <w:szCs w:val="24"/>
          <w:lang w:val="zh-CN" w:eastAsia="zh-CN"/>
        </w:rPr>
        <w:tab/>
      </w:r>
      <w:r>
        <w:rPr>
          <w:rFonts w:hint="eastAsia" w:ascii="仿宋" w:hAnsi="仿宋" w:eastAsia="仿宋"/>
          <w:sz w:val="24"/>
          <w:szCs w:val="24"/>
          <w:lang w:val="zh-CN" w:eastAsia="zh-CN"/>
        </w:rPr>
        <w:t>预约挂号可挂当前时间之后的医生所设置的排班。</w:t>
      </w:r>
    </w:p>
    <w:p>
      <w:pPr>
        <w:pStyle w:val="9"/>
        <w:numPr>
          <w:ilvl w:val="0"/>
          <w:numId w:val="0"/>
        </w:numPr>
        <w:spacing w:line="360" w:lineRule="auto"/>
        <w:ind w:left="3"/>
        <w:rPr>
          <w:sz w:val="24"/>
          <w:szCs w:val="24"/>
          <w:lang w:eastAsia="zh-CN"/>
        </w:rPr>
      </w:pPr>
      <w:r>
        <w:rPr>
          <w:rFonts w:hint="eastAsia"/>
          <w:sz w:val="24"/>
          <w:szCs w:val="24"/>
          <w:lang w:eastAsia="zh-CN"/>
        </w:rPr>
        <w:t>我的</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个人信息</w:t>
      </w:r>
      <w:r>
        <w:rPr>
          <w:rFonts w:hint="eastAsia" w:ascii="仿宋" w:hAnsi="仿宋" w:eastAsia="仿宋"/>
          <w:sz w:val="24"/>
          <w:szCs w:val="24"/>
          <w:lang w:val="zh-CN" w:eastAsia="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账户查询</w:t>
      </w:r>
      <w:r>
        <w:rPr>
          <w:rFonts w:hint="eastAsia" w:ascii="仿宋" w:hAnsi="仿宋" w:eastAsia="仿宋"/>
          <w:sz w:val="24"/>
          <w:szCs w:val="24"/>
          <w:lang w:val="zh-CN" w:eastAsia="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我的预约</w:t>
      </w:r>
      <w:r>
        <w:rPr>
          <w:rFonts w:hint="eastAsia" w:ascii="仿宋" w:hAnsi="仿宋" w:eastAsia="仿宋"/>
          <w:sz w:val="24"/>
          <w:szCs w:val="24"/>
          <w:lang w:val="zh-CN" w:eastAsia="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我的挂号</w:t>
      </w:r>
      <w:r>
        <w:rPr>
          <w:rFonts w:hint="eastAsia" w:ascii="仿宋" w:hAnsi="仿宋" w:eastAsia="仿宋"/>
          <w:sz w:val="24"/>
          <w:szCs w:val="24"/>
          <w:lang w:val="zh-CN" w:eastAsia="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绑定就诊卡：患者院内建档就诊卡绑定</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检查报告+推送：可以查看患者检查报告</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检验报告+推送：</w:t>
      </w:r>
      <w:r>
        <w:rPr>
          <w:rFonts w:hint="eastAsia" w:ascii="仿宋" w:hAnsi="仿宋" w:eastAsia="仿宋"/>
          <w:sz w:val="24"/>
          <w:szCs w:val="24"/>
          <w:lang w:val="zh-CN" w:eastAsia="zh-CN"/>
        </w:rPr>
        <w:tab/>
      </w:r>
      <w:r>
        <w:rPr>
          <w:rFonts w:hint="eastAsia" w:ascii="仿宋" w:hAnsi="仿宋" w:eastAsia="仿宋"/>
          <w:sz w:val="24"/>
          <w:szCs w:val="24"/>
          <w:lang w:val="zh-CN" w:eastAsia="zh-CN"/>
        </w:rPr>
        <w:t>可以查看患者化验报告</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评价医生</w:t>
      </w:r>
      <w:r>
        <w:rPr>
          <w:rFonts w:hint="eastAsia" w:ascii="仿宋" w:hAnsi="仿宋" w:eastAsia="仿宋"/>
          <w:sz w:val="24"/>
          <w:szCs w:val="24"/>
          <w:lang w:val="zh-CN" w:eastAsia="zh-CN"/>
        </w:rPr>
        <w:tab/>
      </w:r>
      <w:r>
        <w:rPr>
          <w:rFonts w:hint="eastAsia" w:ascii="仿宋" w:hAnsi="仿宋" w:eastAsia="仿宋"/>
          <w:sz w:val="24"/>
          <w:szCs w:val="24"/>
          <w:lang w:val="zh-CN" w:eastAsia="zh-CN"/>
        </w:rPr>
        <w:t>患者对就诊后的医生评价</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推荐就诊</w:t>
      </w:r>
      <w:r>
        <w:rPr>
          <w:rFonts w:hint="eastAsia" w:ascii="仿宋" w:hAnsi="仿宋" w:eastAsia="仿宋"/>
          <w:sz w:val="24"/>
          <w:szCs w:val="24"/>
          <w:lang w:val="zh-CN" w:eastAsia="zh-CN"/>
        </w:rPr>
        <w:tab/>
      </w:r>
      <w:r>
        <w:rPr>
          <w:rFonts w:hint="eastAsia" w:ascii="仿宋" w:hAnsi="仿宋" w:eastAsia="仿宋"/>
          <w:sz w:val="24"/>
          <w:szCs w:val="24"/>
          <w:lang w:val="zh-CN" w:eastAsia="zh-CN"/>
        </w:rPr>
        <w:t>渠道市场及患者对患者的推荐</w:t>
      </w:r>
    </w:p>
    <w:p>
      <w:pPr>
        <w:pStyle w:val="9"/>
        <w:numPr>
          <w:ilvl w:val="0"/>
          <w:numId w:val="0"/>
        </w:numPr>
        <w:spacing w:line="360" w:lineRule="auto"/>
        <w:ind w:left="3"/>
        <w:rPr>
          <w:sz w:val="24"/>
          <w:szCs w:val="24"/>
        </w:rPr>
      </w:pPr>
      <w:r>
        <w:rPr>
          <w:rFonts w:hint="eastAsia"/>
          <w:sz w:val="24"/>
          <w:szCs w:val="24"/>
        </w:rPr>
        <w:t>基础数据</w:t>
      </w:r>
    </w:p>
    <w:p>
      <w:pPr>
        <w:numPr>
          <w:ilvl w:val="0"/>
          <w:numId w:val="71"/>
        </w:numPr>
        <w:spacing w:line="360" w:lineRule="auto"/>
        <w:jc w:val="both"/>
        <w:rPr>
          <w:rFonts w:ascii="仿宋" w:hAnsi="仿宋" w:eastAsia="仿宋"/>
          <w:sz w:val="24"/>
          <w:szCs w:val="24"/>
          <w:lang w:val="zh-CN"/>
        </w:rPr>
      </w:pPr>
      <w:r>
        <w:rPr>
          <w:rFonts w:hint="eastAsia" w:ascii="仿宋" w:hAnsi="仿宋" w:eastAsia="仿宋"/>
          <w:sz w:val="24"/>
          <w:szCs w:val="24"/>
          <w:lang w:val="zh-CN"/>
        </w:rPr>
        <w:t>医院信息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医院信息</w:t>
      </w:r>
      <w:r>
        <w:rPr>
          <w:rFonts w:hint="eastAsia" w:ascii="仿宋" w:hAnsi="仿宋" w:eastAsia="仿宋"/>
          <w:sz w:val="24"/>
          <w:szCs w:val="24"/>
          <w:lang w:val="zh-CN" w:eastAsia="zh-CN"/>
        </w:rPr>
        <w:tab/>
      </w:r>
      <w:r>
        <w:rPr>
          <w:rFonts w:hint="eastAsia" w:ascii="仿宋" w:hAnsi="仿宋" w:eastAsia="仿宋"/>
          <w:sz w:val="24"/>
          <w:szCs w:val="24"/>
          <w:lang w:val="zh-CN" w:eastAsia="zh-CN"/>
        </w:rPr>
        <w:t>列出一些医院相差常用的功能和医院的排班科室列表，包括：医院科室、医院服务、医院简介、医院周边四大块。</w:t>
      </w:r>
    </w:p>
    <w:p>
      <w:pPr>
        <w:numPr>
          <w:ilvl w:val="0"/>
          <w:numId w:val="71"/>
        </w:numPr>
        <w:spacing w:line="360" w:lineRule="auto"/>
        <w:jc w:val="both"/>
        <w:rPr>
          <w:rFonts w:ascii="仿宋" w:hAnsi="仿宋" w:eastAsia="仿宋"/>
          <w:sz w:val="24"/>
          <w:szCs w:val="24"/>
          <w:lang w:val="zh-CN"/>
        </w:rPr>
      </w:pPr>
      <w:r>
        <w:rPr>
          <w:rFonts w:hint="eastAsia" w:ascii="仿宋" w:hAnsi="仿宋" w:eastAsia="仿宋"/>
          <w:sz w:val="24"/>
          <w:szCs w:val="24"/>
          <w:lang w:val="zh-CN"/>
        </w:rPr>
        <w:t>专家信息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医生信息</w:t>
      </w:r>
      <w:r>
        <w:rPr>
          <w:rFonts w:hint="eastAsia" w:ascii="仿宋" w:hAnsi="仿宋" w:eastAsia="仿宋"/>
          <w:sz w:val="24"/>
          <w:szCs w:val="24"/>
          <w:lang w:val="zh-CN" w:eastAsia="zh-CN"/>
        </w:rPr>
        <w:tab/>
      </w:r>
      <w:r>
        <w:rPr>
          <w:rFonts w:hint="eastAsia" w:ascii="仿宋" w:hAnsi="仿宋" w:eastAsia="仿宋"/>
          <w:sz w:val="24"/>
          <w:szCs w:val="24"/>
          <w:lang w:val="zh-CN" w:eastAsia="zh-CN"/>
        </w:rPr>
        <w:t>医生简介，医生排班信息，患者对医生的评价信息。</w:t>
      </w:r>
    </w:p>
    <w:p>
      <w:pPr>
        <w:numPr>
          <w:ilvl w:val="0"/>
          <w:numId w:val="71"/>
        </w:numPr>
        <w:spacing w:line="360" w:lineRule="auto"/>
        <w:jc w:val="both"/>
        <w:rPr>
          <w:rFonts w:ascii="仿宋" w:hAnsi="仿宋" w:eastAsia="仿宋"/>
          <w:sz w:val="24"/>
          <w:szCs w:val="24"/>
          <w:lang w:val="zh-CN"/>
        </w:rPr>
      </w:pPr>
      <w:r>
        <w:rPr>
          <w:rFonts w:hint="eastAsia" w:ascii="仿宋" w:hAnsi="仿宋" w:eastAsia="仿宋"/>
          <w:sz w:val="24"/>
          <w:szCs w:val="24"/>
          <w:lang w:val="zh-CN"/>
        </w:rPr>
        <w:t>首页预约</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医院科室列表</w:t>
      </w:r>
      <w:r>
        <w:rPr>
          <w:rFonts w:hint="eastAsia" w:ascii="仿宋" w:hAnsi="仿宋" w:eastAsia="仿宋"/>
          <w:sz w:val="24"/>
          <w:szCs w:val="24"/>
          <w:lang w:val="zh-CN" w:eastAsia="zh-CN"/>
        </w:rPr>
        <w:tab/>
      </w:r>
      <w:r>
        <w:rPr>
          <w:rFonts w:hint="eastAsia" w:ascii="仿宋" w:hAnsi="仿宋" w:eastAsia="仿宋"/>
          <w:sz w:val="24"/>
          <w:szCs w:val="24"/>
          <w:lang w:val="zh-CN" w:eastAsia="zh-CN"/>
        </w:rPr>
        <w:t>只有集团医院才有该功能，显示集团下所有子医院（包括信息医院）的科室。</w:t>
      </w:r>
    </w:p>
    <w:p>
      <w:pPr>
        <w:numPr>
          <w:ilvl w:val="0"/>
          <w:numId w:val="71"/>
        </w:numPr>
        <w:spacing w:line="360" w:lineRule="auto"/>
        <w:jc w:val="both"/>
        <w:rPr>
          <w:rFonts w:ascii="仿宋" w:hAnsi="仿宋" w:eastAsia="仿宋"/>
          <w:sz w:val="24"/>
          <w:szCs w:val="24"/>
          <w:lang w:val="zh-CN"/>
        </w:rPr>
      </w:pPr>
      <w:r>
        <w:rPr>
          <w:rFonts w:hint="eastAsia" w:ascii="仿宋" w:hAnsi="仿宋" w:eastAsia="仿宋"/>
          <w:sz w:val="24"/>
          <w:szCs w:val="24"/>
          <w:lang w:val="zh-CN"/>
        </w:rPr>
        <w:t>首页搜索</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排班医生列表</w:t>
      </w:r>
      <w:r>
        <w:rPr>
          <w:rFonts w:hint="eastAsia" w:ascii="仿宋" w:hAnsi="仿宋" w:eastAsia="仿宋"/>
          <w:sz w:val="24"/>
          <w:szCs w:val="24"/>
          <w:lang w:val="zh-CN" w:eastAsia="zh-CN"/>
        </w:rPr>
        <w:tab/>
      </w:r>
      <w:r>
        <w:rPr>
          <w:rFonts w:hint="eastAsia" w:ascii="仿宋" w:hAnsi="仿宋" w:eastAsia="仿宋"/>
          <w:sz w:val="24"/>
          <w:szCs w:val="24"/>
          <w:lang w:val="zh-CN" w:eastAsia="zh-CN"/>
        </w:rPr>
        <w:t>可根据科室名称和医生名称查询出医生的排版列表信息。</w:t>
      </w:r>
    </w:p>
    <w:p>
      <w:pPr>
        <w:numPr>
          <w:ilvl w:val="0"/>
          <w:numId w:val="71"/>
        </w:numPr>
        <w:spacing w:line="360" w:lineRule="auto"/>
        <w:jc w:val="both"/>
        <w:rPr>
          <w:rFonts w:ascii="仿宋" w:hAnsi="仿宋" w:eastAsia="仿宋"/>
          <w:sz w:val="24"/>
          <w:szCs w:val="24"/>
          <w:lang w:val="zh-CN"/>
        </w:rPr>
      </w:pPr>
      <w:r>
        <w:rPr>
          <w:rFonts w:hint="eastAsia" w:ascii="仿宋" w:hAnsi="仿宋" w:eastAsia="仿宋"/>
          <w:sz w:val="24"/>
          <w:szCs w:val="24"/>
          <w:lang w:val="zh-CN"/>
        </w:rPr>
        <w:t>科室信息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挂号科室</w:t>
      </w:r>
      <w:r>
        <w:rPr>
          <w:rFonts w:hint="eastAsia" w:ascii="仿宋" w:hAnsi="仿宋" w:eastAsia="仿宋"/>
          <w:sz w:val="24"/>
          <w:szCs w:val="24"/>
          <w:lang w:val="zh-CN" w:eastAsia="zh-CN"/>
        </w:rPr>
        <w:tab/>
      </w:r>
      <w:r>
        <w:rPr>
          <w:rFonts w:hint="eastAsia" w:ascii="仿宋" w:hAnsi="仿宋" w:eastAsia="仿宋"/>
          <w:sz w:val="24"/>
          <w:szCs w:val="24"/>
          <w:lang w:val="zh-CN" w:eastAsia="zh-CN"/>
        </w:rPr>
        <w:t>可实现该科室下的所有排班医生和该科室的简介情况。</w:t>
      </w:r>
    </w:p>
    <w:p>
      <w:pPr>
        <w:numPr>
          <w:ilvl w:val="0"/>
          <w:numId w:val="71"/>
        </w:numPr>
        <w:spacing w:line="360" w:lineRule="auto"/>
        <w:jc w:val="both"/>
        <w:rPr>
          <w:rFonts w:ascii="仿宋" w:hAnsi="仿宋" w:eastAsia="仿宋"/>
          <w:sz w:val="24"/>
          <w:szCs w:val="24"/>
          <w:lang w:val="zh-CN"/>
        </w:rPr>
      </w:pPr>
      <w:r>
        <w:rPr>
          <w:rFonts w:hint="eastAsia" w:ascii="仿宋" w:hAnsi="仿宋" w:eastAsia="仿宋"/>
          <w:sz w:val="24"/>
          <w:szCs w:val="24"/>
          <w:lang w:val="zh-CN"/>
        </w:rPr>
        <w:t>首页</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来院导航：方便患者根据快捷定位。</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满意度调查</w:t>
      </w:r>
      <w:r>
        <w:rPr>
          <w:rFonts w:hint="eastAsia" w:ascii="仿宋" w:hAnsi="仿宋" w:eastAsia="仿宋"/>
          <w:sz w:val="24"/>
          <w:szCs w:val="24"/>
          <w:lang w:val="zh-CN" w:eastAsia="zh-CN"/>
        </w:rPr>
        <w:tab/>
      </w:r>
      <w:r>
        <w:rPr>
          <w:rFonts w:hint="eastAsia" w:ascii="仿宋" w:hAnsi="仿宋" w:eastAsia="仿宋"/>
          <w:sz w:val="24"/>
          <w:szCs w:val="24"/>
          <w:lang w:val="zh-CN" w:eastAsia="zh-CN"/>
        </w:rPr>
        <w:t>：医院针对自身的情况设置对患者的满意度调查信息。</w:t>
      </w:r>
    </w:p>
    <w:p>
      <w:pPr>
        <w:pStyle w:val="8"/>
        <w:rPr>
          <w:lang w:eastAsia="zh-CN"/>
        </w:rPr>
      </w:pPr>
      <w:r>
        <w:rPr>
          <w:rFonts w:hint="eastAsia"/>
          <w:lang w:eastAsia="zh-CN"/>
        </w:rPr>
        <w:t>体检系统</w:t>
      </w:r>
    </w:p>
    <w:p>
      <w:pPr>
        <w:pStyle w:val="9"/>
        <w:numPr>
          <w:ilvl w:val="0"/>
          <w:numId w:val="0"/>
        </w:numPr>
        <w:spacing w:line="360" w:lineRule="auto"/>
        <w:ind w:left="3"/>
        <w:rPr>
          <w:sz w:val="24"/>
          <w:szCs w:val="24"/>
        </w:rPr>
      </w:pPr>
      <w:r>
        <w:rPr>
          <w:rFonts w:hint="eastAsia"/>
          <w:sz w:val="24"/>
          <w:szCs w:val="24"/>
        </w:rPr>
        <w:t>体检签到</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支持工作人员手动给体检人员签到并打印导检单及条码等功能。</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支持体检人员通过自助机刷身份证的方式自助机签到、打印导检单及条码等功能。</w:t>
      </w:r>
    </w:p>
    <w:p>
      <w:pPr>
        <w:pStyle w:val="9"/>
        <w:numPr>
          <w:ilvl w:val="0"/>
          <w:numId w:val="0"/>
        </w:numPr>
        <w:spacing w:line="360" w:lineRule="auto"/>
        <w:ind w:left="3"/>
        <w:rPr>
          <w:sz w:val="24"/>
          <w:szCs w:val="24"/>
          <w:lang w:eastAsia="zh-CN"/>
        </w:rPr>
      </w:pPr>
      <w:r>
        <w:rPr>
          <w:rFonts w:hint="eastAsia"/>
          <w:sz w:val="24"/>
          <w:szCs w:val="24"/>
          <w:lang w:eastAsia="zh-CN"/>
        </w:rPr>
        <w:t>检前服务</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快速过滤体检人员，当日预约未签到列表，及时电话通知提醒健康体检工作展开服务。</w:t>
      </w:r>
    </w:p>
    <w:p>
      <w:pPr>
        <w:pStyle w:val="9"/>
        <w:numPr>
          <w:ilvl w:val="0"/>
          <w:numId w:val="0"/>
        </w:numPr>
        <w:spacing w:line="360" w:lineRule="auto"/>
        <w:ind w:left="3"/>
        <w:rPr>
          <w:sz w:val="24"/>
          <w:szCs w:val="24"/>
        </w:rPr>
      </w:pPr>
      <w:r>
        <w:rPr>
          <w:rFonts w:hint="eastAsia"/>
          <w:sz w:val="24"/>
          <w:szCs w:val="24"/>
        </w:rPr>
        <w:t>体检登记</w:t>
      </w:r>
    </w:p>
    <w:p>
      <w:pPr>
        <w:numPr>
          <w:ilvl w:val="0"/>
          <w:numId w:val="72"/>
        </w:numPr>
        <w:spacing w:line="360" w:lineRule="auto"/>
        <w:jc w:val="both"/>
        <w:rPr>
          <w:rFonts w:ascii="仿宋" w:hAnsi="仿宋" w:eastAsia="仿宋"/>
          <w:sz w:val="24"/>
          <w:szCs w:val="24"/>
          <w:lang w:val="zh-CN"/>
        </w:rPr>
      </w:pPr>
      <w:r>
        <w:rPr>
          <w:rFonts w:hint="eastAsia" w:ascii="仿宋" w:hAnsi="仿宋" w:eastAsia="仿宋"/>
          <w:sz w:val="24"/>
          <w:szCs w:val="24"/>
          <w:lang w:val="zh-CN"/>
        </w:rPr>
        <w:t>个检</w:t>
      </w:r>
      <w:r>
        <w:rPr>
          <w:rFonts w:hint="eastAsia" w:ascii="仿宋" w:hAnsi="仿宋" w:eastAsia="仿宋"/>
          <w:sz w:val="24"/>
          <w:szCs w:val="24"/>
          <w:lang w:val="zh-CN"/>
        </w:rPr>
        <w:tab/>
      </w:r>
      <w:r>
        <w:rPr>
          <w:rFonts w:hint="eastAsia" w:ascii="仿宋" w:hAnsi="仿宋" w:eastAsia="仿宋"/>
          <w:sz w:val="24"/>
          <w:szCs w:val="24"/>
          <w:lang w:val="zh-CN"/>
        </w:rPr>
        <w:t>登记</w:t>
      </w:r>
    </w:p>
    <w:p>
      <w:pPr>
        <w:spacing w:line="360" w:lineRule="auto"/>
        <w:ind w:firstLine="480"/>
        <w:rPr>
          <w:rFonts w:ascii="仿宋" w:hAnsi="仿宋" w:eastAsia="仿宋"/>
          <w:sz w:val="24"/>
          <w:szCs w:val="24"/>
          <w:lang w:val="zh-CN"/>
        </w:rPr>
      </w:pPr>
      <w:r>
        <w:rPr>
          <w:rFonts w:hint="eastAsia" w:ascii="仿宋" w:hAnsi="仿宋" w:eastAsia="仿宋"/>
          <w:sz w:val="24"/>
          <w:szCs w:val="24"/>
          <w:lang w:val="zh-CN"/>
        </w:rPr>
        <w:t>支持个检登记</w:t>
      </w:r>
    </w:p>
    <w:p>
      <w:pPr>
        <w:numPr>
          <w:ilvl w:val="0"/>
          <w:numId w:val="72"/>
        </w:numPr>
        <w:spacing w:line="360" w:lineRule="auto"/>
        <w:jc w:val="both"/>
        <w:rPr>
          <w:rFonts w:ascii="仿宋" w:hAnsi="仿宋" w:eastAsia="仿宋"/>
          <w:sz w:val="24"/>
          <w:szCs w:val="24"/>
          <w:lang w:val="zh-CN"/>
        </w:rPr>
      </w:pPr>
      <w:r>
        <w:rPr>
          <w:rFonts w:hint="eastAsia" w:ascii="仿宋" w:hAnsi="仿宋" w:eastAsia="仿宋"/>
          <w:sz w:val="24"/>
          <w:szCs w:val="24"/>
          <w:lang w:val="zh-CN"/>
        </w:rPr>
        <w:t>团检登记</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团体：单位体检支持通过电子文档进行批量登记，系统根据设定的条件自动将人员分配到单位不同的分组中。</w:t>
      </w:r>
    </w:p>
    <w:p>
      <w:pPr>
        <w:numPr>
          <w:ilvl w:val="0"/>
          <w:numId w:val="72"/>
        </w:numPr>
        <w:spacing w:line="360" w:lineRule="auto"/>
        <w:jc w:val="both"/>
        <w:rPr>
          <w:rFonts w:ascii="仿宋" w:hAnsi="仿宋" w:eastAsia="仿宋"/>
          <w:sz w:val="24"/>
          <w:szCs w:val="24"/>
          <w:lang w:val="zh-CN"/>
        </w:rPr>
      </w:pPr>
      <w:r>
        <w:rPr>
          <w:rFonts w:hint="eastAsia" w:ascii="仿宋" w:hAnsi="仿宋" w:eastAsia="仿宋"/>
          <w:sz w:val="24"/>
          <w:szCs w:val="24"/>
          <w:lang w:val="zh-CN"/>
        </w:rPr>
        <w:t>身份证登记</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系统支持通过身份证读卡登记人员信息。</w:t>
      </w:r>
    </w:p>
    <w:p>
      <w:pPr>
        <w:numPr>
          <w:ilvl w:val="0"/>
          <w:numId w:val="72"/>
        </w:numPr>
        <w:spacing w:line="360" w:lineRule="auto"/>
        <w:jc w:val="both"/>
        <w:rPr>
          <w:rFonts w:ascii="仿宋" w:hAnsi="仿宋" w:eastAsia="仿宋"/>
          <w:sz w:val="24"/>
          <w:szCs w:val="24"/>
          <w:lang w:val="zh-CN"/>
        </w:rPr>
      </w:pPr>
      <w:r>
        <w:rPr>
          <w:rFonts w:hint="eastAsia" w:ascii="仿宋" w:hAnsi="仿宋" w:eastAsia="仿宋"/>
          <w:sz w:val="24"/>
          <w:szCs w:val="24"/>
          <w:lang w:val="zh-CN"/>
        </w:rPr>
        <w:t>手工登记</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支持参数控制人员信息简化版必填项手工录入：姓名、身份证号、电话登记人员信息。</w:t>
      </w:r>
    </w:p>
    <w:p>
      <w:pPr>
        <w:numPr>
          <w:ilvl w:val="0"/>
          <w:numId w:val="72"/>
        </w:numPr>
        <w:spacing w:line="360" w:lineRule="auto"/>
        <w:jc w:val="both"/>
        <w:rPr>
          <w:rFonts w:ascii="仿宋" w:hAnsi="仿宋" w:eastAsia="仿宋"/>
          <w:sz w:val="24"/>
          <w:szCs w:val="24"/>
          <w:lang w:val="zh-CN"/>
        </w:rPr>
      </w:pPr>
      <w:r>
        <w:rPr>
          <w:rFonts w:hint="eastAsia" w:ascii="仿宋" w:hAnsi="仿宋" w:eastAsia="仿宋"/>
          <w:sz w:val="24"/>
          <w:szCs w:val="24"/>
          <w:lang w:val="zh-CN"/>
        </w:rPr>
        <w:t>健康档案</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支持手工输入患者基本信息，输入姓名、性别、身份证号后应自动判断此人是否存在历史档案。</w:t>
      </w:r>
    </w:p>
    <w:p>
      <w:pPr>
        <w:numPr>
          <w:ilvl w:val="0"/>
          <w:numId w:val="72"/>
        </w:numPr>
        <w:spacing w:line="360" w:lineRule="auto"/>
        <w:jc w:val="both"/>
        <w:rPr>
          <w:rFonts w:ascii="仿宋" w:hAnsi="仿宋" w:eastAsia="仿宋"/>
          <w:sz w:val="24"/>
          <w:szCs w:val="24"/>
          <w:lang w:val="zh-CN"/>
        </w:rPr>
      </w:pPr>
      <w:r>
        <w:rPr>
          <w:rFonts w:hint="eastAsia" w:ascii="仿宋" w:hAnsi="仿宋" w:eastAsia="仿宋"/>
          <w:sz w:val="24"/>
          <w:szCs w:val="24"/>
          <w:lang w:val="zh-CN"/>
        </w:rPr>
        <w:t>套餐</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支持体检套餐自选、任选体检组合、项目的快速选择。</w:t>
      </w:r>
    </w:p>
    <w:p>
      <w:pPr>
        <w:numPr>
          <w:ilvl w:val="0"/>
          <w:numId w:val="72"/>
        </w:numPr>
        <w:spacing w:line="360" w:lineRule="auto"/>
        <w:jc w:val="both"/>
        <w:rPr>
          <w:rFonts w:ascii="仿宋" w:hAnsi="仿宋" w:eastAsia="仿宋"/>
          <w:sz w:val="24"/>
          <w:szCs w:val="24"/>
          <w:lang w:val="zh-CN"/>
        </w:rPr>
      </w:pPr>
      <w:r>
        <w:rPr>
          <w:rFonts w:hint="eastAsia" w:ascii="仿宋" w:hAnsi="仿宋" w:eastAsia="仿宋"/>
          <w:sz w:val="24"/>
          <w:szCs w:val="24"/>
          <w:lang w:val="zh-CN"/>
        </w:rPr>
        <w:t>加减项目</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体检登记时支持快速加减项目，体检项目支持拼音码和五笔码模糊检索。</w:t>
      </w:r>
    </w:p>
    <w:p>
      <w:pPr>
        <w:numPr>
          <w:ilvl w:val="0"/>
          <w:numId w:val="72"/>
        </w:numPr>
        <w:spacing w:line="360" w:lineRule="auto"/>
        <w:jc w:val="both"/>
        <w:rPr>
          <w:rFonts w:ascii="仿宋" w:hAnsi="仿宋" w:eastAsia="仿宋"/>
          <w:sz w:val="24"/>
          <w:szCs w:val="24"/>
          <w:lang w:val="zh-CN"/>
        </w:rPr>
      </w:pPr>
      <w:r>
        <w:rPr>
          <w:rFonts w:hint="eastAsia" w:ascii="仿宋" w:hAnsi="仿宋" w:eastAsia="仿宋"/>
          <w:sz w:val="24"/>
          <w:szCs w:val="24"/>
          <w:lang w:val="zh-CN"/>
        </w:rPr>
        <w:t>导引单回收</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导引单子回收自动检查，漏检项。并一键设置记录拒检项目，拒检登记功能，提供多种查询报表，以便查阅未检人。</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导检单打印</w:t>
      </w:r>
      <w:r>
        <w:rPr>
          <w:rFonts w:hint="eastAsia" w:ascii="仿宋" w:hAnsi="仿宋" w:eastAsia="仿宋"/>
          <w:sz w:val="24"/>
          <w:szCs w:val="24"/>
          <w:lang w:val="zh-CN" w:eastAsia="zh-CN"/>
        </w:rPr>
        <w:tab/>
      </w:r>
      <w:r>
        <w:rPr>
          <w:rFonts w:hint="eastAsia" w:ascii="仿宋" w:hAnsi="仿宋" w:eastAsia="仿宋"/>
          <w:sz w:val="24"/>
          <w:szCs w:val="24"/>
          <w:lang w:val="zh-CN" w:eastAsia="zh-CN"/>
        </w:rPr>
        <w:t>系统支持体检导引单打印，支持补打、批量打印</w:t>
      </w:r>
    </w:p>
    <w:p>
      <w:pPr>
        <w:numPr>
          <w:ilvl w:val="0"/>
          <w:numId w:val="72"/>
        </w:numPr>
        <w:spacing w:line="360" w:lineRule="auto"/>
        <w:jc w:val="both"/>
        <w:rPr>
          <w:rFonts w:ascii="仿宋" w:hAnsi="仿宋" w:eastAsia="仿宋"/>
          <w:sz w:val="24"/>
          <w:szCs w:val="24"/>
          <w:lang w:val="zh-CN"/>
        </w:rPr>
      </w:pPr>
      <w:r>
        <w:rPr>
          <w:rFonts w:hint="eastAsia" w:ascii="仿宋" w:hAnsi="仿宋" w:eastAsia="仿宋"/>
          <w:sz w:val="24"/>
          <w:szCs w:val="24"/>
          <w:lang w:val="zh-CN"/>
        </w:rPr>
        <w:t>条码打印</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可以根据不同的套餐打印出相应的条码，可到不同科室进行检查。同时还增加了条码补打系统，以免客户在体检过程中的丢失。所有组合项目都可以自定义选择是否打印条码及数量</w:t>
      </w:r>
    </w:p>
    <w:p>
      <w:pPr>
        <w:numPr>
          <w:ilvl w:val="0"/>
          <w:numId w:val="72"/>
        </w:numPr>
        <w:spacing w:line="360" w:lineRule="auto"/>
        <w:jc w:val="both"/>
        <w:rPr>
          <w:rFonts w:ascii="仿宋" w:hAnsi="仿宋" w:eastAsia="仿宋"/>
          <w:sz w:val="24"/>
          <w:szCs w:val="24"/>
          <w:lang w:val="zh-CN"/>
        </w:rPr>
      </w:pPr>
      <w:r>
        <w:rPr>
          <w:rFonts w:hint="eastAsia" w:ascii="仿宋" w:hAnsi="仿宋" w:eastAsia="仿宋"/>
          <w:sz w:val="24"/>
          <w:szCs w:val="24"/>
          <w:lang w:val="zh-CN"/>
        </w:rPr>
        <w:t>查询</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支持体检编号、姓名、总检状态、体检类型、签到状态等功能查询</w:t>
      </w:r>
    </w:p>
    <w:p>
      <w:pPr>
        <w:pStyle w:val="9"/>
        <w:numPr>
          <w:ilvl w:val="0"/>
          <w:numId w:val="0"/>
        </w:numPr>
        <w:spacing w:line="360" w:lineRule="auto"/>
        <w:ind w:left="3"/>
        <w:rPr>
          <w:sz w:val="24"/>
          <w:szCs w:val="24"/>
        </w:rPr>
      </w:pPr>
      <w:r>
        <w:rPr>
          <w:rFonts w:hint="eastAsia"/>
          <w:sz w:val="24"/>
          <w:szCs w:val="24"/>
        </w:rPr>
        <w:t>医生诊台</w:t>
      </w:r>
    </w:p>
    <w:p>
      <w:pPr>
        <w:numPr>
          <w:ilvl w:val="0"/>
          <w:numId w:val="73"/>
        </w:numPr>
        <w:spacing w:line="360" w:lineRule="auto"/>
        <w:jc w:val="both"/>
        <w:rPr>
          <w:rFonts w:ascii="仿宋" w:hAnsi="仿宋" w:eastAsia="仿宋"/>
          <w:sz w:val="24"/>
          <w:szCs w:val="24"/>
          <w:lang w:val="zh-CN"/>
        </w:rPr>
      </w:pPr>
      <w:r>
        <w:rPr>
          <w:rFonts w:hint="eastAsia" w:ascii="仿宋" w:hAnsi="仿宋" w:eastAsia="仿宋"/>
          <w:sz w:val="24"/>
          <w:szCs w:val="24"/>
          <w:lang w:val="zh-CN"/>
        </w:rPr>
        <w:t>权限管理</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系统支持严格的权限控制，只有授权的医生才能进行对应项目的检查。</w:t>
      </w:r>
    </w:p>
    <w:p>
      <w:pPr>
        <w:numPr>
          <w:ilvl w:val="0"/>
          <w:numId w:val="73"/>
        </w:numPr>
        <w:spacing w:line="360" w:lineRule="auto"/>
        <w:jc w:val="both"/>
        <w:rPr>
          <w:rFonts w:ascii="仿宋" w:hAnsi="仿宋" w:eastAsia="仿宋"/>
          <w:sz w:val="24"/>
          <w:szCs w:val="24"/>
          <w:lang w:val="zh-CN"/>
        </w:rPr>
      </w:pPr>
      <w:r>
        <w:rPr>
          <w:rFonts w:hint="eastAsia" w:ascii="仿宋" w:hAnsi="仿宋" w:eastAsia="仿宋"/>
          <w:sz w:val="24"/>
          <w:szCs w:val="24"/>
          <w:lang w:val="zh-CN"/>
        </w:rPr>
        <w:t>历史结果</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在医生诊台，历次结果阳性指标主动弹框提醒。</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科室医生也可以方便快捷的调出体检者历次体检的结果，可与本次体检的结果进行比对，协助体检医生书写体检小结。</w:t>
      </w:r>
    </w:p>
    <w:p>
      <w:pPr>
        <w:numPr>
          <w:ilvl w:val="0"/>
          <w:numId w:val="73"/>
        </w:numPr>
        <w:spacing w:line="360" w:lineRule="auto"/>
        <w:jc w:val="both"/>
        <w:rPr>
          <w:rFonts w:ascii="仿宋" w:hAnsi="仿宋" w:eastAsia="仿宋"/>
          <w:sz w:val="24"/>
          <w:szCs w:val="24"/>
          <w:lang w:val="zh-CN"/>
        </w:rPr>
      </w:pPr>
      <w:r>
        <w:rPr>
          <w:rFonts w:hint="eastAsia" w:ascii="仿宋" w:hAnsi="仿宋" w:eastAsia="仿宋"/>
          <w:sz w:val="24"/>
          <w:szCs w:val="24"/>
          <w:lang w:val="zh-CN"/>
        </w:rPr>
        <w:t>检查结果</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通过条型码扫描及手录查询快速查找到受检人员信息。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医生检索检体检结果知识库，选择录入科室体检结果确认后，并自动形成科室小结。系统根据结论自动产生疾病建议，且支持手工输入专科建议，在总检时可以单独显示。</w:t>
      </w:r>
    </w:p>
    <w:p>
      <w:pPr>
        <w:numPr>
          <w:ilvl w:val="0"/>
          <w:numId w:val="73"/>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仪器设备对接后体检结果数据自动获取</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在检查结果录入时，具有正常结果默认、异常结果录入、异常结果自由组合选择录入、数值结果极限值自动判定，数值结果偏高偏低自动提示，阳性结果自动标定。</w:t>
      </w:r>
    </w:p>
    <w:p>
      <w:pPr>
        <w:numPr>
          <w:ilvl w:val="0"/>
          <w:numId w:val="73"/>
        </w:numPr>
        <w:spacing w:line="360" w:lineRule="auto"/>
        <w:jc w:val="both"/>
        <w:rPr>
          <w:rFonts w:ascii="仿宋" w:hAnsi="仿宋" w:eastAsia="仿宋"/>
          <w:sz w:val="24"/>
          <w:szCs w:val="24"/>
          <w:lang w:val="zh-CN"/>
        </w:rPr>
      </w:pPr>
      <w:r>
        <w:rPr>
          <w:rFonts w:hint="eastAsia" w:ascii="仿宋" w:hAnsi="仿宋" w:eastAsia="仿宋"/>
          <w:sz w:val="24"/>
          <w:szCs w:val="24"/>
          <w:lang w:val="zh-CN"/>
        </w:rPr>
        <w:t>问诊</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支持问诊信息登记维护。</w:t>
      </w:r>
    </w:p>
    <w:p>
      <w:pPr>
        <w:numPr>
          <w:ilvl w:val="0"/>
          <w:numId w:val="73"/>
        </w:numPr>
        <w:spacing w:line="360" w:lineRule="auto"/>
        <w:jc w:val="both"/>
        <w:rPr>
          <w:rFonts w:ascii="仿宋" w:hAnsi="仿宋" w:eastAsia="仿宋"/>
          <w:sz w:val="24"/>
          <w:szCs w:val="24"/>
          <w:lang w:val="zh-CN"/>
        </w:rPr>
      </w:pPr>
      <w:r>
        <w:rPr>
          <w:rFonts w:hint="eastAsia" w:ascii="仿宋" w:hAnsi="仿宋" w:eastAsia="仿宋"/>
          <w:sz w:val="24"/>
          <w:szCs w:val="24"/>
          <w:lang w:val="zh-CN"/>
        </w:rPr>
        <w:t>复诊</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支持复诊信息登记，并短信通知客户。</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医生在操作界面，可以根据体检者实际情况，进行复查登记，记录复查项目、时间、原因，生成复查申请供总检医生进行复杂必要性审核。</w:t>
      </w:r>
    </w:p>
    <w:p>
      <w:pPr>
        <w:numPr>
          <w:ilvl w:val="0"/>
          <w:numId w:val="73"/>
        </w:numPr>
        <w:spacing w:line="360" w:lineRule="auto"/>
        <w:jc w:val="both"/>
        <w:rPr>
          <w:rFonts w:ascii="仿宋" w:hAnsi="仿宋" w:eastAsia="仿宋"/>
          <w:sz w:val="24"/>
          <w:szCs w:val="24"/>
          <w:lang w:val="zh-CN"/>
        </w:rPr>
      </w:pPr>
      <w:r>
        <w:rPr>
          <w:rFonts w:hint="eastAsia" w:ascii="仿宋" w:hAnsi="仿宋" w:eastAsia="仿宋"/>
          <w:sz w:val="24"/>
          <w:szCs w:val="24"/>
          <w:lang w:val="zh-CN"/>
        </w:rPr>
        <w:t>软件接口</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系统支持与LIS、PACS等医技系统联网，检验检查结果可以通过数据接口自动取回，无需人工维护和录入。</w:t>
      </w:r>
    </w:p>
    <w:p>
      <w:pPr>
        <w:numPr>
          <w:ilvl w:val="0"/>
          <w:numId w:val="73"/>
        </w:numPr>
        <w:spacing w:line="360" w:lineRule="auto"/>
        <w:jc w:val="both"/>
        <w:rPr>
          <w:rFonts w:ascii="仿宋" w:hAnsi="仿宋" w:eastAsia="仿宋"/>
          <w:sz w:val="24"/>
          <w:szCs w:val="24"/>
          <w:lang w:val="zh-CN"/>
        </w:rPr>
      </w:pPr>
      <w:r>
        <w:rPr>
          <w:rFonts w:hint="eastAsia" w:ascii="仿宋" w:hAnsi="仿宋" w:eastAsia="仿宋"/>
          <w:sz w:val="24"/>
          <w:szCs w:val="24"/>
          <w:lang w:val="zh-CN"/>
        </w:rPr>
        <w:t>弃检</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rPr>
      </w:pPr>
      <w:r>
        <w:rPr>
          <w:rFonts w:hint="eastAsia" w:ascii="仿宋" w:hAnsi="仿宋" w:eastAsia="仿宋"/>
          <w:sz w:val="24"/>
          <w:szCs w:val="24"/>
          <w:lang w:val="zh-CN" w:eastAsia="zh-CN"/>
        </w:rPr>
        <w:t>系统支持在检查过程中对项目进行弃检的功能，并登记原因。</w:t>
      </w:r>
      <w:r>
        <w:rPr>
          <w:rFonts w:hint="eastAsia" w:ascii="仿宋" w:hAnsi="仿宋" w:eastAsia="仿宋"/>
          <w:sz w:val="24"/>
          <w:szCs w:val="24"/>
          <w:lang w:val="zh-CN"/>
        </w:rPr>
        <w:t>后期可以自动提醒。</w:t>
      </w:r>
    </w:p>
    <w:p>
      <w:pPr>
        <w:numPr>
          <w:ilvl w:val="0"/>
          <w:numId w:val="73"/>
        </w:numPr>
        <w:spacing w:line="360" w:lineRule="auto"/>
        <w:jc w:val="both"/>
        <w:rPr>
          <w:rFonts w:ascii="仿宋" w:hAnsi="仿宋" w:eastAsia="仿宋"/>
          <w:sz w:val="24"/>
          <w:szCs w:val="24"/>
          <w:lang w:val="zh-CN"/>
        </w:rPr>
      </w:pPr>
      <w:r>
        <w:rPr>
          <w:rFonts w:hint="eastAsia" w:ascii="仿宋" w:hAnsi="仿宋" w:eastAsia="仿宋"/>
          <w:sz w:val="24"/>
          <w:szCs w:val="24"/>
          <w:lang w:val="zh-CN"/>
        </w:rPr>
        <w:t>待检列表</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待检列表：支持今日客户待检列表和已检列表展示，可快速定位查看体检人员信息。</w:t>
      </w:r>
    </w:p>
    <w:p>
      <w:pPr>
        <w:numPr>
          <w:ilvl w:val="0"/>
          <w:numId w:val="73"/>
        </w:numPr>
        <w:spacing w:line="360" w:lineRule="auto"/>
        <w:jc w:val="both"/>
        <w:rPr>
          <w:rFonts w:ascii="仿宋" w:hAnsi="仿宋" w:eastAsia="仿宋"/>
          <w:sz w:val="24"/>
          <w:szCs w:val="24"/>
          <w:lang w:val="zh-CN"/>
        </w:rPr>
      </w:pPr>
      <w:r>
        <w:rPr>
          <w:rFonts w:hint="eastAsia" w:ascii="仿宋" w:hAnsi="仿宋" w:eastAsia="仿宋"/>
          <w:sz w:val="24"/>
          <w:szCs w:val="24"/>
          <w:lang w:val="zh-CN"/>
        </w:rPr>
        <w:t>体检小结</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系统支持自动汇总检查结果，生成体检小结。</w:t>
      </w:r>
    </w:p>
    <w:p>
      <w:pPr>
        <w:numPr>
          <w:ilvl w:val="0"/>
          <w:numId w:val="73"/>
        </w:numPr>
        <w:spacing w:line="360" w:lineRule="auto"/>
        <w:jc w:val="both"/>
        <w:rPr>
          <w:rFonts w:ascii="仿宋" w:hAnsi="仿宋" w:eastAsia="仿宋"/>
          <w:sz w:val="24"/>
          <w:szCs w:val="24"/>
          <w:lang w:val="zh-CN"/>
        </w:rPr>
      </w:pPr>
      <w:r>
        <w:rPr>
          <w:rFonts w:hint="eastAsia" w:ascii="仿宋" w:hAnsi="仿宋" w:eastAsia="仿宋"/>
          <w:sz w:val="24"/>
          <w:szCs w:val="24"/>
          <w:lang w:val="zh-CN"/>
        </w:rPr>
        <w:t>查询</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系统支持总检状态、进度、体检编号、姓名、体检类型、体检医生医疗机构等多条件组合快速检索病人的基本信息与检查项目。</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支持体检编号、姓名、总检状态、体检类型、日期等功能查询。</w:t>
      </w:r>
    </w:p>
    <w:p>
      <w:pPr>
        <w:pStyle w:val="9"/>
        <w:numPr>
          <w:ilvl w:val="0"/>
          <w:numId w:val="0"/>
        </w:numPr>
        <w:spacing w:line="360" w:lineRule="auto"/>
        <w:ind w:left="3"/>
        <w:rPr>
          <w:sz w:val="24"/>
          <w:szCs w:val="24"/>
        </w:rPr>
      </w:pPr>
      <w:r>
        <w:rPr>
          <w:rFonts w:hint="eastAsia"/>
          <w:sz w:val="24"/>
          <w:szCs w:val="24"/>
        </w:rPr>
        <w:t>总检诊台</w:t>
      </w:r>
    </w:p>
    <w:p>
      <w:pPr>
        <w:numPr>
          <w:ilvl w:val="0"/>
          <w:numId w:val="74"/>
        </w:numPr>
        <w:spacing w:line="360" w:lineRule="auto"/>
        <w:jc w:val="both"/>
        <w:rPr>
          <w:rFonts w:ascii="仿宋" w:hAnsi="仿宋" w:eastAsia="仿宋"/>
          <w:sz w:val="24"/>
          <w:szCs w:val="24"/>
          <w:lang w:val="zh-CN"/>
        </w:rPr>
      </w:pPr>
      <w:r>
        <w:rPr>
          <w:rFonts w:hint="eastAsia" w:ascii="仿宋" w:hAnsi="仿宋" w:eastAsia="仿宋"/>
          <w:sz w:val="24"/>
          <w:szCs w:val="24"/>
          <w:lang w:val="zh-CN"/>
        </w:rPr>
        <w:t>智能总检</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系统支持总检内容自动排版，提供修改功能,建议与综述可以由用户快速调整排序。</w:t>
      </w:r>
    </w:p>
    <w:p>
      <w:pPr>
        <w:numPr>
          <w:ilvl w:val="0"/>
          <w:numId w:val="74"/>
        </w:numPr>
        <w:spacing w:line="360" w:lineRule="auto"/>
        <w:jc w:val="both"/>
        <w:rPr>
          <w:rFonts w:ascii="仿宋" w:hAnsi="仿宋" w:eastAsia="仿宋"/>
          <w:sz w:val="24"/>
          <w:szCs w:val="24"/>
          <w:lang w:val="zh-CN"/>
        </w:rPr>
      </w:pPr>
      <w:r>
        <w:rPr>
          <w:rFonts w:hint="eastAsia" w:ascii="仿宋" w:hAnsi="仿宋" w:eastAsia="仿宋"/>
          <w:sz w:val="24"/>
          <w:szCs w:val="24"/>
          <w:lang w:val="zh-CN"/>
        </w:rPr>
        <w:t>主检审核</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系统支持总检与审核的二次确认功能，报告总检后再审核后生效。</w:t>
      </w:r>
    </w:p>
    <w:p>
      <w:pPr>
        <w:numPr>
          <w:ilvl w:val="0"/>
          <w:numId w:val="74"/>
        </w:numPr>
        <w:spacing w:line="360" w:lineRule="auto"/>
        <w:jc w:val="both"/>
        <w:rPr>
          <w:rFonts w:ascii="仿宋" w:hAnsi="仿宋" w:eastAsia="仿宋"/>
          <w:sz w:val="24"/>
          <w:szCs w:val="24"/>
          <w:lang w:val="zh-CN"/>
        </w:rPr>
      </w:pPr>
      <w:r>
        <w:rPr>
          <w:rFonts w:hint="eastAsia" w:ascii="仿宋" w:hAnsi="仿宋" w:eastAsia="仿宋"/>
          <w:sz w:val="24"/>
          <w:szCs w:val="24"/>
          <w:lang w:val="zh-CN"/>
        </w:rPr>
        <w:t>权限管理</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系统支持有权限的用户在总检的过程中修改已完成检查结果。</w:t>
      </w:r>
    </w:p>
    <w:p>
      <w:pPr>
        <w:numPr>
          <w:ilvl w:val="0"/>
          <w:numId w:val="74"/>
        </w:numPr>
        <w:spacing w:line="360" w:lineRule="auto"/>
        <w:jc w:val="both"/>
        <w:rPr>
          <w:rFonts w:ascii="仿宋" w:hAnsi="仿宋" w:eastAsia="仿宋"/>
          <w:sz w:val="24"/>
          <w:szCs w:val="24"/>
          <w:lang w:val="zh-CN"/>
        </w:rPr>
      </w:pPr>
      <w:r>
        <w:rPr>
          <w:rFonts w:hint="eastAsia" w:ascii="仿宋" w:hAnsi="仿宋" w:eastAsia="仿宋"/>
          <w:sz w:val="24"/>
          <w:szCs w:val="24"/>
          <w:lang w:val="zh-CN"/>
        </w:rPr>
        <w:t>明细结果</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可以任意查看各科室的明细结果信息。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小结是否完成，通过科室图标来区分。</w:t>
      </w:r>
    </w:p>
    <w:p>
      <w:pPr>
        <w:numPr>
          <w:ilvl w:val="0"/>
          <w:numId w:val="74"/>
        </w:numPr>
        <w:spacing w:line="360" w:lineRule="auto"/>
        <w:jc w:val="both"/>
        <w:rPr>
          <w:rFonts w:ascii="仿宋" w:hAnsi="仿宋" w:eastAsia="仿宋"/>
          <w:sz w:val="24"/>
          <w:szCs w:val="24"/>
          <w:lang w:val="zh-CN"/>
        </w:rPr>
      </w:pPr>
      <w:r>
        <w:rPr>
          <w:rFonts w:hint="eastAsia" w:ascii="仿宋" w:hAnsi="仿宋" w:eastAsia="仿宋"/>
          <w:sz w:val="24"/>
          <w:szCs w:val="24"/>
          <w:lang w:val="zh-CN"/>
        </w:rPr>
        <w:t>历次综述</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自由选择历次综述查看，协助总检医生做总检。</w:t>
      </w:r>
    </w:p>
    <w:p>
      <w:pPr>
        <w:numPr>
          <w:ilvl w:val="0"/>
          <w:numId w:val="74"/>
        </w:numPr>
        <w:spacing w:line="360" w:lineRule="auto"/>
        <w:jc w:val="both"/>
        <w:rPr>
          <w:rFonts w:ascii="仿宋" w:hAnsi="仿宋" w:eastAsia="仿宋"/>
          <w:sz w:val="24"/>
          <w:szCs w:val="24"/>
          <w:lang w:val="zh-CN"/>
        </w:rPr>
      </w:pPr>
      <w:r>
        <w:rPr>
          <w:rFonts w:hint="eastAsia" w:ascii="仿宋" w:hAnsi="仿宋" w:eastAsia="仿宋"/>
          <w:sz w:val="24"/>
          <w:szCs w:val="24"/>
          <w:lang w:val="zh-CN"/>
        </w:rPr>
        <w:t>总检撤销</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在总检未撤销前，阻止体检明细项目结果值的随意修改，并保持以前的总检内容以备修改，避免以前总检内容的丢失。</w:t>
      </w:r>
    </w:p>
    <w:p>
      <w:pPr>
        <w:numPr>
          <w:ilvl w:val="0"/>
          <w:numId w:val="74"/>
        </w:numPr>
        <w:spacing w:line="360" w:lineRule="auto"/>
        <w:jc w:val="both"/>
        <w:rPr>
          <w:rFonts w:ascii="仿宋" w:hAnsi="仿宋" w:eastAsia="仿宋"/>
          <w:sz w:val="24"/>
          <w:szCs w:val="24"/>
          <w:lang w:val="zh-CN"/>
        </w:rPr>
      </w:pPr>
      <w:r>
        <w:rPr>
          <w:rFonts w:hint="eastAsia" w:ascii="仿宋" w:hAnsi="仿宋" w:eastAsia="仿宋"/>
          <w:sz w:val="24"/>
          <w:szCs w:val="24"/>
          <w:lang w:val="zh-CN"/>
        </w:rPr>
        <w:t>疾病建议</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疾病建议知识库选择时，提供疾病建议选择预览功能，供总检医生参考使用。</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疾病建议知识库选择时，提供各科室小结概述信息，供总检医生参考使用。</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疾病建议知识库选择时，总检报告形成异常指标解读说明，供客户人员参见。</w:t>
      </w:r>
    </w:p>
    <w:p>
      <w:pPr>
        <w:pStyle w:val="9"/>
        <w:numPr>
          <w:ilvl w:val="0"/>
          <w:numId w:val="0"/>
        </w:numPr>
        <w:spacing w:line="360" w:lineRule="auto"/>
        <w:ind w:left="3"/>
        <w:rPr>
          <w:sz w:val="24"/>
          <w:szCs w:val="24"/>
        </w:rPr>
      </w:pPr>
      <w:r>
        <w:rPr>
          <w:rFonts w:hint="eastAsia"/>
          <w:sz w:val="24"/>
          <w:szCs w:val="24"/>
        </w:rPr>
        <w:t>总检报告</w:t>
      </w:r>
    </w:p>
    <w:p>
      <w:pPr>
        <w:numPr>
          <w:ilvl w:val="0"/>
          <w:numId w:val="75"/>
        </w:numPr>
        <w:spacing w:line="360" w:lineRule="auto"/>
        <w:jc w:val="both"/>
        <w:rPr>
          <w:rFonts w:ascii="仿宋" w:hAnsi="仿宋" w:eastAsia="仿宋"/>
          <w:sz w:val="24"/>
          <w:szCs w:val="24"/>
          <w:lang w:val="zh-CN"/>
        </w:rPr>
      </w:pPr>
      <w:r>
        <w:rPr>
          <w:rFonts w:hint="eastAsia" w:ascii="仿宋" w:hAnsi="仿宋" w:eastAsia="仿宋"/>
          <w:sz w:val="24"/>
          <w:szCs w:val="24"/>
          <w:lang w:val="zh-CN"/>
        </w:rPr>
        <w:t>总检报告</w:t>
      </w:r>
      <w:r>
        <w:rPr>
          <w:rFonts w:hint="eastAsia" w:ascii="仿宋" w:hAnsi="仿宋" w:eastAsia="仿宋"/>
          <w:sz w:val="24"/>
          <w:szCs w:val="24"/>
          <w:lang w:val="zh-CN"/>
        </w:rPr>
        <w:tab/>
      </w:r>
      <w:r>
        <w:rPr>
          <w:rFonts w:hint="eastAsia" w:ascii="仿宋" w:hAnsi="仿宋" w:eastAsia="仿宋"/>
          <w:sz w:val="24"/>
          <w:szCs w:val="24"/>
          <w:lang w:val="zh-CN"/>
        </w:rPr>
        <w:t>、</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医生总检的同时可以预览、打印体检报告。</w:t>
      </w:r>
    </w:p>
    <w:p>
      <w:pPr>
        <w:numPr>
          <w:ilvl w:val="0"/>
          <w:numId w:val="75"/>
        </w:numPr>
        <w:spacing w:line="360" w:lineRule="auto"/>
        <w:jc w:val="both"/>
        <w:rPr>
          <w:rFonts w:ascii="仿宋" w:hAnsi="仿宋" w:eastAsia="仿宋"/>
          <w:sz w:val="24"/>
          <w:szCs w:val="24"/>
          <w:lang w:val="zh-CN"/>
        </w:rPr>
      </w:pPr>
      <w:r>
        <w:rPr>
          <w:rFonts w:hint="eastAsia" w:ascii="仿宋" w:hAnsi="仿宋" w:eastAsia="仿宋"/>
          <w:sz w:val="24"/>
          <w:szCs w:val="24"/>
          <w:lang w:val="zh-CN"/>
        </w:rPr>
        <w:t>查看、导出</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总检报告预览，导出、PDF 、WORD等电子文档。</w:t>
      </w:r>
    </w:p>
    <w:p>
      <w:pPr>
        <w:numPr>
          <w:ilvl w:val="0"/>
          <w:numId w:val="75"/>
        </w:numPr>
        <w:spacing w:line="360" w:lineRule="auto"/>
        <w:jc w:val="both"/>
        <w:rPr>
          <w:rFonts w:ascii="仿宋" w:hAnsi="仿宋" w:eastAsia="仿宋"/>
          <w:sz w:val="24"/>
          <w:szCs w:val="24"/>
          <w:lang w:val="zh-CN"/>
        </w:rPr>
      </w:pPr>
      <w:r>
        <w:rPr>
          <w:rFonts w:hint="eastAsia" w:ascii="仿宋" w:hAnsi="仿宋" w:eastAsia="仿宋"/>
          <w:sz w:val="24"/>
          <w:szCs w:val="24"/>
          <w:lang w:val="zh-CN"/>
        </w:rPr>
        <w:t>反总检</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支持总检报告反审核功能。</w:t>
      </w:r>
    </w:p>
    <w:p>
      <w:pPr>
        <w:numPr>
          <w:ilvl w:val="0"/>
          <w:numId w:val="75"/>
        </w:numPr>
        <w:spacing w:line="360" w:lineRule="auto"/>
        <w:jc w:val="both"/>
        <w:rPr>
          <w:rFonts w:ascii="仿宋" w:hAnsi="仿宋" w:eastAsia="仿宋"/>
          <w:sz w:val="24"/>
          <w:szCs w:val="24"/>
          <w:lang w:val="zh-CN"/>
        </w:rPr>
      </w:pPr>
      <w:r>
        <w:rPr>
          <w:rFonts w:hint="eastAsia" w:ascii="仿宋" w:hAnsi="仿宋" w:eastAsia="仿宋"/>
          <w:sz w:val="24"/>
          <w:szCs w:val="24"/>
          <w:lang w:val="zh-CN"/>
        </w:rPr>
        <w:t>批量打印</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支持总检报告批量打印。</w:t>
      </w:r>
    </w:p>
    <w:p>
      <w:pPr>
        <w:pStyle w:val="9"/>
        <w:numPr>
          <w:ilvl w:val="0"/>
          <w:numId w:val="0"/>
        </w:numPr>
        <w:spacing w:line="360" w:lineRule="auto"/>
        <w:ind w:left="3"/>
        <w:rPr>
          <w:sz w:val="24"/>
          <w:szCs w:val="24"/>
        </w:rPr>
      </w:pPr>
      <w:r>
        <w:rPr>
          <w:rFonts w:hint="eastAsia"/>
          <w:sz w:val="24"/>
          <w:szCs w:val="24"/>
        </w:rPr>
        <w:t>公共数据</w:t>
      </w:r>
    </w:p>
    <w:p>
      <w:pPr>
        <w:numPr>
          <w:ilvl w:val="0"/>
          <w:numId w:val="76"/>
        </w:numPr>
        <w:spacing w:line="360" w:lineRule="auto"/>
        <w:jc w:val="both"/>
        <w:rPr>
          <w:rFonts w:ascii="仿宋" w:hAnsi="仿宋" w:eastAsia="仿宋"/>
          <w:sz w:val="24"/>
          <w:szCs w:val="24"/>
          <w:lang w:val="zh-CN"/>
        </w:rPr>
      </w:pPr>
      <w:r>
        <w:rPr>
          <w:rFonts w:hint="eastAsia" w:ascii="仿宋" w:hAnsi="仿宋" w:eastAsia="仿宋"/>
          <w:sz w:val="24"/>
          <w:szCs w:val="24"/>
          <w:lang w:val="zh-CN"/>
        </w:rPr>
        <w:t>行政区域</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支持云健康体检（集团、连锁体检健康中心）。</w:t>
      </w:r>
    </w:p>
    <w:p>
      <w:pPr>
        <w:numPr>
          <w:ilvl w:val="0"/>
          <w:numId w:val="76"/>
        </w:numPr>
        <w:spacing w:line="360" w:lineRule="auto"/>
        <w:jc w:val="both"/>
        <w:rPr>
          <w:rFonts w:ascii="仿宋" w:hAnsi="仿宋" w:eastAsia="仿宋"/>
          <w:sz w:val="24"/>
          <w:szCs w:val="24"/>
          <w:lang w:val="zh-CN"/>
        </w:rPr>
      </w:pPr>
      <w:r>
        <w:rPr>
          <w:rFonts w:hint="eastAsia" w:ascii="仿宋" w:hAnsi="仿宋" w:eastAsia="仿宋"/>
          <w:sz w:val="24"/>
          <w:szCs w:val="24"/>
          <w:lang w:val="zh-CN"/>
        </w:rPr>
        <w:t>医疗机构</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rPr>
      </w:pPr>
      <w:r>
        <w:rPr>
          <w:rFonts w:hint="eastAsia" w:ascii="仿宋" w:hAnsi="仿宋" w:eastAsia="仿宋"/>
          <w:sz w:val="24"/>
          <w:szCs w:val="24"/>
          <w:lang w:val="zh-CN"/>
        </w:rPr>
        <w:t>体检项目</w:t>
      </w:r>
      <w:r>
        <w:rPr>
          <w:rFonts w:hint="eastAsia" w:ascii="仿宋" w:hAnsi="仿宋" w:eastAsia="仿宋"/>
          <w:sz w:val="24"/>
          <w:szCs w:val="24"/>
          <w:lang w:val="zh-CN"/>
        </w:rPr>
        <w:tab/>
      </w:r>
      <w:r>
        <w:rPr>
          <w:rFonts w:hint="eastAsia" w:ascii="仿宋" w:hAnsi="仿宋" w:eastAsia="仿宋"/>
          <w:sz w:val="24"/>
          <w:szCs w:val="24"/>
          <w:lang w:val="zh-CN"/>
        </w:rPr>
        <w:t>。</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支持体检项目动态配置，个性化自定义以及扩充。</w:t>
      </w:r>
    </w:p>
    <w:p>
      <w:pPr>
        <w:numPr>
          <w:ilvl w:val="0"/>
          <w:numId w:val="76"/>
        </w:numPr>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支持体检项目总库、分库管理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体检项目总库管辖医疗机构体检项目统一由总库进行管理，不断的完善补充。</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医院项目数据来源于体检项目总库，支持项目云管理的同时又支持医院项目个性化管理。</w:t>
      </w:r>
    </w:p>
    <w:p>
      <w:pPr>
        <w:numPr>
          <w:ilvl w:val="0"/>
          <w:numId w:val="76"/>
        </w:numPr>
        <w:spacing w:line="360" w:lineRule="auto"/>
        <w:jc w:val="both"/>
        <w:rPr>
          <w:rFonts w:ascii="仿宋" w:hAnsi="仿宋" w:eastAsia="仿宋"/>
          <w:sz w:val="24"/>
          <w:szCs w:val="24"/>
          <w:lang w:val="zh-CN"/>
        </w:rPr>
      </w:pPr>
      <w:r>
        <w:rPr>
          <w:rFonts w:hint="eastAsia" w:ascii="仿宋" w:hAnsi="仿宋" w:eastAsia="仿宋"/>
          <w:sz w:val="24"/>
          <w:szCs w:val="24"/>
          <w:lang w:val="zh-CN"/>
        </w:rPr>
        <w:t>项目字典</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创建体检项目字典，如科室、科室类型、套餐类型（公共、医院组、医院）、优惠类型（满减、折扣）、体检类型（老年人、儿童、女性、男性、公共体检）等。</w:t>
      </w:r>
    </w:p>
    <w:p>
      <w:pPr>
        <w:numPr>
          <w:ilvl w:val="0"/>
          <w:numId w:val="76"/>
        </w:numPr>
        <w:spacing w:line="360" w:lineRule="auto"/>
        <w:jc w:val="both"/>
        <w:rPr>
          <w:rFonts w:ascii="仿宋" w:hAnsi="仿宋" w:eastAsia="仿宋"/>
          <w:sz w:val="24"/>
          <w:szCs w:val="24"/>
          <w:lang w:val="zh-CN"/>
        </w:rPr>
      </w:pPr>
      <w:r>
        <w:rPr>
          <w:rFonts w:hint="eastAsia" w:ascii="仿宋" w:hAnsi="仿宋" w:eastAsia="仿宋"/>
          <w:sz w:val="24"/>
          <w:szCs w:val="24"/>
          <w:lang w:val="zh-CN"/>
        </w:rPr>
        <w:t>公告管理</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rPr>
      </w:pPr>
      <w:r>
        <w:rPr>
          <w:rFonts w:hint="eastAsia" w:ascii="仿宋" w:hAnsi="仿宋" w:eastAsia="仿宋"/>
          <w:sz w:val="24"/>
          <w:szCs w:val="24"/>
          <w:lang w:val="zh-CN"/>
        </w:rPr>
        <w:t>创建公告事宜。</w:t>
      </w:r>
    </w:p>
    <w:p>
      <w:pPr>
        <w:pStyle w:val="9"/>
        <w:numPr>
          <w:ilvl w:val="0"/>
          <w:numId w:val="0"/>
        </w:numPr>
        <w:spacing w:line="360" w:lineRule="auto"/>
        <w:ind w:left="3"/>
        <w:rPr>
          <w:sz w:val="24"/>
          <w:szCs w:val="24"/>
        </w:rPr>
      </w:pPr>
      <w:r>
        <w:rPr>
          <w:rFonts w:hint="eastAsia"/>
          <w:sz w:val="24"/>
          <w:szCs w:val="24"/>
        </w:rPr>
        <w:t>基础数据</w:t>
      </w:r>
    </w:p>
    <w:p>
      <w:pPr>
        <w:numPr>
          <w:ilvl w:val="0"/>
          <w:numId w:val="77"/>
        </w:numPr>
        <w:spacing w:line="360" w:lineRule="auto"/>
        <w:jc w:val="both"/>
        <w:rPr>
          <w:rFonts w:ascii="仿宋" w:hAnsi="仿宋" w:eastAsia="仿宋"/>
          <w:sz w:val="24"/>
          <w:szCs w:val="24"/>
          <w:lang w:val="zh-CN"/>
        </w:rPr>
      </w:pPr>
      <w:r>
        <w:rPr>
          <w:rFonts w:hint="eastAsia" w:ascii="仿宋" w:hAnsi="仿宋" w:eastAsia="仿宋"/>
          <w:sz w:val="24"/>
          <w:szCs w:val="24"/>
          <w:lang w:val="zh-CN"/>
        </w:rPr>
        <w:t>医院项目</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在体检项目的基础上自定义医院项目，可动态配置，个性化自定义以及扩充。</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样本分类设置：采血、便检、妇科采样等分类。</w:t>
      </w:r>
    </w:p>
    <w:p>
      <w:pPr>
        <w:numPr>
          <w:ilvl w:val="0"/>
          <w:numId w:val="77"/>
        </w:numPr>
        <w:spacing w:line="360" w:lineRule="auto"/>
        <w:jc w:val="both"/>
        <w:rPr>
          <w:rFonts w:ascii="仿宋" w:hAnsi="仿宋" w:eastAsia="仿宋"/>
          <w:sz w:val="24"/>
          <w:szCs w:val="24"/>
          <w:lang w:val="zh-CN"/>
        </w:rPr>
      </w:pPr>
      <w:r>
        <w:rPr>
          <w:rFonts w:hint="eastAsia" w:ascii="仿宋" w:hAnsi="仿宋" w:eastAsia="仿宋"/>
          <w:sz w:val="24"/>
          <w:szCs w:val="24"/>
          <w:lang w:val="zh-CN"/>
        </w:rPr>
        <w:t>医院科室</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在数据字典科室名称的基础上自定义医院科室，可动态配置，个性化自定义以及扩充。</w:t>
      </w:r>
    </w:p>
    <w:p>
      <w:pPr>
        <w:numPr>
          <w:ilvl w:val="0"/>
          <w:numId w:val="77"/>
        </w:numPr>
        <w:spacing w:line="360" w:lineRule="auto"/>
        <w:jc w:val="both"/>
        <w:rPr>
          <w:rFonts w:ascii="仿宋" w:hAnsi="仿宋" w:eastAsia="仿宋"/>
          <w:sz w:val="24"/>
          <w:szCs w:val="24"/>
          <w:lang w:val="zh-CN"/>
        </w:rPr>
      </w:pPr>
      <w:r>
        <w:rPr>
          <w:rFonts w:hint="eastAsia" w:ascii="仿宋" w:hAnsi="仿宋" w:eastAsia="仿宋"/>
          <w:sz w:val="24"/>
          <w:szCs w:val="24"/>
          <w:lang w:val="zh-CN"/>
        </w:rPr>
        <w:t>组合项目</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在医院项目的基础上自定义组合项目，可动态配置，个性化自定义以及扩充。</w:t>
      </w:r>
    </w:p>
    <w:p>
      <w:pPr>
        <w:numPr>
          <w:ilvl w:val="0"/>
          <w:numId w:val="77"/>
        </w:numPr>
        <w:spacing w:line="360" w:lineRule="auto"/>
        <w:jc w:val="both"/>
        <w:rPr>
          <w:rFonts w:ascii="仿宋" w:hAnsi="仿宋" w:eastAsia="仿宋"/>
          <w:sz w:val="24"/>
          <w:szCs w:val="24"/>
          <w:lang w:val="zh-CN"/>
        </w:rPr>
      </w:pPr>
      <w:r>
        <w:rPr>
          <w:rFonts w:hint="eastAsia" w:ascii="仿宋" w:hAnsi="仿宋" w:eastAsia="仿宋"/>
          <w:sz w:val="24"/>
          <w:szCs w:val="24"/>
          <w:lang w:val="zh-CN"/>
        </w:rPr>
        <w:t>条码打印</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支持组合项目条码打印及件数设置功能。</w:t>
      </w:r>
    </w:p>
    <w:p>
      <w:pPr>
        <w:numPr>
          <w:ilvl w:val="0"/>
          <w:numId w:val="77"/>
        </w:numPr>
        <w:spacing w:line="360" w:lineRule="auto"/>
        <w:jc w:val="both"/>
        <w:rPr>
          <w:rFonts w:ascii="仿宋" w:hAnsi="仿宋" w:eastAsia="仿宋"/>
          <w:sz w:val="24"/>
          <w:szCs w:val="24"/>
          <w:lang w:val="zh-CN"/>
        </w:rPr>
      </w:pPr>
      <w:r>
        <w:rPr>
          <w:rFonts w:hint="eastAsia" w:ascii="仿宋" w:hAnsi="仿宋" w:eastAsia="仿宋"/>
          <w:sz w:val="24"/>
          <w:szCs w:val="24"/>
          <w:lang w:val="zh-CN"/>
        </w:rPr>
        <w:t>打印图文</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支持组合项目是否打印图文报告功能设置。</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图文类型支持bmp、jpg、png、pdf等多种格式。</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图文保存类型支持视图和路径2种类型。</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图文打印方向支持横向、竖向。</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所有打印图文的组合项目支持排序。</w:t>
      </w:r>
    </w:p>
    <w:p>
      <w:pPr>
        <w:numPr>
          <w:ilvl w:val="0"/>
          <w:numId w:val="77"/>
        </w:numPr>
        <w:spacing w:line="360" w:lineRule="auto"/>
        <w:jc w:val="both"/>
        <w:rPr>
          <w:rFonts w:ascii="仿宋" w:hAnsi="仿宋" w:eastAsia="仿宋"/>
          <w:sz w:val="24"/>
          <w:szCs w:val="24"/>
          <w:lang w:val="zh-CN"/>
        </w:rPr>
      </w:pPr>
      <w:r>
        <w:rPr>
          <w:rFonts w:hint="eastAsia" w:ascii="仿宋" w:hAnsi="仿宋" w:eastAsia="仿宋"/>
          <w:sz w:val="24"/>
          <w:szCs w:val="24"/>
          <w:lang w:val="zh-CN"/>
        </w:rPr>
        <w:t>导引单显示</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支持组合项目是否在导引单上显示功能设置。</w:t>
      </w:r>
    </w:p>
    <w:p>
      <w:pPr>
        <w:numPr>
          <w:ilvl w:val="0"/>
          <w:numId w:val="77"/>
        </w:numPr>
        <w:spacing w:line="360" w:lineRule="auto"/>
        <w:jc w:val="both"/>
        <w:rPr>
          <w:rFonts w:ascii="仿宋" w:hAnsi="仿宋" w:eastAsia="仿宋"/>
          <w:sz w:val="24"/>
          <w:szCs w:val="24"/>
          <w:lang w:val="zh-CN"/>
        </w:rPr>
      </w:pPr>
      <w:r>
        <w:rPr>
          <w:rFonts w:hint="eastAsia" w:ascii="仿宋" w:hAnsi="仿宋" w:eastAsia="仿宋"/>
          <w:sz w:val="24"/>
          <w:szCs w:val="24"/>
          <w:lang w:val="zh-CN"/>
        </w:rPr>
        <w:t>诊台显示</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支持组合项目是否在诊台上显示功能设置。</w:t>
      </w:r>
    </w:p>
    <w:p>
      <w:pPr>
        <w:numPr>
          <w:ilvl w:val="0"/>
          <w:numId w:val="77"/>
        </w:numPr>
        <w:spacing w:line="360" w:lineRule="auto"/>
        <w:jc w:val="both"/>
        <w:rPr>
          <w:rFonts w:ascii="仿宋" w:hAnsi="仿宋" w:eastAsia="仿宋"/>
          <w:sz w:val="24"/>
          <w:szCs w:val="24"/>
          <w:lang w:val="zh-CN"/>
        </w:rPr>
      </w:pPr>
      <w:r>
        <w:rPr>
          <w:rFonts w:hint="eastAsia" w:ascii="仿宋" w:hAnsi="仿宋" w:eastAsia="仿宋"/>
          <w:sz w:val="24"/>
          <w:szCs w:val="24"/>
          <w:lang w:val="zh-CN"/>
        </w:rPr>
        <w:t>序号</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支持组合项目自定义排序功能设置。</w:t>
      </w:r>
    </w:p>
    <w:p>
      <w:pPr>
        <w:numPr>
          <w:ilvl w:val="0"/>
          <w:numId w:val="77"/>
        </w:numPr>
        <w:spacing w:line="360" w:lineRule="auto"/>
        <w:jc w:val="both"/>
        <w:rPr>
          <w:rFonts w:ascii="仿宋" w:hAnsi="仿宋" w:eastAsia="仿宋"/>
          <w:sz w:val="24"/>
          <w:szCs w:val="24"/>
          <w:lang w:val="zh-CN"/>
        </w:rPr>
      </w:pPr>
      <w:r>
        <w:rPr>
          <w:rFonts w:hint="eastAsia" w:ascii="仿宋" w:hAnsi="仿宋" w:eastAsia="仿宋"/>
          <w:sz w:val="24"/>
          <w:szCs w:val="24"/>
          <w:lang w:val="zh-CN"/>
        </w:rPr>
        <w:t>样本回收</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支持组合项目是否在医生诊台显示功能设置。</w:t>
      </w:r>
    </w:p>
    <w:p>
      <w:pPr>
        <w:numPr>
          <w:ilvl w:val="0"/>
          <w:numId w:val="77"/>
        </w:numPr>
        <w:spacing w:line="360" w:lineRule="auto"/>
        <w:jc w:val="both"/>
        <w:rPr>
          <w:rFonts w:ascii="仿宋" w:hAnsi="仿宋" w:eastAsia="仿宋"/>
          <w:sz w:val="24"/>
          <w:szCs w:val="24"/>
          <w:lang w:val="zh-CN"/>
        </w:rPr>
      </w:pPr>
      <w:r>
        <w:rPr>
          <w:rFonts w:hint="eastAsia" w:ascii="仿宋" w:hAnsi="仿宋" w:eastAsia="仿宋"/>
          <w:sz w:val="24"/>
          <w:szCs w:val="24"/>
          <w:lang w:val="zh-CN"/>
        </w:rPr>
        <w:t>套餐设置</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支持套餐自由组合，可自定义维护套餐类型、套餐分类、婚姻状况、性别限制、年龄限制、价格折扣等功能。</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套餐内是否支持自选标志设置。</w:t>
      </w:r>
    </w:p>
    <w:p>
      <w:pPr>
        <w:numPr>
          <w:ilvl w:val="0"/>
          <w:numId w:val="77"/>
        </w:numPr>
        <w:spacing w:line="360" w:lineRule="auto"/>
        <w:jc w:val="both"/>
        <w:rPr>
          <w:rFonts w:ascii="仿宋" w:hAnsi="仿宋" w:eastAsia="仿宋"/>
          <w:sz w:val="24"/>
          <w:szCs w:val="24"/>
          <w:lang w:val="zh-CN"/>
        </w:rPr>
      </w:pPr>
      <w:r>
        <w:rPr>
          <w:rFonts w:hint="eastAsia" w:ascii="仿宋" w:hAnsi="仿宋" w:eastAsia="仿宋"/>
          <w:sz w:val="24"/>
          <w:szCs w:val="24"/>
          <w:lang w:val="zh-CN"/>
        </w:rPr>
        <w:t>体检结果</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实现医生用词的统一及规范：专家词条能为体检中心提供汉字零输入的操作便利，并且提供定期词条更新服务。</w:t>
      </w:r>
    </w:p>
    <w:p>
      <w:pPr>
        <w:numPr>
          <w:ilvl w:val="0"/>
          <w:numId w:val="77"/>
        </w:numPr>
        <w:spacing w:line="360" w:lineRule="auto"/>
        <w:jc w:val="both"/>
        <w:rPr>
          <w:rFonts w:ascii="仿宋" w:hAnsi="仿宋" w:eastAsia="仿宋"/>
          <w:sz w:val="24"/>
          <w:szCs w:val="24"/>
          <w:lang w:val="zh-CN"/>
        </w:rPr>
      </w:pPr>
      <w:r>
        <w:rPr>
          <w:rFonts w:hint="eastAsia" w:ascii="仿宋" w:hAnsi="仿宋" w:eastAsia="仿宋"/>
          <w:sz w:val="24"/>
          <w:szCs w:val="24"/>
          <w:lang w:val="zh-CN"/>
        </w:rPr>
        <w:t>疾病建议</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对疾病用通俗易懂语言进行解释，生成带科普说明体检报告，辅助体检者读懂体检报告。</w:t>
      </w:r>
    </w:p>
    <w:p>
      <w:pPr>
        <w:numPr>
          <w:ilvl w:val="0"/>
          <w:numId w:val="77"/>
        </w:numPr>
        <w:spacing w:line="360" w:lineRule="auto"/>
        <w:jc w:val="both"/>
        <w:rPr>
          <w:rFonts w:ascii="仿宋" w:hAnsi="仿宋" w:eastAsia="仿宋"/>
          <w:sz w:val="24"/>
          <w:szCs w:val="24"/>
          <w:lang w:val="zh-CN"/>
        </w:rPr>
      </w:pPr>
      <w:r>
        <w:rPr>
          <w:rFonts w:hint="eastAsia" w:ascii="仿宋" w:hAnsi="仿宋" w:eastAsia="仿宋"/>
          <w:sz w:val="24"/>
          <w:szCs w:val="24"/>
          <w:lang w:val="zh-CN"/>
        </w:rPr>
        <w:t>患者设置</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个人档案的维护及既往病史（既往病史详情、吸烟史、饮酒史、有害因素详情等）的记录。</w:t>
      </w:r>
    </w:p>
    <w:p>
      <w:pPr>
        <w:pStyle w:val="9"/>
        <w:numPr>
          <w:ilvl w:val="0"/>
          <w:numId w:val="0"/>
        </w:numPr>
        <w:spacing w:line="360" w:lineRule="auto"/>
        <w:ind w:left="3"/>
        <w:rPr>
          <w:sz w:val="24"/>
          <w:szCs w:val="24"/>
        </w:rPr>
      </w:pPr>
      <w:r>
        <w:rPr>
          <w:rFonts w:hint="eastAsia"/>
          <w:sz w:val="24"/>
          <w:szCs w:val="24"/>
        </w:rPr>
        <w:t>系统设置</w:t>
      </w:r>
    </w:p>
    <w:p>
      <w:pPr>
        <w:numPr>
          <w:ilvl w:val="0"/>
          <w:numId w:val="78"/>
        </w:numPr>
        <w:spacing w:line="360" w:lineRule="auto"/>
        <w:jc w:val="both"/>
        <w:rPr>
          <w:rFonts w:ascii="仿宋" w:hAnsi="仿宋" w:eastAsia="仿宋"/>
          <w:sz w:val="24"/>
          <w:szCs w:val="24"/>
          <w:lang w:val="zh-CN"/>
        </w:rPr>
      </w:pPr>
      <w:r>
        <w:rPr>
          <w:rFonts w:hint="eastAsia" w:ascii="仿宋" w:hAnsi="仿宋" w:eastAsia="仿宋"/>
          <w:sz w:val="24"/>
          <w:szCs w:val="24"/>
          <w:lang w:val="zh-CN"/>
        </w:rPr>
        <w:t>用户角色、用户设置</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设置护士、医生、总检、收费等人员类型，并分配管理权限。</w:t>
      </w:r>
    </w:p>
    <w:p>
      <w:pPr>
        <w:numPr>
          <w:ilvl w:val="0"/>
          <w:numId w:val="78"/>
        </w:numPr>
        <w:spacing w:line="360" w:lineRule="auto"/>
        <w:jc w:val="both"/>
        <w:rPr>
          <w:rFonts w:ascii="仿宋" w:hAnsi="仿宋" w:eastAsia="仿宋"/>
          <w:sz w:val="24"/>
          <w:szCs w:val="24"/>
          <w:lang w:val="zh-CN"/>
        </w:rPr>
      </w:pPr>
      <w:r>
        <w:rPr>
          <w:rFonts w:hint="eastAsia" w:ascii="仿宋" w:hAnsi="仿宋" w:eastAsia="仿宋"/>
          <w:sz w:val="24"/>
          <w:szCs w:val="24"/>
          <w:lang w:val="zh-CN"/>
        </w:rPr>
        <w:t>医院组</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支持云健康体检（集团、连锁体检健康中心）维护。</w:t>
      </w:r>
    </w:p>
    <w:p>
      <w:pPr>
        <w:numPr>
          <w:ilvl w:val="0"/>
          <w:numId w:val="78"/>
        </w:numPr>
        <w:spacing w:line="360" w:lineRule="auto"/>
        <w:jc w:val="both"/>
        <w:rPr>
          <w:rFonts w:ascii="仿宋" w:hAnsi="仿宋" w:eastAsia="仿宋"/>
          <w:sz w:val="24"/>
          <w:szCs w:val="24"/>
          <w:lang w:val="zh-CN"/>
        </w:rPr>
      </w:pPr>
      <w:r>
        <w:rPr>
          <w:rFonts w:hint="eastAsia" w:ascii="仿宋" w:hAnsi="仿宋" w:eastAsia="仿宋"/>
          <w:sz w:val="24"/>
          <w:szCs w:val="24"/>
          <w:lang w:val="zh-CN"/>
        </w:rPr>
        <w:t>常用语</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非异常结论的常用语维护后，当医生诊台结论完全等于非异常结论的常用语时，小结统一默认未见异常，不取值。</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支持导引单温馨提示在常用语自定义维护。</w:t>
      </w:r>
    </w:p>
    <w:p>
      <w:pPr>
        <w:pStyle w:val="9"/>
        <w:numPr>
          <w:ilvl w:val="0"/>
          <w:numId w:val="0"/>
        </w:numPr>
        <w:spacing w:line="360" w:lineRule="auto"/>
        <w:ind w:left="3"/>
        <w:rPr>
          <w:sz w:val="24"/>
          <w:szCs w:val="24"/>
        </w:rPr>
      </w:pPr>
      <w:r>
        <w:rPr>
          <w:rFonts w:hint="eastAsia"/>
          <w:sz w:val="24"/>
          <w:szCs w:val="24"/>
        </w:rPr>
        <w:t>报表统计</w:t>
      </w:r>
    </w:p>
    <w:p>
      <w:pPr>
        <w:numPr>
          <w:ilvl w:val="0"/>
          <w:numId w:val="79"/>
        </w:numPr>
        <w:spacing w:line="360" w:lineRule="auto"/>
        <w:jc w:val="both"/>
        <w:rPr>
          <w:rFonts w:ascii="仿宋" w:hAnsi="仿宋" w:eastAsia="仿宋"/>
          <w:sz w:val="24"/>
          <w:szCs w:val="24"/>
          <w:lang w:val="zh-CN"/>
        </w:rPr>
      </w:pPr>
      <w:r>
        <w:rPr>
          <w:rFonts w:hint="eastAsia" w:ascii="仿宋" w:hAnsi="仿宋" w:eastAsia="仿宋"/>
          <w:sz w:val="24"/>
          <w:szCs w:val="24"/>
          <w:lang w:val="zh-CN"/>
        </w:rPr>
        <w:t>报表统计</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rPr>
      </w:pPr>
      <w:r>
        <w:rPr>
          <w:rFonts w:hint="eastAsia" w:ascii="仿宋" w:hAnsi="仿宋" w:eastAsia="仿宋"/>
          <w:sz w:val="24"/>
          <w:szCs w:val="24"/>
          <w:lang w:val="zh-CN"/>
        </w:rPr>
        <w:t>提供常见模板报表：</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如未检项目统计、体检人数（按单位、项目、男女、套餐）统计、体检结果查看等。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工作量统计、体检状态统计、人员统计、疾病统计、审核统计等。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单位体检情况统计、疾病/阳性检出统计、团体报告分析。</w:t>
      </w:r>
    </w:p>
    <w:p>
      <w:pPr>
        <w:numPr>
          <w:ilvl w:val="0"/>
          <w:numId w:val="79"/>
        </w:numPr>
        <w:spacing w:line="360" w:lineRule="auto"/>
        <w:jc w:val="both"/>
        <w:rPr>
          <w:rFonts w:ascii="仿宋" w:hAnsi="仿宋" w:eastAsia="仿宋"/>
          <w:sz w:val="24"/>
          <w:szCs w:val="24"/>
          <w:lang w:val="zh-CN"/>
        </w:rPr>
      </w:pPr>
      <w:r>
        <w:rPr>
          <w:rFonts w:hint="eastAsia" w:ascii="仿宋" w:hAnsi="仿宋" w:eastAsia="仿宋"/>
          <w:sz w:val="24"/>
          <w:szCs w:val="24"/>
          <w:lang w:val="zh-CN"/>
        </w:rPr>
        <w:t>检查部位统计</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提供放射、超声检查项目部位数统计分析。</w:t>
      </w:r>
    </w:p>
    <w:p>
      <w:pPr>
        <w:numPr>
          <w:ilvl w:val="0"/>
          <w:numId w:val="79"/>
        </w:numPr>
        <w:spacing w:line="360" w:lineRule="auto"/>
        <w:jc w:val="both"/>
        <w:rPr>
          <w:rFonts w:ascii="仿宋" w:hAnsi="仿宋" w:eastAsia="仿宋"/>
          <w:sz w:val="24"/>
          <w:szCs w:val="24"/>
          <w:lang w:val="zh-CN"/>
        </w:rPr>
      </w:pPr>
      <w:r>
        <w:rPr>
          <w:rFonts w:hint="eastAsia" w:ascii="仿宋" w:hAnsi="仿宋" w:eastAsia="仿宋"/>
          <w:sz w:val="24"/>
          <w:szCs w:val="24"/>
          <w:lang w:val="zh-CN"/>
        </w:rPr>
        <w:t>报表定制</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支持根据医院需求定制体检报告模板。</w:t>
      </w:r>
    </w:p>
    <w:p>
      <w:pPr>
        <w:pStyle w:val="9"/>
        <w:numPr>
          <w:ilvl w:val="0"/>
          <w:numId w:val="0"/>
        </w:numPr>
        <w:spacing w:line="360" w:lineRule="auto"/>
        <w:ind w:left="3"/>
        <w:rPr>
          <w:sz w:val="24"/>
          <w:szCs w:val="24"/>
        </w:rPr>
      </w:pPr>
      <w:r>
        <w:rPr>
          <w:rFonts w:hint="eastAsia"/>
          <w:sz w:val="24"/>
          <w:szCs w:val="24"/>
        </w:rPr>
        <w:t>其它</w:t>
      </w:r>
    </w:p>
    <w:p>
      <w:pPr>
        <w:numPr>
          <w:ilvl w:val="0"/>
          <w:numId w:val="80"/>
        </w:numPr>
        <w:spacing w:line="360" w:lineRule="auto"/>
        <w:jc w:val="both"/>
        <w:rPr>
          <w:rFonts w:ascii="仿宋" w:hAnsi="仿宋" w:eastAsia="仿宋"/>
          <w:sz w:val="24"/>
          <w:szCs w:val="24"/>
          <w:lang w:val="zh-CN"/>
        </w:rPr>
      </w:pPr>
      <w:r>
        <w:rPr>
          <w:rFonts w:hint="eastAsia" w:ascii="仿宋" w:hAnsi="仿宋" w:eastAsia="仿宋"/>
          <w:sz w:val="24"/>
          <w:szCs w:val="24"/>
          <w:lang w:val="zh-CN"/>
        </w:rPr>
        <w:t>集团化</w:t>
      </w:r>
      <w:r>
        <w:rPr>
          <w:rFonts w:hint="eastAsia" w:ascii="仿宋" w:hAnsi="仿宋" w:eastAsia="仿宋"/>
          <w:sz w:val="24"/>
          <w:szCs w:val="24"/>
          <w:lang w:val="zh-CN"/>
        </w:rPr>
        <w:tab/>
      </w:r>
      <w:r>
        <w:rPr>
          <w:rFonts w:hint="eastAsia" w:ascii="仿宋" w:hAnsi="仿宋" w:eastAsia="仿宋"/>
          <w:sz w:val="24"/>
          <w:szCs w:val="24"/>
          <w:lang w:val="zh-CN"/>
        </w:rPr>
        <w:t xml:space="preserve"> </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健康体检支持集团化管理，即支持统一管理又支持个性化配置管理。</w:t>
      </w:r>
    </w:p>
    <w:p>
      <w:pPr>
        <w:numPr>
          <w:ilvl w:val="0"/>
          <w:numId w:val="80"/>
        </w:numPr>
        <w:spacing w:line="360" w:lineRule="auto"/>
        <w:jc w:val="both"/>
        <w:rPr>
          <w:rFonts w:ascii="仿宋" w:hAnsi="仿宋" w:eastAsia="仿宋"/>
          <w:sz w:val="24"/>
          <w:szCs w:val="24"/>
          <w:lang w:val="zh-CN"/>
        </w:rPr>
      </w:pPr>
      <w:r>
        <w:rPr>
          <w:rFonts w:hint="eastAsia" w:ascii="仿宋" w:hAnsi="仿宋" w:eastAsia="仿宋"/>
          <w:sz w:val="24"/>
          <w:szCs w:val="24"/>
          <w:lang w:val="zh-CN"/>
        </w:rPr>
        <w:t>功能菜单</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支持拼音码或者五笔码输入菜单名称快速定位查询。</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支持功能菜单历史搜索功能。</w:t>
      </w:r>
    </w:p>
    <w:p>
      <w:pPr>
        <w:numPr>
          <w:ilvl w:val="0"/>
          <w:numId w:val="80"/>
        </w:numPr>
        <w:spacing w:line="360" w:lineRule="auto"/>
        <w:jc w:val="both"/>
        <w:rPr>
          <w:rFonts w:ascii="仿宋" w:hAnsi="仿宋" w:eastAsia="仿宋"/>
          <w:sz w:val="24"/>
          <w:szCs w:val="24"/>
          <w:lang w:val="zh-CN"/>
        </w:rPr>
      </w:pPr>
      <w:r>
        <w:rPr>
          <w:rFonts w:hint="eastAsia" w:ascii="仿宋" w:hAnsi="仿宋" w:eastAsia="仿宋"/>
          <w:sz w:val="24"/>
          <w:szCs w:val="24"/>
          <w:lang w:val="zh-CN"/>
        </w:rPr>
        <w:t>列表自定义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支持列表显示项根据用户习惯自定义展示所需。</w:t>
      </w:r>
    </w:p>
    <w:p>
      <w:pPr>
        <w:pStyle w:val="8"/>
        <w:rPr>
          <w:lang w:eastAsia="zh-CN"/>
        </w:rPr>
      </w:pPr>
      <w:r>
        <w:rPr>
          <w:lang w:eastAsia="zh-CN"/>
        </w:rPr>
        <w:t xml:space="preserve"> </w:t>
      </w:r>
      <w:r>
        <w:rPr>
          <w:rFonts w:hint="eastAsia"/>
          <w:lang w:eastAsia="zh-CN"/>
        </w:rPr>
        <w:t>OA系统</w:t>
      </w:r>
    </w:p>
    <w:p>
      <w:pPr>
        <w:numPr>
          <w:ilvl w:val="0"/>
          <w:numId w:val="81"/>
        </w:numPr>
        <w:spacing w:line="360" w:lineRule="auto"/>
        <w:jc w:val="both"/>
        <w:rPr>
          <w:rFonts w:ascii="仿宋" w:hAnsi="仿宋" w:eastAsia="仿宋"/>
          <w:sz w:val="24"/>
          <w:szCs w:val="24"/>
          <w:lang w:val="zh-CN"/>
        </w:rPr>
      </w:pPr>
      <w:r>
        <w:rPr>
          <w:rFonts w:hint="eastAsia" w:ascii="仿宋" w:hAnsi="仿宋" w:eastAsia="仿宋"/>
          <w:sz w:val="24"/>
          <w:szCs w:val="24"/>
          <w:lang w:val="zh-CN"/>
        </w:rPr>
        <w:t>门户管理</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公共门户配置、个人门户编辑、指定主页门户、智能门户空间、配置门户权限、自动获取OA办公数据。</w:t>
      </w:r>
    </w:p>
    <w:p>
      <w:pPr>
        <w:numPr>
          <w:ilvl w:val="0"/>
          <w:numId w:val="81"/>
        </w:numPr>
        <w:spacing w:line="360" w:lineRule="auto"/>
        <w:jc w:val="both"/>
        <w:rPr>
          <w:rFonts w:ascii="仿宋" w:hAnsi="仿宋" w:eastAsia="仿宋"/>
          <w:sz w:val="24"/>
          <w:szCs w:val="24"/>
          <w:lang w:val="zh-CN"/>
        </w:rPr>
      </w:pPr>
      <w:r>
        <w:rPr>
          <w:rFonts w:hint="eastAsia" w:ascii="仿宋" w:hAnsi="仿宋" w:eastAsia="仿宋"/>
          <w:sz w:val="24"/>
          <w:szCs w:val="24"/>
          <w:lang w:val="zh-CN"/>
        </w:rPr>
        <w:t>工作流程</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新建流程、我的请求、代办事宜、已办事宜、流程监控、表单模版、定义流程。</w:t>
      </w:r>
    </w:p>
    <w:p>
      <w:pPr>
        <w:numPr>
          <w:ilvl w:val="0"/>
          <w:numId w:val="81"/>
        </w:numPr>
        <w:spacing w:line="360" w:lineRule="auto"/>
        <w:jc w:val="both"/>
        <w:rPr>
          <w:rFonts w:ascii="仿宋" w:hAnsi="仿宋" w:eastAsia="仿宋"/>
          <w:sz w:val="24"/>
          <w:szCs w:val="24"/>
          <w:lang w:val="zh-CN"/>
        </w:rPr>
      </w:pPr>
      <w:r>
        <w:rPr>
          <w:rFonts w:hint="eastAsia" w:ascii="仿宋" w:hAnsi="仿宋" w:eastAsia="仿宋"/>
          <w:sz w:val="24"/>
          <w:szCs w:val="24"/>
          <w:lang w:val="zh-CN"/>
        </w:rPr>
        <w:t>文档中心</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新建文档、我的文档、文档搜索、文档目录设置、编辑模版、其他模块协同、触发提醒。</w:t>
      </w:r>
    </w:p>
    <w:p>
      <w:pPr>
        <w:numPr>
          <w:ilvl w:val="0"/>
          <w:numId w:val="81"/>
        </w:numPr>
        <w:spacing w:line="360" w:lineRule="auto"/>
        <w:jc w:val="both"/>
        <w:rPr>
          <w:rFonts w:ascii="仿宋" w:hAnsi="仿宋" w:eastAsia="仿宋"/>
          <w:sz w:val="24"/>
          <w:szCs w:val="24"/>
          <w:lang w:val="zh-CN"/>
        </w:rPr>
      </w:pPr>
      <w:r>
        <w:rPr>
          <w:rFonts w:hint="eastAsia" w:ascii="仿宋" w:hAnsi="仿宋" w:eastAsia="仿宋"/>
          <w:sz w:val="24"/>
          <w:szCs w:val="24"/>
          <w:lang w:val="zh-CN"/>
        </w:rPr>
        <w:t>档案管理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卷库管理、案卷管理、文件管理、档案销毁、借阅审批、字段设置、借阅申请。</w:t>
      </w:r>
    </w:p>
    <w:p>
      <w:pPr>
        <w:numPr>
          <w:ilvl w:val="0"/>
          <w:numId w:val="81"/>
        </w:numPr>
        <w:spacing w:line="360" w:lineRule="auto"/>
        <w:jc w:val="both"/>
        <w:rPr>
          <w:rFonts w:ascii="仿宋" w:hAnsi="仿宋" w:eastAsia="仿宋"/>
          <w:sz w:val="24"/>
          <w:szCs w:val="24"/>
          <w:lang w:val="zh-CN"/>
        </w:rPr>
      </w:pPr>
      <w:r>
        <w:rPr>
          <w:rFonts w:hint="eastAsia" w:ascii="仿宋" w:hAnsi="仿宋" w:eastAsia="仿宋"/>
          <w:sz w:val="24"/>
          <w:szCs w:val="24"/>
          <w:lang w:val="zh-CN"/>
        </w:rPr>
        <w:t>客户管理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客户信息、新建客户、业务机会、合同信息、产品信息、客户导入导出。</w:t>
      </w:r>
    </w:p>
    <w:p>
      <w:pPr>
        <w:numPr>
          <w:ilvl w:val="0"/>
          <w:numId w:val="81"/>
        </w:numPr>
        <w:spacing w:line="360" w:lineRule="auto"/>
        <w:jc w:val="both"/>
        <w:rPr>
          <w:rFonts w:ascii="仿宋" w:hAnsi="仿宋" w:eastAsia="仿宋"/>
          <w:sz w:val="24"/>
          <w:szCs w:val="24"/>
          <w:lang w:val="zh-CN"/>
        </w:rPr>
      </w:pPr>
      <w:r>
        <w:rPr>
          <w:rFonts w:hint="eastAsia" w:ascii="仿宋" w:hAnsi="仿宋" w:eastAsia="仿宋"/>
          <w:sz w:val="24"/>
          <w:szCs w:val="24"/>
          <w:lang w:val="zh-CN"/>
        </w:rPr>
        <w:t>项目管理</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新建项目、我的项目、项目模板、项目类型、审批权限、监控权限。</w:t>
      </w:r>
    </w:p>
    <w:p>
      <w:pPr>
        <w:numPr>
          <w:ilvl w:val="0"/>
          <w:numId w:val="81"/>
        </w:numPr>
        <w:spacing w:line="360" w:lineRule="auto"/>
        <w:jc w:val="both"/>
        <w:rPr>
          <w:rFonts w:ascii="仿宋" w:hAnsi="仿宋" w:eastAsia="仿宋"/>
          <w:sz w:val="24"/>
          <w:szCs w:val="24"/>
          <w:lang w:val="zh-CN"/>
        </w:rPr>
      </w:pPr>
      <w:r>
        <w:rPr>
          <w:rFonts w:hint="eastAsia" w:ascii="仿宋" w:hAnsi="仿宋" w:eastAsia="仿宋"/>
          <w:sz w:val="24"/>
          <w:szCs w:val="24"/>
          <w:lang w:val="zh-CN"/>
        </w:rPr>
        <w:t>新闻公告</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查看新闻、查看公告、新建新闻、新建公告、新闻分类、公告分类、信息审核。</w:t>
      </w:r>
    </w:p>
    <w:p>
      <w:pPr>
        <w:numPr>
          <w:ilvl w:val="0"/>
          <w:numId w:val="81"/>
        </w:numPr>
        <w:spacing w:line="360" w:lineRule="auto"/>
        <w:jc w:val="both"/>
        <w:rPr>
          <w:rFonts w:ascii="仿宋" w:hAnsi="仿宋" w:eastAsia="仿宋"/>
          <w:sz w:val="24"/>
          <w:szCs w:val="24"/>
          <w:lang w:val="zh-CN"/>
        </w:rPr>
      </w:pPr>
      <w:r>
        <w:rPr>
          <w:rFonts w:hint="eastAsia" w:ascii="仿宋" w:hAnsi="仿宋" w:eastAsia="仿宋"/>
          <w:sz w:val="24"/>
          <w:szCs w:val="24"/>
          <w:lang w:val="zh-CN"/>
        </w:rPr>
        <w:t>短信邮件</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撰写消息、已收消息、已发送消息、待发送消息、消息查询、短信管理、发送短信。</w:t>
      </w:r>
    </w:p>
    <w:p>
      <w:pPr>
        <w:numPr>
          <w:ilvl w:val="0"/>
          <w:numId w:val="81"/>
        </w:numPr>
        <w:spacing w:line="360" w:lineRule="auto"/>
        <w:jc w:val="both"/>
        <w:rPr>
          <w:rFonts w:ascii="仿宋" w:hAnsi="仿宋" w:eastAsia="仿宋"/>
          <w:sz w:val="24"/>
          <w:szCs w:val="24"/>
          <w:lang w:val="zh-CN"/>
        </w:rPr>
      </w:pPr>
      <w:r>
        <w:rPr>
          <w:rFonts w:hint="eastAsia" w:ascii="仿宋" w:hAnsi="仿宋" w:eastAsia="仿宋"/>
          <w:sz w:val="24"/>
          <w:szCs w:val="24"/>
          <w:lang w:val="zh-CN"/>
        </w:rPr>
        <w:t>日程计划</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我的日历、日程管理、计划管理、标签管理。</w:t>
      </w:r>
    </w:p>
    <w:p>
      <w:pPr>
        <w:numPr>
          <w:ilvl w:val="0"/>
          <w:numId w:val="81"/>
        </w:numPr>
        <w:spacing w:line="360" w:lineRule="auto"/>
        <w:jc w:val="both"/>
        <w:rPr>
          <w:rFonts w:ascii="仿宋" w:hAnsi="仿宋" w:eastAsia="仿宋"/>
          <w:sz w:val="24"/>
          <w:szCs w:val="24"/>
          <w:lang w:val="zh-CN"/>
        </w:rPr>
      </w:pPr>
      <w:r>
        <w:rPr>
          <w:rFonts w:hint="eastAsia" w:ascii="仿宋" w:hAnsi="仿宋" w:eastAsia="仿宋"/>
          <w:sz w:val="24"/>
          <w:szCs w:val="24"/>
          <w:lang w:val="zh-CN"/>
        </w:rPr>
        <w:t>微博日志</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我的微博、日志管理、微博报表、关注管理。</w:t>
      </w:r>
    </w:p>
    <w:p>
      <w:pPr>
        <w:numPr>
          <w:ilvl w:val="0"/>
          <w:numId w:val="81"/>
        </w:numPr>
        <w:spacing w:line="360" w:lineRule="auto"/>
        <w:jc w:val="both"/>
        <w:rPr>
          <w:rFonts w:ascii="仿宋" w:hAnsi="仿宋" w:eastAsia="仿宋"/>
          <w:sz w:val="24"/>
          <w:szCs w:val="24"/>
          <w:lang w:val="zh-CN"/>
        </w:rPr>
      </w:pPr>
      <w:r>
        <w:rPr>
          <w:rFonts w:hint="eastAsia" w:ascii="仿宋" w:hAnsi="仿宋" w:eastAsia="仿宋"/>
          <w:sz w:val="24"/>
          <w:szCs w:val="24"/>
          <w:lang w:val="zh-CN"/>
        </w:rPr>
        <w:t>协作管理</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我的协作、新建协作、协作管理。</w:t>
      </w:r>
    </w:p>
    <w:p>
      <w:pPr>
        <w:numPr>
          <w:ilvl w:val="0"/>
          <w:numId w:val="81"/>
        </w:numPr>
        <w:spacing w:line="360" w:lineRule="auto"/>
        <w:jc w:val="both"/>
        <w:rPr>
          <w:rFonts w:ascii="仿宋" w:hAnsi="仿宋" w:eastAsia="仿宋"/>
          <w:sz w:val="24"/>
          <w:szCs w:val="24"/>
          <w:lang w:val="zh-CN"/>
        </w:rPr>
      </w:pPr>
      <w:r>
        <w:rPr>
          <w:rFonts w:hint="eastAsia" w:ascii="仿宋" w:hAnsi="仿宋" w:eastAsia="仿宋"/>
          <w:sz w:val="24"/>
          <w:szCs w:val="24"/>
          <w:lang w:val="zh-CN"/>
        </w:rPr>
        <w:t>绩效考核</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我的考核、考核方案、考核模板、设置考核人、考核统计。</w:t>
      </w:r>
    </w:p>
    <w:p>
      <w:pPr>
        <w:numPr>
          <w:ilvl w:val="0"/>
          <w:numId w:val="81"/>
        </w:numPr>
        <w:spacing w:line="360" w:lineRule="auto"/>
        <w:jc w:val="both"/>
        <w:rPr>
          <w:rFonts w:ascii="仿宋" w:hAnsi="仿宋" w:eastAsia="仿宋"/>
          <w:sz w:val="24"/>
          <w:szCs w:val="24"/>
          <w:lang w:val="zh-CN"/>
        </w:rPr>
      </w:pPr>
      <w:r>
        <w:rPr>
          <w:rFonts w:hint="eastAsia" w:ascii="仿宋" w:hAnsi="仿宋" w:eastAsia="仿宋"/>
          <w:sz w:val="24"/>
          <w:szCs w:val="24"/>
          <w:lang w:val="zh-CN"/>
        </w:rPr>
        <w:t>考勤管理</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我的考勤、考勤信息管理、考勤校验、考勤统计、考勤设置。</w:t>
      </w:r>
    </w:p>
    <w:p>
      <w:pPr>
        <w:numPr>
          <w:ilvl w:val="0"/>
          <w:numId w:val="81"/>
        </w:numPr>
        <w:spacing w:line="360" w:lineRule="auto"/>
        <w:jc w:val="both"/>
        <w:rPr>
          <w:rFonts w:ascii="仿宋" w:hAnsi="仿宋" w:eastAsia="仿宋"/>
          <w:sz w:val="24"/>
          <w:szCs w:val="24"/>
          <w:lang w:val="zh-CN"/>
        </w:rPr>
      </w:pPr>
      <w:r>
        <w:rPr>
          <w:rFonts w:hint="eastAsia" w:ascii="仿宋" w:hAnsi="仿宋" w:eastAsia="仿宋"/>
          <w:sz w:val="24"/>
          <w:szCs w:val="24"/>
          <w:lang w:val="zh-CN"/>
        </w:rPr>
        <w:t>组织查询</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单位信息、部门查询、员工查询、在线人员。</w:t>
      </w:r>
    </w:p>
    <w:p>
      <w:pPr>
        <w:numPr>
          <w:ilvl w:val="0"/>
          <w:numId w:val="81"/>
        </w:numPr>
        <w:spacing w:line="360" w:lineRule="auto"/>
        <w:jc w:val="both"/>
        <w:rPr>
          <w:rFonts w:ascii="仿宋" w:hAnsi="仿宋" w:eastAsia="仿宋"/>
          <w:sz w:val="24"/>
          <w:szCs w:val="24"/>
          <w:lang w:val="zh-CN"/>
        </w:rPr>
      </w:pPr>
      <w:r>
        <w:rPr>
          <w:rFonts w:hint="eastAsia" w:ascii="仿宋" w:hAnsi="仿宋" w:eastAsia="仿宋"/>
          <w:sz w:val="24"/>
          <w:szCs w:val="24"/>
          <w:lang w:val="zh-CN"/>
        </w:rPr>
        <w:t>人事档案</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新建档案、档案查询、人事档案管理。</w:t>
      </w:r>
    </w:p>
    <w:p>
      <w:pPr>
        <w:numPr>
          <w:ilvl w:val="0"/>
          <w:numId w:val="81"/>
        </w:numPr>
        <w:spacing w:line="360" w:lineRule="auto"/>
        <w:jc w:val="both"/>
        <w:rPr>
          <w:rFonts w:ascii="仿宋" w:hAnsi="仿宋" w:eastAsia="仿宋"/>
          <w:sz w:val="24"/>
          <w:szCs w:val="24"/>
          <w:lang w:val="zh-CN"/>
        </w:rPr>
      </w:pPr>
      <w:r>
        <w:rPr>
          <w:rFonts w:hint="eastAsia" w:ascii="仿宋" w:hAnsi="仿宋" w:eastAsia="仿宋"/>
          <w:sz w:val="24"/>
          <w:szCs w:val="24"/>
          <w:lang w:val="zh-CN"/>
        </w:rPr>
        <w:t>通讯录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个人通讯录、公共通讯录、公共通讯录管理。</w:t>
      </w:r>
    </w:p>
    <w:p>
      <w:pPr>
        <w:numPr>
          <w:ilvl w:val="0"/>
          <w:numId w:val="81"/>
        </w:numPr>
        <w:spacing w:line="360" w:lineRule="auto"/>
        <w:jc w:val="both"/>
        <w:rPr>
          <w:rFonts w:ascii="仿宋" w:hAnsi="仿宋" w:eastAsia="仿宋"/>
          <w:sz w:val="24"/>
          <w:szCs w:val="24"/>
          <w:lang w:val="zh-CN"/>
        </w:rPr>
      </w:pPr>
      <w:r>
        <w:rPr>
          <w:rFonts w:hint="eastAsia" w:ascii="仿宋" w:hAnsi="仿宋" w:eastAsia="仿宋"/>
          <w:sz w:val="24"/>
          <w:szCs w:val="24"/>
          <w:lang w:val="zh-CN"/>
        </w:rPr>
        <w:t>投票调查</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参与调查、调查管理、调查表样式。</w:t>
      </w:r>
    </w:p>
    <w:p>
      <w:pPr>
        <w:numPr>
          <w:ilvl w:val="0"/>
          <w:numId w:val="81"/>
        </w:numPr>
        <w:spacing w:line="360" w:lineRule="auto"/>
        <w:jc w:val="both"/>
        <w:rPr>
          <w:rFonts w:ascii="仿宋" w:hAnsi="仿宋" w:eastAsia="仿宋"/>
          <w:sz w:val="24"/>
          <w:szCs w:val="24"/>
          <w:lang w:val="zh-CN"/>
        </w:rPr>
      </w:pPr>
      <w:r>
        <w:rPr>
          <w:rFonts w:hint="eastAsia" w:ascii="仿宋" w:hAnsi="仿宋" w:eastAsia="仿宋"/>
          <w:sz w:val="24"/>
          <w:szCs w:val="24"/>
          <w:lang w:val="zh-CN"/>
        </w:rPr>
        <w:t>会议管理</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会议安排、我的会议、会议审批、会议室、会议室设备。</w:t>
      </w:r>
    </w:p>
    <w:p>
      <w:pPr>
        <w:numPr>
          <w:ilvl w:val="0"/>
          <w:numId w:val="81"/>
        </w:numPr>
        <w:spacing w:line="360" w:lineRule="auto"/>
        <w:jc w:val="both"/>
        <w:rPr>
          <w:rFonts w:ascii="仿宋" w:hAnsi="仿宋" w:eastAsia="仿宋"/>
          <w:sz w:val="24"/>
          <w:szCs w:val="24"/>
          <w:lang w:val="zh-CN"/>
        </w:rPr>
      </w:pPr>
      <w:r>
        <w:rPr>
          <w:rFonts w:hint="eastAsia" w:ascii="仿宋" w:hAnsi="仿宋" w:eastAsia="仿宋"/>
          <w:sz w:val="24"/>
          <w:szCs w:val="24"/>
          <w:lang w:val="zh-CN"/>
        </w:rPr>
        <w:t>用车管理</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用车申请、我的用车、用车审批、车辆管理。</w:t>
      </w:r>
    </w:p>
    <w:p>
      <w:pPr>
        <w:numPr>
          <w:ilvl w:val="0"/>
          <w:numId w:val="81"/>
        </w:numPr>
        <w:spacing w:line="360" w:lineRule="auto"/>
        <w:jc w:val="both"/>
        <w:rPr>
          <w:rFonts w:ascii="仿宋" w:hAnsi="仿宋" w:eastAsia="仿宋"/>
          <w:sz w:val="24"/>
          <w:szCs w:val="24"/>
          <w:lang w:val="zh-CN"/>
        </w:rPr>
      </w:pPr>
      <w:r>
        <w:rPr>
          <w:rFonts w:hint="eastAsia" w:ascii="仿宋" w:hAnsi="仿宋" w:eastAsia="仿宋"/>
          <w:sz w:val="24"/>
          <w:szCs w:val="24"/>
          <w:lang w:val="zh-CN"/>
        </w:rPr>
        <w:t>办公用品</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定义类别、基本资料、入库管理、采购清单、使用申请、申请审批。</w:t>
      </w:r>
    </w:p>
    <w:p>
      <w:pPr>
        <w:numPr>
          <w:ilvl w:val="0"/>
          <w:numId w:val="81"/>
        </w:numPr>
        <w:spacing w:line="360" w:lineRule="auto"/>
        <w:jc w:val="both"/>
        <w:rPr>
          <w:rFonts w:ascii="仿宋" w:hAnsi="仿宋" w:eastAsia="仿宋"/>
          <w:sz w:val="24"/>
          <w:szCs w:val="24"/>
          <w:lang w:val="zh-CN"/>
        </w:rPr>
      </w:pPr>
      <w:r>
        <w:rPr>
          <w:rFonts w:hint="eastAsia" w:ascii="仿宋" w:hAnsi="仿宋" w:eastAsia="仿宋"/>
          <w:sz w:val="24"/>
          <w:szCs w:val="24"/>
          <w:lang w:val="zh-CN"/>
        </w:rPr>
        <w:t>固定资产</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资产参数设置、固定资产管理、固定资产折旧、固定资产查询。</w:t>
      </w:r>
    </w:p>
    <w:p>
      <w:pPr>
        <w:numPr>
          <w:ilvl w:val="0"/>
          <w:numId w:val="81"/>
        </w:numPr>
        <w:spacing w:line="360" w:lineRule="auto"/>
        <w:jc w:val="both"/>
        <w:rPr>
          <w:rFonts w:ascii="仿宋" w:hAnsi="仿宋" w:eastAsia="仿宋"/>
          <w:sz w:val="24"/>
          <w:szCs w:val="24"/>
          <w:lang w:val="zh-CN"/>
        </w:rPr>
      </w:pPr>
      <w:r>
        <w:rPr>
          <w:rFonts w:hint="eastAsia" w:ascii="仿宋" w:hAnsi="仿宋" w:eastAsia="仿宋"/>
          <w:sz w:val="24"/>
          <w:szCs w:val="24"/>
          <w:lang w:val="zh-CN"/>
        </w:rPr>
        <w:t>图书信息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图书类别定义、图书信息录入管理、图书借阅归还管理、图书查询。</w:t>
      </w:r>
    </w:p>
    <w:p>
      <w:pPr>
        <w:numPr>
          <w:ilvl w:val="0"/>
          <w:numId w:val="81"/>
        </w:numPr>
        <w:spacing w:line="360" w:lineRule="auto"/>
        <w:jc w:val="both"/>
        <w:rPr>
          <w:rFonts w:ascii="仿宋" w:hAnsi="仿宋" w:eastAsia="仿宋"/>
          <w:sz w:val="24"/>
          <w:szCs w:val="24"/>
          <w:lang w:val="zh-CN"/>
        </w:rPr>
      </w:pPr>
      <w:r>
        <w:rPr>
          <w:rFonts w:hint="eastAsia" w:ascii="仿宋" w:hAnsi="仿宋" w:eastAsia="仿宋"/>
          <w:sz w:val="24"/>
          <w:szCs w:val="24"/>
          <w:lang w:val="zh-CN"/>
        </w:rPr>
        <w:t>相册管理</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相册管理、新建相册、查看相册、查询相册。</w:t>
      </w:r>
    </w:p>
    <w:p>
      <w:pPr>
        <w:numPr>
          <w:ilvl w:val="0"/>
          <w:numId w:val="81"/>
        </w:numPr>
        <w:spacing w:line="360" w:lineRule="auto"/>
        <w:jc w:val="both"/>
        <w:rPr>
          <w:rFonts w:ascii="仿宋" w:hAnsi="仿宋" w:eastAsia="仿宋"/>
          <w:sz w:val="24"/>
          <w:szCs w:val="24"/>
          <w:lang w:val="zh-CN"/>
        </w:rPr>
      </w:pPr>
      <w:r>
        <w:rPr>
          <w:rFonts w:hint="eastAsia" w:ascii="仿宋" w:hAnsi="仿宋" w:eastAsia="仿宋"/>
          <w:sz w:val="24"/>
          <w:szCs w:val="24"/>
          <w:lang w:val="zh-CN"/>
        </w:rPr>
        <w:t>报表管理</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标签管理、数据源管理、新建报表、报表管理、查看报表。</w:t>
      </w:r>
    </w:p>
    <w:p>
      <w:pPr>
        <w:numPr>
          <w:ilvl w:val="0"/>
          <w:numId w:val="81"/>
        </w:numPr>
        <w:spacing w:line="360" w:lineRule="auto"/>
        <w:jc w:val="both"/>
        <w:rPr>
          <w:rFonts w:ascii="仿宋" w:hAnsi="仿宋" w:eastAsia="仿宋"/>
          <w:sz w:val="24"/>
          <w:szCs w:val="24"/>
          <w:lang w:val="zh-CN"/>
        </w:rPr>
      </w:pPr>
      <w:r>
        <w:rPr>
          <w:rFonts w:hint="eastAsia" w:ascii="仿宋" w:hAnsi="仿宋" w:eastAsia="仿宋"/>
          <w:sz w:val="24"/>
          <w:szCs w:val="24"/>
          <w:lang w:val="zh-CN"/>
        </w:rPr>
        <w:t>系统管理</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单位管理、部门管理、用户管理、角色管理、菜单配置、门户设置、提醒设置、系统邮箱设置。</w:t>
      </w:r>
    </w:p>
    <w:p>
      <w:pPr>
        <w:numPr>
          <w:ilvl w:val="0"/>
          <w:numId w:val="81"/>
        </w:numPr>
        <w:spacing w:line="360" w:lineRule="auto"/>
        <w:jc w:val="both"/>
        <w:rPr>
          <w:rFonts w:ascii="仿宋" w:hAnsi="仿宋" w:eastAsia="仿宋"/>
          <w:sz w:val="24"/>
          <w:szCs w:val="24"/>
          <w:lang w:val="zh-CN"/>
        </w:rPr>
      </w:pPr>
      <w:r>
        <w:rPr>
          <w:rFonts w:hint="eastAsia" w:ascii="仿宋" w:hAnsi="仿宋" w:eastAsia="仿宋"/>
          <w:sz w:val="24"/>
          <w:szCs w:val="24"/>
          <w:lang w:val="zh-CN"/>
        </w:rPr>
        <w:t>个性设置</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自定义菜单、定义用户组、快捷运行、个人资料、修改密码、其他设置、外部系统账户。</w:t>
      </w:r>
    </w:p>
    <w:p>
      <w:pPr>
        <w:numPr>
          <w:ilvl w:val="0"/>
          <w:numId w:val="81"/>
        </w:numPr>
        <w:spacing w:line="360" w:lineRule="auto"/>
        <w:jc w:val="both"/>
        <w:rPr>
          <w:rFonts w:ascii="仿宋" w:hAnsi="仿宋" w:eastAsia="仿宋"/>
          <w:sz w:val="24"/>
          <w:szCs w:val="24"/>
          <w:lang w:val="zh-CN"/>
        </w:rPr>
      </w:pPr>
      <w:r>
        <w:rPr>
          <w:rFonts w:hint="eastAsia" w:ascii="仿宋" w:hAnsi="仿宋" w:eastAsia="仿宋"/>
          <w:sz w:val="24"/>
          <w:szCs w:val="24"/>
          <w:lang w:val="zh-CN"/>
        </w:rPr>
        <w:t>其他应用</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自动签到、登录云平台、功能向导、配置向导、更换主题、常用主菜单、常用功能菜单、Html编辑器协同OA、集成接口。</w:t>
      </w:r>
    </w:p>
    <w:p>
      <w:pPr>
        <w:pStyle w:val="8"/>
        <w:rPr>
          <w:lang w:eastAsia="zh-CN"/>
        </w:rPr>
      </w:pPr>
      <w:r>
        <w:rPr>
          <w:rFonts w:hint="eastAsia"/>
          <w:lang w:eastAsia="zh-CN"/>
        </w:rPr>
        <w:t>血透管理系统</w:t>
      </w:r>
    </w:p>
    <w:p>
      <w:pPr>
        <w:pStyle w:val="9"/>
        <w:numPr>
          <w:ilvl w:val="0"/>
          <w:numId w:val="0"/>
        </w:numPr>
        <w:spacing w:line="360" w:lineRule="auto"/>
        <w:ind w:left="3"/>
        <w:rPr>
          <w:sz w:val="24"/>
          <w:szCs w:val="24"/>
          <w:lang w:eastAsia="zh-CN"/>
        </w:rPr>
      </w:pPr>
      <w:r>
        <w:rPr>
          <w:rFonts w:hint="eastAsia"/>
          <w:sz w:val="24"/>
          <w:szCs w:val="24"/>
          <w:lang w:eastAsia="zh-CN"/>
        </w:rPr>
        <w:t>医生工作站</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患者基本信息：支持患者照片、医保卡、身份证等各种有效证件的拍照上传；支持患者医疗信息、疾病诊断、住院信息、转归信息的编辑及查询。</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医嘱管理：系统满足透析间期及透析过程中不同用药的分开设计，满足国家数据上报网的需求；同时满足各种患者不同用药周期的个性化设置；支持个性化患者化验周期设置，并给予提醒。</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透析治疗方案：1、支持透析方案模板设置，方便患者透析方案快速添加；2、同种治疗模式下的不同抗凝方案的设置；3、超滤参数，满足引血保留，回血用盐水具体剂量等个性化方案的设置，超滤上限的设置等。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定期化验：系统支持患者任意周期化验设置；支持全科患者统计按sop标准设置化验周期；化验内容有独立模块显示，方便医生查询及做调整、删除等编辑。</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医疗文书：病历首页，系统支持生成sop标准首页，无需医护填写；支持入院记录编辑；病程记录，支持任意时间的选择，系统根据选择时间段给予发生透析事件、透析用药、透析治疗信息等提示，方便医生编辑个性化病程；治疗小结，治疗结束后，系统自动根据治疗信息生成治疗小结，并支持编辑修改功能；知情同意书，支持模板选择，支持编辑修改。</w:t>
      </w:r>
    </w:p>
    <w:p>
      <w:pPr>
        <w:pStyle w:val="9"/>
        <w:numPr>
          <w:ilvl w:val="0"/>
          <w:numId w:val="0"/>
        </w:numPr>
        <w:spacing w:line="360" w:lineRule="auto"/>
        <w:ind w:left="3"/>
        <w:rPr>
          <w:sz w:val="24"/>
          <w:szCs w:val="24"/>
        </w:rPr>
      </w:pPr>
      <w:r>
        <w:rPr>
          <w:rFonts w:hint="eastAsia"/>
          <w:sz w:val="24"/>
          <w:szCs w:val="24"/>
        </w:rPr>
        <w:t>护士工作站</w:t>
      </w:r>
    </w:p>
    <w:p>
      <w:pPr>
        <w:numPr>
          <w:ilvl w:val="0"/>
          <w:numId w:val="82"/>
        </w:numPr>
        <w:spacing w:line="360" w:lineRule="auto"/>
        <w:jc w:val="both"/>
        <w:rPr>
          <w:rFonts w:ascii="仿宋" w:hAnsi="仿宋" w:eastAsia="仿宋"/>
          <w:sz w:val="24"/>
          <w:szCs w:val="24"/>
          <w:lang w:val="zh-CN"/>
        </w:rPr>
      </w:pPr>
      <w:r>
        <w:rPr>
          <w:rFonts w:hint="eastAsia" w:ascii="仿宋" w:hAnsi="仿宋" w:eastAsia="仿宋"/>
          <w:sz w:val="24"/>
          <w:szCs w:val="24"/>
          <w:lang w:val="zh-CN"/>
        </w:rPr>
        <w:t>班次透前准备</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根据医生开立的透析处方和患者的排床记录，系统支持自动生成透析前药品和耗材清单，帮助护士核对患者的治疗用药信息和准备透析用耗材。</w:t>
      </w:r>
    </w:p>
    <w:p>
      <w:pPr>
        <w:numPr>
          <w:ilvl w:val="0"/>
          <w:numId w:val="82"/>
        </w:numPr>
        <w:spacing w:line="360" w:lineRule="auto"/>
        <w:jc w:val="both"/>
        <w:rPr>
          <w:rFonts w:ascii="仿宋" w:hAnsi="仿宋" w:eastAsia="仿宋"/>
          <w:sz w:val="24"/>
          <w:szCs w:val="24"/>
          <w:lang w:val="zh-CN"/>
        </w:rPr>
      </w:pPr>
      <w:r>
        <w:rPr>
          <w:rFonts w:hint="eastAsia" w:ascii="仿宋" w:hAnsi="仿宋" w:eastAsia="仿宋"/>
          <w:sz w:val="24"/>
          <w:szCs w:val="24"/>
          <w:lang w:val="zh-CN"/>
        </w:rPr>
        <w:t>患者宣教</w:t>
      </w:r>
    </w:p>
    <w:p>
      <w:pPr>
        <w:spacing w:line="360" w:lineRule="auto"/>
        <w:ind w:firstLine="480"/>
        <w:rPr>
          <w:rFonts w:ascii="仿宋" w:hAnsi="仿宋" w:eastAsia="仿宋"/>
          <w:sz w:val="24"/>
          <w:szCs w:val="24"/>
          <w:lang w:val="zh-CN"/>
        </w:rPr>
      </w:pPr>
      <w:r>
        <w:rPr>
          <w:rFonts w:hint="eastAsia" w:ascii="仿宋" w:hAnsi="仿宋" w:eastAsia="仿宋"/>
          <w:sz w:val="24"/>
          <w:szCs w:val="24"/>
          <w:lang w:val="zh-CN" w:eastAsia="zh-CN"/>
        </w:rPr>
        <w:t>患者宣教模块，护士在移动端收到护士长定期推送宣教内容，并根据患者接受情况给予宣教评价。</w:t>
      </w:r>
      <w:r>
        <w:rPr>
          <w:rFonts w:hint="eastAsia" w:ascii="仿宋" w:hAnsi="仿宋" w:eastAsia="仿宋"/>
          <w:sz w:val="24"/>
          <w:szCs w:val="24"/>
          <w:lang w:val="zh-CN"/>
        </w:rPr>
        <w:t>支持宣教历史的查询。</w:t>
      </w:r>
    </w:p>
    <w:p>
      <w:pPr>
        <w:numPr>
          <w:ilvl w:val="0"/>
          <w:numId w:val="82"/>
        </w:numPr>
        <w:spacing w:line="360" w:lineRule="auto"/>
        <w:jc w:val="both"/>
        <w:rPr>
          <w:rFonts w:ascii="仿宋" w:hAnsi="仿宋" w:eastAsia="仿宋"/>
          <w:sz w:val="24"/>
          <w:szCs w:val="24"/>
          <w:lang w:val="zh-CN"/>
        </w:rPr>
      </w:pPr>
      <w:r>
        <w:rPr>
          <w:rFonts w:hint="eastAsia" w:ascii="仿宋" w:hAnsi="仿宋" w:eastAsia="仿宋"/>
          <w:sz w:val="24"/>
          <w:szCs w:val="24"/>
          <w:lang w:val="zh-CN"/>
        </w:rPr>
        <w:t>定期评估</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支持护士对患者进行坠床评估、跌倒评估、导管评估，流行病学调查评估，压疮风险等各种评估，支持各种评估表单的打印。</w:t>
      </w:r>
    </w:p>
    <w:p>
      <w:pPr>
        <w:numPr>
          <w:ilvl w:val="0"/>
          <w:numId w:val="82"/>
        </w:numPr>
        <w:spacing w:line="360" w:lineRule="auto"/>
        <w:jc w:val="both"/>
        <w:rPr>
          <w:rFonts w:ascii="仿宋" w:hAnsi="仿宋" w:eastAsia="仿宋"/>
          <w:sz w:val="24"/>
          <w:szCs w:val="24"/>
          <w:lang w:val="zh-CN"/>
        </w:rPr>
      </w:pPr>
      <w:r>
        <w:rPr>
          <w:rFonts w:hint="eastAsia" w:ascii="仿宋" w:hAnsi="仿宋" w:eastAsia="仿宋"/>
          <w:sz w:val="24"/>
          <w:szCs w:val="24"/>
          <w:lang w:val="zh-CN"/>
        </w:rPr>
        <w:t>交班看板</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支持护士交班功能，包括：透析人次，血液滤过人次，住院人次等，并支持根据急性并发症进行筛选进行任意交班；支持护士手动录入编辑补充交班内容。</w:t>
      </w:r>
    </w:p>
    <w:p>
      <w:pPr>
        <w:numPr>
          <w:ilvl w:val="0"/>
          <w:numId w:val="82"/>
        </w:numPr>
        <w:spacing w:line="360" w:lineRule="auto"/>
        <w:jc w:val="both"/>
        <w:rPr>
          <w:rFonts w:ascii="仿宋" w:hAnsi="仿宋" w:eastAsia="仿宋"/>
          <w:sz w:val="24"/>
          <w:szCs w:val="24"/>
          <w:lang w:val="zh-CN"/>
        </w:rPr>
      </w:pPr>
      <w:r>
        <w:rPr>
          <w:rFonts w:hint="eastAsia" w:ascii="仿宋" w:hAnsi="仿宋" w:eastAsia="仿宋"/>
          <w:sz w:val="24"/>
          <w:szCs w:val="24"/>
          <w:lang w:val="zh-CN"/>
        </w:rPr>
        <w:t>透析治疗</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患者进入治疗厅后，护士在移动端进行护士确认处方、护士透前评估、交叉核对、透析治疗及护理、透后称量、透后评价、设备及空气消毒，8个治疗流程环节。各种治疗支持护士在平板端操作，同时支持护士在电脑端操作。</w:t>
      </w:r>
    </w:p>
    <w:p>
      <w:pPr>
        <w:numPr>
          <w:ilvl w:val="0"/>
          <w:numId w:val="82"/>
        </w:numPr>
        <w:spacing w:line="360" w:lineRule="auto"/>
        <w:jc w:val="both"/>
        <w:rPr>
          <w:rFonts w:ascii="仿宋" w:hAnsi="仿宋" w:eastAsia="仿宋"/>
          <w:sz w:val="24"/>
          <w:szCs w:val="24"/>
          <w:lang w:val="zh-CN"/>
        </w:rPr>
      </w:pPr>
      <w:r>
        <w:rPr>
          <w:rFonts w:hint="eastAsia" w:ascii="仿宋" w:hAnsi="仿宋" w:eastAsia="仿宋"/>
          <w:sz w:val="24"/>
          <w:szCs w:val="24"/>
          <w:lang w:val="zh-CN"/>
        </w:rPr>
        <w:t>透析记录单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护士可以查询患者任意时间段记录单，并支持打印。</w:t>
      </w:r>
    </w:p>
    <w:p>
      <w:pPr>
        <w:numPr>
          <w:ilvl w:val="0"/>
          <w:numId w:val="82"/>
        </w:numPr>
        <w:spacing w:line="360" w:lineRule="auto"/>
        <w:jc w:val="both"/>
        <w:rPr>
          <w:rFonts w:ascii="仿宋" w:hAnsi="仿宋" w:eastAsia="仿宋"/>
          <w:sz w:val="24"/>
          <w:szCs w:val="24"/>
          <w:lang w:val="zh-CN"/>
        </w:rPr>
      </w:pPr>
      <w:r>
        <w:rPr>
          <w:rFonts w:hint="eastAsia" w:ascii="仿宋" w:hAnsi="仿宋" w:eastAsia="仿宋"/>
          <w:sz w:val="24"/>
          <w:szCs w:val="24"/>
          <w:lang w:val="zh-CN"/>
        </w:rPr>
        <w:t>临时医嘱单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护士可以查询任意班次，任意区域患者用药医嘱，并支持打印。</w:t>
      </w:r>
    </w:p>
    <w:p>
      <w:pPr>
        <w:pStyle w:val="9"/>
        <w:numPr>
          <w:ilvl w:val="0"/>
          <w:numId w:val="0"/>
        </w:numPr>
        <w:spacing w:line="360" w:lineRule="auto"/>
        <w:ind w:left="3"/>
        <w:rPr>
          <w:sz w:val="24"/>
          <w:szCs w:val="24"/>
        </w:rPr>
      </w:pPr>
      <w:r>
        <w:rPr>
          <w:rFonts w:hint="eastAsia"/>
          <w:sz w:val="24"/>
          <w:szCs w:val="24"/>
        </w:rPr>
        <w:t>智能排班</w:t>
      </w:r>
    </w:p>
    <w:p>
      <w:pPr>
        <w:numPr>
          <w:ilvl w:val="0"/>
          <w:numId w:val="83"/>
        </w:numPr>
        <w:spacing w:line="360" w:lineRule="auto"/>
        <w:jc w:val="both"/>
        <w:rPr>
          <w:rFonts w:ascii="仿宋" w:hAnsi="仿宋" w:eastAsia="仿宋"/>
          <w:sz w:val="24"/>
          <w:szCs w:val="24"/>
          <w:lang w:val="zh-CN"/>
        </w:rPr>
      </w:pPr>
      <w:r>
        <w:rPr>
          <w:rFonts w:hint="eastAsia" w:ascii="仿宋" w:hAnsi="仿宋" w:eastAsia="仿宋"/>
          <w:sz w:val="24"/>
          <w:szCs w:val="24"/>
          <w:lang w:val="zh-CN"/>
        </w:rPr>
        <w:t>智能排床</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系统支持自动智能排床，并提供手动排床增删查询功能。透析排床可根据单双周自动生成。满足患者传染病、床位护理操作优势侧、透析设备可进行治疗模式等条件的设置。系统支持月排班，支持根据医嘱管理医生设置血液滤过或者血液灌流的周期，自动进行血液滤过、血液灌流的排床。支持任意时间段的排班查询。支持周排班的打印。</w:t>
      </w:r>
    </w:p>
    <w:p>
      <w:pPr>
        <w:numPr>
          <w:ilvl w:val="0"/>
          <w:numId w:val="83"/>
        </w:numPr>
        <w:spacing w:line="360" w:lineRule="auto"/>
        <w:jc w:val="both"/>
        <w:rPr>
          <w:rFonts w:ascii="仿宋" w:hAnsi="仿宋" w:eastAsia="仿宋"/>
          <w:sz w:val="24"/>
          <w:szCs w:val="24"/>
          <w:lang w:val="zh-CN"/>
        </w:rPr>
      </w:pPr>
      <w:r>
        <w:rPr>
          <w:rFonts w:hint="eastAsia" w:ascii="仿宋" w:hAnsi="仿宋" w:eastAsia="仿宋"/>
          <w:sz w:val="24"/>
          <w:szCs w:val="24"/>
          <w:lang w:val="zh-CN"/>
        </w:rPr>
        <w:t>排床显示</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当患者排班周期与医生方案不一致时，系统给予不同颜色提醒。排班界面医护可以根据区域，排班班次任意切换所需要的排班页面。</w:t>
      </w:r>
    </w:p>
    <w:p>
      <w:pPr>
        <w:numPr>
          <w:ilvl w:val="0"/>
          <w:numId w:val="83"/>
        </w:numPr>
        <w:spacing w:line="360" w:lineRule="auto"/>
        <w:jc w:val="both"/>
        <w:rPr>
          <w:rFonts w:ascii="仿宋" w:hAnsi="仿宋" w:eastAsia="仿宋"/>
          <w:sz w:val="24"/>
          <w:szCs w:val="24"/>
          <w:lang w:val="zh-CN"/>
        </w:rPr>
      </w:pPr>
      <w:r>
        <w:rPr>
          <w:rFonts w:hint="eastAsia" w:ascii="仿宋" w:hAnsi="仿宋" w:eastAsia="仿宋"/>
          <w:sz w:val="24"/>
          <w:szCs w:val="24"/>
          <w:lang w:val="zh-CN"/>
        </w:rPr>
        <w:t>快速排床</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当录入患者排班规则后，系统将自动为患者进行两周排班。</w:t>
      </w:r>
    </w:p>
    <w:p>
      <w:pPr>
        <w:numPr>
          <w:ilvl w:val="0"/>
          <w:numId w:val="83"/>
        </w:numPr>
        <w:spacing w:line="360" w:lineRule="auto"/>
        <w:jc w:val="both"/>
        <w:rPr>
          <w:rFonts w:ascii="仿宋" w:hAnsi="仿宋" w:eastAsia="仿宋"/>
          <w:sz w:val="24"/>
          <w:szCs w:val="24"/>
          <w:lang w:val="zh-CN"/>
        </w:rPr>
      </w:pPr>
      <w:r>
        <w:rPr>
          <w:rFonts w:hint="eastAsia" w:ascii="仿宋" w:hAnsi="仿宋" w:eastAsia="仿宋"/>
          <w:sz w:val="24"/>
          <w:szCs w:val="24"/>
          <w:lang w:val="zh-CN"/>
        </w:rPr>
        <w:t>血滤灌流排班显示</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系统支持以月排形式展示患者本月血液滤过、血液灌流的排班显示，并支持显示全科患者未排数量，已排数量，未治疗数量，已治疗数量，方便排班护士一键查询。</w:t>
      </w:r>
    </w:p>
    <w:p>
      <w:pPr>
        <w:numPr>
          <w:ilvl w:val="0"/>
          <w:numId w:val="83"/>
        </w:numPr>
        <w:spacing w:line="360" w:lineRule="auto"/>
        <w:jc w:val="both"/>
        <w:rPr>
          <w:rFonts w:ascii="仿宋" w:hAnsi="仿宋" w:eastAsia="仿宋"/>
          <w:sz w:val="24"/>
          <w:szCs w:val="24"/>
          <w:lang w:val="zh-CN"/>
        </w:rPr>
      </w:pPr>
      <w:r>
        <w:rPr>
          <w:rFonts w:hint="eastAsia" w:ascii="仿宋" w:hAnsi="仿宋" w:eastAsia="仿宋"/>
          <w:sz w:val="24"/>
          <w:szCs w:val="24"/>
          <w:lang w:val="zh-CN"/>
        </w:rPr>
        <w:t>每日排班</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支持未透析日排班的模式，透析器等信息查询，支持换床操作，并支持任意班次的打印，打印内容包含患者姓名，治疗床位，治疗模式，透析器型号，并进行透析器耗材的统计，方便医护进行查询。</w:t>
      </w:r>
    </w:p>
    <w:p>
      <w:pPr>
        <w:pStyle w:val="9"/>
        <w:numPr>
          <w:ilvl w:val="0"/>
          <w:numId w:val="0"/>
        </w:numPr>
        <w:spacing w:line="360" w:lineRule="auto"/>
        <w:ind w:left="3"/>
        <w:rPr>
          <w:sz w:val="24"/>
          <w:szCs w:val="24"/>
          <w:lang w:eastAsia="zh-CN"/>
        </w:rPr>
      </w:pPr>
      <w:r>
        <w:rPr>
          <w:rFonts w:hint="eastAsia"/>
          <w:sz w:val="24"/>
          <w:szCs w:val="24"/>
          <w:lang w:eastAsia="zh-CN"/>
        </w:rPr>
        <w:t>护士长工作站</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支持医护信息档案如身份证、资格证、执业证等信息录入保存。</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支持医生、护士排班，排班需关联患者排班，方便精准排班；支持查看不同出勤周期的医护上班、夜班等信息，可以复制上周排班，支持班次不动，人员互换的需求；满足排班数据的统计功能。</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支持对呼叫模板的个性化设置，满足护士治疗室对医生、患者或者家属一键进行呼叫功能。</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支持评估计划的设置，支持对评估项目、评估周期，评估时间计评估人员的自定义设置。</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支持护士长自定义设置健康宣教内容、健康宣教形式，宣教执行时间等信息，护士在移动端可以直接接受护士长制定的健康宣教计划，并满足统计护士完成率及患者理解情况。</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支持工作量统计，支持护士、医生、健康宣教等各种工作量的统计。支持对各种评估的统计。</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支持对异常结束的记录单的处理，支持对记录单的修改，修改记录单支持关联库存机费用，同时支持修记录改记录单的原因，根据患者信息或者修改人员并进行修改统计查询。</w:t>
      </w:r>
    </w:p>
    <w:p>
      <w:pPr>
        <w:pStyle w:val="9"/>
        <w:numPr>
          <w:ilvl w:val="0"/>
          <w:numId w:val="0"/>
        </w:numPr>
        <w:spacing w:line="360" w:lineRule="auto"/>
        <w:ind w:left="3"/>
        <w:rPr>
          <w:sz w:val="24"/>
          <w:szCs w:val="24"/>
          <w:lang w:eastAsia="zh-CN"/>
        </w:rPr>
      </w:pPr>
      <w:r>
        <w:rPr>
          <w:rFonts w:hint="eastAsia"/>
          <w:sz w:val="24"/>
          <w:szCs w:val="24"/>
          <w:lang w:eastAsia="zh-CN"/>
        </w:rPr>
        <w:t>工程师工作站</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支持对科室透析设备有详细信息，包括名称、品牌、型号、序列号、购买日期、使用日期等。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支持工程师移动端快捷的记录透析机和水处理设备的各压力点记录、日常运行检测记录、维修、消毒、报废、细菌、透析机成分检测参数校对和水处理化学污染物信息。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支持水处理消毒及保安滤器更换周期的提醒功能。</w:t>
      </w:r>
    </w:p>
    <w:p>
      <w:pPr>
        <w:pStyle w:val="9"/>
        <w:numPr>
          <w:ilvl w:val="0"/>
          <w:numId w:val="0"/>
        </w:numPr>
        <w:spacing w:line="360" w:lineRule="auto"/>
        <w:ind w:left="3"/>
        <w:rPr>
          <w:sz w:val="24"/>
          <w:szCs w:val="24"/>
          <w:lang w:eastAsia="zh-CN"/>
        </w:rPr>
      </w:pPr>
      <w:r>
        <w:rPr>
          <w:rFonts w:hint="eastAsia"/>
          <w:sz w:val="24"/>
          <w:szCs w:val="24"/>
          <w:lang w:eastAsia="zh-CN"/>
        </w:rPr>
        <w:t>感控员工作站</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系统支持根据《血液净化标准操作规程》2021版微生物检测的设置标准；科室自定义检查物表面积，空间面积，系统自动计算需要检测的样本数量；支持透析用水细菌、内毒素、物表监测、空气培养等院感监测指标有自动统计样本数量，自动统计合格率等功能；支持在一个界面显示内容，方便感控查询及检查。</w:t>
      </w:r>
    </w:p>
    <w:p>
      <w:pPr>
        <w:pStyle w:val="9"/>
        <w:numPr>
          <w:ilvl w:val="0"/>
          <w:numId w:val="0"/>
        </w:numPr>
        <w:spacing w:line="360" w:lineRule="auto"/>
        <w:ind w:left="3"/>
        <w:rPr>
          <w:sz w:val="24"/>
          <w:szCs w:val="24"/>
        </w:rPr>
      </w:pPr>
      <w:r>
        <w:rPr>
          <w:rFonts w:cs="Arial" w:asciiTheme="minorEastAsia" w:hAnsiTheme="minorEastAsia"/>
          <w:b/>
          <w:bCs/>
          <w:sz w:val="24"/>
          <w:szCs w:val="24"/>
        </w:rPr>
        <w:t>★</w:t>
      </w:r>
      <w:r>
        <w:rPr>
          <w:rFonts w:hint="eastAsia"/>
          <w:sz w:val="24"/>
          <w:szCs w:val="24"/>
        </w:rPr>
        <w:t>管理者工作站</w:t>
      </w:r>
    </w:p>
    <w:p>
      <w:pPr>
        <w:numPr>
          <w:ilvl w:val="0"/>
          <w:numId w:val="84"/>
        </w:numPr>
        <w:spacing w:line="360" w:lineRule="auto"/>
        <w:jc w:val="both"/>
        <w:rPr>
          <w:rFonts w:ascii="仿宋" w:hAnsi="仿宋" w:eastAsia="仿宋"/>
          <w:sz w:val="24"/>
          <w:szCs w:val="24"/>
          <w:lang w:val="zh-CN"/>
        </w:rPr>
      </w:pPr>
      <w:r>
        <w:rPr>
          <w:rFonts w:hint="eastAsia" w:ascii="仿宋" w:hAnsi="仿宋" w:eastAsia="仿宋"/>
          <w:sz w:val="24"/>
          <w:szCs w:val="24"/>
          <w:lang w:val="zh-CN"/>
        </w:rPr>
        <w:t>医疗质控指标</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过程指标:1.血红蛋白检测完成率；2.血液生化检测完成率；3.血清铁蛋白检测完成率；4.转铁蛋白饱和度检测完成率；5.全段甲状旁腺激素检测完成率；6.</w:t>
      </w:r>
      <w:r>
        <w:rPr>
          <w:rFonts w:hint="eastAsia" w:ascii="仿宋" w:hAnsi="仿宋" w:eastAsia="仿宋"/>
          <w:sz w:val="24"/>
          <w:szCs w:val="24"/>
          <w:lang w:val="zh-CN"/>
        </w:rPr>
        <w:t>β</w:t>
      </w:r>
      <w:r>
        <w:rPr>
          <w:rFonts w:hint="eastAsia" w:ascii="仿宋" w:hAnsi="仿宋" w:eastAsia="仿宋"/>
          <w:sz w:val="24"/>
          <w:szCs w:val="24"/>
          <w:lang w:val="zh-CN" w:eastAsia="zh-CN"/>
        </w:rPr>
        <w:t>2微球蛋白检测完成率；7.胸腹片检测完成率；8.血清前白蛋白检测完成率；9.C反应蛋白检测完成率；10.血碱性磷酸酶质控。</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结果指标:1.高血压控制率；2.肾性血控制率；3.血钙控制率；4.血磷控制率；5.甲状旁腺激素控制率；6.血淸白蛋白控制率；7.Kt/V和URR控制率；8.透析间期体重增长控制率。</w:t>
      </w:r>
    </w:p>
    <w:p>
      <w:pPr>
        <w:numPr>
          <w:ilvl w:val="0"/>
          <w:numId w:val="84"/>
        </w:numPr>
        <w:spacing w:line="360" w:lineRule="auto"/>
        <w:jc w:val="both"/>
        <w:rPr>
          <w:rFonts w:ascii="仿宋" w:hAnsi="仿宋" w:eastAsia="仿宋"/>
          <w:sz w:val="24"/>
          <w:szCs w:val="24"/>
          <w:lang w:val="zh-CN"/>
        </w:rPr>
      </w:pPr>
      <w:r>
        <w:rPr>
          <w:rFonts w:hint="eastAsia" w:ascii="仿宋" w:hAnsi="仿宋" w:eastAsia="仿宋"/>
          <w:sz w:val="24"/>
          <w:szCs w:val="24"/>
          <w:lang w:val="zh-CN"/>
        </w:rPr>
        <w:t>护理质控指标</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过程指标:1.护患比执行率；2.基础护理执行率；3.透析操作同质化执行率；4透析室空气消毒执行率；5.透析机内部消毒执行率；6.透析机表面擦拭消毒执行率；7.透析室空气消毒执行率。</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结果指标:1.目标超滤和透析时间达标率；2.透析中急性并发症发生率；3.体外循环凝血发生率；4.体外循环失血发生率；5.假性动脉瘤发生率；6.透析患者跌倒发生率；7.KtV达标率；8.门诊透析患者急诊透析率；9.内瘘并发症发生率。</w:t>
      </w:r>
    </w:p>
    <w:p>
      <w:pPr>
        <w:numPr>
          <w:ilvl w:val="0"/>
          <w:numId w:val="84"/>
        </w:numPr>
        <w:spacing w:line="360" w:lineRule="auto"/>
        <w:jc w:val="both"/>
        <w:rPr>
          <w:rFonts w:ascii="仿宋" w:hAnsi="仿宋" w:eastAsia="仿宋"/>
          <w:sz w:val="24"/>
          <w:szCs w:val="24"/>
          <w:lang w:val="zh-CN"/>
        </w:rPr>
      </w:pPr>
      <w:r>
        <w:rPr>
          <w:rFonts w:hint="eastAsia" w:ascii="仿宋" w:hAnsi="仿宋" w:eastAsia="仿宋"/>
          <w:sz w:val="24"/>
          <w:szCs w:val="24"/>
          <w:lang w:val="zh-CN"/>
        </w:rPr>
        <w:t>医学工程</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过程指标：1水处理系统运行监测执行率；2.总氯(水处理活性炭罐出水口)监测执行率；3.硬度(水处理树脂罐岀水口)监测执行率；4.水处理系统保安过滤器更换完成率；5.水处理系统消毒执行率；6.水处理技术参数校准完成率；7.化学污染物(水处理回水口)检测执行率；8.血液透析(滤过)机技术参数校准完成率；9.滤芯更换完成率；10.配液桶消毒执行率；11.透析液成分监测完成率；12.血液透析(滤过)机过滤器更换完成率。</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结果指标：1.水处理系统运行参数合格率；2.总氯(水处理活性炭罐出水口)合格率；3.硬度(水处理树脂罐出水口)合格率；4.设备故障率。</w:t>
      </w:r>
    </w:p>
    <w:p>
      <w:pPr>
        <w:numPr>
          <w:ilvl w:val="0"/>
          <w:numId w:val="84"/>
        </w:numPr>
        <w:spacing w:line="360" w:lineRule="auto"/>
        <w:jc w:val="both"/>
        <w:rPr>
          <w:rFonts w:ascii="仿宋" w:hAnsi="仿宋" w:eastAsia="仿宋"/>
          <w:sz w:val="24"/>
          <w:szCs w:val="24"/>
          <w:lang w:val="zh-CN"/>
        </w:rPr>
      </w:pPr>
      <w:r>
        <w:rPr>
          <w:rFonts w:hint="eastAsia" w:ascii="仿宋" w:hAnsi="仿宋" w:eastAsia="仿宋"/>
          <w:sz w:val="24"/>
          <w:szCs w:val="24"/>
          <w:lang w:val="zh-CN"/>
        </w:rPr>
        <w:t>感染控制</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过程指标：1.透析用水微生物污染检验执行率；2.手卫生依从性执行率；3.手卫生执行率；4.物表消毒执行率；5.空气消毒执行率。</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结果指标：1.医务人员手卫生监测合格率；2.透析用水微生物监测合格率；3.透析液微生物监测合格率；4.浓缩透析液(碳酸氢盐)微生物监测合格率；5.透析治疗室消毒合格率。</w:t>
      </w:r>
    </w:p>
    <w:p>
      <w:pPr>
        <w:numPr>
          <w:ilvl w:val="0"/>
          <w:numId w:val="84"/>
        </w:numPr>
        <w:spacing w:line="360" w:lineRule="auto"/>
        <w:jc w:val="both"/>
        <w:rPr>
          <w:rFonts w:ascii="仿宋" w:hAnsi="仿宋" w:eastAsia="仿宋"/>
          <w:sz w:val="24"/>
          <w:szCs w:val="24"/>
          <w:lang w:val="zh-CN"/>
        </w:rPr>
      </w:pPr>
      <w:r>
        <w:rPr>
          <w:rFonts w:hint="eastAsia" w:ascii="仿宋" w:hAnsi="仿宋" w:eastAsia="仿宋"/>
          <w:sz w:val="24"/>
          <w:szCs w:val="24"/>
          <w:lang w:val="zh-CN"/>
        </w:rPr>
        <w:t>传染疾病质控</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过程指标：1.新入透析患者传染病学指标完成率(1)HBV(2)HCV(3)梅毒螺旋体(4)HIV；2.维持性血液透析患者传染病学指标完成率(1)HBV(2)HCV(3) 梅毒螺旋体</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结果指标：1.新增乙型肝炎和丙型肝炎的发病率。</w:t>
      </w:r>
    </w:p>
    <w:p>
      <w:pPr>
        <w:numPr>
          <w:ilvl w:val="0"/>
          <w:numId w:val="84"/>
        </w:numPr>
        <w:spacing w:line="360" w:lineRule="auto"/>
        <w:jc w:val="both"/>
        <w:rPr>
          <w:rFonts w:ascii="仿宋" w:hAnsi="仿宋" w:eastAsia="仿宋"/>
          <w:sz w:val="24"/>
          <w:szCs w:val="24"/>
          <w:lang w:val="zh-CN"/>
        </w:rPr>
      </w:pPr>
      <w:r>
        <w:rPr>
          <w:rFonts w:hint="eastAsia" w:ascii="仿宋" w:hAnsi="仿宋" w:eastAsia="仿宋"/>
          <w:sz w:val="24"/>
          <w:szCs w:val="24"/>
          <w:lang w:val="zh-CN"/>
        </w:rPr>
        <w:t>血管通路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支持维持性、新入透析患者各种血管通路占比情况查看；不同类型的血管通路的不同使用年限的有效通畅期统计。</w:t>
      </w:r>
    </w:p>
    <w:p>
      <w:pPr>
        <w:pStyle w:val="9"/>
        <w:numPr>
          <w:ilvl w:val="0"/>
          <w:numId w:val="0"/>
        </w:numPr>
        <w:spacing w:line="360" w:lineRule="auto"/>
        <w:ind w:left="3"/>
        <w:rPr>
          <w:sz w:val="24"/>
          <w:szCs w:val="24"/>
          <w:lang w:eastAsia="zh-CN"/>
        </w:rPr>
      </w:pPr>
      <w:r>
        <w:rPr>
          <w:rFonts w:hint="eastAsia"/>
          <w:sz w:val="24"/>
          <w:szCs w:val="24"/>
          <w:lang w:eastAsia="zh-CN"/>
        </w:rPr>
        <w:t>费用功能</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系统支持患者透析过程中使用的耗材及护士护理所产生的费用，自动进行日费用，月费用等计费汇总；并满足查询患者在某一段时间内透析所产生的费用明细。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满足医保报表生成，报表内容包括治疗时间、治疗模式、治疗耗材、治疗药品的直接打印，费用的直接显示，方便医保结算功能。</w:t>
      </w:r>
    </w:p>
    <w:p>
      <w:pPr>
        <w:pStyle w:val="9"/>
        <w:numPr>
          <w:ilvl w:val="0"/>
          <w:numId w:val="0"/>
        </w:numPr>
        <w:spacing w:line="360" w:lineRule="auto"/>
        <w:ind w:left="3"/>
        <w:rPr>
          <w:sz w:val="24"/>
          <w:szCs w:val="24"/>
          <w:lang w:eastAsia="zh-CN"/>
        </w:rPr>
      </w:pPr>
      <w:r>
        <w:rPr>
          <w:rFonts w:hint="eastAsia"/>
          <w:sz w:val="24"/>
          <w:szCs w:val="24"/>
          <w:lang w:eastAsia="zh-CN"/>
        </w:rPr>
        <w:t>数据上报</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支持与现有全国血液透析质控上报中心系统进行对接，满足患者基本信息、化验数据、治疗信息的上报。满足科室全自动上报形式。</w:t>
      </w:r>
    </w:p>
    <w:p>
      <w:pPr>
        <w:pStyle w:val="9"/>
        <w:numPr>
          <w:ilvl w:val="0"/>
          <w:numId w:val="0"/>
        </w:numPr>
        <w:spacing w:line="360" w:lineRule="auto"/>
        <w:ind w:left="3"/>
        <w:rPr>
          <w:sz w:val="24"/>
          <w:szCs w:val="24"/>
          <w:lang w:eastAsia="zh-CN"/>
        </w:rPr>
      </w:pPr>
      <w:r>
        <w:rPr>
          <w:rFonts w:hint="eastAsia"/>
          <w:sz w:val="24"/>
          <w:szCs w:val="24"/>
          <w:lang w:eastAsia="zh-CN"/>
        </w:rPr>
        <w:t>数据统计</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提供多种报表和数据的统计分析。包含以下报表：</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1.患者信息统计</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2.并发症信息统计</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3.透析用药统计</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4.透析耗材统计</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5.血透室化验检查统计</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6.透析例次统计</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7.通路类型统计</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8.患者转归统计</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9.医疗费用统计</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10.促红素用量分析统计</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11.血流量统计</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12.患者异常下机统计</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13.治疗方案统计</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14.患者治疗信息统计</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15．自定义多个条件的查询。</w:t>
      </w:r>
    </w:p>
    <w:p>
      <w:pPr>
        <w:pStyle w:val="9"/>
        <w:numPr>
          <w:ilvl w:val="0"/>
          <w:numId w:val="0"/>
        </w:numPr>
        <w:spacing w:line="360" w:lineRule="auto"/>
        <w:ind w:left="3"/>
        <w:rPr>
          <w:sz w:val="24"/>
          <w:szCs w:val="24"/>
          <w:lang w:eastAsia="zh-CN"/>
        </w:rPr>
      </w:pPr>
      <w:r>
        <w:rPr>
          <w:rFonts w:cs="Arial" w:asciiTheme="minorEastAsia" w:hAnsiTheme="minorEastAsia"/>
          <w:b/>
          <w:bCs/>
          <w:sz w:val="24"/>
          <w:szCs w:val="24"/>
          <w:lang w:eastAsia="zh-CN"/>
        </w:rPr>
        <w:t>★</w:t>
      </w:r>
      <w:r>
        <w:rPr>
          <w:rFonts w:hint="eastAsia"/>
          <w:sz w:val="24"/>
          <w:szCs w:val="24"/>
          <w:lang w:eastAsia="zh-CN"/>
        </w:rPr>
        <w:t>智能提醒功能</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系统支持医生、技师等工作的分级提醒控制，如患者干体重的自定义周期的提醒，水处理消毒，保安滤器更换的定期提醒等；并满足手动添加具体提醒人员及信息内容。</w:t>
      </w:r>
    </w:p>
    <w:p>
      <w:pPr>
        <w:pStyle w:val="9"/>
        <w:numPr>
          <w:ilvl w:val="0"/>
          <w:numId w:val="0"/>
        </w:numPr>
        <w:spacing w:line="360" w:lineRule="auto"/>
        <w:ind w:left="3"/>
        <w:rPr>
          <w:sz w:val="24"/>
          <w:szCs w:val="24"/>
          <w:lang w:eastAsia="zh-CN"/>
        </w:rPr>
      </w:pPr>
      <w:r>
        <w:rPr>
          <w:rFonts w:hint="eastAsia"/>
          <w:sz w:val="24"/>
          <w:szCs w:val="24"/>
          <w:lang w:eastAsia="zh-CN"/>
        </w:rPr>
        <w:t>联机功能</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与血透室具备联机条件的透析机（威高日机装、贝朗、尼普罗、金宝、费森等所有主流品牌透析机）联机。满足采集的参数及时间自定义设置；采集项目包括：血流量、静脉压、跨膜压、超滤量、超滤率、电导度、透析液流量，血压（透析机带有血压模块），心率等。</w:t>
      </w:r>
    </w:p>
    <w:p>
      <w:pPr>
        <w:pStyle w:val="9"/>
        <w:numPr>
          <w:ilvl w:val="0"/>
          <w:numId w:val="0"/>
        </w:numPr>
        <w:spacing w:line="360" w:lineRule="auto"/>
        <w:ind w:left="3"/>
        <w:rPr>
          <w:sz w:val="24"/>
          <w:szCs w:val="24"/>
          <w:lang w:eastAsia="zh-CN"/>
        </w:rPr>
      </w:pPr>
      <w:r>
        <w:rPr>
          <w:rFonts w:hint="eastAsia"/>
          <w:sz w:val="24"/>
          <w:szCs w:val="24"/>
          <w:lang w:eastAsia="zh-CN"/>
        </w:rPr>
        <w:t>权限化管理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系统支持科室自定义设置各种岗位，并根据不同岗位分配不同工作内容，方便科室各项工作的管理。</w:t>
      </w:r>
    </w:p>
    <w:p>
      <w:pPr>
        <w:pStyle w:val="8"/>
        <w:rPr>
          <w:lang w:eastAsia="zh-CN"/>
        </w:rPr>
      </w:pPr>
      <w:r>
        <w:rPr>
          <w:rFonts w:hint="eastAsia"/>
          <w:lang w:eastAsia="zh-CN"/>
        </w:rPr>
        <w:t>供应室管理系统</w:t>
      </w:r>
    </w:p>
    <w:p>
      <w:pPr>
        <w:pStyle w:val="9"/>
        <w:numPr>
          <w:ilvl w:val="0"/>
          <w:numId w:val="0"/>
        </w:numPr>
        <w:spacing w:line="360" w:lineRule="auto"/>
        <w:ind w:left="3"/>
        <w:rPr>
          <w:sz w:val="24"/>
          <w:szCs w:val="24"/>
          <w:lang w:eastAsia="zh-CN"/>
        </w:rPr>
      </w:pPr>
      <w:r>
        <w:rPr>
          <w:rFonts w:hint="eastAsia"/>
          <w:sz w:val="24"/>
          <w:szCs w:val="24"/>
          <w:lang w:eastAsia="zh-CN"/>
        </w:rPr>
        <w:t>医疗包、一次卫材申请管理模块</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临床、医技等科室通过该模块可以申请普通卫材（包类）和一次卫生材料（按批次），可以实时查找统计本科室历史申领数据，便于科室成本控制，亦利于科室月末对账。</w:t>
      </w:r>
    </w:p>
    <w:p>
      <w:pPr>
        <w:pStyle w:val="9"/>
        <w:numPr>
          <w:ilvl w:val="0"/>
          <w:numId w:val="0"/>
        </w:numPr>
        <w:spacing w:line="360" w:lineRule="auto"/>
        <w:ind w:left="3"/>
        <w:rPr>
          <w:sz w:val="24"/>
          <w:szCs w:val="24"/>
          <w:lang w:eastAsia="zh-CN"/>
        </w:rPr>
      </w:pPr>
      <w:r>
        <w:rPr>
          <w:rFonts w:hint="eastAsia"/>
          <w:sz w:val="24"/>
          <w:szCs w:val="24"/>
          <w:lang w:eastAsia="zh-CN"/>
        </w:rPr>
        <w:t>储存发放模块</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供应中心根据各临床、医技等科室上报的数据打印发放明细清单。（相关科室自动汇总，方便装车及回收）。</w:t>
      </w:r>
    </w:p>
    <w:p>
      <w:pPr>
        <w:pStyle w:val="9"/>
        <w:numPr>
          <w:ilvl w:val="0"/>
          <w:numId w:val="0"/>
        </w:numPr>
        <w:spacing w:line="360" w:lineRule="auto"/>
        <w:ind w:left="3"/>
        <w:rPr>
          <w:sz w:val="24"/>
          <w:szCs w:val="24"/>
          <w:lang w:eastAsia="zh-CN"/>
        </w:rPr>
      </w:pPr>
      <w:r>
        <w:rPr>
          <w:rFonts w:hint="eastAsia"/>
          <w:sz w:val="24"/>
          <w:szCs w:val="24"/>
          <w:lang w:eastAsia="zh-CN"/>
        </w:rPr>
        <w:t>回收清洗模块</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系统可根据发放单集中回收，也可手工回收；系统支持手工清洗和机器自动清洗管理。</w:t>
      </w:r>
    </w:p>
    <w:p>
      <w:pPr>
        <w:pStyle w:val="9"/>
        <w:numPr>
          <w:ilvl w:val="0"/>
          <w:numId w:val="0"/>
        </w:numPr>
        <w:spacing w:line="360" w:lineRule="auto"/>
        <w:rPr>
          <w:sz w:val="24"/>
          <w:szCs w:val="24"/>
          <w:lang w:eastAsia="zh-CN"/>
        </w:rPr>
      </w:pPr>
      <w:r>
        <w:rPr>
          <w:rFonts w:hint="eastAsia"/>
          <w:sz w:val="24"/>
          <w:szCs w:val="24"/>
          <w:lang w:eastAsia="zh-CN"/>
        </w:rPr>
        <w:t xml:space="preserve">包装灭菌管理模块 </w:t>
      </w:r>
      <w:r>
        <w:rPr>
          <w:rFonts w:hint="eastAsia"/>
          <w:sz w:val="24"/>
          <w:szCs w:val="24"/>
          <w:lang w:eastAsia="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标签电脑打印方便快捷，减少手工书写麻烦。</w:t>
      </w:r>
    </w:p>
    <w:p>
      <w:pPr>
        <w:pStyle w:val="9"/>
        <w:numPr>
          <w:ilvl w:val="0"/>
          <w:numId w:val="0"/>
        </w:numPr>
        <w:spacing w:line="360" w:lineRule="auto"/>
        <w:ind w:left="3"/>
        <w:rPr>
          <w:sz w:val="24"/>
          <w:szCs w:val="24"/>
          <w:lang w:eastAsia="zh-CN"/>
        </w:rPr>
      </w:pPr>
      <w:r>
        <w:rPr>
          <w:rFonts w:hint="eastAsia"/>
          <w:sz w:val="24"/>
          <w:szCs w:val="24"/>
          <w:lang w:eastAsia="zh-CN"/>
        </w:rPr>
        <w:t>统计汇总模块</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该模块可以实现全院普通卫材（包类、辅料等）按日期、科室、物品，数量、金额明细、汇总统计；可以实现一次卫材按日期、科室、物品，批次、数量、金额明细、汇总统计，为各科室成本核算提供准确及时数据。工作量统计，可以统计工作人员在某段时间内的工作量情况，以便科室人员的管理。</w:t>
      </w:r>
    </w:p>
    <w:p>
      <w:pPr>
        <w:pStyle w:val="9"/>
        <w:numPr>
          <w:ilvl w:val="0"/>
          <w:numId w:val="0"/>
        </w:numPr>
        <w:spacing w:line="360" w:lineRule="auto"/>
        <w:ind w:left="3"/>
        <w:rPr>
          <w:sz w:val="24"/>
          <w:szCs w:val="24"/>
          <w:lang w:eastAsia="zh-CN"/>
        </w:rPr>
      </w:pPr>
      <w:r>
        <w:rPr>
          <w:rFonts w:hint="eastAsia"/>
          <w:sz w:val="24"/>
          <w:szCs w:val="24"/>
          <w:lang w:eastAsia="zh-CN"/>
        </w:rPr>
        <w:t>过期包提示</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过期的医疗包，系统会提示，并要求消毒供应中心做出相应的处理，即回收回来重新清洗消毒灭菌。</w:t>
      </w:r>
    </w:p>
    <w:p>
      <w:pPr>
        <w:pStyle w:val="9"/>
        <w:numPr>
          <w:ilvl w:val="0"/>
          <w:numId w:val="0"/>
        </w:numPr>
        <w:spacing w:line="360" w:lineRule="auto"/>
        <w:ind w:left="3"/>
        <w:rPr>
          <w:sz w:val="24"/>
          <w:szCs w:val="24"/>
          <w:lang w:eastAsia="zh-CN"/>
        </w:rPr>
      </w:pPr>
      <w:r>
        <w:rPr>
          <w:rFonts w:hint="eastAsia"/>
          <w:sz w:val="24"/>
          <w:szCs w:val="24"/>
          <w:lang w:eastAsia="zh-CN"/>
        </w:rPr>
        <w:t>外来器械质量管理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给定义外来器械包的名称，并对该器械包定义器械包内物资，然后完成外来器械包的回收、清洗消毒、灭菌、发放与病人使用的整个流程的跟踪。</w:t>
      </w:r>
    </w:p>
    <w:p>
      <w:pPr>
        <w:pStyle w:val="9"/>
        <w:numPr>
          <w:ilvl w:val="0"/>
          <w:numId w:val="0"/>
        </w:numPr>
        <w:spacing w:line="360" w:lineRule="auto"/>
        <w:ind w:left="3"/>
        <w:rPr>
          <w:sz w:val="24"/>
          <w:szCs w:val="24"/>
          <w:lang w:eastAsia="zh-CN"/>
        </w:rPr>
      </w:pPr>
      <w:r>
        <w:rPr>
          <w:rFonts w:hint="eastAsia"/>
          <w:sz w:val="24"/>
          <w:szCs w:val="24"/>
          <w:lang w:eastAsia="zh-CN"/>
        </w:rPr>
        <w:t>相关记录模块</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相关记录（清洗回收、灭菌、包装、质控等等）电脑登记、打印快速方便。</w:t>
      </w:r>
    </w:p>
    <w:p>
      <w:pPr>
        <w:pStyle w:val="9"/>
        <w:numPr>
          <w:ilvl w:val="0"/>
          <w:numId w:val="0"/>
        </w:numPr>
        <w:spacing w:line="360" w:lineRule="auto"/>
        <w:ind w:left="3"/>
        <w:rPr>
          <w:sz w:val="24"/>
          <w:szCs w:val="24"/>
          <w:lang w:eastAsia="zh-CN"/>
        </w:rPr>
      </w:pPr>
      <w:r>
        <w:rPr>
          <w:rFonts w:hint="eastAsia"/>
          <w:sz w:val="24"/>
          <w:szCs w:val="24"/>
          <w:lang w:eastAsia="zh-CN"/>
        </w:rPr>
        <w:t>基础资料、系统设置模块</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该模块为整个管理系统提供相关基础资料和系统参数的设置。</w:t>
      </w:r>
    </w:p>
    <w:p>
      <w:pPr>
        <w:pStyle w:val="8"/>
        <w:rPr>
          <w:lang w:eastAsia="zh-CN"/>
        </w:rPr>
      </w:pPr>
      <w:r>
        <w:rPr>
          <w:rFonts w:hint="eastAsia"/>
          <w:lang w:eastAsia="zh-CN"/>
        </w:rPr>
        <w:t>排队叫号系统</w:t>
      </w:r>
    </w:p>
    <w:p>
      <w:pPr>
        <w:pStyle w:val="9"/>
        <w:numPr>
          <w:ilvl w:val="0"/>
          <w:numId w:val="0"/>
        </w:numPr>
        <w:spacing w:line="360" w:lineRule="auto"/>
        <w:ind w:left="3"/>
        <w:rPr>
          <w:sz w:val="24"/>
          <w:szCs w:val="24"/>
        </w:rPr>
      </w:pPr>
      <w:r>
        <w:rPr>
          <w:rFonts w:hint="eastAsia"/>
          <w:sz w:val="24"/>
          <w:szCs w:val="24"/>
        </w:rPr>
        <w:t>诊间队列信息显示</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显示登录医生、排队队列及当前叫号的信息</w:t>
      </w:r>
    </w:p>
    <w:p>
      <w:pPr>
        <w:pStyle w:val="9"/>
        <w:numPr>
          <w:ilvl w:val="0"/>
          <w:numId w:val="0"/>
        </w:numPr>
        <w:spacing w:line="360" w:lineRule="auto"/>
        <w:ind w:left="3"/>
        <w:rPr>
          <w:sz w:val="24"/>
          <w:szCs w:val="24"/>
          <w:lang w:eastAsia="zh-CN"/>
        </w:rPr>
      </w:pPr>
      <w:r>
        <w:rPr>
          <w:rFonts w:hint="eastAsia"/>
          <w:sz w:val="24"/>
          <w:szCs w:val="24"/>
          <w:lang w:eastAsia="zh-CN"/>
        </w:rPr>
        <w:t>虚拟叫号器</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登录当前医生账户后，可呼叫待诊患者排队号</w:t>
      </w:r>
    </w:p>
    <w:p>
      <w:pPr>
        <w:pStyle w:val="9"/>
        <w:numPr>
          <w:ilvl w:val="0"/>
          <w:numId w:val="0"/>
        </w:numPr>
        <w:spacing w:line="360" w:lineRule="auto"/>
        <w:ind w:left="3"/>
        <w:rPr>
          <w:sz w:val="24"/>
          <w:szCs w:val="24"/>
        </w:rPr>
      </w:pPr>
      <w:r>
        <w:rPr>
          <w:rFonts w:hint="eastAsia"/>
          <w:sz w:val="24"/>
          <w:szCs w:val="24"/>
        </w:rPr>
        <w:t>后台管理系统</w:t>
      </w:r>
    </w:p>
    <w:p>
      <w:pPr>
        <w:numPr>
          <w:ilvl w:val="0"/>
          <w:numId w:val="85"/>
        </w:numPr>
        <w:spacing w:line="360" w:lineRule="auto"/>
        <w:jc w:val="both"/>
        <w:rPr>
          <w:rFonts w:ascii="仿宋" w:hAnsi="仿宋" w:eastAsia="仿宋"/>
          <w:sz w:val="24"/>
          <w:szCs w:val="24"/>
          <w:lang w:val="zh-CN"/>
        </w:rPr>
      </w:pPr>
      <w:r>
        <w:rPr>
          <w:rFonts w:hint="eastAsia" w:ascii="仿宋" w:hAnsi="仿宋" w:eastAsia="仿宋"/>
          <w:sz w:val="24"/>
          <w:szCs w:val="24"/>
          <w:lang w:val="zh-CN"/>
        </w:rPr>
        <w:t>终端管理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叫号器和队列屏终端的添加、删除、配置，以及壁挂屏-叫号器的关联信息。</w:t>
      </w:r>
    </w:p>
    <w:p>
      <w:pPr>
        <w:numPr>
          <w:ilvl w:val="0"/>
          <w:numId w:val="85"/>
        </w:numPr>
        <w:spacing w:line="360" w:lineRule="auto"/>
        <w:jc w:val="both"/>
        <w:rPr>
          <w:rFonts w:ascii="仿宋" w:hAnsi="仿宋" w:eastAsia="仿宋"/>
          <w:sz w:val="24"/>
          <w:szCs w:val="24"/>
          <w:lang w:val="zh-CN"/>
        </w:rPr>
      </w:pPr>
      <w:r>
        <w:rPr>
          <w:rFonts w:hint="eastAsia" w:ascii="仿宋" w:hAnsi="仿宋" w:eastAsia="仿宋"/>
          <w:sz w:val="24"/>
          <w:szCs w:val="24"/>
          <w:lang w:val="zh-CN"/>
        </w:rPr>
        <w:t>用户管理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后台管理账户添加、修改、删除。</w:t>
      </w:r>
    </w:p>
    <w:p>
      <w:pPr>
        <w:numPr>
          <w:ilvl w:val="0"/>
          <w:numId w:val="85"/>
        </w:numPr>
        <w:spacing w:line="360" w:lineRule="auto"/>
        <w:jc w:val="both"/>
        <w:rPr>
          <w:rFonts w:ascii="仿宋" w:hAnsi="仿宋" w:eastAsia="仿宋"/>
          <w:sz w:val="24"/>
          <w:szCs w:val="24"/>
          <w:lang w:val="zh-CN"/>
        </w:rPr>
      </w:pPr>
      <w:r>
        <w:rPr>
          <w:rFonts w:hint="eastAsia" w:ascii="仿宋" w:hAnsi="仿宋" w:eastAsia="仿宋"/>
          <w:sz w:val="24"/>
          <w:szCs w:val="24"/>
          <w:lang w:val="zh-CN"/>
        </w:rPr>
        <w:t>信息维护</w:t>
      </w:r>
    </w:p>
    <w:p>
      <w:pPr>
        <w:spacing w:line="360" w:lineRule="auto"/>
        <w:ind w:firstLine="480"/>
        <w:rPr>
          <w:rFonts w:ascii="仿宋" w:hAnsi="仿宋" w:eastAsia="仿宋"/>
          <w:sz w:val="24"/>
          <w:szCs w:val="24"/>
          <w:lang w:val="zh-CN"/>
        </w:rPr>
      </w:pPr>
      <w:r>
        <w:rPr>
          <w:rFonts w:hint="eastAsia" w:ascii="仿宋" w:hAnsi="仿宋" w:eastAsia="仿宋"/>
          <w:sz w:val="24"/>
          <w:szCs w:val="24"/>
          <w:lang w:val="zh-CN"/>
        </w:rPr>
        <w:t>医生、科室信息维护。</w:t>
      </w:r>
    </w:p>
    <w:p>
      <w:pPr>
        <w:numPr>
          <w:ilvl w:val="0"/>
          <w:numId w:val="85"/>
        </w:numPr>
        <w:spacing w:line="360" w:lineRule="auto"/>
        <w:jc w:val="both"/>
        <w:rPr>
          <w:rFonts w:ascii="仿宋" w:hAnsi="仿宋" w:eastAsia="仿宋"/>
          <w:sz w:val="24"/>
          <w:szCs w:val="24"/>
          <w:lang w:val="zh-CN"/>
        </w:rPr>
      </w:pPr>
      <w:r>
        <w:rPr>
          <w:rFonts w:hint="eastAsia" w:ascii="仿宋" w:hAnsi="仿宋" w:eastAsia="仿宋"/>
          <w:sz w:val="24"/>
          <w:szCs w:val="24"/>
          <w:lang w:val="zh-CN"/>
        </w:rPr>
        <w:t>系统接口</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各子系统间的通讯接口。</w:t>
      </w:r>
    </w:p>
    <w:p>
      <w:pPr>
        <w:pStyle w:val="8"/>
        <w:rPr>
          <w:lang w:eastAsia="zh-CN"/>
        </w:rPr>
      </w:pPr>
      <w:r>
        <w:rPr>
          <w:rFonts w:hint="eastAsia"/>
          <w:lang w:eastAsia="zh-CN"/>
        </w:rPr>
        <w:t>自助服务系统</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自助服务系统为患者提供功能全面、操作简单明了的自助服务，能有效减少患者排队等候时间，提高医生、护士的服务效率。系统功能覆盖患者门诊就医全流程：挂号预约、缴费结算、信息查询、报告打印、日清单打印等，满足自动化、自主化的需求。</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自助机支持医保卡、就诊卡、医保电子凭证、电子健康卡等身份识别介质，支持医保结算、银行卡支付等，同时也支持扫码二维条码取报告。患者进行身份识别登录后等，就可以进行自助挂号、自助缴费、自助打印、查看医院信息、健康档案、学习健康知识等操作。</w:t>
      </w:r>
    </w:p>
    <w:p>
      <w:pPr>
        <w:pStyle w:val="9"/>
        <w:numPr>
          <w:ilvl w:val="0"/>
          <w:numId w:val="0"/>
        </w:numPr>
        <w:spacing w:line="360" w:lineRule="auto"/>
        <w:ind w:left="3"/>
        <w:rPr>
          <w:sz w:val="24"/>
          <w:szCs w:val="24"/>
          <w:lang w:eastAsia="zh-CN"/>
        </w:rPr>
      </w:pPr>
      <w:r>
        <w:rPr>
          <w:rFonts w:hint="eastAsia"/>
          <w:sz w:val="24"/>
          <w:szCs w:val="24"/>
          <w:lang w:eastAsia="zh-CN"/>
        </w:rPr>
        <w:t>当日挂号</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患者可在自助上现场挂号，免去窗口挂号排队等候的时间，在读卡识别身份后先选择科室、医生，然后进行支付，可以使用医保结算或第三方支付方式支付，挂号完成后取挂号小票作为排队的凭证。</w:t>
      </w:r>
    </w:p>
    <w:p>
      <w:pPr>
        <w:pStyle w:val="9"/>
        <w:numPr>
          <w:ilvl w:val="0"/>
          <w:numId w:val="0"/>
        </w:numPr>
        <w:spacing w:line="360" w:lineRule="auto"/>
        <w:ind w:left="3"/>
        <w:rPr>
          <w:sz w:val="24"/>
          <w:szCs w:val="24"/>
          <w:lang w:eastAsia="zh-CN"/>
        </w:rPr>
      </w:pPr>
      <w:r>
        <w:rPr>
          <w:rFonts w:hint="eastAsia"/>
          <w:sz w:val="24"/>
          <w:szCs w:val="24"/>
          <w:lang w:eastAsia="zh-CN"/>
        </w:rPr>
        <w:t>预约挂号</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患者可根据医院排班情况、预约号源情况，实时查询医生、科室、排班等信息，并直接在自助机上完成挂号预约。进行预约挂号后，预约当天可再到医院自助机直接进行取号。</w:t>
      </w:r>
    </w:p>
    <w:p>
      <w:pPr>
        <w:pStyle w:val="9"/>
        <w:numPr>
          <w:ilvl w:val="0"/>
          <w:numId w:val="0"/>
        </w:numPr>
        <w:spacing w:line="360" w:lineRule="auto"/>
        <w:ind w:left="3"/>
        <w:rPr>
          <w:sz w:val="24"/>
          <w:szCs w:val="24"/>
          <w:lang w:eastAsia="zh-CN"/>
        </w:rPr>
      </w:pPr>
      <w:r>
        <w:rPr>
          <w:rFonts w:hint="eastAsia"/>
          <w:sz w:val="24"/>
          <w:szCs w:val="24"/>
          <w:lang w:eastAsia="zh-CN"/>
        </w:rPr>
        <w:t>预约取号</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患者通过网上、手机APP、自助机等进行了预约挂号后，可到院内自助机取号，识别身份登录后先查看自己的预约记录，如无法就诊可以选择撤销预约。</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取号前需要进行信息确认，未付费的预约挂号可以直接在自助机付费后取号,取号凭条上将打印出患者就诊科室的楼层、诊室号等信息，方便患者就诊。</w:t>
      </w:r>
    </w:p>
    <w:p>
      <w:pPr>
        <w:pStyle w:val="9"/>
        <w:numPr>
          <w:ilvl w:val="0"/>
          <w:numId w:val="0"/>
        </w:numPr>
        <w:spacing w:line="360" w:lineRule="auto"/>
        <w:ind w:left="3"/>
        <w:rPr>
          <w:sz w:val="24"/>
          <w:szCs w:val="24"/>
          <w:lang w:eastAsia="zh-CN"/>
        </w:rPr>
      </w:pPr>
      <w:r>
        <w:rPr>
          <w:rFonts w:hint="eastAsia"/>
          <w:sz w:val="24"/>
          <w:szCs w:val="24"/>
          <w:lang w:eastAsia="zh-CN"/>
        </w:rPr>
        <w:t>缴费结算</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自助服务系统对接HIS收费和支付平台，能够实时查询患者就诊费用情况和收费详情，并能自助完成费用支付，支持第三方支付方式，例如银行卡、支付宝、微信。</w:t>
      </w:r>
    </w:p>
    <w:p>
      <w:pPr>
        <w:pStyle w:val="9"/>
        <w:numPr>
          <w:ilvl w:val="0"/>
          <w:numId w:val="0"/>
        </w:numPr>
        <w:spacing w:line="360" w:lineRule="auto"/>
        <w:ind w:left="3"/>
        <w:rPr>
          <w:sz w:val="24"/>
          <w:szCs w:val="24"/>
          <w:lang w:eastAsia="zh-CN"/>
        </w:rPr>
      </w:pPr>
      <w:r>
        <w:rPr>
          <w:rFonts w:hint="eastAsia"/>
          <w:sz w:val="24"/>
          <w:szCs w:val="24"/>
          <w:lang w:eastAsia="zh-CN"/>
        </w:rPr>
        <w:t>住院日清单打印</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住院患者可通过自助机查询并打印住院费用信息及费用日清单。进入费用清单界面后可查看当天的住院清单详情。</w:t>
      </w:r>
    </w:p>
    <w:p>
      <w:pPr>
        <w:pStyle w:val="9"/>
        <w:numPr>
          <w:ilvl w:val="0"/>
          <w:numId w:val="0"/>
        </w:numPr>
        <w:spacing w:line="360" w:lineRule="auto"/>
        <w:ind w:left="3"/>
        <w:rPr>
          <w:sz w:val="24"/>
          <w:szCs w:val="24"/>
          <w:lang w:eastAsia="zh-CN"/>
        </w:rPr>
      </w:pPr>
      <w:r>
        <w:rPr>
          <w:rFonts w:hint="eastAsia"/>
          <w:sz w:val="24"/>
          <w:szCs w:val="24"/>
          <w:lang w:eastAsia="zh-CN"/>
        </w:rPr>
        <w:t>自助查询</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患者可通过自助机查询就医记录、费用清单等个人账户信息，以及医院公开信息，包括诊室分布、就诊指南、门诊排班、 药品目录、费用信息、医院简介等资料。</w:t>
      </w:r>
    </w:p>
    <w:p>
      <w:pPr>
        <w:pStyle w:val="9"/>
        <w:numPr>
          <w:ilvl w:val="0"/>
          <w:numId w:val="0"/>
        </w:numPr>
        <w:spacing w:line="360" w:lineRule="auto"/>
        <w:ind w:left="3"/>
        <w:rPr>
          <w:sz w:val="24"/>
          <w:szCs w:val="24"/>
          <w:lang w:eastAsia="zh-CN"/>
        </w:rPr>
      </w:pPr>
      <w:r>
        <w:rPr>
          <w:rFonts w:hint="eastAsia"/>
          <w:sz w:val="24"/>
          <w:szCs w:val="24"/>
          <w:lang w:eastAsia="zh-CN"/>
        </w:rPr>
        <w:t>满意度调查</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患者可在自助机上进行就医满意度评价。</w:t>
      </w:r>
    </w:p>
    <w:p>
      <w:pPr>
        <w:pStyle w:val="8"/>
        <w:rPr>
          <w:lang w:eastAsia="zh-CN"/>
        </w:rPr>
      </w:pPr>
      <w:r>
        <w:rPr>
          <w:rFonts w:hint="eastAsia"/>
          <w:lang w:eastAsia="zh-CN"/>
        </w:rPr>
        <w:t>HRP系统</w:t>
      </w:r>
    </w:p>
    <w:p>
      <w:pPr>
        <w:pStyle w:val="9"/>
        <w:numPr>
          <w:ilvl w:val="0"/>
          <w:numId w:val="0"/>
        </w:numPr>
        <w:spacing w:line="360" w:lineRule="auto"/>
        <w:ind w:left="3"/>
        <w:rPr>
          <w:sz w:val="24"/>
          <w:szCs w:val="24"/>
        </w:rPr>
      </w:pPr>
      <w:r>
        <w:rPr>
          <w:rFonts w:hint="eastAsia"/>
          <w:sz w:val="24"/>
          <w:szCs w:val="24"/>
        </w:rPr>
        <w:t>物资材料管理系统</w:t>
      </w:r>
    </w:p>
    <w:p>
      <w:pPr>
        <w:numPr>
          <w:ilvl w:val="1"/>
          <w:numId w:val="86"/>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医用材料管理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基础字典管理：提供物资分类新增、保存、作废、停用、启用等功能；可根据供应商、名称、规格、分类、注册证号、条码、创建时间等进行字典查询；可以定义字典的省平台id、包装规格、最小包装量、最小采购量、规格、型号、货号等进行管理；物资字典价格维护，新增物资导入、修改等功能，物资价格变更审核管理；可以定义申领是否需要审批，物资可领用科室设定；可以新增关联物资字典，查询明可以同时显示关联字典的数据；对字典的修改记录日专，事后可以进度追溯；可对库房的帐本、核算类别进行定义；可以对业务方式进行设置；可以对公共字典项目进行配置；对系统管理的部份功能\字段\查询条件的显示和隐藏进行配置;可对科室信息、人员资料、角色进行管理，根据实际需求对库房权限赋权；提供库房信息、物资及请领关系维护；提供供应商电子化证件管理，包括主营三证、医疗器械注册证等证件过期及变更提醒查询等功能。</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入库管理：可以支持采购入库、调拨入库、库存初始、盘盈入库等业务方式,支持接收备货二级库的入库申请单（合同包含高值耗材代销二级库建设的情况下），招采平台下发的配送单能扫配送单条码入库，入库可以设定制单、审核、记帐三环节不同的权限进行确认，也支持一个人一键完成定制单、审核、记帐三个步骤，入库单可以上传附件及发票信息，对发票未到的材料可以先进行入库使用，事后补充发票信息；不同的库房可以配置不同的入库信息列及次序；入库列表信息和明细信息可以导出；入库业务审核、记帐环节可以进行微信或钉钉推送确认（在开通微信或钉钉的前提下）;能自动生成入库单打印单据（支持连续分页打印）；医用材料入库可以设置必须填写批号和效期。入库业务可以上传相关的附件，如发票等，对上传的图片格式的可以直接显示。</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入出库验收管理：可以设置入出库验收检查的项目，在入出库时自动生成验收记录明细，事后可以根据入出库单查询物资。</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出库管理：支持科室领用、盘亏出库、调拨出库等业务方式，能通过入库单录入科室记帐时自动生成出库单，出库业务可以设定制单、审核、记帐三个环节不同权限的人进行操作，出库业务可以上传相关的附件；不同的库房可以配置不同的出库信息列及次序；出库列表信息和明细信息可以导出；可以通过科室申领单生成出库单。出库业务可以上传相关的附件，对上传的图片格式的可以直接显示。</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冲红管理：入库、出库单据如出现差错或退材料的情况，可以根据供应商、出库科室或单据号对原始单据的全部或部份材料进行冲红业务，出库冲红完成后的材料退回库房库存，入库冲红后的材料退给供应商，所有冲红业务在保留原始单据的前提下，生成新的冲红单据，冲红业务完成后更新相应的财务会计报表。</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库存管理</w:t>
      </w:r>
      <w:r>
        <w:rPr>
          <w:rFonts w:hint="eastAsia" w:ascii="仿宋" w:hAnsi="仿宋" w:eastAsia="仿宋"/>
          <w:sz w:val="24"/>
          <w:szCs w:val="24"/>
          <w:lang w:val="zh-CN" w:eastAsia="zh-CN"/>
        </w:rPr>
        <w:tab/>
      </w:r>
      <w:r>
        <w:rPr>
          <w:rFonts w:hint="eastAsia" w:ascii="仿宋" w:hAnsi="仿宋" w:eastAsia="仿宋"/>
          <w:sz w:val="24"/>
          <w:szCs w:val="24"/>
          <w:lang w:val="zh-CN" w:eastAsia="zh-CN"/>
        </w:rPr>
        <w:t>对在库的医用材料进行库存管理，包括查询、导出及库位管理、批号、效期等；支持同一批号不同时间入库的库存分开显示，也可以合并显示。库存信息显示列可以根据用户自行定义，包括显示的次序、大小等。支持库位管理。</w:t>
      </w:r>
      <w:r>
        <w:rPr>
          <w:rFonts w:hint="eastAsia" w:ascii="仿宋" w:hAnsi="仿宋" w:eastAsia="仿宋"/>
          <w:sz w:val="24"/>
          <w:szCs w:val="24"/>
          <w:lang w:val="zh-CN" w:eastAsia="zh-CN"/>
        </w:rPr>
        <w:tab/>
      </w:r>
      <w:r>
        <w:rPr>
          <w:rFonts w:hint="eastAsia" w:ascii="仿宋" w:hAnsi="仿宋" w:eastAsia="仿宋"/>
          <w:sz w:val="24"/>
          <w:szCs w:val="24"/>
          <w:lang w:val="zh-CN" w:eastAsia="zh-CN"/>
        </w:rPr>
        <w:t>库存养护：对库存材料每月可以进行检查养护,养护内容包括检查是否合格，记录的时间，养护人，每月可进行一次养护。</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经费管理：根据医用材料的核算类别或物资分类定义年度或月度各科室后勤物资的总金额，或根据物资名称定义年度或月度各科室数量或金额（同一个物资金额和数量只能二选择一），每次出库时进行扣减，如余额不足不能进行出库管理，只能申请金额后方可出库; 经费可由科室发起，管理端进行审核生成，年度经费可以根据医院设定的比例分解到每个月，发给各科室调整后，由管理端审核后形成最终的月度经费，月度经费不足的可以从其它几个月度的经费进行调整。</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盘库业务：支持符合财务要求的和标准化的库存盘点功能,在财务会计期间选择一个时间节点，将原有系统的所有库存数据生成盘点单并进行打印（如有库位，可以根据库位打印）；核对清点实物后，可以对没有出入的材料自动按库存数据生成盘点数量，对有出入的材料录入实际的数量保存盘存单，系统会根据实际有出入的材料生成盘盈入库或盘亏出库单，审核记帐后调整库存完成盘库业务；盘点单、盘盈入库、盘亏出库单支持连续打印以方便财务留存。</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申领管理：科室在线选择所需请领物资，提交或删除请领物资；总库对请领单可以做递回操作；根据时间段查询科室的请领汇总及明细；查询请领订单实时状态，如已请领、已审批、已采购及已发货等；根据科室常用物资设置请领套餐及预购套餐，方便日常领用；也可对医院、科室的收货地址进行维护。</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申领审批及限制：可以对医用材料进行设置是否需要申领审批，可以定义审批的流程，如科主任-物资部-分管领导等,经审批通过的申领单发到库房进行配送或采购；医用材料可以设置申领科室权限，对部分科室可以设置不能进行申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配送管理：对各科室申领材料进行汇总，按科室进行查询，可以查看申领单的材料是否有库存，如库存不足的情况下可以根据申领的量自动生成采购单发给采购；对有库存的材料可以进行配送出库业务，也可以对部分有库存的材料进行部分配送出库业务，配送出库生成库房的出库单，对部分配送的材料待采购入库完成后可直接进行配送出库；库房有权限修改科室的申领数量，如有新老材料更换的情况，可对科室申领单的材料进行更换，并能同步更新科室的申领套餐。</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发票及付款管理：可以对入库未登记发票的单据进行发票补登，支持多张发票管理； 可以根据供应商查询入库总金额、已付、未付、票到、票未到、票到已付金额金额,并打印和导出pdf；选择供应商及记帐时间查询入库未付款的明细，选择要支付的明细，生成付款申请单，并对付款申请单进行审批、记帐业务,一条明细可以进行多次支付业务,一个入库单可以多次分批进行付款操作；可根据医院的付款计划额度分配各供应商每月支付的总额，再选择明细进行批量操作付款，同时各供应商的入库明细同步生成支付明细,进行审批、记帐业务；可以对科室自行申请付款的入库时细进行标识。系统支持在入库、发票补登等环节扫描发票上的二维码读取专票、普票信息，包括发票号码、开票金额、开票日期等信息。可以针对单张发票重复登记进行提示和预警。</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月结管理：根据医院设定的会计期间，进行每月的月结管理，月结时保存当前库存信息，并将当前的入、出库信息保存下来，同时生成会计月报，业务自动进入下一个会计期间，如果是年度最后一个月月结，系统自动会根据自然月生成下一年度的会计期间。</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会计月报及明细报表：收支月报、汇总月报、收支业务明细报表、财务流水帐。</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采购管理：根据请领需求制定采购计划，也可以制定手工采购计划；支持跨多部门的审批及采购业务；采购相关节点应自动检查供应商及物资的相关证件的有效性并给予相应提示；支持创建多种业务模式（标准或寄售订单）的采购订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入围合同管理</w:t>
      </w:r>
      <w:r>
        <w:rPr>
          <w:rFonts w:hint="eastAsia" w:ascii="仿宋" w:hAnsi="仿宋" w:eastAsia="仿宋"/>
          <w:sz w:val="24"/>
          <w:szCs w:val="24"/>
          <w:lang w:val="zh-CN" w:eastAsia="zh-CN"/>
        </w:rPr>
        <w:tab/>
      </w:r>
      <w:r>
        <w:rPr>
          <w:rFonts w:hint="eastAsia" w:ascii="仿宋" w:hAnsi="仿宋" w:eastAsia="仿宋"/>
          <w:sz w:val="24"/>
          <w:szCs w:val="24"/>
          <w:lang w:val="zh-CN" w:eastAsia="zh-CN"/>
        </w:rPr>
        <w:t>医院可以根据招标或二次询价的入围医用材料目录建立供应商的合同管理，包括入围材料的供货周期、最大数量、品牌、招标文号等信息并能上传合同附件；采购合同建立后必须通过审核才能生效，合同生效后才可以通过采购管理自动生成材料的采购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注册证管理：对入围产品的注册证的有效期进行管理，临近过期的证件进行智能提醒，对证件过期的材料不能进行采购、入库、出库业务。</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厂商证件管理：对供应商、厂商的营业执照、经营许可证、生产许可证、法人授权书等进行管理；临近过期的证件进行智能提醒。</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低储常备量管理：对医用材料库房可以设置低储量和常备量，对于低于低储量的材料可以有颜色区分的显示，可以发起采购单，数据可以根据常备量进行自动计算，如采购量小于最小包装量或最小采购量时，系统自动将采购量调整为最小包装量或最小采购量。</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预警采购管理：可以设定对部分物资设置一个周期内的采购量上限，日常采购入库后，可以显示执行的比例，并设定预警比例，对预警的材料可以进行重点监管。</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物资图库管理：对所有医用材料可以建立物资图片管理，在申领时可以查看，可以通过医院库房人员手机微信或钉钉（在开通微信或钉钉的功能的前提下）的拍照上传。</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统计分析：医用材料入出库汇总表、入出库明细表、全流程查询、采购明细表、配送单查询、入库按单位查询、出库按科室查询、库房调拨明细表、入库汇总单等。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条码管理：支持所有医用材料条码化管理，对没有条码的材料可以通过医院入库前在内网系统中生成条码,可以实现扫码入出库管理。</w:t>
      </w:r>
    </w:p>
    <w:p>
      <w:pPr>
        <w:numPr>
          <w:ilvl w:val="1"/>
          <w:numId w:val="86"/>
        </w:numPr>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高值材料管理（代销二级库）</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二级库配置：可以配置每个高值耗材二级库的使用人员权限、科室权限、材料是否计费、采购方式、病人类型、物资管理方式等选项。</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基础字典管理：支持多级分类按树型结构管理，分类可以按拼音码检索；名称规格字典包括名称、规格、核算科目、输入码、最小单位、包装规格、包装数量、物资描述、最新单价、最新零售价、物资主码、注册证名称、注册规格等；最新单位能自动更新为最新的入库单价；物资主码个数支持不限定数量；可以设定总库房的常备量和低储量；可以设定材料类型，包括跟台和备货；可以设定是否可以收费；可以设定是否需要申领审批；可以设定是否需要建立同一批次的唯一条形码；可以设定是否直接配送到科室等;支持字典按标准格式导入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条码规则：可以通过建立条形码规则，包括位数、每一位或段代码的含义的解析，当同一种规则的条码扫码时能自动区分主码、生产批号、有效日期、生产日期、跟踪码等‘规则自动支持69、01、8、4开头的所有规则，包括长期有效条码、也支持特殊条码的手动解析功能，支持udi码的解析；系统已导入常见条码解析规则，便于高值耗材条码解析；根据医院的规则生成对应的产品编码，实现耗材的一物一码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条码管理：支持全流程关键业务的条码管理，如入库、二次验收、出库、库存管理、退库、病人使用等；针对没有条码或副码不全的商品，系统可以根据出厂日期、有效日期、批号等信息生成主副合一的条码，规范物资条码的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预购入库管理：备货二级库可以扫描供应商平台打印的配送单条码或物资的条码，扫码完成后自动生成预购入库单，入库单可以进行审核、记帐等步骤，也可以通过选择供应商直接扫物资的条码进行入库业务；对已支付的高值材料也可以纳入扫码入库、扫码消耗管理，但不产生总库入库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退货管理：针对需要退货的高值材料可以扫物资的条码生成退库单，记帐后减二级库库存；也可以通过预购入库单选择冲红进行退货处理。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二次验收管理：对预购入库的高值材料，由采购确认，科室进行材料二次扫码核对效期、批号等，核对无误后办理预购入库记帐业务，正式进入备货二级库库存；支持spd模式的二次核验。</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库存管理：管理各备货二级库的预入库库存，包括名称、规格、批号、有效期、条码、注册证号、供应商信息；可以对已付未付材料进行分类查询；对失效日期、生产日期进行查询；能直接显示二级库的库存数量、总金额信息，能打印和导出相关的库存信息；能根据每一次预购入库的材料进行显示，也可以根据相关批号的进行显示库存。</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调价管理：根据供应商备货或跟台材料的价格变动情况，可以对在库的商品进行调价申请、审批，通过后完成调价；针对规格很多的材料可批量选择调价；调价完成后通知物价进行收照目录调价处理；可以查询调价明细记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低储常备量管理：可以设置备货二级库库存材料的预警量、常备量，并可以批量进行设置所有或部份二级库材料的预警量和常备量，低于低储常备量系统会自动发起采购申请。</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一对一收费对照管理：能对接his收费目录，每一个规格材料能一对一的对照收费目录，当his收费目录作废或修改后，系统会自动识别是否有效，如无效则扫材料使用登记时进行提示，重新对照后方可以使用，系统每天至少自动分析一次以上收费目录的有效性。</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一对多、多对多、阶梯收费、选择收费对照管理：针对一个材料要分两个或多个收费项目记费的情况，系统要预先进行对照好，扫材料后自动生成多个收费明细；也可以多个材料对照多个收费项目，使用后记录对应的关系；支持对同一材料在不同的项目中选择不同的收费目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高值材料使用审批管理：根据最新的医用材料管理办法，对重点科室的材料使用可以在提交手术申请单时同步申请、审批，审批通过后方可以使用。</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住院病人扫码使用：根据病人手术单开单信息，选择住院号（或病案号）可以调用病人的手术信息，包括主刀医生、巡回护士、手术间、手术名称、计费病区、洗生护士等信息；一对一扫材料条码使用登记，同时记费；可选择一对多、多对多、阶梯收费管理；根据权限设定可以对单次的使用材料强制不记费（用于控制使用过程中部份材料已在his中收费的情况），只登记病人使用；材料使用退货、退费扫码同步完成；使用过程中能自动区分备货和跟台的材料数量；如跟台的材料使用后可以自动生成二级库的预入库单，同时扣减二级库存。</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科室申购及审批工作流管理：科室可以通过平台建立常用的跟台或备货套餐快速进行申购；如需审批的材料，通过事先定义好的审批流程，审批完成后发到采购中心，采购中心可选择采购单上传到供应商平台，并通对接院内短信平台发送给供应商信息；材料审批可以根据不同的物资设定审批流程。</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病人追溯管理：病人的材料使用记录，可以根据物资的批号、效期、条码、规格、手术医生、手术名称、使用日期等进行追溯。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二级库使用单总库入转出管理：通过高值耗材二级库使用记录能自动生成总库的入库单制单状态，并能自动生成出库科室，一般为病人所在科室；二级库的入转出单据必须与普通材料入库单明显区分，并能显示病人信息等；二级库使用可以根据供应商进行区分，并能选择明细生成总库入转出单据明细；二级库生成一级库入转出前可以在二级库进行发票登记。</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入库明细补登发票管理：根据一级库入库明细选择供应商，并选择材料明细补登发票；可以开通供应商平台上传开票明细，供应商填写发票信息后下发。</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开票结算管理：能统计供应商已付、未付总金额；选择供应商跳出所有未付的所有入库单及明细信息，可以选择明细进行支付，一条明细也可以分次支付；保存付款单后可以进行打印相关的付款单据；提供至少10种付款单据打印格式供医院选择。</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入围合同管理：单位可以根据招标或二次询价的入围高值材料目录建立供应商的合同管理，包括入围材料的供货周期、最大数量、品牌、招标文号等信息，并能上传合同附件；采购合同建立后必须通过审核才能生效，合同生效后方可以通过采购管理自动生成材料采购单；支持将采购合同上传供应商平台，分发给供应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采购管理：可以根据当天的使用量定时生成采购申请单，发到采购审核后推送给供应商配货；可以由科室通过低储常备量发起采购单，采购单根据入围合同管理的供应商自动分发，再由供应商进行配送；对加急的采购单，管理端进行语音提示，没有及时处理的定时、多次进行语音提示，直到处理为止。</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证件管理：对材料的注册证进行管理，包括有效日期管理、注册证图片管理、上传电子证件、更新换证管理。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监管分析：供应商供货金额排名分析；按病人所在科室金额排名分析；按品牌分析金额及排名；按医生分析金额和平均手术费用的排名，并能查询明细；按材料分析金额排名，并能查询明细。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his接口</w:t>
      </w:r>
      <w:r>
        <w:rPr>
          <w:rFonts w:hint="eastAsia" w:ascii="仿宋" w:hAnsi="仿宋" w:eastAsia="仿宋"/>
          <w:sz w:val="24"/>
          <w:szCs w:val="24"/>
          <w:lang w:val="zh-CN" w:eastAsia="zh-CN"/>
        </w:rPr>
        <w:tab/>
      </w:r>
      <w:r>
        <w:rPr>
          <w:rFonts w:hint="eastAsia" w:ascii="仿宋" w:hAnsi="仿宋" w:eastAsia="仿宋"/>
          <w:sz w:val="24"/>
          <w:szCs w:val="24"/>
          <w:lang w:val="zh-CN" w:eastAsia="zh-CN"/>
        </w:rPr>
        <w:t>在his开放接口的前提下，对接his收费目录，材料目录可以对照收费目录；对新增规格的材料可以同步到收费目录中，物价审核通过后方可使用。</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统计分析：根据材料名称规格及供应商信息汇总一个时间段内的使用数量、总金额；根据使用记录统计材料明细，包括病人姓名、医生、条形码、批号、病案号、注册证、供应商等；根据批号汇总病人使用明细，包括供应商、批号、使用量、金额、跟台备货类型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阶梯收费管理：系统支持特殊的分阶梯收费的材料使用，即多个材料根据总价可折分为不同的收费项目的阶梯，每个阶梯的收费项目的金额动态计算，有收入的收费项目记入his，阶梯收费可以配置可以使用的材料范围，没有进行配置的不能进行扫码收费。</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高值库收支月报管理：支持每月结存预购入库、使用、退货的数量进行结转，能按月进行统计分析，参考一期库的会计期间进行结存。</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高值材料监控</w:t>
      </w:r>
      <w:r>
        <w:rPr>
          <w:rFonts w:hint="eastAsia" w:ascii="仿宋" w:hAnsi="仿宋" w:eastAsia="仿宋"/>
          <w:sz w:val="24"/>
          <w:szCs w:val="24"/>
          <w:lang w:val="zh-CN" w:eastAsia="zh-CN"/>
        </w:rPr>
        <w:tab/>
      </w:r>
      <w:r>
        <w:rPr>
          <w:rFonts w:hint="eastAsia" w:ascii="仿宋" w:hAnsi="仿宋" w:eastAsia="仿宋"/>
          <w:sz w:val="24"/>
          <w:szCs w:val="24"/>
          <w:lang w:val="zh-CN" w:eastAsia="zh-CN"/>
        </w:rPr>
        <w:t>可以分析同一手术，相同材料的浮动异常的数据进行自动分析，浮动比例可以自定义，可按医生、手术、手术室、使用科室进行查询分析。</w:t>
      </w:r>
    </w:p>
    <w:p>
      <w:pPr>
        <w:numPr>
          <w:ilvl w:val="1"/>
          <w:numId w:val="86"/>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后勤材料管理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基础字典管理：管理后勤材料的分类、财务核算、名称、规格、包装、最小包装、物资描述、图片、品牌、最新单价、物资主码、供应商等；最新单价能自动更新为最新的入库单价；支持物资主码个数不限定数量；可设定总库房的常备量和低储量；可设定后勤材料是否需要申领审批，审批流程可以根据材料名称进行设定不同的流程；部份材料如果没有条形码，可以设定是否建立医院的内部条形码，由供应商打印配送到医院；可以设定后勤材料是否直接打包配送到科室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供应商管理：管理供应商的名称、统一信用号、联系人（可以多个）、开户帐号、开户行等，可以对供应商进行黑名单管理，可以开通长期供货供应商的平台帐号，授权接收电子采购订单及配送管理。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入出库管理：对后勤材料入库、出库进行管理，出入库单可以配置制单、审核、记帐或一键操作业务，入库单可以手动录入不同的规格、价格信息，对没有入过库的商品可以自动建立名称规格字典信息，出入库单审核记帐后可以推送给相应的负责人，在手机微信和钉钉上进行确认，出入库单支持连续打印。入出库业务可以上传相关的附件，如发票等，对上传的图片格式的可以直接显示。</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发票及付款管理：可以对入库未登记发票的的单据进行发票补登，支持多张发票管理；可以批量选择供应商入库明细，上传供应商平台通知供应商开票，供应商可以在平台上填写发票号码并下发给医院，医院确认收到发票后可以进行付款申请；可以根据供应商查询入库总金额、已付、未付金额、票到、票未到、票到已付金额,并打印和导出pdf；选择供应商及记帐时间查询入库未付款的明细，选择要支付的明细，生成付款申请单，并对付款申请单进行审批、记帐业务,一条明细可以进行多次支付业务,一个入库单可以多次分批进行付款操作；可根据医院的付款计划额度分配各供应商每月支付的总额，再选择明细进行批量操作付款，同时各供应商的入库明细同步生成支付明细,进行审批、记帐业务；可以对科室自行申请付款的入库时细进行标识。系统支持在入库、发票补登等环节扫描发票上的二维码读取专票、普票信息，包括发票号码、开票金额、开票日期等信息。可以针对单张发票重复登记进行提示和预警。</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库存及盘点管理：对在库的后勤材料进行库存管理，包括查询、导出及库位管理等；库存信息显示列可以根据用户自行定义，包括显示的次序、大小等；支持标准化及符合财务要求的库存盘点功能,根据财务会计期间，选择一个时间节点，将原有系统的所有库存数据生成盘点单，能进行打印（如有库位，可以根据库位打印），核对清点实物后，可以对没有出入的材料自动按库存数据生成盘点数量，对有出入的材料录入实际的数量，保存盘存单，系统会根据实际有出入的材料生成盘盈入库或盘亏出库单，审核记帐后调整库存，完成盘库业务，盘点单、盘盈入库、盘亏出库单支持连续打印，以方便财务留存。支持库位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申领配送管理：科室在线选择所需请领物资，提交或删除请领物资；总库对请领单可以做递回操作；根据时间段查询科室的请领汇总及明细；查询请领订单实时状态，如已请领、已审批、已采购及已发货等；根据科室常用物资设置请领套餐及预购套餐，方便日常领用；也可对医院、科室的收货地址进行维护；可以对后勤材料进行设置是否需要申领审批，可以定义审批的流程，如科主任-物资部-分管领导等,经审批通过的申领单发到库房进行配送或采购；后勤材料可以设置申领科室权限，对部份科室可以设置不能进行申领。对各科室申领材料进行汇总，按科室进行查询，可以查看申领单的材料是否有库存，如库存不足的情况可以根据申领的量自动生成采购单，发给采购；对有库存的材料可以进行配送出库业务，也可以对部分有库存的材料进行部分配送出库业务，配送出库生成库房的出库单，对部分配送的材料待采购入库完成后可直接进行配送出库；库房有权限修改科室的申领数量；如有新老材料更换的情况，可对科室申领单的材料进行更换，并能同步更新科室的申领套餐。</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冲红管理：对入库、出库单据如出现差错或退材料的情况，可以根据供应商、出库科室或单据号对原始单据的全部或部份材料进行冲红业务，出库冲红完成后材料退回库房库存，入库冲红后材料退给供应商，所有冲红业务在保留原始单据的前提下，生成新的冲红业务单据，冲红业务完成后更新相应的财务会计报表。</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月结及会计月报管理：根据医院设定的会计期间，进行每月的月结管理，月结时保存当前库存信息，并将当前的入、出库信息保存下来，同时生成会计月报，业务自动进入下一个会计期间，如是年度最后一个月月结，系统自动会根据自然月生成下一年度的会计期间。提供收支月报、汇总月报、收支业务明细报表、财务流水帐。</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低储常备量管理：对后勤材料库房可以设低储和常备量，对于低于低储的材料可以有颜色区分显示，可以直接发起采购单，数据可以根据常备量进行自动计算，如采购量小于最小包装量或最小采购量时，系统自动将采购量调整为最小包装量或最小采购量。</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预警采购管理：可以对部分物资设置一个周期内的采购量上限，日常采购入库后，显示执行的比例并设定预警比例，对预警的材料可以进行重点监管。</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采购管理：根据请领需求制定采购计划，也可以制定手工采购计划；支持跨多部门的审批及采购业务；采购相关节点应自动检查供应商及物资的相关证件的有效性并给予相应提示；采购订单创建后可选择性地发送至供应商平台，由供应商在线填写货物信息（包括但不限于数量等）并备货；提供方便灵活的采购订单及其状态查询功能；对未到货的订单会有提醒以及查看配送明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物资图库管理：所有后勤材料可以建立物资图片管理，在申领时可以查看，材料图片可以由供应商通过平台上传，也可以通过医院库房人员手机微信或钉钉的拍照上传。</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低储常备量管理：库房对后勤材料可以设置低储量和常备量，对于低于低储量的材料会有颜色提示，可以自动发起采购单，数据可以根据常备量进行自动计算；如采购量小于最小包装量或最小采购量时，系统自动将采购量调整为最小包装量或最小采购量。</w:t>
      </w:r>
    </w:p>
    <w:p>
      <w:pPr>
        <w:numPr>
          <w:ilvl w:val="1"/>
          <w:numId w:val="86"/>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实物三级库</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三级库配置：可以定义三级库管理的科室,包括人员权限、库位信息等。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监管范围管理：对三级库需管理的材料进行定义，对需要监管的材料进入三级库管理清单。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库位及库存管理：对监管范围内的三级库材料设置一个时间节点，进行清点操作，录入期初库存，分配库位（如有的话）；时间节点后的一级库出库材料直接进入三级库库存。</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盘库业务：科室可以每月进行盘库业务，先生成盘库单，实物清点后录入实际的库存数量，自动计算每月的消耗数量，同时调整实际库存数。</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领用消耗：对三级库的材料，科室人员可以进行领用登记管理，领用完成后扣减三级库存。</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套餐使用管理 ：可以先定义科室相关的材料使用套餐，选择病人及套餐直接扣减三级库存。</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低储常备量管理：可以定义三级库库存的低储及常备量，材料不足时可以发起申领，申领数量不能超过常备量。</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申领控制管理：建立三级库的科室，监管范围内的物资申领数量加上库存数量不能超过常备量。</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统计分析：科库库存汇总、科室物资使用明细查询等统计分析。</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对照管理：进入监管范围内的材料，与收费、lis、pacs项目进行一对一或一对多的对照，以方便相关接口数据的计算扣减库存。</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his接口：</w:t>
      </w:r>
      <w:r>
        <w:rPr>
          <w:rFonts w:hint="eastAsia" w:ascii="仿宋" w:hAnsi="仿宋" w:eastAsia="仿宋"/>
          <w:sz w:val="24"/>
          <w:szCs w:val="24"/>
          <w:lang w:val="zh-CN" w:eastAsia="zh-CN"/>
        </w:rPr>
        <w:tab/>
      </w:r>
      <w:r>
        <w:rPr>
          <w:rFonts w:hint="eastAsia" w:ascii="仿宋" w:hAnsi="仿宋" w:eastAsia="仿宋"/>
          <w:sz w:val="24"/>
          <w:szCs w:val="24"/>
          <w:lang w:val="zh-CN" w:eastAsia="zh-CN"/>
        </w:rPr>
        <w:t>材料与收费项目对照，系统从门诊、住院、体检等收费明细中提取与材料对应的数据，通过计算扣减对应的材料三级库存信息。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收支月报及结存：根据一级库的会计期间，结存每个月的材料领用、使用量及明细，可以统计分析</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条码管理：支持材料扫码使用，扫码入库核验，能自动识别批号、效期等。</w:t>
      </w:r>
    </w:p>
    <w:p>
      <w:pPr>
        <w:pStyle w:val="9"/>
        <w:numPr>
          <w:ilvl w:val="0"/>
          <w:numId w:val="0"/>
        </w:numPr>
        <w:spacing w:line="360" w:lineRule="auto"/>
        <w:ind w:left="3"/>
        <w:rPr>
          <w:sz w:val="24"/>
          <w:szCs w:val="24"/>
        </w:rPr>
      </w:pPr>
      <w:r>
        <w:rPr>
          <w:rFonts w:hint="eastAsia"/>
          <w:sz w:val="24"/>
          <w:szCs w:val="24"/>
        </w:rPr>
        <w:t>电子招采</w:t>
      </w:r>
    </w:p>
    <w:p>
      <w:pPr>
        <w:numPr>
          <w:ilvl w:val="0"/>
          <w:numId w:val="87"/>
        </w:numPr>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厂商供应商注册及证件管理</w:t>
      </w:r>
      <w:r>
        <w:rPr>
          <w:rFonts w:hint="eastAsia" w:ascii="仿宋" w:hAnsi="仿宋" w:eastAsia="仿宋"/>
          <w:sz w:val="24"/>
          <w:szCs w:val="24"/>
          <w:lang w:val="zh-CN" w:eastAsia="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厂商及供应商可以通过医院申请开通平台账号，需上传企业全称、信用号、法人代表、联系手机、通讯地址、微信号、项目联系人等，并上传营养执照、信用证书、医疗器械经营许可证、生产许可证、项目授权书（可以针对指定医院或项目）等，审核通过后完成注册。</w:t>
      </w:r>
    </w:p>
    <w:p>
      <w:pPr>
        <w:numPr>
          <w:ilvl w:val="0"/>
          <w:numId w:val="87"/>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商品上架管理</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通过审核的厂商可以进行产品上架，包括产品称名、规格型号、条码信息、国家医保耗材代码、国家产品流水码、配置清单、选择购件、专用材料、包装信息、重量、安装要求、注册证信息、图片、市场指导价等；厂商认证过的品牌和产品，供应商不得上架，需经厂商授权后方可使用，审核通过后完成上架；厂商有最低限价控制和审批管理权限。</w:t>
      </w:r>
    </w:p>
    <w:p>
      <w:pPr>
        <w:numPr>
          <w:ilvl w:val="0"/>
          <w:numId w:val="87"/>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注册证管理</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对上架产品的注册证有效期进行管理，对临近过期的注册证有提醒功能并可以更新证件，包括图片信息；更新过注册证的产品下发给指定的医院。</w:t>
      </w:r>
    </w:p>
    <w:p>
      <w:pPr>
        <w:numPr>
          <w:ilvl w:val="0"/>
          <w:numId w:val="87"/>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入围合同配对</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供应商事先提供入围合同的清单给医院，由医院审核确认后导入系统并推送到供应商平台系统，供应商在平台上把标准商品与医院入围商品进行配对（如名称规格一样可以自动配对），配对完成后可以下发（包括注册证信息）。</w:t>
      </w:r>
    </w:p>
    <w:p>
      <w:pPr>
        <w:numPr>
          <w:ilvl w:val="0"/>
          <w:numId w:val="87"/>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订单配送管理</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医院通过内部系统向供应商发起物资采购订单、备货采购订单、跟台采购订单，供应商根据医院的订单,进行扫码、填写发货数量、批号、效期等，生成配送单（可打印）下发到医院并安排发货；供应商可以增加赠送材料的配送单；一个医院多个配送单可以合并为一个配送单；对下发到医院的配送单在没有入库前做可以撤回操作；医院可以扫描配送单上的二维码或材料条码进行入库操作。</w:t>
      </w:r>
    </w:p>
    <w:p>
      <w:pPr>
        <w:numPr>
          <w:ilvl w:val="0"/>
          <w:numId w:val="87"/>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开票管理</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医院确认过可支付的材料明细后向供应商推送开票明细，供应商选择材料明细开票，填写发票号码并下发，同时将发票送到医院；采购订单生成的配送单也可以填写发票信息，下发给医院审核确认。</w:t>
      </w:r>
    </w:p>
    <w:p>
      <w:pPr>
        <w:numPr>
          <w:ilvl w:val="0"/>
          <w:numId w:val="87"/>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备货库存查询</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支持供应商查询在医院各库房的备货材料库存清单、数量、金额等，支持导入或打印清单进行核对。（该功能需配合高值耗材管理系统使用）</w:t>
      </w:r>
    </w:p>
    <w:p>
      <w:pPr>
        <w:numPr>
          <w:ilvl w:val="0"/>
          <w:numId w:val="87"/>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备货使用查询</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供应商可以查询在医院各库房的备货材料的使用情况，包括数量金额等，支持导入或打印清单可以进行核对。（该功能需配合高值耗材管理系统使用）</w:t>
      </w:r>
    </w:p>
    <w:p>
      <w:pPr>
        <w:numPr>
          <w:ilvl w:val="0"/>
          <w:numId w:val="87"/>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条码管理</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供应商可以对新材料建立条码规则、主码等信息下发给医院，对于没有条码的材料比如口腔科的材料，可以通过平台生成条码并打印，医院根据生成的扫码入库使用。</w:t>
      </w:r>
    </w:p>
    <w:p>
      <w:pPr>
        <w:pStyle w:val="9"/>
        <w:numPr>
          <w:ilvl w:val="0"/>
          <w:numId w:val="0"/>
        </w:numPr>
        <w:spacing w:line="360" w:lineRule="auto"/>
        <w:ind w:left="3"/>
        <w:rPr>
          <w:sz w:val="24"/>
          <w:szCs w:val="24"/>
        </w:rPr>
      </w:pPr>
      <w:r>
        <w:rPr>
          <w:rFonts w:hint="eastAsia"/>
          <w:sz w:val="24"/>
          <w:szCs w:val="24"/>
        </w:rPr>
        <w:t>人力资源管理系统</w:t>
      </w:r>
    </w:p>
    <w:p>
      <w:pPr>
        <w:numPr>
          <w:ilvl w:val="0"/>
          <w:numId w:val="88"/>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招聘</w:t>
      </w:r>
    </w:p>
    <w:p>
      <w:pPr>
        <w:numPr>
          <w:ilvl w:val="0"/>
          <w:numId w:val="89"/>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日常招聘</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职位申请：申请增加招聘职位信息。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职位发布：职位审批完成后，发布信息进行招聘。</w:t>
      </w:r>
    </w:p>
    <w:p>
      <w:pPr>
        <w:numPr>
          <w:ilvl w:val="0"/>
          <w:numId w:val="89"/>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招聘计划</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年度计划：按年度统计招聘人数与费用。</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科室上报：按科室上报的人数与费用进行统计。</w:t>
      </w:r>
    </w:p>
    <w:p>
      <w:pPr>
        <w:numPr>
          <w:ilvl w:val="0"/>
          <w:numId w:val="89"/>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简历管理</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简历查询：查询各渠道已投简历。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简历抓取：读取各渠道已投简历。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简历新增：手动新增简历。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人才库：管理加入人才库的简历。</w:t>
      </w:r>
    </w:p>
    <w:p>
      <w:pPr>
        <w:numPr>
          <w:ilvl w:val="0"/>
          <w:numId w:val="89"/>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预约和面试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预约管理：管理已预约求职人员。</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短信发送：根据预约发送短信。</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面试管理：管理求职人的面试信息及面试建议。</w:t>
      </w:r>
    </w:p>
    <w:p>
      <w:pPr>
        <w:numPr>
          <w:ilvl w:val="0"/>
          <w:numId w:val="89"/>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系统信息</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rPr>
      </w:pPr>
      <w:r>
        <w:rPr>
          <w:rFonts w:hint="eastAsia" w:ascii="仿宋" w:hAnsi="仿宋" w:eastAsia="仿宋"/>
          <w:sz w:val="24"/>
          <w:szCs w:val="24"/>
          <w:lang w:val="zh-CN"/>
        </w:rPr>
        <w:t>公司管理：管理公司列表。</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操作日志：记录操作过的所有类型的操作详情信息。</w:t>
      </w:r>
    </w:p>
    <w:p>
      <w:pPr>
        <w:numPr>
          <w:ilvl w:val="0"/>
          <w:numId w:val="88"/>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人事</w:t>
      </w:r>
      <w:r>
        <w:rPr>
          <w:rFonts w:hint="eastAsia" w:ascii="仿宋" w:hAnsi="仿宋" w:eastAsia="仿宋"/>
          <w:sz w:val="24"/>
          <w:szCs w:val="24"/>
          <w:lang w:val="zh-CN"/>
        </w:rPr>
        <w:tab/>
      </w:r>
    </w:p>
    <w:p>
      <w:pPr>
        <w:numPr>
          <w:ilvl w:val="0"/>
          <w:numId w:val="90"/>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初始设置</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分组管理：部门内部细化分组管理，可用于薪金管理审批。</w:t>
      </w:r>
    </w:p>
    <w:p>
      <w:pPr>
        <w:numPr>
          <w:ilvl w:val="0"/>
          <w:numId w:val="90"/>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人事管理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审批管理：管理设定审批流程、查看审批实例。</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我的待审：查看待我审批的所有审批单据。</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附件类型维护：管理附件能上传的个数，包括图片等。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个人信息权限设置：设置员工个信息能查看的项目。</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员工资料：查看员工所有人事资料。</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员工资料导入：批量导入员工资料修改。</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批量员工修改：批量修改员工资料的项目。</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年度公积金：移动端收集员工公积金比例后，按收入自动生成员工年度公积金。</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月度五险一金：每月员工五险一金变动在线填写，并生成报表。</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社会保险申报明细表：可导入社保局每月的社会保险申报明细表，并保存数据。</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人事变更：按查找条件查看人事变更记录。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员工证明管理：员工证明申请单据的管理。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福利管理：按分类、标准整理录入员工福利，以达到全面福利管理、查询等需要。</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职级绑定审批流程：设置员工证明关联的审批流程。</w:t>
      </w:r>
    </w:p>
    <w:p>
      <w:pPr>
        <w:numPr>
          <w:ilvl w:val="0"/>
          <w:numId w:val="90"/>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薪金管理</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薪金管理列表：转正、续聘、调薪、调动、年终申请等变更管理。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调薪标准设置：关联薪金管理列表调薪申请的标准数生成。</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津贴标准设置：可按需设置津贴设置相应标准，在调薪时自动带出。</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公司审批流程配置：给各公司配置薪金管理的审批流程。</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查看调薪：按调薪资料条件查看调薪记录。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薪金资料：同员工资料。</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花红奖金：批量录入花红奖金。</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佣金管理：新增管理有佣金员工。</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安全管理：管理指纹登录的录入。</w:t>
      </w:r>
    </w:p>
    <w:p>
      <w:pPr>
        <w:spacing w:line="360" w:lineRule="auto"/>
        <w:ind w:firstLine="480"/>
        <w:rPr>
          <w:rFonts w:ascii="仿宋" w:hAnsi="仿宋" w:eastAsia="仿宋"/>
          <w:sz w:val="24"/>
          <w:szCs w:val="24"/>
          <w:lang w:val="zh-CN"/>
        </w:rPr>
      </w:pPr>
      <w:r>
        <w:rPr>
          <w:rFonts w:hint="eastAsia" w:ascii="仿宋" w:hAnsi="仿宋" w:eastAsia="仿宋"/>
          <w:sz w:val="24"/>
          <w:szCs w:val="24"/>
          <w:lang w:val="zh-CN"/>
        </w:rPr>
        <w:t>人事制度：人事制度列表。</w:t>
      </w:r>
    </w:p>
    <w:p>
      <w:pPr>
        <w:numPr>
          <w:ilvl w:val="0"/>
          <w:numId w:val="90"/>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人事分析</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人事分析管理：分析报表录入及审批管理。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人事分析：分析报表查看。</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人事统计：集团公司多维分析报表查看，图表查看、明细数据查看。</w:t>
      </w:r>
    </w:p>
    <w:p>
      <w:pPr>
        <w:numPr>
          <w:ilvl w:val="0"/>
          <w:numId w:val="90"/>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人事报表</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rPr>
      </w:pPr>
      <w:r>
        <w:rPr>
          <w:rFonts w:hint="eastAsia" w:ascii="仿宋" w:hAnsi="仿宋" w:eastAsia="仿宋"/>
          <w:sz w:val="24"/>
          <w:szCs w:val="24"/>
          <w:lang w:val="zh-CN"/>
        </w:rPr>
        <w:t>今日操作：查看人事操作列表。</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复合查询（员工）：按方案；如公司、项目、条件查询人事数据。</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业务类型查询授权：授权他人可查看的人事审批业务类型单据。</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复合查询（单据）：人事各业务类型单据查看。</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查看调动：按条件查看调动记录。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查看工伤：按条件查看工伤记录。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查看住院：按条件查看住院记录。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查看警告：按条件查看警告记录。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查看奖励：按条件查看奖励记录。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 xml:space="preserve">静态花名册：员工静态花名册。   </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一般报表：人事一般报表数据统计（不涉及薪资）。</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薪资报表：人事劳动合同、调薪通知书等文件。</w:t>
      </w:r>
    </w:p>
    <w:p>
      <w:pPr>
        <w:numPr>
          <w:ilvl w:val="0"/>
          <w:numId w:val="90"/>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黑名单</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黑名单：人事黑名单管理。</w:t>
      </w:r>
    </w:p>
    <w:p>
      <w:pPr>
        <w:numPr>
          <w:ilvl w:val="0"/>
          <w:numId w:val="88"/>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考勤</w:t>
      </w:r>
    </w:p>
    <w:p>
      <w:pPr>
        <w:numPr>
          <w:ilvl w:val="0"/>
          <w:numId w:val="91"/>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人才库管理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人才库管理：用于移动端入职申请人员信息打印及员工资料生成。</w:t>
      </w:r>
    </w:p>
    <w:p>
      <w:pPr>
        <w:numPr>
          <w:ilvl w:val="0"/>
          <w:numId w:val="91"/>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硬件管理</w:t>
      </w:r>
    </w:p>
    <w:p>
      <w:pPr>
        <w:spacing w:line="360" w:lineRule="auto"/>
        <w:ind w:firstLine="480"/>
        <w:rPr>
          <w:rFonts w:ascii="仿宋" w:hAnsi="仿宋" w:eastAsia="仿宋"/>
          <w:sz w:val="24"/>
          <w:szCs w:val="24"/>
          <w:lang w:val="zh-CN"/>
        </w:rPr>
      </w:pPr>
      <w:r>
        <w:rPr>
          <w:rFonts w:hint="eastAsia" w:ascii="仿宋" w:hAnsi="仿宋" w:eastAsia="仿宋"/>
          <w:sz w:val="24"/>
          <w:szCs w:val="24"/>
          <w:lang w:val="zh-CN"/>
        </w:rPr>
        <w:t>考勤机管理：考勤机管理。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记录导入：批量导入员工刷卡记录。</w:t>
      </w:r>
    </w:p>
    <w:p>
      <w:pPr>
        <w:numPr>
          <w:ilvl w:val="0"/>
          <w:numId w:val="91"/>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考勤设置</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法定节日：法定节假日管理。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例休日：例休日设置。</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班次设置：各部门班次管理。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员工设置：员工考勤及班次设置。</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排班：员工每月排班。</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信息维护：签卡等原因维护。</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高职设置：设置高职人员。</w:t>
      </w:r>
    </w:p>
    <w:p>
      <w:pPr>
        <w:numPr>
          <w:ilvl w:val="0"/>
          <w:numId w:val="91"/>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刷卡记录</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外勤刷卡：外勤员工刷卡记录列表。</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刷卡记录：查看部门人员每个人的刷卡记录。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签卡记录：签卡记录查看。</w:t>
      </w:r>
    </w:p>
    <w:p>
      <w:pPr>
        <w:numPr>
          <w:ilvl w:val="0"/>
          <w:numId w:val="91"/>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我的申请</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我的申请：查看我的所有类型及签卡申请。</w:t>
      </w:r>
    </w:p>
    <w:p>
      <w:pPr>
        <w:numPr>
          <w:ilvl w:val="0"/>
          <w:numId w:val="91"/>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考勤管理员</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批量申请：按部门人员批量申请所有类型或签卡申请。</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申请管理：批量管理所有人员的申请，如审批、删除。</w:t>
      </w:r>
    </w:p>
    <w:p>
      <w:pPr>
        <w:numPr>
          <w:ilvl w:val="0"/>
          <w:numId w:val="91"/>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考勤申请</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我的待审：我名下待审的单据列表。</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我的已审：我已审的单据列表。</w:t>
      </w:r>
    </w:p>
    <w:p>
      <w:pPr>
        <w:numPr>
          <w:ilvl w:val="0"/>
          <w:numId w:val="91"/>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流程管理</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审批管理：审批流程设置管理。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流程绑定：审批流程绑定给具体的部门或人员。</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流程统计：查看流程实例。</w:t>
      </w:r>
    </w:p>
    <w:p>
      <w:pPr>
        <w:numPr>
          <w:ilvl w:val="0"/>
          <w:numId w:val="91"/>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分析统计</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分析考勤：分析考勤为出报表作准备。</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统计考勤：统计个人考勤报表。</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初值调整：员工年假加班初值调整。</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录入统计：录入个人考勤月报表项目值。</w:t>
      </w:r>
    </w:p>
    <w:p>
      <w:pPr>
        <w:numPr>
          <w:ilvl w:val="0"/>
          <w:numId w:val="91"/>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考勤报表</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财务报表：按月统计工时、餐数、请假、迟到、旷工等数据。</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特殊统计报表：出具提前截止报表，比对正常报表，得出提前与正常报表的差异详情。</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本年汇总表：按部门、年份统计当年的考勤数据，其中，12月份数据为统计1到23号的特殊统计值。</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全年汇总表：按部门、年份统计当年的完整考勤数据。</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高职月汇总表：汇总高职员工月考勤数据。</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高职年汇总表：汇总高职员工考勤年数据。</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考勤状态表：按部门、时间范围统计员工每天的考勤数据。</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年假统计表：显示各部门员工的年假余额。</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每日出勤表：根据刷卡记录显示每天各部门员工的出勤情况。</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加班补休表：按部门、月份统计各部门加班、补休。</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连续缺勤表：根据刷卡记录显示连续若干天没有出勤的员工。</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签卡手续费：统计每月超出私事签卡3次的员工，打印缴费通知。</w:t>
      </w:r>
    </w:p>
    <w:p>
      <w:pPr>
        <w:numPr>
          <w:ilvl w:val="0"/>
          <w:numId w:val="91"/>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系统功能</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检查新员工</w:t>
      </w:r>
      <w:r>
        <w:rPr>
          <w:rFonts w:hint="eastAsia" w:ascii="仿宋" w:hAnsi="仿宋" w:eastAsia="仿宋"/>
          <w:sz w:val="24"/>
          <w:szCs w:val="24"/>
          <w:lang w:val="zh-CN" w:eastAsia="zh-CN"/>
        </w:rPr>
        <w:tab/>
      </w:r>
      <w:r>
        <w:rPr>
          <w:rFonts w:hint="eastAsia" w:ascii="仿宋" w:hAnsi="仿宋" w:eastAsia="仿宋"/>
          <w:sz w:val="24"/>
          <w:szCs w:val="24"/>
          <w:lang w:val="zh-CN" w:eastAsia="zh-CN"/>
        </w:rPr>
        <w:t>：执行检查新员工。</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操作记录：查看考勤系统操作记录详情。</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帮助说明：菜单的帮助解释说明。</w:t>
      </w:r>
    </w:p>
    <w:p>
      <w:pPr>
        <w:numPr>
          <w:ilvl w:val="0"/>
          <w:numId w:val="88"/>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培训</w:t>
      </w:r>
    </w:p>
    <w:p>
      <w:pPr>
        <w:numPr>
          <w:ilvl w:val="0"/>
          <w:numId w:val="92"/>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培训管理</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我的需求：新增培训需求。</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积分录入：员工积分明细录入。</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数据字典：状态、类型值等字典设置。</w:t>
      </w:r>
    </w:p>
    <w:p>
      <w:pPr>
        <w:spacing w:line="360" w:lineRule="auto"/>
        <w:ind w:firstLine="480"/>
        <w:rPr>
          <w:rFonts w:ascii="仿宋" w:hAnsi="仿宋" w:eastAsia="仿宋"/>
          <w:sz w:val="24"/>
          <w:szCs w:val="24"/>
          <w:lang w:val="zh-CN"/>
        </w:rPr>
      </w:pPr>
      <w:r>
        <w:rPr>
          <w:rFonts w:hint="eastAsia" w:ascii="仿宋" w:hAnsi="仿宋" w:eastAsia="仿宋"/>
          <w:sz w:val="24"/>
          <w:szCs w:val="24"/>
          <w:lang w:val="zh-CN"/>
        </w:rPr>
        <w:t>需求查看：各公司需求列表查看。</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导师资料：录入及查看导师资料详情。</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培训机构：录入及查看培训机构详情。</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课程库：录入课程及课件信息。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学员资料：各公司学员资料查询。</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培训计划：培训计划管理、学员管理、签到出勤信息、导师评价、在线考试等管理。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培训报名：查看培训课程报名详情。</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报名审批：批准学员报名课程。</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FTP目录管理：记录各公司FTP地址。</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培训心得：学员填写培训心得。</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培训结果：学员参加培训后的课程详情，费用录入。</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培训汇总：统计各公司、个人的各类培训数据。</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培训记录：复合查询公司或个人的培训记录。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二维码签到：相应课程签到二维码的生成。</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积分汇总：统计各公司、个人的汇总积分数据。</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计划公布：按公司发布培训计划。</w:t>
      </w:r>
    </w:p>
    <w:p>
      <w:pPr>
        <w:numPr>
          <w:ilvl w:val="0"/>
          <w:numId w:val="88"/>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宿舍（员工生活）</w:t>
      </w:r>
    </w:p>
    <w:p>
      <w:pPr>
        <w:numPr>
          <w:ilvl w:val="0"/>
          <w:numId w:val="93"/>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宿舍主页</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宿舍主页：待审及宿舍主住详情总览。</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图表分析：图形展示宿舍住宿按年、月、季等的数据。</w:t>
      </w:r>
    </w:p>
    <w:p>
      <w:pPr>
        <w:numPr>
          <w:ilvl w:val="0"/>
          <w:numId w:val="93"/>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宿舍主页基础设置</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区域权限：分配区域权限。</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房态显示：显示房间是否入住</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区域管理：新增区域及管理。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板块管理：新增管理区域下板块。</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板块权限：分配板块权限。</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楼栋管理：新增管理区域中的楼栋信息。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楼层管理：新增管理区域中的楼层信息。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房型管理：新增管理区域中户型及费用。</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单元管理：新增管理区域及板块中楼栋、楼层、户型、级别对照 、相应费用的信息。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物品管理：板块相应的物品管理。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宿舍级别：理</w:t>
      </w:r>
      <w:r>
        <w:rPr>
          <w:rFonts w:hint="eastAsia" w:ascii="仿宋" w:hAnsi="仿宋" w:eastAsia="仿宋"/>
          <w:sz w:val="24"/>
          <w:szCs w:val="24"/>
          <w:lang w:val="zh-CN" w:eastAsia="zh-CN"/>
        </w:rPr>
        <w:tab/>
      </w:r>
      <w:r>
        <w:rPr>
          <w:rFonts w:hint="eastAsia" w:ascii="仿宋" w:hAnsi="仿宋" w:eastAsia="仿宋"/>
          <w:sz w:val="24"/>
          <w:szCs w:val="24"/>
          <w:lang w:val="zh-CN" w:eastAsia="zh-CN"/>
        </w:rPr>
        <w:t>新增管理区域及板块的级别信息。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对照管理：级别及职位的对照关系。</w:t>
      </w:r>
    </w:p>
    <w:p>
      <w:pPr>
        <w:numPr>
          <w:ilvl w:val="0"/>
          <w:numId w:val="93"/>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宿舍管理</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住宿管理：入住、调宿、退宿申请管理及查看。</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临时入住：入住、调宿、退宿申请管理及查看（临时入住）。</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登记管理：入住、退宿信息登记。</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住宿人员确认：各公司人事、财务对住宿人员确认。</w:t>
      </w:r>
    </w:p>
    <w:p>
      <w:pPr>
        <w:numPr>
          <w:ilvl w:val="0"/>
          <w:numId w:val="93"/>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宿舍费管理</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集团宿舍费管理：集团统计宿舍费，包含公司、个人。</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分公司费用发送：按已统计的宿舍费单据发送给各公司确认。</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分公司宿舍费管理：分公司确认宿舍费及审批的过程，审批完成后，将对应EAS生成就应收应付单。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职员舍区宿舍费合计：职员舍区宿舍费统计。</w:t>
      </w:r>
    </w:p>
    <w:p>
      <w:pPr>
        <w:numPr>
          <w:ilvl w:val="0"/>
          <w:numId w:val="93"/>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费用管理</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税率方案：新增及管理税率方案。</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水费用方案：新增及管理水费用方案。</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电费方案：新增及管理电费用方案。</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天然气方案：新增及管理天然气费用方案。</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水电煤管理：按用量按金额录入水电煤实际表数。</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费用调整：财务按上月详情调整水电煤实际数据。</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离职宿舍费名单管理：离职人员宿舍费计算。</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人事费用调整：住宿人员因调整类型原因需要调整公司或费用。</w:t>
      </w:r>
    </w:p>
    <w:p>
      <w:pPr>
        <w:numPr>
          <w:ilvl w:val="0"/>
          <w:numId w:val="93"/>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维修管理</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维修管理：维修申请管理。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维修费管理：维修费新增、查看、管理。</w:t>
      </w:r>
    </w:p>
    <w:p>
      <w:pPr>
        <w:numPr>
          <w:ilvl w:val="0"/>
          <w:numId w:val="93"/>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审批管理</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审批流程：审批流程管理。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我的待办：待审已审单据查看及处理。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员工月别水电煤明细表：可按区域、板块、时间等详情查询员工月底、入住、调宿、退宿的水电煤明细。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职员住宿费计算报表：可按区域、板块、时间等详情查询职员住宿费。</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公司宿舍每月住宿：可按区域、时间等详情查询公司宿舍每月住宿费用。</w:t>
      </w:r>
    </w:p>
    <w:p>
      <w:pPr>
        <w:numPr>
          <w:ilvl w:val="0"/>
          <w:numId w:val="93"/>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宿舍报表</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公司按部门统计人数：可按区域、公司等详情查询公司宿舍按部门统计人数。</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公司宿舍入住天数：可按区域、公司等详情查询公司各职级人员入住天数。</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公司宿舍费明细：审核调整后的宿舍费。</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公司宿舍费汇总：审核调整后的宿舍费。</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部门宿舍费汇总：审核调整后的宿舍费。</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维修费月度表：可按区域、板块、时间等详情查询维修费。</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单元床位分析：可按区域、板块等详情查询各单元床位。</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职级性别人数月度表：可按区域、板块等详情查询各单元职级男女入住数据。</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水电煤月度表：可按区域、板块等详情查询各单元月度水电煤汇总。</w:t>
      </w:r>
    </w:p>
    <w:p>
      <w:pPr>
        <w:numPr>
          <w:ilvl w:val="0"/>
          <w:numId w:val="93"/>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资料打印</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资料打印：可按区域、单元打印宿舍物品、水电煤清单。</w:t>
      </w:r>
    </w:p>
    <w:p>
      <w:pPr>
        <w:numPr>
          <w:ilvl w:val="0"/>
          <w:numId w:val="93"/>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综合查询</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综合查询：可按区域、公司、员工等综合信息查询个人信息。。</w:t>
      </w:r>
    </w:p>
    <w:p>
      <w:pPr>
        <w:numPr>
          <w:ilvl w:val="0"/>
          <w:numId w:val="88"/>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人力资源</w:t>
      </w:r>
      <w:r>
        <w:rPr>
          <w:rFonts w:hint="eastAsia" w:ascii="仿宋" w:hAnsi="仿宋" w:eastAsia="仿宋"/>
          <w:sz w:val="24"/>
          <w:szCs w:val="24"/>
          <w:lang w:val="zh-CN"/>
        </w:rPr>
        <w:tab/>
      </w:r>
    </w:p>
    <w:p>
      <w:pPr>
        <w:numPr>
          <w:ilvl w:val="0"/>
          <w:numId w:val="94"/>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人事</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rPr>
      </w:pPr>
      <w:r>
        <w:rPr>
          <w:rFonts w:hint="eastAsia" w:ascii="仿宋" w:hAnsi="仿宋" w:eastAsia="仿宋"/>
          <w:sz w:val="24"/>
          <w:szCs w:val="24"/>
          <w:lang w:val="zh-CN"/>
        </w:rPr>
        <w:t>员工自助</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rPr>
      </w:pPr>
      <w:r>
        <w:rPr>
          <w:rFonts w:hint="eastAsia" w:ascii="仿宋" w:hAnsi="仿宋" w:eastAsia="仿宋"/>
          <w:sz w:val="24"/>
          <w:szCs w:val="24"/>
          <w:lang w:val="zh-CN"/>
        </w:rPr>
        <w:t>员工资料</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rPr>
      </w:pPr>
      <w:r>
        <w:rPr>
          <w:rFonts w:hint="eastAsia" w:ascii="仿宋" w:hAnsi="仿宋" w:eastAsia="仿宋"/>
          <w:sz w:val="24"/>
          <w:szCs w:val="24"/>
          <w:lang w:val="zh-CN"/>
        </w:rPr>
        <w:t>员工出入</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rPr>
      </w:pPr>
      <w:r>
        <w:rPr>
          <w:rFonts w:hint="eastAsia" w:ascii="仿宋" w:hAnsi="仿宋" w:eastAsia="仿宋"/>
          <w:sz w:val="24"/>
          <w:szCs w:val="24"/>
          <w:lang w:val="zh-CN"/>
        </w:rPr>
        <w:t>员工入职申请填写</w:t>
      </w:r>
      <w:r>
        <w:rPr>
          <w:rFonts w:hint="eastAsia" w:ascii="仿宋" w:hAnsi="仿宋" w:eastAsia="仿宋"/>
          <w:sz w:val="24"/>
          <w:szCs w:val="24"/>
          <w:lang w:val="zh-CN"/>
        </w:rPr>
        <w:tab/>
      </w:r>
    </w:p>
    <w:p>
      <w:pPr>
        <w:numPr>
          <w:ilvl w:val="0"/>
          <w:numId w:val="94"/>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考勤</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rPr>
      </w:pPr>
      <w:r>
        <w:rPr>
          <w:rFonts w:hint="eastAsia" w:ascii="仿宋" w:hAnsi="仿宋" w:eastAsia="仿宋"/>
          <w:sz w:val="24"/>
          <w:szCs w:val="24"/>
          <w:lang w:val="zh-CN"/>
        </w:rPr>
        <w:t>考勤审批</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rPr>
      </w:pPr>
      <w:r>
        <w:rPr>
          <w:rFonts w:hint="eastAsia" w:ascii="仿宋" w:hAnsi="仿宋" w:eastAsia="仿宋"/>
          <w:sz w:val="24"/>
          <w:szCs w:val="24"/>
          <w:lang w:val="zh-CN"/>
        </w:rPr>
        <w:t>移动考勤</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rPr>
      </w:pPr>
      <w:r>
        <w:rPr>
          <w:rFonts w:hint="eastAsia" w:ascii="仿宋" w:hAnsi="仿宋" w:eastAsia="仿宋"/>
          <w:sz w:val="24"/>
          <w:szCs w:val="24"/>
          <w:lang w:val="zh-CN"/>
        </w:rPr>
        <w:t>考勤申请</w:t>
      </w:r>
      <w:r>
        <w:rPr>
          <w:rFonts w:hint="eastAsia" w:ascii="仿宋" w:hAnsi="仿宋" w:eastAsia="仿宋"/>
          <w:sz w:val="24"/>
          <w:szCs w:val="24"/>
          <w:lang w:val="zh-CN"/>
        </w:rPr>
        <w:tab/>
      </w:r>
    </w:p>
    <w:p>
      <w:pPr>
        <w:numPr>
          <w:ilvl w:val="0"/>
          <w:numId w:val="94"/>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宿舍</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rPr>
      </w:pPr>
      <w:r>
        <w:rPr>
          <w:rFonts w:hint="eastAsia" w:ascii="仿宋" w:hAnsi="仿宋" w:eastAsia="仿宋"/>
          <w:sz w:val="24"/>
          <w:szCs w:val="24"/>
          <w:lang w:val="zh-CN"/>
        </w:rPr>
        <w:t>单元抄表</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rPr>
      </w:pPr>
      <w:r>
        <w:rPr>
          <w:rFonts w:hint="eastAsia" w:ascii="仿宋" w:hAnsi="仿宋" w:eastAsia="仿宋"/>
          <w:sz w:val="24"/>
          <w:szCs w:val="24"/>
          <w:lang w:val="zh-CN"/>
        </w:rPr>
        <w:t>移动审批</w:t>
      </w:r>
      <w:r>
        <w:rPr>
          <w:rFonts w:hint="eastAsia" w:ascii="仿宋" w:hAnsi="仿宋" w:eastAsia="仿宋"/>
          <w:sz w:val="24"/>
          <w:szCs w:val="24"/>
          <w:lang w:val="zh-CN"/>
        </w:rPr>
        <w:tab/>
      </w:r>
    </w:p>
    <w:p>
      <w:pPr>
        <w:spacing w:line="360" w:lineRule="auto"/>
        <w:ind w:firstLine="480"/>
        <w:rPr>
          <w:rFonts w:ascii="仿宋" w:hAnsi="仿宋" w:eastAsia="仿宋"/>
          <w:sz w:val="24"/>
          <w:szCs w:val="24"/>
          <w:lang w:val="zh-CN"/>
        </w:rPr>
      </w:pPr>
      <w:r>
        <w:rPr>
          <w:rFonts w:hint="eastAsia" w:ascii="仿宋" w:hAnsi="仿宋" w:eastAsia="仿宋"/>
          <w:sz w:val="24"/>
          <w:szCs w:val="24"/>
          <w:lang w:val="zh-CN"/>
        </w:rPr>
        <w:t>住宿申请</w:t>
      </w:r>
      <w:r>
        <w:rPr>
          <w:rFonts w:hint="eastAsia" w:ascii="仿宋" w:hAnsi="仿宋" w:eastAsia="仿宋"/>
          <w:sz w:val="24"/>
          <w:szCs w:val="24"/>
          <w:lang w:val="zh-CN"/>
        </w:rPr>
        <w:tab/>
      </w:r>
    </w:p>
    <w:p>
      <w:pPr>
        <w:pStyle w:val="9"/>
        <w:numPr>
          <w:ilvl w:val="0"/>
          <w:numId w:val="0"/>
        </w:numPr>
        <w:spacing w:line="360" w:lineRule="auto"/>
        <w:ind w:left="3"/>
        <w:rPr>
          <w:sz w:val="24"/>
          <w:szCs w:val="24"/>
        </w:rPr>
      </w:pPr>
      <w:r>
        <w:rPr>
          <w:rFonts w:hint="eastAsia"/>
          <w:sz w:val="24"/>
          <w:szCs w:val="24"/>
          <w:lang w:eastAsia="zh-CN"/>
        </w:rPr>
        <w:t>成</w:t>
      </w:r>
      <w:r>
        <w:rPr>
          <w:rFonts w:hint="eastAsia"/>
          <w:sz w:val="24"/>
          <w:szCs w:val="24"/>
        </w:rPr>
        <w:t>本核算管理系统</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建立医院全成本核算体系。全面支持新医院财务会计制度及医院等级评审标准对成本核算的要求，全面、真实、准确反映院区、科室提供医疗服务的成本，并找到科室的成本控制点，从而有效降低医疗运行成本。满足《政府会计制度》以及卫生系统对会计核算和成本管理的需要，遵循财务会计与责任会计体系的有机结合，建立基于全院所有核算单元的全成本核算、控制和计划体系。提供成本核算单元、成本分类、成本项目、收入项目、收费类别、收费项目、内部服务项目、分摊规则、参数值等基础信息进行维护的功能，支持科室成本、床日成本、诊次成本的归集与分摊。能够进行制度所定义的医疗成本核算、医疗全成本核算及医院全成本核算。</w:t>
      </w:r>
    </w:p>
    <w:p>
      <w:pPr>
        <w:numPr>
          <w:ilvl w:val="0"/>
          <w:numId w:val="95"/>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成本核算设置</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支持分区域核算</w:t>
      </w:r>
      <w:r>
        <w:rPr>
          <w:rFonts w:ascii="仿宋" w:hAnsi="仿宋" w:eastAsia="仿宋"/>
          <w:sz w:val="24"/>
          <w:szCs w:val="24"/>
          <w:lang w:val="zh-CN" w:eastAsia="zh-CN"/>
        </w:rPr>
        <w:t>,</w:t>
      </w:r>
      <w:r>
        <w:rPr>
          <w:rFonts w:hint="eastAsia" w:ascii="仿宋" w:hAnsi="仿宋" w:eastAsia="仿宋"/>
          <w:sz w:val="24"/>
          <w:szCs w:val="24"/>
          <w:lang w:val="zh-CN" w:eastAsia="zh-CN"/>
        </w:rPr>
        <w:t>以及自定义分类核算。支持与人事分区域对接。</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提供三种采集收入数据方式，内置取本数据库公式，支持从第三方库采集接口。</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成本项目设置：提供三种采集成本数据方式，内置取本数据库公式，支持从第三方库采集接口。提供财政拨款购买固定资产折旧费与无形资产摊销数据采集方式。提供科教项目购买固定资产折旧费与无形资产摊销数据采集方式。</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提供三种采集成本数据方式，内置取本数据库公式，支持从第三方库采集接口。如：门诊人次、实际占用总床日数、出入院人次、编制床位等</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提供自定义部门分组，可对各级别部门设置组合。按期间保存，满足对不同期间的需求。满足成本核算以成本分析调用。</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提供自定义收入项目分组，同类别可组合，满足收入汇总等数据调用。按期间保存，满足对不同期间的需求。</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提供自定义成本项目分组，同类别可组合，满足成本汇总等数据调用。按期间保存，满足对不同期间的需求。</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提供自定义工作量分组，同类别可组合，满足工作量汇总等数据调用。按期间保存，满足对不同期间的需求。</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采集外部数据参数对照表：一对多，一对一等对应方式。</w:t>
      </w:r>
    </w:p>
    <w:p>
      <w:pPr>
        <w:numPr>
          <w:ilvl w:val="0"/>
          <w:numId w:val="95"/>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数据采集</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收入信息采集：内置手工输入方式，账套内采集方式与外部数据库采集方式，按月保存在数据结果表。支持重复项自动覆盖。</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成本信息采集：内置手工输入方式，账套内采集方式与外部数据库采集方式，按月保存在数据结果表。支持重复项自动覆盖。</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工作量采集：内置手工输入方式，账套内采集方式与外部数据库采集方式，按月保存在数据结果表。支持重复项自动覆盖。</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收入、成本、工作量分开采集，分开存放，便于查询与核对。</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采集结果支持按项目编码、项目名称等字段查询，包含左匹配，有匹配，完全匹配等方式。</w:t>
      </w:r>
    </w:p>
    <w:p>
      <w:pPr>
        <w:numPr>
          <w:ilvl w:val="0"/>
          <w:numId w:val="95"/>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成本核算分摊定义</w:t>
      </w:r>
    </w:p>
    <w:p>
      <w:pPr>
        <w:adjustRightInd w:val="0"/>
        <w:snapToGrid w:val="0"/>
        <w:spacing w:line="360" w:lineRule="auto"/>
        <w:ind w:firstLine="480"/>
        <w:rPr>
          <w:rFonts w:ascii="仿宋" w:hAnsi="仿宋" w:eastAsia="仿宋"/>
          <w:sz w:val="24"/>
          <w:szCs w:val="24"/>
          <w:lang w:val="zh-CN"/>
        </w:rPr>
      </w:pPr>
      <w:r>
        <w:rPr>
          <w:rFonts w:hint="eastAsia" w:ascii="仿宋" w:hAnsi="仿宋" w:eastAsia="仿宋"/>
          <w:sz w:val="24"/>
          <w:szCs w:val="24"/>
          <w:lang w:val="zh-CN"/>
        </w:rPr>
        <w:t>支持自定义分摊级别。</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一级分摊：将行政后勤科室成本按比例向临床科室、医技科室和医辅科室分摊</w:t>
      </w:r>
      <w:r>
        <w:rPr>
          <w:rFonts w:ascii="仿宋" w:hAnsi="仿宋" w:eastAsia="仿宋"/>
          <w:sz w:val="24"/>
          <w:szCs w:val="24"/>
          <w:lang w:val="zh-CN" w:eastAsia="zh-CN"/>
        </w:rPr>
        <w:t>,</w:t>
      </w:r>
      <w:r>
        <w:rPr>
          <w:rFonts w:hint="eastAsia" w:ascii="仿宋" w:hAnsi="仿宋" w:eastAsia="仿宋"/>
          <w:sz w:val="24"/>
          <w:szCs w:val="24"/>
          <w:lang w:val="zh-CN" w:eastAsia="zh-CN"/>
        </w:rPr>
        <w:t>并实行分项结转。</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二级分摊：将医辅科室成本向临床科室和医技科室分摊</w:t>
      </w:r>
      <w:r>
        <w:rPr>
          <w:rFonts w:ascii="仿宋" w:hAnsi="仿宋" w:eastAsia="仿宋"/>
          <w:sz w:val="24"/>
          <w:szCs w:val="24"/>
          <w:lang w:val="zh-CN" w:eastAsia="zh-CN"/>
        </w:rPr>
        <w:t xml:space="preserve"> ,</w:t>
      </w:r>
      <w:r>
        <w:rPr>
          <w:rFonts w:hint="eastAsia" w:ascii="仿宋" w:hAnsi="仿宋" w:eastAsia="仿宋"/>
          <w:sz w:val="24"/>
          <w:szCs w:val="24"/>
          <w:lang w:val="zh-CN" w:eastAsia="zh-CN"/>
        </w:rPr>
        <w:t>并实行分项结转。</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三级分摊：将医技科室成本向临床科室并实行分项结转。</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公共费用分摊：将公共费用成本按分摊方案细分至受益科室。</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根据分摊方式设定转出转入科目与科室以及比例。</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提供财政拨款购买固定资产折旧费与无形资产摊销费数据分摊方式。</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提供科教项目购买固定资产折旧费与无形资产摊销费数据分摊方式。</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可以设置颜色区分转出转入定义信息。</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支出转入转出科室为单独科室或者科室分组。</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分摊方案支持按各种工作量进行成本分摊。</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支持一对多、多对一、多对多进行分析分摊模式，满足不同需求方案。</w:t>
      </w:r>
    </w:p>
    <w:p>
      <w:pPr>
        <w:numPr>
          <w:ilvl w:val="0"/>
          <w:numId w:val="95"/>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成本分摊</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支持按分摊定义明细进行分摊。</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支持按分摊定义级别进行分摊。</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支持批量全部进行分摊。</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保存每月分摊定义且提供刷新分摊定义，便于分摊方案不同期间不同分摊方案。</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支持对分摊结果按月份进行查询。</w:t>
      </w:r>
    </w:p>
    <w:p>
      <w:pPr>
        <w:numPr>
          <w:ilvl w:val="0"/>
          <w:numId w:val="95"/>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成本分摊结果</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成本分摊结果列表：可查询分摊后最终结果。</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成本分摊中间结果：可分摊级别查询分摊每个阶段的结果。</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成本分摊过程明细表：可查询单个科室的每笔间接成本转入来源以及转入后余额。</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成本分摊结果明细表：可查询单个科室的成本间接成本转入的分摊方案以及转入余额。</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成本分摊结果多栏账：可查询单个科室的间接成本转入的成本类别，如由管理费用转入或者医疗业务成本转入</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成本分摊结果分类列表（按项目）：可按单个项目查询各科室的分摊最终结果。</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成本分摊结果分类列表（按部门）：可按单个部门查询各项目的分摊最终结果。</w:t>
      </w:r>
    </w:p>
    <w:p>
      <w:pPr>
        <w:numPr>
          <w:ilvl w:val="0"/>
          <w:numId w:val="95"/>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成本核算报表</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提供报表自定义编制功能。</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内置多种取数公式，包括常用函数、运算符、项目、收入、成本、工作量、部门等</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公式支持</w:t>
      </w:r>
      <w:r>
        <w:rPr>
          <w:rFonts w:ascii="仿宋" w:hAnsi="仿宋" w:eastAsia="仿宋"/>
          <w:sz w:val="24"/>
          <w:szCs w:val="24"/>
          <w:lang w:val="zh-CN" w:eastAsia="zh-CN"/>
        </w:rPr>
        <w:t>%</w:t>
      </w:r>
      <w:r>
        <w:rPr>
          <w:rFonts w:hint="eastAsia" w:ascii="仿宋" w:hAnsi="仿宋" w:eastAsia="仿宋"/>
          <w:sz w:val="24"/>
          <w:szCs w:val="24"/>
          <w:lang w:val="zh-CN" w:eastAsia="zh-CN"/>
        </w:rPr>
        <w:t>号通配符，可以轻松获取各分级数据。</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支持本月取数和累计取数公式设计。</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支持动态行设置，可自动按分组成员生成报表的行</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报表支导出与导入模板操作，快速制作报表。</w:t>
      </w:r>
    </w:p>
    <w:p>
      <w:pPr>
        <w:adjustRightInd w:val="0"/>
        <w:snapToGrid w:val="0"/>
        <w:spacing w:line="360" w:lineRule="auto"/>
        <w:ind w:firstLine="199" w:firstLineChars="83"/>
        <w:rPr>
          <w:rFonts w:ascii="仿宋" w:hAnsi="仿宋" w:eastAsia="仿宋"/>
          <w:sz w:val="24"/>
          <w:szCs w:val="24"/>
          <w:lang w:val="zh-CN" w:eastAsia="zh-CN"/>
        </w:rPr>
      </w:pPr>
      <w:r>
        <w:rPr>
          <w:rFonts w:ascii="仿宋" w:hAnsi="仿宋" w:eastAsia="仿宋"/>
          <w:sz w:val="24"/>
          <w:szCs w:val="24"/>
          <w:lang w:val="zh-CN" w:eastAsia="zh-CN"/>
        </w:rPr>
        <w:t></w:t>
      </w:r>
      <w:r>
        <w:rPr>
          <w:rFonts w:hint="eastAsia" w:ascii="仿宋" w:hAnsi="仿宋" w:eastAsia="仿宋"/>
          <w:sz w:val="24"/>
          <w:szCs w:val="24"/>
          <w:lang w:val="zh-CN" w:eastAsia="zh-CN"/>
        </w:rPr>
        <w:t>支持报表页头页尾设置。</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报表数据导出：批量导出选定报表数据，可多月份导出。</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预置医院专属成本报表。包含：各科室直接成本报表（医疗成本）、医院各科室直接成本表（医疗全成本和医院全成本）、医院临床服务类科室全成本表（医疗成本）、医院临床服务类科室全成本表</w:t>
      </w:r>
      <w:r>
        <w:rPr>
          <w:rFonts w:ascii="仿宋" w:hAnsi="仿宋" w:eastAsia="仿宋"/>
          <w:sz w:val="24"/>
          <w:szCs w:val="24"/>
          <w:lang w:val="zh-CN" w:eastAsia="zh-CN"/>
        </w:rPr>
        <w:t>(</w:t>
      </w:r>
      <w:r>
        <w:rPr>
          <w:rFonts w:hint="eastAsia" w:ascii="仿宋" w:hAnsi="仿宋" w:eastAsia="仿宋"/>
          <w:sz w:val="24"/>
          <w:szCs w:val="24"/>
          <w:lang w:val="zh-CN" w:eastAsia="zh-CN"/>
        </w:rPr>
        <w:t>医疗全成本和医院全成本</w:t>
      </w:r>
      <w:r>
        <w:rPr>
          <w:rFonts w:ascii="仿宋" w:hAnsi="仿宋" w:eastAsia="仿宋"/>
          <w:sz w:val="24"/>
          <w:szCs w:val="24"/>
          <w:lang w:val="zh-CN" w:eastAsia="zh-CN"/>
        </w:rPr>
        <w:t>)</w:t>
      </w:r>
      <w:r>
        <w:rPr>
          <w:rFonts w:hint="eastAsia" w:ascii="仿宋" w:hAnsi="仿宋" w:eastAsia="仿宋"/>
          <w:sz w:val="24"/>
          <w:szCs w:val="24"/>
          <w:lang w:val="zh-CN" w:eastAsia="zh-CN"/>
        </w:rPr>
        <w:t>、医院临床服务类科室全成本构成分析表、医院临床服务类科室全成本构成分析表</w:t>
      </w:r>
      <w:r>
        <w:rPr>
          <w:rFonts w:ascii="仿宋" w:hAnsi="仿宋" w:eastAsia="仿宋"/>
          <w:sz w:val="24"/>
          <w:szCs w:val="24"/>
          <w:lang w:val="zh-CN" w:eastAsia="zh-CN"/>
        </w:rPr>
        <w:t>(</w:t>
      </w:r>
      <w:r>
        <w:rPr>
          <w:rFonts w:hint="eastAsia" w:ascii="仿宋" w:hAnsi="仿宋" w:eastAsia="仿宋"/>
          <w:sz w:val="24"/>
          <w:szCs w:val="24"/>
          <w:lang w:val="zh-CN" w:eastAsia="zh-CN"/>
        </w:rPr>
        <w:t>医疗全成本和医院全成本</w:t>
      </w:r>
      <w:r>
        <w:rPr>
          <w:rFonts w:ascii="仿宋" w:hAnsi="仿宋" w:eastAsia="仿宋"/>
          <w:sz w:val="24"/>
          <w:szCs w:val="24"/>
          <w:lang w:val="zh-CN" w:eastAsia="zh-CN"/>
        </w:rPr>
        <w:t>)</w:t>
      </w:r>
      <w:r>
        <w:rPr>
          <w:rFonts w:hint="eastAsia" w:ascii="仿宋" w:hAnsi="仿宋" w:eastAsia="仿宋"/>
          <w:sz w:val="24"/>
          <w:szCs w:val="24"/>
          <w:lang w:val="zh-CN" w:eastAsia="zh-CN"/>
        </w:rPr>
        <w:t>、医院各科室医疗成本三级分摊表、医院医技科室分摊行政后勤和医辅成本损益表、医院临床科室分摊医技和医辅科室成本损益表、医院临床服务类科室业务收入明细及损益表、医院各科室各类人员经费明细表、医院各科室其他费用明细表、医院临床服务类科室工作量及次均费用表、医院基本情况分析表，以上报表均支持本月数和累计数。</w:t>
      </w:r>
    </w:p>
    <w:p>
      <w:pPr>
        <w:numPr>
          <w:ilvl w:val="0"/>
          <w:numId w:val="95"/>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成本核算分析</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提供四种分析方式的自定义模块。包含趋势分析、比较分析、结构分析、本量利分析。</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趋势分析：通过若干个连续期间的数据，分析在一个区间范围内的数据，反映数据变化以及发展趋势。</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比较分析：显示两个不同期间或者季度、年度数据，分析两个期间的数据变化与差异。找出产生差异的原因。</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结构分析：在一定期间为范围内，分析各项目的结构以及占比。找出影响成本的关键点。</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本量利分析：通过固定成本，变动成本与业务量等数据分析医院科室的保本点业务量。</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支持对收入项目、成本项目、业务量等数据的分析，其中成本包含对直接成本与全成本的分析。</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四种分析功能均支持自定义设置分析方案。</w:t>
      </w:r>
    </w:p>
    <w:p>
      <w:pPr>
        <w:pStyle w:val="9"/>
        <w:numPr>
          <w:ilvl w:val="0"/>
          <w:numId w:val="0"/>
        </w:numPr>
        <w:spacing w:line="360" w:lineRule="auto"/>
        <w:ind w:left="3"/>
        <w:rPr>
          <w:sz w:val="24"/>
          <w:szCs w:val="24"/>
        </w:rPr>
      </w:pPr>
      <w:r>
        <w:rPr>
          <w:rFonts w:hint="eastAsia"/>
          <w:sz w:val="24"/>
          <w:szCs w:val="24"/>
        </w:rPr>
        <w:t>绩效管理系统</w:t>
      </w:r>
    </w:p>
    <w:p>
      <w:pPr>
        <w:numPr>
          <w:ilvl w:val="0"/>
          <w:numId w:val="96"/>
        </w:numPr>
        <w:adjustRightInd w:val="0"/>
        <w:snapToGrid w:val="0"/>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院内指标库</w:t>
      </w:r>
    </w:p>
    <w:p>
      <w:pPr>
        <w:numPr>
          <w:ilvl w:val="0"/>
          <w:numId w:val="97"/>
        </w:numPr>
        <w:adjustRightInd w:val="0"/>
        <w:snapToGrid w:val="0"/>
        <w:spacing w:line="360" w:lineRule="auto"/>
        <w:jc w:val="both"/>
        <w:rPr>
          <w:rFonts w:ascii="仿宋" w:hAnsi="仿宋" w:eastAsia="仿宋"/>
          <w:sz w:val="24"/>
          <w:szCs w:val="24"/>
          <w:lang w:val="zh-CN"/>
        </w:rPr>
      </w:pPr>
      <w:r>
        <w:rPr>
          <w:rFonts w:hint="eastAsia" w:ascii="仿宋" w:hAnsi="仿宋" w:eastAsia="仿宋"/>
          <w:sz w:val="24"/>
          <w:szCs w:val="24"/>
          <w:lang w:val="zh-CN"/>
        </w:rPr>
        <w:t>数量指标库</w:t>
      </w:r>
    </w:p>
    <w:p>
      <w:pPr>
        <w:adjustRightInd w:val="0"/>
        <w:snapToGrid w:val="0"/>
        <w:spacing w:line="360" w:lineRule="auto"/>
        <w:ind w:firstLine="480"/>
        <w:rPr>
          <w:rFonts w:ascii="仿宋" w:hAnsi="仿宋" w:eastAsia="仿宋"/>
          <w:sz w:val="24"/>
          <w:szCs w:val="24"/>
          <w:lang w:val="zh-CN"/>
        </w:rPr>
      </w:pPr>
      <w:r>
        <w:rPr>
          <w:rFonts w:hint="eastAsia" w:ascii="仿宋" w:hAnsi="仿宋" w:eastAsia="仿宋"/>
          <w:sz w:val="24"/>
          <w:szCs w:val="24"/>
          <w:lang w:val="zh-CN" w:eastAsia="zh-CN"/>
        </w:rPr>
        <w:t>院内的数量指标库，可点击查看指标定义、统计口径等详情。</w:t>
      </w:r>
      <w:r>
        <w:rPr>
          <w:rFonts w:hint="eastAsia" w:ascii="仿宋" w:hAnsi="仿宋" w:eastAsia="仿宋"/>
          <w:sz w:val="24"/>
          <w:szCs w:val="24"/>
          <w:lang w:val="zh-CN"/>
        </w:rPr>
        <w:t>由信息中心维护。</w:t>
      </w:r>
    </w:p>
    <w:p>
      <w:pPr>
        <w:numPr>
          <w:ilvl w:val="0"/>
          <w:numId w:val="97"/>
        </w:numPr>
        <w:adjustRightInd w:val="0"/>
        <w:snapToGrid w:val="0"/>
        <w:spacing w:line="360" w:lineRule="auto"/>
        <w:jc w:val="both"/>
        <w:rPr>
          <w:rFonts w:ascii="仿宋" w:hAnsi="仿宋" w:eastAsia="仿宋"/>
          <w:sz w:val="24"/>
          <w:szCs w:val="24"/>
          <w:lang w:val="zh-CN"/>
        </w:rPr>
      </w:pPr>
      <w:r>
        <w:rPr>
          <w:rFonts w:hint="eastAsia" w:ascii="仿宋" w:hAnsi="仿宋" w:eastAsia="仿宋"/>
          <w:sz w:val="24"/>
          <w:szCs w:val="24"/>
          <w:lang w:val="zh-CN"/>
        </w:rPr>
        <w:t>质量指标库</w:t>
      </w:r>
    </w:p>
    <w:p>
      <w:pPr>
        <w:adjustRightInd w:val="0"/>
        <w:snapToGrid w:val="0"/>
        <w:spacing w:line="360" w:lineRule="auto"/>
        <w:ind w:firstLine="480"/>
        <w:rPr>
          <w:rFonts w:ascii="仿宋" w:hAnsi="仿宋" w:eastAsia="仿宋"/>
          <w:sz w:val="24"/>
          <w:szCs w:val="24"/>
          <w:lang w:val="zh-CN"/>
        </w:rPr>
      </w:pPr>
      <w:r>
        <w:rPr>
          <w:rFonts w:hint="eastAsia" w:ascii="仿宋" w:hAnsi="仿宋" w:eastAsia="仿宋"/>
          <w:sz w:val="24"/>
          <w:szCs w:val="24"/>
          <w:lang w:val="zh-CN" w:eastAsia="zh-CN"/>
        </w:rPr>
        <w:t>院内的质量指标库，可点击查看指标定义、统计方式、统计口径等详情。</w:t>
      </w:r>
      <w:r>
        <w:rPr>
          <w:rFonts w:hint="eastAsia" w:ascii="仿宋" w:hAnsi="仿宋" w:eastAsia="仿宋"/>
          <w:sz w:val="24"/>
          <w:szCs w:val="24"/>
          <w:lang w:val="zh-CN"/>
        </w:rPr>
        <w:t>由信息中心维护。</w:t>
      </w:r>
    </w:p>
    <w:p>
      <w:pPr>
        <w:numPr>
          <w:ilvl w:val="0"/>
          <w:numId w:val="96"/>
        </w:numPr>
        <w:adjustRightInd w:val="0"/>
        <w:snapToGrid w:val="0"/>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院内考核设置</w:t>
      </w:r>
    </w:p>
    <w:p>
      <w:pPr>
        <w:numPr>
          <w:ilvl w:val="0"/>
          <w:numId w:val="98"/>
        </w:numPr>
        <w:adjustRightInd w:val="0"/>
        <w:snapToGrid w:val="0"/>
        <w:spacing w:line="360" w:lineRule="auto"/>
        <w:jc w:val="both"/>
        <w:rPr>
          <w:rFonts w:ascii="仿宋" w:hAnsi="仿宋" w:eastAsia="仿宋"/>
          <w:sz w:val="24"/>
          <w:szCs w:val="24"/>
          <w:lang w:val="zh-CN"/>
        </w:rPr>
      </w:pPr>
      <w:r>
        <w:rPr>
          <w:rFonts w:hint="eastAsia" w:ascii="仿宋" w:hAnsi="仿宋" w:eastAsia="仿宋"/>
          <w:sz w:val="24"/>
          <w:szCs w:val="24"/>
          <w:lang w:val="zh-CN"/>
        </w:rPr>
        <w:t>审核层级设置</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设置机构院内考核的数量指标审核级数，级别有医生个人、考核组、机构领导三级审核。机构可以根据自己院内情况，设置需要的审核级数。</w:t>
      </w:r>
    </w:p>
    <w:p>
      <w:pPr>
        <w:numPr>
          <w:ilvl w:val="0"/>
          <w:numId w:val="98"/>
        </w:numPr>
        <w:adjustRightInd w:val="0"/>
        <w:snapToGrid w:val="0"/>
        <w:spacing w:line="360" w:lineRule="auto"/>
        <w:jc w:val="both"/>
        <w:rPr>
          <w:rFonts w:ascii="仿宋" w:hAnsi="仿宋" w:eastAsia="仿宋"/>
          <w:sz w:val="24"/>
          <w:szCs w:val="24"/>
          <w:lang w:val="zh-CN"/>
        </w:rPr>
      </w:pPr>
      <w:r>
        <w:rPr>
          <w:rFonts w:hint="eastAsia" w:ascii="仿宋" w:hAnsi="仿宋" w:eastAsia="仿宋"/>
          <w:sz w:val="24"/>
          <w:szCs w:val="24"/>
          <w:lang w:val="zh-CN"/>
        </w:rPr>
        <w:t>数量指标绑定</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对所需的数量指标进行选取、绑定操作，绑定对象须先选择机构，再选考核组。</w:t>
      </w:r>
    </w:p>
    <w:p>
      <w:pPr>
        <w:numPr>
          <w:ilvl w:val="0"/>
          <w:numId w:val="98"/>
        </w:numPr>
        <w:adjustRightInd w:val="0"/>
        <w:snapToGrid w:val="0"/>
        <w:spacing w:line="360" w:lineRule="auto"/>
        <w:jc w:val="both"/>
        <w:rPr>
          <w:rFonts w:ascii="仿宋" w:hAnsi="仿宋" w:eastAsia="仿宋"/>
          <w:sz w:val="24"/>
          <w:szCs w:val="24"/>
          <w:lang w:val="zh-CN"/>
        </w:rPr>
      </w:pPr>
      <w:r>
        <w:rPr>
          <w:rFonts w:hint="eastAsia" w:ascii="仿宋" w:hAnsi="仿宋" w:eastAsia="仿宋"/>
          <w:sz w:val="24"/>
          <w:szCs w:val="24"/>
          <w:lang w:val="zh-CN"/>
        </w:rPr>
        <w:t>质量指标绑定</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绑定需要考核的疗效评价指标，以及每项指标得分。需要先为机构绑定质量指标，再为每个考核组绑定指标；</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设置质量考核的时间范围，按月、季度考核；</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每年需重新绑定指标，如果没有变动可使用【生成本年数据】引入上年绑定方案。</w:t>
      </w:r>
    </w:p>
    <w:p>
      <w:pPr>
        <w:numPr>
          <w:ilvl w:val="0"/>
          <w:numId w:val="98"/>
        </w:numPr>
        <w:adjustRightInd w:val="0"/>
        <w:snapToGrid w:val="0"/>
        <w:spacing w:line="360" w:lineRule="auto"/>
        <w:jc w:val="both"/>
        <w:rPr>
          <w:rFonts w:ascii="仿宋" w:hAnsi="仿宋" w:eastAsia="仿宋"/>
          <w:sz w:val="24"/>
          <w:szCs w:val="24"/>
          <w:lang w:val="zh-CN"/>
        </w:rPr>
      </w:pPr>
      <w:r>
        <w:rPr>
          <w:rFonts w:hint="eastAsia" w:ascii="仿宋" w:hAnsi="仿宋" w:eastAsia="仿宋"/>
          <w:sz w:val="24"/>
          <w:szCs w:val="24"/>
          <w:lang w:val="zh-CN"/>
        </w:rPr>
        <w:t>指标当量设置</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对机构绑定的指标，设置机构内部的标化当量值。并按工作要素进行倒算，来确定各项目标化工作当量。</w:t>
      </w:r>
    </w:p>
    <w:p>
      <w:pPr>
        <w:numPr>
          <w:ilvl w:val="0"/>
          <w:numId w:val="98"/>
        </w:numPr>
        <w:adjustRightInd w:val="0"/>
        <w:snapToGrid w:val="0"/>
        <w:spacing w:line="360" w:lineRule="auto"/>
        <w:jc w:val="both"/>
        <w:rPr>
          <w:rFonts w:ascii="仿宋" w:hAnsi="仿宋" w:eastAsia="仿宋"/>
          <w:sz w:val="24"/>
          <w:szCs w:val="24"/>
          <w:lang w:val="zh-CN"/>
        </w:rPr>
      </w:pPr>
      <w:r>
        <w:rPr>
          <w:rFonts w:hint="eastAsia" w:ascii="仿宋" w:hAnsi="仿宋" w:eastAsia="仿宋"/>
          <w:sz w:val="24"/>
          <w:szCs w:val="24"/>
          <w:lang w:val="zh-CN"/>
        </w:rPr>
        <w:t>当量单价</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需为各年份设置院内考核的当量单价，即每当量对应的金额值。</w:t>
      </w:r>
    </w:p>
    <w:p>
      <w:pPr>
        <w:numPr>
          <w:ilvl w:val="0"/>
          <w:numId w:val="98"/>
        </w:numPr>
        <w:adjustRightInd w:val="0"/>
        <w:snapToGrid w:val="0"/>
        <w:spacing w:line="360" w:lineRule="auto"/>
        <w:jc w:val="both"/>
        <w:rPr>
          <w:rFonts w:ascii="仿宋" w:hAnsi="仿宋" w:eastAsia="仿宋"/>
          <w:sz w:val="24"/>
          <w:szCs w:val="24"/>
          <w:lang w:val="zh-CN"/>
        </w:rPr>
      </w:pPr>
      <w:r>
        <w:rPr>
          <w:rFonts w:hint="eastAsia" w:ascii="仿宋" w:hAnsi="仿宋" w:eastAsia="仿宋"/>
          <w:sz w:val="24"/>
          <w:szCs w:val="24"/>
          <w:lang w:val="zh-CN"/>
        </w:rPr>
        <w:t>特殊补扣设置</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机构对个人的一些特殊补贴和扣除项目进行统一设置，包括补扣项目名称，补扣说明，补扣金额，补扣类型，是否参与平均等。</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设置时，不确定补扣金额的，金额可以为空。</w:t>
      </w:r>
    </w:p>
    <w:p>
      <w:pPr>
        <w:numPr>
          <w:ilvl w:val="0"/>
          <w:numId w:val="98"/>
        </w:numPr>
        <w:adjustRightInd w:val="0"/>
        <w:snapToGrid w:val="0"/>
        <w:spacing w:line="360" w:lineRule="auto"/>
        <w:jc w:val="both"/>
        <w:rPr>
          <w:rFonts w:ascii="仿宋" w:hAnsi="仿宋" w:eastAsia="仿宋"/>
          <w:sz w:val="24"/>
          <w:szCs w:val="24"/>
          <w:lang w:val="zh-CN"/>
        </w:rPr>
      </w:pPr>
      <w:r>
        <w:rPr>
          <w:rFonts w:hint="eastAsia" w:ascii="仿宋" w:hAnsi="仿宋" w:eastAsia="仿宋"/>
          <w:sz w:val="24"/>
          <w:szCs w:val="24"/>
          <w:lang w:val="zh-CN"/>
        </w:rPr>
        <w:t>考核奖提取金额</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设置上年度机构在编人员平均工资，合同工平均工资，自动计算差额。</w:t>
      </w:r>
    </w:p>
    <w:p>
      <w:pPr>
        <w:numPr>
          <w:ilvl w:val="0"/>
          <w:numId w:val="98"/>
        </w:numPr>
        <w:adjustRightInd w:val="0"/>
        <w:snapToGrid w:val="0"/>
        <w:spacing w:line="360" w:lineRule="auto"/>
        <w:jc w:val="both"/>
        <w:rPr>
          <w:rFonts w:ascii="仿宋" w:hAnsi="仿宋" w:eastAsia="仿宋"/>
          <w:sz w:val="24"/>
          <w:szCs w:val="24"/>
          <w:lang w:val="zh-CN"/>
        </w:rPr>
      </w:pPr>
      <w:r>
        <w:rPr>
          <w:rFonts w:hint="eastAsia" w:ascii="仿宋" w:hAnsi="仿宋" w:eastAsia="仿宋"/>
          <w:sz w:val="24"/>
          <w:szCs w:val="24"/>
          <w:lang w:val="zh-CN"/>
        </w:rPr>
        <w:t>考核组管理</w:t>
      </w:r>
    </w:p>
    <w:p>
      <w:pPr>
        <w:numPr>
          <w:ilvl w:val="0"/>
          <w:numId w:val="99"/>
        </w:numPr>
        <w:adjustRightInd w:val="0"/>
        <w:snapToGrid w:val="0"/>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新增考核组、成员绑定、组长设置</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根据院内考核情况，分配考核组，设置考核组成员和组长，组长具有考核组的审核权限。</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因职工可能有多个业务账号，考核组设置时需选择“考核对象类型”来限制业务数据的统计范围。</w:t>
      </w:r>
    </w:p>
    <w:p>
      <w:pPr>
        <w:numPr>
          <w:ilvl w:val="0"/>
          <w:numId w:val="99"/>
        </w:numPr>
        <w:adjustRightInd w:val="0"/>
        <w:snapToGrid w:val="0"/>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组考核方案、考核模式、工作系数设置</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可设置的考核组考核方案有：</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工作量考核：根据工作当量计算绩效考核金额；</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平均绩效：按本院平均绩效发放。</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可设置的考核组考核模式有：</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按团队考核（组内人员数据）：按组考核，数据来自组内成员生成，考核结果按组统计，组长根据情况进行个人再分配；</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按团队考核（非组内人员数据）：按团队考核，数据并非由组内成员产生的，如护理组，统计门急诊人次（医生数据），则把院级的门急诊人次数据，统计给当前护理组使用；</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按个人考核：直接统计个人工作量，展示个人工作数据。</w:t>
      </w:r>
    </w:p>
    <w:p>
      <w:pPr>
        <w:numPr>
          <w:ilvl w:val="0"/>
          <w:numId w:val="100"/>
        </w:numPr>
        <w:adjustRightInd w:val="0"/>
        <w:snapToGrid w:val="0"/>
        <w:spacing w:line="360" w:lineRule="auto"/>
        <w:jc w:val="both"/>
        <w:rPr>
          <w:rFonts w:ascii="仿宋" w:hAnsi="仿宋" w:eastAsia="仿宋"/>
          <w:sz w:val="24"/>
          <w:szCs w:val="24"/>
          <w:lang w:val="zh-CN"/>
        </w:rPr>
      </w:pPr>
      <w:r>
        <w:rPr>
          <w:rFonts w:hint="eastAsia" w:ascii="仿宋" w:hAnsi="仿宋" w:eastAsia="仿宋"/>
          <w:sz w:val="24"/>
          <w:szCs w:val="24"/>
          <w:lang w:val="zh-CN"/>
        </w:rPr>
        <w:t>工作系数设置：</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按团队/组考核，需要设置团队组的工作系数，默认工作系数为1；</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按个人考核、平均绩效考核的，需设置个人的工作系数，默认工作系数为1。</w:t>
      </w:r>
    </w:p>
    <w:p>
      <w:pPr>
        <w:numPr>
          <w:ilvl w:val="0"/>
          <w:numId w:val="101"/>
        </w:numPr>
        <w:adjustRightInd w:val="0"/>
        <w:snapToGrid w:val="0"/>
        <w:spacing w:line="360" w:lineRule="auto"/>
        <w:jc w:val="both"/>
        <w:rPr>
          <w:rFonts w:ascii="仿宋" w:hAnsi="仿宋" w:eastAsia="仿宋"/>
          <w:sz w:val="24"/>
          <w:szCs w:val="24"/>
          <w:lang w:val="zh-CN"/>
        </w:rPr>
      </w:pPr>
      <w:r>
        <w:rPr>
          <w:rFonts w:hint="eastAsia" w:ascii="仿宋" w:hAnsi="仿宋" w:eastAsia="仿宋"/>
          <w:sz w:val="24"/>
          <w:szCs w:val="24"/>
          <w:lang w:val="zh-CN"/>
        </w:rPr>
        <w:t>分配比例设置：</w:t>
      </w:r>
    </w:p>
    <w:p>
      <w:pPr>
        <w:adjustRightInd w:val="0"/>
        <w:snapToGrid w:val="0"/>
        <w:spacing w:line="360" w:lineRule="auto"/>
        <w:ind w:firstLine="480"/>
        <w:rPr>
          <w:rFonts w:ascii="仿宋" w:hAnsi="仿宋" w:eastAsia="仿宋"/>
          <w:sz w:val="24"/>
          <w:szCs w:val="24"/>
          <w:lang w:val="zh-CN"/>
        </w:rPr>
      </w:pPr>
      <w:r>
        <w:rPr>
          <w:rFonts w:hint="eastAsia" w:ascii="仿宋" w:hAnsi="仿宋" w:eastAsia="仿宋"/>
          <w:sz w:val="24"/>
          <w:szCs w:val="24"/>
          <w:lang w:val="zh-CN" w:eastAsia="zh-CN"/>
        </w:rPr>
        <w:t>按团队考核的，需设置组内成员的当量“分配比例”，否则按成员实际工作量分配。</w:t>
      </w:r>
      <w:r>
        <w:rPr>
          <w:rFonts w:hint="eastAsia" w:ascii="仿宋" w:hAnsi="仿宋" w:eastAsia="仿宋"/>
          <w:sz w:val="24"/>
          <w:szCs w:val="24"/>
          <w:lang w:val="zh-CN"/>
        </w:rPr>
        <w:t>分配比例总和为100%。</w:t>
      </w:r>
    </w:p>
    <w:p>
      <w:pPr>
        <w:numPr>
          <w:ilvl w:val="0"/>
          <w:numId w:val="96"/>
        </w:numPr>
        <w:adjustRightInd w:val="0"/>
        <w:snapToGrid w:val="0"/>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考核组指标绑定</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同一职工，可属于不同的考核组，考核不同的指标。因此需要对考核组绑定考核指标，系统根据考核组统计指标当量；注意勿将同一职工的考核组绑定同一指标。</w:t>
      </w:r>
    </w:p>
    <w:p>
      <w:pPr>
        <w:numPr>
          <w:ilvl w:val="0"/>
          <w:numId w:val="102"/>
        </w:numPr>
        <w:adjustRightInd w:val="0"/>
        <w:snapToGrid w:val="0"/>
        <w:spacing w:line="360" w:lineRule="auto"/>
        <w:jc w:val="both"/>
        <w:rPr>
          <w:rFonts w:ascii="仿宋" w:hAnsi="仿宋" w:eastAsia="仿宋"/>
          <w:sz w:val="24"/>
          <w:szCs w:val="24"/>
          <w:lang w:val="zh-CN"/>
        </w:rPr>
      </w:pPr>
      <w:r>
        <w:rPr>
          <w:rFonts w:hint="eastAsia" w:ascii="仿宋" w:hAnsi="仿宋" w:eastAsia="仿宋"/>
          <w:sz w:val="24"/>
          <w:szCs w:val="24"/>
          <w:lang w:val="zh-CN"/>
        </w:rPr>
        <w:t>数量考核</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按照院内的考核级数，对工作量进行审核确认操作。下级未审核时，上级可直接确认；最后级别确认完成后，点击计算考核结果，可生成本月的工作量结果，具体结果在考核结果模块可查看。</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数量指标模块，提供审核、反审核、批量审核、数据重推（单个指标）、明细查看等功能。</w:t>
      </w:r>
    </w:p>
    <w:p>
      <w:pPr>
        <w:numPr>
          <w:ilvl w:val="0"/>
          <w:numId w:val="102"/>
        </w:numPr>
        <w:adjustRightInd w:val="0"/>
        <w:snapToGrid w:val="0"/>
        <w:spacing w:line="360" w:lineRule="auto"/>
        <w:jc w:val="both"/>
        <w:rPr>
          <w:rFonts w:ascii="仿宋" w:hAnsi="仿宋" w:eastAsia="仿宋"/>
          <w:sz w:val="24"/>
          <w:szCs w:val="24"/>
          <w:lang w:val="zh-CN"/>
        </w:rPr>
      </w:pPr>
      <w:r>
        <w:rPr>
          <w:rFonts w:hint="eastAsia" w:ascii="仿宋" w:hAnsi="仿宋" w:eastAsia="仿宋"/>
          <w:sz w:val="24"/>
          <w:szCs w:val="24"/>
          <w:lang w:val="zh-CN"/>
        </w:rPr>
        <w:t>质量考核</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质量考核方式一般为选择类型、时间、对象后做打分评定，最终得分之和与总分比值作为评价系数，默认得满分。</w:t>
      </w:r>
    </w:p>
    <w:p>
      <w:pPr>
        <w:numPr>
          <w:ilvl w:val="0"/>
          <w:numId w:val="101"/>
        </w:numPr>
        <w:adjustRightInd w:val="0"/>
        <w:snapToGrid w:val="0"/>
        <w:spacing w:line="360" w:lineRule="auto"/>
        <w:jc w:val="both"/>
        <w:rPr>
          <w:rFonts w:ascii="仿宋" w:hAnsi="仿宋" w:eastAsia="仿宋"/>
          <w:sz w:val="24"/>
          <w:szCs w:val="24"/>
          <w:lang w:val="zh-CN"/>
        </w:rPr>
      </w:pPr>
      <w:r>
        <w:rPr>
          <w:rFonts w:hint="eastAsia" w:ascii="仿宋" w:hAnsi="仿宋" w:eastAsia="仿宋"/>
          <w:sz w:val="24"/>
          <w:szCs w:val="24"/>
          <w:lang w:val="zh-CN"/>
        </w:rPr>
        <w:t>疗效评价</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通过“新增”按钮为每个组或个人进行评分，默认满分。系统自动计算评价系数，结果显示于“考核结果”的“医疗质量”列。</w:t>
      </w:r>
    </w:p>
    <w:p>
      <w:pPr>
        <w:numPr>
          <w:ilvl w:val="0"/>
          <w:numId w:val="101"/>
        </w:numPr>
        <w:adjustRightInd w:val="0"/>
        <w:snapToGrid w:val="0"/>
        <w:spacing w:line="360" w:lineRule="auto"/>
        <w:jc w:val="both"/>
        <w:rPr>
          <w:rFonts w:ascii="仿宋" w:hAnsi="仿宋" w:eastAsia="仿宋"/>
          <w:sz w:val="24"/>
          <w:szCs w:val="24"/>
          <w:lang w:val="zh-CN"/>
        </w:rPr>
      </w:pPr>
      <w:r>
        <w:rPr>
          <w:rFonts w:hint="eastAsia" w:ascii="仿宋" w:hAnsi="仿宋" w:eastAsia="仿宋"/>
          <w:sz w:val="24"/>
          <w:szCs w:val="24"/>
          <w:lang w:val="zh-CN"/>
        </w:rPr>
        <w:t>综合评价考核</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通过“新增”按钮为每个组或个人进行综合评价，默认满分，系统自动计算评价系数。</w:t>
      </w:r>
    </w:p>
    <w:p>
      <w:pPr>
        <w:numPr>
          <w:ilvl w:val="0"/>
          <w:numId w:val="102"/>
        </w:numPr>
        <w:adjustRightInd w:val="0"/>
        <w:snapToGrid w:val="0"/>
        <w:spacing w:line="360" w:lineRule="auto"/>
        <w:jc w:val="both"/>
        <w:rPr>
          <w:rFonts w:ascii="仿宋" w:hAnsi="仿宋" w:eastAsia="仿宋"/>
          <w:sz w:val="24"/>
          <w:szCs w:val="24"/>
          <w:lang w:val="zh-CN"/>
        </w:rPr>
      </w:pPr>
      <w:r>
        <w:rPr>
          <w:rFonts w:hint="eastAsia" w:ascii="仿宋" w:hAnsi="仿宋" w:eastAsia="仿宋"/>
          <w:sz w:val="24"/>
          <w:szCs w:val="24"/>
          <w:lang w:val="zh-CN"/>
        </w:rPr>
        <w:t>考核应用</w:t>
      </w:r>
    </w:p>
    <w:p>
      <w:pPr>
        <w:numPr>
          <w:ilvl w:val="0"/>
          <w:numId w:val="101"/>
        </w:numPr>
        <w:adjustRightInd w:val="0"/>
        <w:snapToGrid w:val="0"/>
        <w:spacing w:line="360" w:lineRule="auto"/>
        <w:jc w:val="both"/>
        <w:rPr>
          <w:rFonts w:ascii="仿宋" w:hAnsi="仿宋" w:eastAsia="仿宋"/>
          <w:sz w:val="24"/>
          <w:szCs w:val="24"/>
          <w:lang w:val="zh-CN"/>
        </w:rPr>
      </w:pPr>
      <w:r>
        <w:rPr>
          <w:rFonts w:hint="eastAsia" w:ascii="仿宋" w:hAnsi="仿宋" w:eastAsia="仿宋"/>
          <w:sz w:val="24"/>
          <w:szCs w:val="24"/>
          <w:lang w:val="zh-CN"/>
        </w:rPr>
        <w:t>考核结果</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数量和质量指标录入、审核完毕后，可查看考核结果。可查看考核组/个人的基本医疗的当量数值、质量得分，以及最终的综合当量值。其中：医疗=医疗当量*医疗质量得分*工作系数。</w:t>
      </w:r>
    </w:p>
    <w:p>
      <w:pPr>
        <w:numPr>
          <w:ilvl w:val="0"/>
          <w:numId w:val="101"/>
        </w:numPr>
        <w:adjustRightInd w:val="0"/>
        <w:snapToGrid w:val="0"/>
        <w:spacing w:line="360" w:lineRule="auto"/>
        <w:jc w:val="both"/>
        <w:rPr>
          <w:rFonts w:ascii="仿宋" w:hAnsi="仿宋" w:eastAsia="仿宋"/>
          <w:sz w:val="24"/>
          <w:szCs w:val="24"/>
          <w:lang w:val="zh-CN"/>
        </w:rPr>
      </w:pPr>
      <w:r>
        <w:rPr>
          <w:rFonts w:hint="eastAsia" w:ascii="仿宋" w:hAnsi="仿宋" w:eastAsia="仿宋"/>
          <w:sz w:val="24"/>
          <w:szCs w:val="24"/>
          <w:lang w:val="zh-CN"/>
        </w:rPr>
        <w:t>绩效方案</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根据绩效考核结果形成相对应的绩效方案。</w:t>
      </w:r>
    </w:p>
    <w:p>
      <w:pPr>
        <w:numPr>
          <w:ilvl w:val="0"/>
          <w:numId w:val="101"/>
        </w:numPr>
        <w:adjustRightInd w:val="0"/>
        <w:snapToGrid w:val="0"/>
        <w:spacing w:line="360" w:lineRule="auto"/>
        <w:jc w:val="both"/>
        <w:rPr>
          <w:rFonts w:ascii="仿宋" w:hAnsi="仿宋" w:eastAsia="仿宋"/>
          <w:sz w:val="24"/>
          <w:szCs w:val="24"/>
          <w:lang w:val="zh-CN"/>
        </w:rPr>
      </w:pPr>
      <w:r>
        <w:rPr>
          <w:rFonts w:hint="eastAsia" w:ascii="仿宋" w:hAnsi="仿宋" w:eastAsia="仿宋"/>
          <w:sz w:val="24"/>
          <w:szCs w:val="24"/>
          <w:lang w:val="zh-CN"/>
        </w:rPr>
        <w:t>绩效工资</w:t>
      </w:r>
    </w:p>
    <w:p>
      <w:pPr>
        <w:adjustRightInd w:val="0"/>
        <w:snapToGrid w:val="0"/>
        <w:spacing w:line="360" w:lineRule="auto"/>
        <w:ind w:firstLine="480"/>
        <w:rPr>
          <w:rFonts w:ascii="仿宋" w:hAnsi="仿宋" w:eastAsia="仿宋"/>
          <w:sz w:val="24"/>
          <w:szCs w:val="24"/>
          <w:lang w:val="zh-CN"/>
        </w:rPr>
      </w:pPr>
      <w:r>
        <w:rPr>
          <w:rFonts w:hint="eastAsia" w:ascii="仿宋" w:hAnsi="仿宋" w:eastAsia="仿宋"/>
          <w:sz w:val="24"/>
          <w:szCs w:val="24"/>
          <w:lang w:val="zh-CN" w:eastAsia="zh-CN"/>
        </w:rPr>
        <w:t>考核结果生成、分配并确认无误后，可在绩效工资模块生成绩效。</w:t>
      </w:r>
      <w:r>
        <w:rPr>
          <w:rFonts w:hint="eastAsia" w:ascii="仿宋" w:hAnsi="仿宋" w:eastAsia="仿宋"/>
          <w:sz w:val="24"/>
          <w:szCs w:val="24"/>
          <w:lang w:val="zh-CN"/>
        </w:rPr>
        <w:t>支持以下4个功能：</w:t>
      </w:r>
    </w:p>
    <w:p>
      <w:pPr>
        <w:numPr>
          <w:ilvl w:val="0"/>
          <w:numId w:val="103"/>
        </w:numPr>
        <w:adjustRightInd w:val="0"/>
        <w:snapToGrid w:val="0"/>
        <w:spacing w:line="360" w:lineRule="auto"/>
        <w:jc w:val="both"/>
        <w:rPr>
          <w:rFonts w:ascii="仿宋" w:hAnsi="仿宋" w:eastAsia="仿宋"/>
          <w:sz w:val="24"/>
          <w:szCs w:val="24"/>
          <w:lang w:val="zh-CN"/>
        </w:rPr>
      </w:pPr>
      <w:r>
        <w:rPr>
          <w:rFonts w:hint="eastAsia" w:ascii="仿宋" w:hAnsi="仿宋" w:eastAsia="仿宋"/>
          <w:sz w:val="24"/>
          <w:szCs w:val="24"/>
          <w:lang w:val="zh-CN"/>
        </w:rPr>
        <w:t>【生成】：</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生成月度绩效工资数据。</w:t>
      </w:r>
    </w:p>
    <w:p>
      <w:pPr>
        <w:numPr>
          <w:ilvl w:val="0"/>
          <w:numId w:val="103"/>
        </w:numPr>
        <w:adjustRightInd w:val="0"/>
        <w:snapToGrid w:val="0"/>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【个人单项特殊补/扣】：</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录入个人的特殊补扣项，点击数字录入补扣项目，或者点击箭头引入上个月的特殊补扣数据。</w:t>
      </w:r>
    </w:p>
    <w:p>
      <w:pPr>
        <w:numPr>
          <w:ilvl w:val="0"/>
          <w:numId w:val="103"/>
        </w:numPr>
        <w:adjustRightInd w:val="0"/>
        <w:snapToGrid w:val="0"/>
        <w:spacing w:line="360" w:lineRule="auto"/>
        <w:jc w:val="both"/>
        <w:rPr>
          <w:rFonts w:ascii="仿宋" w:hAnsi="仿宋" w:eastAsia="仿宋"/>
          <w:sz w:val="24"/>
          <w:szCs w:val="24"/>
          <w:lang w:val="zh-CN"/>
        </w:rPr>
      </w:pPr>
      <w:r>
        <w:rPr>
          <w:rFonts w:hint="eastAsia" w:ascii="仿宋" w:hAnsi="仿宋" w:eastAsia="仿宋"/>
          <w:sz w:val="24"/>
          <w:szCs w:val="24"/>
          <w:lang w:val="zh-CN"/>
        </w:rPr>
        <w:t>【生成平均绩效】：</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对非平均绩效考核人员的数据核对无误后，点击生成平均绩效按钮，得到平均绩效考核人员的数据。</w:t>
      </w:r>
    </w:p>
    <w:p>
      <w:pPr>
        <w:numPr>
          <w:ilvl w:val="0"/>
          <w:numId w:val="103"/>
        </w:numPr>
        <w:adjustRightInd w:val="0"/>
        <w:snapToGrid w:val="0"/>
        <w:spacing w:line="360" w:lineRule="auto"/>
        <w:jc w:val="both"/>
        <w:rPr>
          <w:rFonts w:ascii="仿宋" w:hAnsi="仿宋" w:eastAsia="仿宋"/>
          <w:sz w:val="24"/>
          <w:szCs w:val="24"/>
          <w:lang w:val="zh-CN"/>
        </w:rPr>
      </w:pPr>
      <w:r>
        <w:rPr>
          <w:rFonts w:hint="eastAsia" w:ascii="仿宋" w:hAnsi="仿宋" w:eastAsia="仿宋"/>
          <w:sz w:val="24"/>
          <w:szCs w:val="24"/>
          <w:lang w:val="zh-CN"/>
        </w:rPr>
        <w:t>【预发】：</w:t>
      </w:r>
    </w:p>
    <w:p>
      <w:pPr>
        <w:adjustRightInd w:val="0"/>
        <w:snapToGrid w:val="0"/>
        <w:spacing w:line="360" w:lineRule="auto"/>
        <w:ind w:firstLine="480"/>
        <w:rPr>
          <w:rFonts w:ascii="仿宋" w:hAnsi="仿宋" w:eastAsia="仿宋"/>
          <w:sz w:val="24"/>
          <w:szCs w:val="24"/>
          <w:lang w:val="zh-CN"/>
        </w:rPr>
      </w:pPr>
      <w:r>
        <w:rPr>
          <w:rFonts w:hint="eastAsia" w:ascii="仿宋" w:hAnsi="仿宋" w:eastAsia="仿宋"/>
          <w:sz w:val="24"/>
          <w:szCs w:val="24"/>
          <w:lang w:val="zh-CN"/>
        </w:rPr>
        <w:t>可预发月度绩效工资。</w:t>
      </w:r>
    </w:p>
    <w:p>
      <w:pPr>
        <w:numPr>
          <w:ilvl w:val="0"/>
          <w:numId w:val="101"/>
        </w:numPr>
        <w:adjustRightInd w:val="0"/>
        <w:snapToGrid w:val="0"/>
        <w:spacing w:line="360" w:lineRule="auto"/>
        <w:jc w:val="both"/>
        <w:rPr>
          <w:rFonts w:ascii="仿宋" w:hAnsi="仿宋" w:eastAsia="仿宋"/>
          <w:sz w:val="24"/>
          <w:szCs w:val="24"/>
          <w:lang w:val="zh-CN"/>
        </w:rPr>
      </w:pPr>
      <w:r>
        <w:rPr>
          <w:rFonts w:hint="eastAsia" w:ascii="仿宋" w:hAnsi="仿宋" w:eastAsia="仿宋"/>
          <w:sz w:val="24"/>
          <w:szCs w:val="24"/>
          <w:lang w:val="zh-CN"/>
        </w:rPr>
        <w:t>季度签发</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ab/>
      </w:r>
      <w:r>
        <w:rPr>
          <w:rFonts w:hint="eastAsia" w:ascii="仿宋" w:hAnsi="仿宋" w:eastAsia="仿宋"/>
          <w:sz w:val="24"/>
          <w:szCs w:val="24"/>
          <w:lang w:val="zh-CN" w:eastAsia="zh-CN"/>
        </w:rPr>
        <w:t>对季度工资进行汇总、核对、签发操作。完成一季度工作后，进入季度签发模块，对职工季度工资进行汇总、核对。获取综合评价分数，得到最终的季度工资数据，并核对签发。</w:t>
      </w:r>
    </w:p>
    <w:p>
      <w:pPr>
        <w:numPr>
          <w:ilvl w:val="0"/>
          <w:numId w:val="104"/>
        </w:numPr>
        <w:adjustRightInd w:val="0"/>
        <w:snapToGrid w:val="0"/>
        <w:spacing w:line="360" w:lineRule="auto"/>
        <w:jc w:val="both"/>
        <w:rPr>
          <w:rFonts w:ascii="仿宋" w:hAnsi="仿宋" w:eastAsia="仿宋"/>
          <w:sz w:val="24"/>
          <w:szCs w:val="24"/>
          <w:lang w:val="zh-CN"/>
        </w:rPr>
      </w:pPr>
      <w:r>
        <w:rPr>
          <w:rFonts w:hint="eastAsia" w:ascii="仿宋" w:hAnsi="仿宋" w:eastAsia="仿宋"/>
          <w:sz w:val="24"/>
          <w:szCs w:val="24"/>
          <w:lang w:val="zh-CN"/>
        </w:rPr>
        <w:t>考核分析</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支持各类报表统计分析：院内绩效考核进度报表、基本医疗当量统计表、院内绩效工资分配表等。</w:t>
      </w:r>
    </w:p>
    <w:p>
      <w:pPr>
        <w:pStyle w:val="9"/>
        <w:numPr>
          <w:ilvl w:val="0"/>
          <w:numId w:val="0"/>
        </w:numPr>
        <w:spacing w:line="360" w:lineRule="auto"/>
        <w:ind w:left="3"/>
        <w:rPr>
          <w:sz w:val="24"/>
          <w:szCs w:val="24"/>
        </w:rPr>
      </w:pPr>
      <w:r>
        <w:rPr>
          <w:rFonts w:hint="eastAsia"/>
          <w:sz w:val="24"/>
          <w:szCs w:val="24"/>
        </w:rPr>
        <w:t>全面预算管理系统</w:t>
      </w:r>
    </w:p>
    <w:p>
      <w:pPr>
        <w:numPr>
          <w:ilvl w:val="0"/>
          <w:numId w:val="105"/>
        </w:numPr>
        <w:adjustRightInd w:val="0"/>
        <w:snapToGrid w:val="0"/>
        <w:spacing w:line="360" w:lineRule="auto"/>
        <w:jc w:val="both"/>
        <w:rPr>
          <w:rFonts w:ascii="仿宋" w:hAnsi="仿宋" w:eastAsia="仿宋"/>
          <w:sz w:val="24"/>
          <w:szCs w:val="24"/>
          <w:lang w:val="zh-CN"/>
        </w:rPr>
      </w:pPr>
      <w:r>
        <w:rPr>
          <w:rFonts w:hint="eastAsia" w:ascii="仿宋" w:hAnsi="仿宋" w:eastAsia="仿宋"/>
          <w:sz w:val="24"/>
          <w:szCs w:val="24"/>
          <w:lang w:val="zh-CN"/>
        </w:rPr>
        <w:t>预算指标编制管理</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预算方案支持多级管理，并支持多种辅助核算。</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预算方案支持是否匹配凭证，自动生成凭证指标执行数功能。</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预算指标提供允许超支、禁止超支、超支提醒三种超支控制方式。</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提供自定义栏目设置功能。可以设置预算的基数的来源、上浮比例等。</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提供指标计算完成后，进行下发操作，可直接把数据下发至归口部门或临床科室。</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提供指标编制进度查询，可随时掌握下发的预算指标当前的编制状态。</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提供预算指标审批流程设置功能。可以设置每一个指标的审批流程和报销流程。</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提供预算指标审批权限功能。可以定义每一个审批环节针对不同的角色有不同的权限。</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提供预算指标审核与审批审核和取消审核功能。</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提供凭证预算指标调整功能。包括指标的调加及调减。</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提供指标年终结转至下一年功能。结转时可以选择多种结转方式。</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提供预算指标分组功能。</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提供预算归口部门管理功能。</w:t>
      </w:r>
    </w:p>
    <w:p>
      <w:pPr>
        <w:numPr>
          <w:ilvl w:val="0"/>
          <w:numId w:val="105"/>
        </w:numPr>
        <w:adjustRightInd w:val="0"/>
        <w:snapToGrid w:val="0"/>
        <w:spacing w:line="360" w:lineRule="auto"/>
        <w:jc w:val="both"/>
        <w:rPr>
          <w:rFonts w:ascii="仿宋" w:hAnsi="仿宋" w:eastAsia="仿宋"/>
          <w:sz w:val="24"/>
          <w:szCs w:val="24"/>
          <w:lang w:val="zh-CN"/>
        </w:rPr>
      </w:pPr>
      <w:r>
        <w:rPr>
          <w:rFonts w:hint="eastAsia" w:ascii="仿宋" w:hAnsi="仿宋" w:eastAsia="仿宋"/>
          <w:sz w:val="24"/>
          <w:szCs w:val="24"/>
          <w:lang w:val="zh-CN"/>
        </w:rPr>
        <w:t>预算执行录入</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提供预算执行录入功能。可以手工选择与凭证关联，也可以自动和凭证进行匹配，有多个辅助核算时，还可以支持优先级匹配。</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预算执行录入支持批量操作，可对指标进行条件筛选，再进行赋值。</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可自定义显示已录入凭证中预算科目分录，根据状态筛选出需要执行凭证分录，优化执行速度。例如筛选出未审核凭证分录。未关联预算指标分录；</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预算执行时，系统可显示预算金额，执行金额，余额；</w:t>
      </w:r>
    </w:p>
    <w:p>
      <w:pPr>
        <w:numPr>
          <w:ilvl w:val="0"/>
          <w:numId w:val="105"/>
        </w:numPr>
        <w:adjustRightInd w:val="0"/>
        <w:snapToGrid w:val="0"/>
        <w:spacing w:line="360" w:lineRule="auto"/>
        <w:jc w:val="both"/>
        <w:rPr>
          <w:rFonts w:ascii="仿宋" w:hAnsi="仿宋" w:eastAsia="仿宋"/>
          <w:sz w:val="24"/>
          <w:szCs w:val="24"/>
          <w:lang w:val="zh-CN"/>
        </w:rPr>
      </w:pPr>
      <w:r>
        <w:rPr>
          <w:rFonts w:hint="eastAsia" w:ascii="仿宋" w:hAnsi="仿宋" w:eastAsia="仿宋"/>
          <w:sz w:val="24"/>
          <w:szCs w:val="24"/>
          <w:lang w:val="zh-CN"/>
        </w:rPr>
        <w:t>预算分析</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预算指标余额表，可随时查询预算指标余额。</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预算指标明细账，查询预算指标的预算和执行明细情况，可以查看执行的每一天分录。</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预算方案统计表，按预算方案显示指标的执行、余额及执行比例。</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执行情况分析表、预算执行情况表，可查询指标的锁定金额、执行率、超节数及超节率等。</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预算辅助核算汇总表、预算辅助核算明细表，可根据预算方案指定的辅助核算进行汇总统计。</w:t>
      </w:r>
    </w:p>
    <w:p>
      <w:pPr>
        <w:numPr>
          <w:ilvl w:val="0"/>
          <w:numId w:val="105"/>
        </w:numPr>
        <w:adjustRightInd w:val="0"/>
        <w:snapToGrid w:val="0"/>
        <w:spacing w:line="360" w:lineRule="auto"/>
        <w:jc w:val="both"/>
        <w:rPr>
          <w:rFonts w:ascii="仿宋" w:hAnsi="仿宋" w:eastAsia="仿宋"/>
          <w:sz w:val="24"/>
          <w:szCs w:val="24"/>
          <w:lang w:val="zh-CN"/>
        </w:rPr>
      </w:pPr>
      <w:r>
        <w:rPr>
          <w:rFonts w:hint="eastAsia" w:ascii="仿宋" w:hAnsi="仿宋" w:eastAsia="仿宋"/>
          <w:sz w:val="24"/>
          <w:szCs w:val="24"/>
          <w:lang w:val="zh-CN"/>
        </w:rPr>
        <w:t>业务量预算</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提供业务量预算编制功能。业务量可以是：门诊人次、手术台次、出入院人次等。</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业务量编制支持账套内取数，如：科目取数、人事取数。并支持外部数据库命令取数，可以直接从</w:t>
      </w:r>
      <w:r>
        <w:rPr>
          <w:rFonts w:ascii="仿宋" w:hAnsi="仿宋" w:eastAsia="仿宋"/>
          <w:sz w:val="24"/>
          <w:szCs w:val="24"/>
          <w:lang w:val="zh-CN" w:eastAsia="zh-CN"/>
        </w:rPr>
        <w:t>HIS</w:t>
      </w:r>
      <w:r>
        <w:rPr>
          <w:rFonts w:hint="eastAsia" w:ascii="仿宋" w:hAnsi="仿宋" w:eastAsia="仿宋"/>
          <w:sz w:val="24"/>
          <w:szCs w:val="24"/>
          <w:lang w:val="zh-CN" w:eastAsia="zh-CN"/>
        </w:rPr>
        <w:t>系统采集指标业务量。</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提供业务量数据清单，并支持按月查询。</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提供业务量预算执行情况分析表，可查看业务量的预算金额、实发发生额、超节数、预算执行率、超节率等。</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提供业务量执行数据年度报表。可显示</w:t>
      </w:r>
      <w:r>
        <w:rPr>
          <w:rFonts w:ascii="仿宋" w:hAnsi="仿宋" w:eastAsia="仿宋"/>
          <w:sz w:val="24"/>
          <w:szCs w:val="24"/>
          <w:lang w:val="zh-CN" w:eastAsia="zh-CN"/>
        </w:rPr>
        <w:t>1-12</w:t>
      </w:r>
      <w:r>
        <w:rPr>
          <w:rFonts w:hint="eastAsia" w:ascii="仿宋" w:hAnsi="仿宋" w:eastAsia="仿宋"/>
          <w:sz w:val="24"/>
          <w:szCs w:val="24"/>
          <w:lang w:val="zh-CN" w:eastAsia="zh-CN"/>
        </w:rPr>
        <w:t>月份业务量数据情况，形成业务量的趋势分析。</w:t>
      </w:r>
    </w:p>
    <w:p>
      <w:pPr>
        <w:numPr>
          <w:ilvl w:val="0"/>
          <w:numId w:val="105"/>
        </w:numPr>
        <w:adjustRightInd w:val="0"/>
        <w:snapToGrid w:val="0"/>
        <w:spacing w:line="360" w:lineRule="auto"/>
        <w:jc w:val="both"/>
        <w:rPr>
          <w:rFonts w:ascii="仿宋" w:hAnsi="仿宋" w:eastAsia="仿宋"/>
          <w:sz w:val="24"/>
          <w:szCs w:val="24"/>
          <w:lang w:val="zh-CN"/>
        </w:rPr>
      </w:pPr>
      <w:r>
        <w:rPr>
          <w:rFonts w:hint="eastAsia" w:ascii="仿宋" w:hAnsi="仿宋" w:eastAsia="仿宋"/>
          <w:sz w:val="24"/>
          <w:szCs w:val="24"/>
          <w:lang w:val="zh-CN"/>
        </w:rPr>
        <w:t>预算考核</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提供预算方案管理功能，可以设置预算考核的方案，设置考核指标。</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提供预算考核计划管理功能，包括新建计划、修改计划、删除计划、发布计划、结束计划等。</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提供考核数据管理功能，可以自动计算出考核指标的评分值或手工录入考评分值等。</w:t>
      </w:r>
    </w:p>
    <w:p>
      <w:pPr>
        <w:pStyle w:val="8"/>
        <w:rPr>
          <w:lang w:eastAsia="zh-CN"/>
        </w:rPr>
      </w:pPr>
      <w:r>
        <w:rPr>
          <w:rFonts w:hint="eastAsia"/>
          <w:lang w:eastAsia="zh-CN"/>
        </w:rPr>
        <w:t>急诊管理系统</w:t>
      </w:r>
    </w:p>
    <w:p>
      <w:pPr>
        <w:numPr>
          <w:ilvl w:val="0"/>
          <w:numId w:val="106"/>
        </w:numPr>
        <w:adjustRightInd w:val="0"/>
        <w:snapToGrid w:val="0"/>
        <w:spacing w:line="360" w:lineRule="auto"/>
        <w:jc w:val="both"/>
        <w:rPr>
          <w:rFonts w:ascii="仿宋" w:hAnsi="仿宋" w:eastAsia="仿宋"/>
          <w:sz w:val="24"/>
          <w:szCs w:val="24"/>
          <w:lang w:val="zh-CN"/>
        </w:rPr>
      </w:pPr>
      <w:r>
        <w:rPr>
          <w:rFonts w:hint="eastAsia" w:ascii="仿宋" w:hAnsi="仿宋" w:eastAsia="仿宋"/>
          <w:sz w:val="24"/>
          <w:szCs w:val="24"/>
          <w:lang w:val="zh-CN"/>
        </w:rPr>
        <w:t>支持分诊汇总功能。</w:t>
      </w:r>
    </w:p>
    <w:p>
      <w:pPr>
        <w:numPr>
          <w:ilvl w:val="0"/>
          <w:numId w:val="106"/>
        </w:numPr>
        <w:adjustRightInd w:val="0"/>
        <w:snapToGrid w:val="0"/>
        <w:spacing w:line="360" w:lineRule="auto"/>
        <w:jc w:val="both"/>
        <w:rPr>
          <w:rFonts w:ascii="仿宋" w:hAnsi="仿宋" w:eastAsia="仿宋"/>
          <w:sz w:val="24"/>
          <w:szCs w:val="24"/>
          <w:lang w:val="zh-CN"/>
        </w:rPr>
      </w:pPr>
      <w:r>
        <w:rPr>
          <w:rFonts w:hint="eastAsia" w:ascii="仿宋" w:hAnsi="仿宋" w:eastAsia="仿宋"/>
          <w:sz w:val="24"/>
          <w:szCs w:val="24"/>
          <w:lang w:val="zh-CN"/>
        </w:rPr>
        <w:t>支持分诊标签打印。</w:t>
      </w:r>
    </w:p>
    <w:p>
      <w:pPr>
        <w:numPr>
          <w:ilvl w:val="0"/>
          <w:numId w:val="106"/>
        </w:numPr>
        <w:adjustRightInd w:val="0"/>
        <w:snapToGrid w:val="0"/>
        <w:spacing w:line="360" w:lineRule="auto"/>
        <w:jc w:val="both"/>
        <w:rPr>
          <w:rFonts w:ascii="仿宋" w:hAnsi="仿宋" w:eastAsia="仿宋"/>
          <w:sz w:val="24"/>
          <w:szCs w:val="24"/>
          <w:lang w:val="zh-CN"/>
        </w:rPr>
      </w:pPr>
      <w:r>
        <w:rPr>
          <w:rFonts w:hint="eastAsia" w:ascii="仿宋" w:hAnsi="仿宋" w:eastAsia="仿宋"/>
          <w:sz w:val="24"/>
          <w:szCs w:val="24"/>
          <w:lang w:val="zh-CN"/>
        </w:rPr>
        <w:t>支持分诊的评估功能。</w:t>
      </w:r>
    </w:p>
    <w:p>
      <w:pPr>
        <w:numPr>
          <w:ilvl w:val="0"/>
          <w:numId w:val="106"/>
        </w:numPr>
        <w:adjustRightInd w:val="0"/>
        <w:snapToGrid w:val="0"/>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支持入抢（留）评估的录入。</w:t>
      </w:r>
    </w:p>
    <w:p>
      <w:pPr>
        <w:numPr>
          <w:ilvl w:val="0"/>
          <w:numId w:val="106"/>
        </w:numPr>
        <w:adjustRightInd w:val="0"/>
        <w:snapToGrid w:val="0"/>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支持护理记录的录入，护理记录能自定义关键事件，提取到时间轴显示。</w:t>
      </w:r>
    </w:p>
    <w:p>
      <w:pPr>
        <w:numPr>
          <w:ilvl w:val="0"/>
          <w:numId w:val="106"/>
        </w:numPr>
        <w:adjustRightInd w:val="0"/>
        <w:snapToGrid w:val="0"/>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支持自动从分诊记录中采集首次体温、脉搏、呼吸、血压等数据。</w:t>
      </w:r>
    </w:p>
    <w:p>
      <w:pPr>
        <w:numPr>
          <w:ilvl w:val="0"/>
          <w:numId w:val="106"/>
        </w:numPr>
        <w:adjustRightInd w:val="0"/>
        <w:snapToGrid w:val="0"/>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支持记录各项护理项目名称和护理措施等。</w:t>
      </w:r>
    </w:p>
    <w:p>
      <w:pPr>
        <w:numPr>
          <w:ilvl w:val="0"/>
          <w:numId w:val="106"/>
        </w:numPr>
        <w:adjustRightInd w:val="0"/>
        <w:snapToGrid w:val="0"/>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支持对护理及病情观察记录情况进行模板定义。</w:t>
      </w:r>
    </w:p>
    <w:p>
      <w:pPr>
        <w:numPr>
          <w:ilvl w:val="0"/>
          <w:numId w:val="106"/>
        </w:numPr>
        <w:adjustRightInd w:val="0"/>
        <w:snapToGrid w:val="0"/>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支持出入量的录入以及管理功能。</w:t>
      </w:r>
    </w:p>
    <w:p>
      <w:pPr>
        <w:numPr>
          <w:ilvl w:val="0"/>
          <w:numId w:val="106"/>
        </w:numPr>
        <w:adjustRightInd w:val="0"/>
        <w:snapToGrid w:val="0"/>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支持自动获取记录检验、检查情况结果，手工加入到护理及病情观察记录。</w:t>
      </w:r>
    </w:p>
    <w:p>
      <w:pPr>
        <w:numPr>
          <w:ilvl w:val="0"/>
          <w:numId w:val="106"/>
        </w:numPr>
        <w:adjustRightInd w:val="0"/>
        <w:snapToGrid w:val="0"/>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支持护理记录的双人签名功能。</w:t>
      </w:r>
    </w:p>
    <w:p>
      <w:pPr>
        <w:numPr>
          <w:ilvl w:val="0"/>
          <w:numId w:val="106"/>
        </w:numPr>
        <w:adjustRightInd w:val="0"/>
        <w:snapToGrid w:val="0"/>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支持关键事件的自动显示。</w:t>
      </w:r>
    </w:p>
    <w:p>
      <w:pPr>
        <w:numPr>
          <w:ilvl w:val="0"/>
          <w:numId w:val="106"/>
        </w:numPr>
        <w:adjustRightInd w:val="0"/>
        <w:snapToGrid w:val="0"/>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支持护理记录的作废、打印功能。</w:t>
      </w:r>
    </w:p>
    <w:p>
      <w:pPr>
        <w:numPr>
          <w:ilvl w:val="0"/>
          <w:numId w:val="106"/>
        </w:numPr>
        <w:adjustRightInd w:val="0"/>
        <w:snapToGrid w:val="0"/>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支持健康宣教结构化录入。</w:t>
      </w:r>
    </w:p>
    <w:p>
      <w:pPr>
        <w:numPr>
          <w:ilvl w:val="0"/>
          <w:numId w:val="106"/>
        </w:numPr>
        <w:adjustRightInd w:val="0"/>
        <w:snapToGrid w:val="0"/>
        <w:spacing w:line="360" w:lineRule="auto"/>
        <w:jc w:val="both"/>
        <w:rPr>
          <w:rFonts w:ascii="仿宋" w:hAnsi="仿宋" w:eastAsia="仿宋"/>
          <w:sz w:val="24"/>
          <w:szCs w:val="24"/>
          <w:lang w:val="zh-CN"/>
        </w:rPr>
      </w:pPr>
      <w:r>
        <w:rPr>
          <w:rFonts w:hint="eastAsia" w:ascii="仿宋" w:hAnsi="仿宋" w:eastAsia="仿宋"/>
          <w:sz w:val="24"/>
          <w:szCs w:val="24"/>
          <w:lang w:val="zh-CN"/>
        </w:rPr>
        <w:t>支持机械通气录入。</w:t>
      </w:r>
    </w:p>
    <w:p>
      <w:pPr>
        <w:numPr>
          <w:ilvl w:val="0"/>
          <w:numId w:val="106"/>
        </w:numPr>
        <w:adjustRightInd w:val="0"/>
        <w:snapToGrid w:val="0"/>
        <w:spacing w:line="360" w:lineRule="auto"/>
        <w:jc w:val="both"/>
        <w:rPr>
          <w:rFonts w:ascii="仿宋" w:hAnsi="仿宋" w:eastAsia="仿宋"/>
          <w:sz w:val="24"/>
          <w:szCs w:val="24"/>
          <w:lang w:val="zh-CN"/>
        </w:rPr>
      </w:pPr>
      <w:r>
        <w:rPr>
          <w:rFonts w:hint="eastAsia" w:ascii="仿宋" w:hAnsi="仿宋" w:eastAsia="仿宋"/>
          <w:sz w:val="24"/>
          <w:szCs w:val="24"/>
          <w:lang w:val="zh-CN"/>
        </w:rPr>
        <w:t>支持静脉通路录入。</w:t>
      </w:r>
    </w:p>
    <w:p>
      <w:pPr>
        <w:numPr>
          <w:ilvl w:val="0"/>
          <w:numId w:val="106"/>
        </w:numPr>
        <w:adjustRightInd w:val="0"/>
        <w:snapToGrid w:val="0"/>
        <w:spacing w:line="360" w:lineRule="auto"/>
        <w:jc w:val="both"/>
        <w:rPr>
          <w:rFonts w:ascii="仿宋" w:hAnsi="仿宋" w:eastAsia="仿宋"/>
          <w:sz w:val="24"/>
          <w:szCs w:val="24"/>
          <w:lang w:val="zh-CN"/>
        </w:rPr>
      </w:pPr>
      <w:r>
        <w:rPr>
          <w:rFonts w:hint="eastAsia" w:ascii="仿宋" w:hAnsi="仿宋" w:eastAsia="仿宋"/>
          <w:sz w:val="24"/>
          <w:szCs w:val="24"/>
          <w:lang w:val="zh-CN"/>
        </w:rPr>
        <w:t>支持输血评估单录入。</w:t>
      </w:r>
    </w:p>
    <w:p>
      <w:pPr>
        <w:numPr>
          <w:ilvl w:val="0"/>
          <w:numId w:val="106"/>
        </w:numPr>
        <w:adjustRightInd w:val="0"/>
        <w:snapToGrid w:val="0"/>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支持急诊抢救室护理质量检查标准表。</w:t>
      </w:r>
    </w:p>
    <w:p>
      <w:pPr>
        <w:numPr>
          <w:ilvl w:val="0"/>
          <w:numId w:val="106"/>
        </w:numPr>
        <w:adjustRightInd w:val="0"/>
        <w:snapToGrid w:val="0"/>
        <w:spacing w:line="360" w:lineRule="auto"/>
        <w:jc w:val="both"/>
        <w:rPr>
          <w:rFonts w:ascii="仿宋" w:hAnsi="仿宋" w:eastAsia="仿宋"/>
          <w:sz w:val="24"/>
          <w:szCs w:val="24"/>
          <w:lang w:val="zh-CN"/>
        </w:rPr>
      </w:pPr>
      <w:r>
        <w:rPr>
          <w:rFonts w:hint="eastAsia" w:ascii="仿宋" w:hAnsi="仿宋" w:eastAsia="仿宋"/>
          <w:sz w:val="24"/>
          <w:szCs w:val="24"/>
          <w:lang w:val="zh-CN"/>
        </w:rPr>
        <w:t>支持制度管理的功能。</w:t>
      </w:r>
    </w:p>
    <w:p>
      <w:pPr>
        <w:pStyle w:val="8"/>
        <w:rPr>
          <w:lang w:eastAsia="zh-CN"/>
        </w:rPr>
      </w:pPr>
      <w:r>
        <w:rPr>
          <w:rFonts w:hint="eastAsia"/>
          <w:lang w:eastAsia="zh-CN"/>
        </w:rPr>
        <w:t>重症监护系统</w:t>
      </w:r>
    </w:p>
    <w:p>
      <w:pPr>
        <w:numPr>
          <w:ilvl w:val="0"/>
          <w:numId w:val="107"/>
        </w:numPr>
        <w:adjustRightInd w:val="0"/>
        <w:snapToGrid w:val="0"/>
        <w:spacing w:line="360" w:lineRule="auto"/>
        <w:jc w:val="both"/>
        <w:rPr>
          <w:rFonts w:ascii="仿宋" w:hAnsi="仿宋" w:eastAsia="仿宋"/>
          <w:sz w:val="24"/>
          <w:szCs w:val="24"/>
          <w:lang w:val="zh-CN" w:eastAsia="zh-CN"/>
        </w:rPr>
      </w:pPr>
      <w:r>
        <w:rPr>
          <w:rFonts w:hint="eastAsia" w:ascii="仿宋" w:hAnsi="仿宋" w:eastAsia="仿宋"/>
          <w:sz w:val="24"/>
          <w:szCs w:val="24"/>
          <w:lang w:val="zh-CN" w:eastAsia="zh-CN"/>
        </w:rPr>
        <w:t>支持卡片式床头卡，支持从HIS平台刷新患者基本信息</w:t>
      </w:r>
    </w:p>
    <w:p>
      <w:pPr>
        <w:numPr>
          <w:ilvl w:val="0"/>
          <w:numId w:val="107"/>
        </w:numPr>
        <w:adjustRightInd w:val="0"/>
        <w:snapToGrid w:val="0"/>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支持自动计算MEWS评分，并通过AI自动计算，给不同危重症等级的患者标注颜色</w:t>
      </w:r>
    </w:p>
    <w:p>
      <w:pPr>
        <w:numPr>
          <w:ilvl w:val="0"/>
          <w:numId w:val="107"/>
        </w:numPr>
        <w:adjustRightInd w:val="0"/>
        <w:snapToGrid w:val="0"/>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支持按照评分、护理等级、是否感染等对床位进行筛选</w:t>
      </w:r>
    </w:p>
    <w:p>
      <w:pPr>
        <w:numPr>
          <w:ilvl w:val="0"/>
          <w:numId w:val="107"/>
        </w:numPr>
        <w:adjustRightInd w:val="0"/>
        <w:snapToGrid w:val="0"/>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支持隔离标注，支持飞沫隔离、接触隔离、空气隔离等隔离类别进行患者标注</w:t>
      </w:r>
    </w:p>
    <w:p>
      <w:pPr>
        <w:numPr>
          <w:ilvl w:val="0"/>
          <w:numId w:val="107"/>
        </w:numPr>
        <w:adjustRightInd w:val="0"/>
        <w:snapToGrid w:val="0"/>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支持修改患者信息，如来源科室、诊断、护理等级等、支持从HIS或平台获取最新信息</w:t>
      </w:r>
    </w:p>
    <w:p>
      <w:pPr>
        <w:numPr>
          <w:ilvl w:val="0"/>
          <w:numId w:val="107"/>
        </w:numPr>
        <w:adjustRightInd w:val="0"/>
        <w:snapToGrid w:val="0"/>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支持根据患者病情设定治疗目标，可设定患者检验指标、体征指标等作为治疗目标</w:t>
      </w:r>
    </w:p>
    <w:p>
      <w:pPr>
        <w:numPr>
          <w:ilvl w:val="0"/>
          <w:numId w:val="107"/>
        </w:numPr>
        <w:adjustRightInd w:val="0"/>
        <w:snapToGrid w:val="0"/>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支持自动导入患者手术信息、支持获取患者所有历史手术的信息</w:t>
      </w:r>
    </w:p>
    <w:p>
      <w:pPr>
        <w:numPr>
          <w:ilvl w:val="0"/>
          <w:numId w:val="107"/>
        </w:numPr>
        <w:adjustRightInd w:val="0"/>
        <w:snapToGrid w:val="0"/>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支持自定义患者体征的阈值管理，支持患者在不同时期应用不同的阈值模板</w:t>
      </w:r>
    </w:p>
    <w:p>
      <w:pPr>
        <w:numPr>
          <w:ilvl w:val="0"/>
          <w:numId w:val="107"/>
        </w:numPr>
        <w:adjustRightInd w:val="0"/>
        <w:snapToGrid w:val="0"/>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支持患者备忘录，支持家属联系方式设置，支持患者在院期间所有备忘事件的登记</w:t>
      </w:r>
    </w:p>
    <w:p>
      <w:pPr>
        <w:numPr>
          <w:ilvl w:val="0"/>
          <w:numId w:val="107"/>
        </w:numPr>
        <w:adjustRightInd w:val="0"/>
        <w:snapToGrid w:val="0"/>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支持留言板功能，可以根据日期保存留言信息，同时支持视频、图片、音频等留言方式</w:t>
      </w:r>
    </w:p>
    <w:p>
      <w:pPr>
        <w:numPr>
          <w:ilvl w:val="0"/>
          <w:numId w:val="107"/>
        </w:numPr>
        <w:adjustRightInd w:val="0"/>
        <w:snapToGrid w:val="0"/>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支持健康宣教，支持检验、护理组套、护理评估等信息自动导入，支持教育方法、教育时机、教育项目、教育目标的分类宣教</w:t>
      </w:r>
    </w:p>
    <w:p>
      <w:pPr>
        <w:numPr>
          <w:ilvl w:val="0"/>
          <w:numId w:val="107"/>
        </w:numPr>
        <w:adjustRightInd w:val="0"/>
        <w:snapToGrid w:val="0"/>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支持大数据查询患者历史信息，支持自定义查询患者信息，同时支持七天内快速查询</w:t>
      </w:r>
    </w:p>
    <w:p>
      <w:pPr>
        <w:numPr>
          <w:ilvl w:val="0"/>
          <w:numId w:val="107"/>
        </w:numPr>
        <w:adjustRightInd w:val="0"/>
        <w:snapToGrid w:val="0"/>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支持接入医嘱系统，支持自动实时获取医嘱信息</w:t>
      </w:r>
    </w:p>
    <w:p>
      <w:pPr>
        <w:numPr>
          <w:ilvl w:val="0"/>
          <w:numId w:val="107"/>
        </w:numPr>
        <w:adjustRightInd w:val="0"/>
        <w:snapToGrid w:val="0"/>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支持甘特图方式显示医嘱的执行情况，支持自动拆分用药频次，并用各种颜色标注频次</w:t>
      </w:r>
    </w:p>
    <w:p>
      <w:pPr>
        <w:numPr>
          <w:ilvl w:val="0"/>
          <w:numId w:val="107"/>
        </w:numPr>
        <w:adjustRightInd w:val="0"/>
        <w:snapToGrid w:val="0"/>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支持医嘱信息快速补录，支持临时医嘱的自动实时获取</w:t>
      </w:r>
    </w:p>
    <w:p>
      <w:pPr>
        <w:numPr>
          <w:ilvl w:val="0"/>
          <w:numId w:val="107"/>
        </w:numPr>
        <w:adjustRightInd w:val="0"/>
        <w:snapToGrid w:val="0"/>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支持医嘱的闭环操作，按照长期医嘱、临时医嘱、其他类医嘱与医嘱开立时间提取每个患者的医嘱信息，支持分类显示医嘱</w:t>
      </w:r>
    </w:p>
    <w:p>
      <w:pPr>
        <w:numPr>
          <w:ilvl w:val="0"/>
          <w:numId w:val="107"/>
        </w:numPr>
        <w:adjustRightInd w:val="0"/>
        <w:snapToGrid w:val="0"/>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支持对调速、快推、暂停、恢复等功能</w:t>
      </w:r>
    </w:p>
    <w:p>
      <w:pPr>
        <w:numPr>
          <w:ilvl w:val="0"/>
          <w:numId w:val="107"/>
        </w:numPr>
        <w:adjustRightInd w:val="0"/>
        <w:snapToGrid w:val="0"/>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支持医嘱根据用药方式自动拆分归类</w:t>
      </w:r>
    </w:p>
    <w:p>
      <w:pPr>
        <w:numPr>
          <w:ilvl w:val="0"/>
          <w:numId w:val="107"/>
        </w:numPr>
        <w:adjustRightInd w:val="0"/>
        <w:snapToGrid w:val="0"/>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支持过滤长期、临时的医嘱</w:t>
      </w:r>
    </w:p>
    <w:p>
      <w:pPr>
        <w:numPr>
          <w:ilvl w:val="0"/>
          <w:numId w:val="107"/>
        </w:numPr>
        <w:adjustRightInd w:val="0"/>
        <w:snapToGrid w:val="0"/>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支持过滤已完成、执行中等多状态医嘱信息</w:t>
      </w:r>
    </w:p>
    <w:p>
      <w:pPr>
        <w:numPr>
          <w:ilvl w:val="0"/>
          <w:numId w:val="107"/>
        </w:numPr>
        <w:adjustRightInd w:val="0"/>
        <w:snapToGrid w:val="0"/>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支持自动汇总执行用药的用量</w:t>
      </w:r>
    </w:p>
    <w:p>
      <w:pPr>
        <w:numPr>
          <w:ilvl w:val="0"/>
          <w:numId w:val="107"/>
        </w:numPr>
        <w:adjustRightInd w:val="0"/>
        <w:snapToGrid w:val="0"/>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支持自定义是否计算到出入量功能</w:t>
      </w:r>
    </w:p>
    <w:p>
      <w:pPr>
        <w:numPr>
          <w:ilvl w:val="0"/>
          <w:numId w:val="107"/>
        </w:numPr>
        <w:adjustRightInd w:val="0"/>
        <w:snapToGrid w:val="0"/>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支持当日未执行、已执行医嘱半点提示，防止护士漏执行医嘱和核对医嘱</w:t>
      </w:r>
    </w:p>
    <w:p>
      <w:pPr>
        <w:numPr>
          <w:ilvl w:val="0"/>
          <w:numId w:val="107"/>
        </w:numPr>
        <w:adjustRightInd w:val="0"/>
        <w:snapToGrid w:val="0"/>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支持按班次显示医嘱执行情况和全天显示医嘱执行情况</w:t>
      </w:r>
    </w:p>
    <w:p>
      <w:pPr>
        <w:numPr>
          <w:ilvl w:val="0"/>
          <w:numId w:val="107"/>
        </w:numPr>
        <w:adjustRightInd w:val="0"/>
        <w:snapToGrid w:val="0"/>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支持提供脉搏、皮肤、营养、排便等多种护理分类</w:t>
      </w:r>
    </w:p>
    <w:p>
      <w:pPr>
        <w:numPr>
          <w:ilvl w:val="0"/>
          <w:numId w:val="107"/>
        </w:numPr>
        <w:adjustRightInd w:val="0"/>
        <w:snapToGrid w:val="0"/>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支持图形化显示护理信息，支持各种评分的图形化评分</w:t>
      </w:r>
    </w:p>
    <w:p>
      <w:pPr>
        <w:numPr>
          <w:ilvl w:val="0"/>
          <w:numId w:val="107"/>
        </w:numPr>
        <w:adjustRightInd w:val="0"/>
        <w:snapToGrid w:val="0"/>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支持基础护理中所对应的各类事件，支持闭环操作</w:t>
      </w:r>
    </w:p>
    <w:p>
      <w:pPr>
        <w:numPr>
          <w:ilvl w:val="0"/>
          <w:numId w:val="107"/>
        </w:numPr>
        <w:adjustRightInd w:val="0"/>
        <w:snapToGrid w:val="0"/>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支持提供生命体征、设备参数、检验项目、评估评分、危急设置</w:t>
      </w:r>
    </w:p>
    <w:p>
      <w:pPr>
        <w:numPr>
          <w:ilvl w:val="0"/>
          <w:numId w:val="107"/>
        </w:numPr>
        <w:adjustRightInd w:val="0"/>
        <w:snapToGrid w:val="0"/>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支持临床设备的生命体征数据统一采集，支持HR、NIBP(D)、NIBP(S)、有创舒张压、有创收缩压、有创平均压、呼吸、SPO2、CVP、UVP等生命体征实时自动采集</w:t>
      </w:r>
    </w:p>
    <w:p>
      <w:pPr>
        <w:numPr>
          <w:ilvl w:val="0"/>
          <w:numId w:val="107"/>
        </w:numPr>
        <w:adjustRightInd w:val="0"/>
        <w:snapToGrid w:val="0"/>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支持RR、VT、PC、Ppeak、FiO2、I:E、PS、IPAP、EPAP等呼吸机参数的自动实时采集</w:t>
      </w:r>
    </w:p>
    <w:p>
      <w:pPr>
        <w:numPr>
          <w:ilvl w:val="0"/>
          <w:numId w:val="107"/>
        </w:numPr>
        <w:adjustRightInd w:val="0"/>
        <w:snapToGrid w:val="0"/>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支持实现对患者生命体征、检验结果、评估评分的预警提醒</w:t>
      </w:r>
    </w:p>
    <w:p>
      <w:pPr>
        <w:numPr>
          <w:ilvl w:val="0"/>
          <w:numId w:val="107"/>
        </w:numPr>
        <w:adjustRightInd w:val="0"/>
        <w:snapToGrid w:val="0"/>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支持图形化显示各类评分内容</w:t>
      </w:r>
    </w:p>
    <w:p>
      <w:pPr>
        <w:numPr>
          <w:ilvl w:val="0"/>
          <w:numId w:val="107"/>
        </w:numPr>
        <w:adjustRightInd w:val="0"/>
        <w:snapToGrid w:val="0"/>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支持自定义观察项内容</w:t>
      </w:r>
    </w:p>
    <w:p>
      <w:pPr>
        <w:numPr>
          <w:ilvl w:val="0"/>
          <w:numId w:val="107"/>
        </w:numPr>
        <w:adjustRightInd w:val="0"/>
        <w:snapToGrid w:val="0"/>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支持气管导管、气切导管、动脉置管、静脉置管、尿管通畅、尿液性质等管道护理，同时支持输液管、三通接头、胃管、气管套管等更换管道功能</w:t>
      </w:r>
    </w:p>
    <w:p>
      <w:pPr>
        <w:numPr>
          <w:ilvl w:val="0"/>
          <w:numId w:val="107"/>
        </w:numPr>
        <w:adjustRightInd w:val="0"/>
        <w:snapToGrid w:val="0"/>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支持糖尿病饮食、流质饮食、鼻或管饲等饮食管理</w:t>
      </w:r>
    </w:p>
    <w:p>
      <w:pPr>
        <w:numPr>
          <w:ilvl w:val="0"/>
          <w:numId w:val="107"/>
        </w:numPr>
        <w:adjustRightInd w:val="0"/>
        <w:snapToGrid w:val="0"/>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支持皮肤完整、异常部位、气垫床、水垫等皮肤管理</w:t>
      </w:r>
    </w:p>
    <w:p>
      <w:pPr>
        <w:numPr>
          <w:ilvl w:val="0"/>
          <w:numId w:val="107"/>
        </w:numPr>
        <w:adjustRightInd w:val="0"/>
        <w:snapToGrid w:val="0"/>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支持约束部位血循环、伤口换药。褥疮换药、深静脉导管穿刺部位换药等功能</w:t>
      </w:r>
    </w:p>
    <w:p>
      <w:pPr>
        <w:numPr>
          <w:ilvl w:val="0"/>
          <w:numId w:val="107"/>
        </w:numPr>
        <w:adjustRightInd w:val="0"/>
        <w:snapToGrid w:val="0"/>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支持入量、出量的录入，支持温开水、鼻饲、食物、静脉入量、微泵入量、肠胃入量、其它药物入量以及每小时入量的入量信息，以及尿量、大便量、脱水量、硬膜外引流量、脑室引流量、胸腔引流量、腹腔引流量等出量信息。</w:t>
      </w:r>
    </w:p>
    <w:p>
      <w:pPr>
        <w:numPr>
          <w:ilvl w:val="0"/>
          <w:numId w:val="107"/>
        </w:numPr>
        <w:adjustRightInd w:val="0"/>
        <w:snapToGrid w:val="0"/>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支持液体平衡的每小时显示</w:t>
      </w:r>
    </w:p>
    <w:p>
      <w:pPr>
        <w:numPr>
          <w:ilvl w:val="0"/>
          <w:numId w:val="107"/>
        </w:numPr>
        <w:adjustRightInd w:val="0"/>
        <w:snapToGrid w:val="0"/>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支持冲洗入量、冲洗出量</w:t>
      </w:r>
    </w:p>
    <w:p>
      <w:pPr>
        <w:numPr>
          <w:ilvl w:val="0"/>
          <w:numId w:val="107"/>
        </w:numPr>
        <w:adjustRightInd w:val="0"/>
        <w:snapToGrid w:val="0"/>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支持通过图形化显示小时/天为单位的出入量</w:t>
      </w:r>
    </w:p>
    <w:p>
      <w:pPr>
        <w:numPr>
          <w:ilvl w:val="0"/>
          <w:numId w:val="107"/>
        </w:numPr>
        <w:adjustRightInd w:val="0"/>
        <w:snapToGrid w:val="0"/>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支持按班次、按天显示出入量情况</w:t>
      </w:r>
    </w:p>
    <w:p>
      <w:pPr>
        <w:numPr>
          <w:ilvl w:val="0"/>
          <w:numId w:val="107"/>
        </w:numPr>
        <w:adjustRightInd w:val="0"/>
        <w:snapToGrid w:val="0"/>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支持自定义配置出入量分组</w:t>
      </w:r>
    </w:p>
    <w:p>
      <w:pPr>
        <w:numPr>
          <w:ilvl w:val="0"/>
          <w:numId w:val="107"/>
        </w:numPr>
        <w:adjustRightInd w:val="0"/>
        <w:snapToGrid w:val="0"/>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支持护理记录的书写，自动导入检验、检查、体征、医嘱等信息，同时支持视频、音频、图片等数据导入，支持各类特殊符号的快速录入。</w:t>
      </w:r>
    </w:p>
    <w:p>
      <w:pPr>
        <w:numPr>
          <w:ilvl w:val="0"/>
          <w:numId w:val="107"/>
        </w:numPr>
        <w:adjustRightInd w:val="0"/>
        <w:snapToGrid w:val="0"/>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支持护理记录的模板功能，保存或调阅相关模板</w:t>
      </w:r>
    </w:p>
    <w:p>
      <w:pPr>
        <w:numPr>
          <w:ilvl w:val="0"/>
          <w:numId w:val="107"/>
        </w:numPr>
        <w:adjustRightInd w:val="0"/>
        <w:snapToGrid w:val="0"/>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支持三维立体人体模型可视化展示、导管信息及管理、护理信息、历史信息，支持支持导管部位自定义与选择，实现导管全流程管理</w:t>
      </w:r>
    </w:p>
    <w:p>
      <w:pPr>
        <w:numPr>
          <w:ilvl w:val="0"/>
          <w:numId w:val="107"/>
        </w:numPr>
        <w:adjustRightInd w:val="0"/>
        <w:snapToGrid w:val="0"/>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支持根据不同颜色区分管道的危重情况，支持自动计算累计置管天数</w:t>
      </w:r>
    </w:p>
    <w:p>
      <w:pPr>
        <w:numPr>
          <w:ilvl w:val="0"/>
          <w:numId w:val="107"/>
        </w:numPr>
        <w:adjustRightInd w:val="0"/>
        <w:snapToGrid w:val="0"/>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支持自定义导管信息的录入</w:t>
      </w:r>
    </w:p>
    <w:p>
      <w:pPr>
        <w:numPr>
          <w:ilvl w:val="0"/>
          <w:numId w:val="107"/>
        </w:numPr>
        <w:adjustRightInd w:val="0"/>
        <w:snapToGrid w:val="0"/>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支持患者在院所有皮肤记录的查询，支持三维立体人体皮肤的标注</w:t>
      </w:r>
    </w:p>
    <w:p>
      <w:pPr>
        <w:numPr>
          <w:ilvl w:val="0"/>
          <w:numId w:val="107"/>
        </w:numPr>
        <w:adjustRightInd w:val="0"/>
        <w:snapToGrid w:val="0"/>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支持追踪皮肤护理的内容</w:t>
      </w:r>
    </w:p>
    <w:p>
      <w:pPr>
        <w:numPr>
          <w:ilvl w:val="0"/>
          <w:numId w:val="107"/>
        </w:numPr>
        <w:adjustRightInd w:val="0"/>
        <w:snapToGrid w:val="0"/>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支持输血管理，记录体温、心率、不良反应、呼吸、氧饱和度、血压等输血相关参数，记录输血的产品号、总量、时间等基础信息</w:t>
      </w:r>
    </w:p>
    <w:p>
      <w:pPr>
        <w:numPr>
          <w:ilvl w:val="0"/>
          <w:numId w:val="107"/>
        </w:numPr>
        <w:adjustRightInd w:val="0"/>
        <w:snapToGrid w:val="0"/>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支持检验报告自动导入，支持检验指标归类趋势显示、支持检验结果异常标识显示</w:t>
      </w:r>
    </w:p>
    <w:p>
      <w:pPr>
        <w:numPr>
          <w:ilvl w:val="0"/>
          <w:numId w:val="107"/>
        </w:numPr>
        <w:adjustRightInd w:val="0"/>
        <w:snapToGrid w:val="0"/>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支持检查报告自动导入，支持查阅在院期间所有检查信息</w:t>
      </w:r>
    </w:p>
    <w:p>
      <w:pPr>
        <w:numPr>
          <w:ilvl w:val="0"/>
          <w:numId w:val="107"/>
        </w:numPr>
        <w:adjustRightInd w:val="0"/>
        <w:snapToGrid w:val="0"/>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支持自动采集血糖数据，支持血糖指标的趋势图</w:t>
      </w:r>
    </w:p>
    <w:p>
      <w:pPr>
        <w:numPr>
          <w:ilvl w:val="0"/>
          <w:numId w:val="107"/>
        </w:numPr>
        <w:adjustRightInd w:val="0"/>
        <w:snapToGrid w:val="0"/>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支持护理类常用评分，如Padua、Caprini、Rass、NRS2002、Braden、Wells-DVT、ICDSC、VTE、ADL等，支持A4纸原稿录入方式</w:t>
      </w:r>
    </w:p>
    <w:p>
      <w:pPr>
        <w:numPr>
          <w:ilvl w:val="0"/>
          <w:numId w:val="107"/>
        </w:numPr>
        <w:adjustRightInd w:val="0"/>
        <w:snapToGrid w:val="0"/>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支持保护性约束评估单、坠床评估单、导管滑落评估单等多类评估单，支持A4纸原稿录入方式</w:t>
      </w:r>
    </w:p>
    <w:p>
      <w:pPr>
        <w:numPr>
          <w:ilvl w:val="0"/>
          <w:numId w:val="107"/>
        </w:numPr>
        <w:adjustRightInd w:val="0"/>
        <w:snapToGrid w:val="0"/>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支持批量打印各类评分，支持归类评分打印</w:t>
      </w:r>
    </w:p>
    <w:p>
      <w:pPr>
        <w:numPr>
          <w:ilvl w:val="0"/>
          <w:numId w:val="107"/>
        </w:numPr>
        <w:adjustRightInd w:val="0"/>
        <w:snapToGrid w:val="0"/>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支持评分趋势分析</w:t>
      </w:r>
    </w:p>
    <w:p>
      <w:pPr>
        <w:numPr>
          <w:ilvl w:val="0"/>
          <w:numId w:val="107"/>
        </w:numPr>
        <w:adjustRightInd w:val="0"/>
        <w:snapToGrid w:val="0"/>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支持护理评估单、液体平衡单、护理记录单、输血记录单、CRRT记录单、体温单、护理计划单、液体平衡统计单等多类ICU文书，支持A4纸原稿显示方式</w:t>
      </w:r>
    </w:p>
    <w:p>
      <w:pPr>
        <w:numPr>
          <w:ilvl w:val="0"/>
          <w:numId w:val="107"/>
        </w:numPr>
        <w:adjustRightInd w:val="0"/>
        <w:snapToGrid w:val="0"/>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支持根据护理规格要求的A3原稿方式显示护理单，支持体征、护理、评分、用药等集中显示。支持A3护理单的放大缩小、缩放等功能。</w:t>
      </w:r>
    </w:p>
    <w:p>
      <w:pPr>
        <w:pStyle w:val="8"/>
        <w:rPr>
          <w:lang w:eastAsia="zh-CN"/>
        </w:rPr>
      </w:pPr>
      <w:r>
        <w:rPr>
          <w:rFonts w:hint="eastAsia"/>
          <w:lang w:eastAsia="zh-CN"/>
        </w:rPr>
        <w:t>单病种上报管理</w:t>
      </w:r>
    </w:p>
    <w:p>
      <w:pPr>
        <w:pStyle w:val="9"/>
        <w:numPr>
          <w:ilvl w:val="0"/>
          <w:numId w:val="0"/>
        </w:numPr>
        <w:spacing w:line="360" w:lineRule="auto"/>
        <w:ind w:left="3"/>
        <w:rPr>
          <w:sz w:val="24"/>
          <w:szCs w:val="24"/>
        </w:rPr>
      </w:pPr>
      <w:r>
        <w:rPr>
          <w:rFonts w:hint="eastAsia"/>
          <w:sz w:val="24"/>
          <w:szCs w:val="24"/>
        </w:rPr>
        <w:t>单病种质控管理平台</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主要区分七大角色：【医院管理员】使用该平台最大的权限，其他六大角色可由医院管理员建立，包括【医院领导】，【病种专家】，【信息科】，【科室管理员】，【病区管理员】，【填报员】。不同账号登录系统，首页及系统操作不同。</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进入系统可看到六大系统。包括【数据管理】，【质控报告】，【数据科研】，【指标检测】，【组织管理】，【质控督查】。点击进入可进入对应的系统。</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以下内容主要描述单病种质控平台所有功能。</w:t>
      </w:r>
    </w:p>
    <w:p>
      <w:pPr>
        <w:numPr>
          <w:ilvl w:val="4"/>
          <w:numId w:val="108"/>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数据管理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该数据管理系统分为六大部分，数据上报，数据补录，数据分配，数据审阅，数据导出，提交管理。</w:t>
      </w:r>
    </w:p>
    <w:p>
      <w:pPr>
        <w:numPr>
          <w:ilvl w:val="5"/>
          <w:numId w:val="109"/>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数据概览</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管理员点击菜单栏【数据概览】，进入数据管理的概览页面，展示对应数据范围内的数据填报情况。</w:t>
      </w:r>
    </w:p>
    <w:p>
      <w:pPr>
        <w:numPr>
          <w:ilvl w:val="5"/>
          <w:numId w:val="109"/>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数据分配</w:t>
      </w:r>
    </w:p>
    <w:p>
      <w:pPr>
        <w:spacing w:line="360" w:lineRule="auto"/>
        <w:ind w:firstLine="480"/>
        <w:rPr>
          <w:rFonts w:ascii="仿宋" w:hAnsi="仿宋" w:eastAsia="仿宋"/>
          <w:sz w:val="24"/>
          <w:szCs w:val="24"/>
          <w:lang w:val="zh-CN"/>
        </w:rPr>
      </w:pPr>
      <w:r>
        <w:rPr>
          <w:rFonts w:hint="eastAsia" w:ascii="仿宋" w:hAnsi="仿宋" w:eastAsia="仿宋"/>
          <w:sz w:val="24"/>
          <w:szCs w:val="24"/>
          <w:lang w:val="zh-CN" w:eastAsia="zh-CN"/>
        </w:rPr>
        <w:t>数据分配展示未分配到填报员的数据。医院管理员根据未分配数据的「部门」信息，在【组织管理】中建立对应的科室病区，该条数据会自动分配给该科室病区的填报员进行数据补录。</w:t>
      </w:r>
      <w:r>
        <w:rPr>
          <w:rFonts w:hint="eastAsia" w:ascii="仿宋" w:hAnsi="仿宋" w:eastAsia="仿宋"/>
          <w:sz w:val="24"/>
          <w:szCs w:val="24"/>
          <w:lang w:val="zh-CN"/>
        </w:rPr>
        <w:t>只有医院管理员有该模块。</w:t>
      </w:r>
    </w:p>
    <w:p>
      <w:pPr>
        <w:numPr>
          <w:ilvl w:val="5"/>
          <w:numId w:val="109"/>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ab/>
      </w:r>
      <w:r>
        <w:rPr>
          <w:rFonts w:hint="eastAsia" w:ascii="仿宋" w:hAnsi="仿宋" w:eastAsia="仿宋"/>
          <w:sz w:val="24"/>
          <w:szCs w:val="24"/>
          <w:lang w:val="zh-CN"/>
        </w:rPr>
        <w:t>数据补录</w:t>
      </w:r>
    </w:p>
    <w:p>
      <w:pPr>
        <w:spacing w:line="360" w:lineRule="auto"/>
        <w:ind w:firstLine="480"/>
        <w:rPr>
          <w:rFonts w:ascii="仿宋" w:hAnsi="仿宋" w:eastAsia="仿宋"/>
          <w:sz w:val="24"/>
          <w:szCs w:val="24"/>
          <w:lang w:val="zh-CN"/>
        </w:rPr>
      </w:pPr>
      <w:r>
        <w:rPr>
          <w:rFonts w:hint="eastAsia" w:ascii="仿宋" w:hAnsi="仿宋" w:eastAsia="仿宋"/>
          <w:sz w:val="24"/>
          <w:szCs w:val="24"/>
          <w:lang w:val="zh-CN" w:eastAsia="zh-CN"/>
        </w:rPr>
        <w:t>数据补录为平台通过与医院对接后，填报员只需要补录部分数据。只有填报员有该模块。填报员可进行可通过疾病类型，科室病区，病案号，出院起始日期等条件进行筛选，同时可使用对应的质控规则进行针对性筛选。</w:t>
      </w:r>
      <w:r>
        <w:rPr>
          <w:rFonts w:hint="eastAsia" w:ascii="仿宋" w:hAnsi="仿宋" w:eastAsia="仿宋"/>
          <w:sz w:val="24"/>
          <w:szCs w:val="24"/>
          <w:lang w:val="zh-CN"/>
        </w:rPr>
        <w:t>可进行的操作有【补录】和【排除】。</w:t>
      </w:r>
    </w:p>
    <w:p>
      <w:pPr>
        <w:numPr>
          <w:ilvl w:val="5"/>
          <w:numId w:val="109"/>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ab/>
      </w:r>
      <w:r>
        <w:rPr>
          <w:rFonts w:hint="eastAsia" w:ascii="仿宋" w:hAnsi="仿宋" w:eastAsia="仿宋"/>
          <w:sz w:val="24"/>
          <w:szCs w:val="24"/>
          <w:lang w:val="zh-CN"/>
        </w:rPr>
        <w:t>手动上报</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点击菜单栏【数据分配】，进入数据填报页面，展示的是该登录账户可上报的病种列表；能查看该医院所需要上报的病种填报内容。点击病种的【上报】字样可进入该病种的上报页面。上报页面展示该病种上报所需填写的上报内容，点击每一项的小标题一栏可对该模块进行收起或者展开，每一个小模块填报完成可点击【完成】收起并进行填写校验。点击【返回】可返回上报病种列表页面。</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其他角色只能查看，只有填报员才能上报。填报完成后可选择【保存】或【提交】，保存内容是可以保存到草稿箱，直接上报便是上报该病种的填报信息。只有填报员角色有草稿箱，进行手动上报数据的保存。</w:t>
      </w:r>
    </w:p>
    <w:p>
      <w:pPr>
        <w:numPr>
          <w:ilvl w:val="5"/>
          <w:numId w:val="109"/>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上报管理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展示全院所有的填报数据，并进行对应的管理。同时可以看见对应的病案完成填报用时，方便医院进行管理。</w:t>
      </w:r>
    </w:p>
    <w:p>
      <w:pPr>
        <w:numPr>
          <w:ilvl w:val="5"/>
          <w:numId w:val="109"/>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eastAsia="zh-CN"/>
        </w:rPr>
        <w:tab/>
      </w:r>
      <w:r>
        <w:rPr>
          <w:rFonts w:hint="eastAsia" w:ascii="仿宋" w:hAnsi="仿宋" w:eastAsia="仿宋"/>
          <w:sz w:val="24"/>
          <w:szCs w:val="24"/>
          <w:lang w:val="zh-CN"/>
        </w:rPr>
        <w:t>数据审阅</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该数据审阅模块展示的是填报员上报的数据。可以通过疾病类型，状态，科室病区，病案号，上报账户，起始日期进行搜索,可查看所有上报数据。只有科室/病区管理员能够审核数据，可以对数据进行批量操作；只有填报员能够申请退回；其余角色均只有查看。</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在本功能页面下，可以对相关病种设置质控条件，并进行对应的质控统计、查询，让对应的管理员能够更加轻松管理院内的数据，并进行相关科研研究。</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「状态」解释：</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已排除：填报员在【数据补录】中进行排除的数据</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已退回：填报员已经提交上报，在病区/科室管理员未审核时，填报员申请退回的数据。</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审核中：填报员已经提交上报，病区/科室管理员未审核的数据。</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审核通过：填报员已经提交上报，病区/科室管理员审核为【审核通过】的数据。</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已提交：填报员已经提交上报，病区/科室管理员审核通过，并提交到国家的数据。</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已作废：填报员已经提交上报，病区/科室管理员审核为【作废】的数据。</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审核不通过：填报员已经提交上报，病区/科室管理员审核为【审核不通过】的数据，该条数据需要填报员重新填报。</w:t>
      </w:r>
    </w:p>
    <w:p>
      <w:pPr>
        <w:numPr>
          <w:ilvl w:val="5"/>
          <w:numId w:val="109"/>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数据导出</w:t>
      </w:r>
    </w:p>
    <w:p>
      <w:pPr>
        <w:spacing w:line="360" w:lineRule="auto"/>
        <w:ind w:firstLine="480"/>
        <w:rPr>
          <w:rFonts w:ascii="仿宋" w:hAnsi="仿宋" w:eastAsia="仿宋"/>
          <w:sz w:val="24"/>
          <w:szCs w:val="24"/>
          <w:lang w:val="zh-CN"/>
        </w:rPr>
      </w:pPr>
      <w:r>
        <w:rPr>
          <w:rFonts w:hint="eastAsia" w:ascii="仿宋" w:hAnsi="仿宋" w:eastAsia="仿宋"/>
          <w:sz w:val="24"/>
          <w:szCs w:val="24"/>
          <w:lang w:val="zh-CN" w:eastAsia="zh-CN"/>
        </w:rPr>
        <w:t>点击菜单栏“数据导出”进入数据导出模块，展示的是可导出的数据列表。用户可进行单条数据的导出，也可进行自定义数据导出操作。点击单挑列表数据的“导出”操作，即可导出xls格式的文件。用户点击“导出”按钮，可进行自定义的导出，导出类型可多选，选择导出时间段、病种、对应的质控规则等条件后，点击“确定”可导出自定义病种类型以及时间段的数据文件。</w:t>
      </w:r>
      <w:r>
        <w:rPr>
          <w:rFonts w:hint="eastAsia" w:ascii="仿宋" w:hAnsi="仿宋" w:eastAsia="仿宋"/>
          <w:sz w:val="24"/>
          <w:szCs w:val="24"/>
          <w:lang w:val="zh-CN"/>
        </w:rPr>
        <w:t>点击“取消”可取消该操作。</w:t>
      </w:r>
    </w:p>
    <w:p>
      <w:pPr>
        <w:numPr>
          <w:ilvl w:val="5"/>
          <w:numId w:val="109"/>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ab/>
      </w:r>
      <w:r>
        <w:rPr>
          <w:rFonts w:hint="eastAsia" w:ascii="仿宋" w:hAnsi="仿宋" w:eastAsia="仿宋"/>
          <w:sz w:val="24"/>
          <w:szCs w:val="24"/>
          <w:lang w:val="zh-CN"/>
        </w:rPr>
        <w:t>提交管理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点击菜单栏“提交管理”可进入提交管理模块；该提交管理展示的是该院内单病种系统向院外单病种提交的数据列表展示，可根据状态查询数据，也可进行批量的手动数据上报，并有查看详情功能。</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对于院外单病种系统审核失败的数据或者因网络原因未能成功上报驳回的数据可进行重新手动上报，可点击数据列表单挑数据的“手动上传”操作，可以进行批量操作，选择列表的多条数据或者勾选全选按钮后点击“批量手动上报”按钮即可。</w:t>
      </w:r>
    </w:p>
    <w:p>
      <w:pPr>
        <w:numPr>
          <w:ilvl w:val="4"/>
          <w:numId w:val="108"/>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质控报告</w:t>
      </w:r>
    </w:p>
    <w:p>
      <w:pPr>
        <w:spacing w:line="360" w:lineRule="auto"/>
        <w:ind w:firstLine="480"/>
        <w:rPr>
          <w:rFonts w:ascii="仿宋" w:hAnsi="仿宋" w:eastAsia="仿宋"/>
          <w:sz w:val="24"/>
          <w:szCs w:val="24"/>
          <w:lang w:val="zh-CN"/>
        </w:rPr>
      </w:pPr>
      <w:r>
        <w:rPr>
          <w:rFonts w:hint="eastAsia" w:ascii="仿宋" w:hAnsi="仿宋" w:eastAsia="仿宋"/>
          <w:sz w:val="24"/>
          <w:szCs w:val="24"/>
          <w:lang w:val="zh-CN" w:eastAsia="zh-CN"/>
        </w:rPr>
        <w:t>质控报告模块医院管理员，医院领导，科室/病区管理员能看到。可通过年份和季度进行数据的筛选，查看对应的报告。报告展示所有病种的概况，包括上报数量，病种质控指标，医疗资源消耗。</w:t>
      </w:r>
      <w:r>
        <w:rPr>
          <w:rFonts w:hint="eastAsia" w:ascii="仿宋" w:hAnsi="仿宋" w:eastAsia="仿宋"/>
          <w:sz w:val="24"/>
          <w:szCs w:val="24"/>
          <w:lang w:val="zh-CN"/>
        </w:rPr>
        <w:t>亦可下载对应报告。</w:t>
      </w:r>
    </w:p>
    <w:p>
      <w:pPr>
        <w:numPr>
          <w:ilvl w:val="4"/>
          <w:numId w:val="108"/>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数据科研</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该模块医院管理员，科室/病区管理员，医院领导，病种专家，这5种角色有。通过拖拉左侧的连续性变量和分类型变量进行具体病种分析。分析以图表和表格的形式展现，能展示总计，平均数，中位数。</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可切换图表的类型，柱状图，折线图，箱式图。可以下载图表，可以导出表格。</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同时支持医院定制化科研字段抓取和配置，使得医院科研研究更加灵活。</w:t>
      </w:r>
    </w:p>
    <w:p>
      <w:pPr>
        <w:numPr>
          <w:ilvl w:val="4"/>
          <w:numId w:val="108"/>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指标监测</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包括智能报表，数据大屏，要素分析，数据质量，采集明细等统计模块。</w:t>
      </w:r>
    </w:p>
    <w:p>
      <w:pPr>
        <w:numPr>
          <w:ilvl w:val="5"/>
          <w:numId w:val="109"/>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智能报表</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智能报表、数据大屏模块医院管理员，科室/病区管理员，医院领导，病种专家，这5种角色有。数据看板展示医院的数据统计。</w:t>
      </w:r>
    </w:p>
    <w:p>
      <w:pPr>
        <w:numPr>
          <w:ilvl w:val="5"/>
          <w:numId w:val="109"/>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eastAsia="zh-CN"/>
        </w:rPr>
        <w:tab/>
      </w:r>
      <w:r>
        <w:rPr>
          <w:rFonts w:hint="eastAsia" w:ascii="仿宋" w:hAnsi="仿宋" w:eastAsia="仿宋"/>
          <w:sz w:val="24"/>
          <w:szCs w:val="24"/>
          <w:lang w:val="zh-CN"/>
        </w:rPr>
        <w:t>要素分析</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要素分析以卡片模式、列表模式对全院的病种情况进行统计呈现，展现医院的平均费用、平均住院日、死亡率等医院关心的重点指标。</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同时点击对应的病种，可以进入到每个病种的具体病案分析中，可以查看对应病种的相关数据分布。包括病患的性别、年龄、BMI等分布情况，同时统计对应的患者的相关诊断、费用、出院方式、付费方式等相关数据</w:t>
      </w:r>
    </w:p>
    <w:p>
      <w:pPr>
        <w:numPr>
          <w:ilvl w:val="5"/>
          <w:numId w:val="109"/>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eastAsia="zh-CN"/>
        </w:rPr>
        <w:tab/>
      </w:r>
      <w:r>
        <w:rPr>
          <w:rFonts w:hint="eastAsia" w:ascii="仿宋" w:hAnsi="仿宋" w:eastAsia="仿宋"/>
          <w:sz w:val="24"/>
          <w:szCs w:val="24"/>
          <w:lang w:val="zh-CN"/>
        </w:rPr>
        <w:t>数据质量、采集明细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数据质量模块医院管理员，科室/病区管理员，医院领导，病种专家，信息科，这6种角色有。可查看数据的上报率，完整率，及时率等。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采集明细可展示各个病种下，每个字段的自动抓取率、手动填写占比等相关信息，方便针对性地提高病种的自动抓取率。</w:t>
      </w:r>
    </w:p>
    <w:p>
      <w:pPr>
        <w:numPr>
          <w:ilvl w:val="4"/>
          <w:numId w:val="108"/>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组织管理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组织管理分为6大角色模板和4大管理组织。进行单病种质控的组织管理。只有医院管理员有角色模板。医管管理员有6种角色模板，可建立6种角色。对应操作权限打钩的都是可以进行的操作权限。</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默认角色有5种。为医院领导，病种专家，信息科，科室管理员，填报员。若不需要「病区管理员」，可不开启该角色模板。</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【医院管理员】：能够建立以下6种角色。</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【医院领导】：能够查看根据权限勾选的数据。</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【病种专家】：能够对审核成功的数据进行督查，便于后续单病种质控的指导。</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【信息科】：能够查看数据质量的分析，便于排查系统对接，对接字段的问题。</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【科室管理员】：科室管理员能够审核填报员上传的数据。</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【病区管理员】：病区管理员可开启和不开启。病区管理员可以查看该病区的数据。</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【填报员】：能够上报数据。</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页面默认展示4大组织，分别为：医院领导组，病种专家组，信息科，实施组（科室/病区）。可以在对应的组织下建立账号。账号列表展示用户名，姓名，角色，病种数，账号状态，操作。用户名即账号的登录名。当把该账号【禁用】后，该账号不能登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实施组的组织管理为：科室，病区。主要建立角色为：科室管理员，病区管理员，填报员。</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主要操作为：① 如果无「病区管理员」角色（是否需要病区管理员，可在角色模板设置）医院管理员建立科室，医院管理员可以在科室下建立科室管理员。科室管理员建立填报员，医院管理员也能建立填报员；② 如果有「病区管理员」角色。主流程：医院管理员建立科室（病区只能由科室管理员建立），医院管理员在科室下建立科室管理员。科室管理员可建立病区，科室管理员在具体病区下建立病区管理员；病区管理员登录账号可在病区下建立填报员。次流程：医院管理员除了建立【科室管理员】账号，还可建立【病区管理员】【填报员】账号；科室管理员除了建立【病区管理员】账号，还可建立【填报员】账号；病区管理员只能建立【填报员】账号。</w:t>
      </w:r>
    </w:p>
    <w:p>
      <w:pPr>
        <w:numPr>
          <w:ilvl w:val="4"/>
          <w:numId w:val="108"/>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质控督查</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该模块主要流程是医院管理员建立督查计划，病种专家进行督查，督查后不通过的结果反馈到科室/病区管理员，填报员。督查列表主要展示督查名称，科室，病种，督查病例数，审核通过时间，截止时间，督查状态，操作。（督查病例数：指本次需要督查的病例数目；审核通过时间：指病例审核通过的时间。通过时间筛选出在一定时间段审核通过的病例；截止时间：指本次督查时间需要在截止时间前结束）</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病种专家能督查病种权限的病种。列表展示督查名称，科室，病种，督查病例数，截止时间，已督查数目，操作。点击【督查】，进入详情页，病种专家可自由选择需要督查的数据，能对病种进行督查。科室/病区管理员，填报员能查看对应科室/病区督查不通过的数据。</w:t>
      </w:r>
    </w:p>
    <w:p>
      <w:pPr>
        <w:numPr>
          <w:ilvl w:val="4"/>
          <w:numId w:val="108"/>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公告和帮助</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点击“公告和帮助”可进入系统公告模块，系统公告有“系统公告”“单病种”“帮助文档和介绍”“学习园地”模块，可点击进行切换。</w:t>
      </w:r>
    </w:p>
    <w:p>
      <w:pPr>
        <w:numPr>
          <w:ilvl w:val="4"/>
          <w:numId w:val="108"/>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系统配置</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系统支持用户配置的数据采集，可开启或关闭数据采集功能，设置采集周期（如1天、1周等），也可设置推送至医生端的周期。数据从院内采集后需经过系统的转化，形成标准化数据格式，然后进行数据组装，完成病例个案的信息组合，最后将数据推送至医生端。数据审核通过后可设置本地数据和国家单病种平台的同步频率，如1天、1周等。国家平台端的消息、通知、帮助文档等也可同步至院内端。该方案能够在第一时间获得国家单病种平台上报内容发生的变动，并能够将国家端的变动自动更新至院内单病种管理系统，包括上报页面的更新和接口的更新，实现与国家平台的一致性，降低手动修改带来的错误率和滞后性。</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目前系统配置有两个模块“定时任务”和“远程资源”。“定时任务”就是系统到某个点执行某个任务。例如数据采集设置，开启数据采集选择采集周期和推送周期，系统到了这个周期就会发起这个采集任务和推送任务。同时可以根据国家端的要求，自动化排除对应的重复病种，避免重复上报。</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“远程资源”用于主动获取国家端病种最新上报项及相关公告、文档等资源。例如设置了医院管理员的同步，每天会同步一次。</w:t>
      </w:r>
    </w:p>
    <w:p>
      <w:pPr>
        <w:numPr>
          <w:ilvl w:val="4"/>
          <w:numId w:val="108"/>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个人信息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个人信息展示用户名，密码，姓名，手机号码，邮箱，角色，病种权限。可以编辑的有姓名，手机号码，邮箱。可以修改密码。</w:t>
      </w:r>
    </w:p>
    <w:p>
      <w:pPr>
        <w:pStyle w:val="9"/>
        <w:numPr>
          <w:ilvl w:val="0"/>
          <w:numId w:val="0"/>
        </w:numPr>
        <w:spacing w:line="360" w:lineRule="auto"/>
        <w:ind w:left="3"/>
        <w:rPr>
          <w:sz w:val="24"/>
          <w:szCs w:val="24"/>
          <w:lang w:eastAsia="zh-CN"/>
        </w:rPr>
      </w:pPr>
      <w:r>
        <w:rPr>
          <w:rFonts w:hint="eastAsia"/>
          <w:sz w:val="24"/>
          <w:szCs w:val="24"/>
          <w:lang w:eastAsia="zh-CN"/>
        </w:rPr>
        <w:t>单病种数据采集平台</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单病种采集按照病种分类管理和配置。登录之后进入首页，呈现所有自动采集的病种，点击每个病种进入详细配置管理页面，基于可视化源数据到单病种数据的转化匹配功能，实现灵活、自由的单病种临床数据采集及各环节数据的集成。</w:t>
      </w:r>
    </w:p>
    <w:p>
      <w:pPr>
        <w:numPr>
          <w:ilvl w:val="0"/>
          <w:numId w:val="110"/>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据库配置</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能够进行对应的数据库配置。</w:t>
      </w:r>
    </w:p>
    <w:p>
      <w:pPr>
        <w:numPr>
          <w:ilvl w:val="0"/>
          <w:numId w:val="110"/>
        </w:numPr>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多源异构数据库/表采集配置</w:t>
      </w:r>
    </w:p>
    <w:p>
      <w:pPr>
        <w:adjustRightInd w:val="0"/>
        <w:snapToGrid w:val="0"/>
        <w:spacing w:line="360" w:lineRule="auto"/>
        <w:rPr>
          <w:rFonts w:ascii="仿宋" w:hAnsi="仿宋" w:eastAsia="仿宋"/>
          <w:sz w:val="24"/>
          <w:szCs w:val="24"/>
          <w:lang w:val="zh-CN" w:eastAsia="zh-CN"/>
        </w:rPr>
      </w:pPr>
      <w:r>
        <w:rPr>
          <w:rFonts w:hint="eastAsia" w:ascii="仿宋" w:hAnsi="仿宋" w:eastAsia="仿宋"/>
          <w:sz w:val="24"/>
          <w:szCs w:val="24"/>
          <w:lang w:val="zh-CN" w:eastAsia="zh-CN"/>
        </w:rPr>
        <w:t>通过可视化字段匹配，可实现自动实现匹配，匹配结果会进行入最终匹配列表。</w:t>
      </w:r>
    </w:p>
    <w:p>
      <w:pPr>
        <w:pStyle w:val="8"/>
        <w:rPr>
          <w:lang w:eastAsia="zh-CN"/>
        </w:rPr>
      </w:pPr>
      <w:r>
        <w:rPr>
          <w:rFonts w:hint="eastAsia"/>
          <w:lang w:eastAsia="zh-CN"/>
        </w:rPr>
        <w:t>资产精细化设备全生命周期管理系统</w:t>
      </w:r>
    </w:p>
    <w:p>
      <w:pPr>
        <w:pStyle w:val="9"/>
        <w:numPr>
          <w:ilvl w:val="0"/>
          <w:numId w:val="0"/>
        </w:numPr>
        <w:spacing w:line="360" w:lineRule="auto"/>
        <w:ind w:left="3"/>
        <w:rPr>
          <w:sz w:val="24"/>
          <w:szCs w:val="24"/>
          <w:lang w:eastAsia="zh-CN"/>
        </w:rPr>
      </w:pPr>
      <w:r>
        <w:rPr>
          <w:rFonts w:hint="eastAsia"/>
          <w:sz w:val="24"/>
          <w:szCs w:val="24"/>
          <w:lang w:eastAsia="zh-CN"/>
        </w:rPr>
        <w:t>全院采购申报审批及档案管理系统</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标准化采购字典管理：根据单位的采购管理特点，建立直观的采购字典分类，在每个分类下建立标准的采购名称，采购名称可以与资产字典建立关联，以方便调用科室原资产台数和效益情况，采购字典与申购类型进行关联，填写申请单时能自动判断类型是否正确,不正确的自动修改类型。</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审批流程配置：可以根据不同的申购类型、年度|临时、科室、资产分类、科室分类、总价区间设定不同的审批流程；审批流程可以自定义，每一步可以指定人员或角色，也可以指定为科室主任审批，审批步骤需多个人员同时审批的情况可以选择必须同时审批还是其中一个人审批就通过；申购单也可以选择不同的审批流程，审批过程中可以修改下一步的审批人或增加一步审批环节；申购单可以查看审批进度。审批可以设定每一步的推送频率，可按小时或天进行设置；可以设置多人投票模式审批，包括通过人数设定，最长等待天数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申购内容配置：根据不同的申购类型可以配置不同的申购填写内容，包括下拉选择项、内容填写项等，并能配置不同的申购单打印格式。</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申购类型管理：可以配置年度、临时申购中不同类型的申购，每个类型的申购可以配置不同的格式及审批流程。</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论证格式管理：根据不同的申购类型及金额区间配置不同的论证表格，论证表格可以配置多个填写项，每个填写项可以限定字数、填写人、是否必填等，每个论证表格可以定义打印格式。</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申购权限管理：可以设定人员的申购权限、申购类型、采购类型及初审科室的权限等。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年度申购管理：医院可以规定各科室年度预算申报的周期，在周期内可以进行网上申报，超过周期系统将自动关闭申报。填写内容包括但不限于名称、规格、数量、单位、预算金额、申报说明、经费来源、推荐品牌、要求到货时间等，如更新设备可以说明更新的是哪一台旧设备并记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临时申购管理：临时采购（可以设定限额）进行网上申请审批，超出限额的申请不能进行网上填报，填写内容包括但不限于名称、规格、数量、单位、预算金额、申报说明、经费来源、推荐品牌、要求到货时间等，如更新设备可以说明更新的是哪一台旧设备并记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申购计划单管理：完成审批的申购单形成采购计划，采购计划管理员可以根据需要修改申购类型，申购计划单可以打印、导出，根据需要可以发送采购。</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移动端审批管理：根据权限和审批流程配置的申购申请单可以推送到相关人员的手机微信或钉钉端进行审批，通过后进入下一个审批环节，不通过则退回到提交科室，审批过程中可以调用相关的附件信息，附件信息在发起审批时可以由发起人选定,支持图片、pdf、word格式。</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附件管理：申购过程中可以定义要上传的附件类型，必须上传的附件，系统中可以上传附件，也可以在申购单中的二级码通过手机扫一扫上传附件。</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会议记录管理：申购过程的会议可以进行记录，包括参加人员、讨论通过的申购单号、不通过的单号、会议时间、地点、会议名称、会议内容等，并能上传附件，申购单号可以批量选择。</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申购计划执行分析：系统能自动分析申购计划执行情况，包括完成计划的数量、合同签订的金额、节约金额，完成率，并能进行输出图表信息。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采购到货提配：对于各科室申购的物品，采购入库后可微信推送给申请人来领取。</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申购执行分析：可以对年度、临时，不同的采购类型，按年度进行分析执行情况，包括合同签订、节约金额等，并能对指定的类型进行按科室进行分析，数据和图表可导出。</w:t>
      </w:r>
    </w:p>
    <w:p>
      <w:pPr>
        <w:pStyle w:val="9"/>
        <w:numPr>
          <w:ilvl w:val="0"/>
          <w:numId w:val="0"/>
        </w:numPr>
        <w:spacing w:line="360" w:lineRule="auto"/>
        <w:ind w:left="3"/>
        <w:rPr>
          <w:sz w:val="24"/>
          <w:szCs w:val="24"/>
          <w:lang w:eastAsia="zh-CN"/>
        </w:rPr>
      </w:pPr>
      <w:r>
        <w:rPr>
          <w:rFonts w:hint="eastAsia"/>
          <w:sz w:val="24"/>
          <w:szCs w:val="24"/>
          <w:lang w:eastAsia="zh-CN"/>
        </w:rPr>
        <w:t>简易招标采购合同管理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附件管理及收集：可以根据采购类型、采购方式、阶段定义需要上传的附件类型和名称，是否必须上传，各阶段可以发起附件收集任务，任务可以发给申请科室、供应商、个人，待上传后审核完成必要附件的电子化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采购计划管理：经科室发起的申购申请，通过审批后形成申购单，包括年度和临时的申购单，可以录入非网上申请通过的采购计划，也可以根据固定格式批量导入采购计划，可以发起采购招标任务.支持多个采购计划生成一个招标计划。</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采购人及任务分配管理：对业务人员进行采购员权限分配，对采购招标任务分配专属采购员，采购员对招标任务定义招标类型与招标方式。</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招标及合同登记管理：可以登记无合同的验收货物清单，方便移动安装验收管理；可以对采购计划进行合同登记管理，包括上传附件；可以对采购计划招标信息进行登记。</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招标调研参数管理：对参与计划招标任务的供应商信息进行调研记录，如产品信息、配置清单、附件信息、价格、国产进品标识、注册证信息、保修期、服务等。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咨询会议管理：对计划招标任务组织项目咨询会，记录会议内容、地点、结论、组织人、相关的附件上传，可以打印结论、线上、现场咨询会的记录单。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执行预算审批：通过调研形成的项目可能的执行预算范围发起审批，流程可以根据医院的要求进行配置，审批过程可以查看相关的附件，审批完成后进入下一环节。</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招标计划管理：对招标计划的招标启止时间、招标报名的启止时间，招标地址、招标人手机、电话进行补充，上传招标计划相关的档案附件信息。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招标审批管理：对完成调研的招标任务可以推荐一个或多个供应商，填写推荐理由，对推荐的信息可以发起院内审批管理，对审批管理可以定义审批流程，对不同的招标可以选择不同的审批流程。</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简易采购：对进行简易采购的计划任务，可直接填写采购相关的市场调研情况、上传相关的附件，登记成交供应商的相关信息，包括商品、保修期、采购中标金额等，并可以上传供应商相关的附件，对简易采购的计划可直接选择生成入库单相关的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中标结果及审批管理：可以对中标结果进行网上审批，审批流程可以进行选择，对审批通过的中标结果，可以向中标供应商发送中标通知书。</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合同模板管理：医院可以根据项目的类型定义合同模板，模板通用部份可以固定格式，供应商信息、中标产品信息、售后内容、价格、付款方式可以从中标结果中调用。</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合同自动生成管理：选择正确的合同模板后，系统可以自动生成正式的合同信息，自动转为pdf文件；合同能发起单位内部的审批汇签管理；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统计分析及报表：统计采购招标任务的工作量，采购完成金额，完成率，合同回传率等。</w:t>
      </w:r>
    </w:p>
    <w:p>
      <w:pPr>
        <w:pStyle w:val="9"/>
        <w:numPr>
          <w:ilvl w:val="0"/>
          <w:numId w:val="0"/>
        </w:numPr>
        <w:spacing w:line="360" w:lineRule="auto"/>
        <w:ind w:left="3"/>
        <w:rPr>
          <w:sz w:val="24"/>
          <w:szCs w:val="24"/>
          <w:lang w:eastAsia="zh-CN"/>
        </w:rPr>
      </w:pPr>
      <w:r>
        <w:rPr>
          <w:rFonts w:hint="eastAsia"/>
          <w:sz w:val="24"/>
          <w:szCs w:val="24"/>
          <w:lang w:eastAsia="zh-CN"/>
        </w:rPr>
        <w:t>资产精细化管理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分类及品牌管理：对标准的资产分类进行管理，可分多级建立，不同的库房支持不同的资产分类；对财务帐本及核算类别进行管理，不同的库房支持不同的帐本和核算类别；对资产的品牌进行标准建库管理，系统相关环节如名称规格字典等可以调用。</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供应商厂商管理：对厂商、供应商、维修公司进行集中建库管理，包括名称、统一信用号、生产许可证、开户银行、地址、联系人、档案存存放位置、财务凭证编码等信息；可以对院内供应商管理授权登入帐号和密码；可以建立黑名单；可以开通外网供应商平台（如启用并开通的情况下）登入帐号，一家供应商支持设立多个账号；可以查看供应商平台上传的证件，也可以下载供应商的相关证件图片到本地；可对单位进行批量作废管理；可以自行维护单位的证件；可以批量设置供应商类型。</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名称规格字典管理：选择分类后可以新建名称规格字典，包括名称、规格、型号、核算类别、单位、单价、品牌、物资描述、折旧分类、财政分类、巡检标识、巡检周期、巡检分类、pm标识、pm分类、需要维修标识、需要强检标识、设备分类、性能检测标识、电气安全检测标识、计量标识、标签类型、故障分类、残值折旧率、自检标识、辐射设备标识、特种设备标识、风险等级、清点是否拍照、旧名称、旧规格等；可以选择名称快速新增规格；可以批量修改标识等信息；可以新增关联物资，入出库查询可以关联查询；可以导出字典；可以导入固定分类下的名称规格字典（固定格式和字段）。</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入库管理：支持采购入库、在用增值入库、增值入库、采购退货、调拨入库、盘盈入库、库存初始等管理，入库业务可以设定制单、审核、记帐三个环节不同权限的人进行操作，入库业务可以上传相关的附件，如发票等，对上传的图片格式的可以直接显示；不同的库房可以配置不同的入库信息列及次序；入库列表信息和明细信息可以导出；入库业务审核、记帐环节可以通过微信或钉钉推送确认（在开通微信或钉钉的前提下）；能自动生成入库单打印单据（支持连续分页打印）。</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出库管理：支持领用出库、调拨出库、盘亏出库、领用初始、领用退库等管理；出库业务可以设定制单、审核、记帐三个环节及不同权限的人进行操作，出库业务可以上传相关的附件，对上传的图片格式的可以直接显示；不同的库房可以配置不同的出库信息列及次序；出库列表信息和明细信息可以导出；出库业务审核、记帐环节可以进行微信或钉钉推送确认（在开通微信或钉钉的前提下）；可以批量选择在库资产出库,通过入库单号、名称、规格、sn、院内编码、资产编号等进行检索；可根据权限对制单状态的单据修改制单人操作；能自动生成出库单打印单据（支持连续分页打印)。</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转科管理：科室平台可以发起转科申请，完成申请制单，后台进行审核，完成转科业务处理；可通过在用台帐的检索选择要转科的台帐，发起批量转科业务；转科业务可以设定制单、审核、记帐三个环节及不同权限的人进行操作；可以增加相关接收部门进行确认环节。</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发票管理：入库同时可以对发票进行登记，一张入库单可以登记一张或多张发票，一个台帐可以登记一张或多张发票；如入库发票未到（或部分未到），事后可以进行发票补登业务；对请汇业务前可以进行发票领取业务，领取的同时可以根据发票自动生成请汇单及明细;系统支持在入库、发票补登等环节扫描发票上的二维码读取专票、普票信息，包括发票号码、开票金额、开票日期等信息；可以针对单张发票重复登记进行提示和预警。</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付款管理：可以按供应商名称查询入库总金额、已付、未付、票到、票未到、票到已付金额并打印和导出pdf；选择供应商及记帐时间查询入库未付款的明细，选择要支付的明细，生成付款申请单，并对付款申请单进行审批、记帐业务,一条明细可以进行多次支付业务,一个入库单可以多次分批进行付款操作；可根据医院的付款计划额度分配各供应商每月支付的总额，再选择明细进行批量操作付款，同时各供应商的入库明细同步生成支付明细,进行审批、记帐业务；可以对科室自行申请付款的入库明细进行标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台帐管理：建立以唯一编码为中心的资产台帐身份识别，生成标准的二维编码，可选择不同的标签格式，批量打印标签；集中展现台帐各个环节的数据信息，支持记录台帐的基本信息、台帐实物图片、附件信息、折旧信息、资产清查记录、维修信息、档案信息、位置信息变动、转科信息、维保信息、培训信息财政信息、使用信息等；能提供固定资产配件卡片管理方案，要求物理上属于资产组成部分的主要子系统和配件有附属卡片和台账信息；可以批量资产的信息，如位置、保管人、实物名称、实物规格、保修单位等信息；可以设定不同的人管理不同位置、科室、分类的管理端和科室平台端资产权限；可以打印资产的卡片信息、报刻鉴定表、列表清单等，并能导出根据查询条件查询的资产台帐数据；可以定义不同的人显示资产列信息；可以批量设定报废预算和取消报废预算；可以批量选择出库、预废废申请、建立续保合同、库房调拨等操作，并能调整资金来源；可以批量设定租赁设备；可以对标签已打未打、已贴进行标识，对未贴进行扫码标识；能通过日常的管理业务自动建立资产的状态，如正常、维修中、警告、预报废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条码及标签管理：可以根据定义的规则生成条码信息，支持资产标签格式切换(能提供多种标签格式供选择)，资产标签可以进行连续打印；支持与旧条码信息、财务编号、财政编号的对应关联，能从不同的编码维度进行查询；能打印配件资产标签，编号与主资产关联。</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预报废计划及管理：各科室可以对拟报废的资产做预报废计划，从科室平台选择要预报废的资产,系统提示购入年限等，确认后标识为报废预算，待单位下达预报废指标后，科室可以从预报废计划中选择相应的台帐进行预报废审批；可定义预报废审批的流程，也可以按制单、审核、记帐三个环节进行审批处理；预报废可以录入原因、鉴定人等信息；预报废审批完成后生成预报废状态，可以导出相关的上报格式；对资产预报废审批后的回收可以进行登记管理，包括回收人、时间、情况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报废管理：上级部门对预报废的台帐审批后，可以在系统中发起正式的报废业务，通过制单、审核、记帐完成台帐的正式报废，同时生成相应的报表。</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财政上报管理：可以对财政分类进行管理；对财政分类和资产分类进行对照关联；可以对单位的科室与财政设定的科室进行对照关联；可以对单位的台帐进行标识是否上报给财政，对新购入的资产可以根据相关的条件选择后标识上报，并能导出上报财政对应的格式，导入财政系统后，可以将财政系统的生成的财政编号导出同步到单位的内部管理系统中，完成财政上报的流程。</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折旧管理：根据新会计制度、新财务制度的要求每月进行手动折旧计提，能自动产生固定资产折旧汇总及明细报表；支持对固定资产进行分类别折旧，可以设定折旧计算比例，生成与标准不同的折旧报表用于核算；可对资产设定残值率，如有残值率的，先扣除残值率的价值再进行折旧计提；折旧台帐与资产台帐分开，资产台帐可以同步到折旧台帐信息中，入库的台帐自动生成折旧年限,可设定参数入库当月或下月进行折旧计提;可按经费来源生成报表;可以针对折旧台帐进行折旧率、特批不折金额等配置，能生成核算用的折旧率的特殊折旧报表。</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移动核对清点管理：支持移动推车的方式进行移动核对清查，移动清点（盘点）可以提供修改资产信息、打印标签、转科等操作；资产实物清点（盘点）可以根据医院的要求分不同的周期和批次进行，也可以选择库房和位置单独进行清点；清点台帐信息从各科室台帐中提取，并记录各科台帐实物清点的位置、负责人等情况，可以对清点结果进行审核、分析处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科室资产管理：建立单位各科室资产管理平台，可以管理科室所有在用资产，包括基本信息、位置信息、保管人、保管科室、安装地点、闲置信息等，查看资产的附件信息、配件信息、维修记录、转科记录、位置变更信息、财政信息、使用信息、借用信息、清查记录等；可以发起资产的预报废申请、首次确认、暂缺标记、转科申请、报修、闲置登记、预调拨、预赠送、预报损申请处理；可以导出科室资产清单、打印报废鉴定表；可以对无条码的资产进行登记上报；可以实现资产的两级核查管理；可以管理资产借用管理；可以管理资产的使用登记；能对科室资产管理人员的权限进行定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位置管理：可以根据单位的实际地理位置分级建立位置标准库，支持集团化分部管理；可以生成位置编码，打印标准的二维码位置标牌；位置信息与资产信息、科室进行关联，可以设定资产管理的位置级次；可以建立具体的管理点，管理点是在指定的位置下建立，管理点可以打印二维码标签,可批量打印标签。</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库存管理及资产申领：对在库的资产进行库存管理，包括查询、导出及库位管理；科室可以发起在库资产的申领业务，可以配置审批，审批通过后可以配送出库。</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其它台帐管理：可以管理报废再利用、试用等不占用单位资金的资产，不记入单位财务会计账簿，只对实物进行管理；日常业务管理与台帐管理相同包括台帐、转科、报废、维修、处理等业务，可以打印资产标签。</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主附台帐管理：针对成套采购的资产，可以建立配件的其它台帐，并能在主台帐中关联附属台帐，附台帐可以进行报废、维修、pm、巡检等管理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资产盘点及三级清查管理：对在用资产定期进行盘点管理，可设定盘点周期、盘点范围；各科室资产管理员可以通过科室平台上报资产清查结果、由科主任进行二级审核，再由职能部门的资产管理员进行三级审核完成资产三清查；可以通过移动手机应用进行扫码盘点或手工拍照盘点，上传后由职能部门的资产管理员进行审核，完成资产盘点；可以导出资产盘点清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月结及会计管理：根据会计期间，在每个月会计期间结束日进行当月的月结管理，月结可以选择手动月结和自动月结两种方式，对已制单或审核状态的入出转单据可以进行控制是否要提示，结转时保存当前库存帐、在用帐等信息，并自动生成会计收支月报、在用月报表、收支月报明细表,月结完成后进入下一个会计期间。</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查询统计：入出库清单查询、付款查询、付款请汇查询、入库按单位查询、入库单明细查询、出库近科室查询、出库按用途查询、出库单明细查询、全流程查询、资产查询、资产按位置查询、资产按名称规格统计、资产位置变动记录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业务分析报表：付款汇总报表、入库汇总单、业务明细报表、财务流水帐、收支明细表、转科明细表、折旧科室江总、折旧核算汇总、折旧分类资金汇总、折旧分类核算汇总、折旧资金科室汇总、按提取率科室折旧汇总、折旧计提汇总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库房调拨及在用调拨：不同库房之间可以实现在库资产的调拨管理，自动生成调出库房和调入库房业务单据和会计报表；不同库房之间可以实现在用资产的调拨，自动生成调出库房的退库、调拨单，调入库房的出库单，折旧等信息自动同步。</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rfid标签管理：资产标签可采用rfid标签，对打印好的二维码标签可以进行扫码rfid写入配对，配对完成后系统记录rfid配对状态；位置和管理点标签可采用rfid标签，对打印好的二维码标签可以进行扫码rfid写入配对，可以通过pda扫资产二维码，配对写入rfid标签管理，方便移动贴rfid标签。</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移动rfid批量盘点定位管理：支持移动pda离线盘点管理，支持wifi和usb两种数据传输方式，在不布设物联网感应网络的前提下，能实现资产移动终端自动批量感应盘点，自动定位位置跟踪管理(在标识地理位置rfid标签的前提下),在不同区域位置下，能自动感应资产及位置移动变化情况，实时显示在帐的资产的总台数、已点台数、未点台数、异常资产中能在移动端对位置变动的资产进行预转科处理或标识临时移动后变为正常的已点资产,盘点结果可以上传到后台数据并进行比对，如位置变动情况等,最终帮助单位快速完成资产盘点,提供资产管理的精准度。</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移动端单据审核管理：微信或钉钉端可以对出入库转科单发起推送，根据权限在手机微信上进行审批，审批完成后形成正式的单据。</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移动端资产查询、图片上传：微信或钉钉端具有各科室资产日常管理的功能，包括资产状态、部分信息修改、保管信息修改、标签管理、拍照等。对修改的资产信息需经管理员审核后正式生效。可以调用相关知识库，如说明书、操作规程等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移动端预报废、转科、盘点、借用：针对实物管理中日常转科业务，通过微信或钉钉端扫资产二维码，选择转出的科室、经办人信息，完成转科单的生成，并自动推送到库房审核，审批通过后完成转科业务，帐务同时生效；微信或钉钉端可以对要预报废的资产进行扫码、拍照上传申请，系统可定义需要拍照上传资产的范围，经多级审批后完成预报废管理；微信或钉钉端可以对资产进行扫码或手工拍照进行盘点；可以扫码登记通过扫码登记管理资产的借用和归还。</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移动盘点信息推送及扫码盘点：根据单位要需要可定义库房、科室、位置生成盘点批次，起止日期，通过手机微信或钉钉推送给科室资产管理员及科室任，相关人员收到推送后直接跳转到手机扫码清点界面，并能显示要清点的资产总数量。</w:t>
      </w:r>
    </w:p>
    <w:p>
      <w:pPr>
        <w:pStyle w:val="9"/>
        <w:numPr>
          <w:ilvl w:val="0"/>
          <w:numId w:val="0"/>
        </w:numPr>
        <w:spacing w:line="360" w:lineRule="auto"/>
        <w:ind w:left="3"/>
        <w:rPr>
          <w:sz w:val="24"/>
          <w:szCs w:val="24"/>
          <w:lang w:eastAsia="zh-CN"/>
        </w:rPr>
      </w:pPr>
      <w:r>
        <w:rPr>
          <w:rFonts w:hint="eastAsia"/>
          <w:sz w:val="24"/>
          <w:szCs w:val="24"/>
          <w:lang w:eastAsia="zh-CN"/>
        </w:rPr>
        <w:t>医疗设备质控管理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培训管理：可以对安装验收的设备进行培训，包括培训师培训和使用培训；选择设备的规格型号，登记参加培训的使用人员、维护人员、记录培训时间、上传培训报告资料，能从厂商上传的附件中调用相关的培训资料，在台帐中查询培训记录、查看培训资料；系统能自动生成每一次培训的签到二维码，参加培训的人员扫一扫完成签到，后续能在设备档案中查看培训人员清单及讲师清单；能上传培训资料，以方便后续人员的自学；能对预入库、在用、试用设备进行培训管理；能制定培训计划，可以通地手机微信或钉钉推送通知到相关的培训人员。</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预入库管理：安装验收完成的医疗设备自动生成预入库清单，预入库清单不计入财务账簿，支持建立台帐信息、标签信息、保修期等；预入库的设备可以进行转入库处理及作废处理；预入库设备入库时可以根据合同修改单价。</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附件管理：可设定义医疗设备相关的附件名称、类型，后台管理上传时可以识别文件名称，类似名称的可以自动分类，也可以手动调整，可以批量上传，上传后同类设备根据设定可共用，附件可进行访问权限管理（科室、角色定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供应商上传管理：医院可以给供应商开通医院内网供应商授权帐号，供应商可以上传合同内的医疗设备的注册证、生厂许可证、经营许可证、说明书、图片等信息，经院内工作人员审核后生效，供应商只能修改和操作自己的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设备分类管理：对需要进行质控的设备进行分类和等级管理，包括计量、巡检、强检、保养、自检设备，可以定期调整，新入库的同类设备可以自动识别质控的分类和等级。</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设备质控方案管理：对不同类设备的巡检、强检、保养、自检管理设定不同的执行方案，方案可以进行一条一条的明细内容管理，对明细内容可以设定参考值，标准值，实际执行方案过程中能自动分析是否在正常范围。</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设备巡检管理：可以对需要进行巡检的医疗设备进行设置，包括方案、执行人，能够根据巡检的模板进行设定每一台医疗设备的巡检计划并进行实施周期管理，任务分配管理，执行巡检生成巡检报告单。对于巡检过程中出现有故障需要进一步修理的设备，自动转入设备日常维修管理中。</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科室巡检管理：能以科室为单位定义巡检任务，周期，执行人，通过扫科室生成的二维码或感应rfid标签显示科室的具体巡检任务、医疗设备资产的概况（包括总台数、在用、在维修等状态及明细数量）；支持手机微信或钉钉端巡检，配置关联科室，显示关联科室的所有设备信息，能定义科室与设备两套标准巡检方案。</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巡检记录确认：可以针对巡检结果发起使用科室的批量确认，通地手机微信或钉钉推送给相关负责人进行电子确认。</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科室自检管理：对科室需要进行定期自检的设备进行管理，包括自检的内容，自检的周期；各科室可以定期进行自检执行、记录分析，支持手机微信或钉钉自检执行管理。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pm管理：系统支持不同的设备定义不同的预防性维护保养（pm）方案，方案中有执行的每一项内容及设定值，提供不少于100种常规医疗器械pm方案供单位参考，可以设定pm的周期、责任人，可对外包部分的工作人员进行设定pm任务，执行过程能上传厂商执行任务单，每一项保养有明细的执行结果，对执行的结果科室可以进行确认。</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质量检测：能定义不同设备的质量检测方案，制定周期、责任人，可通过每次的执行生成报告单，完成后可生成下一次计划时间。</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计量管理：可以对计量设备（包括台帐、非台帐计量管理）的基本信息登记、计量器具检定信息登记进行管理，支持计量器具分布、分类、单机的查询，能快速查询到每一台计量设备的计量检定情况；同时能够及时地报告需要检定的计量器具（检定提示）；提供自动报警功能，能自动导入计量检测单位的检测结果，通过出厂编号sn进行自动登记检定信息，自动生成检测记录和合格证；</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有计量资格的单位，可以设定计量检测内容，支持pda对设备计量业务进行操作。</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不良事件：各科室可以对发生的医疗设备不良事件进行登记，包括发生时间、病人信息、病区、床位、事件描述、采取的措施、事后原因分析、处理情况及改进方法、及关联性评价等信息，上报至职能部门，支持微信登记上报；职能部门可以对不良事件进行汇总、处置、作废操作并能导出相关的记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人员证件管理：人员各类证件管理，可以定义不同的证件类型，上传相关附件，对证件的有效期进行管理和提示。</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放射场地、设备管理：可以针对放射场地、放射设备进行管理，支持定义检测的模板、周期，记录相关检测的内容，包括辐射量值等，需要进行检测或过期的设备要进行提示。</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放射人员体检管理：可以定义放射工作人员名单、设置体检周期、要记录的关键信息、辐射量值等信息并能进行提示。</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质控记录管理：可以对监护仪、注射泵、输液泵、血压记等进行质控检测记录并生成报告单。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使用登记：医疗设备使用人员可以通过微信扫码或工作站扫码进行使用登记,包括快速登记开始和结束时间，对使用过程的设备可以进行检查记录，可批量登记设备使用；可以统计分析一个周期内所有医疗设备的使用情况，异常情况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借用管理：科室之间设备的临时借用登记管理，使用微信或钉钉扫码进行借用登记，包括借出时间、经办人；扫码归还管理，包括接收人、接收时间，对归还设备科室可以进行确认；科室可以随时查看借出设备和借入设备的情况。</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试用管理：可以对试用的设备进行登记，支持记录名称、规格、序列号、品牌、厂家信息、卡片编号、注册证号、注册证图片、试用承诺书等内容；可以管理试用的周期，轮转科室、试用日期、责任人等信息；试用设备可以打印标签，各科室可以对试用的设备进行统一维度的评价，如稳定性、准确性、好用层度等；可以进行汇评价情况进行分析。</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设备时钟管理：支持与医院的时钟管理系统做对接，通过对接标准的时间源，保证系统的时间准确性及设备操作时间的准确性。</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设备使用率共享管理：对于医院里使用率较低的设备可设置为租赁设备进行统一集中管理，在各病区设立固定的设备存放空间，在存放空间里布设蓝牙感应点，对需要管理的设备粘贴蓝牙标签进行标识，系统可以感应中的设备为闲置状态，无感应的设备为使用中的状态，对于闲置状态的设备各病区可以调配组合原有系统的扫码借用管理,动态建立各病区医疗设备的使用率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动态电子档案管理：对医疗设备的档案信息进行管理，包括档案的人员访问权限控制，档案号中包括的台帐，档案的电子附件管理，并能在科室平台查询电子档案中的操作说明书、培训资料、产品图片等信息；能生成医疗设备全生命周期的电子档案，根据时间先后生成从申购－招标－合同－安装验收－入库－出库－转科－维修－质控-计量-巡检-pm-不良事件-折旧－报废等全流程的报告并能导出pdf。</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pdca管理：PDCA管理流程可以处理维修、质控等过程中出现的、需要一个周期进行持续改进的问题，包括记录问题、原因、处理计划、执行人、确认人、最后期限、预警天数等内容；支持全过程信息推送管理，处理过程全程记录；支持按问题分类、处理状态、部门、处理人、提交人等类别导出。</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知库管理：管理上传附件材料的权限，支持手机扫码查看知库信息，也可以在科室平台系统上进行查看；可以调用公共平台上的知库信息，按名称规格进行对照。</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统计分析及报表：统计巡检（pm）工作量分析、维修人员工作量、设备使用统计、借用报表、维保统计、维保合同维修次数统计等。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移动pda管理：移动pda可以下载系统的巡检、pm计划信息，可以通过感应RFID标签或扫二维码对设备进行巡检（PM）执行；pda移动巡检（PM）可以实时记录相关信息，并能上传巡检（PM）图片；支持脱机使用；有wifi接入的信号时，可以进行计划下载，上传结果。</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应急演练：应急演练管理，记录应急管理的科室、人员、对象、目的、过程、小结、存在的问题及改进、时间、地点、类型，支持上传附件，可以生成应急演练签到二维码。</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手机移动巡检、pm、自检：可以通过手机微信或钉钉扫码完成巡检（PM）的执行并上传图片；科室可以通过手机微信或钉钉扫码完成自检执行。</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手机移动不良事件、借用、安装验收：手机微信或钉钉扫码记录设备的不良事件、借用和归还管理；手机微信或钉钉可以选择合同进行安装验收管理，手机设备验收可以拍照（包括正面、侧面、铭牌照）、扫sn码、基本信息验收、配件验收，验收过程中手机端可以查看合同等附件信息，可进行科室、工程师、厂商人员在手机上签名，上传到后台形成验收报告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手机移动扫码培训签到管理：培训管理中可以生成签到二维码，参加培训的员工可以扫码签到，同时记录签到时间、签到人、所属科室情况；参加应急演练人员可以扫码签到，记录签到人、所属科室等信息。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设备风险评估：根据不同的设备可以设定不同的风险评估内容，包括使用年限、维修次数、设备类型等；每项评估内容可以设定分值，每次评分的总分可以进行分级评定，根据总分评定级别来调整设备质控的周期等，以加强设备的风险管理；对设备使用年限、维修次数可以自动进行评定；手机微信或钉钉扫码进行设备风险评估，支持上传图片。</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设备评价管理：可对所有设备建立统一的评价模板，包括稳定性、准确性、操作方便性、故障率等，由科室人员扫码后可直接发起评价，评价可上传图片、评语等，后台可汇总分析。</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值班管理及交接班：可以对日常的值班进行记录，记录的内容可以根据医院的要求进行定义，为方便填写，一些重要的信息可以定义选择项，能记录突发事件和交接内容，可通过手机推动给交班的，手机签名确认后完成交班，事后可以进行分析，能打印值班记录表。</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通知公告管理：可以通过系统对全院各科室发送通知公告，在科室平台明显的地方可以查看，手机微信或钉钉上实现信息推送，同时能在手机上查看通知公告。</w:t>
      </w:r>
    </w:p>
    <w:p>
      <w:pPr>
        <w:pStyle w:val="9"/>
        <w:numPr>
          <w:ilvl w:val="0"/>
          <w:numId w:val="0"/>
        </w:numPr>
        <w:spacing w:line="360" w:lineRule="auto"/>
        <w:ind w:left="3"/>
        <w:rPr>
          <w:sz w:val="24"/>
          <w:szCs w:val="24"/>
          <w:lang w:eastAsia="zh-CN"/>
        </w:rPr>
      </w:pPr>
      <w:r>
        <w:rPr>
          <w:rFonts w:hint="eastAsia"/>
          <w:sz w:val="24"/>
          <w:szCs w:val="24"/>
          <w:lang w:eastAsia="zh-CN"/>
        </w:rPr>
        <w:t>医疗设备全景效益分析</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效益分析台帐及对照管理：根据单位需要将做效益分析的设备台帐进行设置和分科管理，并将台帐对应的收费目录进行对照，检验设备机号与台帐对照，台帐与房间号对照，完成对照建立关联关系后，采集对应的数据。</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分组管理及设备分类（专项）：针对不能采集到单台效益的设备，科室可以建立分组管理，效益分析收入支出数据采集到组，平均计算每一台的效益情况。针对同类型的设备可以进行设备分类，完成后可形成专项设备效益分析；专项设备使用年限分析，包括品牌分析、最长、最短、平均年限对比；专项设备的年增加率分析，包括总资产、净资产等；可针对专项设备按科室、设备进行效益分析排名，包括平均收入、回报率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院级设备效益分析：实现医院层面的重点评价大型设备的保值增值、资产使用效率及效益功能容，满足国有资产监管需要；包括大型设备数量、总额，月折旧，月总收入；分单价20-50、50-100、100万元以上三个标准(标准可以设置)的大型设备总额、占比；大型设备净值率=大型设备资产净值/资产原值*100%；大型设备完整率=实有大设备数量/账面固定资产数量*100%；有形无形资产的占比；</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科级设备效益分析：实现科室层面的大型设备绩效管理评价功能，为科室资源合理分配及科主任考评工作提供数据支撑，指标包括账实相符率、大型设备平均服务量等、大型设备资产维修费、维修频率等；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设备级效益分析：系统支持PET、CT、MRI、DR等的单机成本效益分析，同时可增加胃肠镜、超声、DSA检验等设备类别的成本效益分析功能，然后再逐步做到所有可提取收入和支出数据的大型设备和急救生命支持设备；</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设备单机的使用效率（绩效）：</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（1）使用人次、金额</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（2）全年利润（收益）</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（3）静态投资回收期</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（4）投资收益率</w:t>
      </w:r>
    </w:p>
    <w:p>
      <w:pPr>
        <w:pStyle w:val="8"/>
        <w:rPr>
          <w:lang w:eastAsia="zh-CN"/>
        </w:rPr>
      </w:pPr>
      <w:r>
        <w:rPr>
          <w:rFonts w:hint="eastAsia"/>
          <w:lang w:eastAsia="zh-CN"/>
        </w:rPr>
        <w:t>传染病上报系统</w:t>
      </w:r>
    </w:p>
    <w:p>
      <w:pPr>
        <w:pStyle w:val="9"/>
        <w:numPr>
          <w:ilvl w:val="0"/>
          <w:numId w:val="0"/>
        </w:numPr>
        <w:spacing w:line="360" w:lineRule="auto"/>
        <w:ind w:left="3"/>
        <w:rPr>
          <w:sz w:val="24"/>
          <w:szCs w:val="24"/>
        </w:rPr>
      </w:pPr>
      <w:r>
        <w:rPr>
          <w:rFonts w:hint="eastAsia"/>
          <w:sz w:val="24"/>
          <w:szCs w:val="24"/>
        </w:rPr>
        <w:t>传染病</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待审核：对医生上报的传染病病例，传染病上报人员未确认的归类。传染病上报人员在选项确认传染病后，可点击网络直报，生成二维码，利用摄像头扫描二维码进行传染病的上报。（按照国家规定，医院内外网隔离，通过二维码扫描上报既满足国家要求的合规性，也降低医院成本投入）。</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待上报：对医生未上报，但已在门诊诊断或者病历等信息中已经采集到的传染病类，可有传染病上报人员与具体的科室的医生进行联系，督促医生进行传染病上报。</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报卡列表：上报的传染病以编号、病名、时间和操作形成列表，且可通过报告卡标号进行查询。</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疾病统计：可查看医院每月传染病上报统计表，并支持直接打印和数据导出。</w:t>
      </w:r>
    </w:p>
    <w:p>
      <w:pPr>
        <w:pStyle w:val="9"/>
        <w:numPr>
          <w:ilvl w:val="0"/>
          <w:numId w:val="0"/>
        </w:numPr>
        <w:spacing w:line="360" w:lineRule="auto"/>
        <w:ind w:left="3"/>
        <w:rPr>
          <w:sz w:val="24"/>
          <w:szCs w:val="24"/>
          <w:lang w:eastAsia="zh-CN"/>
        </w:rPr>
      </w:pPr>
      <w:r>
        <w:rPr>
          <w:rFonts w:hint="eastAsia"/>
          <w:sz w:val="24"/>
          <w:szCs w:val="24"/>
          <w:lang w:eastAsia="zh-CN"/>
        </w:rPr>
        <w:t>食源性疾病</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待审核：对医生上报的食源性疾病病例，食源性疾病上报人员未确认的归类。食源性疾病上报人员在选项确认传染病后，可点击网络直报，生成二维码，利用摄像头扫描二维码进行食源性疾病的上报。（按照国家规定，医院内外网隔离，通过二维码扫描上报既满足国家要求的合规性，也降低医院成本投入）。</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待上报：对医生未上报，但已在门诊诊断或者病历等信息中已经采集到的食源性疾病，可有食源性疾病上报人员与具体的科室的医生进行联系，督促医生进行食源性疾病上报。</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上报历史：可查看食源性疾病的上报记录。</w:t>
      </w:r>
    </w:p>
    <w:p>
      <w:pPr>
        <w:pStyle w:val="9"/>
        <w:numPr>
          <w:ilvl w:val="0"/>
          <w:numId w:val="0"/>
        </w:numPr>
        <w:spacing w:line="360" w:lineRule="auto"/>
        <w:ind w:left="3"/>
        <w:rPr>
          <w:sz w:val="24"/>
          <w:szCs w:val="24"/>
          <w:lang w:eastAsia="zh-CN"/>
        </w:rPr>
      </w:pPr>
      <w:r>
        <w:rPr>
          <w:rFonts w:hint="eastAsia"/>
          <w:sz w:val="24"/>
          <w:szCs w:val="24"/>
          <w:lang w:eastAsia="zh-CN"/>
        </w:rPr>
        <w:t>心脑血管疾病</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待审核：对医生上报的心脑血管病例，心脑血管疾病上报人员未确认的归类。传染病上报人员在选项确认传染病后，可点击网络直报，生成二维码，利用摄像头扫描二维码进行心脑血管疾病的上报。（按照国家规定，医院内外网隔离，通过二维码扫描上报既满足国家要求的合规性，也降低医院成本投入）。</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待上报：对医生未上报，但已在门诊诊断或者病历等信息中已经采集到的心脑血管疾病，可有心脑血管疾病上报人员与具体的科室的医生进行联系，督促医生进行心脑血管疾病上报。</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上报历史：可查看心脑血管疾病的上报记录。</w:t>
      </w:r>
    </w:p>
    <w:p>
      <w:pPr>
        <w:pStyle w:val="9"/>
        <w:numPr>
          <w:ilvl w:val="0"/>
          <w:numId w:val="0"/>
        </w:numPr>
        <w:spacing w:line="360" w:lineRule="auto"/>
        <w:ind w:left="3"/>
        <w:rPr>
          <w:sz w:val="24"/>
          <w:szCs w:val="24"/>
          <w:lang w:eastAsia="zh-CN"/>
        </w:rPr>
      </w:pPr>
      <w:r>
        <w:rPr>
          <w:rFonts w:hint="eastAsia"/>
          <w:sz w:val="24"/>
          <w:szCs w:val="24"/>
          <w:lang w:eastAsia="zh-CN"/>
        </w:rPr>
        <w:tab/>
      </w:r>
      <w:r>
        <w:rPr>
          <w:rFonts w:hint="eastAsia"/>
          <w:sz w:val="24"/>
          <w:szCs w:val="24"/>
          <w:lang w:eastAsia="zh-CN"/>
        </w:rPr>
        <w:t>死亡登记</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待审核：对医生上报的死亡登记，死亡登记上报人员未确认的归类。传染病上报人员在选项确认死亡登记后，可点击网络直报，生成二维码，利用摄像头扫描二维码进行死亡登记的上报。（按照国家规定，医院内外网隔离，通过二维码扫描上报既满足国家要求的合规性，也降低医院成本投入）。</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待上报：对医生未上报，但已在HIS或者电子病历等信息中已经采集到的死亡登记，可由死亡登记上报人员与具体的科室的医生进行联系，督促医生进行死亡登记上报。</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上报历史：可查看死亡登记的上报记录。</w:t>
      </w:r>
    </w:p>
    <w:p>
      <w:pPr>
        <w:pStyle w:val="9"/>
        <w:numPr>
          <w:ilvl w:val="0"/>
          <w:numId w:val="0"/>
        </w:numPr>
        <w:spacing w:line="360" w:lineRule="auto"/>
        <w:ind w:left="3"/>
        <w:rPr>
          <w:sz w:val="24"/>
          <w:szCs w:val="24"/>
          <w:lang w:eastAsia="zh-CN"/>
        </w:rPr>
      </w:pPr>
      <w:r>
        <w:rPr>
          <w:rFonts w:hint="eastAsia"/>
          <w:sz w:val="24"/>
          <w:szCs w:val="24"/>
          <w:lang w:eastAsia="zh-CN"/>
        </w:rPr>
        <w:t>登记表</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传染病：可查看每月的全院传染病报告登记簿及登记簿中详细信息。</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慢性病：可查看每月的全院慢性病报告登记簿及登记簿中详细信息。</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食源性疾病：可查看每月的全院慢性病报告登记簿及登记簿中详细信息。</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死亡证明：可查看每月的全院死亡报告登记簿及登记簿中详细信息。</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上报统计：可查看具体全院或某个科室传染病、慢性病、食源性疾病和死亡证明的每月统计表。</w:t>
      </w:r>
    </w:p>
    <w:p>
      <w:pPr>
        <w:pStyle w:val="9"/>
        <w:numPr>
          <w:ilvl w:val="0"/>
          <w:numId w:val="0"/>
        </w:numPr>
        <w:spacing w:line="360" w:lineRule="auto"/>
        <w:ind w:left="3"/>
        <w:rPr>
          <w:sz w:val="24"/>
          <w:szCs w:val="24"/>
          <w:lang w:eastAsia="zh-CN"/>
        </w:rPr>
      </w:pPr>
      <w:r>
        <w:rPr>
          <w:rFonts w:hint="eastAsia"/>
          <w:sz w:val="24"/>
          <w:szCs w:val="24"/>
          <w:lang w:eastAsia="zh-CN"/>
        </w:rPr>
        <w:t>学习交流</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知识库：根据医院实际所需填写内容。</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知识讨论：医生可在此项进行知识讨论。</w:t>
      </w:r>
    </w:p>
    <w:p>
      <w:pPr>
        <w:pStyle w:val="9"/>
        <w:numPr>
          <w:ilvl w:val="0"/>
          <w:numId w:val="0"/>
        </w:numPr>
        <w:spacing w:line="360" w:lineRule="auto"/>
        <w:ind w:left="3"/>
        <w:rPr>
          <w:sz w:val="24"/>
          <w:szCs w:val="24"/>
          <w:lang w:eastAsia="zh-CN"/>
        </w:rPr>
      </w:pPr>
      <w:r>
        <w:rPr>
          <w:rFonts w:hint="eastAsia"/>
          <w:sz w:val="24"/>
          <w:szCs w:val="24"/>
          <w:lang w:eastAsia="zh-CN"/>
        </w:rPr>
        <w:t>术语编辑</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传染病：传染病具体分类、名称编号和上报号的归类。</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食源性疾病：食源性疾病的归类。</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心脑血管疾病：心脑血管疾病的归类。</w:t>
      </w:r>
    </w:p>
    <w:p>
      <w:pPr>
        <w:pStyle w:val="8"/>
        <w:rPr>
          <w:lang w:eastAsia="zh-CN"/>
        </w:rPr>
      </w:pPr>
      <w:r>
        <w:rPr>
          <w:rFonts w:hint="eastAsia"/>
          <w:lang w:eastAsia="zh-CN"/>
        </w:rPr>
        <w:t>抗菌药物管理与统计分析</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根据国家建立抗菌药物临床应用管理制度，对临床应用的抗菌药物实行分级管理，监控抗菌素使用。重点反映一定时间段内患者各类抗菌药品的情况和相对合理性；动态监测各类人群的抗菌素使用情况，建立预警机制，提醒医生剂量超出合理范围；并通过监测结果分析、综合指标分析、趋势分析、比较分析、构成分析发现抗菌素使用的异动，为建立抗菌素使用合理规范提供可靠地数据基础。本项目满足的基本要求如下：</w:t>
      </w:r>
    </w:p>
    <w:p>
      <w:pPr>
        <w:adjustRightInd w:val="0"/>
        <w:snapToGrid w:val="0"/>
        <w:spacing w:line="360" w:lineRule="auto"/>
        <w:ind w:firstLine="480"/>
        <w:rPr>
          <w:rFonts w:ascii="仿宋" w:hAnsi="仿宋" w:eastAsia="仿宋"/>
          <w:sz w:val="24"/>
          <w:szCs w:val="24"/>
          <w:lang w:val="zh-CN" w:eastAsia="zh-CN"/>
        </w:rPr>
      </w:pPr>
      <w:r>
        <w:rPr>
          <w:rFonts w:ascii="仿宋" w:hAnsi="仿宋" w:eastAsia="仿宋"/>
          <w:sz w:val="24"/>
          <w:szCs w:val="24"/>
          <w:lang w:val="zh-CN" w:eastAsia="zh-CN"/>
        </w:rPr>
        <w:tab/>
      </w:r>
      <w:r>
        <w:rPr>
          <w:rFonts w:hint="eastAsia" w:ascii="仿宋" w:hAnsi="仿宋" w:eastAsia="仿宋"/>
          <w:sz w:val="24"/>
          <w:szCs w:val="24"/>
          <w:lang w:val="zh-CN" w:eastAsia="zh-CN"/>
        </w:rPr>
        <w:t>抗菌药物目录管理；</w:t>
      </w:r>
    </w:p>
    <w:p>
      <w:pPr>
        <w:adjustRightInd w:val="0"/>
        <w:snapToGrid w:val="0"/>
        <w:spacing w:line="360" w:lineRule="auto"/>
        <w:ind w:firstLine="480"/>
        <w:rPr>
          <w:rFonts w:ascii="仿宋" w:hAnsi="仿宋" w:eastAsia="仿宋"/>
          <w:sz w:val="24"/>
          <w:szCs w:val="24"/>
          <w:lang w:val="zh-CN" w:eastAsia="zh-CN"/>
        </w:rPr>
      </w:pPr>
      <w:r>
        <w:rPr>
          <w:rFonts w:ascii="仿宋" w:hAnsi="仿宋" w:eastAsia="仿宋"/>
          <w:sz w:val="24"/>
          <w:szCs w:val="24"/>
          <w:lang w:val="zh-CN" w:eastAsia="zh-CN"/>
        </w:rPr>
        <w:tab/>
      </w:r>
      <w:r>
        <w:rPr>
          <w:rFonts w:hint="eastAsia" w:ascii="仿宋" w:hAnsi="仿宋" w:eastAsia="仿宋"/>
          <w:sz w:val="24"/>
          <w:szCs w:val="24"/>
          <w:lang w:val="zh-CN" w:eastAsia="zh-CN"/>
        </w:rPr>
        <w:t>抗菌药物分级设置；</w:t>
      </w:r>
    </w:p>
    <w:p>
      <w:pPr>
        <w:adjustRightInd w:val="0"/>
        <w:snapToGrid w:val="0"/>
        <w:spacing w:line="360" w:lineRule="auto"/>
        <w:ind w:firstLine="480"/>
        <w:rPr>
          <w:rFonts w:ascii="仿宋" w:hAnsi="仿宋" w:eastAsia="仿宋"/>
          <w:sz w:val="24"/>
          <w:szCs w:val="24"/>
          <w:lang w:val="zh-CN" w:eastAsia="zh-CN"/>
        </w:rPr>
      </w:pPr>
      <w:r>
        <w:rPr>
          <w:rFonts w:ascii="仿宋" w:hAnsi="仿宋" w:eastAsia="仿宋"/>
          <w:sz w:val="24"/>
          <w:szCs w:val="24"/>
          <w:lang w:val="zh-CN" w:eastAsia="zh-CN"/>
        </w:rPr>
        <w:tab/>
      </w:r>
      <w:r>
        <w:rPr>
          <w:rFonts w:hint="eastAsia" w:ascii="仿宋" w:hAnsi="仿宋" w:eastAsia="仿宋"/>
          <w:sz w:val="24"/>
          <w:szCs w:val="24"/>
          <w:lang w:val="zh-CN" w:eastAsia="zh-CN"/>
        </w:rPr>
        <w:t>医生抗菌药处方权分级设置；</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二级管控用药规则设置；</w:t>
      </w:r>
    </w:p>
    <w:p>
      <w:pPr>
        <w:adjustRightInd w:val="0"/>
        <w:snapToGrid w:val="0"/>
        <w:spacing w:line="360" w:lineRule="auto"/>
        <w:ind w:firstLine="480"/>
        <w:rPr>
          <w:rFonts w:ascii="仿宋" w:hAnsi="仿宋" w:eastAsia="仿宋"/>
          <w:sz w:val="24"/>
          <w:szCs w:val="24"/>
          <w:lang w:val="zh-CN" w:eastAsia="zh-CN"/>
        </w:rPr>
      </w:pPr>
      <w:r>
        <w:rPr>
          <w:rFonts w:ascii="仿宋" w:hAnsi="仿宋" w:eastAsia="仿宋"/>
          <w:sz w:val="24"/>
          <w:szCs w:val="24"/>
          <w:lang w:val="zh-CN" w:eastAsia="zh-CN"/>
        </w:rPr>
        <w:tab/>
      </w:r>
      <w:r>
        <w:rPr>
          <w:rFonts w:hint="eastAsia" w:ascii="仿宋" w:hAnsi="仿宋" w:eastAsia="仿宋"/>
          <w:sz w:val="24"/>
          <w:szCs w:val="24"/>
          <w:lang w:val="zh-CN" w:eastAsia="zh-CN"/>
        </w:rPr>
        <w:t>抗菌药物使用智能提醒与越级管理；</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全院抗菌药物使用金额排名；</w:t>
      </w:r>
    </w:p>
    <w:p>
      <w:pPr>
        <w:adjustRightInd w:val="0"/>
        <w:snapToGrid w:val="0"/>
        <w:spacing w:line="360" w:lineRule="auto"/>
        <w:ind w:firstLine="480"/>
        <w:rPr>
          <w:rFonts w:ascii="仿宋" w:hAnsi="仿宋" w:eastAsia="仿宋"/>
          <w:sz w:val="24"/>
          <w:szCs w:val="24"/>
          <w:lang w:val="zh-CN" w:eastAsia="zh-CN"/>
        </w:rPr>
      </w:pPr>
      <w:r>
        <w:rPr>
          <w:rFonts w:ascii="仿宋" w:hAnsi="仿宋" w:eastAsia="仿宋"/>
          <w:sz w:val="24"/>
          <w:szCs w:val="24"/>
          <w:lang w:val="zh-CN" w:eastAsia="zh-CN"/>
        </w:rPr>
        <w:tab/>
      </w:r>
      <w:r>
        <w:rPr>
          <w:rFonts w:hint="eastAsia" w:ascii="仿宋" w:hAnsi="仿宋" w:eastAsia="仿宋"/>
          <w:sz w:val="24"/>
          <w:szCs w:val="24"/>
          <w:lang w:val="zh-CN" w:eastAsia="zh-CN"/>
        </w:rPr>
        <w:t>全院抗菌药物使用量排名；</w:t>
      </w:r>
    </w:p>
    <w:p>
      <w:pPr>
        <w:adjustRightInd w:val="0"/>
        <w:snapToGrid w:val="0"/>
        <w:spacing w:line="360" w:lineRule="auto"/>
        <w:ind w:firstLine="480"/>
        <w:rPr>
          <w:rFonts w:ascii="仿宋" w:hAnsi="仿宋" w:eastAsia="仿宋"/>
          <w:sz w:val="24"/>
          <w:szCs w:val="24"/>
          <w:lang w:val="zh-CN" w:eastAsia="zh-CN"/>
        </w:rPr>
      </w:pPr>
      <w:r>
        <w:rPr>
          <w:rFonts w:ascii="仿宋" w:hAnsi="仿宋" w:eastAsia="仿宋"/>
          <w:sz w:val="24"/>
          <w:szCs w:val="24"/>
          <w:lang w:val="zh-CN" w:eastAsia="zh-CN"/>
        </w:rPr>
        <w:tab/>
      </w:r>
      <w:r>
        <w:rPr>
          <w:rFonts w:hint="eastAsia" w:ascii="仿宋" w:hAnsi="仿宋" w:eastAsia="仿宋"/>
          <w:sz w:val="24"/>
          <w:szCs w:val="24"/>
          <w:lang w:val="zh-CN" w:eastAsia="zh-CN"/>
        </w:rPr>
        <w:t>门诊抗菌药物药物处方比例；</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住院抗菌药物使用率；</w:t>
      </w:r>
    </w:p>
    <w:p>
      <w:pPr>
        <w:adjustRightInd w:val="0"/>
        <w:snapToGrid w:val="0"/>
        <w:spacing w:line="360" w:lineRule="auto"/>
        <w:ind w:firstLine="480"/>
        <w:rPr>
          <w:rFonts w:ascii="仿宋" w:hAnsi="仿宋" w:eastAsia="仿宋"/>
          <w:sz w:val="24"/>
          <w:szCs w:val="24"/>
          <w:lang w:val="zh-CN" w:eastAsia="zh-CN"/>
        </w:rPr>
      </w:pPr>
      <w:r>
        <w:rPr>
          <w:rFonts w:ascii="仿宋" w:hAnsi="仿宋" w:eastAsia="仿宋"/>
          <w:sz w:val="24"/>
          <w:szCs w:val="24"/>
          <w:lang w:val="zh-CN" w:eastAsia="zh-CN"/>
        </w:rPr>
        <w:tab/>
      </w:r>
      <w:r>
        <w:rPr>
          <w:rFonts w:hint="eastAsia" w:ascii="仿宋" w:hAnsi="仿宋" w:eastAsia="仿宋"/>
          <w:sz w:val="24"/>
          <w:szCs w:val="24"/>
          <w:lang w:val="zh-CN" w:eastAsia="zh-CN"/>
        </w:rPr>
        <w:t>越级使用抗菌药物统计；</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上述抗菌药物监测管理系统能够智能提醒医生用药剂量的异常情况，避免出现医疗差错，提升医疗机构的医疗服务水平。</w:t>
      </w:r>
    </w:p>
    <w:p>
      <w:pPr>
        <w:pStyle w:val="8"/>
        <w:rPr>
          <w:lang w:eastAsia="zh-CN"/>
        </w:rPr>
      </w:pPr>
      <w:r>
        <w:rPr>
          <w:rFonts w:hint="eastAsia"/>
          <w:lang w:eastAsia="zh-CN"/>
        </w:rPr>
        <w:t>医院医保费用智能监管系统</w:t>
      </w:r>
    </w:p>
    <w:p>
      <w:pPr>
        <w:pStyle w:val="9"/>
        <w:numPr>
          <w:ilvl w:val="0"/>
          <w:numId w:val="0"/>
        </w:numPr>
        <w:spacing w:line="360" w:lineRule="auto"/>
        <w:ind w:left="3"/>
        <w:rPr>
          <w:sz w:val="24"/>
          <w:szCs w:val="24"/>
        </w:rPr>
      </w:pPr>
      <w:r>
        <w:rPr>
          <w:rFonts w:hint="eastAsia"/>
          <w:sz w:val="24"/>
          <w:szCs w:val="24"/>
        </w:rPr>
        <w:t>知识库系统</w:t>
      </w:r>
    </w:p>
    <w:p>
      <w:pPr>
        <w:numPr>
          <w:ilvl w:val="2"/>
          <w:numId w:val="111"/>
        </w:numPr>
        <w:adjustRightInd w:val="0"/>
        <w:snapToGrid w:val="0"/>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规则查询</w:t>
      </w:r>
    </w:p>
    <w:p>
      <w:pPr>
        <w:adjustRightInd w:val="0"/>
        <w:snapToGrid w:val="0"/>
        <w:spacing w:line="360" w:lineRule="auto"/>
        <w:ind w:left="480"/>
        <w:rPr>
          <w:rFonts w:ascii="仿宋" w:hAnsi="仿宋" w:eastAsia="仿宋"/>
          <w:sz w:val="24"/>
          <w:szCs w:val="24"/>
          <w:lang w:val="zh-CN" w:eastAsia="zh-CN"/>
        </w:rPr>
      </w:pPr>
      <w:r>
        <w:rPr>
          <w:rFonts w:hint="eastAsia" w:ascii="仿宋" w:hAnsi="仿宋" w:eastAsia="仿宋"/>
          <w:sz w:val="24"/>
          <w:szCs w:val="24"/>
          <w:lang w:val="zh-CN" w:eastAsia="zh-CN"/>
        </w:rPr>
        <w:t>提供规则查询模块，查询规则内涵、规则条目、规则类别、规则适用场景等。</w:t>
      </w:r>
    </w:p>
    <w:p>
      <w:pPr>
        <w:numPr>
          <w:ilvl w:val="2"/>
          <w:numId w:val="111"/>
        </w:numPr>
        <w:adjustRightInd w:val="0"/>
        <w:snapToGrid w:val="0"/>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规则启停控制</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提供规则实时启停控制，支持从项目或规则类别两个维度进行启停，支持批量操作。</w:t>
      </w:r>
    </w:p>
    <w:p>
      <w:pPr>
        <w:numPr>
          <w:ilvl w:val="2"/>
          <w:numId w:val="111"/>
        </w:numPr>
        <w:adjustRightInd w:val="0"/>
        <w:snapToGrid w:val="0"/>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引导操作配置</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提供违规疑点数据的操作选项及提醒文本配置功能，支持对不同审核场景、不同项目、不同规则配置不同的操作或提醒文本。</w:t>
      </w:r>
    </w:p>
    <w:p>
      <w:pPr>
        <w:pStyle w:val="9"/>
        <w:numPr>
          <w:ilvl w:val="0"/>
          <w:numId w:val="0"/>
        </w:numPr>
        <w:spacing w:line="360" w:lineRule="auto"/>
        <w:ind w:left="3"/>
        <w:rPr>
          <w:sz w:val="24"/>
          <w:szCs w:val="24"/>
        </w:rPr>
      </w:pPr>
      <w:r>
        <w:rPr>
          <w:rFonts w:hint="eastAsia"/>
          <w:sz w:val="24"/>
          <w:szCs w:val="24"/>
        </w:rPr>
        <w:t>智能费用审核</w:t>
      </w:r>
    </w:p>
    <w:p>
      <w:pPr>
        <w:numPr>
          <w:ilvl w:val="0"/>
          <w:numId w:val="112"/>
        </w:numPr>
        <w:adjustRightInd w:val="0"/>
        <w:snapToGrid w:val="0"/>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门诊审核</w:t>
      </w:r>
    </w:p>
    <w:p>
      <w:pPr>
        <w:numPr>
          <w:ilvl w:val="3"/>
          <w:numId w:val="113"/>
        </w:numPr>
        <w:adjustRightInd w:val="0"/>
        <w:snapToGrid w:val="0"/>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门诊处方实时审核</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支持在医师开具普通门诊处方时，HIS系统自动调用审核服务，筛查出处方明细中存在的违规疑点并实时提醒医师，医师可根据引导提示做相应的操作。</w:t>
      </w:r>
    </w:p>
    <w:p>
      <w:pPr>
        <w:numPr>
          <w:ilvl w:val="3"/>
          <w:numId w:val="113"/>
        </w:numPr>
        <w:adjustRightInd w:val="0"/>
        <w:snapToGrid w:val="0"/>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门特审核</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支持在医师开具门特方案、门特处方时，HIS系统自动调用审核服务，筛查出方案/处方明细中存在的违规疑点并实时提醒医师，医师可根据引导提示做相应的操作</w:t>
      </w:r>
    </w:p>
    <w:p>
      <w:pPr>
        <w:numPr>
          <w:ilvl w:val="0"/>
          <w:numId w:val="112"/>
        </w:numPr>
        <w:adjustRightInd w:val="0"/>
        <w:snapToGrid w:val="0"/>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住院审核</w:t>
      </w:r>
    </w:p>
    <w:p>
      <w:pPr>
        <w:numPr>
          <w:ilvl w:val="0"/>
          <w:numId w:val="114"/>
        </w:numPr>
        <w:adjustRightInd w:val="0"/>
        <w:snapToGrid w:val="0"/>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住院医嘱实时审核</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支持在住院医师开具医嘱时，筛查出本次医嘱中存在的违规疑点并实时提醒医师，医师可根据引导提示做相应的操作。</w:t>
      </w:r>
    </w:p>
    <w:p>
      <w:pPr>
        <w:numPr>
          <w:ilvl w:val="0"/>
          <w:numId w:val="114"/>
        </w:numPr>
        <w:adjustRightInd w:val="0"/>
        <w:snapToGrid w:val="0"/>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住院计费实时审核</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支持在住院计费时，筛查出本次计费项目中存在的违规疑点并实时提醒医务人员，医务人员可根据引导提示做相应的操作。</w:t>
      </w:r>
    </w:p>
    <w:p>
      <w:pPr>
        <w:numPr>
          <w:ilvl w:val="0"/>
          <w:numId w:val="114"/>
        </w:numPr>
        <w:adjustRightInd w:val="0"/>
        <w:snapToGrid w:val="0"/>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住院每晚审核</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支持每晚定时获取在院患者的费用信息和诊疗信息，对在院患者的全部费用明细进行审核，系统将审核结果推送给医护人员，同时支持管理人员在系统中进行查看，支持管理人员选择问题数据给医师推送。</w:t>
      </w:r>
    </w:p>
    <w:p>
      <w:pPr>
        <w:numPr>
          <w:ilvl w:val="0"/>
          <w:numId w:val="114"/>
        </w:numPr>
        <w:adjustRightInd w:val="0"/>
        <w:snapToGrid w:val="0"/>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住院医生站出院实时审核</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支持医师在患者转科或出院前对患者本次住院所有费用明细进行自动审核，筛查出违规项目后实时提醒，以便医师及时处理。</w:t>
      </w:r>
    </w:p>
    <w:p>
      <w:pPr>
        <w:numPr>
          <w:ilvl w:val="0"/>
          <w:numId w:val="114"/>
        </w:numPr>
        <w:adjustRightInd w:val="0"/>
        <w:snapToGrid w:val="0"/>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住院护士站出院实时审核</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支持护士在患者转科或出院前对患者本次住院所有费用明细进行自动审核，筛查出违规项目后实时提醒，以便护士及时处理。</w:t>
      </w:r>
    </w:p>
    <w:p>
      <w:pPr>
        <w:numPr>
          <w:ilvl w:val="0"/>
          <w:numId w:val="114"/>
        </w:numPr>
        <w:adjustRightInd w:val="0"/>
        <w:snapToGrid w:val="0"/>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住院医保办出院实时审核</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支持医保办在患者结算前，可对患者本次就诊所有费用明细再次审核，或复核医护人员对患者的出院审核结果，支持医保办人员调整患者的费用审核结果。</w:t>
      </w:r>
    </w:p>
    <w:p>
      <w:pPr>
        <w:numPr>
          <w:ilvl w:val="0"/>
          <w:numId w:val="114"/>
        </w:numPr>
        <w:adjustRightInd w:val="0"/>
        <w:snapToGrid w:val="0"/>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规则内涵查询</w:t>
      </w:r>
    </w:p>
    <w:p>
      <w:pPr>
        <w:adjustRightInd w:val="0"/>
        <w:snapToGrid w:val="0"/>
        <w:spacing w:line="360" w:lineRule="auto"/>
        <w:ind w:left="480"/>
        <w:rPr>
          <w:rFonts w:ascii="仿宋" w:hAnsi="仿宋" w:eastAsia="仿宋"/>
          <w:sz w:val="24"/>
          <w:szCs w:val="24"/>
          <w:lang w:val="zh-CN" w:eastAsia="zh-CN"/>
        </w:rPr>
      </w:pPr>
      <w:r>
        <w:rPr>
          <w:rFonts w:hint="eastAsia" w:ascii="仿宋" w:hAnsi="仿宋" w:eastAsia="仿宋"/>
          <w:sz w:val="24"/>
          <w:szCs w:val="24"/>
          <w:lang w:val="zh-CN" w:eastAsia="zh-CN"/>
        </w:rPr>
        <w:t>在审核提醒拦截时，支持医护人员查看违规项目的规则内涵。</w:t>
      </w:r>
    </w:p>
    <w:p>
      <w:pPr>
        <w:pStyle w:val="9"/>
        <w:numPr>
          <w:ilvl w:val="0"/>
          <w:numId w:val="0"/>
        </w:numPr>
        <w:spacing w:line="360" w:lineRule="auto"/>
        <w:ind w:left="3"/>
        <w:rPr>
          <w:sz w:val="24"/>
          <w:szCs w:val="24"/>
        </w:rPr>
      </w:pPr>
      <w:r>
        <w:rPr>
          <w:rFonts w:hint="eastAsia"/>
          <w:sz w:val="24"/>
          <w:szCs w:val="24"/>
        </w:rPr>
        <w:t>智能医保助手</w:t>
      </w:r>
    </w:p>
    <w:p>
      <w:pPr>
        <w:numPr>
          <w:ilvl w:val="0"/>
          <w:numId w:val="115"/>
        </w:numPr>
        <w:adjustRightInd w:val="0"/>
        <w:snapToGrid w:val="0"/>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消息通知</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支持实时发送系统消息、操作消息提醒等。</w:t>
      </w:r>
    </w:p>
    <w:p>
      <w:pPr>
        <w:numPr>
          <w:ilvl w:val="0"/>
          <w:numId w:val="115"/>
        </w:numPr>
        <w:adjustRightInd w:val="0"/>
        <w:snapToGrid w:val="0"/>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辅助工具</w:t>
      </w:r>
    </w:p>
    <w:p>
      <w:pPr>
        <w:numPr>
          <w:ilvl w:val="0"/>
          <w:numId w:val="116"/>
        </w:numPr>
        <w:adjustRightInd w:val="0"/>
        <w:snapToGrid w:val="0"/>
        <w:spacing w:line="360" w:lineRule="auto"/>
        <w:jc w:val="both"/>
        <w:rPr>
          <w:rFonts w:ascii="仿宋" w:hAnsi="仿宋" w:eastAsia="仿宋"/>
          <w:sz w:val="24"/>
          <w:szCs w:val="24"/>
          <w:lang w:val="zh-CN"/>
        </w:rPr>
      </w:pPr>
      <w:r>
        <w:rPr>
          <w:rFonts w:hint="eastAsia" w:ascii="仿宋" w:hAnsi="仿宋" w:eastAsia="仿宋"/>
          <w:sz w:val="24"/>
          <w:szCs w:val="24"/>
          <w:lang w:val="zh-CN"/>
        </w:rPr>
        <w:t>每晚预审处置</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支持医师查询每晚审核结果，并对审核结果进行操作确认。</w:t>
      </w:r>
    </w:p>
    <w:p>
      <w:pPr>
        <w:numPr>
          <w:ilvl w:val="0"/>
          <w:numId w:val="116"/>
        </w:numPr>
        <w:adjustRightInd w:val="0"/>
        <w:snapToGrid w:val="0"/>
        <w:spacing w:line="360" w:lineRule="auto"/>
        <w:jc w:val="both"/>
        <w:rPr>
          <w:rFonts w:ascii="仿宋" w:hAnsi="仿宋" w:eastAsia="仿宋"/>
          <w:sz w:val="24"/>
          <w:szCs w:val="24"/>
          <w:lang w:val="zh-CN"/>
        </w:rPr>
      </w:pPr>
      <w:r>
        <w:rPr>
          <w:rFonts w:hint="eastAsia" w:ascii="仿宋" w:hAnsi="仿宋" w:eastAsia="仿宋"/>
          <w:sz w:val="24"/>
          <w:szCs w:val="24"/>
          <w:lang w:val="zh-CN"/>
        </w:rPr>
        <w:t>诊断匹配查询</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提供诊断匹配查询功能，支持查询某类诊断下包含哪些诊断编码，支持查询某个诊断属于哪类诊断。</w:t>
      </w:r>
    </w:p>
    <w:p>
      <w:pPr>
        <w:pStyle w:val="9"/>
        <w:numPr>
          <w:ilvl w:val="0"/>
          <w:numId w:val="0"/>
        </w:numPr>
        <w:spacing w:line="360" w:lineRule="auto"/>
        <w:ind w:left="3"/>
        <w:rPr>
          <w:sz w:val="24"/>
          <w:szCs w:val="24"/>
          <w:lang w:eastAsia="zh-CN"/>
        </w:rPr>
      </w:pPr>
      <w:r>
        <w:rPr>
          <w:rFonts w:hint="eastAsia"/>
          <w:sz w:val="24"/>
          <w:szCs w:val="24"/>
          <w:lang w:eastAsia="zh-CN"/>
        </w:rPr>
        <w:t>智能诊疗监测</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提供异常诊疗监测功能，系统依据医保局医保管理政策、医保管理专家经验等方面，可配置医保政策管理相关的审核规则，对异常就诊行为进行监测预警。</w:t>
      </w:r>
    </w:p>
    <w:p>
      <w:pPr>
        <w:pStyle w:val="9"/>
        <w:numPr>
          <w:ilvl w:val="0"/>
          <w:numId w:val="0"/>
        </w:numPr>
        <w:spacing w:line="360" w:lineRule="auto"/>
        <w:ind w:left="3"/>
        <w:rPr>
          <w:sz w:val="24"/>
          <w:szCs w:val="24"/>
        </w:rPr>
      </w:pPr>
      <w:r>
        <w:rPr>
          <w:rFonts w:hint="eastAsia"/>
          <w:sz w:val="24"/>
          <w:szCs w:val="24"/>
        </w:rPr>
        <w:t>医保指标监管</w:t>
      </w:r>
    </w:p>
    <w:p>
      <w:pPr>
        <w:numPr>
          <w:ilvl w:val="0"/>
          <w:numId w:val="117"/>
        </w:numPr>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指标管理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支持配置各类型指标协议数值。支持配置各科室的指标值及是否预警，支持对指标项目、科室、阈值、提醒对象等进行设置。</w:t>
      </w:r>
    </w:p>
    <w:p>
      <w:pPr>
        <w:widowControl/>
        <w:numPr>
          <w:ilvl w:val="0"/>
          <w:numId w:val="117"/>
        </w:numPr>
        <w:spacing w:line="360" w:lineRule="auto"/>
        <w:ind w:left="0" w:firstLine="480" w:firstLineChars="200"/>
        <w:jc w:val="both"/>
        <w:rPr>
          <w:rFonts w:ascii="仿宋" w:hAnsi="仿宋" w:eastAsia="仿宋" w:cs="宋体"/>
          <w:color w:val="000000"/>
          <w:sz w:val="24"/>
          <w:szCs w:val="24"/>
        </w:rPr>
      </w:pPr>
      <w:r>
        <w:rPr>
          <w:rFonts w:hint="eastAsia" w:ascii="仿宋" w:hAnsi="仿宋" w:eastAsia="仿宋" w:cs="宋体"/>
          <w:color w:val="000000"/>
          <w:sz w:val="24"/>
          <w:szCs w:val="24"/>
        </w:rPr>
        <w:t>指标监测</w:t>
      </w:r>
    </w:p>
    <w:p>
      <w:pPr>
        <w:spacing w:line="360" w:lineRule="auto"/>
        <w:ind w:firstLine="480"/>
        <w:rPr>
          <w:rFonts w:ascii="仿宋" w:hAnsi="仿宋" w:eastAsia="仿宋" w:cs="宋体"/>
          <w:color w:val="000000"/>
          <w:sz w:val="24"/>
          <w:szCs w:val="24"/>
          <w:lang w:eastAsia="zh-CN"/>
        </w:rPr>
      </w:pPr>
      <w:r>
        <w:rPr>
          <w:rFonts w:hint="eastAsia" w:ascii="仿宋" w:hAnsi="仿宋" w:eastAsia="仿宋"/>
          <w:sz w:val="24"/>
          <w:szCs w:val="24"/>
          <w:lang w:val="zh-CN" w:eastAsia="zh-CN"/>
        </w:rPr>
        <w:t>系统自动计算各科室的指标实际数值，根据指标配置，对指标进行持续监测。</w:t>
      </w:r>
    </w:p>
    <w:p>
      <w:pPr>
        <w:numPr>
          <w:ilvl w:val="0"/>
          <w:numId w:val="117"/>
        </w:numPr>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指标预警</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支持将达到设定预警值的指标自动提示到医生站，或由用户主动查询指标值预警情况。</w:t>
      </w:r>
    </w:p>
    <w:p>
      <w:pPr>
        <w:numPr>
          <w:ilvl w:val="0"/>
          <w:numId w:val="117"/>
        </w:numPr>
        <w:spacing w:line="360" w:lineRule="auto"/>
        <w:ind w:left="0" w:firstLine="480" w:firstLineChars="200"/>
        <w:jc w:val="both"/>
        <w:rPr>
          <w:rFonts w:ascii="仿宋" w:hAnsi="仿宋" w:eastAsia="仿宋"/>
          <w:sz w:val="24"/>
          <w:szCs w:val="24"/>
          <w:lang w:val="zh-CN" w:eastAsia="zh-CN"/>
        </w:rPr>
      </w:pPr>
      <w:r>
        <w:rPr>
          <w:rFonts w:hint="eastAsia" w:ascii="仿宋" w:hAnsi="仿宋" w:eastAsia="仿宋"/>
          <w:sz w:val="24"/>
          <w:szCs w:val="24"/>
          <w:lang w:val="zh-CN" w:eastAsia="zh-CN"/>
        </w:rPr>
        <w:t>指标分析</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提供对指标值的排名分析、同比分析等。</w:t>
      </w:r>
    </w:p>
    <w:p>
      <w:pPr>
        <w:pStyle w:val="9"/>
        <w:numPr>
          <w:ilvl w:val="0"/>
          <w:numId w:val="0"/>
        </w:numPr>
        <w:spacing w:line="360" w:lineRule="auto"/>
        <w:ind w:left="3"/>
        <w:rPr>
          <w:sz w:val="24"/>
          <w:szCs w:val="24"/>
        </w:rPr>
      </w:pPr>
      <w:r>
        <w:rPr>
          <w:rFonts w:hint="eastAsia"/>
          <w:sz w:val="24"/>
          <w:szCs w:val="24"/>
          <w:lang w:eastAsia="zh-CN"/>
        </w:rPr>
        <w:t>智</w:t>
      </w:r>
      <w:r>
        <w:rPr>
          <w:rFonts w:hint="eastAsia"/>
          <w:sz w:val="24"/>
          <w:szCs w:val="24"/>
        </w:rPr>
        <w:t>能申诉管理</w:t>
      </w:r>
    </w:p>
    <w:p>
      <w:pPr>
        <w:numPr>
          <w:ilvl w:val="0"/>
          <w:numId w:val="118"/>
        </w:numPr>
        <w:adjustRightInd w:val="0"/>
        <w:snapToGrid w:val="0"/>
        <w:spacing w:line="360" w:lineRule="auto"/>
        <w:jc w:val="both"/>
        <w:rPr>
          <w:rFonts w:ascii="仿宋" w:hAnsi="仿宋" w:eastAsia="仿宋"/>
          <w:sz w:val="24"/>
          <w:szCs w:val="24"/>
          <w:lang w:val="zh-CN"/>
        </w:rPr>
      </w:pPr>
      <w:r>
        <w:rPr>
          <w:rFonts w:hint="eastAsia" w:ascii="仿宋" w:hAnsi="仿宋" w:eastAsia="仿宋"/>
          <w:sz w:val="24"/>
          <w:szCs w:val="24"/>
          <w:lang w:val="zh-CN"/>
        </w:rPr>
        <w:t>初审扣款管理</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支持在系统中导入医保中心下发的初审扣款数据，提供导入、查询功能。</w:t>
      </w:r>
    </w:p>
    <w:p>
      <w:pPr>
        <w:numPr>
          <w:ilvl w:val="0"/>
          <w:numId w:val="118"/>
        </w:numPr>
        <w:adjustRightInd w:val="0"/>
        <w:snapToGrid w:val="0"/>
        <w:spacing w:line="360" w:lineRule="auto"/>
        <w:jc w:val="both"/>
        <w:rPr>
          <w:rFonts w:ascii="仿宋" w:hAnsi="仿宋" w:eastAsia="仿宋"/>
          <w:sz w:val="24"/>
          <w:szCs w:val="24"/>
          <w:lang w:val="zh-CN"/>
        </w:rPr>
      </w:pPr>
      <w:r>
        <w:rPr>
          <w:rFonts w:hint="eastAsia" w:ascii="仿宋" w:hAnsi="仿宋" w:eastAsia="仿宋"/>
          <w:sz w:val="24"/>
          <w:szCs w:val="24"/>
          <w:lang w:val="zh-CN"/>
        </w:rPr>
        <w:t>申诉材料生成</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支持对导入的中心疑点数据自动关联院内审核数据，并生成相应的申诉理由，作为申诉的参考依据。</w:t>
      </w:r>
    </w:p>
    <w:p>
      <w:pPr>
        <w:numPr>
          <w:ilvl w:val="0"/>
          <w:numId w:val="118"/>
        </w:numPr>
        <w:adjustRightInd w:val="0"/>
        <w:snapToGrid w:val="0"/>
        <w:spacing w:line="360" w:lineRule="auto"/>
        <w:jc w:val="both"/>
        <w:rPr>
          <w:rFonts w:ascii="仿宋" w:hAnsi="仿宋" w:eastAsia="仿宋"/>
          <w:sz w:val="24"/>
          <w:szCs w:val="24"/>
          <w:lang w:val="zh-CN"/>
        </w:rPr>
      </w:pPr>
      <w:r>
        <w:rPr>
          <w:rFonts w:hint="eastAsia" w:ascii="仿宋" w:hAnsi="仿宋" w:eastAsia="仿宋"/>
          <w:sz w:val="24"/>
          <w:szCs w:val="24"/>
          <w:lang w:val="zh-CN"/>
        </w:rPr>
        <w:t>申诉任务管理</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提供院内申诉材料处理任务管理功能，支持医保办下发申诉任务，医师可查看申诉消息，对系统生成的申诉材料做修改和补充，支持导出申诉材料。</w:t>
      </w:r>
    </w:p>
    <w:p>
      <w:pPr>
        <w:pStyle w:val="9"/>
        <w:numPr>
          <w:ilvl w:val="0"/>
          <w:numId w:val="0"/>
        </w:numPr>
        <w:spacing w:line="360" w:lineRule="auto"/>
        <w:ind w:left="3"/>
        <w:rPr>
          <w:sz w:val="24"/>
          <w:szCs w:val="24"/>
        </w:rPr>
      </w:pPr>
      <w:r>
        <w:rPr>
          <w:rFonts w:hint="eastAsia"/>
          <w:sz w:val="24"/>
          <w:szCs w:val="24"/>
        </w:rPr>
        <w:t>智能辅助决策</w:t>
      </w:r>
    </w:p>
    <w:p>
      <w:pPr>
        <w:numPr>
          <w:ilvl w:val="0"/>
          <w:numId w:val="119"/>
        </w:numPr>
        <w:adjustRightInd w:val="0"/>
        <w:snapToGrid w:val="0"/>
        <w:spacing w:line="360" w:lineRule="auto"/>
        <w:jc w:val="both"/>
        <w:rPr>
          <w:rFonts w:ascii="仿宋" w:hAnsi="仿宋" w:eastAsia="仿宋"/>
          <w:sz w:val="24"/>
          <w:szCs w:val="24"/>
          <w:lang w:val="zh-CN"/>
        </w:rPr>
      </w:pPr>
      <w:r>
        <w:rPr>
          <w:rFonts w:hint="eastAsia" w:ascii="仿宋" w:hAnsi="仿宋" w:eastAsia="仿宋"/>
          <w:sz w:val="24"/>
          <w:szCs w:val="24"/>
          <w:lang w:val="zh-CN"/>
        </w:rPr>
        <w:t>智能审核查询</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支持通过时间、院区、项目、科室、医师、审核结果等查询各个审核场景的审核结果，提供患者基本信息、审核过程数据、审核详情，支持数据导出。</w:t>
      </w:r>
    </w:p>
    <w:p>
      <w:pPr>
        <w:numPr>
          <w:ilvl w:val="0"/>
          <w:numId w:val="119"/>
        </w:numPr>
        <w:adjustRightInd w:val="0"/>
        <w:snapToGrid w:val="0"/>
        <w:spacing w:line="360" w:lineRule="auto"/>
        <w:jc w:val="both"/>
        <w:rPr>
          <w:rFonts w:ascii="仿宋" w:hAnsi="仿宋" w:eastAsia="仿宋"/>
          <w:sz w:val="24"/>
          <w:szCs w:val="24"/>
          <w:lang w:val="zh-CN"/>
        </w:rPr>
      </w:pPr>
      <w:r>
        <w:rPr>
          <w:rFonts w:hint="eastAsia" w:ascii="仿宋" w:hAnsi="仿宋" w:eastAsia="仿宋"/>
          <w:sz w:val="24"/>
          <w:szCs w:val="24"/>
          <w:lang w:val="zh-CN"/>
        </w:rPr>
        <w:t>审核预警分析</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支持通过时间、审核场景、医保类型、规则等级等对预警项目做分析。从项目、规则、科室、医师多维度展示审核预警提醒情况及医师操作情况。并通过图表形式直观展示。</w:t>
      </w:r>
    </w:p>
    <w:p>
      <w:pPr>
        <w:numPr>
          <w:ilvl w:val="0"/>
          <w:numId w:val="119"/>
        </w:numPr>
        <w:adjustRightInd w:val="0"/>
        <w:snapToGrid w:val="0"/>
        <w:spacing w:line="360" w:lineRule="auto"/>
        <w:jc w:val="both"/>
        <w:rPr>
          <w:rFonts w:ascii="仿宋" w:hAnsi="仿宋" w:eastAsia="仿宋"/>
          <w:sz w:val="24"/>
          <w:szCs w:val="24"/>
          <w:lang w:val="zh-CN"/>
        </w:rPr>
      </w:pPr>
      <w:r>
        <w:rPr>
          <w:rFonts w:hint="eastAsia" w:ascii="仿宋" w:hAnsi="仿宋" w:eastAsia="仿宋"/>
          <w:sz w:val="24"/>
          <w:szCs w:val="24"/>
          <w:lang w:val="zh-CN"/>
        </w:rPr>
        <w:t>审核违规排名</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支持对审核监管数据进行统计，对违规疑点项目明细进行排名，支持从项目、科室、医师等维度查看违规统计结果</w:t>
      </w:r>
    </w:p>
    <w:p>
      <w:pPr>
        <w:numPr>
          <w:ilvl w:val="0"/>
          <w:numId w:val="119"/>
        </w:numPr>
        <w:adjustRightInd w:val="0"/>
        <w:snapToGrid w:val="0"/>
        <w:spacing w:line="360" w:lineRule="auto"/>
        <w:jc w:val="both"/>
        <w:rPr>
          <w:rFonts w:ascii="仿宋" w:hAnsi="仿宋" w:eastAsia="仿宋"/>
          <w:sz w:val="24"/>
          <w:szCs w:val="24"/>
          <w:lang w:val="zh-CN"/>
        </w:rPr>
      </w:pPr>
      <w:r>
        <w:rPr>
          <w:rFonts w:hint="eastAsia" w:ascii="仿宋" w:hAnsi="仿宋" w:eastAsia="仿宋"/>
          <w:sz w:val="24"/>
          <w:szCs w:val="24"/>
          <w:lang w:val="zh-CN"/>
        </w:rPr>
        <w:t>医保拒付分析</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支持对导入的医保拒付疑点数据进行分析，查看拒付金额，按科室、医师、项目、规则等排名情况。</w:t>
      </w:r>
    </w:p>
    <w:p>
      <w:pPr>
        <w:numPr>
          <w:ilvl w:val="0"/>
          <w:numId w:val="119"/>
        </w:numPr>
        <w:adjustRightInd w:val="0"/>
        <w:snapToGrid w:val="0"/>
        <w:spacing w:line="360" w:lineRule="auto"/>
        <w:jc w:val="both"/>
        <w:rPr>
          <w:rFonts w:ascii="仿宋" w:hAnsi="仿宋" w:eastAsia="仿宋"/>
          <w:sz w:val="24"/>
          <w:szCs w:val="24"/>
          <w:lang w:val="zh-CN"/>
        </w:rPr>
      </w:pPr>
      <w:r>
        <w:rPr>
          <w:rFonts w:hint="eastAsia" w:ascii="仿宋" w:hAnsi="仿宋" w:eastAsia="仿宋"/>
          <w:sz w:val="24"/>
          <w:szCs w:val="24"/>
          <w:lang w:val="zh-CN"/>
        </w:rPr>
        <w:t>审核效果分析</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支持对医保中心端事后审核拒付结果与医院内部智能审核结果做对比。提供拒付原因分析，通过分析找出拒付原因，用于医保办管理者明确改进方向。</w:t>
      </w:r>
    </w:p>
    <w:p>
      <w:pPr>
        <w:numPr>
          <w:ilvl w:val="0"/>
          <w:numId w:val="119"/>
        </w:numPr>
        <w:adjustRightInd w:val="0"/>
        <w:snapToGrid w:val="0"/>
        <w:spacing w:line="360" w:lineRule="auto"/>
        <w:jc w:val="both"/>
        <w:rPr>
          <w:rFonts w:ascii="仿宋" w:hAnsi="仿宋" w:eastAsia="仿宋"/>
          <w:sz w:val="24"/>
          <w:szCs w:val="24"/>
          <w:lang w:val="zh-CN"/>
        </w:rPr>
      </w:pPr>
      <w:r>
        <w:rPr>
          <w:rFonts w:hint="eastAsia" w:ascii="仿宋" w:hAnsi="仿宋" w:eastAsia="仿宋"/>
          <w:sz w:val="24"/>
          <w:szCs w:val="24"/>
          <w:lang w:val="zh-CN"/>
        </w:rPr>
        <w:t>医疗费用分析</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提供医疗费用统计分析功能，支持对一段时间内按医疗类型、科室角度对医院产生的医疗费用情况进行分析，分析结果包括费用结构、费用占比、费用发生趋势、费用发生的排名等。</w:t>
      </w:r>
    </w:p>
    <w:p>
      <w:pPr>
        <w:pStyle w:val="9"/>
        <w:numPr>
          <w:ilvl w:val="0"/>
          <w:numId w:val="0"/>
        </w:numPr>
        <w:spacing w:line="360" w:lineRule="auto"/>
        <w:ind w:left="3"/>
        <w:rPr>
          <w:sz w:val="24"/>
          <w:szCs w:val="24"/>
          <w:lang w:eastAsia="zh-CN"/>
        </w:rPr>
      </w:pPr>
      <w:r>
        <w:rPr>
          <w:rFonts w:hint="eastAsia"/>
          <w:sz w:val="24"/>
          <w:szCs w:val="24"/>
          <w:lang w:eastAsia="zh-CN"/>
        </w:rPr>
        <w:t>系统管理</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系统管理包括信息维护、权限管理、参数配置功能，支持医院、科室、医护信息维护、相关参数配置和用户权限管理。</w:t>
      </w:r>
    </w:p>
    <w:p>
      <w:pPr>
        <w:numPr>
          <w:ilvl w:val="0"/>
          <w:numId w:val="120"/>
        </w:numPr>
        <w:adjustRightInd w:val="0"/>
        <w:snapToGrid w:val="0"/>
        <w:spacing w:line="360" w:lineRule="auto"/>
        <w:jc w:val="both"/>
        <w:rPr>
          <w:rFonts w:ascii="仿宋" w:hAnsi="仿宋" w:eastAsia="仿宋"/>
          <w:sz w:val="24"/>
          <w:szCs w:val="24"/>
          <w:lang w:val="zh-CN"/>
        </w:rPr>
      </w:pPr>
      <w:r>
        <w:rPr>
          <w:rFonts w:hint="eastAsia" w:ascii="仿宋" w:hAnsi="仿宋" w:eastAsia="仿宋"/>
          <w:sz w:val="24"/>
          <w:szCs w:val="24"/>
          <w:lang w:val="zh-CN"/>
        </w:rPr>
        <w:t>信息维护</w:t>
      </w:r>
    </w:p>
    <w:p>
      <w:pPr>
        <w:adjustRightInd w:val="0"/>
        <w:snapToGrid w:val="0"/>
        <w:spacing w:line="360" w:lineRule="auto"/>
        <w:ind w:firstLine="480"/>
        <w:rPr>
          <w:rFonts w:ascii="仿宋" w:hAnsi="仿宋" w:eastAsia="仿宋"/>
          <w:sz w:val="24"/>
          <w:szCs w:val="24"/>
          <w:lang w:eastAsia="zh-CN"/>
        </w:rPr>
      </w:pPr>
      <w:r>
        <w:rPr>
          <w:rFonts w:hint="eastAsia" w:ascii="仿宋" w:hAnsi="仿宋" w:eastAsia="仿宋"/>
          <w:sz w:val="24"/>
          <w:szCs w:val="24"/>
          <w:lang w:val="zh-CN" w:eastAsia="zh-CN"/>
        </w:rPr>
        <w:t>系统从 HIS 中采集医院实时的科室信息、医护人员信息，并支持在系统中进行补充修改。</w:t>
      </w:r>
    </w:p>
    <w:p>
      <w:pPr>
        <w:numPr>
          <w:ilvl w:val="0"/>
          <w:numId w:val="120"/>
        </w:numPr>
        <w:adjustRightInd w:val="0"/>
        <w:snapToGrid w:val="0"/>
        <w:spacing w:line="360" w:lineRule="auto"/>
        <w:jc w:val="both"/>
        <w:rPr>
          <w:rFonts w:ascii="仿宋" w:hAnsi="仿宋" w:eastAsia="仿宋"/>
          <w:sz w:val="24"/>
          <w:szCs w:val="24"/>
          <w:lang w:val="zh-CN"/>
        </w:rPr>
      </w:pPr>
      <w:r>
        <w:rPr>
          <w:rFonts w:hint="eastAsia" w:ascii="仿宋" w:hAnsi="仿宋" w:eastAsia="仿宋"/>
          <w:sz w:val="24"/>
          <w:szCs w:val="24"/>
          <w:lang w:val="zh-CN"/>
        </w:rPr>
        <w:t>权限管理</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支持编辑、删除、复制角色信息，并能为角色分配权限，提供角色启用、角色禁用、角色复制、人员管理、权限复制等功能。</w:t>
      </w:r>
    </w:p>
    <w:p>
      <w:pPr>
        <w:numPr>
          <w:ilvl w:val="0"/>
          <w:numId w:val="120"/>
        </w:numPr>
        <w:adjustRightInd w:val="0"/>
        <w:snapToGrid w:val="0"/>
        <w:spacing w:line="360" w:lineRule="auto"/>
        <w:jc w:val="both"/>
        <w:rPr>
          <w:rFonts w:ascii="仿宋" w:hAnsi="仿宋" w:eastAsia="仿宋"/>
          <w:sz w:val="24"/>
          <w:szCs w:val="24"/>
          <w:lang w:val="zh-CN"/>
        </w:rPr>
      </w:pPr>
      <w:r>
        <w:rPr>
          <w:rFonts w:hint="eastAsia" w:ascii="仿宋" w:hAnsi="仿宋" w:eastAsia="仿宋"/>
          <w:sz w:val="24"/>
          <w:szCs w:val="24"/>
          <w:lang w:val="zh-CN"/>
        </w:rPr>
        <w:t>参数配置</w:t>
      </w:r>
    </w:p>
    <w:p>
      <w:pPr>
        <w:adjustRightInd w:val="0"/>
        <w:snapToGrid w:val="0"/>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系统提供参数配置功能，以适配院内业务流程需求。</w:t>
      </w:r>
    </w:p>
    <w:p>
      <w:pPr>
        <w:pStyle w:val="7"/>
        <w:spacing w:before="0" w:beforeLines="0" w:after="0" w:afterLines="0" w:line="360" w:lineRule="auto"/>
        <w:rPr>
          <w:sz w:val="24"/>
          <w:szCs w:val="24"/>
          <w:lang w:eastAsia="zh-CN"/>
        </w:rPr>
      </w:pPr>
      <w:bookmarkStart w:id="92" w:name="_Toc146042235"/>
      <w:r>
        <w:rPr>
          <w:rFonts w:hint="eastAsia"/>
          <w:sz w:val="24"/>
          <w:szCs w:val="24"/>
          <w:lang w:eastAsia="zh-CN"/>
        </w:rPr>
        <w:t>医共体（县人民医院）信息集成平台</w:t>
      </w:r>
      <w:bookmarkEnd w:id="92"/>
    </w:p>
    <w:p>
      <w:pPr>
        <w:pStyle w:val="8"/>
        <w:spacing w:before="0" w:line="360" w:lineRule="auto"/>
        <w:rPr>
          <w:sz w:val="24"/>
          <w:szCs w:val="24"/>
          <w:lang w:eastAsia="zh-CN"/>
        </w:rPr>
      </w:pPr>
      <w:r>
        <w:rPr>
          <w:rFonts w:hint="eastAsia"/>
          <w:sz w:val="24"/>
          <w:szCs w:val="24"/>
          <w:lang w:eastAsia="zh-CN"/>
        </w:rPr>
        <w:t>集成平台</w:t>
      </w:r>
    </w:p>
    <w:p>
      <w:pPr>
        <w:pStyle w:val="9"/>
        <w:spacing w:line="360" w:lineRule="auto"/>
        <w:rPr>
          <w:sz w:val="24"/>
          <w:szCs w:val="24"/>
          <w:lang w:eastAsia="zh-CN"/>
        </w:rPr>
      </w:pPr>
      <w:r>
        <w:rPr>
          <w:rFonts w:hint="eastAsia"/>
          <w:sz w:val="24"/>
          <w:szCs w:val="24"/>
          <w:lang w:eastAsia="zh-CN"/>
        </w:rPr>
        <w:t>日志中心</w:t>
      </w:r>
      <w:r>
        <w:rPr>
          <w:rFonts w:hint="eastAsia"/>
          <w:sz w:val="24"/>
          <w:szCs w:val="24"/>
          <w:lang w:eastAsia="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日志中心分成两部分，分别是采集端和收集端。采集器从各服务器采集数据，然后发送给接收端，接收端接到数据后，将日志保存到磁盘上。用户能在日志中心服务器上查询和分析日志。</w:t>
      </w:r>
    </w:p>
    <w:p>
      <w:pPr>
        <w:pStyle w:val="9"/>
        <w:spacing w:line="360" w:lineRule="auto"/>
        <w:rPr>
          <w:sz w:val="24"/>
          <w:szCs w:val="24"/>
          <w:lang w:eastAsia="zh-CN"/>
        </w:rPr>
      </w:pPr>
      <w:r>
        <w:rPr>
          <w:rFonts w:hint="eastAsia"/>
          <w:sz w:val="24"/>
          <w:szCs w:val="24"/>
          <w:lang w:eastAsia="zh-CN"/>
        </w:rPr>
        <w:t>注册中心</w:t>
      </w:r>
      <w:r>
        <w:rPr>
          <w:rFonts w:hint="eastAsia"/>
          <w:sz w:val="24"/>
          <w:szCs w:val="24"/>
          <w:lang w:eastAsia="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用于提供微服务的注册与发现。支持高可用的配置，当集群中有分片出现故障时，注册中心就会转入自动保护模式，它允许分片故障期间继续提供服务的发现和注册，当故障分片恢复正常时，集群中其他分片会把他们的状态再次同步回来。客户端组件包含服务消费者与服务生产者。在应用程序运行时，客户端向注册中心注册自身提供的服务并周期性的发送心跳来更新它的服务租约。同时也可以从服务端查询当前注册的服务信息并把他们缓存到本地并周期性的刷新服务状态。</w:t>
      </w:r>
    </w:p>
    <w:p>
      <w:pPr>
        <w:pStyle w:val="9"/>
        <w:spacing w:line="360" w:lineRule="auto"/>
        <w:rPr>
          <w:sz w:val="24"/>
          <w:szCs w:val="24"/>
          <w:lang w:eastAsia="zh-CN"/>
        </w:rPr>
      </w:pPr>
      <w:r>
        <w:rPr>
          <w:rFonts w:hint="eastAsia"/>
          <w:sz w:val="24"/>
          <w:szCs w:val="24"/>
          <w:lang w:eastAsia="zh-CN"/>
        </w:rPr>
        <w:t>微服务</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将应用程序构建为独立的组件，并将每个应用程序进程作为一项服务运行。这些服务使用轻量级 API 通过明确定义的接口进行通信。这些服务是围绕业务功能构建的，每项服务执行一项功能。由于它们是独立运行的，因此可以针对各项服务进行更新、部署和扩展，以满足对应用程序特定功能的需求</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提供数据解析处理，可实时根据医院上传的业务数据，按照交换策略，将XML数据源导入进目标表数据表中。</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提供处理记录查询，可查询处理记录，查询每次解析所涉及的业务，并查询成功失败标志。</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提供应用开发的框架以适应不同的应用系统连接的需求。主要包括数据源处理、处理规则管理、数据处理引擎、数据过滤、数据转换、数据比对与校验、数据容错、数据合并、数据入库、数据存储服务等。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能够将各个应用系统数据库中数据按照制定的统一的数据标准，转换、传输到指定的数据库中，为各个应用系统提供统一的数据获取源。</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能够支持定时数据交换和实时数据交换两种数据交互方式。</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支持双向数据交换，保证数据传递过程的安全、可靠。</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支持数据采集、汇总、转换功能。</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支持批量和实时的数据交换模式。</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支持异地的、异构系统数据交换。</w:t>
      </w:r>
    </w:p>
    <w:p>
      <w:pPr>
        <w:spacing w:line="360" w:lineRule="auto"/>
        <w:ind w:firstLine="480"/>
        <w:rPr>
          <w:rFonts w:ascii="仿宋" w:hAnsi="仿宋" w:eastAsia="仿宋"/>
          <w:sz w:val="24"/>
          <w:szCs w:val="24"/>
          <w:lang w:val="zh-CN"/>
        </w:rPr>
      </w:pPr>
      <w:r>
        <w:rPr>
          <w:rFonts w:hint="eastAsia" w:ascii="仿宋" w:hAnsi="仿宋" w:eastAsia="仿宋"/>
          <w:sz w:val="24"/>
          <w:szCs w:val="24"/>
          <w:lang w:val="zh-CN"/>
        </w:rPr>
        <w:t>以标准XML数据格式为标准，对外采用通用的http服务为接口，支持多客户端的对接。</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要求提供传输数据的校验功能，校验数据包括但不限于账户、密码、业务编码，密码加密，提供安全服务配置功能，保证系统安全可靠。</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系统支持自定义业务配置或自定义接口实现。</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系统支持不同数据库的配置，具有一定的底层兼容性。</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系统支持数据集中服务模式，将数据集中到集成平台中，实现数据集中管理和规范化管理，方便以后对数据分析和挖掘。</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数据交换平台生成的数据字典，可供其他应用利用，实现数据共享。</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为医疗行业特别量体定做的底座服务软件，必须很好支持不同系统之间的医疗数据的整合，能够处理各医疗子系统之间的协同通讯服务。</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医疗服务底座软件应消除不同应用之间的技术差异，让不同的应用服务器协调运作，实现不同服务之间的通信与整合。</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医疗服务底座软件应能够实现业务级别的各种业务接口的集成。</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医疗服务底座软件应提供自定义可插拔服务功能。</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医疗服务底座软件应提供系统运行环境设置，包括数据库环境配置，业务处理服务配置，日志配置，通用业务表设置。</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提供松耦合连接机制，实现数据信息的交换、传输、校验、路由、转换、日志、监控等功能。</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提供高性能、可靠稳定的数据传输，确保数据的数量和质量。</w:t>
      </w:r>
    </w:p>
    <w:p>
      <w:pPr>
        <w:spacing w:line="360" w:lineRule="auto"/>
        <w:ind w:firstLine="480"/>
        <w:rPr>
          <w:rFonts w:ascii="仿宋" w:hAnsi="仿宋" w:eastAsia="仿宋"/>
          <w:sz w:val="24"/>
          <w:szCs w:val="24"/>
          <w:lang w:val="zh-CN"/>
        </w:rPr>
      </w:pPr>
      <w:r>
        <w:rPr>
          <w:rFonts w:hint="eastAsia" w:ascii="仿宋" w:hAnsi="仿宋" w:eastAsia="仿宋"/>
          <w:sz w:val="24"/>
          <w:szCs w:val="24"/>
          <w:lang w:val="zh-CN" w:eastAsia="zh-CN"/>
        </w:rPr>
        <w:t>提供多种灵活的消息传输机制，应支持同步和异步数据传输。</w:t>
      </w:r>
      <w:r>
        <w:rPr>
          <w:rFonts w:hint="eastAsia" w:ascii="仿宋" w:hAnsi="仿宋" w:eastAsia="仿宋"/>
          <w:sz w:val="24"/>
          <w:szCs w:val="24"/>
          <w:lang w:val="zh-CN"/>
        </w:rPr>
        <w:t>例如HTTP/SOAP/MQ等。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数据路由处理消息、生成转发消息、触发其他消息事件的发生以及卫生事件消息体系的管理。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支持传输层安全、内容安全、身份认证等各种安全保障机制。</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提供消息中转服务，负责保证底层通讯、消息发送和接收的安全性、可靠性。实现支持不同网络、网段之间的消息传输通讯，保证消息接发过程中的消息可靠性、安全性。</w:t>
      </w:r>
    </w:p>
    <w:p>
      <w:pPr>
        <w:pStyle w:val="9"/>
        <w:spacing w:line="360" w:lineRule="auto"/>
        <w:rPr>
          <w:sz w:val="24"/>
          <w:szCs w:val="24"/>
          <w:lang w:eastAsia="zh-CN"/>
        </w:rPr>
      </w:pPr>
      <w:r>
        <w:rPr>
          <w:rFonts w:hint="eastAsia"/>
          <w:sz w:val="24"/>
          <w:szCs w:val="24"/>
          <w:lang w:eastAsia="zh-CN"/>
        </w:rPr>
        <w:t>消息中心</w:t>
      </w:r>
      <w:r>
        <w:rPr>
          <w:rFonts w:hint="eastAsia"/>
          <w:sz w:val="24"/>
          <w:szCs w:val="24"/>
          <w:lang w:eastAsia="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收集各类业务产生的任务及消息数据，集中在消息中心查询、处理。</w:t>
      </w:r>
    </w:p>
    <w:p>
      <w:pPr>
        <w:pStyle w:val="9"/>
        <w:spacing w:line="360" w:lineRule="auto"/>
        <w:rPr>
          <w:sz w:val="24"/>
          <w:szCs w:val="24"/>
          <w:lang w:eastAsia="zh-CN"/>
        </w:rPr>
      </w:pPr>
      <w:r>
        <w:rPr>
          <w:rFonts w:hint="eastAsia"/>
          <w:sz w:val="24"/>
          <w:szCs w:val="24"/>
          <w:lang w:eastAsia="zh-CN"/>
        </w:rPr>
        <w:t>网关管理</w:t>
      </w:r>
      <w:r>
        <w:rPr>
          <w:rFonts w:hint="eastAsia"/>
          <w:sz w:val="24"/>
          <w:szCs w:val="24"/>
          <w:lang w:eastAsia="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平台微服务网关的负载均衡管理。</w:t>
      </w:r>
    </w:p>
    <w:p>
      <w:pPr>
        <w:pStyle w:val="9"/>
        <w:spacing w:line="360" w:lineRule="auto"/>
        <w:rPr>
          <w:sz w:val="24"/>
          <w:szCs w:val="24"/>
          <w:lang w:eastAsia="zh-CN"/>
        </w:rPr>
      </w:pPr>
      <w:r>
        <w:rPr>
          <w:rFonts w:hint="eastAsia"/>
          <w:sz w:val="24"/>
          <w:szCs w:val="24"/>
          <w:lang w:eastAsia="zh-CN"/>
        </w:rPr>
        <w:t>单点登录</w:t>
      </w:r>
      <w:r>
        <w:rPr>
          <w:rFonts w:hint="eastAsia"/>
          <w:sz w:val="24"/>
          <w:szCs w:val="24"/>
          <w:lang w:eastAsia="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用于集成各子系统登录验证配置实现自动登录。</w:t>
      </w:r>
    </w:p>
    <w:p>
      <w:pPr>
        <w:pStyle w:val="8"/>
        <w:spacing w:before="0" w:line="360" w:lineRule="auto"/>
        <w:rPr>
          <w:sz w:val="24"/>
          <w:szCs w:val="24"/>
          <w:lang w:eastAsia="zh-CN"/>
        </w:rPr>
      </w:pPr>
      <w:r>
        <w:rPr>
          <w:rFonts w:hint="eastAsia"/>
          <w:sz w:val="24"/>
          <w:szCs w:val="24"/>
          <w:lang w:eastAsia="zh-CN"/>
        </w:rPr>
        <w:t>数据中心</w:t>
      </w:r>
    </w:p>
    <w:p>
      <w:pPr>
        <w:pStyle w:val="9"/>
        <w:spacing w:line="360" w:lineRule="auto"/>
        <w:rPr>
          <w:sz w:val="24"/>
          <w:szCs w:val="24"/>
          <w:lang w:eastAsia="zh-CN"/>
        </w:rPr>
      </w:pPr>
      <w:r>
        <w:rPr>
          <w:rFonts w:hint="eastAsia"/>
          <w:sz w:val="24"/>
          <w:szCs w:val="24"/>
          <w:lang w:eastAsia="zh-CN"/>
        </w:rPr>
        <w:t>临床数据库(CDR)</w:t>
      </w:r>
      <w:r>
        <w:rPr>
          <w:rFonts w:hint="eastAsia"/>
          <w:sz w:val="24"/>
          <w:szCs w:val="24"/>
          <w:lang w:eastAsia="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《电子病历基本数据集》、《医院管理信息系统》等标准与规范形成的临床数据中心。</w:t>
      </w:r>
    </w:p>
    <w:p>
      <w:pPr>
        <w:pStyle w:val="9"/>
        <w:spacing w:line="360" w:lineRule="auto"/>
        <w:rPr>
          <w:sz w:val="24"/>
          <w:szCs w:val="24"/>
          <w:lang w:eastAsia="zh-CN"/>
        </w:rPr>
      </w:pPr>
      <w:r>
        <w:rPr>
          <w:rFonts w:hint="eastAsia"/>
          <w:sz w:val="24"/>
          <w:szCs w:val="24"/>
          <w:lang w:eastAsia="zh-CN"/>
        </w:rPr>
        <w:t>运营数据库(ODR)</w:t>
      </w:r>
      <w:r>
        <w:rPr>
          <w:rFonts w:hint="eastAsia"/>
          <w:sz w:val="24"/>
          <w:szCs w:val="24"/>
          <w:lang w:eastAsia="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通过生产数据进行抽取、转换、清洗，集合医院各业务系统相关运营管理数据（财务管理数据库、人事管理数据库、设备管理数据库），建立以医院管理为核心的运营数据库。</w:t>
      </w:r>
    </w:p>
    <w:p>
      <w:pPr>
        <w:pStyle w:val="8"/>
        <w:spacing w:before="0" w:line="360" w:lineRule="auto"/>
        <w:rPr>
          <w:sz w:val="24"/>
          <w:szCs w:val="24"/>
          <w:lang w:eastAsia="zh-CN"/>
        </w:rPr>
      </w:pPr>
      <w:r>
        <w:rPr>
          <w:rFonts w:hint="eastAsia"/>
          <w:sz w:val="24"/>
          <w:szCs w:val="24"/>
          <w:lang w:eastAsia="zh-CN"/>
        </w:rPr>
        <w:t>统一门户</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提供应用系统的统一入口、单点登录、应用集成、界面集成、数据集成等能力；提供统一身份认证管理，实现各个系统中用户身份的一致性；提供内容管理，实现机构信息的统一发布及管理。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 xml:space="preserve">对使用系统的人员建立统一的用户管理，包含统一的账号管理、统一的角色权限管理。实现统一用户认证，在多个互相信任的业务系统中实现统一注册、单点登录、统一退出。统一用户身份，但登录形式只是多种形式：单因子登录（账号密码、手机动态密码、CA证书、第三方账号、生物识别、扫码登录等）、双因子登录（任两种登录方式组合）。用户登录时进行统一的用户身份识别、认证和鉴权，将通过的认证的用户在不同业务场景下可用的资源权限反馈给业务场景。 </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提供用户自助注册账号的独立功能，按照业务管理模式不同能够支持由管理员操作添加用户和自助注册账号两种方式成为用户。</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面向操作人员提供的另一种应用入口方式，实现平台提供的基本通用功能，同时提供更丰富的内容展示。</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1．站点管理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门户站点的基本信息支持自定义配置管理。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站点管理对门户建站的管理，支持新增、删除、编辑、查询等常规操作。</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2．栏目管理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栏目管理功能维护各站点的内容分类，栏目的新增、查看、编辑、删除和状态变更，门户站点的栏目支持自定义配置。</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3．容管理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管理维护各站点栏目下的文章。</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文章管理功能维护各站点的文章内容，新增、编辑、删除和状态变更。</w:t>
      </w:r>
    </w:p>
    <w:p>
      <w:pPr>
        <w:pStyle w:val="9"/>
        <w:spacing w:line="360" w:lineRule="auto"/>
        <w:rPr>
          <w:sz w:val="24"/>
          <w:szCs w:val="24"/>
        </w:rPr>
      </w:pPr>
      <w:r>
        <w:rPr>
          <w:rFonts w:hint="eastAsia"/>
          <w:sz w:val="24"/>
          <w:szCs w:val="24"/>
        </w:rPr>
        <w:t>系统管理</w:t>
      </w:r>
    </w:p>
    <w:p>
      <w:pPr>
        <w:numPr>
          <w:ilvl w:val="0"/>
          <w:numId w:val="121"/>
        </w:numPr>
        <w:spacing w:line="360" w:lineRule="auto"/>
        <w:jc w:val="both"/>
        <w:rPr>
          <w:rFonts w:ascii="仿宋" w:hAnsi="仿宋" w:eastAsia="仿宋"/>
          <w:sz w:val="24"/>
          <w:szCs w:val="24"/>
          <w:lang w:val="zh-CN"/>
        </w:rPr>
      </w:pPr>
      <w:r>
        <w:rPr>
          <w:rFonts w:hint="eastAsia" w:ascii="仿宋" w:hAnsi="仿宋" w:eastAsia="仿宋"/>
          <w:sz w:val="24"/>
          <w:szCs w:val="24"/>
          <w:lang w:val="zh-CN"/>
        </w:rPr>
        <w:t>人员管理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 xml:space="preserve">人员管理功能用于对平台内的人员进行新增、更新、注销、查询，以及建立和设置账户，分配所在机构和角色等。 </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 xml:space="preserve">管理员新增人员基本信息，为人员分配所在机构的部门科室；完成后对该人员建立平台账户、分配系统角色进行授权。人员管理支持双向管理，即可以由上级管理员统一初始化后，机构管理员直接查找接入本机构使用；也可以由下级管理员新增提交给平台，平台自动将新增人员纳入平台信息中统一管理。 </w:t>
      </w:r>
    </w:p>
    <w:p>
      <w:pPr>
        <w:numPr>
          <w:ilvl w:val="0"/>
          <w:numId w:val="121"/>
        </w:numPr>
        <w:spacing w:line="360" w:lineRule="auto"/>
        <w:jc w:val="both"/>
        <w:rPr>
          <w:rFonts w:ascii="仿宋" w:hAnsi="仿宋" w:eastAsia="仿宋"/>
          <w:sz w:val="24"/>
          <w:szCs w:val="24"/>
          <w:lang w:val="zh-CN"/>
        </w:rPr>
      </w:pPr>
      <w:r>
        <w:rPr>
          <w:rFonts w:hint="eastAsia" w:ascii="仿宋" w:hAnsi="仿宋" w:eastAsia="仿宋"/>
          <w:sz w:val="24"/>
          <w:szCs w:val="24"/>
          <w:lang w:val="zh-CN"/>
        </w:rPr>
        <w:t>角色管理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决策管理包括角色维护和分配账户功能，角色维护管理能够完成角色的新增、编辑、删除功能。</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分配账户是给用户分配权限的另一种操作方式，在角色视角为角色添加账户。</w:t>
      </w:r>
    </w:p>
    <w:p>
      <w:pPr>
        <w:numPr>
          <w:ilvl w:val="0"/>
          <w:numId w:val="121"/>
        </w:numPr>
        <w:spacing w:line="360" w:lineRule="auto"/>
        <w:jc w:val="both"/>
        <w:rPr>
          <w:rFonts w:ascii="仿宋" w:hAnsi="仿宋" w:eastAsia="仿宋"/>
          <w:sz w:val="24"/>
          <w:szCs w:val="24"/>
          <w:lang w:val="zh-CN"/>
        </w:rPr>
      </w:pPr>
      <w:r>
        <w:rPr>
          <w:rFonts w:hint="eastAsia" w:ascii="仿宋" w:hAnsi="仿宋" w:eastAsia="仿宋"/>
          <w:sz w:val="24"/>
          <w:szCs w:val="24"/>
          <w:lang w:val="zh-CN"/>
        </w:rPr>
        <w:t>日志管理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日志管理实现对平台级的登录日志和操作管理，可以接收记录接入平台的所有应用的登录日志和操作日志进行统一可视化管理。</w:t>
      </w:r>
    </w:p>
    <w:p>
      <w:pPr>
        <w:numPr>
          <w:ilvl w:val="0"/>
          <w:numId w:val="121"/>
        </w:numPr>
        <w:spacing w:line="360" w:lineRule="auto"/>
        <w:jc w:val="both"/>
        <w:rPr>
          <w:rFonts w:ascii="仿宋" w:hAnsi="仿宋" w:eastAsia="仿宋"/>
          <w:sz w:val="24"/>
          <w:szCs w:val="24"/>
          <w:lang w:val="zh-CN"/>
        </w:rPr>
      </w:pPr>
      <w:r>
        <w:rPr>
          <w:rFonts w:hint="eastAsia" w:ascii="仿宋" w:hAnsi="仿宋" w:eastAsia="仿宋"/>
          <w:sz w:val="24"/>
          <w:szCs w:val="24"/>
          <w:lang w:val="zh-CN"/>
        </w:rPr>
        <w:t>应用管理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包含应用管理和资源管理。支持两种方式配置，一种是应用与平台通过接口对接，将资源注册到平台，平台统一的管理；另一种是应用提供资源的配置界面，在应用管理中心维护该资源配置的页面地址，在用户角色进行权限配置时，跳转到该页面上进行应用的资源权限配置。本期暂不实现此种方式，但设计时可提前考虑预留扩展，以便后期实现时可快速扩展。</w:t>
      </w:r>
    </w:p>
    <w:p>
      <w:pPr>
        <w:numPr>
          <w:ilvl w:val="0"/>
          <w:numId w:val="121"/>
        </w:numPr>
        <w:spacing w:line="360" w:lineRule="auto"/>
        <w:jc w:val="both"/>
        <w:rPr>
          <w:rFonts w:ascii="仿宋" w:hAnsi="仿宋" w:eastAsia="仿宋"/>
          <w:sz w:val="24"/>
          <w:szCs w:val="24"/>
          <w:lang w:val="zh-CN"/>
        </w:rPr>
      </w:pPr>
      <w:r>
        <w:rPr>
          <w:rFonts w:hint="eastAsia" w:ascii="仿宋" w:hAnsi="仿宋" w:eastAsia="仿宋"/>
          <w:sz w:val="24"/>
          <w:szCs w:val="24"/>
          <w:lang w:val="zh-CN"/>
        </w:rPr>
        <w:t>字典管理</w:t>
      </w:r>
    </w:p>
    <w:p>
      <w:pPr>
        <w:spacing w:line="360" w:lineRule="auto"/>
        <w:ind w:firstLine="480"/>
        <w:rPr>
          <w:rFonts w:ascii="仿宋" w:hAnsi="仿宋" w:eastAsia="仿宋"/>
          <w:sz w:val="24"/>
          <w:szCs w:val="24"/>
          <w:lang w:val="zh-CN"/>
        </w:rPr>
      </w:pPr>
      <w:r>
        <w:rPr>
          <w:rFonts w:hint="eastAsia" w:ascii="仿宋" w:hAnsi="仿宋" w:eastAsia="仿宋"/>
          <w:sz w:val="24"/>
          <w:szCs w:val="24"/>
          <w:lang w:val="zh-CN" w:eastAsia="zh-CN"/>
        </w:rPr>
        <w:t>字典管理包含系统运行所需的基础字典和相同对应用都要使用的通用性的业务字典，例如基础字典有区划、民族等，业务字典有药品、诊疗、卫生材料、疾病等。业务字典在业务上可能存在同一个应用要使用到不同版本的情况，平台需要支持能够维护多套字典的能力。</w:t>
      </w:r>
      <w:r>
        <w:rPr>
          <w:rFonts w:hint="eastAsia" w:ascii="仿宋" w:hAnsi="仿宋" w:eastAsia="仿宋"/>
          <w:sz w:val="24"/>
          <w:szCs w:val="24"/>
          <w:lang w:val="zh-CN"/>
        </w:rPr>
        <w:t>字典管理包含如下功能：</w:t>
      </w:r>
    </w:p>
    <w:p>
      <w:pPr>
        <w:numPr>
          <w:ilvl w:val="0"/>
          <w:numId w:val="122"/>
        </w:numPr>
        <w:spacing w:line="360" w:lineRule="auto"/>
        <w:jc w:val="both"/>
        <w:rPr>
          <w:rFonts w:ascii="仿宋" w:hAnsi="仿宋" w:eastAsia="仿宋"/>
          <w:sz w:val="24"/>
          <w:szCs w:val="24"/>
          <w:lang w:val="zh-CN"/>
        </w:rPr>
      </w:pPr>
      <w:r>
        <w:rPr>
          <w:rFonts w:ascii="仿宋" w:hAnsi="仿宋" w:eastAsia="仿宋"/>
          <w:sz w:val="24"/>
          <w:szCs w:val="24"/>
          <w:lang w:val="zh-CN"/>
        </w:rPr>
        <w:t></w:t>
      </w:r>
      <w:r>
        <w:rPr>
          <w:rFonts w:ascii="仿宋" w:hAnsi="仿宋" w:eastAsia="仿宋"/>
          <w:sz w:val="24"/>
          <w:szCs w:val="24"/>
          <w:lang w:val="zh-CN"/>
        </w:rPr>
        <w:tab/>
      </w:r>
      <w:r>
        <w:rPr>
          <w:rFonts w:hint="eastAsia" w:ascii="仿宋" w:hAnsi="仿宋" w:eastAsia="仿宋"/>
          <w:sz w:val="24"/>
          <w:szCs w:val="24"/>
          <w:lang w:val="zh-CN"/>
        </w:rPr>
        <w:t>行政区划</w:t>
      </w:r>
    </w:p>
    <w:p>
      <w:pPr>
        <w:numPr>
          <w:ilvl w:val="0"/>
          <w:numId w:val="122"/>
        </w:numPr>
        <w:spacing w:line="360" w:lineRule="auto"/>
        <w:jc w:val="both"/>
        <w:rPr>
          <w:rFonts w:ascii="仿宋" w:hAnsi="仿宋" w:eastAsia="仿宋"/>
          <w:sz w:val="24"/>
          <w:szCs w:val="24"/>
          <w:lang w:val="zh-CN"/>
        </w:rPr>
      </w:pPr>
      <w:r>
        <w:rPr>
          <w:rFonts w:ascii="仿宋" w:hAnsi="仿宋" w:eastAsia="仿宋"/>
          <w:sz w:val="24"/>
          <w:szCs w:val="24"/>
          <w:lang w:val="zh-CN"/>
        </w:rPr>
        <w:t></w:t>
      </w:r>
      <w:r>
        <w:rPr>
          <w:rFonts w:ascii="仿宋" w:hAnsi="仿宋" w:eastAsia="仿宋"/>
          <w:sz w:val="24"/>
          <w:szCs w:val="24"/>
          <w:lang w:val="zh-CN"/>
        </w:rPr>
        <w:tab/>
      </w:r>
      <w:r>
        <w:rPr>
          <w:rFonts w:hint="eastAsia" w:ascii="仿宋" w:hAnsi="仿宋" w:eastAsia="仿宋"/>
          <w:sz w:val="24"/>
          <w:szCs w:val="24"/>
          <w:lang w:val="zh-CN"/>
        </w:rPr>
        <w:t>药品字典</w:t>
      </w:r>
    </w:p>
    <w:p>
      <w:pPr>
        <w:numPr>
          <w:ilvl w:val="0"/>
          <w:numId w:val="122"/>
        </w:numPr>
        <w:spacing w:line="360" w:lineRule="auto"/>
        <w:jc w:val="both"/>
        <w:rPr>
          <w:rFonts w:ascii="仿宋" w:hAnsi="仿宋" w:eastAsia="仿宋"/>
          <w:sz w:val="24"/>
          <w:szCs w:val="24"/>
          <w:lang w:val="zh-CN"/>
        </w:rPr>
      </w:pPr>
      <w:r>
        <w:rPr>
          <w:rFonts w:ascii="仿宋" w:hAnsi="仿宋" w:eastAsia="仿宋"/>
          <w:sz w:val="24"/>
          <w:szCs w:val="24"/>
          <w:lang w:val="zh-CN"/>
        </w:rPr>
        <w:t></w:t>
      </w:r>
      <w:r>
        <w:rPr>
          <w:rFonts w:ascii="仿宋" w:hAnsi="仿宋" w:eastAsia="仿宋"/>
          <w:sz w:val="24"/>
          <w:szCs w:val="24"/>
          <w:lang w:val="zh-CN"/>
        </w:rPr>
        <w:tab/>
      </w:r>
      <w:r>
        <w:rPr>
          <w:rFonts w:hint="eastAsia" w:ascii="仿宋" w:hAnsi="仿宋" w:eastAsia="仿宋"/>
          <w:sz w:val="24"/>
          <w:szCs w:val="24"/>
          <w:lang w:val="zh-CN"/>
        </w:rPr>
        <w:t>诊疗字典</w:t>
      </w:r>
    </w:p>
    <w:p>
      <w:pPr>
        <w:numPr>
          <w:ilvl w:val="0"/>
          <w:numId w:val="122"/>
        </w:numPr>
        <w:spacing w:line="360" w:lineRule="auto"/>
        <w:jc w:val="both"/>
        <w:rPr>
          <w:rFonts w:ascii="仿宋" w:hAnsi="仿宋" w:eastAsia="仿宋"/>
          <w:sz w:val="24"/>
          <w:szCs w:val="24"/>
          <w:lang w:val="zh-CN"/>
        </w:rPr>
      </w:pPr>
      <w:r>
        <w:rPr>
          <w:rFonts w:ascii="仿宋" w:hAnsi="仿宋" w:eastAsia="仿宋"/>
          <w:sz w:val="24"/>
          <w:szCs w:val="24"/>
          <w:lang w:val="zh-CN"/>
        </w:rPr>
        <w:t></w:t>
      </w:r>
      <w:r>
        <w:rPr>
          <w:rFonts w:ascii="仿宋" w:hAnsi="仿宋" w:eastAsia="仿宋"/>
          <w:sz w:val="24"/>
          <w:szCs w:val="24"/>
          <w:lang w:val="zh-CN"/>
        </w:rPr>
        <w:tab/>
      </w:r>
      <w:r>
        <w:rPr>
          <w:rFonts w:hint="eastAsia" w:ascii="仿宋" w:hAnsi="仿宋" w:eastAsia="仿宋"/>
          <w:sz w:val="24"/>
          <w:szCs w:val="24"/>
          <w:lang w:val="zh-CN"/>
        </w:rPr>
        <w:t>疾病字典</w:t>
      </w:r>
    </w:p>
    <w:p>
      <w:pPr>
        <w:numPr>
          <w:ilvl w:val="0"/>
          <w:numId w:val="122"/>
        </w:numPr>
        <w:spacing w:line="360" w:lineRule="auto"/>
        <w:jc w:val="both"/>
        <w:rPr>
          <w:rFonts w:ascii="仿宋" w:hAnsi="仿宋" w:eastAsia="仿宋"/>
          <w:sz w:val="24"/>
          <w:szCs w:val="24"/>
          <w:lang w:val="zh-CN"/>
        </w:rPr>
      </w:pPr>
      <w:r>
        <w:rPr>
          <w:rFonts w:ascii="仿宋" w:hAnsi="仿宋" w:eastAsia="仿宋"/>
          <w:sz w:val="24"/>
          <w:szCs w:val="24"/>
          <w:lang w:val="zh-CN"/>
        </w:rPr>
        <w:t></w:t>
      </w:r>
      <w:r>
        <w:rPr>
          <w:rFonts w:ascii="仿宋" w:hAnsi="仿宋" w:eastAsia="仿宋"/>
          <w:sz w:val="24"/>
          <w:szCs w:val="24"/>
          <w:lang w:val="zh-CN"/>
        </w:rPr>
        <w:tab/>
      </w:r>
      <w:r>
        <w:rPr>
          <w:rFonts w:hint="eastAsia" w:ascii="仿宋" w:hAnsi="仿宋" w:eastAsia="仿宋"/>
          <w:sz w:val="24"/>
          <w:szCs w:val="24"/>
          <w:lang w:val="zh-CN"/>
        </w:rPr>
        <w:t>卫生材料字典</w:t>
      </w:r>
    </w:p>
    <w:p>
      <w:pPr>
        <w:numPr>
          <w:ilvl w:val="0"/>
          <w:numId w:val="122"/>
        </w:numPr>
        <w:spacing w:line="360" w:lineRule="auto"/>
        <w:jc w:val="both"/>
        <w:rPr>
          <w:rFonts w:ascii="仿宋" w:hAnsi="仿宋" w:eastAsia="仿宋"/>
          <w:sz w:val="24"/>
          <w:szCs w:val="24"/>
          <w:lang w:val="zh-CN"/>
        </w:rPr>
      </w:pPr>
      <w:r>
        <w:rPr>
          <w:rFonts w:ascii="仿宋" w:hAnsi="仿宋" w:eastAsia="仿宋"/>
          <w:sz w:val="24"/>
          <w:szCs w:val="24"/>
          <w:lang w:val="zh-CN"/>
        </w:rPr>
        <w:t></w:t>
      </w:r>
      <w:r>
        <w:rPr>
          <w:rFonts w:ascii="仿宋" w:hAnsi="仿宋" w:eastAsia="仿宋"/>
          <w:sz w:val="24"/>
          <w:szCs w:val="24"/>
          <w:lang w:val="zh-CN"/>
        </w:rPr>
        <w:tab/>
      </w:r>
      <w:r>
        <w:rPr>
          <w:rFonts w:hint="eastAsia" w:ascii="仿宋" w:hAnsi="仿宋" w:eastAsia="仿宋"/>
          <w:sz w:val="24"/>
          <w:szCs w:val="24"/>
          <w:lang w:val="zh-CN"/>
        </w:rPr>
        <w:t>通用字典分类</w:t>
      </w:r>
    </w:p>
    <w:p>
      <w:pPr>
        <w:numPr>
          <w:ilvl w:val="0"/>
          <w:numId w:val="122"/>
        </w:numPr>
        <w:spacing w:line="360" w:lineRule="auto"/>
        <w:jc w:val="both"/>
        <w:rPr>
          <w:rFonts w:ascii="仿宋" w:hAnsi="仿宋" w:eastAsia="仿宋"/>
          <w:sz w:val="24"/>
          <w:szCs w:val="24"/>
          <w:lang w:val="zh-CN"/>
        </w:rPr>
      </w:pPr>
      <w:r>
        <w:rPr>
          <w:rFonts w:ascii="仿宋" w:hAnsi="仿宋" w:eastAsia="仿宋"/>
          <w:sz w:val="24"/>
          <w:szCs w:val="24"/>
          <w:lang w:val="zh-CN"/>
        </w:rPr>
        <w:t></w:t>
      </w:r>
      <w:r>
        <w:rPr>
          <w:rFonts w:ascii="仿宋" w:hAnsi="仿宋" w:eastAsia="仿宋"/>
          <w:sz w:val="24"/>
          <w:szCs w:val="24"/>
          <w:lang w:val="zh-CN"/>
        </w:rPr>
        <w:tab/>
      </w:r>
      <w:r>
        <w:rPr>
          <w:rFonts w:hint="eastAsia" w:ascii="仿宋" w:hAnsi="仿宋" w:eastAsia="仿宋"/>
          <w:sz w:val="24"/>
          <w:szCs w:val="24"/>
          <w:lang w:val="zh-CN"/>
        </w:rPr>
        <w:t>通用字典管理</w:t>
      </w:r>
    </w:p>
    <w:p>
      <w:pPr>
        <w:numPr>
          <w:ilvl w:val="0"/>
          <w:numId w:val="121"/>
        </w:numPr>
        <w:spacing w:line="360" w:lineRule="auto"/>
        <w:jc w:val="both"/>
        <w:rPr>
          <w:rFonts w:ascii="仿宋" w:hAnsi="仿宋" w:eastAsia="仿宋"/>
          <w:sz w:val="24"/>
          <w:szCs w:val="24"/>
          <w:lang w:val="zh-CN"/>
        </w:rPr>
      </w:pPr>
      <w:r>
        <w:rPr>
          <w:rFonts w:hint="eastAsia" w:ascii="仿宋" w:hAnsi="仿宋" w:eastAsia="仿宋"/>
          <w:sz w:val="24"/>
          <w:szCs w:val="24"/>
          <w:lang w:val="zh-CN"/>
        </w:rPr>
        <w:t>扩展属性管理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扩展属性管理指平台级的公共扩展属性管理，实现对平台公共的机构和人员的扩展属性进行配置维护。包含平台统一维护的公共属性和业务域内自己使用的私有属性。</w:t>
      </w:r>
    </w:p>
    <w:p>
      <w:pPr>
        <w:numPr>
          <w:ilvl w:val="0"/>
          <w:numId w:val="121"/>
        </w:numPr>
        <w:spacing w:line="360" w:lineRule="auto"/>
        <w:jc w:val="both"/>
        <w:rPr>
          <w:rFonts w:ascii="仿宋" w:hAnsi="仿宋" w:eastAsia="仿宋"/>
          <w:sz w:val="24"/>
          <w:szCs w:val="24"/>
          <w:lang w:val="zh-CN"/>
        </w:rPr>
      </w:pPr>
      <w:r>
        <w:rPr>
          <w:rFonts w:hint="eastAsia" w:ascii="仿宋" w:hAnsi="仿宋" w:eastAsia="仿宋"/>
          <w:sz w:val="24"/>
          <w:szCs w:val="24"/>
          <w:lang w:val="zh-CN"/>
        </w:rPr>
        <w:t>消息管理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实现各级管理员对管辖范围内的机构发送广播或通知消息。</w:t>
      </w:r>
    </w:p>
    <w:p>
      <w:pPr>
        <w:pStyle w:val="9"/>
        <w:spacing w:line="360" w:lineRule="auto"/>
        <w:rPr>
          <w:sz w:val="24"/>
          <w:szCs w:val="24"/>
          <w:lang w:eastAsia="zh-CN"/>
        </w:rPr>
      </w:pPr>
      <w:r>
        <w:rPr>
          <w:rFonts w:hint="eastAsia"/>
          <w:sz w:val="24"/>
          <w:szCs w:val="24"/>
          <w:lang w:eastAsia="zh-CN"/>
        </w:rPr>
        <w:t>桌面系统</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面向操作人员提供的统一应用入口方式之一，实现平台提供的基本通用功能，包含统一登录、系统消息等。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为各个医疗系统提供集成服务，完成统一认证及鉴权，同时为各应用系统提供统一的数据访问服务，消除各应用系统之间直接交互的耦合性，确保各应用系统在工作流整合的基础上，实现医疗协作，从而以信息化的形式，有序高效地完成各项医疗业务。</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对应用系统统一注册登记，分配唯一识别码。</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 xml:space="preserve">应用的生命周期包含注册、发布、信息变更、注销等。 </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同一个应用同时仅能归属到一个业务场景下，同一应用如需在多个业务场景下使用视为两个独立应用，需要单独注册登记。</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汇集应用提供的服务能力或功能作为资源进行统一登记管理。</w:t>
      </w:r>
    </w:p>
    <w:p>
      <w:pPr>
        <w:pStyle w:val="9"/>
        <w:spacing w:line="360" w:lineRule="auto"/>
        <w:rPr>
          <w:sz w:val="24"/>
          <w:szCs w:val="24"/>
          <w:lang w:eastAsia="zh-CN"/>
        </w:rPr>
      </w:pPr>
      <w:r>
        <w:rPr>
          <w:rFonts w:hint="eastAsia"/>
          <w:sz w:val="24"/>
          <w:szCs w:val="24"/>
          <w:lang w:eastAsia="zh-CN"/>
        </w:rPr>
        <w:t>后台服务</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后台服务为应用和对外的标准接口提供底层实现支撑。</w:t>
      </w:r>
    </w:p>
    <w:p>
      <w:pPr>
        <w:pStyle w:val="9"/>
        <w:spacing w:line="360" w:lineRule="auto"/>
        <w:rPr>
          <w:sz w:val="24"/>
          <w:szCs w:val="24"/>
          <w:lang w:eastAsia="zh-CN"/>
        </w:rPr>
      </w:pPr>
      <w:r>
        <w:rPr>
          <w:rFonts w:hint="eastAsia"/>
          <w:sz w:val="24"/>
          <w:szCs w:val="24"/>
          <w:lang w:eastAsia="zh-CN"/>
        </w:rPr>
        <w:t>扩展服务组件</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提供的可扩展通用基础工具或服务组件，能够被集成平台自身或外部应用依赖使用。</w:t>
      </w:r>
    </w:p>
    <w:p>
      <w:pPr>
        <w:numPr>
          <w:ilvl w:val="0"/>
          <w:numId w:val="123"/>
        </w:numPr>
        <w:spacing w:line="360" w:lineRule="auto"/>
        <w:jc w:val="both"/>
        <w:rPr>
          <w:rFonts w:ascii="仿宋" w:hAnsi="仿宋" w:eastAsia="仿宋"/>
          <w:sz w:val="24"/>
          <w:szCs w:val="24"/>
          <w:lang w:val="zh-CN"/>
        </w:rPr>
      </w:pPr>
      <w:r>
        <w:rPr>
          <w:rFonts w:hint="eastAsia" w:ascii="仿宋" w:hAnsi="仿宋" w:eastAsia="仿宋"/>
          <w:sz w:val="24"/>
          <w:szCs w:val="24"/>
          <w:lang w:val="zh-CN"/>
        </w:rPr>
        <w:t>多方式登录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 xml:space="preserve">用户登录作为使用系统的入口，在不同项目或场景中登录方式需求各不相同，例如最常见的用户名/密码登录、短信动态验证码登录，部分项目还会使用CA等外部安全验证方式登录，微信、支付宝等互联网大厂的账号因普及广、使用频率高，也经常被用作登录系统的一种便捷方式。 </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为了能够适应不同的登录方式要求，系统需要能够支持多种登录方式，并能够灵活配置使用的方式和优先顺序，按照业务方式不同可定义如下登录方式：</w:t>
      </w:r>
    </w:p>
    <w:p>
      <w:pPr>
        <w:numPr>
          <w:ilvl w:val="0"/>
          <w:numId w:val="124"/>
        </w:numPr>
        <w:spacing w:line="360" w:lineRule="auto"/>
        <w:jc w:val="both"/>
        <w:rPr>
          <w:rFonts w:ascii="仿宋" w:hAnsi="仿宋" w:eastAsia="仿宋"/>
          <w:sz w:val="24"/>
          <w:szCs w:val="24"/>
          <w:lang w:val="zh-CN"/>
        </w:rPr>
      </w:pPr>
      <w:r>
        <w:rPr>
          <w:rFonts w:hint="eastAsia" w:ascii="仿宋" w:hAnsi="仿宋" w:eastAsia="仿宋"/>
          <w:sz w:val="24"/>
          <w:szCs w:val="24"/>
          <w:lang w:val="zh-CN"/>
        </w:rPr>
        <w:t>账号登录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指使用系统自有账号和设置的静态登录密码登录，支持使用自有账号的多个唯一属性作为登录名使用，包含且不仅包含用户名、身份证号、手机号、电子邮箱等。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当手机号、电子邮箱作为登录名登录时无需经过真实性验证，只要系统内存在即可使用，区别于短信登录时手机号必须经过真实性验证后方可使用。</w:t>
      </w:r>
    </w:p>
    <w:p>
      <w:pPr>
        <w:numPr>
          <w:ilvl w:val="0"/>
          <w:numId w:val="124"/>
        </w:numPr>
        <w:spacing w:line="360" w:lineRule="auto"/>
        <w:jc w:val="both"/>
        <w:rPr>
          <w:rFonts w:ascii="仿宋" w:hAnsi="仿宋" w:eastAsia="仿宋"/>
          <w:sz w:val="24"/>
          <w:szCs w:val="24"/>
          <w:lang w:val="zh-CN"/>
        </w:rPr>
      </w:pPr>
      <w:r>
        <w:rPr>
          <w:rFonts w:hint="eastAsia" w:ascii="仿宋" w:hAnsi="仿宋" w:eastAsia="仿宋"/>
          <w:sz w:val="24"/>
          <w:szCs w:val="24"/>
          <w:lang w:val="zh-CN"/>
        </w:rPr>
        <w:t>短信登录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指使用系统自有账号中绑定的安全手机号，经过真实性验证的手机号接收短信验证码登录的方式。</w:t>
      </w:r>
    </w:p>
    <w:p>
      <w:pPr>
        <w:numPr>
          <w:ilvl w:val="0"/>
          <w:numId w:val="124"/>
        </w:numPr>
        <w:spacing w:line="360" w:lineRule="auto"/>
        <w:jc w:val="both"/>
        <w:rPr>
          <w:rFonts w:ascii="仿宋" w:hAnsi="仿宋" w:eastAsia="仿宋"/>
          <w:sz w:val="24"/>
          <w:szCs w:val="24"/>
          <w:lang w:val="zh-CN"/>
        </w:rPr>
      </w:pPr>
      <w:r>
        <w:rPr>
          <w:rFonts w:ascii="仿宋" w:hAnsi="仿宋" w:eastAsia="仿宋"/>
          <w:sz w:val="24"/>
          <w:szCs w:val="24"/>
          <w:lang w:val="zh-CN"/>
        </w:rPr>
        <w:t>CA</w:t>
      </w:r>
      <w:r>
        <w:rPr>
          <w:rFonts w:hint="eastAsia" w:ascii="仿宋" w:hAnsi="仿宋" w:eastAsia="仿宋"/>
          <w:sz w:val="24"/>
          <w:szCs w:val="24"/>
          <w:lang w:val="zh-CN"/>
        </w:rPr>
        <w:t>登录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CA登录本质也是一种特殊的第三方账号登录，使用形式以服务提供方的要求为准，可能包含Ukey物理证书、电子证书、客户端扫码等。</w:t>
      </w:r>
    </w:p>
    <w:p>
      <w:pPr>
        <w:numPr>
          <w:ilvl w:val="0"/>
          <w:numId w:val="124"/>
        </w:numPr>
        <w:spacing w:line="360" w:lineRule="auto"/>
        <w:jc w:val="both"/>
        <w:rPr>
          <w:rFonts w:ascii="仿宋" w:hAnsi="仿宋" w:eastAsia="仿宋"/>
          <w:sz w:val="24"/>
          <w:szCs w:val="24"/>
          <w:lang w:val="zh-CN"/>
        </w:rPr>
      </w:pPr>
      <w:r>
        <w:rPr>
          <w:rFonts w:hint="eastAsia" w:ascii="仿宋" w:hAnsi="仿宋" w:eastAsia="仿宋"/>
          <w:sz w:val="24"/>
          <w:szCs w:val="24"/>
          <w:lang w:val="zh-CN"/>
        </w:rPr>
        <w:t>第三方账号登录</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第三方账号指使用外部应用的用户身份登录，按照对登录用户信息的要求，可能需要提前绑定方能使用。常用的第三方账号有微信、支付宝、电子健康卡，有些地方建设有用户统一认证服务，在不做用户同步的情况下直接使用统一认证的用户信息登录系统也视为一种第三方账号登录。第三方账号使用时往往需要先跳转到第三方的系统中，认证通过后再重定向回待登录系统。</w:t>
      </w:r>
    </w:p>
    <w:p>
      <w:pPr>
        <w:numPr>
          <w:ilvl w:val="0"/>
          <w:numId w:val="123"/>
        </w:numPr>
        <w:spacing w:line="360" w:lineRule="auto"/>
        <w:jc w:val="both"/>
        <w:rPr>
          <w:rFonts w:ascii="仿宋" w:hAnsi="仿宋" w:eastAsia="仿宋"/>
          <w:sz w:val="24"/>
          <w:szCs w:val="24"/>
          <w:lang w:val="zh-CN"/>
        </w:rPr>
      </w:pPr>
      <w:r>
        <w:rPr>
          <w:rFonts w:hint="eastAsia" w:ascii="仿宋" w:hAnsi="仿宋" w:eastAsia="仿宋"/>
          <w:sz w:val="24"/>
          <w:szCs w:val="24"/>
          <w:lang w:val="zh-CN"/>
        </w:rPr>
        <w:t>登录双因素验证</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 xml:space="preserve">双因素（双因子）认证是账号认证过程中，采用两种要素验证登录凭证的一种安全机制。等保相关标准中有对双因素验证的明确要求，为了提升系统安全性或满足等保安全测试要求，系统应提供双因素验证功能。 </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至少需支持如下几种双因素组合：</w:t>
      </w:r>
    </w:p>
    <w:p>
      <w:pPr>
        <w:spacing w:line="360" w:lineRule="auto"/>
        <w:ind w:firstLine="480"/>
        <w:rPr>
          <w:rFonts w:ascii="仿宋" w:hAnsi="仿宋" w:eastAsia="仿宋"/>
          <w:sz w:val="24"/>
          <w:szCs w:val="24"/>
          <w:lang w:val="zh-CN" w:eastAsia="zh-CN"/>
        </w:rPr>
      </w:pPr>
      <w:r>
        <w:rPr>
          <w:rFonts w:ascii="仿宋" w:hAnsi="仿宋" w:eastAsia="仿宋"/>
          <w:sz w:val="24"/>
          <w:szCs w:val="24"/>
          <w:lang w:val="zh-CN" w:eastAsia="zh-CN"/>
        </w:rPr>
        <w:tab/>
      </w:r>
      <w:r>
        <w:rPr>
          <w:rFonts w:hint="eastAsia" w:ascii="仿宋" w:hAnsi="仿宋" w:eastAsia="仿宋"/>
          <w:sz w:val="24"/>
          <w:szCs w:val="24"/>
          <w:lang w:val="zh-CN" w:eastAsia="zh-CN"/>
        </w:rPr>
        <w:t>账号登录</w:t>
      </w:r>
      <w:r>
        <w:rPr>
          <w:rFonts w:ascii="仿宋" w:hAnsi="仿宋" w:eastAsia="仿宋"/>
          <w:sz w:val="24"/>
          <w:szCs w:val="24"/>
          <w:lang w:val="zh-CN" w:eastAsia="zh-CN"/>
        </w:rPr>
        <w:t>+</w:t>
      </w:r>
      <w:r>
        <w:rPr>
          <w:rFonts w:hint="eastAsia" w:ascii="仿宋" w:hAnsi="仿宋" w:eastAsia="仿宋"/>
          <w:sz w:val="24"/>
          <w:szCs w:val="24"/>
          <w:lang w:val="zh-CN" w:eastAsia="zh-CN"/>
        </w:rPr>
        <w:t>安全手机验证</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账号密码</w:t>
      </w:r>
      <w:r>
        <w:rPr>
          <w:rFonts w:ascii="仿宋" w:hAnsi="仿宋" w:eastAsia="仿宋"/>
          <w:sz w:val="24"/>
          <w:szCs w:val="24"/>
          <w:lang w:val="zh-CN" w:eastAsia="zh-CN"/>
        </w:rPr>
        <w:t>+数字证书</w:t>
      </w:r>
    </w:p>
    <w:p>
      <w:pPr>
        <w:numPr>
          <w:ilvl w:val="0"/>
          <w:numId w:val="123"/>
        </w:numPr>
        <w:spacing w:line="360" w:lineRule="auto"/>
        <w:jc w:val="both"/>
        <w:rPr>
          <w:rFonts w:ascii="仿宋" w:hAnsi="仿宋" w:eastAsia="仿宋"/>
          <w:sz w:val="24"/>
          <w:szCs w:val="24"/>
          <w:lang w:val="zh-CN"/>
        </w:rPr>
      </w:pPr>
      <w:r>
        <w:rPr>
          <w:rFonts w:hint="eastAsia" w:ascii="仿宋" w:hAnsi="仿宋" w:eastAsia="仿宋"/>
          <w:sz w:val="24"/>
          <w:szCs w:val="24"/>
          <w:lang w:val="zh-CN"/>
        </w:rPr>
        <w:t>短消息组件</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系统中多处用到短信发送、短信验证，并且在不同的项目上可能使用的短信平台不同。应提供给一个短消息功能组件，用于向系统内其它功能模块提供低耦合的短信发送和验证服务，并且可适配或扩展多个短信平台。</w:t>
      </w:r>
    </w:p>
    <w:p>
      <w:pPr>
        <w:numPr>
          <w:ilvl w:val="0"/>
          <w:numId w:val="123"/>
        </w:numPr>
        <w:spacing w:line="360" w:lineRule="auto"/>
        <w:jc w:val="both"/>
        <w:rPr>
          <w:rFonts w:ascii="仿宋" w:hAnsi="仿宋" w:eastAsia="仿宋"/>
          <w:sz w:val="24"/>
          <w:szCs w:val="24"/>
          <w:lang w:val="zh-CN"/>
        </w:rPr>
      </w:pPr>
      <w:r>
        <w:rPr>
          <w:rFonts w:hint="eastAsia" w:ascii="仿宋" w:hAnsi="仿宋" w:eastAsia="仿宋"/>
          <w:sz w:val="24"/>
          <w:szCs w:val="24"/>
          <w:lang w:val="zh-CN"/>
        </w:rPr>
        <w:t>密码安全策略</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当前在各个项目中对安全要求越来越高，按照三级等保要求和以往项目中对密码安全的要求梳理，新系统在密码安全需满足密码复杂度要求、弱密码使用限制、密码有效期限制、初始密码使用限制、登录错误锁定机制等密码应用安全策略。</w:t>
      </w:r>
    </w:p>
    <w:p>
      <w:pPr>
        <w:numPr>
          <w:ilvl w:val="0"/>
          <w:numId w:val="123"/>
        </w:numPr>
        <w:spacing w:line="360" w:lineRule="auto"/>
        <w:jc w:val="both"/>
        <w:rPr>
          <w:rFonts w:ascii="仿宋" w:hAnsi="仿宋" w:eastAsia="仿宋"/>
          <w:sz w:val="24"/>
          <w:szCs w:val="24"/>
          <w:lang w:val="zh-CN"/>
        </w:rPr>
      </w:pPr>
      <w:r>
        <w:rPr>
          <w:rFonts w:hint="eastAsia" w:ascii="仿宋" w:hAnsi="仿宋" w:eastAsia="仿宋"/>
          <w:sz w:val="24"/>
          <w:szCs w:val="24"/>
          <w:lang w:val="zh-CN"/>
        </w:rPr>
        <w:t>自助找回密码</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用户在自助注册或登录后到个人中心中可绑定安全手机、安全邮箱，设置密保问题等方式提升账号安全。通过上述设置后如遇到密码丢失可使用自助找回功能进行密码重设。</w:t>
      </w:r>
    </w:p>
    <w:p>
      <w:pPr>
        <w:numPr>
          <w:ilvl w:val="0"/>
          <w:numId w:val="123"/>
        </w:numPr>
        <w:spacing w:line="360" w:lineRule="auto"/>
        <w:jc w:val="both"/>
        <w:rPr>
          <w:rFonts w:ascii="仿宋" w:hAnsi="仿宋" w:eastAsia="仿宋"/>
          <w:sz w:val="24"/>
          <w:szCs w:val="24"/>
          <w:lang w:val="zh-CN"/>
        </w:rPr>
      </w:pPr>
      <w:r>
        <w:rPr>
          <w:rFonts w:hint="eastAsia" w:ascii="仿宋" w:hAnsi="仿宋" w:eastAsia="仿宋"/>
          <w:sz w:val="24"/>
          <w:szCs w:val="24"/>
          <w:lang w:val="zh-CN"/>
        </w:rPr>
        <w:t>个人中心</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个人中心是向登录用户提供用于维护个人可变信息、修改密码、账号安全信息维护等自助操作的功能，有助于减少管理人员和运维人员的维护工作量。</w:t>
      </w:r>
    </w:p>
    <w:p>
      <w:pPr>
        <w:numPr>
          <w:ilvl w:val="0"/>
          <w:numId w:val="123"/>
        </w:numPr>
        <w:spacing w:line="360" w:lineRule="auto"/>
        <w:jc w:val="both"/>
        <w:rPr>
          <w:rFonts w:ascii="仿宋" w:hAnsi="仿宋" w:eastAsia="仿宋"/>
          <w:sz w:val="24"/>
          <w:szCs w:val="24"/>
          <w:lang w:val="zh-CN"/>
        </w:rPr>
      </w:pPr>
      <w:r>
        <w:rPr>
          <w:rFonts w:hint="eastAsia" w:ascii="仿宋" w:hAnsi="仿宋" w:eastAsia="仿宋"/>
          <w:sz w:val="24"/>
          <w:szCs w:val="24"/>
          <w:lang w:val="zh-CN"/>
        </w:rPr>
        <w:t>关键信息受控规则管理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对于机构、人员等基础数据，为了保障数据的统一性和严谨性，部分关键信息需进行控制，谁可以修改谁不可以修改、谁可见谁不可见在不同的应用中略有差异。例如机构的名称和编码是全系统中定位一个机构的关键信息，一旦发生变更可能导致多个关联信息失效，但不排除确实出现了错误需要修正的情况。此类信息即为受控信息，仅限指定人（例如运维管理员）可处理，其他业务人员或普通管理员不可编辑；还有一些信息是在特定场景下不可修改，例如人员的姓名和身份证号，在没有通过实名认证前应可自由编辑，通过实名认证后应不可随意修改。</w:t>
      </w:r>
    </w:p>
    <w:p>
      <w:pPr>
        <w:pStyle w:val="9"/>
        <w:spacing w:line="360" w:lineRule="auto"/>
        <w:rPr>
          <w:sz w:val="24"/>
          <w:szCs w:val="24"/>
        </w:rPr>
      </w:pPr>
      <w:r>
        <w:rPr>
          <w:rFonts w:hint="eastAsia"/>
          <w:sz w:val="24"/>
          <w:szCs w:val="24"/>
        </w:rPr>
        <w:t>接口管理</w:t>
      </w:r>
    </w:p>
    <w:p>
      <w:pPr>
        <w:numPr>
          <w:ilvl w:val="2"/>
          <w:numId w:val="125"/>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数据接口技术</w:t>
      </w:r>
    </w:p>
    <w:p>
      <w:pPr>
        <w:spacing w:line="360" w:lineRule="auto"/>
        <w:ind w:firstLine="480"/>
        <w:rPr>
          <w:rFonts w:ascii="仿宋" w:hAnsi="仿宋" w:eastAsia="仿宋"/>
          <w:sz w:val="24"/>
          <w:szCs w:val="24"/>
          <w:lang w:val="zh-CN"/>
        </w:rPr>
      </w:pPr>
      <w:r>
        <w:rPr>
          <w:rFonts w:hint="eastAsia" w:ascii="仿宋" w:hAnsi="仿宋" w:eastAsia="仿宋"/>
          <w:sz w:val="24"/>
          <w:szCs w:val="24"/>
          <w:lang w:val="zh-CN"/>
        </w:rPr>
        <w:t>Web Service是目前比较流行的一种数据交换，远程控制方式，此方式基于Http，可以跨越一般的防火墙，而且由于是国际标准，所以在很多开发平台下都有对Web Service的支持。</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利用Http也可以实现数据的导入和导出，基本原理类似于Web Service的方式，只不过Http的这种方式是自己的定义的，客户端如果要实用这个接口的话需要根据实际的开发环境做一些配合工作。</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XML是常用的标准接口形式，可以很容易的以XML格式进行数据传输。</w:t>
      </w:r>
    </w:p>
    <w:p>
      <w:pPr>
        <w:numPr>
          <w:ilvl w:val="2"/>
          <w:numId w:val="125"/>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eastAsia="zh-CN"/>
        </w:rPr>
        <w:tab/>
      </w:r>
      <w:r>
        <w:rPr>
          <w:rFonts w:hint="eastAsia" w:ascii="仿宋" w:hAnsi="仿宋" w:eastAsia="仿宋"/>
          <w:sz w:val="24"/>
          <w:szCs w:val="24"/>
          <w:lang w:val="zh-CN"/>
        </w:rPr>
        <w:t>数据交换接口</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数据交换接口主要为使用者与应用系统、应用与应用之间的数据传递、转换提供规范。</w:t>
      </w:r>
    </w:p>
    <w:p>
      <w:pPr>
        <w:numPr>
          <w:ilvl w:val="0"/>
          <w:numId w:val="126"/>
        </w:numPr>
        <w:spacing w:line="360" w:lineRule="auto"/>
        <w:jc w:val="both"/>
        <w:rPr>
          <w:rFonts w:ascii="仿宋" w:hAnsi="仿宋" w:eastAsia="仿宋"/>
          <w:sz w:val="24"/>
          <w:szCs w:val="24"/>
          <w:lang w:val="zh-CN"/>
        </w:rPr>
      </w:pPr>
      <w:r>
        <w:rPr>
          <w:rFonts w:hint="eastAsia" w:ascii="仿宋" w:hAnsi="仿宋" w:eastAsia="仿宋"/>
          <w:sz w:val="24"/>
          <w:szCs w:val="24"/>
          <w:lang w:val="zh-CN"/>
        </w:rPr>
        <w:t>数据交换接口</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采用标准的接口，实现对于系统间的数据交换和信息共享。</w:t>
      </w:r>
    </w:p>
    <w:p>
      <w:pPr>
        <w:numPr>
          <w:ilvl w:val="0"/>
          <w:numId w:val="126"/>
        </w:numPr>
        <w:spacing w:line="360" w:lineRule="auto"/>
        <w:jc w:val="both"/>
        <w:rPr>
          <w:rFonts w:ascii="仿宋" w:hAnsi="仿宋" w:eastAsia="仿宋"/>
          <w:sz w:val="24"/>
          <w:szCs w:val="24"/>
          <w:lang w:val="zh-CN"/>
        </w:rPr>
      </w:pPr>
      <w:r>
        <w:rPr>
          <w:rFonts w:hint="eastAsia" w:ascii="仿宋" w:hAnsi="仿宋" w:eastAsia="仿宋"/>
          <w:sz w:val="24"/>
          <w:szCs w:val="24"/>
          <w:lang w:val="zh-CN"/>
        </w:rPr>
        <w:t>数据库访问接口</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rPr>
        <w:t>采用基于J2EE平台的JDBC的接口。</w:t>
      </w:r>
      <w:r>
        <w:rPr>
          <w:rFonts w:hint="eastAsia" w:ascii="仿宋" w:hAnsi="仿宋" w:eastAsia="仿宋"/>
          <w:sz w:val="24"/>
          <w:szCs w:val="24"/>
          <w:lang w:val="zh-CN" w:eastAsia="zh-CN"/>
        </w:rPr>
        <w:t>数据库访问接口主要用于用户和应用系统对各种不同类型数据库的访问。</w:t>
      </w:r>
    </w:p>
    <w:p>
      <w:pPr>
        <w:numPr>
          <w:ilvl w:val="0"/>
          <w:numId w:val="126"/>
        </w:numPr>
        <w:spacing w:line="360" w:lineRule="auto"/>
        <w:jc w:val="both"/>
        <w:rPr>
          <w:rFonts w:ascii="仿宋" w:hAnsi="仿宋" w:eastAsia="仿宋"/>
          <w:sz w:val="24"/>
          <w:szCs w:val="24"/>
          <w:lang w:val="zh-CN"/>
        </w:rPr>
      </w:pPr>
      <w:r>
        <w:rPr>
          <w:rFonts w:hint="eastAsia" w:ascii="仿宋" w:hAnsi="仿宋" w:eastAsia="仿宋"/>
          <w:sz w:val="24"/>
          <w:szCs w:val="24"/>
          <w:lang w:val="zh-CN"/>
        </w:rPr>
        <w:t>网络通信接口</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主要采用基于TCP/IP协议的各种网络接口。网络通信接口主要为用户与系统、应用间的通信提供服务规范。</w:t>
      </w:r>
    </w:p>
    <w:p>
      <w:pPr>
        <w:numPr>
          <w:ilvl w:val="2"/>
          <w:numId w:val="125"/>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应用模块接口</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应用模块接口主要为使用者与应用系统、应用与应用之间的通信、调用及连接提供规范。</w:t>
      </w:r>
    </w:p>
    <w:p>
      <w:pPr>
        <w:numPr>
          <w:ilvl w:val="0"/>
          <w:numId w:val="127"/>
        </w:numPr>
        <w:spacing w:line="360" w:lineRule="auto"/>
        <w:jc w:val="both"/>
        <w:rPr>
          <w:rFonts w:ascii="仿宋" w:hAnsi="仿宋" w:eastAsia="仿宋"/>
          <w:sz w:val="24"/>
          <w:szCs w:val="24"/>
          <w:lang w:val="zh-CN"/>
        </w:rPr>
      </w:pPr>
      <w:r>
        <w:rPr>
          <w:rFonts w:hint="eastAsia" w:ascii="仿宋" w:hAnsi="仿宋" w:eastAsia="仿宋"/>
          <w:sz w:val="24"/>
          <w:szCs w:val="24"/>
          <w:lang w:val="zh-CN"/>
        </w:rPr>
        <w:t>应用层接口</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主要采用XML、Web服务、HTTP和模块专用API等接口实现方式。</w:t>
      </w:r>
    </w:p>
    <w:p>
      <w:pPr>
        <w:numPr>
          <w:ilvl w:val="0"/>
          <w:numId w:val="127"/>
        </w:numPr>
        <w:spacing w:line="360" w:lineRule="auto"/>
        <w:jc w:val="both"/>
        <w:rPr>
          <w:rFonts w:ascii="仿宋" w:hAnsi="仿宋" w:eastAsia="仿宋"/>
          <w:sz w:val="24"/>
          <w:szCs w:val="24"/>
          <w:lang w:val="zh-CN"/>
        </w:rPr>
      </w:pPr>
      <w:r>
        <w:rPr>
          <w:rFonts w:hint="eastAsia" w:ascii="仿宋" w:hAnsi="仿宋" w:eastAsia="仿宋"/>
          <w:sz w:val="24"/>
          <w:szCs w:val="24"/>
          <w:lang w:val="zh-CN"/>
        </w:rPr>
        <w:t>网络通信接口</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主要采用基于TCP/IP协议的各种网络接口。网络通信接口主要为平台与外部应用、应用模块间的通信提供服务规范。</w:t>
      </w:r>
    </w:p>
    <w:p>
      <w:pPr>
        <w:numPr>
          <w:ilvl w:val="2"/>
          <w:numId w:val="125"/>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服务接口</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服务接口主要是指为使用者和应用系统访问、使用被封装的组件服务和系统支撑平台提供的服务而提供的规范。</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服务接口更多的取决于平台和组件所能提供的服务，例如：系统目录服务、安全服务、身份认证服务以及组件所提供的服务。</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一个服务包括接口和接口实现。接口定义了消费者和提供者之间的程序性的访问约定。一个服务接口必须含有该服务的身份、该服务的输入和输出数据的细节以及与该服务的功能和目标有关的元数据。该服务实现含有该服务的功能性的或业务性的逻辑。该实现对服务消费者来说应该是一个“黑箱”；消费者无需了解服务的功能实现。</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采用这样的系统架构，“接口”的概念对于成功的设计非常关键。在这里，接口主要包括如下几类：</w:t>
      </w:r>
    </w:p>
    <w:p>
      <w:pPr>
        <w:numPr>
          <w:ilvl w:val="0"/>
          <w:numId w:val="128"/>
        </w:numPr>
        <w:spacing w:line="360" w:lineRule="auto"/>
        <w:jc w:val="both"/>
        <w:rPr>
          <w:rFonts w:ascii="仿宋" w:hAnsi="仿宋" w:eastAsia="仿宋"/>
          <w:sz w:val="24"/>
          <w:szCs w:val="24"/>
          <w:lang w:val="zh-CN"/>
        </w:rPr>
      </w:pPr>
      <w:r>
        <w:rPr>
          <w:rFonts w:hint="eastAsia" w:ascii="仿宋" w:hAnsi="仿宋" w:eastAsia="仿宋"/>
          <w:sz w:val="24"/>
          <w:szCs w:val="24"/>
          <w:lang w:val="zh-CN"/>
        </w:rPr>
        <w:t>接口</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定义一组公共方法签名，它按照逻辑分组但是没有提供实现。接口定义服务的请求者和提供者之间的契约。接口的任何实现都必须提供所有的方法。</w:t>
      </w:r>
    </w:p>
    <w:p>
      <w:pPr>
        <w:numPr>
          <w:ilvl w:val="0"/>
          <w:numId w:val="128"/>
        </w:numPr>
        <w:spacing w:line="360" w:lineRule="auto"/>
        <w:jc w:val="both"/>
        <w:rPr>
          <w:rFonts w:ascii="仿宋" w:hAnsi="仿宋" w:eastAsia="仿宋"/>
          <w:sz w:val="24"/>
          <w:szCs w:val="24"/>
          <w:lang w:val="zh-CN"/>
        </w:rPr>
      </w:pPr>
      <w:r>
        <w:rPr>
          <w:rFonts w:hint="eastAsia" w:ascii="仿宋" w:hAnsi="仿宋" w:eastAsia="仿宋"/>
          <w:sz w:val="24"/>
          <w:szCs w:val="24"/>
          <w:lang w:val="zh-CN"/>
        </w:rPr>
        <w:t>已发布接口</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一种可唯一识别和可访问的接口，客户端可以通过注册中心来发现它。</w:t>
      </w:r>
    </w:p>
    <w:p>
      <w:pPr>
        <w:numPr>
          <w:ilvl w:val="0"/>
          <w:numId w:val="128"/>
        </w:numPr>
        <w:spacing w:line="360" w:lineRule="auto"/>
        <w:jc w:val="both"/>
        <w:rPr>
          <w:rFonts w:ascii="仿宋" w:hAnsi="仿宋" w:eastAsia="仿宋"/>
          <w:sz w:val="24"/>
          <w:szCs w:val="24"/>
          <w:lang w:val="zh-CN"/>
        </w:rPr>
      </w:pPr>
      <w:r>
        <w:rPr>
          <w:rFonts w:hint="eastAsia" w:ascii="仿宋" w:hAnsi="仿宋" w:eastAsia="仿宋"/>
          <w:sz w:val="24"/>
          <w:szCs w:val="24"/>
          <w:lang w:val="zh-CN"/>
        </w:rPr>
        <w:t>公共接口</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一种可访问的接口，可供客户端使用，但是它没有发布，因而需要关于客户端部分的静态知识。</w:t>
      </w:r>
    </w:p>
    <w:p>
      <w:pPr>
        <w:numPr>
          <w:ilvl w:val="0"/>
          <w:numId w:val="128"/>
        </w:numPr>
        <w:spacing w:line="360" w:lineRule="auto"/>
        <w:jc w:val="both"/>
        <w:rPr>
          <w:rFonts w:ascii="仿宋" w:hAnsi="仿宋" w:eastAsia="仿宋"/>
          <w:sz w:val="24"/>
          <w:szCs w:val="24"/>
          <w:lang w:val="zh-CN"/>
        </w:rPr>
      </w:pPr>
      <w:r>
        <w:rPr>
          <w:rFonts w:hint="eastAsia" w:ascii="仿宋" w:hAnsi="仿宋" w:eastAsia="仿宋"/>
          <w:sz w:val="24"/>
          <w:szCs w:val="24"/>
          <w:lang w:val="zh-CN"/>
        </w:rPr>
        <w:t>双接口</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通常是成对开发的接口，这样，一个接口就依赖于另一个接口；例如，客户端必须实现一个接口来调用请求者，因为该客户端接口提供了某些回调机制。</w:t>
      </w:r>
    </w:p>
    <w:p>
      <w:pPr>
        <w:numPr>
          <w:ilvl w:val="2"/>
          <w:numId w:val="125"/>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国家新医保接口管理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系统支持如下医保接口功能：</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1）医保结算</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支持通过自定义配置各类医保的接口，实现配置式医保连接</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上传门诊挂号信息、门诊处方详细信息、门诊诊疗详细信息、门诊个人帐户、支付明细等信息</w:t>
      </w:r>
    </w:p>
    <w:p>
      <w:pPr>
        <w:spacing w:line="360" w:lineRule="auto"/>
        <w:ind w:firstLine="480"/>
        <w:rPr>
          <w:rFonts w:ascii="仿宋" w:hAnsi="仿宋" w:eastAsia="仿宋"/>
          <w:sz w:val="24"/>
          <w:szCs w:val="24"/>
          <w:lang w:val="zh-CN" w:eastAsia="zh-CN"/>
        </w:rPr>
      </w:pPr>
      <w:r>
        <w:rPr>
          <w:rFonts w:ascii="仿宋" w:hAnsi="仿宋" w:eastAsia="仿宋"/>
          <w:sz w:val="24"/>
          <w:szCs w:val="24"/>
          <w:lang w:val="zh-CN" w:eastAsia="zh-CN"/>
        </w:rPr>
        <w:tab/>
      </w:r>
      <w:r>
        <w:rPr>
          <w:rFonts w:hint="eastAsia" w:ascii="仿宋" w:hAnsi="仿宋" w:eastAsia="仿宋"/>
          <w:sz w:val="24"/>
          <w:szCs w:val="24"/>
          <w:lang w:val="zh-CN" w:eastAsia="zh-CN"/>
        </w:rPr>
        <w:t>上传住院医嘱、住院首页信息、住院个人帐户支付明细、基金支付明细、现金支付明细等信息</w:t>
      </w:r>
    </w:p>
    <w:p>
      <w:pPr>
        <w:spacing w:line="360" w:lineRule="auto"/>
        <w:ind w:firstLine="480"/>
        <w:rPr>
          <w:rFonts w:ascii="仿宋" w:hAnsi="仿宋" w:eastAsia="仿宋"/>
          <w:sz w:val="24"/>
          <w:szCs w:val="24"/>
          <w:lang w:val="zh-CN" w:eastAsia="zh-CN"/>
        </w:rPr>
      </w:pPr>
      <w:r>
        <w:rPr>
          <w:rFonts w:ascii="仿宋" w:hAnsi="仿宋" w:eastAsia="仿宋"/>
          <w:sz w:val="24"/>
          <w:szCs w:val="24"/>
          <w:lang w:val="zh-CN" w:eastAsia="zh-CN"/>
        </w:rPr>
        <w:tab/>
      </w:r>
      <w:r>
        <w:rPr>
          <w:rFonts w:hint="eastAsia" w:ascii="仿宋" w:hAnsi="仿宋" w:eastAsia="仿宋"/>
          <w:sz w:val="24"/>
          <w:szCs w:val="24"/>
          <w:lang w:val="zh-CN" w:eastAsia="zh-CN"/>
        </w:rPr>
        <w:t>上传退费信息：包括本次退费信息，原费用信息、退费金额等信息</w:t>
      </w:r>
    </w:p>
    <w:p>
      <w:pPr>
        <w:spacing w:line="360" w:lineRule="auto"/>
        <w:ind w:firstLine="480"/>
        <w:rPr>
          <w:rFonts w:ascii="仿宋" w:hAnsi="仿宋" w:eastAsia="仿宋"/>
          <w:sz w:val="24"/>
          <w:szCs w:val="24"/>
          <w:lang w:val="zh-CN" w:eastAsia="zh-CN"/>
        </w:rPr>
      </w:pPr>
      <w:r>
        <w:rPr>
          <w:rFonts w:ascii="仿宋" w:hAnsi="仿宋" w:eastAsia="仿宋"/>
          <w:sz w:val="24"/>
          <w:szCs w:val="24"/>
          <w:lang w:val="zh-CN" w:eastAsia="zh-CN"/>
        </w:rPr>
        <w:tab/>
      </w:r>
      <w:r>
        <w:rPr>
          <w:rFonts w:hint="eastAsia" w:ascii="仿宋" w:hAnsi="仿宋" w:eastAsia="仿宋"/>
          <w:sz w:val="24"/>
          <w:szCs w:val="24"/>
          <w:lang w:val="zh-CN" w:eastAsia="zh-CN"/>
        </w:rPr>
        <w:t>上传结算汇总信息：按医疗保险政策规定的分类标准进行分类汇总</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根据下载的政策参数、政策审核函数对医保患者进行身份确认，医保待遇资格判断</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对医疗费用进行费用划分，个人帐户支付、基金支付、现金支付确认，扣减个人帐户，打印结算单据；支持通过一卡通、银行卡、支付宝等方式直接进行医保报销后的医疗费用的结算</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按医疗保险指定格式完成对上述信息的上传</w:t>
      </w:r>
    </w:p>
    <w:p>
      <w:pPr>
        <w:spacing w:line="360" w:lineRule="auto"/>
        <w:ind w:firstLine="480"/>
        <w:rPr>
          <w:rFonts w:ascii="仿宋" w:hAnsi="仿宋" w:eastAsia="仿宋"/>
          <w:sz w:val="24"/>
          <w:szCs w:val="24"/>
          <w:lang w:val="zh-CN" w:eastAsia="zh-CN"/>
        </w:rPr>
      </w:pPr>
      <w:r>
        <w:rPr>
          <w:rFonts w:ascii="仿宋" w:hAnsi="仿宋" w:eastAsia="仿宋"/>
          <w:sz w:val="24"/>
          <w:szCs w:val="24"/>
          <w:lang w:val="zh-CN" w:eastAsia="zh-CN"/>
        </w:rPr>
        <w:tab/>
      </w:r>
      <w:r>
        <w:rPr>
          <w:rFonts w:hint="eastAsia" w:ascii="仿宋" w:hAnsi="仿宋" w:eastAsia="仿宋"/>
          <w:sz w:val="24"/>
          <w:szCs w:val="24"/>
          <w:lang w:val="zh-CN" w:eastAsia="zh-CN"/>
        </w:rPr>
        <w:t>实现与省医保异地就医、市医保异地就医、医保等医保系统的接口对接。</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支持各类医保在线备案审批业务。</w:t>
      </w:r>
    </w:p>
    <w:p>
      <w:pPr>
        <w:spacing w:line="360" w:lineRule="auto"/>
        <w:ind w:firstLine="480"/>
        <w:rPr>
          <w:rFonts w:ascii="仿宋" w:hAnsi="仿宋" w:eastAsia="仿宋"/>
          <w:sz w:val="24"/>
          <w:szCs w:val="24"/>
          <w:lang w:val="zh-CN" w:eastAsia="zh-CN"/>
        </w:rPr>
      </w:pPr>
      <w:r>
        <w:rPr>
          <w:rFonts w:ascii="仿宋" w:hAnsi="仿宋" w:eastAsia="仿宋"/>
          <w:sz w:val="24"/>
          <w:szCs w:val="24"/>
          <w:lang w:val="zh-CN" w:eastAsia="zh-CN"/>
        </w:rPr>
        <w:tab/>
      </w:r>
      <w:r>
        <w:rPr>
          <w:rFonts w:hint="eastAsia" w:ascii="仿宋" w:hAnsi="仿宋" w:eastAsia="仿宋"/>
          <w:sz w:val="24"/>
          <w:szCs w:val="24"/>
          <w:lang w:val="zh-CN" w:eastAsia="zh-CN"/>
        </w:rPr>
        <w:t>医保名单管理；</w:t>
      </w:r>
    </w:p>
    <w:p>
      <w:pPr>
        <w:spacing w:line="360" w:lineRule="auto"/>
        <w:ind w:firstLine="480"/>
        <w:rPr>
          <w:rFonts w:ascii="仿宋" w:hAnsi="仿宋" w:eastAsia="仿宋"/>
          <w:sz w:val="24"/>
          <w:szCs w:val="24"/>
          <w:lang w:val="zh-CN" w:eastAsia="zh-CN"/>
        </w:rPr>
      </w:pPr>
      <w:r>
        <w:rPr>
          <w:rFonts w:ascii="仿宋" w:hAnsi="仿宋" w:eastAsia="仿宋"/>
          <w:sz w:val="24"/>
          <w:szCs w:val="24"/>
          <w:lang w:val="zh-CN" w:eastAsia="zh-CN"/>
        </w:rPr>
        <w:tab/>
      </w:r>
      <w:r>
        <w:rPr>
          <w:rFonts w:hint="eastAsia" w:ascii="仿宋" w:hAnsi="仿宋" w:eastAsia="仿宋"/>
          <w:sz w:val="24"/>
          <w:szCs w:val="24"/>
          <w:lang w:val="zh-CN" w:eastAsia="zh-CN"/>
        </w:rPr>
        <w:t>医保特殊患者登记；</w:t>
      </w:r>
    </w:p>
    <w:p>
      <w:pPr>
        <w:spacing w:line="360" w:lineRule="auto"/>
        <w:ind w:firstLine="480"/>
        <w:rPr>
          <w:rFonts w:ascii="仿宋" w:hAnsi="仿宋" w:eastAsia="仿宋"/>
          <w:sz w:val="24"/>
          <w:szCs w:val="24"/>
          <w:lang w:val="zh-CN" w:eastAsia="zh-CN"/>
        </w:rPr>
      </w:pPr>
      <w:r>
        <w:rPr>
          <w:rFonts w:ascii="仿宋" w:hAnsi="仿宋" w:eastAsia="仿宋"/>
          <w:sz w:val="24"/>
          <w:szCs w:val="24"/>
          <w:lang w:val="zh-CN" w:eastAsia="zh-CN"/>
        </w:rPr>
        <w:tab/>
      </w:r>
      <w:r>
        <w:rPr>
          <w:rFonts w:hint="eastAsia" w:ascii="仿宋" w:hAnsi="仿宋" w:eastAsia="仿宋"/>
          <w:sz w:val="24"/>
          <w:szCs w:val="24"/>
          <w:lang w:val="zh-CN" w:eastAsia="zh-CN"/>
        </w:rPr>
        <w:t>医保转诊；</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2）医保对照</w:t>
      </w:r>
    </w:p>
    <w:p>
      <w:pPr>
        <w:spacing w:line="360" w:lineRule="auto"/>
        <w:ind w:firstLine="480"/>
        <w:rPr>
          <w:rFonts w:ascii="仿宋" w:hAnsi="仿宋" w:eastAsia="仿宋"/>
          <w:sz w:val="24"/>
          <w:szCs w:val="24"/>
          <w:lang w:val="zh-CN" w:eastAsia="zh-CN"/>
        </w:rPr>
      </w:pPr>
      <w:r>
        <w:rPr>
          <w:rFonts w:ascii="仿宋" w:hAnsi="仿宋" w:eastAsia="仿宋"/>
          <w:sz w:val="24"/>
          <w:szCs w:val="24"/>
          <w:lang w:val="zh-CN" w:eastAsia="zh-CN"/>
        </w:rPr>
        <w:tab/>
      </w:r>
      <w:r>
        <w:rPr>
          <w:rFonts w:hint="eastAsia" w:ascii="仿宋" w:hAnsi="仿宋" w:eastAsia="仿宋"/>
          <w:sz w:val="24"/>
          <w:szCs w:val="24"/>
          <w:lang w:val="zh-CN" w:eastAsia="zh-CN"/>
        </w:rPr>
        <w:t>对下载的药品目录与系统中的药品字典的对照维护</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对下载的诊疗目录与系统各有关项目的对照维护</w:t>
      </w:r>
    </w:p>
    <w:p>
      <w:pPr>
        <w:spacing w:line="360" w:lineRule="auto"/>
        <w:ind w:firstLine="480"/>
        <w:rPr>
          <w:rFonts w:ascii="仿宋" w:hAnsi="仿宋" w:eastAsia="仿宋"/>
          <w:sz w:val="24"/>
          <w:szCs w:val="24"/>
          <w:lang w:val="zh-CN" w:eastAsia="zh-CN"/>
        </w:rPr>
      </w:pPr>
      <w:r>
        <w:rPr>
          <w:rFonts w:ascii="仿宋" w:hAnsi="仿宋" w:eastAsia="仿宋"/>
          <w:sz w:val="24"/>
          <w:szCs w:val="24"/>
          <w:lang w:val="zh-CN" w:eastAsia="zh-CN"/>
        </w:rPr>
        <w:tab/>
      </w:r>
      <w:r>
        <w:rPr>
          <w:rFonts w:hint="eastAsia" w:ascii="仿宋" w:hAnsi="仿宋" w:eastAsia="仿宋"/>
          <w:sz w:val="24"/>
          <w:szCs w:val="24"/>
          <w:lang w:val="zh-CN" w:eastAsia="zh-CN"/>
        </w:rPr>
        <w:t>对下载的医疗服务设施与系统中各有关项目的对照维护</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对医疗保险费用汇总类别与系统中费用汇总类别的对照维护</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3）医保对账</w:t>
      </w:r>
    </w:p>
    <w:p>
      <w:pPr>
        <w:spacing w:line="360" w:lineRule="auto"/>
        <w:ind w:firstLine="480"/>
        <w:rPr>
          <w:rFonts w:ascii="仿宋" w:hAnsi="仿宋" w:eastAsia="仿宋"/>
          <w:sz w:val="24"/>
          <w:szCs w:val="24"/>
          <w:lang w:val="zh-CN" w:eastAsia="zh-CN"/>
        </w:rPr>
      </w:pPr>
      <w:r>
        <w:rPr>
          <w:rFonts w:ascii="仿宋" w:hAnsi="仿宋" w:eastAsia="仿宋"/>
          <w:sz w:val="24"/>
          <w:szCs w:val="24"/>
          <w:lang w:val="zh-CN" w:eastAsia="zh-CN"/>
        </w:rPr>
        <w:tab/>
      </w:r>
      <w:r>
        <w:rPr>
          <w:rFonts w:hint="eastAsia" w:ascii="仿宋" w:hAnsi="仿宋" w:eastAsia="仿宋"/>
          <w:sz w:val="24"/>
          <w:szCs w:val="24"/>
          <w:lang w:val="zh-CN" w:eastAsia="zh-CN"/>
        </w:rPr>
        <w:t>支持对重复入院、重复就诊事件监控；</w:t>
      </w:r>
    </w:p>
    <w:p>
      <w:pPr>
        <w:spacing w:line="360" w:lineRule="auto"/>
        <w:ind w:firstLine="480"/>
        <w:rPr>
          <w:rFonts w:ascii="仿宋" w:hAnsi="仿宋" w:eastAsia="仿宋"/>
          <w:sz w:val="24"/>
          <w:szCs w:val="24"/>
          <w:lang w:val="zh-CN" w:eastAsia="zh-CN"/>
        </w:rPr>
      </w:pPr>
      <w:r>
        <w:rPr>
          <w:rFonts w:ascii="仿宋" w:hAnsi="仿宋" w:eastAsia="仿宋"/>
          <w:sz w:val="24"/>
          <w:szCs w:val="24"/>
          <w:lang w:val="zh-CN" w:eastAsia="zh-CN"/>
        </w:rPr>
        <w:tab/>
      </w:r>
      <w:r>
        <w:rPr>
          <w:rFonts w:hint="eastAsia" w:ascii="仿宋" w:hAnsi="仿宋" w:eastAsia="仿宋"/>
          <w:sz w:val="24"/>
          <w:szCs w:val="24"/>
          <w:lang w:val="zh-CN" w:eastAsia="zh-CN"/>
        </w:rPr>
        <w:t>医保数据上传；</w:t>
      </w:r>
    </w:p>
    <w:p>
      <w:pPr>
        <w:spacing w:line="360" w:lineRule="auto"/>
        <w:ind w:firstLine="480"/>
        <w:rPr>
          <w:rFonts w:ascii="仿宋" w:hAnsi="仿宋" w:eastAsia="仿宋"/>
          <w:sz w:val="24"/>
          <w:szCs w:val="24"/>
          <w:lang w:val="zh-CN" w:eastAsia="zh-CN"/>
        </w:rPr>
      </w:pPr>
      <w:r>
        <w:rPr>
          <w:rFonts w:ascii="仿宋" w:hAnsi="仿宋" w:eastAsia="仿宋"/>
          <w:sz w:val="24"/>
          <w:szCs w:val="24"/>
          <w:lang w:val="zh-CN" w:eastAsia="zh-CN"/>
        </w:rPr>
        <w:tab/>
      </w:r>
      <w:r>
        <w:rPr>
          <w:rFonts w:hint="eastAsia" w:ascii="仿宋" w:hAnsi="仿宋" w:eastAsia="仿宋"/>
          <w:sz w:val="24"/>
          <w:szCs w:val="24"/>
          <w:lang w:val="zh-CN" w:eastAsia="zh-CN"/>
        </w:rPr>
        <w:t>医保数据下载；</w:t>
      </w:r>
    </w:p>
    <w:p>
      <w:pPr>
        <w:spacing w:line="360" w:lineRule="auto"/>
        <w:ind w:firstLine="480"/>
        <w:rPr>
          <w:rFonts w:ascii="仿宋" w:hAnsi="仿宋" w:eastAsia="仿宋"/>
          <w:sz w:val="24"/>
          <w:szCs w:val="24"/>
          <w:lang w:val="zh-CN" w:eastAsia="zh-CN"/>
        </w:rPr>
      </w:pPr>
      <w:r>
        <w:rPr>
          <w:rFonts w:ascii="仿宋" w:hAnsi="仿宋" w:eastAsia="仿宋"/>
          <w:sz w:val="24"/>
          <w:szCs w:val="24"/>
          <w:lang w:val="zh-CN" w:eastAsia="zh-CN"/>
        </w:rPr>
        <w:tab/>
      </w:r>
      <w:r>
        <w:rPr>
          <w:rFonts w:hint="eastAsia" w:ascii="仿宋" w:hAnsi="仿宋" w:eastAsia="仿宋"/>
          <w:sz w:val="24"/>
          <w:szCs w:val="24"/>
          <w:lang w:val="zh-CN" w:eastAsia="zh-CN"/>
        </w:rPr>
        <w:t>医保错误分发及通知；</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4）上传下载</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各类接口符合上级规定的政策、实时更新</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按照省、市卫健委、县卫健委要求，上传所要求的各类数据实时或定时的从上级医保部门下载更新的药品目录、诊疗目录、服务设施目录、黑名单、各种政策参数、政策审核函数、医疗保险结算表、医疗保险拒付明细、对帐单等，并根据政策要求对药品目录、诊疗目录、服务设施目录、黑名单进行维护</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在信息系统中保存各医疗保险患者划分并支付后的费用明细清单和结算汇总清单。</w:t>
      </w:r>
    </w:p>
    <w:p>
      <w:pPr>
        <w:numPr>
          <w:ilvl w:val="2"/>
          <w:numId w:val="125"/>
        </w:numPr>
        <w:spacing w:line="360" w:lineRule="auto"/>
        <w:ind w:left="0" w:firstLine="480" w:firstLineChars="200"/>
        <w:jc w:val="both"/>
        <w:rPr>
          <w:rFonts w:ascii="仿宋" w:hAnsi="仿宋" w:eastAsia="仿宋"/>
          <w:sz w:val="24"/>
          <w:szCs w:val="24"/>
          <w:lang w:val="zh-CN"/>
        </w:rPr>
      </w:pPr>
      <w:r>
        <w:rPr>
          <w:rFonts w:hint="eastAsia" w:ascii="仿宋" w:hAnsi="仿宋" w:eastAsia="仿宋"/>
          <w:sz w:val="24"/>
          <w:szCs w:val="24"/>
          <w:lang w:val="zh-CN"/>
        </w:rPr>
        <w:t>其他接口管理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支持院内LIS、PACS、手术麻醉、电子发票接口、重症监护、院感、合理用药、OA、电子签名、医保、地区级平台、自治区级平台、银医一卡通、金蝶财务软件、DRG、API接口、县域SPD接口等相关接口对接。</w:t>
      </w:r>
    </w:p>
    <w:p>
      <w:pPr>
        <w:pStyle w:val="8"/>
        <w:spacing w:before="0" w:line="360" w:lineRule="auto"/>
        <w:rPr>
          <w:sz w:val="24"/>
          <w:szCs w:val="24"/>
          <w:lang w:eastAsia="zh-CN"/>
        </w:rPr>
      </w:pPr>
      <w:r>
        <w:rPr>
          <w:rFonts w:hint="eastAsia"/>
          <w:sz w:val="24"/>
          <w:szCs w:val="24"/>
          <w:lang w:eastAsia="zh-CN"/>
        </w:rPr>
        <w:t>报表中心</w:t>
      </w:r>
    </w:p>
    <w:p>
      <w:pPr>
        <w:pStyle w:val="9"/>
        <w:spacing w:line="360" w:lineRule="auto"/>
        <w:rPr>
          <w:sz w:val="24"/>
          <w:szCs w:val="24"/>
          <w:lang w:eastAsia="zh-CN"/>
        </w:rPr>
      </w:pPr>
      <w:r>
        <w:rPr>
          <w:rFonts w:hint="eastAsia"/>
          <w:sz w:val="24"/>
          <w:szCs w:val="24"/>
          <w:lang w:eastAsia="zh-CN"/>
        </w:rPr>
        <w:t>预览功能</w:t>
      </w:r>
      <w:r>
        <w:rPr>
          <w:rFonts w:hint="eastAsia"/>
          <w:sz w:val="24"/>
          <w:szCs w:val="24"/>
          <w:lang w:eastAsia="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支持预览，分页预览。</w:t>
      </w:r>
    </w:p>
    <w:p>
      <w:pPr>
        <w:pStyle w:val="9"/>
        <w:spacing w:line="360" w:lineRule="auto"/>
        <w:rPr>
          <w:sz w:val="24"/>
          <w:szCs w:val="24"/>
          <w:lang w:eastAsia="zh-CN"/>
        </w:rPr>
      </w:pPr>
      <w:r>
        <w:rPr>
          <w:rFonts w:hint="eastAsia"/>
          <w:sz w:val="24"/>
          <w:szCs w:val="24"/>
          <w:lang w:eastAsia="zh-CN"/>
        </w:rPr>
        <w:t>模板导入</w:t>
      </w:r>
      <w:r>
        <w:rPr>
          <w:rFonts w:hint="eastAsia"/>
          <w:sz w:val="24"/>
          <w:szCs w:val="24"/>
          <w:lang w:eastAsia="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支持导入Excel模板文件功能。</w:t>
      </w:r>
    </w:p>
    <w:p>
      <w:pPr>
        <w:pStyle w:val="9"/>
        <w:spacing w:line="360" w:lineRule="auto"/>
        <w:rPr>
          <w:sz w:val="24"/>
          <w:szCs w:val="24"/>
          <w:lang w:eastAsia="zh-CN"/>
        </w:rPr>
      </w:pPr>
      <w:r>
        <w:rPr>
          <w:rFonts w:hint="eastAsia"/>
          <w:sz w:val="24"/>
          <w:szCs w:val="24"/>
          <w:lang w:eastAsia="zh-CN"/>
        </w:rPr>
        <w:t>报表设计</w:t>
      </w:r>
      <w:r>
        <w:rPr>
          <w:rFonts w:hint="eastAsia"/>
          <w:sz w:val="24"/>
          <w:szCs w:val="24"/>
          <w:lang w:eastAsia="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供了报表管理、报表制作、报表函数定义、自动计算，以通用数据库格式转换输出、报表传出与汇入(适用于上下级单位)、同类报表汇总计算等。支持撤销，恢复功能。</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支持合并/拆分单元格</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支持左对齐，居中对齐，右对齐，顶部对齐，中部对齐，下部对齐</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支持所有框线，无框线，左框线，右框线，上框线，下框线，自定义框线。</w:t>
      </w:r>
    </w:p>
    <w:p>
      <w:pPr>
        <w:spacing w:line="360" w:lineRule="auto"/>
        <w:ind w:firstLine="480"/>
        <w:rPr>
          <w:rFonts w:ascii="仿宋" w:hAnsi="仿宋" w:eastAsia="仿宋"/>
          <w:sz w:val="24"/>
          <w:szCs w:val="24"/>
          <w:lang w:val="zh-CN"/>
        </w:rPr>
      </w:pPr>
      <w:r>
        <w:rPr>
          <w:rFonts w:hint="eastAsia" w:ascii="仿宋" w:hAnsi="仿宋" w:eastAsia="仿宋"/>
          <w:sz w:val="24"/>
          <w:szCs w:val="24"/>
          <w:lang w:val="zh-CN"/>
        </w:rPr>
        <w:t>支持宋体，仿宋，黑体，楷体，微软雅黑，Arial，Impact，Times New Roman，Comic Sans MS，Courier New。</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支持字体尺寸：1-100。加粗，倾斜，下划线，背景颜色，填充颜色，斜线表头，图片</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支持二维码，条码</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支持饼状图，圆环图，曲线图，柱状图，水平柱状图，面积图，雷达图，极坐标图，散点图，气泡图。</w:t>
      </w:r>
    </w:p>
    <w:p>
      <w:pPr>
        <w:pStyle w:val="9"/>
        <w:spacing w:line="360" w:lineRule="auto"/>
        <w:rPr>
          <w:sz w:val="24"/>
          <w:szCs w:val="24"/>
          <w:lang w:eastAsia="zh-CN"/>
        </w:rPr>
      </w:pPr>
      <w:r>
        <w:rPr>
          <w:rFonts w:hint="eastAsia"/>
          <w:sz w:val="24"/>
          <w:szCs w:val="24"/>
          <w:lang w:eastAsia="zh-CN"/>
        </w:rPr>
        <w:t>页面配置</w:t>
      </w:r>
      <w:r>
        <w:rPr>
          <w:rFonts w:hint="eastAsia"/>
          <w:sz w:val="24"/>
          <w:szCs w:val="24"/>
          <w:lang w:eastAsia="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页面类型，页面宽（毫米），页面高（毫米），左边距（毫米），右边距（毫米），上边距（毫米），下边距（毫米），方向:纵向/横向，HTML报表输出时对齐方式：</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居左/居中/居右。HTML报表定时刷新（秒），套打背景图</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页眉 字体样式配置 页眉顶端距离（毫米）</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页脚 字体样式配置 页脚顶端距离（毫米）</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分页配置分页方式：自动/固定行数</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分栏配置：</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分栏：禁用/启用</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栏数，栏间距</w:t>
      </w:r>
    </w:p>
    <w:p>
      <w:pPr>
        <w:pStyle w:val="9"/>
        <w:spacing w:line="360" w:lineRule="auto"/>
        <w:rPr>
          <w:sz w:val="24"/>
          <w:szCs w:val="24"/>
          <w:lang w:eastAsia="zh-CN"/>
        </w:rPr>
      </w:pPr>
      <w:r>
        <w:rPr>
          <w:rFonts w:hint="eastAsia"/>
          <w:sz w:val="24"/>
          <w:szCs w:val="24"/>
          <w:lang w:eastAsia="zh-CN"/>
        </w:rPr>
        <w:t>数据链接</w:t>
      </w:r>
      <w:r>
        <w:rPr>
          <w:rFonts w:hint="eastAsia"/>
          <w:sz w:val="24"/>
          <w:szCs w:val="24"/>
          <w:lang w:eastAsia="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支持添加数据库连接，添加SpringBean连接，添加内置数据源连接</w:t>
      </w:r>
    </w:p>
    <w:p>
      <w:pPr>
        <w:pStyle w:val="8"/>
        <w:spacing w:before="0" w:line="360" w:lineRule="auto"/>
        <w:rPr>
          <w:sz w:val="24"/>
          <w:szCs w:val="24"/>
          <w:lang w:eastAsia="zh-CN"/>
        </w:rPr>
      </w:pPr>
      <w:r>
        <w:rPr>
          <w:rFonts w:hint="eastAsia"/>
          <w:sz w:val="24"/>
          <w:szCs w:val="24"/>
          <w:lang w:eastAsia="zh-CN"/>
        </w:rPr>
        <w:t>基础信息管理</w:t>
      </w:r>
    </w:p>
    <w:p>
      <w:pPr>
        <w:pStyle w:val="9"/>
        <w:spacing w:line="360" w:lineRule="auto"/>
        <w:rPr>
          <w:sz w:val="24"/>
          <w:szCs w:val="24"/>
          <w:lang w:eastAsia="zh-CN"/>
        </w:rPr>
      </w:pPr>
      <w:r>
        <w:rPr>
          <w:rFonts w:hint="eastAsia"/>
          <w:sz w:val="24"/>
          <w:szCs w:val="24"/>
          <w:lang w:eastAsia="zh-CN"/>
        </w:rPr>
        <w:t>平台医疗机构管理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包括医疗机构名称、联系电话、机构负责人（法人）、地址、电话、邮政编码、医疗机构等级、医院地址、联系电话、医疗机构简介、医疗机构介绍等。可以新增、修改、停用、启用、删除等操作。</w:t>
      </w:r>
    </w:p>
    <w:p>
      <w:pPr>
        <w:pStyle w:val="9"/>
        <w:spacing w:line="360" w:lineRule="auto"/>
        <w:rPr>
          <w:sz w:val="24"/>
          <w:szCs w:val="24"/>
          <w:lang w:eastAsia="zh-CN"/>
        </w:rPr>
      </w:pPr>
      <w:r>
        <w:rPr>
          <w:rFonts w:hint="eastAsia"/>
          <w:sz w:val="24"/>
          <w:szCs w:val="24"/>
          <w:lang w:eastAsia="zh-CN"/>
        </w:rPr>
        <w:t>平台机构科室管理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包括科室名称、科室代码、上级科室、科室类型（门诊科室、医技科室、住院科室、住院病区）、科室联系人名称、科室介绍等 ，可以新增，修改、停用、启用、删除等操作。</w:t>
      </w:r>
    </w:p>
    <w:p>
      <w:pPr>
        <w:pStyle w:val="9"/>
        <w:spacing w:line="360" w:lineRule="auto"/>
        <w:rPr>
          <w:sz w:val="24"/>
          <w:szCs w:val="24"/>
          <w:lang w:eastAsia="zh-CN"/>
        </w:rPr>
      </w:pPr>
      <w:r>
        <w:rPr>
          <w:rFonts w:hint="eastAsia"/>
          <w:sz w:val="24"/>
          <w:szCs w:val="24"/>
          <w:lang w:eastAsia="zh-CN"/>
        </w:rPr>
        <w:t>平台卫生人员管理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包括人员工号、人员姓名、证件类型、证件号码、出生年月、性别、专业技术职务类别、技术职称、所属机构、所属科室等。可以新增、修改、停用、启用、删除等操作。</w:t>
      </w:r>
    </w:p>
    <w:p>
      <w:pPr>
        <w:pStyle w:val="9"/>
        <w:spacing w:line="360" w:lineRule="auto"/>
        <w:rPr>
          <w:sz w:val="24"/>
          <w:szCs w:val="24"/>
        </w:rPr>
      </w:pPr>
      <w:r>
        <w:rPr>
          <w:rFonts w:hint="eastAsia"/>
          <w:sz w:val="24"/>
          <w:szCs w:val="24"/>
          <w:lang w:eastAsia="zh-CN"/>
        </w:rPr>
        <w:tab/>
      </w:r>
      <w:r>
        <w:rPr>
          <w:rFonts w:hint="eastAsia"/>
          <w:sz w:val="24"/>
          <w:szCs w:val="24"/>
        </w:rPr>
        <w:t>居民注册服务</w:t>
      </w:r>
    </w:p>
    <w:p>
      <w:pPr>
        <w:numPr>
          <w:ilvl w:val="0"/>
          <w:numId w:val="129"/>
        </w:numPr>
        <w:spacing w:line="360" w:lineRule="auto"/>
        <w:jc w:val="both"/>
        <w:rPr>
          <w:rFonts w:ascii="仿宋" w:hAnsi="仿宋" w:eastAsia="仿宋"/>
          <w:sz w:val="24"/>
          <w:szCs w:val="24"/>
          <w:lang w:val="zh-CN"/>
        </w:rPr>
      </w:pPr>
      <w:r>
        <w:rPr>
          <w:rFonts w:hint="eastAsia" w:ascii="仿宋" w:hAnsi="仿宋" w:eastAsia="仿宋"/>
          <w:sz w:val="24"/>
          <w:szCs w:val="24"/>
          <w:lang w:val="zh-CN"/>
        </w:rPr>
        <w:t>居民信息管理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居民信息管理是指在一定区域管辖范围内，形成一个个人注册库，个人的健康标识号、基本信息被平台保存和维护着，提供给平台及与平台对接的业务系统所使用，并可为医疗就诊及公共卫生相关的业务系统提供人员身份识别功能。</w:t>
      </w:r>
    </w:p>
    <w:p>
      <w:pPr>
        <w:numPr>
          <w:ilvl w:val="0"/>
          <w:numId w:val="129"/>
        </w:numPr>
        <w:spacing w:line="360" w:lineRule="auto"/>
        <w:jc w:val="both"/>
        <w:rPr>
          <w:rFonts w:ascii="仿宋" w:hAnsi="仿宋" w:eastAsia="仿宋"/>
          <w:sz w:val="24"/>
          <w:szCs w:val="24"/>
          <w:lang w:val="zh-CN"/>
        </w:rPr>
      </w:pPr>
      <w:r>
        <w:rPr>
          <w:rFonts w:hint="eastAsia" w:ascii="仿宋" w:hAnsi="仿宋" w:eastAsia="仿宋"/>
          <w:sz w:val="24"/>
          <w:szCs w:val="24"/>
          <w:lang w:val="zh-CN"/>
        </w:rPr>
        <w:t>居民主索引管理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在当前卫生信息化的建设中，居民主索引的作用也变得越来越宽广，已经由原来仅仅在各个独立的域中保持病人的唯一性，逐渐扩展到多个域的跨域协同，并保持病人信息在跨域协同时的权威性、一致性。</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居民主索引是指在特定域范围内，用以标识该域内每个病人（Patient Instance）并保持其唯一性的标识，通过居民主索引管理维护在该域范围内的病人唯一性。</w:t>
      </w:r>
    </w:p>
    <w:p>
      <w:pPr>
        <w:numPr>
          <w:ilvl w:val="0"/>
          <w:numId w:val="129"/>
        </w:numPr>
        <w:spacing w:line="360" w:lineRule="auto"/>
        <w:jc w:val="both"/>
        <w:rPr>
          <w:rFonts w:ascii="仿宋" w:hAnsi="仿宋" w:eastAsia="仿宋"/>
          <w:sz w:val="24"/>
          <w:szCs w:val="24"/>
          <w:lang w:val="zh-CN"/>
        </w:rPr>
      </w:pPr>
      <w:r>
        <w:rPr>
          <w:rFonts w:hint="eastAsia" w:ascii="仿宋" w:hAnsi="仿宋" w:eastAsia="仿宋"/>
          <w:sz w:val="24"/>
          <w:szCs w:val="24"/>
          <w:lang w:val="zh-CN"/>
        </w:rPr>
        <w:t>交叉索引管理</w:t>
      </w:r>
    </w:p>
    <w:p>
      <w:pPr>
        <w:spacing w:line="360" w:lineRule="auto"/>
        <w:ind w:firstLine="480"/>
        <w:rPr>
          <w:rFonts w:ascii="仿宋" w:hAnsi="仿宋" w:eastAsia="仿宋"/>
          <w:sz w:val="24"/>
          <w:szCs w:val="24"/>
          <w:lang w:val="zh-CN"/>
        </w:rPr>
      </w:pPr>
      <w:r>
        <w:rPr>
          <w:rFonts w:hint="eastAsia" w:ascii="仿宋" w:hAnsi="仿宋" w:eastAsia="仿宋"/>
          <w:sz w:val="24"/>
          <w:szCs w:val="24"/>
          <w:lang w:val="zh-CN"/>
        </w:rPr>
        <w:t>交叉索引PIX（Patient Index eXchange），是为了与其他业务域进行联系，提高系统效率，降低系统费用，而设计的系统。</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交叉索引PIX是IHE中有关病人标识交叉索引引用的集成规范，是实现MPI的一种方法。IHE允许每个参与者在它们自己的域建立病人标识，且每个应用系统对其内部的病人标识在本系统中有完全的控制权，通过PIX对各个应用系统中的病人标识进行登记和管理，支持其他应用的查询或主动通知信息变更，而在每个应用系统中不需改变其标识符的定义和格式，保证了不同应用系统之间病人标识的同步。</w:t>
      </w:r>
    </w:p>
    <w:p>
      <w:pPr>
        <w:numPr>
          <w:ilvl w:val="0"/>
          <w:numId w:val="129"/>
        </w:numPr>
        <w:spacing w:line="360" w:lineRule="auto"/>
        <w:jc w:val="both"/>
        <w:rPr>
          <w:rFonts w:ascii="仿宋" w:hAnsi="仿宋" w:eastAsia="仿宋"/>
          <w:sz w:val="24"/>
          <w:szCs w:val="24"/>
          <w:lang w:val="zh-CN"/>
        </w:rPr>
      </w:pPr>
      <w:r>
        <w:rPr>
          <w:rFonts w:hint="eastAsia" w:ascii="仿宋" w:hAnsi="仿宋" w:eastAsia="仿宋"/>
          <w:sz w:val="24"/>
          <w:szCs w:val="24"/>
          <w:lang w:val="zh-CN"/>
        </w:rPr>
        <w:t>合并规则管理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居民主索引合并规则是为了达到将来自不同业务域的同一个人的数据进行合并，而制定的一系列规则。</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居民主索引合并规则受到项目本身数据情况、与平台对接范围等多因素制约，导致各个项目的合并规则并不相同，需要根据项目情况量身制定各元素的权重，以满足项目需求。</w:t>
      </w:r>
    </w:p>
    <w:p>
      <w:pPr>
        <w:numPr>
          <w:ilvl w:val="0"/>
          <w:numId w:val="129"/>
        </w:numPr>
        <w:spacing w:line="360" w:lineRule="auto"/>
        <w:jc w:val="both"/>
        <w:rPr>
          <w:rFonts w:ascii="仿宋" w:hAnsi="仿宋" w:eastAsia="仿宋"/>
          <w:sz w:val="24"/>
          <w:szCs w:val="24"/>
          <w:lang w:val="zh-CN"/>
        </w:rPr>
      </w:pPr>
      <w:r>
        <w:rPr>
          <w:rFonts w:hint="eastAsia" w:ascii="仿宋" w:hAnsi="仿宋" w:eastAsia="仿宋"/>
          <w:sz w:val="24"/>
          <w:szCs w:val="24"/>
          <w:lang w:val="zh-CN"/>
        </w:rPr>
        <w:t>合并历史管理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合并历史管理记录了居民主索引合并的历史信息，包含主动合并与手工合并的历史信息。</w:t>
      </w:r>
    </w:p>
    <w:p>
      <w:pPr>
        <w:numPr>
          <w:ilvl w:val="0"/>
          <w:numId w:val="129"/>
        </w:numPr>
        <w:spacing w:line="360" w:lineRule="auto"/>
        <w:jc w:val="both"/>
        <w:rPr>
          <w:rFonts w:ascii="仿宋" w:hAnsi="仿宋" w:eastAsia="仿宋"/>
          <w:sz w:val="24"/>
          <w:szCs w:val="24"/>
          <w:lang w:val="zh-CN"/>
        </w:rPr>
      </w:pPr>
      <w:r>
        <w:rPr>
          <w:rFonts w:hint="eastAsia" w:ascii="仿宋" w:hAnsi="仿宋" w:eastAsia="仿宋"/>
          <w:sz w:val="24"/>
          <w:szCs w:val="24"/>
          <w:lang w:val="zh-CN"/>
        </w:rPr>
        <w:t>注销管理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注销管理是对已注销的居民信息进行管理。</w:t>
      </w:r>
    </w:p>
    <w:p>
      <w:pPr>
        <w:numPr>
          <w:ilvl w:val="0"/>
          <w:numId w:val="129"/>
        </w:numPr>
        <w:spacing w:line="360" w:lineRule="auto"/>
        <w:jc w:val="both"/>
        <w:rPr>
          <w:rFonts w:ascii="仿宋" w:hAnsi="仿宋" w:eastAsia="仿宋"/>
          <w:sz w:val="24"/>
          <w:szCs w:val="24"/>
          <w:lang w:val="zh-CN"/>
        </w:rPr>
      </w:pPr>
      <w:r>
        <w:rPr>
          <w:rFonts w:hint="eastAsia" w:ascii="仿宋" w:hAnsi="仿宋" w:eastAsia="仿宋"/>
          <w:sz w:val="24"/>
          <w:szCs w:val="24"/>
          <w:lang w:val="zh-CN"/>
        </w:rPr>
        <w:t>发布通知管理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发布通知模块是实现平台内居民信息同步和居民主索引同步机制的关键模块。当本系统的居民信息发生变更、居民主索引发生合并、居民主索引发生变更时，会根据订阅情况向通知接收者发送通知消息。</w:t>
      </w:r>
    </w:p>
    <w:p>
      <w:pPr>
        <w:numPr>
          <w:ilvl w:val="0"/>
          <w:numId w:val="129"/>
        </w:numPr>
        <w:spacing w:line="360" w:lineRule="auto"/>
        <w:jc w:val="both"/>
        <w:rPr>
          <w:rFonts w:ascii="仿宋" w:hAnsi="仿宋" w:eastAsia="仿宋"/>
          <w:sz w:val="24"/>
          <w:szCs w:val="24"/>
          <w:lang w:val="zh-CN"/>
        </w:rPr>
      </w:pPr>
      <w:r>
        <w:rPr>
          <w:rFonts w:hint="eastAsia" w:ascii="仿宋" w:hAnsi="仿宋" w:eastAsia="仿宋"/>
          <w:sz w:val="24"/>
          <w:szCs w:val="24"/>
          <w:lang w:val="zh-CN"/>
        </w:rPr>
        <w:t>主题管理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系统维护了居民信息变更主题、居民主索引合并主题、居民主索引变更主题，并为每个主题制定了不同的过滤条件，是实现平台内居民信息同步和居民主索引同步机制的基础。</w:t>
      </w:r>
    </w:p>
    <w:p>
      <w:pPr>
        <w:pStyle w:val="8"/>
        <w:spacing w:before="0" w:line="360" w:lineRule="auto"/>
        <w:rPr>
          <w:sz w:val="24"/>
          <w:szCs w:val="24"/>
          <w:lang w:eastAsia="zh-CN"/>
        </w:rPr>
      </w:pPr>
      <w:r>
        <w:rPr>
          <w:rFonts w:hint="eastAsia"/>
          <w:sz w:val="24"/>
          <w:szCs w:val="24"/>
          <w:lang w:eastAsia="zh-CN"/>
        </w:rPr>
        <w:t>主数据管理</w:t>
      </w:r>
    </w:p>
    <w:p>
      <w:pPr>
        <w:pStyle w:val="9"/>
        <w:spacing w:line="360" w:lineRule="auto"/>
        <w:rPr>
          <w:sz w:val="24"/>
          <w:szCs w:val="24"/>
          <w:lang w:eastAsia="zh-CN"/>
        </w:rPr>
      </w:pPr>
      <w:r>
        <w:rPr>
          <w:rFonts w:hint="eastAsia"/>
          <w:sz w:val="24"/>
          <w:szCs w:val="24"/>
          <w:lang w:eastAsia="zh-CN"/>
        </w:rPr>
        <w:t>标准管理</w:t>
      </w:r>
      <w:r>
        <w:rPr>
          <w:rFonts w:hint="eastAsia"/>
          <w:sz w:val="24"/>
          <w:szCs w:val="24"/>
          <w:lang w:eastAsia="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数据标准主要包括数据元、数据集、代码表和信息交换标准。</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数据元是指可以计量或描述对象特征、属性或状态的最小数据单位，数据元的标准化可以使得医疗数据的表现和存储具有统一性。</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数据集是指一组相关数据元的集合，通常用于描述某种特定的医疗信息。例如，病人基本信息、入院记录、医生诊断等。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代码表是指医疗数据中所使用的代码集合，通常包括疾病诊断、手术操作、药品等。</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信息交换标准是指医疗数据在网络中传输、共享时所需遵循的通用规范。</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数据元维护，包含新增、导入、导出、停用、删除等操作，可以查看数据元标识符、数据元名称、定义、数据元值的数据类型、表达格式、数据元允许值等信息。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数据集信息的维护，包括新增、编辑、停用、关联、导入、导出等操作。</w:t>
      </w:r>
    </w:p>
    <w:p>
      <w:pPr>
        <w:pStyle w:val="9"/>
        <w:spacing w:line="360" w:lineRule="auto"/>
        <w:rPr>
          <w:sz w:val="24"/>
          <w:szCs w:val="24"/>
          <w:lang w:eastAsia="zh-CN"/>
        </w:rPr>
      </w:pPr>
      <w:r>
        <w:rPr>
          <w:rFonts w:hint="eastAsia"/>
          <w:sz w:val="24"/>
          <w:szCs w:val="24"/>
          <w:lang w:eastAsia="zh-CN"/>
        </w:rPr>
        <w:t>标准字典</w:t>
      </w:r>
      <w:r>
        <w:rPr>
          <w:rFonts w:hint="eastAsia"/>
          <w:sz w:val="24"/>
          <w:szCs w:val="24"/>
          <w:lang w:eastAsia="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平台标准字典的维护，包括字典的新增、启用、停用、导入、导出、查询。</w:t>
      </w:r>
    </w:p>
    <w:p>
      <w:pPr>
        <w:pStyle w:val="9"/>
        <w:spacing w:line="360" w:lineRule="auto"/>
        <w:rPr>
          <w:sz w:val="24"/>
          <w:szCs w:val="24"/>
          <w:lang w:eastAsia="zh-CN"/>
        </w:rPr>
      </w:pPr>
      <w:r>
        <w:rPr>
          <w:rFonts w:hint="eastAsia"/>
          <w:sz w:val="24"/>
          <w:szCs w:val="24"/>
          <w:lang w:eastAsia="zh-CN"/>
        </w:rPr>
        <w:t>疾病诊断</w:t>
      </w:r>
      <w:r>
        <w:rPr>
          <w:rFonts w:hint="eastAsia"/>
          <w:sz w:val="24"/>
          <w:szCs w:val="24"/>
          <w:lang w:eastAsia="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数据标准中西医诊断字典的维护。</w:t>
      </w:r>
    </w:p>
    <w:p>
      <w:pPr>
        <w:pStyle w:val="9"/>
        <w:spacing w:line="360" w:lineRule="auto"/>
        <w:rPr>
          <w:sz w:val="24"/>
          <w:szCs w:val="24"/>
          <w:lang w:eastAsia="zh-CN"/>
        </w:rPr>
      </w:pPr>
      <w:r>
        <w:rPr>
          <w:rFonts w:hint="eastAsia"/>
          <w:sz w:val="24"/>
          <w:szCs w:val="24"/>
          <w:lang w:eastAsia="zh-CN"/>
        </w:rPr>
        <w:t>手术操作编码</w:t>
      </w:r>
      <w:r>
        <w:rPr>
          <w:rFonts w:hint="eastAsia"/>
          <w:sz w:val="24"/>
          <w:szCs w:val="24"/>
          <w:lang w:eastAsia="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手术操作代码字典的维护。</w:t>
      </w:r>
    </w:p>
    <w:p>
      <w:pPr>
        <w:pStyle w:val="9"/>
        <w:spacing w:line="360" w:lineRule="auto"/>
        <w:rPr>
          <w:sz w:val="24"/>
          <w:szCs w:val="24"/>
          <w:lang w:eastAsia="zh-CN"/>
        </w:rPr>
      </w:pPr>
      <w:r>
        <w:rPr>
          <w:rFonts w:hint="eastAsia"/>
          <w:sz w:val="24"/>
          <w:szCs w:val="24"/>
          <w:lang w:eastAsia="zh-CN"/>
        </w:rPr>
        <w:t>医院项目数据</w:t>
      </w:r>
      <w:r>
        <w:rPr>
          <w:rFonts w:hint="eastAsia"/>
          <w:sz w:val="24"/>
          <w:szCs w:val="24"/>
          <w:lang w:eastAsia="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包括医院药品字典，检查项目，检验项，医嘱项目，收费项目等管理。</w:t>
      </w:r>
    </w:p>
    <w:p>
      <w:pPr>
        <w:pStyle w:val="8"/>
        <w:spacing w:before="0" w:line="360" w:lineRule="auto"/>
        <w:rPr>
          <w:sz w:val="24"/>
          <w:szCs w:val="24"/>
        </w:rPr>
      </w:pPr>
      <w:r>
        <w:rPr>
          <w:rFonts w:hint="eastAsia"/>
          <w:sz w:val="24"/>
          <w:szCs w:val="24"/>
        </w:rPr>
        <w:t>MPI主索引管理</w:t>
      </w:r>
    </w:p>
    <w:p>
      <w:pPr>
        <w:pStyle w:val="9"/>
        <w:spacing w:line="360" w:lineRule="auto"/>
        <w:rPr>
          <w:sz w:val="24"/>
          <w:szCs w:val="24"/>
        </w:rPr>
      </w:pPr>
      <w:r>
        <w:rPr>
          <w:rFonts w:hint="eastAsia"/>
          <w:sz w:val="24"/>
          <w:szCs w:val="24"/>
        </w:rPr>
        <w:t>索引更新</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 xml:space="preserve">此查询功能为平台内部服务，平台通过数据整合服务进入到基础数据库个人健康档案记录，建立以人为单位的索引目录。索引目录包含事件目录和文档目录。 </w:t>
      </w:r>
    </w:p>
    <w:p>
      <w:pPr>
        <w:pStyle w:val="9"/>
        <w:spacing w:line="360" w:lineRule="auto"/>
        <w:rPr>
          <w:sz w:val="24"/>
          <w:szCs w:val="24"/>
          <w:lang w:eastAsia="zh-CN"/>
        </w:rPr>
      </w:pPr>
      <w:r>
        <w:rPr>
          <w:rFonts w:hint="eastAsia"/>
          <w:sz w:val="24"/>
          <w:szCs w:val="24"/>
          <w:lang w:eastAsia="zh-CN"/>
        </w:rPr>
        <w:tab/>
      </w:r>
      <w:r>
        <w:rPr>
          <w:rFonts w:hint="eastAsia"/>
          <w:sz w:val="24"/>
          <w:szCs w:val="24"/>
          <w:lang w:eastAsia="zh-CN"/>
        </w:rPr>
        <w:t>单个人的索引查询</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此查询功能为平台内部服务，为平台内部其他服务或外部接口提供实质的查询服务。通过主索引ID索引与此相关的事件目录和文档目录</w:t>
      </w:r>
    </w:p>
    <w:p>
      <w:pPr>
        <w:pStyle w:val="9"/>
        <w:spacing w:line="360" w:lineRule="auto"/>
        <w:rPr>
          <w:sz w:val="24"/>
          <w:szCs w:val="24"/>
          <w:lang w:eastAsia="zh-CN"/>
        </w:rPr>
      </w:pPr>
      <w:r>
        <w:rPr>
          <w:rFonts w:hint="eastAsia"/>
          <w:sz w:val="24"/>
          <w:szCs w:val="24"/>
          <w:lang w:eastAsia="zh-CN"/>
        </w:rPr>
        <w:tab/>
      </w:r>
      <w:r>
        <w:rPr>
          <w:rFonts w:hint="eastAsia"/>
          <w:sz w:val="24"/>
          <w:szCs w:val="24"/>
          <w:lang w:eastAsia="zh-CN"/>
        </w:rPr>
        <w:t>索引查询</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此查询功能为平台内部服务，为平台内部其他服务或外部接口提供实质的查询服务。通过主索引ID、地区、时间区间、事件类型、事件名称、发生机构。条件为组合使用，所有符合条件的所有事件目录和文档目录。</w:t>
      </w:r>
    </w:p>
    <w:p>
      <w:pPr>
        <w:pStyle w:val="8"/>
        <w:spacing w:before="0" w:line="360" w:lineRule="auto"/>
        <w:rPr>
          <w:sz w:val="24"/>
          <w:szCs w:val="24"/>
          <w:lang w:eastAsia="zh-CN"/>
        </w:rPr>
      </w:pPr>
      <w:r>
        <w:rPr>
          <w:rFonts w:hint="eastAsia"/>
          <w:sz w:val="24"/>
          <w:szCs w:val="24"/>
          <w:lang w:eastAsia="zh-CN"/>
        </w:rPr>
        <w:t>患者360视图</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是为终端用户提供的基于Web的访问健康档案的应用程序，其目标是建立一个用户界面友好的业务应用服务，经授权的医疗卫生人员实现方便、快捷地浏览健康档案相关数据。</w:t>
      </w:r>
    </w:p>
    <w:p>
      <w:pPr>
        <w:numPr>
          <w:ilvl w:val="0"/>
          <w:numId w:val="130"/>
        </w:numPr>
        <w:spacing w:line="360" w:lineRule="auto"/>
        <w:jc w:val="both"/>
        <w:rPr>
          <w:rFonts w:ascii="仿宋" w:hAnsi="仿宋" w:eastAsia="仿宋"/>
          <w:sz w:val="24"/>
          <w:szCs w:val="24"/>
          <w:lang w:val="zh-CN"/>
        </w:rPr>
      </w:pPr>
      <w:r>
        <w:rPr>
          <w:rFonts w:hint="eastAsia" w:ascii="仿宋" w:hAnsi="仿宋" w:eastAsia="仿宋"/>
          <w:sz w:val="24"/>
          <w:szCs w:val="24"/>
          <w:lang w:val="zh-CN"/>
        </w:rPr>
        <w:t>本信息调阅</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支持居民个人基本信息、主要健康信息、服务活动记录等信息展示的功能。</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支持查看患者的基本信息（患者身份证、姓名、医保卡号、出生年月、性别、住址、电话等），以及历史、门诊、住院等就诊类型的就记录概要</w:t>
      </w:r>
    </w:p>
    <w:p>
      <w:pPr>
        <w:spacing w:line="360" w:lineRule="auto"/>
        <w:ind w:firstLine="480"/>
        <w:rPr>
          <w:rFonts w:ascii="仿宋" w:hAnsi="仿宋" w:eastAsia="仿宋"/>
          <w:sz w:val="24"/>
          <w:szCs w:val="24"/>
          <w:lang w:val="zh-CN" w:eastAsia="zh-CN"/>
        </w:rPr>
      </w:pPr>
      <w:r>
        <w:rPr>
          <w:rFonts w:ascii="仿宋" w:hAnsi="仿宋" w:eastAsia="仿宋"/>
          <w:sz w:val="24"/>
          <w:szCs w:val="24"/>
          <w:lang w:val="zh-CN" w:eastAsia="zh-CN"/>
        </w:rPr>
        <w:t>支持查看</w:t>
      </w:r>
      <w:r>
        <w:rPr>
          <w:rFonts w:hint="eastAsia" w:ascii="仿宋" w:hAnsi="仿宋" w:eastAsia="仿宋"/>
          <w:sz w:val="24"/>
          <w:szCs w:val="24"/>
          <w:lang w:val="zh-CN" w:eastAsia="zh-CN"/>
        </w:rPr>
        <w:t>患者门诊就诊产生的检查、检验、处方、病历、报告等记录</w:t>
      </w:r>
    </w:p>
    <w:p>
      <w:pPr>
        <w:spacing w:line="360" w:lineRule="auto"/>
        <w:ind w:firstLine="480"/>
        <w:rPr>
          <w:rFonts w:ascii="仿宋" w:hAnsi="仿宋" w:eastAsia="仿宋"/>
          <w:sz w:val="24"/>
          <w:szCs w:val="24"/>
          <w:lang w:val="zh-CN" w:eastAsia="zh-CN"/>
        </w:rPr>
      </w:pPr>
      <w:r>
        <w:rPr>
          <w:rFonts w:ascii="仿宋" w:hAnsi="仿宋" w:eastAsia="仿宋"/>
          <w:sz w:val="24"/>
          <w:szCs w:val="24"/>
          <w:lang w:val="zh-CN" w:eastAsia="zh-CN"/>
        </w:rPr>
        <w:t>支持查看</w:t>
      </w:r>
      <w:r>
        <w:rPr>
          <w:rFonts w:hint="eastAsia" w:ascii="仿宋" w:hAnsi="仿宋" w:eastAsia="仿宋"/>
          <w:sz w:val="24"/>
          <w:szCs w:val="24"/>
          <w:lang w:val="zh-CN" w:eastAsia="zh-CN"/>
        </w:rPr>
        <w:t>患者住院就诊产生的检查、检验、医嘱、病历、手术、护理、报告等记录</w:t>
      </w:r>
    </w:p>
    <w:p>
      <w:pPr>
        <w:numPr>
          <w:ilvl w:val="0"/>
          <w:numId w:val="130"/>
        </w:numPr>
        <w:spacing w:line="360" w:lineRule="auto"/>
        <w:jc w:val="both"/>
        <w:rPr>
          <w:rFonts w:ascii="仿宋" w:hAnsi="仿宋" w:eastAsia="仿宋"/>
          <w:sz w:val="24"/>
          <w:szCs w:val="24"/>
          <w:lang w:val="zh-CN"/>
        </w:rPr>
      </w:pPr>
      <w:r>
        <w:rPr>
          <w:rFonts w:hint="eastAsia" w:ascii="仿宋" w:hAnsi="仿宋" w:eastAsia="仿宋"/>
          <w:sz w:val="24"/>
          <w:szCs w:val="24"/>
          <w:lang w:val="zh-CN"/>
        </w:rPr>
        <w:t>档案调阅</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支持基本档案－个人基本信息表单展示调阅。</w:t>
      </w:r>
    </w:p>
    <w:p>
      <w:pPr>
        <w:numPr>
          <w:ilvl w:val="0"/>
          <w:numId w:val="130"/>
        </w:numPr>
        <w:spacing w:line="360" w:lineRule="auto"/>
        <w:jc w:val="both"/>
        <w:rPr>
          <w:rFonts w:ascii="仿宋" w:hAnsi="仿宋" w:eastAsia="仿宋"/>
          <w:sz w:val="24"/>
          <w:szCs w:val="24"/>
          <w:lang w:val="zh-CN"/>
        </w:rPr>
      </w:pPr>
      <w:r>
        <w:rPr>
          <w:rFonts w:hint="eastAsia" w:ascii="仿宋" w:hAnsi="仿宋" w:eastAsia="仿宋"/>
          <w:sz w:val="24"/>
          <w:szCs w:val="24"/>
          <w:lang w:val="zh-CN"/>
        </w:rPr>
        <w:t>服务调阅</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支持对重点人群公共卫生服务的调阅，包括：儿童保健专项服务调阅、妇女保健专项服务调阅、疾病管理专项服务调阅、健康体检专项服务调阅。</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服务调阅按照住院和门急诊分类，分别调阅居民历史医疗服务记录以及相关电子病历信息。</w:t>
      </w:r>
    </w:p>
    <w:p>
      <w:pPr>
        <w:numPr>
          <w:ilvl w:val="0"/>
          <w:numId w:val="130"/>
        </w:numPr>
        <w:spacing w:line="360" w:lineRule="auto"/>
        <w:jc w:val="both"/>
        <w:rPr>
          <w:rFonts w:ascii="仿宋" w:hAnsi="仿宋" w:eastAsia="仿宋"/>
          <w:sz w:val="24"/>
          <w:szCs w:val="24"/>
          <w:lang w:val="zh-CN"/>
        </w:rPr>
      </w:pPr>
      <w:r>
        <w:rPr>
          <w:rFonts w:hint="eastAsia" w:ascii="仿宋" w:hAnsi="仿宋" w:eastAsia="仿宋"/>
          <w:sz w:val="24"/>
          <w:szCs w:val="24"/>
          <w:lang w:val="zh-CN"/>
        </w:rPr>
        <w:t>民全生命周期服务调阅</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在生命周期页面中，按照居民生命周期时间轴展示该居民在不同时间接受过的各类医疗卫生服务，包括公共卫生服务和医疗服务，例如健康体检、随访记录、就诊记录、住院记录等。</w:t>
      </w:r>
    </w:p>
    <w:p>
      <w:pPr>
        <w:pStyle w:val="8"/>
        <w:spacing w:before="0" w:line="360" w:lineRule="auto"/>
        <w:rPr>
          <w:sz w:val="24"/>
          <w:szCs w:val="24"/>
          <w:lang w:eastAsia="zh-CN"/>
        </w:rPr>
      </w:pPr>
      <w:r>
        <w:rPr>
          <w:rFonts w:hint="eastAsia"/>
          <w:sz w:val="24"/>
          <w:szCs w:val="24"/>
          <w:lang w:eastAsia="zh-CN"/>
        </w:rPr>
        <w:t>综合决策分析</w:t>
      </w:r>
    </w:p>
    <w:p>
      <w:pPr>
        <w:pStyle w:val="9"/>
        <w:spacing w:line="360" w:lineRule="auto"/>
        <w:rPr>
          <w:sz w:val="24"/>
          <w:szCs w:val="24"/>
          <w:lang w:eastAsia="zh-CN"/>
        </w:rPr>
      </w:pPr>
      <w:r>
        <w:rPr>
          <w:rFonts w:hint="eastAsia"/>
          <w:sz w:val="24"/>
          <w:szCs w:val="24"/>
          <w:lang w:eastAsia="zh-CN"/>
        </w:rPr>
        <w:t>今日实时动态</w:t>
      </w:r>
      <w:r>
        <w:rPr>
          <w:rFonts w:hint="eastAsia"/>
          <w:sz w:val="24"/>
          <w:szCs w:val="24"/>
          <w:lang w:eastAsia="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综合分析医院今日门诊收入、住院收入、门诊量、住院人次等指标信息</w:t>
      </w:r>
    </w:p>
    <w:p>
      <w:pPr>
        <w:pStyle w:val="9"/>
        <w:spacing w:line="360" w:lineRule="auto"/>
        <w:rPr>
          <w:sz w:val="24"/>
          <w:szCs w:val="24"/>
          <w:lang w:eastAsia="zh-CN"/>
        </w:rPr>
      </w:pPr>
      <w:r>
        <w:rPr>
          <w:rFonts w:hint="eastAsia"/>
          <w:sz w:val="24"/>
          <w:szCs w:val="24"/>
          <w:lang w:eastAsia="zh-CN"/>
        </w:rPr>
        <w:t>医疗收入</w:t>
      </w:r>
      <w:r>
        <w:rPr>
          <w:rFonts w:hint="eastAsia"/>
          <w:sz w:val="24"/>
          <w:szCs w:val="24"/>
          <w:lang w:eastAsia="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综合分析门诊收入、急诊收入、人均费用、均次药费、药占比等指标信息，以及按时间、按科室进行挖掘分析。</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综合分析住院收入、人均费用、均次药费、药占比、医保占比等指标信息，以及按时间、按科室进行挖掘分析。</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各科室的医生数量、接诊人次、医生接诊均次、人均费用、总收入。</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各科室的医生数量、住院人数、平均住院日、人均费用、总收入。</w:t>
      </w:r>
    </w:p>
    <w:p>
      <w:pPr>
        <w:pStyle w:val="9"/>
        <w:spacing w:line="360" w:lineRule="auto"/>
        <w:rPr>
          <w:sz w:val="24"/>
          <w:szCs w:val="24"/>
          <w:lang w:eastAsia="zh-CN"/>
        </w:rPr>
      </w:pPr>
      <w:r>
        <w:rPr>
          <w:rFonts w:hint="eastAsia"/>
          <w:sz w:val="24"/>
          <w:szCs w:val="24"/>
          <w:lang w:eastAsia="zh-CN"/>
        </w:rPr>
        <w:t>医疗工作量</w:t>
      </w:r>
      <w:r>
        <w:rPr>
          <w:rFonts w:hint="eastAsia"/>
          <w:sz w:val="24"/>
          <w:szCs w:val="24"/>
          <w:lang w:eastAsia="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综合分析门急诊人次、检查人次、检验人次、预约诊疗率等指标信息，以及按时间，按科室进行挖掘分析。</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综合分析入院人数、出院人数、平均住院日、以及按时间，按科室进行挖掘分析。</w:t>
      </w:r>
    </w:p>
    <w:p>
      <w:pPr>
        <w:pStyle w:val="9"/>
        <w:spacing w:line="360" w:lineRule="auto"/>
        <w:rPr>
          <w:sz w:val="24"/>
          <w:szCs w:val="24"/>
          <w:lang w:eastAsia="zh-CN"/>
        </w:rPr>
      </w:pPr>
      <w:r>
        <w:rPr>
          <w:rFonts w:hint="eastAsia"/>
          <w:sz w:val="24"/>
          <w:szCs w:val="24"/>
          <w:lang w:eastAsia="zh-CN"/>
        </w:rPr>
        <w:t>医疗资源</w:t>
      </w:r>
      <w:r>
        <w:rPr>
          <w:rFonts w:hint="eastAsia"/>
          <w:sz w:val="24"/>
          <w:szCs w:val="24"/>
          <w:lang w:eastAsia="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综合分析累计开放床位数、累计占用床位数、床位周转次数、床位使用率、平均床日等指标信息。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综合分析医院职工总数、医护比、中高级职称占比、教授及副教授人数、药师人数等指标信息。</w:t>
      </w:r>
    </w:p>
    <w:p>
      <w:pPr>
        <w:pStyle w:val="9"/>
        <w:spacing w:line="360" w:lineRule="auto"/>
        <w:rPr>
          <w:sz w:val="24"/>
          <w:szCs w:val="24"/>
          <w:lang w:eastAsia="zh-CN"/>
        </w:rPr>
      </w:pPr>
      <w:r>
        <w:rPr>
          <w:rFonts w:hint="eastAsia"/>
          <w:sz w:val="24"/>
          <w:szCs w:val="24"/>
          <w:lang w:eastAsia="zh-CN"/>
        </w:rPr>
        <w:t>医疗质量</w:t>
      </w:r>
      <w:r>
        <w:rPr>
          <w:rFonts w:hint="eastAsia"/>
          <w:sz w:val="24"/>
          <w:szCs w:val="24"/>
          <w:lang w:eastAsia="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综合分析门诊药事相关指标，包含：辅助用药药占比、基本药物处方占比、PPI类药物收入使用量，以及按时间、按科室进行分析。</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综合分析住院药事相关指标，包含：辅助用药药占比、基本药物处方占比、PPI类药物收入使用量，以及按时间、按科室进行分析。</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重点监测患者住院总死亡率、手术患者住院死亡率、ICU患者收治率、ICU患者收治床日率，以及按时间，按科室进行挖掘分析。</w:t>
      </w:r>
    </w:p>
    <w:p>
      <w:pPr>
        <w:pStyle w:val="9"/>
        <w:spacing w:line="360" w:lineRule="auto"/>
        <w:rPr>
          <w:sz w:val="24"/>
          <w:szCs w:val="24"/>
          <w:lang w:eastAsia="zh-CN"/>
        </w:rPr>
      </w:pPr>
      <w:r>
        <w:rPr>
          <w:rFonts w:hint="eastAsia"/>
          <w:sz w:val="24"/>
          <w:szCs w:val="24"/>
          <w:lang w:eastAsia="zh-CN"/>
        </w:rPr>
        <w:t>公共卫生服务监管</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对所辖区域的社区卫生服务机构的基本公共卫生服务情况进行统计分析，使管理者更好的掌握辖区内居民健康状况等，包括：</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居民健康档案管理：支持按照行政区划、年份，季度等查询条件，显示居民健康档案基本情况。</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0-6岁儿童健康管理：支持按照行政区划、年份，季度等查询条件，显示0-6岁儿童健康信息。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孕产妇健康管理：支持按照行政区划、年份，季度等查询条件，显示孕产妇健康信息。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老年人健康管理：支持按照行政区划、年份，季度等查询条件，显示老年人健康信息。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高血压患者健康管理：支持按照行政区划、年份，季度等查询条件，显示高血压患者健康信息。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Ⅱ型糖尿病患者健康管理：支持按照行政区划、年份，季度等查询条件，显示Ⅱ型糖尿病患者健康信息。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严重精神障碍患者管理：支持按照行政区划、年份，季度等查询条件，显示严重精神障碍患者患者信息。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肺结核患者健康管理：支持按照行政区划、年份，季度等查询条件，显示肺结核患者健康信息。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中医药健康管理：支持按照行政区划、年份，季度等查询条件，显示中医药健康管理信息。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预防接种服务：支持按照行政区划、年份，季度等查询条件，显示疫苗预防接种信息。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传染病及突发公共卫生事件管理：支持按照行政区划、年份，季度等查询条件，显示传染病及突发公共卫生事件信息。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卫生计生监督协管服务：支持按照行政区划、年份，季度等查询条件，显示卫生计生监督协管8项服务信息。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健康教育：支持按照行政区划、年份，季度等查询条件，显示健康教育9项信息。</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综合查询：支持按照行政区划、年份，季度等查询条件，显示国家报表及个案查询15类信息。</w:t>
      </w:r>
    </w:p>
    <w:p>
      <w:pPr>
        <w:pStyle w:val="9"/>
        <w:spacing w:line="360" w:lineRule="auto"/>
        <w:rPr>
          <w:sz w:val="24"/>
          <w:szCs w:val="24"/>
          <w:lang w:eastAsia="zh-CN"/>
        </w:rPr>
      </w:pPr>
      <w:r>
        <w:rPr>
          <w:rFonts w:hint="eastAsia"/>
          <w:sz w:val="24"/>
          <w:szCs w:val="24"/>
          <w:lang w:eastAsia="zh-CN"/>
        </w:rPr>
        <w:t>卫生资源分析</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卫生机构监管：支持按照行政区划、年份等查询条件，展示卫生机构总体情况的信息数据，包括区域基层卫生机构数量情况、机构区域分布情况、机构构成情况、基层机构中医馆情况。</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卫生人力监管：支持按照行政区划、年份查询条件，展示区域卫生人力总体情况的信息数据，包括基层卫生机构卫生人员、基层医疗卫生机构卫生人员年份变化。</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卫生设施监管：支持按照行政区划、年份查询条件，展示区域设施设备情况的信息数据，包括主要设备台数情况、PAD设备分布情况。</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卫生经费监管：支持按照行政区划、年份查询条件，展示区域总体卫生经费情况的信息数据，包括基层卫生机构收支情况、总收入、总支出、基本公共卫生服务补助经费年份变化情况等。</w:t>
      </w:r>
    </w:p>
    <w:p>
      <w:pPr>
        <w:pStyle w:val="9"/>
        <w:spacing w:line="360" w:lineRule="auto"/>
        <w:rPr>
          <w:sz w:val="24"/>
          <w:szCs w:val="24"/>
          <w:lang w:eastAsia="zh-CN"/>
        </w:rPr>
      </w:pPr>
      <w:r>
        <w:rPr>
          <w:rFonts w:hint="eastAsia"/>
          <w:sz w:val="24"/>
          <w:szCs w:val="24"/>
          <w:lang w:eastAsia="zh-CN"/>
        </w:rPr>
        <w:t>医保数据分析</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对门诊、住院、药品的医保费用使用情况、医保类别进行分析；对各医共体成员单位的医保类别、刷卡人次、刷卡金额进行分析。</w:t>
      </w:r>
    </w:p>
    <w:p>
      <w:pPr>
        <w:pStyle w:val="8"/>
        <w:spacing w:before="0" w:line="360" w:lineRule="auto"/>
        <w:rPr>
          <w:sz w:val="24"/>
          <w:szCs w:val="24"/>
          <w:lang w:eastAsia="zh-CN"/>
        </w:rPr>
      </w:pPr>
      <w:r>
        <w:rPr>
          <w:rFonts w:hint="eastAsia"/>
          <w:sz w:val="24"/>
          <w:szCs w:val="24"/>
          <w:lang w:eastAsia="zh-CN"/>
        </w:rPr>
        <w:t>可视化展示</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对日常运营基本监测、门诊情况、住院情况、手术情况、收入情况的可视化展示。</w:t>
      </w:r>
    </w:p>
    <w:p>
      <w:pPr>
        <w:pStyle w:val="9"/>
        <w:spacing w:line="360" w:lineRule="auto"/>
        <w:rPr>
          <w:sz w:val="24"/>
          <w:szCs w:val="24"/>
          <w:lang w:eastAsia="zh-CN"/>
        </w:rPr>
      </w:pPr>
      <w:r>
        <w:rPr>
          <w:rFonts w:hint="eastAsia"/>
          <w:sz w:val="24"/>
          <w:szCs w:val="24"/>
          <w:lang w:eastAsia="zh-CN"/>
        </w:rPr>
        <w:t>总体监测</w:t>
      </w:r>
      <w:r>
        <w:rPr>
          <w:rFonts w:hint="eastAsia"/>
          <w:sz w:val="24"/>
          <w:szCs w:val="24"/>
          <w:lang w:eastAsia="zh-CN"/>
        </w:rPr>
        <w:tab/>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运营总体状态，展示医共体的总体指标，包括收入、门急诊人次、出入院人次、手术台次等。</w:t>
      </w:r>
    </w:p>
    <w:p>
      <w:pPr>
        <w:pStyle w:val="9"/>
        <w:spacing w:line="360" w:lineRule="auto"/>
        <w:rPr>
          <w:sz w:val="24"/>
          <w:szCs w:val="24"/>
          <w:lang w:eastAsia="zh-CN"/>
        </w:rPr>
      </w:pPr>
      <w:r>
        <w:rPr>
          <w:rFonts w:hint="eastAsia"/>
          <w:sz w:val="24"/>
          <w:szCs w:val="24"/>
          <w:lang w:eastAsia="zh-CN"/>
        </w:rPr>
        <w:t>门诊业务监测</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展示医共体的门急诊就诊人次，体检人次，门急诊均次费、均次药费等指标展示。</w:t>
      </w:r>
    </w:p>
    <w:p>
      <w:pPr>
        <w:pStyle w:val="9"/>
        <w:spacing w:line="360" w:lineRule="auto"/>
        <w:rPr>
          <w:sz w:val="24"/>
          <w:szCs w:val="24"/>
          <w:lang w:eastAsia="zh-CN"/>
        </w:rPr>
      </w:pPr>
      <w:r>
        <w:rPr>
          <w:rFonts w:hint="eastAsia"/>
          <w:sz w:val="24"/>
          <w:szCs w:val="24"/>
          <w:lang w:eastAsia="zh-CN"/>
        </w:rPr>
        <w:t>住院业务监测</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展示医共体的出院人次、住院药占比、住院各类均次费，平均住院日等住院指标进行深入分析。</w:t>
      </w:r>
    </w:p>
    <w:p>
      <w:pPr>
        <w:pStyle w:val="9"/>
        <w:spacing w:line="360" w:lineRule="auto"/>
        <w:rPr>
          <w:sz w:val="24"/>
          <w:szCs w:val="24"/>
          <w:lang w:eastAsia="zh-CN"/>
        </w:rPr>
      </w:pPr>
      <w:r>
        <w:rPr>
          <w:rFonts w:hint="eastAsia"/>
          <w:sz w:val="24"/>
          <w:szCs w:val="24"/>
          <w:lang w:eastAsia="zh-CN"/>
        </w:rPr>
        <w:t>医院收入监测</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展示医共体的门急诊、住院等各类收入指标，如门诊费用、住院费用、医保费用等。</w:t>
      </w:r>
    </w:p>
    <w:p>
      <w:pPr>
        <w:pStyle w:val="7"/>
        <w:numPr>
          <w:ilvl w:val="4"/>
          <w:numId w:val="11"/>
        </w:numPr>
        <w:spacing w:before="0" w:beforeLines="0" w:after="0" w:afterLines="0" w:line="360" w:lineRule="auto"/>
        <w:rPr>
          <w:sz w:val="24"/>
          <w:szCs w:val="24"/>
          <w:lang w:eastAsia="zh-CN"/>
        </w:rPr>
      </w:pPr>
      <w:bookmarkStart w:id="93" w:name="_Toc146042236"/>
      <w:r>
        <w:rPr>
          <w:rFonts w:hint="eastAsia"/>
          <w:sz w:val="24"/>
          <w:szCs w:val="24"/>
          <w:lang w:eastAsia="zh-CN"/>
        </w:rPr>
        <w:t>机房建设</w:t>
      </w:r>
      <w:bookmarkEnd w:id="93"/>
    </w:p>
    <w:p>
      <w:pPr>
        <w:pStyle w:val="8"/>
        <w:numPr>
          <w:ilvl w:val="0"/>
          <w:numId w:val="0"/>
        </w:numPr>
        <w:spacing w:before="0" w:line="360" w:lineRule="auto"/>
        <w:ind w:left="1152" w:hanging="1152"/>
        <w:rPr>
          <w:sz w:val="24"/>
          <w:szCs w:val="24"/>
        </w:rPr>
      </w:pPr>
      <w:r>
        <w:rPr>
          <w:rFonts w:hint="eastAsia"/>
          <w:sz w:val="24"/>
          <w:szCs w:val="24"/>
        </w:rPr>
        <w:t>机房建设</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本次项目机房主要在玛纳斯县医院10楼机房，面积约51.84m</w:t>
      </w:r>
      <w:r>
        <w:rPr>
          <w:rFonts w:ascii="Calibri" w:hAnsi="Calibri" w:eastAsia="仿宋" w:cs="Calibri"/>
          <w:sz w:val="24"/>
          <w:szCs w:val="24"/>
          <w:lang w:val="zh-CN" w:eastAsia="zh-CN"/>
        </w:rPr>
        <w:t>²</w:t>
      </w:r>
      <w:r>
        <w:rPr>
          <w:rFonts w:hint="eastAsia" w:ascii="仿宋" w:hAnsi="仿宋" w:eastAsia="仿宋" w:cs="仿宋"/>
          <w:sz w:val="24"/>
          <w:szCs w:val="24"/>
          <w:lang w:val="zh-CN" w:eastAsia="zh-CN"/>
        </w:rPr>
        <w:t>。</w:t>
      </w:r>
      <w:r>
        <w:rPr>
          <w:rFonts w:hint="eastAsia" w:ascii="仿宋" w:hAnsi="仿宋" w:eastAsia="仿宋"/>
          <w:sz w:val="24"/>
          <w:szCs w:val="24"/>
          <w:lang w:val="zh-CN" w:eastAsia="zh-CN"/>
        </w:rPr>
        <w:t>10楼机房防静电地板已安装完毕、原机房配电、监控系统、消防系统等可以使用满足本次项目要求。原有机柜</w:t>
      </w:r>
      <w:r>
        <w:rPr>
          <w:rFonts w:ascii="仿宋" w:hAnsi="仿宋" w:eastAsia="仿宋"/>
          <w:sz w:val="24"/>
          <w:szCs w:val="24"/>
          <w:lang w:val="zh-CN" w:eastAsia="zh-CN"/>
        </w:rPr>
        <w:t>10</w:t>
      </w:r>
      <w:r>
        <w:rPr>
          <w:rFonts w:hint="eastAsia" w:ascii="仿宋" w:hAnsi="仿宋" w:eastAsia="仿宋"/>
          <w:sz w:val="24"/>
          <w:szCs w:val="24"/>
          <w:lang w:val="zh-CN" w:eastAsia="zh-CN"/>
        </w:rPr>
        <w:t>个，拟采购2个服务器机柜。UPS满足本次项目使用。</w:t>
      </w:r>
    </w:p>
    <w:p>
      <w:pPr>
        <w:pStyle w:val="8"/>
        <w:numPr>
          <w:ilvl w:val="0"/>
          <w:numId w:val="0"/>
        </w:numPr>
        <w:spacing w:before="0" w:line="360" w:lineRule="auto"/>
        <w:ind w:left="1152" w:hanging="1152"/>
        <w:rPr>
          <w:sz w:val="24"/>
          <w:szCs w:val="24"/>
          <w:lang w:eastAsia="zh-CN"/>
        </w:rPr>
      </w:pPr>
      <w:r>
        <w:rPr>
          <w:rFonts w:hint="eastAsia"/>
          <w:sz w:val="24"/>
          <w:szCs w:val="24"/>
          <w:lang w:eastAsia="zh-CN"/>
        </w:rPr>
        <w:t>建设规模及配置</w:t>
      </w:r>
    </w:p>
    <w:p>
      <w:pPr>
        <w:spacing w:line="360" w:lineRule="auto"/>
        <w:ind w:firstLine="480"/>
        <w:rPr>
          <w:rFonts w:ascii="仿宋" w:hAnsi="仿宋" w:eastAsia="仿宋"/>
          <w:sz w:val="24"/>
          <w:szCs w:val="24"/>
          <w:lang w:val="zh-CN" w:eastAsia="zh-CN"/>
        </w:rPr>
      </w:pPr>
      <w:r>
        <w:rPr>
          <w:rFonts w:hint="eastAsia" w:ascii="仿宋" w:hAnsi="仿宋" w:eastAsia="仿宋"/>
          <w:sz w:val="24"/>
          <w:szCs w:val="24"/>
          <w:lang w:val="zh-CN" w:eastAsia="zh-CN"/>
        </w:rPr>
        <w:t>本次项目在原有玛纳斯县医院10楼机房新增2台42U标准机柜、2台5P空调。</w:t>
      </w:r>
    </w:p>
    <w:p>
      <w:pPr>
        <w:pStyle w:val="5"/>
        <w:numPr>
          <w:ilvl w:val="0"/>
          <w:numId w:val="8"/>
        </w:numPr>
        <w:spacing w:before="360" w:after="360"/>
        <w:rPr>
          <w:sz w:val="32"/>
          <w:szCs w:val="32"/>
          <w:lang w:eastAsia="zh-CN"/>
        </w:rPr>
      </w:pPr>
      <w:r>
        <w:rPr>
          <w:rFonts w:hint="eastAsia"/>
          <w:sz w:val="32"/>
          <w:szCs w:val="32"/>
          <w:lang w:eastAsia="zh-CN"/>
        </w:rPr>
        <w:t>硬件配置清单</w:t>
      </w:r>
    </w:p>
    <w:tbl>
      <w:tblPr>
        <w:tblStyle w:val="41"/>
        <w:tblW w:w="9240" w:type="dxa"/>
        <w:tblInd w:w="0" w:type="dxa"/>
        <w:tblLayout w:type="fixed"/>
        <w:tblCellMar>
          <w:top w:w="0" w:type="dxa"/>
          <w:left w:w="108" w:type="dxa"/>
          <w:bottom w:w="0" w:type="dxa"/>
          <w:right w:w="108" w:type="dxa"/>
        </w:tblCellMar>
      </w:tblPr>
      <w:tblGrid>
        <w:gridCol w:w="448"/>
        <w:gridCol w:w="936"/>
        <w:gridCol w:w="6918"/>
        <w:gridCol w:w="452"/>
        <w:gridCol w:w="486"/>
      </w:tblGrid>
      <w:tr>
        <w:tblPrEx>
          <w:tblCellMar>
            <w:top w:w="0" w:type="dxa"/>
            <w:left w:w="108" w:type="dxa"/>
            <w:bottom w:w="0" w:type="dxa"/>
            <w:right w:w="108" w:type="dxa"/>
          </w:tblCellMar>
        </w:tblPrEx>
        <w:trPr>
          <w:trHeight w:val="20" w:hRule="atLeast"/>
          <w:tblHeader/>
        </w:trPr>
        <w:tc>
          <w:tcPr>
            <w:tcW w:w="4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序号</w:t>
            </w:r>
          </w:p>
        </w:tc>
        <w:tc>
          <w:tcPr>
            <w:tcW w:w="9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设备名称</w:t>
            </w:r>
          </w:p>
        </w:tc>
        <w:tc>
          <w:tcPr>
            <w:tcW w:w="69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技术参数/功能描述</w:t>
            </w:r>
          </w:p>
        </w:tc>
        <w:tc>
          <w:tcPr>
            <w:tcW w:w="4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单位</w:t>
            </w: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数量</w:t>
            </w:r>
          </w:p>
        </w:tc>
      </w:tr>
      <w:tr>
        <w:tblPrEx>
          <w:tblCellMar>
            <w:top w:w="0" w:type="dxa"/>
            <w:left w:w="108" w:type="dxa"/>
            <w:bottom w:w="0" w:type="dxa"/>
            <w:right w:w="108" w:type="dxa"/>
          </w:tblCellMar>
        </w:tblPrEx>
        <w:trPr>
          <w:trHeight w:val="20" w:hRule="atLeast"/>
        </w:trPr>
        <w:tc>
          <w:tcPr>
            <w:tcW w:w="9240" w:type="dxa"/>
            <w:gridSpan w:val="5"/>
            <w:tcBorders>
              <w:top w:val="single" w:color="auto" w:sz="4" w:space="0"/>
              <w:left w:val="single" w:color="auto" w:sz="4" w:space="0"/>
              <w:bottom w:val="single" w:color="auto" w:sz="4" w:space="0"/>
              <w:right w:val="nil"/>
            </w:tcBorders>
            <w:shd w:val="clear" w:color="auto" w:fill="auto"/>
            <w:noWrap/>
            <w:vAlign w:val="center"/>
          </w:tcPr>
          <w:p>
            <w:pPr>
              <w:widowControl/>
              <w:jc w:val="center"/>
              <w:rPr>
                <w:rFonts w:ascii="宋体" w:hAnsi="宋体" w:eastAsia="宋体" w:cs="宋体"/>
                <w:b/>
                <w:bCs/>
                <w:sz w:val="18"/>
                <w:szCs w:val="18"/>
              </w:rPr>
            </w:pPr>
            <w:r>
              <w:rPr>
                <w:rFonts w:hint="eastAsia" w:ascii="宋体" w:hAnsi="宋体" w:eastAsia="宋体" w:cs="宋体"/>
                <w:b/>
                <w:bCs/>
                <w:sz w:val="18"/>
                <w:szCs w:val="18"/>
              </w:rPr>
              <w:t>一、网络建设</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内网核心交换机</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1、交换容量≥75Tbps，包转发率≥57000Mpps；</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2、★设备主控槽位≥2个，业务槽位≥6个，电源槽位≥4个。支持独立的硬件监控模块, 支持1+1备份，能集中监控板卡、风扇、电源、环境，调节能耗；</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3、主控槽位与业务槽位宽度相同，为全宽槽位，机箱采用后出风风道设计；</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4、支持纵向虚拟化技术，支持把交换机和AP虚拟为一台设备来管理，支持两层子节点，且子节点接入交换机支持堆叠；</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5、★为响应国产化要求，要求设备采用国产自研的主控芯片和转发芯片，提供第三方权威测试报告并加盖厂商有效印章；</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6、支持整机MAC地址≥1M，ARP表项≥256K，IPv4路由转发FIB表项≥1M，提供第三方权威测试报告并加盖厂商有效印章；</w:t>
            </w:r>
          </w:p>
          <w:p>
            <w:pPr>
              <w:widowControl/>
              <w:jc w:val="both"/>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7、支持VxLAN功能，支持VxLAN二层网关、三层网关，支持BGP EVPN，支持分布式Anycast网关，支持VxLAN Fabric的自动化部署，提供第三方权威测试报告并加盖厂商有效印章；</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8、支持静态路由、RIP、RIPng、OSPF、OSPFv3、BGP、BGP4+、ISIS、SISv6，支持路由协议多实例，支持GR for OSPF/IS-IS/BGP；</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9、支持真实业务流的实时检测技术，秒级快速故障定位；</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10、支持硬件BFD/OAM，3.3ms稳定均匀发包检测，提高设备的可靠性；</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11、支持通过Netstream采集网络数据，上报给网络安全智能系统，进行网络的安全威胁事件信息检测和全网的安全态势感知，提供证明材料并加盖厂商有效印章；</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12、为简化用户权限的管理，支持无论用户位置在哪里、IP地址是什么，用户的网络权限保持不变，提供第三方权威测试报告并加盖厂商有效印章；</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13、资质要求：设备厂商具有质量管理体系（ISO9001）、信息安全管理体系（ISO27001）、供应链安全管理体系（ISO28000）认证，提供证书复印件证明并加盖厂商有效印章；</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14、★实配：主控板≥2个，独立的硬件监控模块≥2个，电源≥2个，千兆电口≥48个，万兆光口≥48个，万兆多模光模块≥4个，万兆堆叠线缆≥1根，原厂三年质保。</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台</w:t>
            </w:r>
          </w:p>
        </w:tc>
        <w:tc>
          <w:tcPr>
            <w:tcW w:w="4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外网核心交换机</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1、交换容量≥75Tbps，包转发率≥57000Mpps；</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2、★设备主控槽位≥2个，业务槽位≥6个，电源槽位≥4个。支持独立的硬件监控模块, 支持1+1备份，能集中监控板卡、风扇、电源、环境，调节能耗；</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3、主控板槽位与业务槽位宽度相同，为全宽槽位，机箱采用后出风风道设计；</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4、支持纵向虚拟化技术，支持把交换机和AP虚拟为一台设备来管理，支持两层子节点，且子节点接入交换机支持堆叠；</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5、★为响应国产化要求，要求设备采用国产自研的主控芯片和转发芯片，提供第三方权威测试报告并加盖厂商有效印章；</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6、支持整机MAC地址≥1M，ARP表项≥256K，IPv4路由转发FIB表项≥1M，提供第三方权威测试报告并加盖厂商有效印章；</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7、支持VxLAN功能，支持VxLAN二层网关、三层网关，支持BGP EVPN，支持分布式Anycast网关，支持VxLAN Fabric的自动化部署，提供第三方权威测试报告并加盖厂商有效印章；</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8、支持静态路由、RIP、RIPng、OSPF、OSPFv3、BGP、BGP4+、ISIS、SISv6，支持路由协议多实例，支持GR for OSPF/IS-IS/BGP；</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9、支持真实业务流的实时检测技术，秒级快速故障定位；</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10、支持硬件BFD/OAM，3.3ms稳定均匀发包检测，提高设备的可靠性；</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11、支持通过Netstream采集网络数据，上报给网络安全智能系统，进行网络的安全威胁事件信息检测和全网的安全态势感知，提供证明材料；</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12、为简化用户权限的管理，支持无论用户位置在哪里、IP地址是什么，用户的网络权限保持不变，提供第三方权威测试报告并加盖厂商有效印章；</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13、资质要求：设备厂商具有质量管理体系（ISO9001）、信息安全管理体系（ISO27001）、供应链安全管理体系（ISO28000）认证，提供证书复印件证明并加盖厂商有效印章；</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14、★实配：主控板≥2个，独立的硬件监控模块≥2个，电源≥2个，千兆电口≥48个，万兆光口≥48个，万兆多模光模块≥4个，万兆堆叠线缆≥1根，原厂三年质保。</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台</w:t>
            </w:r>
          </w:p>
        </w:tc>
        <w:tc>
          <w:tcPr>
            <w:tcW w:w="4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3</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内网汇聚交换机</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1、交换容量≥1.3Tbps，包转发率≥420Mpps；</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2、★支持千兆光口≥24个，万兆SFP+接口≥4个，支持业务扩展插槽数≥1，支持扩展8个SFP+端口或4个40GE QSFP+端口，支持模块化可插拔双电源；</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3、配置标准USB接口，支持U盘快速开局；</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4、支持MAC表项≥32K，支持IPv4路由FIB表≥8K，IPv6路由FIB表≥4K，提供第三方权威检测报告并加盖厂商有效印章；</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5、支持4K VLAN，支持Guest VLAN、Voice VLAN、MAX VLAN等；</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6、支持IPv4/IPv6双协议栈，支持6to4、ISATAP、手动配置tunnel；</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7、支持静态路由、RIP v1/v2、OSPF、BGP、ISIS、RIPng、OSPFv3、ISISv6、BGP4+；</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8、★支持纵向虚拟化，支持与AP虚拟为一台设备，提供第三方权威检测报告并加盖厂商有效印章；</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9、资质要求：设备厂商具有质量管理体系（ISO9001）、信息安全管理体系（ISO27001）、供应链安全管理体系（ISO28000）认证，提供证书复印件证明并加盖厂商有效印章；</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10、实配：交流电源≥2块，万兆单模光模块≥4个，三年原厂质保。</w:t>
            </w:r>
          </w:p>
        </w:tc>
        <w:tc>
          <w:tcPr>
            <w:tcW w:w="4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台</w:t>
            </w:r>
          </w:p>
        </w:tc>
        <w:tc>
          <w:tcPr>
            <w:tcW w:w="4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4</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4</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外网汇聚交换机</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1、交换容量≥1.3Tbps，包转发率≥420Mpps；</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2、支持千兆光口≥24个，万兆SFP+接口≥4个，支持业务扩展插槽数≥1，支持扩展8个SFP+端口或4个40GE QSFP+端口，支持模块化可插拔双电源；</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3、配置标准USB接口，支持U盘快速开局；</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4、支持MAC表项≥32K，支持IPv4路由FIB表≥8K，IPv6路由FIB表≥4K，提供第三方权威检测报告并加盖厂商有效印章；</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5、支持4K VLAN，支持Guest VLAN、Voice VLAN、MAX VLAN等；</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6、支持IPv4/IPv6双协议栈，支持6to4、ISATAP、手动配置tunnel；</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7、支持静态路由、RIP v1/v2、OSPF、BGP、ISIS、RIPng、OSPFv3、ISISv6、BGP4+；</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8、★支持纵向虚拟化，支持与AP虚拟为一台设备，提供第三方权威检测报告并加盖厂商有效印章；</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9、资质要求：设备厂商具有质量管理体系（ISO9001）、信息安全管理体系（ISO27001）、供应链安全管理体系（ISO28000）认证，提供证书复印件证明并加盖厂商有效印章；</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10、实配：交流电源≥2块，万兆单模光模块≥4个，三年原厂质保。</w:t>
            </w:r>
          </w:p>
        </w:tc>
        <w:tc>
          <w:tcPr>
            <w:tcW w:w="4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台</w:t>
            </w:r>
          </w:p>
        </w:tc>
        <w:tc>
          <w:tcPr>
            <w:tcW w:w="4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5</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内网24口POE交换机</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1、交换容量≥520Gbps，包转发率≥120Mpps；</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2、支持千兆POE电口≥24个，千兆SFP接口≥4个；</w:t>
            </w:r>
          </w:p>
          <w:p>
            <w:pPr>
              <w:widowControl/>
              <w:rPr>
                <w:rFonts w:ascii="宋体" w:hAnsi="宋体" w:eastAsia="宋体" w:cs="宋体"/>
                <w:color w:val="000000"/>
                <w:sz w:val="18"/>
                <w:szCs w:val="18"/>
              </w:rPr>
            </w:pPr>
            <w:r>
              <w:rPr>
                <w:rFonts w:hint="eastAsia" w:ascii="宋体" w:hAnsi="宋体" w:eastAsia="宋体" w:cs="宋体"/>
                <w:color w:val="000000"/>
                <w:sz w:val="18"/>
                <w:szCs w:val="18"/>
              </w:rPr>
              <w:t>3、支持4K VLAN，支持Guest VLAN、Voice VLAN、MAX VLAN等；</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4、支持静态路由、RIPv1/2、RIPng、OSPF、OSPFv3；</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5、支持MAC表项≥32K，支持IPv4 路由表≥4K，支持IPv6 路由表≥1K，提供第三方权威检测报告并加盖厂商有效印章；</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6、★为响应国产化要求，要求设备采用国产自研的主控芯片，提供第三方权威检测报告并加盖厂商有效印章；</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7、支持统一用户管理功能，支持802.1X/MAC/Portal等多种认证方式，支持同时在线人数≥1000；</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8、支持堆叠，主机堆叠数不小于9台，支持G.8032（ERPS）标准以太环网协议；</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9、实配：千兆单模光模块≥4个，三年原厂质保。</w:t>
            </w:r>
          </w:p>
        </w:tc>
        <w:tc>
          <w:tcPr>
            <w:tcW w:w="4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台</w:t>
            </w:r>
          </w:p>
        </w:tc>
        <w:tc>
          <w:tcPr>
            <w:tcW w:w="4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17</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6</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外网24口POE交换机</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1、交换容量≥520Gbps，包转发率≥120Mpps；</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2、支持千兆POE电口≥24个，千兆SFP接口≥4个；</w:t>
            </w:r>
          </w:p>
          <w:p>
            <w:pPr>
              <w:widowControl/>
              <w:rPr>
                <w:rFonts w:ascii="宋体" w:hAnsi="宋体" w:eastAsia="宋体" w:cs="宋体"/>
                <w:color w:val="000000"/>
                <w:sz w:val="18"/>
                <w:szCs w:val="18"/>
              </w:rPr>
            </w:pPr>
            <w:r>
              <w:rPr>
                <w:rFonts w:hint="eastAsia" w:ascii="宋体" w:hAnsi="宋体" w:eastAsia="宋体" w:cs="宋体"/>
                <w:color w:val="000000"/>
                <w:sz w:val="18"/>
                <w:szCs w:val="18"/>
              </w:rPr>
              <w:t>3、支持4K VLAN，支持Guest VLAN、Voice VLAN、MAX VLAN等；</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4、支持静态路由、RIPv1/2、RIPng、OSPF、OSPFv3；</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5、支持MAC表项≥32K，支持IPv4 路由表≥4K，支持IPv6 路由表≥1K，提供第三方权威检测报告并加盖厂商有效印章；</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6、★为响应国产化要求，要求设备采用国产自研的主控芯片，提供第三方权威检测报告并加盖厂商有效印章；</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7、支持统一用户管理功能，支持802.1X/MAC/Portal等多种认证方式，支持同时在线人数≥1000；</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8、支持堆叠，主机堆叠数不小于9台，支持G.8032（ERPS）标准以太环网协议；</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9、实配：千兆单模光模块≥4个，三年原厂质保。</w:t>
            </w:r>
          </w:p>
        </w:tc>
        <w:tc>
          <w:tcPr>
            <w:tcW w:w="4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台</w:t>
            </w:r>
          </w:p>
        </w:tc>
        <w:tc>
          <w:tcPr>
            <w:tcW w:w="4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17</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7</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8口POE交换机</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1、交换容量≥520Gbps，包转发率≥100Mpps；</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2、支持千兆POE电口≥8个，千兆SFP接口≥4个；</w:t>
            </w:r>
          </w:p>
          <w:p>
            <w:pPr>
              <w:widowControl/>
              <w:rPr>
                <w:rFonts w:ascii="宋体" w:hAnsi="宋体" w:eastAsia="宋体" w:cs="宋体"/>
                <w:color w:val="000000"/>
                <w:sz w:val="18"/>
                <w:szCs w:val="18"/>
              </w:rPr>
            </w:pPr>
            <w:r>
              <w:rPr>
                <w:rFonts w:hint="eastAsia" w:ascii="宋体" w:hAnsi="宋体" w:eastAsia="宋体" w:cs="宋体"/>
                <w:color w:val="000000"/>
                <w:sz w:val="18"/>
                <w:szCs w:val="18"/>
              </w:rPr>
              <w:t>3、支持4K VLAN，支持Guest VLAN、Voice VLAN、MAX VLAN等；</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4、支持静态路由、RIPv1/2、RIPng、OSPF、OSPFv3；</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5、支持MAC表项≥32K，支持IPv4 路由表≥4K，支持IPv6 路由表≥1K，提供第三方权威检测报告并加盖厂商有效印章；</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6、★为响应国产化要求，要求设备采用国产自研的主控芯片，提供第三方权威检测报告并加盖厂商有效印章；</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7、支持统一用户管理功能，支持802.1X/MAC/Portal等多种认证方式，支持同时在线人数≥1000；</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8、支持堆叠，主机堆叠数不小于9台，支持G.8032（ERPS）标准以太环网协议；</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9、实配：千兆单模光模块≥4个，三年原厂质保。</w:t>
            </w:r>
          </w:p>
        </w:tc>
        <w:tc>
          <w:tcPr>
            <w:tcW w:w="4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台</w:t>
            </w:r>
          </w:p>
        </w:tc>
        <w:tc>
          <w:tcPr>
            <w:tcW w:w="4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17</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8</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无线控制器</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1.三层转发吞吐量≥120Gbps，最大管理AP数量≥3K，最大接入用户数量≥36K；</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2.40G光口≥2个，10GE光口≥12个, GE电口≥8个，支持双电源冗余；</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3.支持静态路由，RIP-1/RIP-2，OSPF，BGP，IS-IS，路由策略、策略路由；</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4.支持MAC 地址认证、802.1x认证、Portal认证、MAC+Portal混合认证、WAPI认证；</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5.支持IPv6的动态路由协议：OSPFV3，BGP4+；AP支持IPv4与IPv6双栈与AC建立capwap隧道，且被正常管理，提供证明材料；</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6、支持EoGRE功能，两台AC之间通过IP/MPLS骨干网相连，实现二层互访；</w:t>
            </w:r>
          </w:p>
          <w:p>
            <w:pPr>
              <w:widowControl/>
              <w:rPr>
                <w:rFonts w:ascii="宋体" w:hAnsi="宋体" w:eastAsia="宋体" w:cs="宋体"/>
                <w:color w:val="000000"/>
                <w:sz w:val="18"/>
                <w:szCs w:val="18"/>
                <w:lang w:eastAsia="zh-CN"/>
              </w:rPr>
            </w:pPr>
            <w:r>
              <w:rPr>
                <w:rFonts w:ascii="宋体" w:hAnsi="宋体" w:eastAsia="宋体" w:cs="宋体"/>
                <w:color w:val="000000"/>
                <w:sz w:val="18"/>
                <w:szCs w:val="18"/>
                <w:lang w:eastAsia="zh-CN"/>
              </w:rPr>
              <w:t>7.</w:t>
            </w:r>
            <w:r>
              <w:rPr>
                <w:rFonts w:hint="eastAsia" w:ascii="宋体" w:hAnsi="宋体" w:eastAsia="宋体" w:cs="宋体"/>
                <w:color w:val="000000"/>
                <w:sz w:val="18"/>
                <w:szCs w:val="18"/>
                <w:lang w:eastAsia="zh-CN"/>
              </w:rPr>
              <w:t>支持广域认证逃生，在</w:t>
            </w:r>
            <w:r>
              <w:rPr>
                <w:rFonts w:ascii="宋体" w:hAnsi="宋体" w:eastAsia="宋体" w:cs="宋体"/>
                <w:color w:val="000000"/>
                <w:sz w:val="18"/>
                <w:szCs w:val="18"/>
                <w:lang w:eastAsia="zh-CN"/>
              </w:rPr>
              <w:t>CAPWAP</w:t>
            </w:r>
            <w:r>
              <w:rPr>
                <w:rFonts w:hint="eastAsia" w:ascii="宋体" w:hAnsi="宋体" w:eastAsia="宋体" w:cs="宋体"/>
                <w:color w:val="000000"/>
                <w:sz w:val="18"/>
                <w:szCs w:val="18"/>
                <w:lang w:eastAsia="zh-CN"/>
              </w:rPr>
              <w:t>链路</w:t>
            </w:r>
            <w:r>
              <w:rPr>
                <w:rFonts w:hint="eastAsia" w:ascii="Batang" w:hAnsi="Batang" w:eastAsia="Batang" w:cs="Batang"/>
                <w:color w:val="000000"/>
                <w:sz w:val="18"/>
                <w:szCs w:val="18"/>
                <w:lang w:eastAsia="zh-CN"/>
              </w:rPr>
              <w:t>路</w:t>
            </w:r>
            <w:r>
              <w:rPr>
                <w:rFonts w:hint="eastAsia" w:ascii="宋体" w:hAnsi="宋体" w:eastAsia="宋体" w:cs="宋体"/>
                <w:color w:val="000000"/>
                <w:sz w:val="18"/>
                <w:szCs w:val="18"/>
                <w:lang w:eastAsia="zh-CN"/>
              </w:rPr>
              <w:t>故障后，</w:t>
            </w:r>
            <w:r>
              <w:rPr>
                <w:rFonts w:ascii="宋体" w:hAnsi="宋体" w:eastAsia="宋体" w:cs="宋体"/>
                <w:color w:val="000000"/>
                <w:sz w:val="18"/>
                <w:szCs w:val="18"/>
                <w:lang w:eastAsia="zh-CN"/>
              </w:rPr>
              <w:t xml:space="preserve">MAC </w:t>
            </w:r>
            <w:r>
              <w:rPr>
                <w:rFonts w:hint="eastAsia" w:ascii="宋体" w:hAnsi="宋体" w:eastAsia="宋体" w:cs="宋体"/>
                <w:color w:val="000000"/>
                <w:sz w:val="18"/>
                <w:szCs w:val="18"/>
                <w:lang w:eastAsia="zh-CN"/>
              </w:rPr>
              <w:t>或者</w:t>
            </w:r>
            <w:r>
              <w:rPr>
                <w:rFonts w:ascii="宋体" w:hAnsi="宋体" w:eastAsia="宋体" w:cs="宋体"/>
                <w:color w:val="000000"/>
                <w:sz w:val="18"/>
                <w:szCs w:val="18"/>
                <w:lang w:eastAsia="zh-CN"/>
              </w:rPr>
              <w:t xml:space="preserve"> 802.1x </w:t>
            </w:r>
            <w:r>
              <w:rPr>
                <w:rFonts w:hint="eastAsia" w:ascii="宋体" w:hAnsi="宋体" w:eastAsia="宋体" w:cs="宋体"/>
                <w:color w:val="000000"/>
                <w:sz w:val="18"/>
                <w:szCs w:val="18"/>
                <w:lang w:eastAsia="zh-CN"/>
              </w:rPr>
              <w:t>认证逃</w:t>
            </w:r>
            <w:r>
              <w:rPr>
                <w:rFonts w:hint="eastAsia" w:ascii="微软雅黑" w:hAnsi="微软雅黑" w:eastAsia="微软雅黑" w:cs="微软雅黑"/>
                <w:color w:val="000000"/>
                <w:sz w:val="18"/>
                <w:szCs w:val="18"/>
                <w:lang w:eastAsia="zh-CN"/>
              </w:rPr>
              <w:t>⽣</w:t>
            </w:r>
            <w:r>
              <w:rPr>
                <w:rFonts w:hint="eastAsia" w:ascii="宋体" w:hAnsi="宋体" w:eastAsia="宋体" w:cs="宋体"/>
                <w:color w:val="000000"/>
                <w:sz w:val="18"/>
                <w:szCs w:val="18"/>
                <w:lang w:eastAsia="zh-CN"/>
              </w:rPr>
              <w:t>到本地认证；</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8.AC支持可视化端到端的故障诊断，显示用户、AP、AC连接图，呈现故障根因和处理建议，提供证明材料；</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9.资质要求：设备厂商具有质量管理体系（ISO9001）、信息安全管理体系（ISO27001）、供应链安全管理体系（ISO28000）认证，提供证书复印件证明并加盖厂商有效印章；</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10.实配：配置本次项目所有AP的管理授权，万兆多模光模块≥4个，双电源，三年原厂质保。</w:t>
            </w:r>
          </w:p>
          <w:p>
            <w:pPr>
              <w:widowControl/>
              <w:rPr>
                <w:rFonts w:ascii="宋体" w:hAnsi="宋体" w:eastAsia="宋体" w:cs="宋体"/>
                <w:color w:val="000000"/>
                <w:sz w:val="18"/>
                <w:szCs w:val="18"/>
                <w:lang w:eastAsia="zh-CN"/>
              </w:rPr>
            </w:pP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台</w:t>
            </w:r>
          </w:p>
        </w:tc>
        <w:tc>
          <w:tcPr>
            <w:tcW w:w="4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9</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吸顶式AP</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1、支持2.4GHz/5GHz双频段，所有射频均支持802.11ax标准；</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2、整机最大支持4空间流，最大接入速率≥1.7Gbps；</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3、5G射频支持802.11ax 2x2 MU-MIMO，2.4G射频支持802.11ax 2x2 MU-MIMO；</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4、支持1个GE电口，支持USB接口，可扩展物联网应用；</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4、内置蓝牙5.0，可实现蓝牙终端精确定位和蓝牙串口远距无线运维；</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5、支持Mini AC功能，即在无AC组网的场景，AP可作为AC管理其他AP，提供证明材料；</w:t>
            </w:r>
          </w:p>
          <w:p>
            <w:pPr>
              <w:widowControl/>
              <w:rPr>
                <w:rFonts w:ascii="宋体" w:hAnsi="宋体" w:eastAsia="宋体" w:cs="宋体"/>
                <w:color w:val="000000"/>
                <w:sz w:val="18"/>
                <w:szCs w:val="18"/>
                <w:lang w:eastAsia="zh-CN"/>
              </w:rPr>
            </w:pPr>
            <w:r>
              <w:rPr>
                <w:rFonts w:ascii="宋体" w:hAnsi="宋体" w:eastAsia="宋体" w:cs="宋体"/>
                <w:color w:val="000000"/>
                <w:sz w:val="18"/>
                <w:szCs w:val="18"/>
                <w:lang w:eastAsia="zh-CN"/>
              </w:rPr>
              <w:t>6</w:t>
            </w:r>
            <w:r>
              <w:rPr>
                <w:rFonts w:hint="eastAsia" w:ascii="宋体" w:hAnsi="宋体" w:eastAsia="宋体" w:cs="宋体"/>
                <w:color w:val="000000"/>
                <w:sz w:val="18"/>
                <w:szCs w:val="18"/>
                <w:lang w:eastAsia="zh-CN"/>
              </w:rPr>
              <w:t>、</w:t>
            </w:r>
            <w:r>
              <w:rPr>
                <w:rFonts w:hint="eastAsia" w:ascii="微软雅黑" w:hAnsi="微软雅黑" w:eastAsia="微软雅黑" w:cs="微软雅黑"/>
                <w:color w:val="000000"/>
                <w:sz w:val="18"/>
                <w:szCs w:val="18"/>
                <w:lang w:eastAsia="zh-CN"/>
              </w:rPr>
              <w:t>⽀</w:t>
            </w:r>
            <w:r>
              <w:rPr>
                <w:rFonts w:hint="eastAsia" w:ascii="宋体" w:hAnsi="宋体" w:eastAsia="宋体" w:cs="宋体"/>
                <w:color w:val="000000"/>
                <w:sz w:val="18"/>
                <w:szCs w:val="18"/>
                <w:lang w:eastAsia="zh-CN"/>
              </w:rPr>
              <w:t>持</w:t>
            </w:r>
            <w:r>
              <w:rPr>
                <w:rFonts w:ascii="宋体" w:hAnsi="宋体" w:eastAsia="宋体" w:cs="宋体"/>
                <w:color w:val="000000"/>
                <w:sz w:val="18"/>
                <w:szCs w:val="18"/>
                <w:lang w:eastAsia="zh-CN"/>
              </w:rPr>
              <w:t>DPSK</w:t>
            </w:r>
            <w:r>
              <w:rPr>
                <w:rFonts w:hint="eastAsia" w:ascii="宋体" w:hAnsi="宋体" w:eastAsia="宋体" w:cs="宋体"/>
                <w:color w:val="000000"/>
                <w:sz w:val="18"/>
                <w:szCs w:val="18"/>
                <w:lang w:eastAsia="zh-CN"/>
              </w:rPr>
              <w:t>，为每个</w:t>
            </w:r>
            <w:r>
              <w:rPr>
                <w:rFonts w:hint="eastAsia" w:ascii="微软雅黑" w:hAnsi="微软雅黑" w:eastAsia="微软雅黑" w:cs="微软雅黑"/>
                <w:color w:val="000000"/>
                <w:sz w:val="18"/>
                <w:szCs w:val="18"/>
                <w:lang w:eastAsia="zh-CN"/>
              </w:rPr>
              <w:t>⽤</w:t>
            </w:r>
            <w:r>
              <w:rPr>
                <w:rFonts w:hint="eastAsia" w:ascii="宋体" w:hAnsi="宋体" w:eastAsia="宋体" w:cs="宋体"/>
                <w:color w:val="000000"/>
                <w:sz w:val="18"/>
                <w:szCs w:val="18"/>
                <w:lang w:eastAsia="zh-CN"/>
              </w:rPr>
              <w:t>户终端创建独</w:t>
            </w:r>
            <w:r>
              <w:rPr>
                <w:rFonts w:hint="eastAsia" w:ascii="微软雅黑" w:hAnsi="微软雅黑" w:eastAsia="微软雅黑" w:cs="微软雅黑"/>
                <w:color w:val="000000"/>
                <w:sz w:val="18"/>
                <w:szCs w:val="18"/>
                <w:lang w:eastAsia="zh-CN"/>
              </w:rPr>
              <w:t>⽴</w:t>
            </w:r>
            <w:r>
              <w:rPr>
                <w:rFonts w:hint="eastAsia" w:ascii="宋体" w:hAnsi="宋体" w:eastAsia="宋体" w:cs="宋体"/>
                <w:color w:val="000000"/>
                <w:sz w:val="18"/>
                <w:szCs w:val="18"/>
                <w:lang w:eastAsia="zh-CN"/>
              </w:rPr>
              <w:t>的密码，并统</w:t>
            </w:r>
            <w:r>
              <w:rPr>
                <w:rFonts w:hint="eastAsia" w:ascii="微软雅黑" w:hAnsi="微软雅黑" w:eastAsia="微软雅黑" w:cs="微软雅黑"/>
                <w:color w:val="000000"/>
                <w:sz w:val="18"/>
                <w:szCs w:val="18"/>
                <w:lang w:eastAsia="zh-CN"/>
              </w:rPr>
              <w:t>⼀</w:t>
            </w:r>
            <w:r>
              <w:rPr>
                <w:rFonts w:hint="eastAsia" w:ascii="宋体" w:hAnsi="宋体" w:eastAsia="宋体" w:cs="宋体"/>
                <w:color w:val="000000"/>
                <w:sz w:val="18"/>
                <w:szCs w:val="18"/>
                <w:lang w:eastAsia="zh-CN"/>
              </w:rPr>
              <w:t>采</w:t>
            </w:r>
            <w:r>
              <w:rPr>
                <w:rFonts w:hint="eastAsia" w:ascii="微软雅黑" w:hAnsi="微软雅黑" w:eastAsia="微软雅黑" w:cs="微软雅黑"/>
                <w:color w:val="000000"/>
                <w:sz w:val="18"/>
                <w:szCs w:val="18"/>
                <w:lang w:eastAsia="zh-CN"/>
              </w:rPr>
              <w:t>⽤</w:t>
            </w:r>
            <w:r>
              <w:rPr>
                <w:rFonts w:ascii="宋体" w:hAnsi="宋体" w:eastAsia="宋体" w:cs="宋体"/>
                <w:color w:val="000000"/>
                <w:sz w:val="18"/>
                <w:szCs w:val="18"/>
                <w:lang w:eastAsia="zh-CN"/>
              </w:rPr>
              <w:t>RADIUS</w:t>
            </w:r>
            <w:r>
              <w:rPr>
                <w:rFonts w:hint="eastAsia" w:ascii="宋体" w:hAnsi="宋体" w:eastAsia="宋体" w:cs="宋体"/>
                <w:color w:val="000000"/>
                <w:sz w:val="18"/>
                <w:szCs w:val="18"/>
                <w:lang w:eastAsia="zh-CN"/>
              </w:rPr>
              <w:t>服务器进</w:t>
            </w:r>
            <w:r>
              <w:rPr>
                <w:rFonts w:hint="eastAsia" w:ascii="微软雅黑" w:hAnsi="微软雅黑" w:eastAsia="微软雅黑" w:cs="微软雅黑"/>
                <w:color w:val="000000"/>
                <w:sz w:val="18"/>
                <w:szCs w:val="18"/>
                <w:lang w:eastAsia="zh-CN"/>
              </w:rPr>
              <w:t>⾏</w:t>
            </w:r>
            <w:r>
              <w:rPr>
                <w:rFonts w:hint="eastAsia" w:ascii="宋体" w:hAnsi="宋体" w:eastAsia="宋体" w:cs="宋体"/>
                <w:color w:val="000000"/>
                <w:sz w:val="18"/>
                <w:szCs w:val="18"/>
                <w:lang w:eastAsia="zh-CN"/>
              </w:rPr>
              <w:t>授权。</w:t>
            </w:r>
            <w:r>
              <w:rPr>
                <w:rFonts w:hint="eastAsia" w:ascii="微软雅黑" w:hAnsi="微软雅黑" w:eastAsia="微软雅黑" w:cs="微软雅黑"/>
                <w:color w:val="000000"/>
                <w:sz w:val="18"/>
                <w:szCs w:val="18"/>
                <w:lang w:eastAsia="zh-CN"/>
              </w:rPr>
              <w:t>⽤</w:t>
            </w:r>
            <w:r>
              <w:rPr>
                <w:rFonts w:hint="eastAsia" w:ascii="宋体" w:hAnsi="宋体" w:eastAsia="宋体" w:cs="宋体"/>
                <w:color w:val="000000"/>
                <w:sz w:val="18"/>
                <w:szCs w:val="18"/>
                <w:lang w:eastAsia="zh-CN"/>
              </w:rPr>
              <w:t>户侧体验与传统</w:t>
            </w:r>
            <w:r>
              <w:rPr>
                <w:rFonts w:ascii="宋体" w:hAnsi="宋体" w:eastAsia="宋体" w:cs="宋体"/>
                <w:color w:val="000000"/>
                <w:sz w:val="18"/>
                <w:szCs w:val="18"/>
                <w:lang w:eastAsia="zh-CN"/>
              </w:rPr>
              <w:t xml:space="preserve"> PSK</w:t>
            </w:r>
            <w:r>
              <w:rPr>
                <w:rFonts w:hint="eastAsia" w:ascii="宋体" w:hAnsi="宋体" w:eastAsia="宋体" w:cs="宋体"/>
                <w:color w:val="000000"/>
                <w:sz w:val="18"/>
                <w:szCs w:val="18"/>
                <w:lang w:eastAsia="zh-CN"/>
              </w:rPr>
              <w:t>密码登陆拥有相同的易</w:t>
            </w:r>
            <w:r>
              <w:rPr>
                <w:rFonts w:hint="eastAsia" w:ascii="微软雅黑" w:hAnsi="微软雅黑" w:eastAsia="微软雅黑" w:cs="微软雅黑"/>
                <w:color w:val="000000"/>
                <w:sz w:val="18"/>
                <w:szCs w:val="18"/>
                <w:lang w:eastAsia="zh-CN"/>
              </w:rPr>
              <w:t>⽤</w:t>
            </w:r>
            <w:r>
              <w:rPr>
                <w:rFonts w:hint="eastAsia" w:ascii="宋体" w:hAnsi="宋体" w:eastAsia="宋体" w:cs="宋体"/>
                <w:color w:val="000000"/>
                <w:sz w:val="18"/>
                <w:szCs w:val="18"/>
                <w:lang w:eastAsia="zh-CN"/>
              </w:rPr>
              <w:t>性，管理侧统</w:t>
            </w:r>
            <w:r>
              <w:rPr>
                <w:rFonts w:hint="eastAsia" w:ascii="微软雅黑" w:hAnsi="微软雅黑" w:eastAsia="微软雅黑" w:cs="微软雅黑"/>
                <w:color w:val="000000"/>
                <w:sz w:val="18"/>
                <w:szCs w:val="18"/>
                <w:lang w:eastAsia="zh-CN"/>
              </w:rPr>
              <w:t>⼀</w:t>
            </w:r>
            <w:r>
              <w:rPr>
                <w:rFonts w:hint="eastAsia" w:ascii="宋体" w:hAnsi="宋体" w:eastAsia="宋体" w:cs="宋体"/>
                <w:color w:val="000000"/>
                <w:sz w:val="18"/>
                <w:szCs w:val="18"/>
                <w:lang w:eastAsia="zh-CN"/>
              </w:rPr>
              <w:t>在</w:t>
            </w:r>
            <w:r>
              <w:rPr>
                <w:rFonts w:ascii="宋体" w:hAnsi="宋体" w:eastAsia="宋体" w:cs="宋体"/>
                <w:color w:val="000000"/>
                <w:sz w:val="18"/>
                <w:szCs w:val="18"/>
                <w:lang w:eastAsia="zh-CN"/>
              </w:rPr>
              <w:t>RADIUS</w:t>
            </w:r>
            <w:r>
              <w:rPr>
                <w:rFonts w:hint="eastAsia" w:ascii="宋体" w:hAnsi="宋体" w:eastAsia="宋体" w:cs="宋体"/>
                <w:color w:val="000000"/>
                <w:sz w:val="18"/>
                <w:szCs w:val="18"/>
                <w:lang w:eastAsia="zh-CN"/>
              </w:rPr>
              <w:t>服务器上进</w:t>
            </w:r>
            <w:r>
              <w:rPr>
                <w:rFonts w:hint="eastAsia" w:ascii="微软雅黑" w:hAnsi="微软雅黑" w:eastAsia="微软雅黑" w:cs="微软雅黑"/>
                <w:color w:val="000000"/>
                <w:sz w:val="18"/>
                <w:szCs w:val="18"/>
                <w:lang w:eastAsia="zh-CN"/>
              </w:rPr>
              <w:t>⾏</w:t>
            </w:r>
            <w:r>
              <w:rPr>
                <w:rFonts w:hint="eastAsia" w:ascii="宋体" w:hAnsi="宋体" w:eastAsia="宋体" w:cs="宋体"/>
                <w:color w:val="000000"/>
                <w:sz w:val="18"/>
                <w:szCs w:val="18"/>
                <w:lang w:eastAsia="zh-CN"/>
              </w:rPr>
              <w:t>管理。提供第三方权威机构检验报告证明并加盖厂商有效印章；</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7、三年原厂质保。</w:t>
            </w:r>
          </w:p>
        </w:tc>
        <w:tc>
          <w:tcPr>
            <w:tcW w:w="4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台</w:t>
            </w:r>
          </w:p>
        </w:tc>
        <w:tc>
          <w:tcPr>
            <w:tcW w:w="4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536</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10</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网络管理系统</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1.系统支持物理机及虚拟机部署，支持单节点、集群部署。支持集群任一节点出现故障后，业务不中断。满足异地灾备部署，主系统出现故障后自动切换到远端备份系统；</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3.支持单台服务器部署，具备自动化上线、用户认证、基于身份的策略管理、虚拟网络统一管理及大数据智能分析运维功能；</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4、系统支持一套软件管理单园区有线、无线接入业务，多分支园区及广域网络，支持向导式菜单，端到端配置跨场景的业务；</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5、支持防仿冒功能。对于已接入终端类型发生变化时，系统会自动产生告警，并可通过预置策略，将陌生设备流量阻断；</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6、支持终端通过免准入确认时间，或审批机制自动入网。支持摄像头设备，MAC+端口+设备类型的绑定。支持交换机POE重启远程摄像头；</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7、支持面向组策略的微分段，避免基于IP网段的ACL规格过载。支持非VXLAN组网的策略随行。支持认证点与策略点分离，在现网多厂商设备，和RADIUS中继认证场景下，实现策略统一管理。支持面向组策略的微分段，避免基于IP网段的ACL规格过载。支持非VXLAN组网的策略随行。支持认证点与策略点分离，在现网多厂商设备，和RADIUS中继认证场景下，实现策略统一管理；</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8、支持账号密码，passcode，和访客自注册方式的网络准入控制。支持社交媒体方式（如：Facebook、Twitter、QQ、微信、新浪微博）的访客接入；</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9、支持通过无线空口调度策略，定义VIP用户优先接入网络，并享有专用带宽。投标方必须提供功能截图。</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10、支持统计用户无线接入数据，识别接入用户及非接入用户流量趋势，用户接入时长，访客用户的重复访问率统计。</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11、支持一键创建快照，配置比对功能。支持全网的连通性校验。能够通过软件，验证终端接入的连通性，协议连通性，准入策略等。</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12、系统应支持一套软件，最大管理规模不小于180万网元设备，及630万在线终端。</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13、支持面向组策略的微分段，避免基于IP网段的ACL规格过载。支持非VXLAN组网的策略随行。支持认证点与策略点分离，在现网多厂商设备，和RADIUS中继认证场景下，实现策略统一管理。</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14、支持对整网进行在线健康监测和巡检，生成巡检报告，自动发送巡检报告给管理员，或用于定期存档。</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 xml:space="preserve">15、系统支持大屏展示，实时展示站点、设备健康度，设备在线状态及告警展示，在线用户趋势及在线时长等信息。大屏展示内容支持定制，支持定时刷新。 </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26、实配：配置本次项目中所有网络设备自动化管理授权，配置第三方设备纳管授权≥20个，终端认证授权≥15000个。硬件采用机架服务器，不低于32Core/2.3GHz CPU，128GB DDR4，4.8TB HDD，8*GE电口+4*10GE光口，2个交流电源，三年原厂质保。</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套</w:t>
            </w:r>
          </w:p>
        </w:tc>
        <w:tc>
          <w:tcPr>
            <w:tcW w:w="4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11</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辅材</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所需线缆、光电转换器、配线架、辅材等</w:t>
            </w:r>
          </w:p>
        </w:tc>
        <w:tc>
          <w:tcPr>
            <w:tcW w:w="4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项</w:t>
            </w:r>
          </w:p>
        </w:tc>
        <w:tc>
          <w:tcPr>
            <w:tcW w:w="4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1</w:t>
            </w:r>
          </w:p>
        </w:tc>
      </w:tr>
      <w:tr>
        <w:tblPrEx>
          <w:tblCellMar>
            <w:top w:w="0" w:type="dxa"/>
            <w:left w:w="108" w:type="dxa"/>
            <w:bottom w:w="0" w:type="dxa"/>
            <w:right w:w="108" w:type="dxa"/>
          </w:tblCellMar>
        </w:tblPrEx>
        <w:trPr>
          <w:trHeight w:val="20" w:hRule="atLeast"/>
        </w:trPr>
        <w:tc>
          <w:tcPr>
            <w:tcW w:w="924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sz w:val="18"/>
                <w:szCs w:val="18"/>
              </w:rPr>
            </w:pPr>
            <w:r>
              <w:rPr>
                <w:rFonts w:hint="eastAsia" w:ascii="宋体" w:hAnsi="宋体" w:eastAsia="宋体" w:cs="宋体"/>
                <w:b/>
                <w:bCs/>
                <w:sz w:val="18"/>
                <w:szCs w:val="18"/>
              </w:rPr>
              <w:t>二、云桌面建设</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1</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桌面云服务器</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sz w:val="18"/>
                <w:szCs w:val="18"/>
                <w:lang w:eastAsia="zh-CN"/>
              </w:rPr>
            </w:pPr>
            <w:r>
              <w:rPr>
                <w:rFonts w:hint="eastAsia" w:ascii="宋体" w:hAnsi="宋体" w:eastAsia="宋体" w:cs="宋体"/>
                <w:sz w:val="18"/>
                <w:szCs w:val="18"/>
                <w:lang w:eastAsia="zh-CN"/>
              </w:rPr>
              <w:t>1.标准2U架构； 2颗CPU≥20核，主频≥2.4 GHz；</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2.配置≥128G内存，≥2块 480G SSD，≥2*4T HDD硬盘，≥6千兆电口+2万兆光口</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3.本项目要求桌面云一体机与终端、桌面云软件同一品牌，出厂时必须预装虚拟化软件。</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4.支持数据冗余副本技术，每份数据同时写入多台服务器，每次数据变化时自动实时同步，确保磁盘或服务器故障，数据不丢失；当磁盘或服务器故障后，桌面业务不中断，IT人员只需要更换新设备，整个数据重建/恢复过程，无需关停机；</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5.为了方便管理和使用，要求管理平台至少要包括镜像管理、用户管理、终端管理等关键功能模块</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6.为了方便后期的扩展性，需支持胖瘦终端统一纳管；</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7.支持虚拟机集中备份与恢复，可按需选择虚拟机备份至外置存储。</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台</w:t>
            </w:r>
          </w:p>
        </w:tc>
        <w:tc>
          <w:tcPr>
            <w:tcW w:w="4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1</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2</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桌面云胖终端</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sz w:val="18"/>
                <w:szCs w:val="18"/>
                <w:lang w:eastAsia="zh-CN"/>
              </w:rPr>
            </w:pPr>
            <w:r>
              <w:rPr>
                <w:rFonts w:hint="eastAsia" w:ascii="宋体" w:hAnsi="宋体" w:eastAsia="宋体" w:cs="宋体"/>
                <w:sz w:val="18"/>
                <w:szCs w:val="18"/>
                <w:lang w:eastAsia="zh-CN"/>
              </w:rPr>
              <w:t>硬件参数：CPU主频≥2.9GHz，睿频≥4.3GHz，4C8GB内存，硬盘容量≥ 256GB，千兆电口，接口至少1个VGA+1个HDMI，至少8个USB接口，至少有4个USB3.0接口。</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1.支持网络和本地双启动方式；当网络中断时，终端可正常运行；</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2.分发镜像给终端（镜像绑定终端），并支持管理员远程批量给终端安装镜像；支持镜像全量、增量更新；支持镜像对单个终端/批量终端更新</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3.支持模板镜像控制台：启动模板镜像、镜像系统可视化展示、镜像系统可视化操作（应用安装等）、更新模板镜像等，支持镜像专有模式、还原模式，支持模板镜像分组管理</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4.管理员可以通过终端登录后，将镜像文件更新后上传至服务器</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5.支持用户登录，支持本地缓存用户离线登录，支持离线状态使用缓存镜像，免登录使用公共镜像等多种登录模式；（提供截图证明文件）</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6.支持对客户机进行统一远程开机、关机、重启、修改终端信息等，信息内容包括不仅限于支持修改终端信息：终端名称。</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7.支持集中管理，终端的系统安装，补丁升级，软件更新，环境设置，机器部署，故障恢复等，都由系统管理员通过后端管理平台完成，除非终端出现硬件故障，否则不需要做终端维护工作。</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8.云桌面系统支持终端独立运作，在服务器网络发生故障时保证桌面不会中断工作，不得影响业务开展，服务器出现故障不影响终端正常使用。</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9.支持自动还原，客户机只需要重启便可以恢复到初始的可靠状态。</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10.支持自动更新，模板下发后，支持胖终端开机自动更新镜像。</w:t>
            </w:r>
          </w:p>
          <w:p>
            <w:pPr>
              <w:widowControl/>
              <w:rPr>
                <w:rFonts w:ascii="宋体" w:hAnsi="宋体" w:eastAsia="宋体" w:cs="宋体"/>
                <w:sz w:val="18"/>
                <w:szCs w:val="18"/>
              </w:rPr>
            </w:pPr>
            <w:r>
              <w:rPr>
                <w:rFonts w:hint="eastAsia" w:ascii="宋体" w:hAnsi="宋体" w:eastAsia="宋体" w:cs="宋体"/>
                <w:sz w:val="18"/>
                <w:szCs w:val="18"/>
                <w:lang w:eastAsia="zh-CN"/>
              </w:rPr>
              <w:t>11.为保障云终端的领先性和成熟度，桌面云原厂商属于中华人民共和国公共安全行业标准《信息安全技术桌面云系统安全技术要求》标准起草单位之一。</w:t>
            </w:r>
            <w:r>
              <w:rPr>
                <w:rFonts w:hint="eastAsia" w:ascii="宋体" w:hAnsi="宋体" w:eastAsia="宋体" w:cs="宋体"/>
                <w:sz w:val="18"/>
                <w:szCs w:val="18"/>
              </w:rPr>
              <w:t>（提供证明文件）</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台</w:t>
            </w:r>
          </w:p>
        </w:tc>
        <w:tc>
          <w:tcPr>
            <w:tcW w:w="4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250</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3</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辅材</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rPr>
            </w:pPr>
            <w:r>
              <w:rPr>
                <w:rFonts w:hint="eastAsia" w:ascii="宋体" w:hAnsi="宋体" w:eastAsia="宋体" w:cs="宋体"/>
                <w:color w:val="000000"/>
                <w:sz w:val="18"/>
                <w:szCs w:val="18"/>
              </w:rPr>
              <w:t>所需线缆、辅材等</w:t>
            </w:r>
          </w:p>
        </w:tc>
        <w:tc>
          <w:tcPr>
            <w:tcW w:w="4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项</w:t>
            </w:r>
          </w:p>
        </w:tc>
        <w:tc>
          <w:tcPr>
            <w:tcW w:w="4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1</w:t>
            </w:r>
          </w:p>
        </w:tc>
      </w:tr>
      <w:tr>
        <w:tblPrEx>
          <w:tblCellMar>
            <w:top w:w="0" w:type="dxa"/>
            <w:left w:w="108" w:type="dxa"/>
            <w:bottom w:w="0" w:type="dxa"/>
            <w:right w:w="108" w:type="dxa"/>
          </w:tblCellMar>
        </w:tblPrEx>
        <w:trPr>
          <w:trHeight w:val="20" w:hRule="atLeast"/>
        </w:trPr>
        <w:tc>
          <w:tcPr>
            <w:tcW w:w="924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sz w:val="18"/>
                <w:szCs w:val="18"/>
                <w:lang w:eastAsia="zh-CN"/>
              </w:rPr>
            </w:pPr>
            <w:r>
              <w:rPr>
                <w:rFonts w:hint="eastAsia" w:ascii="宋体" w:hAnsi="宋体" w:eastAsia="宋体" w:cs="宋体"/>
                <w:b/>
                <w:bCs/>
                <w:sz w:val="18"/>
                <w:szCs w:val="18"/>
                <w:lang w:eastAsia="zh-CN"/>
              </w:rPr>
              <w:t>三、等级保护及密码安全应用系统建设</w:t>
            </w:r>
          </w:p>
        </w:tc>
      </w:tr>
      <w:tr>
        <w:tblPrEx>
          <w:tblCellMar>
            <w:top w:w="0" w:type="dxa"/>
            <w:left w:w="108" w:type="dxa"/>
            <w:bottom w:w="0" w:type="dxa"/>
            <w:right w:w="108" w:type="dxa"/>
          </w:tblCellMar>
        </w:tblPrEx>
        <w:trPr>
          <w:trHeight w:val="20" w:hRule="atLeast"/>
        </w:trPr>
        <w:tc>
          <w:tcPr>
            <w:tcW w:w="924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1.等级保护建设</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出口防火墙</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sz w:val="18"/>
                <w:szCs w:val="18"/>
                <w:lang w:eastAsia="zh-CN"/>
              </w:rPr>
            </w:pPr>
            <w:r>
              <w:rPr>
                <w:rFonts w:hint="eastAsia" w:ascii="宋体" w:hAnsi="宋体" w:eastAsia="宋体" w:cs="宋体"/>
                <w:sz w:val="18"/>
                <w:szCs w:val="18"/>
                <w:lang w:eastAsia="zh-CN"/>
              </w:rPr>
              <w:t>1.网络层吞吐量不低于19G，应用层吞吐量不低于8G，并发连接不低于两百万，新建连接数不低于8万，支持SSL VPN和IPSEC VPN功能。</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2.标准1U架构，硬盘容量不少于128G SSD，不少于6个GE口+2个SFP+（含2个万兆多模光模块、光纤线）。包含3年软件升级、硬件质保服务。</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3.互联网出口防火墙，需具备安全服务功能，必须提供7*24小时的云端专家研判及人工咨询服务；削减无效告警，精准少量事件。支持将互联网业务风险通过微信形式告知管理员。</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4.为保障高并发性能要求，防火墙需采用先进的多核架构，提供相关证书。</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5.防火墙需具备IPSec VPN功能，根据链路质量、应用所需网络环境智能切换线路。</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6.为了保障业务安全，防火墙能够通过虚拟的蜜罐干扰黑客，同时记录源IP，以便溯源取证，保护真实业务，提供相关防御功能的证明。</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7.为应对复杂严峻的网络攻击，防火墙需支持勒索软件防护功能，针对勒索软件攻击提供专门的功能模块，提供勒索病毒检测功能相关证书。</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8.支持与终端安全软件实现协同防御，当防火墙发现勒索病毒时，可实现防火墙上给终端安全产品下发策略，对威胁进行隔离、处置，同时在防火墙上展示处理结果；</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9.所投设备具备信息技术产品安全测评证书（EAL4+），提供有效证书复印件。</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10.要求设备厂家得到国家信息安全漏洞库认可，是CNNVD一级技术支撑单位，提供有效证书复印件。</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台</w:t>
            </w:r>
          </w:p>
        </w:tc>
        <w:tc>
          <w:tcPr>
            <w:tcW w:w="4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1</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边界防火墙</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sz w:val="18"/>
                <w:szCs w:val="18"/>
                <w:lang w:eastAsia="zh-CN"/>
              </w:rPr>
            </w:pPr>
            <w:r>
              <w:rPr>
                <w:rFonts w:hint="eastAsia" w:ascii="宋体" w:hAnsi="宋体" w:eastAsia="宋体" w:cs="宋体"/>
                <w:sz w:val="18"/>
                <w:szCs w:val="18"/>
                <w:lang w:eastAsia="zh-CN"/>
              </w:rPr>
              <w:t>1.网络层吞吐量不低于19G，应用层吞吐量不低于8G，并发连接不低于两百万，新建连接数不低于8万，支持SSL VPN和IPSEC VPN功能。</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2.标准1U架构，硬盘容量不少于128G SSD，不少于6个GE口+2个SFP+（含2个万兆多模光模块、光纤线）。包含3年软件升级、硬件质保服务。</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3.防火墙需支持虚拟功能，能够虚拟出多个防火墙，以保护不同的业务模块；</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4.为了保障业务安全，防火墙能够通过虚拟的蜜罐干扰黑客，同时记录源IP，以便溯源取证，保护真实业务。提供相关防御功能的证明证书。</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5.为应对复杂严峻的网络攻击，防火墙需支持勒索软件防护功能，针对勒索软件攻击提供专门的功能模块，提供勒索病毒检测功能相关证书。</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6.支持与终端安全软件实现协同防御，当防火墙发现勒索病毒时，可实现防火墙上给终端安全产品下发策略，对威胁进行隔离、处置，同时在防火墙上展示处理结果；（需提供相关功能截图证明）</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7.要求所投设备具备信息技术产品安全测评证书（EAL4+），提供有效证书复印件。</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8.要求设备厂家得到国家信息安全漏洞库认可，是CNNVD一级技术支撑单位，提供有效证书复印件。</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台</w:t>
            </w:r>
          </w:p>
        </w:tc>
        <w:tc>
          <w:tcPr>
            <w:tcW w:w="4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2</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3</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入侵防御</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sz w:val="18"/>
                <w:szCs w:val="18"/>
                <w:lang w:eastAsia="zh-CN"/>
              </w:rPr>
            </w:pPr>
            <w:r>
              <w:rPr>
                <w:rFonts w:hint="eastAsia" w:ascii="宋体" w:hAnsi="宋体" w:eastAsia="宋体" w:cs="宋体"/>
                <w:sz w:val="18"/>
                <w:szCs w:val="18"/>
                <w:lang w:eastAsia="zh-CN"/>
              </w:rPr>
              <w:t>1.吞吐量≥20G，应用层吞吐量≥8G，并发连接数≥200万，HTTP新建连接数≥8万，IPSec VPN 接入数≥1000。</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2.内存大小≥8G，硬盘≥128G SSD，接口≥8千兆电口+2万兆光口SFP+。</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3.可提供最新的威胁情报信息，能够对新爆发的流行高危漏洞进行预警和自动检测，发现问题后支持一键生成防护规则；（需提供相关功能截图证明）</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4.为了保障业务访问安全性，支持根据国家/地区来进行地域访问控制；（需提供相关功能截图证明）</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5.为了保证业务资产管理的便捷性，支持资产的自动发现以及资产脆弱性和服务器开放端口的自动识别；（需提供相关功能截图证明）</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6.多链路出站负载，支持基于源/目的IP、源/目的端口、协议、ISP、应用类型以及国家/地域来进行选路的策略路由选路功能；（需提供相关功能截图证明）</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7.基于网站类型，文件类型进行带宽分配和流量控制，支持基于时间、地域、认证用户、子接口和VLAN等因素实现对象的流量控制；（需提供相关功能截图证明）</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8.为了保障业务安全，支持对终端已被种植了远控木马或者病毒等恶意软件进行检测，并且能够对检测到的恶意软件行为进行深入的分析，展示和外部命令控制服务器的交互行为和其他可疑行为；（需提供相关功能截图证明）  </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9.厂商应是第九届国家互联网应急响应中心网络安全应急服务国家级支撑单位</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10.具备公安部颁发的计算机信息系统安全专用产品销售许可证</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台</w:t>
            </w:r>
          </w:p>
        </w:tc>
        <w:tc>
          <w:tcPr>
            <w:tcW w:w="4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1</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4</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全网行为管理</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sz w:val="18"/>
                <w:szCs w:val="18"/>
                <w:lang w:eastAsia="zh-CN"/>
              </w:rPr>
            </w:pPr>
            <w:r>
              <w:rPr>
                <w:rFonts w:hint="eastAsia" w:ascii="宋体" w:hAnsi="宋体" w:eastAsia="宋体" w:cs="宋体"/>
                <w:sz w:val="18"/>
                <w:szCs w:val="18"/>
                <w:lang w:eastAsia="zh-CN"/>
              </w:rPr>
              <w:t>1.网络层吞吐量≥5Gb，带宽性能≥500Mb，IPSEC VPN加密性能≥120Mb，支持用户数≥1000，新建连接数≥10000，最大并发连接数≥50万，接口≥6个千兆电口。</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2.应用识别规则库不少于10000条应用规则，支持超过6000种以上的应用，至少半个月更新一次，保证应用识别的准确率；（提供产品界面截图）</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3.能对网上论坛、微博等平台的发帖内容进行审计，避免传播非法言论，留存上网日志，满足国家网络安全法要求。</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4.为解决管理员给每台PC单独安装证书的问题，支持对SSL网页进行审计，加密证书能够自动分发。（提供产品界面截图），</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5.为方便管理员查看每个IP的详细使用情况，支持IP管理功能，自动发现网络里面的终端，如IP、Mac、厂商、操作系统、开放服务、开放端口等信息（提供产品界面截图）</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6.保证我院流量带宽合理应用，支持通过限制P2P等高带宽占用应用，保证上网体验。能够有效屏蔽不良网站，并对上网行为进行详细的记录。（提供产品界面截图）</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7.针对我院医护人员访问WEB页面的网络安全性，对医院网页识别并过滤SSL加密的钓鱼网站、非法网站等。（提供产品界面截图）</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8.支持对PC环境进行检测，不合规的电脑不允许接入网络，提供功能证明材料。</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9.为保障技术先进性和持续的售后服务，厂商需为国内头部主流品牌，提供能够证明的报告等材料。</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台</w:t>
            </w:r>
          </w:p>
        </w:tc>
        <w:tc>
          <w:tcPr>
            <w:tcW w:w="4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1</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5</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漏洞扫描</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sz w:val="18"/>
                <w:szCs w:val="18"/>
                <w:lang w:eastAsia="zh-CN"/>
              </w:rPr>
            </w:pPr>
            <w:r>
              <w:rPr>
                <w:rFonts w:hint="eastAsia" w:ascii="宋体" w:hAnsi="宋体" w:eastAsia="宋体" w:cs="宋体"/>
                <w:sz w:val="18"/>
                <w:szCs w:val="18"/>
                <w:lang w:eastAsia="zh-CN"/>
              </w:rPr>
              <w:t>1.采用有自主知识产权的安全操作系统，采用B/S设计架构，并采用SSL加密通信方式，无须安装客户端，用户可通过浏览器远程方便的对产品进行管理。</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2.硬盘容量≥128GB SSD+2TB SATA，接口≥6千兆电口+2千兆光口SFP。</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3.支持≥100个扫描IP授权、≥20个WEB漏洞扫描URL授权（可扩展）。其中系统漏洞扫描，基线配置核查，弱口令扫描受授权IP数限制，资产发现不限制IP数量。</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4.支持行业通用标准OWASP，支持通用WEB漏洞检测，如：SQL注入、XSS、目录遍历、本地/远程文件包含漏洞、安全配置错误、命令执行、敏感信息泄露等。（需提供截图证明）</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5.支持信息泄漏类漏洞检测，如：mail地址、敏感目录暴露、内部ip地址、会话令牌、源码、数据库备份文件、SVN文件、系统重要配置、日志文件向外网泄漏等。（需提供截图证明）</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6.支持对Windows、Linux等操作系统按照等保二级、等保三级要求实施基线配置核查。（需提供截图证明）</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7.支持对Oracel、MySQL、DB2、SQL Server、MySQL等数据库按照等保二级、等保三级要求实施基线配置核查。（需提供截图证明）</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8.支持对IIS6.0、IIS7.0、Apache、Tomcat、Weblogic、Nginx等中间件按照等保二级、等保三级要求实施基线配置核查。（需提供截图证明）</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9.厂商应具有中国信息安全测评中心颁发的信息安全服务资质（安全工程类一级）</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10.厂商应具有公安部第一研究所版发的信息安全等级保护安全建设服务机构能力评估合格证书</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11.产品应具有公安部《计算机信息系统专用产品销售许可证》</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12.产品应具有国家版权局《计算机软件著作权登记证书》</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台</w:t>
            </w:r>
          </w:p>
        </w:tc>
        <w:tc>
          <w:tcPr>
            <w:tcW w:w="4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1</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6</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日志审计</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sz w:val="18"/>
                <w:szCs w:val="18"/>
                <w:lang w:eastAsia="zh-CN"/>
              </w:rPr>
            </w:pPr>
            <w:r>
              <w:rPr>
                <w:rFonts w:hint="eastAsia" w:ascii="宋体" w:hAnsi="宋体" w:eastAsia="宋体" w:cs="宋体"/>
                <w:sz w:val="18"/>
                <w:szCs w:val="18"/>
                <w:lang w:eastAsia="zh-CN"/>
              </w:rPr>
              <w:t>1.规格：2U，内存大小≥16G，硬盘容量≥64G SSD+2T SATA*2，接口≥6千兆电口+2万兆光口。</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2.包含主机审计许可证书数量≥50，可扩展审计主机许可数≥150，可用存储量≥2TB（RAID1 模式），平均每秒处理日志数（eps）性能≥2500。</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3.支持批量或者单台设备数据转发，且可支持同时转发给多台设备，使用的是syslog转发，支持对接同品牌安全感知平台（需提供截图证明）</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4.可自定义设置日志存储天数，容量告警提示等；满足存储超过6个月以上的合规要求</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5.基于logstash的接入架构，可供多台设备同时接入同步数据，并实时分析展示</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6.支持600种以上的第三方日志采集器（需提供截图证明）</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7.要求具备公安颁发的日志分析（一级）安全专用产品销售许可证</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8.要求具备国家版权局颁发的软件著作权登记证书</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台</w:t>
            </w:r>
          </w:p>
        </w:tc>
        <w:tc>
          <w:tcPr>
            <w:tcW w:w="4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1</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7</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r>
              <w:rPr>
                <w:rFonts w:hint="eastAsia" w:ascii="宋体" w:hAnsi="宋体" w:eastAsia="宋体" w:cs="宋体"/>
                <w:sz w:val="18"/>
                <w:szCs w:val="18"/>
                <w:highlight w:val="none"/>
              </w:rPr>
              <w:t>终端杀毒</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sz w:val="18"/>
                <w:szCs w:val="18"/>
                <w:lang w:eastAsia="zh-CN"/>
              </w:rPr>
            </w:pPr>
            <w:r>
              <w:rPr>
                <w:rFonts w:hint="eastAsia" w:ascii="宋体" w:hAnsi="宋体" w:eastAsia="宋体" w:cs="宋体"/>
                <w:sz w:val="18"/>
                <w:szCs w:val="18"/>
                <w:lang w:eastAsia="zh-CN"/>
              </w:rPr>
              <w:t>1.300PC授权，30个服务器授权</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2.支持用户直接对勒索病毒的家族名、病毒名、加密文件后缀名执行链接查询，可通过直接上传加密文件的方式确定勒索病毒类型，如果能解密可以提供必要的解密工具</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3.支持与现有的上网行为管理平台进行安全联动，支持管理员在上网行为管理界面下发快速查杀任务，并查看任务状态、结果并进行处置，支持在管理平台查询和统计联动信息</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4.支持一次操作完成现有的行为管理准入、终端安全产品EDR、远程办公零信任的组件安装，并只显示一个托盘图标，对用户安装部署、运维提供便捷性（提供产品界面截图）</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5.远程办公时，可联动EDR在登录前进行检测，未检测通过无法登录； 不符合的检测项可以一键修改和查看修复指引。（提供产品界面截图）</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6.支持行为管理同步用户名发送给EDR，实现统一资产人信息、方便管理员对EDR终端资产进行统一管理运维。</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7.支持端控安全环境检测、免端流量环境监测，对edr 安装情况进行检查、对未装端的用户进行隔离及修复处置（提供产品界面截图）</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台</w:t>
            </w:r>
          </w:p>
        </w:tc>
        <w:tc>
          <w:tcPr>
            <w:tcW w:w="4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1</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8</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数据库审计</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sz w:val="18"/>
                <w:szCs w:val="18"/>
                <w:lang w:eastAsia="zh-CN"/>
              </w:rPr>
            </w:pPr>
            <w:r>
              <w:rPr>
                <w:rFonts w:hint="eastAsia" w:ascii="宋体" w:hAnsi="宋体" w:eastAsia="宋体" w:cs="宋体"/>
                <w:sz w:val="18"/>
                <w:szCs w:val="18"/>
                <w:lang w:eastAsia="zh-CN"/>
              </w:rPr>
              <w:t>1.提供30个数据库实例；SQL处理性能≥3万条SQL/s，日志检索性能≥50万条/秒。</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2.吞吐量≥2Gbps，最大数据库纯SQL流量≥400Mb/s，</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3.硬盘容量≥2TB ，接口≥6千兆电口+2万兆光口SFP。</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4.支持主流数据库Oracle、SQL-Server、DB2、MySQL、Informix、Sybase、Postgresql、Cache、MongDB，K-DB、达梦、人大金仓、南大通用</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5.可以通过自定义交互分析设置正常访问和异常访问视图、数据库泄密分析、图形化泄密轨迹分析、数据窃取、数据库风险、外发数据人员、受攻击业务系统、风险总次数这几个维度实时监控内网数据威胁态势并且提供交互式分析视图帮助企业快速溯源。（提供界面截图证明）</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6.支持以时间、源IP、客户端程序、业务系统、数据库用户、数据库名、操作类型、表名、返回行数、影响行数、响应时长、响应码、策略、规则、风险级别、SQL模版为条件的数据库风险查询。（提供界面截图证明）</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7.要求具备中国国家信息安全产品认证证书</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8.中国信息安全认证中心《中国国家信息安全产品认证证书》</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台</w:t>
            </w:r>
          </w:p>
        </w:tc>
        <w:tc>
          <w:tcPr>
            <w:tcW w:w="4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1</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9</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WAF</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sz w:val="18"/>
                <w:szCs w:val="18"/>
                <w:lang w:eastAsia="zh-CN"/>
              </w:rPr>
            </w:pPr>
            <w:r>
              <w:rPr>
                <w:rFonts w:hint="eastAsia" w:ascii="宋体" w:hAnsi="宋体" w:eastAsia="宋体" w:cs="宋体"/>
                <w:sz w:val="18"/>
                <w:szCs w:val="18"/>
                <w:lang w:eastAsia="zh-CN"/>
              </w:rPr>
              <w:t>1.网络层吞吐量≥20Gbps，HTTP应用层吞吐量≥1Gbps，HTTP新建连接数：15万，HTTP并发连接数：200万。</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2.硬盘容量≥128GB SSD，接口≥6千兆电口+2万兆光口SFP+。</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3.支持抵御SQL注入、XSS攻击、网页木马、网站扫描、WEBSHELL、跨站请求伪造、系统命令注入、文件包含攻击、目录遍历攻击、信息泄露攻击、WEB整站系统漏洞等攻击；（需提供相关功能截图证明）</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4.支持对常见应用服务（HTTP、FTP、SSH、SMTP、IMAP、POP3、 RDP、Rlogin、SMB、Telnet、Weblogic、VNC）和数据库软件（MySQL、Oracle、MSSQL）的口令暴力破解防护功能；</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5.支持FTP弱口令检测、WEB登陆弱口令检测、WEB登陆明文检测；（需提供相关功能截图证明）</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6.支持针对网站的漏洞恶意扫描进行防护，能够拦截漏洞扫描设备或软件对网站漏洞的扫描探测，支持基于目录访问频率和敏感文件扫描等恶意扫描行为进行防护；（需提供相关功能截图证明）</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7.支持对网站黑链进行检测，对已发现的黑链提供举证便于快速修复；（需提供相关功能截图证明）</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8.支持Windows和Linux环境的网页防篡改功能；（需提供相关功能截图证明）</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9.支持对Web站点服务的自动扫描、脆弱性和开放端口的自动扫描，支持敏感数据业务的识别；（需提供相关功能截图证明）</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10.支持与终端安全产品实现联动，当Web防火墙发现僵尸网络时，可以给终端安全软件下发策略，对终端进行扫描和取证，对威胁进行隔离、处置；（提供截图证明文件）</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11.厂商软件研发实力需通过CMMI L5认证</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12.具备公安部颁发的计算机信息系统安全专用产品销售许可证</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13.具有中国网络安全审查技术与认证中心颁发的网络关键设备和网络安全专用产品安全认证证书</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台</w:t>
            </w:r>
          </w:p>
        </w:tc>
        <w:tc>
          <w:tcPr>
            <w:tcW w:w="4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1</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10</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网闸</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sz w:val="18"/>
                <w:szCs w:val="18"/>
                <w:lang w:eastAsia="zh-CN"/>
              </w:rPr>
            </w:pPr>
            <w:r>
              <w:rPr>
                <w:rFonts w:hint="eastAsia" w:ascii="宋体" w:hAnsi="宋体" w:eastAsia="宋体" w:cs="宋体"/>
                <w:sz w:val="18"/>
                <w:szCs w:val="18"/>
                <w:lang w:eastAsia="zh-CN"/>
              </w:rPr>
              <w:t>1.标准2U架构，吞吐量不少于300Mbps。最大并发连接数不少于50,000，内网接口6GE，外网接口6GE，4个USB2.0。外网端不允许配置任何形式的管理接口，所有管理配置操作均通过专用的网闸内网可信端管理接口进行配置。</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2.采用2+1系统架构即内网单元+外网单元+FPGA专用隔离硬件。不能采用网线等形式直通。</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3.采用基于linux内核的多核多线程专用安全操作系统，加固内核。</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4.设备支持透明、代理及路由三种工作模式，管理员可依据实际网络状况进行相应的部署。（提供功能截图）</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5.支持Samba、FTP等多种文件协议，可以实现内网到外网、外网到内网、双向的文件传送。</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6.支持病毒检测</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7.支持对文件类型的黑白名单控制，根据文件格式特征进行过滤，并且不依赖于文件扩展名；</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8.支持文件内容深度检测，对包含关键字内容的文件进行过滤</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9.支持文件交换容错和告警功能，交换出错能够自动重传，出现异常能够告警提示并记录日志；</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10.可通过专用客户端或共享方式提供安全的文件同步功能</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11.支持Oracle、SQLServer、Mysql、Sybase、DB2、Postgresql等多种主流国外数据库的同步和国产达梦数据库、人大金仓数据库的同步（提供截图）</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12.支持同构、异构数据库之间的同步，如Mysql同步至Oracle。</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13.支持Oracle、DB2、SyBase、SQL Server、MySql等主流数据库的安全访问，实现内外网之间数据库及表内容安全传输。</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14.支持SQL语句控制，如只允许查询，不允许删除等。</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15.支持任务单独启停管理，不影响数据库同步的其他任务运行。</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16.具备公安部颁发的销售许可证</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17.具备版权局颁发的软件著作权证书</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台</w:t>
            </w:r>
          </w:p>
        </w:tc>
        <w:tc>
          <w:tcPr>
            <w:tcW w:w="4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1</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11</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堡垒机</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sz w:val="18"/>
                <w:szCs w:val="18"/>
                <w:lang w:eastAsia="zh-CN"/>
              </w:rPr>
            </w:pPr>
            <w:r>
              <w:rPr>
                <w:rFonts w:hint="eastAsia" w:ascii="宋体" w:hAnsi="宋体" w:eastAsia="宋体" w:cs="宋体"/>
                <w:sz w:val="18"/>
                <w:szCs w:val="18"/>
                <w:lang w:eastAsia="zh-CN"/>
              </w:rPr>
              <w:t>1.硬盘容量≥2TB，接口≥6个千兆电口。包含运维授权数不少于50个，图形运维最大并发数不低于100，字符运维最大并发数不低于200。</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2.支持三员分离，根据用户管理特性，划分管理角色的管理范围</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3.支持密码文件备份功能，密码文件需密文保存，密码包及解密密钥分别发送给不同管理员保存，并使用专用的解密器才可打开</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4.支持web页面直接发起运维，无需安装任何控件，并同时支持调用SecureCRT、Xshell、Putty、WinSCP、FileZilla、RDP等客户端工具实现单点登陆，不改变运维人员操作习惯</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5.图形资源访问时，支持键盘、剪切板、窗口标题、文件传输记录，并且对图形资源的审计回放时，可以从某个键盘、剪切板、窗口标题、文件传输记录的指定位置开始回放。（提供功能截图）</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6.要求具备公安颁发的安全管理平台销售许可证</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7.要求具备中国国家信息安全产品认证证书</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台</w:t>
            </w:r>
          </w:p>
        </w:tc>
        <w:tc>
          <w:tcPr>
            <w:tcW w:w="4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1</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12</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辅材</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sz w:val="18"/>
                <w:szCs w:val="18"/>
              </w:rPr>
            </w:pPr>
            <w:r>
              <w:rPr>
                <w:rFonts w:hint="eastAsia" w:ascii="宋体" w:hAnsi="宋体" w:eastAsia="宋体" w:cs="宋体"/>
                <w:sz w:val="18"/>
                <w:szCs w:val="18"/>
              </w:rPr>
              <w:t>所需线缆、辅材等</w:t>
            </w:r>
          </w:p>
        </w:tc>
        <w:tc>
          <w:tcPr>
            <w:tcW w:w="4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项</w:t>
            </w:r>
          </w:p>
        </w:tc>
        <w:tc>
          <w:tcPr>
            <w:tcW w:w="4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1</w:t>
            </w:r>
          </w:p>
        </w:tc>
      </w:tr>
      <w:tr>
        <w:tblPrEx>
          <w:tblCellMar>
            <w:top w:w="0" w:type="dxa"/>
            <w:left w:w="108" w:type="dxa"/>
            <w:bottom w:w="0" w:type="dxa"/>
            <w:right w:w="108" w:type="dxa"/>
          </w:tblCellMar>
        </w:tblPrEx>
        <w:trPr>
          <w:trHeight w:val="20" w:hRule="atLeast"/>
        </w:trPr>
        <w:tc>
          <w:tcPr>
            <w:tcW w:w="924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2.密码应用建设</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r>
              <w:rPr>
                <w:rFonts w:hint="eastAsia" w:ascii="宋体" w:hAnsi="宋体" w:eastAsia="宋体" w:cs="宋体"/>
                <w:sz w:val="18"/>
                <w:szCs w:val="18"/>
                <w:lang w:eastAsia="zh-CN"/>
              </w:rPr>
              <w:t>智能密码钥匙（UKey）</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rPr>
            </w:pPr>
            <w:r>
              <w:rPr>
                <w:rFonts w:hint="eastAsia" w:ascii="宋体" w:hAnsi="宋体" w:eastAsia="宋体" w:cs="宋体"/>
                <w:color w:val="000000"/>
                <w:sz w:val="18"/>
                <w:szCs w:val="18"/>
                <w:lang w:eastAsia="zh-CN"/>
              </w:rPr>
              <w:t>由第三方电子认证机构签发国密证书，配发给系统用户、运维人员，用于存储个人证书、公私钥，实现登录用户的身份鉴别。</w:t>
            </w:r>
            <w:r>
              <w:rPr>
                <w:rFonts w:hint="eastAsia" w:ascii="宋体" w:hAnsi="宋体" w:eastAsia="宋体" w:cs="宋体"/>
                <w:color w:val="000000"/>
                <w:sz w:val="18"/>
                <w:szCs w:val="18"/>
              </w:rPr>
              <w:t>证书有效期3年。</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个</w:t>
            </w:r>
          </w:p>
        </w:tc>
        <w:tc>
          <w:tcPr>
            <w:tcW w:w="4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20</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r>
              <w:rPr>
                <w:rFonts w:hint="eastAsia" w:ascii="宋体" w:hAnsi="宋体" w:eastAsia="宋体" w:cs="宋体"/>
                <w:sz w:val="18"/>
                <w:szCs w:val="18"/>
                <w:lang w:eastAsia="zh-CN"/>
              </w:rPr>
              <w:t>第三方数字证书（个人证书）</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rPr>
            </w:pPr>
            <w:r>
              <w:rPr>
                <w:rFonts w:hint="eastAsia" w:ascii="宋体" w:hAnsi="宋体" w:eastAsia="宋体" w:cs="宋体"/>
                <w:color w:val="000000"/>
                <w:sz w:val="18"/>
                <w:szCs w:val="18"/>
                <w:lang w:eastAsia="zh-CN"/>
              </w:rPr>
              <w:t>第三方机构颁发的个人用户证书。</w:t>
            </w:r>
            <w:r>
              <w:rPr>
                <w:rFonts w:hint="eastAsia" w:ascii="宋体" w:hAnsi="宋体" w:eastAsia="宋体" w:cs="宋体"/>
                <w:color w:val="000000"/>
                <w:sz w:val="18"/>
                <w:szCs w:val="18"/>
              </w:rPr>
              <w:t>证书有效期3年</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张</w:t>
            </w:r>
          </w:p>
        </w:tc>
        <w:tc>
          <w:tcPr>
            <w:tcW w:w="4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20</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3</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国密浏览器插件</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rPr>
            </w:pPr>
            <w:r>
              <w:rPr>
                <w:rFonts w:hint="eastAsia" w:ascii="宋体" w:hAnsi="宋体" w:eastAsia="宋体" w:cs="宋体"/>
                <w:color w:val="000000"/>
                <w:sz w:val="18"/>
                <w:szCs w:val="18"/>
              </w:rPr>
              <w:t>与SSL VPN 安全网关建立国密安全通道，运维人员使用国密https进行访问应用。</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个</w:t>
            </w:r>
          </w:p>
        </w:tc>
        <w:tc>
          <w:tcPr>
            <w:tcW w:w="4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10</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4</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r>
              <w:rPr>
                <w:rFonts w:hint="eastAsia" w:ascii="宋体" w:hAnsi="宋体" w:eastAsia="宋体" w:cs="宋体"/>
                <w:sz w:val="18"/>
                <w:szCs w:val="18"/>
                <w:lang w:eastAsia="zh-CN"/>
              </w:rPr>
              <w:t>第三方数字证书（设备证书）</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rPr>
            </w:pPr>
            <w:r>
              <w:rPr>
                <w:rFonts w:hint="eastAsia" w:ascii="宋体" w:hAnsi="宋体" w:eastAsia="宋体" w:cs="宋体"/>
                <w:color w:val="000000"/>
                <w:sz w:val="18"/>
                <w:szCs w:val="18"/>
                <w:lang w:eastAsia="zh-CN"/>
              </w:rPr>
              <w:t>第三方机构颁发的个人设备证书。依据实际使用的密码产品，建立HTTPS协议的用户访问业务通道和运维传输通道。</w:t>
            </w:r>
            <w:r>
              <w:rPr>
                <w:rFonts w:hint="eastAsia" w:ascii="宋体" w:hAnsi="宋体" w:eastAsia="宋体" w:cs="宋体"/>
                <w:color w:val="000000"/>
                <w:sz w:val="18"/>
                <w:szCs w:val="18"/>
              </w:rPr>
              <w:t>证书有效期3年。</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张</w:t>
            </w:r>
          </w:p>
        </w:tc>
        <w:tc>
          <w:tcPr>
            <w:tcW w:w="4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3</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5</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服务器密码机</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sz w:val="18"/>
                <w:szCs w:val="18"/>
                <w:lang w:eastAsia="zh-CN"/>
              </w:rPr>
            </w:pPr>
            <w:r>
              <w:rPr>
                <w:rFonts w:hint="eastAsia" w:ascii="宋体" w:hAnsi="宋体" w:eastAsia="宋体" w:cs="宋体"/>
                <w:sz w:val="18"/>
                <w:szCs w:val="18"/>
              </w:rPr>
              <w:t>1）支持多种算法：SM1、SM2、SM3、SM4、SM9、RSA1024、RSA2048、RSA4096、ECC等。</w:t>
            </w:r>
            <w:r>
              <w:rPr>
                <w:rFonts w:hint="eastAsia" w:ascii="宋体" w:hAnsi="宋体" w:eastAsia="宋体" w:cs="宋体"/>
                <w:sz w:val="18"/>
                <w:szCs w:val="18"/>
                <w:lang w:eastAsia="zh-CN"/>
              </w:rPr>
              <w:t>具有更好的可扩展性。</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2）密钥生成与管理：支持通过物理噪声源生成RSA、SM2和SM9密钥对。</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3）用户权限控制：具有用户管理功能，对访问用户分级管理，提高密码设备自身的安全性。</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4）密钥备份及恢复：支持基于备份密钥保护下的密钥备份和恢复，保证系统的安全性和可靠性。</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5）多机并行：多机并行可以提供容错功能，当有密码机出现故障时不影响业务密码运算。多机并行还可以提高密码运算性能。</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6）密钥销毁：支持通过前面板钥匙销毁密钥、带电开机箱毁密钥和不带电开机箱毁密钥</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7)内置密码卡与服务器密码机为同一厂商，密码卡有商用密码产品认证证书且具有第三方测试报告。</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8) 支持基于数字证书的签名和验签功能，支持PKCS#1、PKCS#7 Attach、PKCS#7 Detach、XML等格式的数据签名、签名验证功能。</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9）可根据应用需求灵活配置CA、CRL、OCSP级别验证证书，并可以配置外部地址或者从证书获取地址等方式验证证书。</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2、性能要求</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1）CPU：≥8核，2.8GHz；内存：≥8G；硬盘：≥1TBHDD；2个RJ-45万兆光口；220V,550W*2 冗余电源；</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2）性能参数：SM2生密钥≥72000对/秒，签名≥72000tps，验签≥22000tps，加密≥20000tps，解密≥30000tps；SM4加解密运算速度≥4.6Gbps；SM1加解密运算速度≥4.6Gbps。</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3、产品资质要求</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1）产品具有获得国家密码管理局颁发的《商用密码产品认证证书》；</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2）产品具有《计算机信息系统安全专用产品销售许可证》</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3）具备《计算机软件著作权登记证书》；</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4）硬件设备通过中国质量认证中心认证，具备《中国国家强制性产品认证证书》；</w:t>
            </w:r>
          </w:p>
        </w:tc>
        <w:tc>
          <w:tcPr>
            <w:tcW w:w="4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台</w:t>
            </w:r>
          </w:p>
        </w:tc>
        <w:tc>
          <w:tcPr>
            <w:tcW w:w="4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6</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SSLVPN安全网关</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sz w:val="18"/>
                <w:szCs w:val="18"/>
                <w:lang w:eastAsia="zh-CN"/>
              </w:rPr>
            </w:pPr>
            <w:r>
              <w:rPr>
                <w:rFonts w:hint="eastAsia" w:ascii="宋体" w:hAnsi="宋体" w:eastAsia="宋体" w:cs="宋体"/>
                <w:sz w:val="18"/>
                <w:szCs w:val="18"/>
                <w:lang w:eastAsia="zh-CN"/>
              </w:rPr>
              <w:t>1）证书格式：支持标准X509 V3证书格式，支持第三方CA及全中文证书。支持符合工信和国密标准的权威第三方CA证书。</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2）证书算法：可以同时支持国密标准SM2算法以及RSA1024~2048算法。支持SHA1、SHA256等算法，支持SM3、SM4国密算法。</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3）证书自适应：RSA/SM2 证书自适应，系统可以在同一个服务实例中，配置RSA和SM2两张站点证书，并同时启用，根据客户端的算法能力进行自动适应。</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4）认证协议： TLS 1.0/1.1/1.2 及国密SSLVPN协议自适应适应：系统可以在同一个服务实例中，同时支持国际标准协议（TLS1.0/1.1/1.2）以及国家密码管理局制定的国SSL VPN协议。根据客户端的支持情况自动适应。</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5）双证书支持：支持签名证书和加密证书的双证书认证体系。</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6）多线路负载均衡及备份：支持对任意多线路同时进行负载均衡和线路选择（仅受设备硬件网络接口数量限制），支持在不同线路上分配不同的流量负载，且策略可以在不同的线路中自动切换，接入方式不受限制。</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7）资源访问权限控制功能：角色管理提供了细致到URL的权限划分，为资源访问提供了较强的安全性保障。可以为同一个用户用户分配多个角色。用户登录资源访问页面，通过资源链接访问被授权的资源。</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8)密钥销毁：支持通过前面板钥匙销毁密钥、带电开机箱销毁密钥和不带电开机箱销毁密钥。</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2、参数要求</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1）物理参数要求：</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内存≥8G；硬盘≥1T；冗余电源；电口≥6个；</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2）性能参数：</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每秒新建连接数(个/秒) ≥1.3K；最大并发连接数(个) ≥150K；最大并发用户数(个) ≥75K；吞吐率 ≥530Mbps</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3、资质要求</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1）产品具有《商用密码产品认证证书》；</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2）产品具有《计算机信息系统安全专用产品销售许可证》；</w:t>
            </w:r>
          </w:p>
        </w:tc>
        <w:tc>
          <w:tcPr>
            <w:tcW w:w="4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台</w:t>
            </w:r>
          </w:p>
        </w:tc>
        <w:tc>
          <w:tcPr>
            <w:tcW w:w="4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7</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国密门禁系统</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sz w:val="18"/>
                <w:szCs w:val="18"/>
              </w:rPr>
            </w:pPr>
            <w:r>
              <w:rPr>
                <w:rFonts w:hint="eastAsia" w:ascii="宋体" w:hAnsi="宋体" w:eastAsia="宋体" w:cs="宋体"/>
                <w:sz w:val="18"/>
                <w:szCs w:val="18"/>
                <w:lang w:eastAsia="zh-CN"/>
              </w:rPr>
              <w:t>符合《重要门禁系统密码应用指南》要求，包含全套国密高安全门禁系统，实现从发卡、管理、监控全面掌控，是国密系统高级别的安全配置，系统中的智能IC卡、安全存储模块和安全门禁系统获得国家密码管理局颁发的“商用密码产品型号证书”并通过国家密码管理局权威三层认证。</w:t>
            </w:r>
            <w:r>
              <w:rPr>
                <w:rFonts w:hint="eastAsia" w:ascii="宋体" w:hAnsi="宋体" w:eastAsia="宋体" w:cs="宋体"/>
                <w:sz w:val="18"/>
                <w:szCs w:val="18"/>
              </w:rPr>
              <w:t>含门卡</w:t>
            </w:r>
          </w:p>
        </w:tc>
        <w:tc>
          <w:tcPr>
            <w:tcW w:w="4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套</w:t>
            </w:r>
          </w:p>
        </w:tc>
        <w:tc>
          <w:tcPr>
            <w:tcW w:w="4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8</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国密视频监控系统</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sz w:val="18"/>
                <w:szCs w:val="18"/>
                <w:lang w:eastAsia="zh-CN"/>
              </w:rPr>
            </w:pPr>
            <w:r>
              <w:rPr>
                <w:rFonts w:hint="eastAsia" w:ascii="宋体" w:hAnsi="宋体" w:eastAsia="宋体" w:cs="宋体"/>
                <w:sz w:val="18"/>
                <w:szCs w:val="18"/>
                <w:lang w:eastAsia="zh-CN"/>
              </w:rPr>
              <w:t>国密局认证的密码产品、采用经国密局审批的国密算法及相关密码技术，实现了视频监控音像记录数据的完整性保护，符合等保三级（等保2.0）GB/T 39786-2021《信息安全技术 信息系统密码应用基本要求》中物理和环境安全相关密码应用要求，满足了等保三级（及以上）信息系统等保密评建设/整改需求，由国密摄像机、国密NVR、PCI-E密码卡等硬件设备以及监控系统客户端等软件组成。</w:t>
            </w:r>
          </w:p>
        </w:tc>
        <w:tc>
          <w:tcPr>
            <w:tcW w:w="4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套</w:t>
            </w:r>
          </w:p>
        </w:tc>
        <w:tc>
          <w:tcPr>
            <w:tcW w:w="4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9</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应用改造预估费用</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sz w:val="18"/>
                <w:szCs w:val="18"/>
                <w:lang w:eastAsia="zh-CN"/>
              </w:rPr>
            </w:pPr>
            <w:r>
              <w:rPr>
                <w:rFonts w:hint="eastAsia" w:ascii="宋体" w:hAnsi="宋体" w:eastAsia="宋体" w:cs="宋体"/>
                <w:sz w:val="18"/>
                <w:szCs w:val="18"/>
                <w:lang w:eastAsia="zh-CN"/>
              </w:rPr>
              <w:t>客户侧应用系统进行改造，对接服务器密码机、签名服务器、智能密码钥匙、SSL VPN安全网关等密码产品，支撑应用系统通过密码测评</w:t>
            </w:r>
          </w:p>
        </w:tc>
        <w:tc>
          <w:tcPr>
            <w:tcW w:w="4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套</w:t>
            </w:r>
          </w:p>
        </w:tc>
        <w:tc>
          <w:tcPr>
            <w:tcW w:w="4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r>
      <w:tr>
        <w:tblPrEx>
          <w:tblCellMar>
            <w:top w:w="0" w:type="dxa"/>
            <w:left w:w="108" w:type="dxa"/>
            <w:bottom w:w="0" w:type="dxa"/>
            <w:right w:w="108" w:type="dxa"/>
          </w:tblCellMar>
        </w:tblPrEx>
        <w:trPr>
          <w:trHeight w:val="20" w:hRule="atLeast"/>
        </w:trPr>
        <w:tc>
          <w:tcPr>
            <w:tcW w:w="924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sz w:val="18"/>
                <w:szCs w:val="18"/>
              </w:rPr>
            </w:pPr>
            <w:r>
              <w:rPr>
                <w:rFonts w:hint="eastAsia" w:ascii="宋体" w:hAnsi="宋体" w:eastAsia="宋体" w:cs="宋体"/>
                <w:b/>
                <w:bCs/>
                <w:sz w:val="18"/>
                <w:szCs w:val="18"/>
              </w:rPr>
              <w:t>四、指挥中心建设</w:t>
            </w:r>
          </w:p>
        </w:tc>
      </w:tr>
      <w:tr>
        <w:tblPrEx>
          <w:tblCellMar>
            <w:top w:w="0" w:type="dxa"/>
            <w:left w:w="108" w:type="dxa"/>
            <w:bottom w:w="0" w:type="dxa"/>
            <w:right w:w="108" w:type="dxa"/>
          </w:tblCellMar>
        </w:tblPrEx>
        <w:trPr>
          <w:trHeight w:val="20" w:hRule="atLeast"/>
        </w:trPr>
        <w:tc>
          <w:tcPr>
            <w:tcW w:w="924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sz w:val="18"/>
                <w:szCs w:val="18"/>
                <w:lang w:eastAsia="zh-CN"/>
              </w:rPr>
            </w:pPr>
            <w:r>
              <w:rPr>
                <w:rFonts w:hint="eastAsia" w:ascii="宋体" w:hAnsi="宋体" w:eastAsia="宋体" w:cs="宋体"/>
                <w:b/>
                <w:bCs/>
                <w:color w:val="000000"/>
                <w:sz w:val="18"/>
                <w:szCs w:val="18"/>
                <w:lang w:eastAsia="zh-CN"/>
              </w:rPr>
              <w:t>1.LED显示系统改建设</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户内全彩LED屏</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1.LED封装采用COB工艺直接在PCB板封装发光管芯，不得采用三合一表面贴装LED管芯的方式</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2.LED显示屏采用LED显示屏采用≤1.25mm点间距，像素密度≥640000点/㎡，峰值功耗：≤600W/㎡，平均功耗：≤200W/㎡</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3.LED显示屏采用CNC一次成型压铸铝箱体前维护，所选材料符合《GB/T15115-2009 压铸铝合金》标准，宽600mm*高337.5mm，标准16:9比例，单箱分辨率480*270点，单箱重量≤7kg,可承受≥5000N/㎡拉力、≥50000N/㎡压力；像素中心距相对偏差≤1%，对比度≥100000:1，像素失控率≤1/1000000，水平/垂直视角≥175°，刷新率≥3840Hz，色温1000K-20000K连续可调，亮度均匀性≥99%，色度均匀性±0.001Cx，Cy之内，波长误差在±2nm之内，屏前1米噪音值＜2dB</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4.LED显示屏采用三轴（X，Y，Z）调节机构，可实现屏幕上下左右拼缝及前后平整度任意调节，拼接平整度≤0.05mm、错位值≤0.05mm、间隙≤0.05mm</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5.LED显示屏单元模组与单元箱体之间采用精密浮动连接器连接、箱体与箱体之间采用无线硬连接方式，箱体内部、背部看不到信号排线、低压电源线，支持带电直接插拔；具有嵌合纠正功能，连接更稳定，以模组为单位可对整屏拼缝进行精细调节，解决屏体亮暗线问题，使用寿命≥150000h，平均无故障时间≥20000h，平均故障恢复时间（MTTR）≤2分钟</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6.LED显示屏模组表面具备IP65防护等级，PCB板表面具备防潮/防尘/防静电/抗氧化/防霉等级≤1级</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7.LED显示屏模组PCB采用表面沉金处理，板厚≥2mm，铜厚≥1盎司，TG≥150</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8.LED显示屏为保证有效提高信号传输、直流供电稳定性，使用镀金工艺，镀金厚度≥50</w:t>
            </w:r>
            <w:r>
              <w:rPr>
                <w:rFonts w:hint="eastAsia" w:ascii="宋体" w:hAnsi="宋体" w:eastAsia="宋体" w:cs="宋体"/>
                <w:color w:val="000000"/>
                <w:sz w:val="18"/>
                <w:szCs w:val="18"/>
              </w:rPr>
              <w:t>μ</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9.LED显示屏通过SJ/T11590-2016《LED显示屏图像质量主观评价方法》10项测试，评价等级为优</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10.LED显示屏箱体通过GB/T20138-2006《电器设备外壳对外界机械碰撞的防护等级（IK代码）》中机械碰撞测试可达IK10标准，可受冲击能量≥20J</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11.LED显示屏具备VICO指数测试值在0≤VICO＜1间，属于1级基本无疲劳感舒适度，产品视觉健康舒适度A＋级</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12.LED显示屏依据UL94、GB/T5169.16-2017、IEC60695-11-10-2013标准进行燃烧性能试验测试，PCB板（主板、模组等）、单元塑料面板料及单元整体阻燃等级符合V-0级等级要求标准</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13.LED显示屏依据GB/T6461-2002《金属基体上金属和其他无机覆盖层经腐蚀试验后的试样和试件的评级》腐蚀面积占总面积的百分数通过计算，保护评级10级，外观评级10级</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14.LED显示屏采用喷雾接种方法接种黑曲霉ATCC6275,土曲霉ATCC10690,球毛壳霉ATCC6205,子囊菌DSM1203,宛氏拟青霉ATCC18502,绳状青霉ATCC36839,短帝霉ATCC36840,绿色木霉ATCC9645，在温度：(29±1)℃相对湿度95%RH环境下培养7D,在放大50倍下，没有发现明显长霉</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15.LED显示屏依据GB/T2423.55-2006《电工电子产品环境试验第2部分_试验方法试验Eh_锤击实验》垂直落锤：将显示单元水平放置，使用一个0.5kg的基本撞击单元，距屏表面400mm高度，由一根可忽略约束的管子引导垂直落到显示屏表面，目视屏幕表面无变形、伤痕，显示功能无异常</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16.LED显示屏具备现场屏体开关机次数及使用时长记录，以及对现场温湿度的监测反馈，并形成数据保存周期为100天，并可在控制软件端提取数据，保证用户实时了解现场屏体及使用环境情况</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17.含配套钢材料</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平方</w:t>
            </w:r>
          </w:p>
        </w:tc>
        <w:tc>
          <w:tcPr>
            <w:tcW w:w="4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18</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2</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发送盒</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1.一路DVI视频输入。</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2.一路HDMI高清视频输入。</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3.一路音频输入。</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4.六路网口输出。</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5.USB接口控制，可级联多台进行统一控制。</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6.带载能力达230万像素，最宽可达3840点，或最高可达3840点。</w:t>
            </w:r>
          </w:p>
        </w:tc>
        <w:tc>
          <w:tcPr>
            <w:tcW w:w="4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台</w:t>
            </w:r>
          </w:p>
        </w:tc>
        <w:tc>
          <w:tcPr>
            <w:tcW w:w="4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9</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3</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配电柜</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1.额定功率：30KW，输出路数：≥9路</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2.输入电压：三相五线制AC380V±10％，频率50Hz±5％，具有过压、浪涌、短路、过流、过载等保护功能</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3.内置避雷器，具有避雷防雷功能。</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4.配电柜含多功能卡控制，具有远程控制功能。</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5.支持通过LED显示屏智慧控制系统软件实现远程开关电箱、远程通讯、电源监视、温度监控、消防监控等操作。</w:t>
            </w:r>
          </w:p>
        </w:tc>
        <w:tc>
          <w:tcPr>
            <w:tcW w:w="4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套</w:t>
            </w:r>
          </w:p>
        </w:tc>
        <w:tc>
          <w:tcPr>
            <w:tcW w:w="4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1</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4</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机箱</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采用≥5U金属结构机箱；最大具备安装输入槽位：≥6张；最大具备安装输出槽位：≥6张；输入信号类型：DVI、HDMI1.3、HDMI1.4、HDMI2.0、DP1.2、VGA、3G-SDI、12G-SDI、智能中控卡；输出信号类型：DVI、HDMI1.3、HDMI2.0、DP1.2、3.5mm音频卡</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2、纯硬件，采用高性能FPGA架构，内部无操作系统，无系统崩溃、无病毒侵扰、兼容性广，允许频繁开关机，上电即可工作，开机启动响应时间不超过18秒；</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3、单张板卡具备2/4/6/8分割画面显示，每个单独分割窗口可随意拖动、缩放、漫游，也可对信号窗口添加字符；</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4、具备条幅功能，支持在拼接屏上显示字幕条幅，条幅布局可变，内容可调，背景颜色及透明度分区域可配，字体类型、大小、颜色、对齐方式、字间距分区域可配；</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5、具备台标显示,可对输入图像画面添加台标（文字或图片），可调整台标文字或图片大小位置、字体颜色；</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6、具备板卡热插拔，设备无需重启和设置，更换板卡后可自动恢复之前的图层数据，图像显示应正常；</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7、具备输入板卡备份,不同输入卡的两个端口可以实现对输入信号的板卡间备份，任意一路信号中断,显示图像不受影响；</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8、具备Genlock参考同步，可实现设备与设备之间级联后同步；</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9、具备整面多行多列显示屏的画面同步功能，针对快速变化的画面不会出现撕裂，错位等现象；</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10、具备在线编辑EDID，所有输入输出信号都可通过EDID编辑来自定义分辨率；</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11、具备分组管理，最大支持≥9组，每组可独立控制，可独立设置每组输出分辨率；</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12、具备异形拼接，每个输出口任意自定义分辨率，任意布局显示；</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13、支持智能中控功能，可配置中控卡对大屏环境进行控制；</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14、具备故障智能自检，可在软件查询相关硬件故障信息，方便问题排查；</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15、具备亮度调节，窗口静帧设置，无缝切换；</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16、具备PC场景，可导出场景文件，作为备份；</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17、具备截取输入图像的局部进行显示；</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18、具备场景定时，场景轮播；</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19、支持3.5mm音频输入/输出以及HDMI随路音频输入；</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20、具备PC端，pad端，手机端，中控密令等方式进行控制，场景可任意调取切换；</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21、具备多用户管理，多个用户可同时登录，主用户可给二三级用户授权功能使用；</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22、具备C/S架构控制方式，支持C/S架构画面预览回显；</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23、具备B/S架构，可通过浏览器直接访问设备，进行信号源切换，场景调用；</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24、软件具备Windows、iOS、Android、HarmonyOS、银河麒麟等操作系统；</w:t>
            </w:r>
          </w:p>
        </w:tc>
        <w:tc>
          <w:tcPr>
            <w:tcW w:w="4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套</w:t>
            </w:r>
          </w:p>
        </w:tc>
        <w:tc>
          <w:tcPr>
            <w:tcW w:w="4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1</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5</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中控卡</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1、通过中控卡可控制连接到中控卡上的所有设备；</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2、支持插入多张中控卡；</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3、IR：红外接收器，接受红外信号；</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4、RJ45：控制连接到中控卡上的所有设备；</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5、IR-OTU1/OUT2：红外发射器，支持红外编程，发送红外信号，控制红外设备；</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6、I/O接口：支持编程触发执行各种功能需求；</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7、不少于4×RS485接口：可编程接口，每组3个引脚，通过程序来控制支持RS485协议的设备；</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8、不少于4×RS232接口：可编程接口，分为4组，每组3个引脚，通过程序来控制支持RS232协议的设备；</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9、不少于4×RELAY接口：连接继电器，控制连接设备的开关机；</w:t>
            </w:r>
          </w:p>
        </w:tc>
        <w:tc>
          <w:tcPr>
            <w:tcW w:w="4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张</w:t>
            </w:r>
          </w:p>
        </w:tc>
        <w:tc>
          <w:tcPr>
            <w:tcW w:w="4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6</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HDMI输入卡</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1、接口类型：HDMI1.4</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2、接口数量：≥4</w:t>
            </w:r>
          </w:p>
          <w:p>
            <w:pPr>
              <w:widowControl/>
              <w:rPr>
                <w:rFonts w:ascii="宋体" w:hAnsi="宋体" w:eastAsia="宋体" w:cs="宋体"/>
                <w:color w:val="000000"/>
                <w:sz w:val="18"/>
                <w:szCs w:val="18"/>
              </w:rPr>
            </w:pPr>
            <w:r>
              <w:rPr>
                <w:rFonts w:hint="eastAsia" w:ascii="宋体" w:hAnsi="宋体" w:eastAsia="宋体" w:cs="宋体"/>
                <w:color w:val="000000"/>
                <w:sz w:val="18"/>
                <w:szCs w:val="18"/>
              </w:rPr>
              <w:t>3、输入信号：HDMI</w:t>
            </w:r>
          </w:p>
          <w:p>
            <w:pPr>
              <w:widowControl/>
              <w:rPr>
                <w:rFonts w:ascii="宋体" w:hAnsi="宋体" w:eastAsia="宋体" w:cs="宋体"/>
                <w:color w:val="000000"/>
                <w:sz w:val="18"/>
                <w:szCs w:val="18"/>
              </w:rPr>
            </w:pPr>
            <w:r>
              <w:rPr>
                <w:rFonts w:hint="eastAsia" w:ascii="宋体" w:hAnsi="宋体" w:eastAsia="宋体" w:cs="宋体"/>
                <w:color w:val="000000"/>
                <w:sz w:val="18"/>
                <w:szCs w:val="18"/>
              </w:rPr>
              <w:t>4、最高分辨率：优于或等于3840x2160@30Hz/2048*1152@60Hz</w:t>
            </w:r>
          </w:p>
        </w:tc>
        <w:tc>
          <w:tcPr>
            <w:tcW w:w="4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张</w:t>
            </w:r>
          </w:p>
        </w:tc>
        <w:tc>
          <w:tcPr>
            <w:tcW w:w="4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7</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DVI输入卡</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1、接口类型：DVI</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2、接口数量：≥4</w:t>
            </w:r>
          </w:p>
          <w:p>
            <w:pPr>
              <w:widowControl/>
              <w:rPr>
                <w:rFonts w:ascii="宋体" w:hAnsi="宋体" w:eastAsia="宋体" w:cs="宋体"/>
                <w:color w:val="000000"/>
                <w:sz w:val="18"/>
                <w:szCs w:val="18"/>
              </w:rPr>
            </w:pPr>
            <w:r>
              <w:rPr>
                <w:rFonts w:hint="eastAsia" w:ascii="宋体" w:hAnsi="宋体" w:eastAsia="宋体" w:cs="宋体"/>
                <w:color w:val="000000"/>
                <w:sz w:val="18"/>
                <w:szCs w:val="18"/>
              </w:rPr>
              <w:t>3、输入信号：DVI</w:t>
            </w:r>
          </w:p>
          <w:p>
            <w:pPr>
              <w:widowControl/>
              <w:rPr>
                <w:rFonts w:ascii="宋体" w:hAnsi="宋体" w:eastAsia="宋体" w:cs="宋体"/>
                <w:color w:val="000000"/>
                <w:sz w:val="18"/>
                <w:szCs w:val="18"/>
              </w:rPr>
            </w:pPr>
            <w:r>
              <w:rPr>
                <w:rFonts w:hint="eastAsia" w:ascii="宋体" w:hAnsi="宋体" w:eastAsia="宋体" w:cs="宋体"/>
                <w:color w:val="000000"/>
                <w:sz w:val="18"/>
                <w:szCs w:val="18"/>
              </w:rPr>
              <w:t>4、最高分辨率：优于或等于2048*1152@60Hz</w:t>
            </w:r>
          </w:p>
        </w:tc>
        <w:tc>
          <w:tcPr>
            <w:tcW w:w="4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张</w:t>
            </w:r>
          </w:p>
        </w:tc>
        <w:tc>
          <w:tcPr>
            <w:tcW w:w="4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8</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回显卡</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1.通过回显卡回显界面管理系统对所有设备的视频信号、拼接布局，实时掌控，所见即所得，网口最大支持≥32路信号源画面回显，适用于5U/14U/26U机箱；</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2.输出接口：不少于2*RJ45网口输出</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3.板卡类型：刀片式卡</w:t>
            </w:r>
          </w:p>
        </w:tc>
        <w:tc>
          <w:tcPr>
            <w:tcW w:w="4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张</w:t>
            </w:r>
          </w:p>
        </w:tc>
        <w:tc>
          <w:tcPr>
            <w:tcW w:w="4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9</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输出卡</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1、接口类型：HDMI1.3</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2、接口数量：≥4</w:t>
            </w:r>
          </w:p>
          <w:p>
            <w:pPr>
              <w:widowControl/>
              <w:rPr>
                <w:rFonts w:ascii="宋体" w:hAnsi="宋体" w:eastAsia="宋体" w:cs="宋体"/>
                <w:color w:val="000000"/>
                <w:sz w:val="18"/>
                <w:szCs w:val="18"/>
              </w:rPr>
            </w:pPr>
            <w:r>
              <w:rPr>
                <w:rFonts w:hint="eastAsia" w:ascii="宋体" w:hAnsi="宋体" w:eastAsia="宋体" w:cs="宋体"/>
                <w:color w:val="000000"/>
                <w:sz w:val="18"/>
                <w:szCs w:val="18"/>
              </w:rPr>
              <w:t>3、输出信号：HDMI</w:t>
            </w:r>
          </w:p>
          <w:p>
            <w:pPr>
              <w:widowControl/>
              <w:rPr>
                <w:rFonts w:ascii="宋体" w:hAnsi="宋体" w:eastAsia="宋体" w:cs="宋体"/>
                <w:color w:val="000000"/>
                <w:sz w:val="18"/>
                <w:szCs w:val="18"/>
              </w:rPr>
            </w:pPr>
            <w:r>
              <w:rPr>
                <w:rFonts w:hint="eastAsia" w:ascii="宋体" w:hAnsi="宋体" w:eastAsia="宋体" w:cs="宋体"/>
                <w:color w:val="000000"/>
                <w:sz w:val="18"/>
                <w:szCs w:val="18"/>
              </w:rPr>
              <w:t>4、最高分辨率：优于或等于2048*1152@60Hz</w:t>
            </w:r>
          </w:p>
        </w:tc>
        <w:tc>
          <w:tcPr>
            <w:tcW w:w="4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张</w:t>
            </w:r>
          </w:p>
        </w:tc>
        <w:tc>
          <w:tcPr>
            <w:tcW w:w="4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3</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10</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装修</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包括墙面美化、消防改造等</w:t>
            </w:r>
          </w:p>
        </w:tc>
        <w:tc>
          <w:tcPr>
            <w:tcW w:w="4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项</w:t>
            </w:r>
          </w:p>
        </w:tc>
        <w:tc>
          <w:tcPr>
            <w:tcW w:w="4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11</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辅材</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所需线缆、辅材、8mm胶合免熏蒸木箱等</w:t>
            </w:r>
          </w:p>
        </w:tc>
        <w:tc>
          <w:tcPr>
            <w:tcW w:w="4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项</w:t>
            </w:r>
          </w:p>
        </w:tc>
        <w:tc>
          <w:tcPr>
            <w:tcW w:w="4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r>
      <w:tr>
        <w:tblPrEx>
          <w:tblCellMar>
            <w:top w:w="0" w:type="dxa"/>
            <w:left w:w="108" w:type="dxa"/>
            <w:bottom w:w="0" w:type="dxa"/>
            <w:right w:w="108" w:type="dxa"/>
          </w:tblCellMar>
        </w:tblPrEx>
        <w:trPr>
          <w:trHeight w:val="20" w:hRule="atLeast"/>
        </w:trPr>
        <w:tc>
          <w:tcPr>
            <w:tcW w:w="924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2.专业扩声系统建设</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1</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音频处理器</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1.数字音频处理器支持≥16路平衡式话筒/线路输入通道，采用裸线接口端子，平衡接法；支持≥16路平衡式线路输出，采用裸线接口端子，平衡接法。</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2.输入通道支持前级放大、信号发生器、扩展器、压缩器、≥5段参量均衡、AM自动混音功能、AFC自适应反馈消除、AEC回声消除、ANC噪声消除。</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3.输出通道支持≥31段图示均衡器、延时器、分频器、高低通滤波器、限幅器。</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4.支持24bit/48kHz的声音，支持输入通道48V幻象供电。</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5.具有液晶显示屏，支持显示设备网络信息、实时电平、通道静音状态、矩阵混音状态。</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6.支持通过ipad或iPhone或安卓手机APP软件进行操作控制，面板具备USB接口，支持多媒体存储，可进行播放或存储录播。</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7.配置双向RS-232接口，可用于控制外部设备；配置RS-485接口，可实现自动摄像跟踪功能。配置≥8通道可编程GPIO控制接口（可自定义输入输出）。</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8.支持断电自动保护记忆功能。支持通道拷贝、粘贴、联控功能。支持通过浏览器访问设备，下载自带管理控制软件；可工作在XP/Windows7、8、10等系统环境下。</w:t>
            </w:r>
          </w:p>
        </w:tc>
        <w:tc>
          <w:tcPr>
            <w:tcW w:w="4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台</w:t>
            </w:r>
          </w:p>
        </w:tc>
        <w:tc>
          <w:tcPr>
            <w:tcW w:w="4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2</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话筒</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rPr>
            </w:pPr>
            <w:r>
              <w:rPr>
                <w:rFonts w:hint="eastAsia" w:ascii="宋体" w:hAnsi="宋体" w:eastAsia="宋体" w:cs="宋体"/>
                <w:color w:val="000000"/>
                <w:sz w:val="18"/>
                <w:szCs w:val="18"/>
              </w:rPr>
              <w:t>1.信噪比：≥65dB SPL 1KHz at 1Pa</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2.频率响应：不低于20-18KHz</w:t>
            </w:r>
          </w:p>
          <w:p>
            <w:pPr>
              <w:widowControl/>
              <w:rPr>
                <w:rFonts w:ascii="宋体" w:hAnsi="宋体" w:eastAsia="宋体" w:cs="宋体"/>
                <w:color w:val="000000"/>
                <w:sz w:val="18"/>
                <w:szCs w:val="18"/>
              </w:rPr>
            </w:pPr>
            <w:r>
              <w:rPr>
                <w:rFonts w:hint="eastAsia" w:ascii="宋体" w:hAnsi="宋体" w:eastAsia="宋体" w:cs="宋体"/>
                <w:color w:val="000000"/>
                <w:sz w:val="18"/>
                <w:szCs w:val="18"/>
              </w:rPr>
              <w:t>3.输出阻抗：≥75Ω</w:t>
            </w:r>
          </w:p>
          <w:p>
            <w:pPr>
              <w:widowControl/>
              <w:rPr>
                <w:rFonts w:ascii="宋体" w:hAnsi="宋体" w:eastAsia="宋体" w:cs="宋体"/>
                <w:color w:val="000000"/>
                <w:sz w:val="18"/>
                <w:szCs w:val="18"/>
              </w:rPr>
            </w:pPr>
            <w:r>
              <w:rPr>
                <w:rFonts w:hint="eastAsia" w:ascii="宋体" w:hAnsi="宋体" w:eastAsia="宋体" w:cs="宋体"/>
                <w:color w:val="000000"/>
                <w:sz w:val="18"/>
                <w:szCs w:val="18"/>
              </w:rPr>
              <w:t>4.灵敏度：不低于-40dB±2dB</w:t>
            </w:r>
          </w:p>
        </w:tc>
        <w:tc>
          <w:tcPr>
            <w:tcW w:w="4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只</w:t>
            </w:r>
          </w:p>
        </w:tc>
        <w:tc>
          <w:tcPr>
            <w:tcW w:w="4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24</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3</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话筒</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1.咪杆数量：单咪杆</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2.频率响应：优于50Hz-18kHz</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3.输出阻抗（欧姆）：≤1200</w:t>
            </w:r>
            <w:r>
              <w:rPr>
                <w:rFonts w:hint="eastAsia" w:ascii="宋体" w:hAnsi="宋体" w:eastAsia="宋体" w:cs="宋体"/>
                <w:color w:val="000000"/>
                <w:sz w:val="18"/>
                <w:szCs w:val="18"/>
              </w:rPr>
              <w:t>Ω</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4.供电电压：≥48V</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只</w:t>
            </w:r>
          </w:p>
        </w:tc>
        <w:tc>
          <w:tcPr>
            <w:tcW w:w="4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4</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智能混音器</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输入通道：≥16路平衡式话筒/线路输入，采用裸线接口端子，平衡接法。支持麦克风输入和线路输入切换。每路输入带≥48V幻象电源，可通过PC软件单独配置。2.输出通道：≥4路平衡式线路输出，采用裸线接口端子，平衡接法。</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3.具有丰富的音频处理功能：闪避器、自动增益、均衡器、分频器。</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4.具有自动混音功能，包括增益共享混音以及门限自动混音。</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5.输入具有≥10段图示均衡调节，输出具有≥31段图示均衡调节，参量全频段拖动可调。</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6.高、低通分频器全频段可调，具有贝塞尔、林克威治-瑞利、巴特沃斯三种滤波器可供选择。</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7.具有恢复出厂设置、设备定位、断电自动保护记忆。</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8.设备级联最大可扩展256个输入。</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9.极低系统延时，延时小于3ms。</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只</w:t>
            </w:r>
          </w:p>
        </w:tc>
        <w:tc>
          <w:tcPr>
            <w:tcW w:w="4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5</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抑制器</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1.高性能DSP处理，≥40-bit DPS处理器（400兆主频），提供≥32-bit/48kHz的声音。</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、2.采用“陷波”+“移频”双方式进行反馈抑制。陷波器提供12固定点+12动态点。高精度移频，范围≥-10Hz到10Hz。</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3.均衡器支持≥31段图示均衡器和8段参量均衡器。</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4.分频器支持巴特沃斯，贝塞尔，林克威治-瑞利三种类型及多种倍频程。</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5.具有一个IPS真彩显示屏。支持中英文切换显示。</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6.具有≥48个陷波器状态LED指示灯实时显示，每通道≥12个静态+≥12个动态陷波器。</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7.具有双通道直通，一键重置陷波点配置功能。</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8.支持≥4个场景切换。</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9.支持设备定位功能、断电自动保护记忆功能。</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10.输入通道及插座≥2路XLR与TRS多功能座模拟输入；输出通道及插座≥2路XLR公座+≥2路TRS公座模拟输出。</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台</w:t>
            </w:r>
          </w:p>
        </w:tc>
        <w:tc>
          <w:tcPr>
            <w:tcW w:w="4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6</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音箱</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1.箱体采用12mm高密度板，CNC加工，耐磨喷漆处理。</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2.拼接排列扬声器设计。</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3.额定功率≥200W,灵敏度≥95dB(1M/1W)</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台</w:t>
            </w:r>
          </w:p>
        </w:tc>
        <w:tc>
          <w:tcPr>
            <w:tcW w:w="4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7</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天花喇叭</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1.额定功率：≥100W</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2.最大功率：≥200W</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3.标称阻抗：8</w:t>
            </w:r>
            <w:r>
              <w:rPr>
                <w:rFonts w:hint="eastAsia" w:ascii="宋体" w:hAnsi="宋体" w:eastAsia="宋体" w:cs="宋体"/>
                <w:color w:val="000000"/>
                <w:sz w:val="18"/>
                <w:szCs w:val="18"/>
              </w:rPr>
              <w:t>Ω</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4.频率范围(-10dB)：55Hz-20kHz</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5.灵敏度 (1M/1W)：93dB±3dB</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6.最大声压级：≥116dB±3dB</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7.覆盖角（-6dB）：0-120°</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8.扬声器：≥8寸低频×1，≥1寸高音×1</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台</w:t>
            </w:r>
          </w:p>
        </w:tc>
        <w:tc>
          <w:tcPr>
            <w:tcW w:w="4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4</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8</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专业功放</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1.标准XLR输入接口，和LINK输出口。</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2.电源采用开关电源技术，效率高，有效的抑制电源谐波。</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 xml:space="preserve">3.内置智能削峰限幅器，支持开机软启动，防止开机时向电网吸收大电流，干扰其它用电设备。 </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4.具有：过压保护，欠压保护，过流保护，直流保护，输出短路保护，温控风扇等功能。</w:t>
            </w:r>
          </w:p>
          <w:p>
            <w:pPr>
              <w:widowControl/>
              <w:rPr>
                <w:rFonts w:ascii="宋体" w:hAnsi="宋体" w:eastAsia="宋体" w:cs="宋体"/>
                <w:color w:val="000000"/>
                <w:sz w:val="18"/>
                <w:szCs w:val="18"/>
              </w:rPr>
            </w:pPr>
            <w:r>
              <w:rPr>
                <w:rFonts w:hint="eastAsia" w:ascii="宋体" w:hAnsi="宋体" w:eastAsia="宋体" w:cs="宋体"/>
                <w:color w:val="000000"/>
                <w:sz w:val="18"/>
                <w:szCs w:val="18"/>
              </w:rPr>
              <w:t>5.输出功率：立体声@8Ω：≥350W×2；立体声@4Ω：≥600W×2。</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台</w:t>
            </w:r>
          </w:p>
        </w:tc>
        <w:tc>
          <w:tcPr>
            <w:tcW w:w="4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9</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电源管理器</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1.支持≥16路电源输出，具有≥14个AC220V(10A)，≥2个AC220V(16A)接口， 电源插口总容量达 6KVA；</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2.可手动控制16个电源上断电；也可与定时器、智能控制器相连接，实现自动控制；支持配置CH1和CH2通道为受控或不受控状态。</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3.支持≥16路电源插座依次间隔1秒打开；</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4.有≥1路24V消防信号输入接口；≥1路消防短路报警触发信号输出。</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台</w:t>
            </w:r>
          </w:p>
        </w:tc>
        <w:tc>
          <w:tcPr>
            <w:tcW w:w="4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10</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辅材</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所需线缆、辅材、音频线、音箱线、莲花头、大三芯、小三芯、HDMI高清线等</w:t>
            </w:r>
          </w:p>
        </w:tc>
        <w:tc>
          <w:tcPr>
            <w:tcW w:w="4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项</w:t>
            </w:r>
          </w:p>
        </w:tc>
        <w:tc>
          <w:tcPr>
            <w:tcW w:w="4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1</w:t>
            </w:r>
          </w:p>
        </w:tc>
      </w:tr>
      <w:tr>
        <w:tblPrEx>
          <w:tblCellMar>
            <w:top w:w="0" w:type="dxa"/>
            <w:left w:w="108" w:type="dxa"/>
            <w:bottom w:w="0" w:type="dxa"/>
            <w:right w:w="108" w:type="dxa"/>
          </w:tblCellMar>
        </w:tblPrEx>
        <w:trPr>
          <w:trHeight w:val="20" w:hRule="atLeast"/>
        </w:trPr>
        <w:tc>
          <w:tcPr>
            <w:tcW w:w="924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3.无纸化会议系统</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1</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无纸化主机</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无纸化服务主机搭配管理软件，负责处理会议功能模块、会议主题、参会人员信息、会议议题、投票内容等会前信息预设，具有会议各类文件资料的上传分发、人员的权限管理设置、会议信息的实时记录等应用功能。</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2.采用CPU配置不低于四核（参考的配置不低于I7）</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3.采用内存配置不低于8G</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4.采用硬盘容量不低于1TB</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5.具有千兆网络接口（RJ45）</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6.具有视频输出接口：≥1×HDMI；具备音频接口：≥1×3.5mm音频输入接口、≥1×3.5mm音频输出接口；具备其他接口：≥1×RS232、≥4×USB接口。</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台</w:t>
            </w:r>
          </w:p>
        </w:tc>
        <w:tc>
          <w:tcPr>
            <w:tcW w:w="4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1</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2</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智能无纸化会议管理服务器软件</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1.支持多会议室管理，会议室支持可视化布局配置管理。支持会议室坐席可视化控制。</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2.支持本地联合会议和异地互联会议（需搭建专网专线）。</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3.支持会议室坐席模拟排位功能，支持人员筛选，支持根据人员权重自动排位和手动排位。</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4.支持多个会议议题进行管理操作，每个议题可以独立上传多份附件；支持议题内加入文件夹，三级目录文件展示；支持快速创建议题关联的投票。</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5.支持统一管理多个投票，实时查看投票过程与结果，控制投票结果实时投屏展示。支持投票导入导出功能。支持投票身份认证。</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6.支持统一管理多个评分，实时查看评分过程与结果，控制评分投屏。支持评分导入导出功能。支持评分身份认证。支持配置平均分规则为默认或截尾平均数。支持评分备注功能。</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7.支持批注白板，可同时管理各参会人员的电子白板存档、手写批注、文档批注，支持后台预览及一键导出功能。</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8.支持三员管理功能。开启该功能后系统将分为系统管理员、会务管理员、审计员三种角色。</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9.支持个人中心H5网页展示，可会前、会中上传资料，查看资料，支持会后下载参加过的会议的资料及批注文件，保密会议会前会后不能查看会议资料。10.支持双机热备，主从设备数据同步，当主设备出现故障时从机接管。</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11.支持服务器监控，可查看服务器cpu使用率、内存使用率、磁盘空间、网络传输速率，可设置阈值警告。</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套</w:t>
            </w:r>
          </w:p>
        </w:tc>
        <w:tc>
          <w:tcPr>
            <w:tcW w:w="4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1</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3</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无纸化流媒体主机</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1.内嵌高清、标清视频信号处理模块，同步、异步处理视频信号输入、输出。</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2.支持HDMI信号输入，外部信号通过此接口实时广播画面到所有会议终端并同步显示。</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3.支持HDMI信号输出，任何会议终端画面通过此接口输出至大屏幕或其他信号显示设备。</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4.配置≥1路3.5mm音频输入接口和≥1路3.5mm音频输出接口，实现音视频同步输入输出。</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5.支持全高清1080P、高清720P等多种高清分辨率输出。</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6.要求服务器的CPU配置不低于四核（参考配置不低于I5），内存配置不低于4G，硬盘为固态硬盘且容量至少128GB。7.具备视频输入接口：≥1×HDMI；具备视频输出接口：≥1×HDMI；具备音频接口：≥1×3.5mm音频输入接口、≥1×3.5mm音频输出接口；具备≥2×RS-232、≥4×USB接口。</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台</w:t>
            </w:r>
          </w:p>
        </w:tc>
        <w:tc>
          <w:tcPr>
            <w:tcW w:w="4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1</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4</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无纸化流媒体服务器嵌入软件</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1.支持签到投屏功能，将签到过程、签到结果展示在大屏上。</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2.支持将电子白板、会议标语、文档主讲、外部信号等信息广播到大屏展示。</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3.支持多媒体(桌面同屏、电子白板、文档资料等)分组投屏功能， 最大可支持≥4分屏画面同时投屏输出显示。</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4.支持大屏点播功能，直接播放服务器原生视频文件；支持大屏广播功能，将大屏的画面广播同步到各个终端并显示。</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5.支持大屏视频矩阵功能，同时支持多路多媒体源进行播放功能。</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6.支持投票投屏功能，将投票过程、投票结果以文字、柱状图、饼状图方式展示在大屏上。</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7.支持评分投屏功能，评分过程中查看评分人数、未提交人数。支持评分结束后以柱状图（10项以下）或表格（10项以上）的形式投屏显示评分结果。</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套</w:t>
            </w:r>
          </w:p>
        </w:tc>
        <w:tc>
          <w:tcPr>
            <w:tcW w:w="4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1</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5</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无纸化升降器</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1、升降器采用触控超薄高清显示屏与升降器一体化设计，一键操作即自动化完成启动、液晶屏上升、仰角等动作，升/降时间≤28S。</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2、采用钢丝与高精密度的导轨和直线轴承配合，交流减速电机做驱动动力,将噪音降到最低。</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3、安装于桌面占用空间小，设备面板厚度≥3mm,宽度≥70mm，长度≥430mm，显示屏厚度≥9.7mm。</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4、显示器为超薄液晶触屏类型，显示尺寸≥15.6英寸，屏幕比例为≥16:9，显示分辨率达≥1920*1080P，显示屏亮度≥220cd/m2，对比度≥500: 1.</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5、支持≥1路HDMI、≥1路VGA视频信号输入，当只有一路信号输入时，屏幕会自动识别信号，当两路信号同时输入时，可通过面板按键手动切换，当无信号输入时，屏幕自动进入省电模式。</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6、设备可通过中控软件进行集中控制，可使主机通过RS232/RS485协议进行控制，一键可让室内所有的设备都上升或下降。</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7、显示屏仰角符合人体工程学原理，不遮挡视线和人脸，显示屏仰角角度可调0-30°</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8、升降器具备≥1路环通输出电源插座，给终端供电减少终端电源插座布线，方便工程现场布线更加整洁美观。</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9、桌面面板具备≥1路USB接口，支持连接U盘可进行浏览文件或上传文件等操作。</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台</w:t>
            </w:r>
          </w:p>
        </w:tc>
        <w:tc>
          <w:tcPr>
            <w:tcW w:w="4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21</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6</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无纸化升降器内嵌软件</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1.软件内嵌于终端设备，显示端可对多种文件格式文档进行阅览。</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2.支持多种分辨率适配，可适应各种终端界面。</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3.支持单机使用，也可以实现集中控制。</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4.升降器桌面面板预设USB信息接口，支持文档资料导入导出。</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5.触摸屏幕即可实现对客户端设备的功能使用。</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套</w:t>
            </w:r>
          </w:p>
        </w:tc>
        <w:tc>
          <w:tcPr>
            <w:tcW w:w="4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21</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7</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无纸化会议终端</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多媒体会议终端主机搭配终端内嵌软件负责处理会议过程的文件推送、文件分发、浏览阅读、文件批注、智能签到、投票表决、电子白板、电子铭牌、会议交流、会议服务、视频信号互联互通、会议管控、同屏广播等应用</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2.支持无纸化会议模式和Windows模式，可任意切换。</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3.可对多种文件格式进行阅览，包括常见格式doc/ docx /xls/ xlsx /ppt /pptx/ pdf /txt/jpg/png等，参会人只可看到有权限的文件。</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4.会议过程中可以随时进行会议笔记记录，支持下载到本地。</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5.个人中心模块支持会前、会中上传资料，查看资料（保密会议会前不能查看）；支持会后下载参加过的会议的资料。</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6.结束会议终端自动清除本地会议文件。</w:t>
            </w:r>
          </w:p>
          <w:p>
            <w:pPr>
              <w:widowControl/>
              <w:rPr>
                <w:rFonts w:ascii="宋体" w:hAnsi="宋体" w:eastAsia="宋体" w:cs="宋体"/>
                <w:color w:val="000000"/>
                <w:sz w:val="18"/>
                <w:szCs w:val="18"/>
              </w:rPr>
            </w:pPr>
            <w:r>
              <w:rPr>
                <w:rFonts w:hint="eastAsia" w:ascii="宋体" w:hAnsi="宋体" w:eastAsia="宋体" w:cs="宋体"/>
                <w:color w:val="000000"/>
                <w:sz w:val="18"/>
                <w:szCs w:val="18"/>
              </w:rPr>
              <w:t>7.具有≥4×USB、≥1×HDMI、≥1×VGA、≥1×LAN、≥1×MIC-IN端口、≥1×LINE-OUT端口、≥1×DC端口、≥1×COM口</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8.采用CPU配置不低于I5处理器（四核）</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9.采用内存配置不低于8GB</w:t>
            </w:r>
          </w:p>
          <w:p>
            <w:pPr>
              <w:widowControl/>
              <w:rPr>
                <w:rFonts w:ascii="宋体" w:hAnsi="宋体" w:eastAsia="宋体" w:cs="宋体"/>
                <w:color w:val="000000"/>
                <w:sz w:val="18"/>
                <w:szCs w:val="18"/>
              </w:rPr>
            </w:pPr>
            <w:r>
              <w:rPr>
                <w:rFonts w:hint="eastAsia" w:ascii="宋体" w:hAnsi="宋体" w:eastAsia="宋体" w:cs="宋体"/>
                <w:color w:val="000000"/>
                <w:sz w:val="18"/>
                <w:szCs w:val="18"/>
              </w:rPr>
              <w:t>10.采用硬盘容量不低于128GB SSD</w:t>
            </w:r>
          </w:p>
          <w:p>
            <w:pPr>
              <w:widowControl/>
              <w:rPr>
                <w:rFonts w:ascii="宋体" w:hAnsi="宋体" w:eastAsia="宋体" w:cs="宋体"/>
                <w:color w:val="000000"/>
                <w:sz w:val="18"/>
                <w:szCs w:val="18"/>
              </w:rPr>
            </w:pPr>
            <w:r>
              <w:rPr>
                <w:rFonts w:hint="eastAsia" w:ascii="宋体" w:hAnsi="宋体" w:eastAsia="宋体" w:cs="宋体"/>
                <w:color w:val="000000"/>
                <w:sz w:val="18"/>
                <w:szCs w:val="18"/>
              </w:rPr>
              <w:t>11.具有千兆网络接口（RJ45）</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台</w:t>
            </w:r>
          </w:p>
        </w:tc>
        <w:tc>
          <w:tcPr>
            <w:tcW w:w="4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21</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8</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无纸化会议终端软件</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1.支持会议信息展示。支持查看参会名单和会议人员座位图。</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2.支持文档阅览，可对多种文件格式进行阅览，支持权限设置功能，参会人仅能看到自己有权限查看的文件。同时支持文档批注功能，可以对文档图片进行批注、保存，并支持多人交互批注。</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3.支持U盘上传会议资料，进行文件阅览或共享其他参会人员，同时上传文件可保存在服务器和本地终端中。</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4.支持截屏批注，可单人批注或多人批注。批注结果可保存至服务器，会后自动归档处理。</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5.内置浏览器，支持浏览以太网网络，可后台统一设置，点击直接打开配置好的网页。</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6.支持屏幕同屏广播，支持跨平台（windows/Android）广播；屏幕广播/文档主讲支持申请模式。同屏广播具备计时功能，可选择倒计时或顺计时，以及具备选择是否同步到大屏功能。</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7.支持异步浏览，参会人员可以通过异步浏览自由使用终端其他功能，也支持浮窗的方式进行异浏览。</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8.支持个人中心（个人空间）功能，可查看自己参与过的会议的会议信息。</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9.支持多媒体分享功能，多种媒体以广播的方式分享到其它终端，并可以交互操作。</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10.支持集中控制操作，控制终端显示内容，控制终端开关机，支持对服务器的关机控制，支持无纸化升降器及话筒的统一升降。</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11.会议主持可控制评分功能启用、结束，查看统计结果功能，评分过程结果实时投屏；支持评分签名确认。</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12.会议主持可通过信号管理将任意参会人本地画面屏幕广播至任意或全部参会人，也可以结束任意参会人的共享画面；分组同屏广播最大可支持8个分组，同时投送到大屏显示最大支持4路。</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13.会议主持可管理会议纪要，管理纪要文件查看权限；并可发起会签，现场生成会签文档和最终纪要文件。</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套</w:t>
            </w:r>
          </w:p>
        </w:tc>
        <w:tc>
          <w:tcPr>
            <w:tcW w:w="4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21</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9</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无纸化会议安卓App</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1.支持实时查看无纸化终端发出的会议请求并处理。</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2.支持根据会议室、状态分类查找会议中无纸化终端发出的会议服务请求。</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3.支持添加多会议室，管理多个会议室服务，可动态切换不同会议室。</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4.支持座位表功能，可查看本次会议人员座位，方便准确的进行会议服务。</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5.会议服务App软件可在Android  5.0及以上版本的手机或平板上运行。</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套</w:t>
            </w:r>
          </w:p>
        </w:tc>
        <w:tc>
          <w:tcPr>
            <w:tcW w:w="4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1</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10</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网络主机</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1.具有≥24个网络端口，≥4个千兆SFP+光纤口，≥一个控制口。</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2.支持网口和光纤线热插拨，支持双备份链路。</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3.支持胖瘦一体化，具有智能交换机和普通交换机两种工作模式。</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4.通过网络管理平台可实现一键快速替换故障设备。</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5.具有 IEEE 802.3az 标准的 EEE 节能技术：当 EEE 使能时，可大幅度的减小端口在该阶段的功耗，达到了节能的目的。</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6.提供友好的Web管理界面，1:1还原交换机端口和面板状态，可方便、快捷查看交换机端口工作状态、流量趋势等。</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7.采用“零部署”上线方式，交换机接上网线后自动展示在待激活列表，无需配置，一键即可激活。同时控制器还能对故障交换机进行一键重启和替换，最大程度节省运维时间。</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8.具有自动化拓扑生成功能，设备接线后，管理平台自动生成网络拓扑，并且能够直接在拓扑上进行设备配置。</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台</w:t>
            </w:r>
          </w:p>
        </w:tc>
        <w:tc>
          <w:tcPr>
            <w:tcW w:w="4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1</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1</w:t>
            </w:r>
            <w:r>
              <w:rPr>
                <w:rFonts w:ascii="宋体" w:hAnsi="宋体" w:eastAsia="宋体" w:cs="宋体"/>
                <w:sz w:val="18"/>
                <w:szCs w:val="18"/>
              </w:rPr>
              <w:t>1</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笔记本电脑</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sz w:val="18"/>
                <w:szCs w:val="18"/>
              </w:rPr>
            </w:pPr>
            <w:r>
              <w:rPr>
                <w:rFonts w:ascii="宋体" w:hAnsi="宋体" w:eastAsia="宋体" w:cs="宋体"/>
                <w:sz w:val="18"/>
                <w:szCs w:val="18"/>
              </w:rPr>
              <w:t>I7十代  SSD  1T 以上   16英寸 （具体与甲方沟通）</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台</w:t>
            </w:r>
          </w:p>
        </w:tc>
        <w:tc>
          <w:tcPr>
            <w:tcW w:w="4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1</w:t>
            </w:r>
            <w:r>
              <w:rPr>
                <w:rFonts w:ascii="宋体" w:hAnsi="宋体" w:eastAsia="宋体" w:cs="宋体"/>
                <w:sz w:val="18"/>
                <w:szCs w:val="18"/>
              </w:rPr>
              <w:t>0</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1</w:t>
            </w:r>
            <w:r>
              <w:rPr>
                <w:rFonts w:ascii="宋体" w:hAnsi="宋体" w:eastAsia="宋体" w:cs="宋体"/>
                <w:sz w:val="18"/>
                <w:szCs w:val="18"/>
              </w:rPr>
              <w:t>2</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打印机</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sz w:val="18"/>
                <w:szCs w:val="18"/>
                <w:lang w:eastAsia="zh-CN"/>
              </w:rPr>
            </w:pPr>
            <w:r>
              <w:rPr>
                <w:rFonts w:hint="eastAsia" w:ascii="宋体" w:hAnsi="宋体" w:eastAsia="宋体" w:cs="宋体"/>
                <w:sz w:val="18"/>
                <w:szCs w:val="18"/>
                <w:lang w:eastAsia="zh-CN"/>
              </w:rPr>
              <w:t>打印复印一体机，双面打印，打印分辨率≥</w:t>
            </w:r>
            <w:r>
              <w:rPr>
                <w:rFonts w:ascii="宋体" w:hAnsi="宋体" w:eastAsia="宋体" w:cs="宋体"/>
                <w:sz w:val="18"/>
                <w:szCs w:val="18"/>
                <w:lang w:eastAsia="zh-CN"/>
              </w:rPr>
              <w:t>600×600dpi，含粉盒2个（具体与甲方沟通）</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台</w:t>
            </w:r>
          </w:p>
        </w:tc>
        <w:tc>
          <w:tcPr>
            <w:tcW w:w="4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1</w:t>
            </w:r>
            <w:r>
              <w:rPr>
                <w:rFonts w:ascii="宋体" w:hAnsi="宋体" w:eastAsia="宋体" w:cs="宋体"/>
                <w:sz w:val="18"/>
                <w:szCs w:val="18"/>
              </w:rPr>
              <w:t>0</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1</w:t>
            </w:r>
            <w:r>
              <w:rPr>
                <w:rFonts w:ascii="宋体" w:hAnsi="宋体" w:eastAsia="宋体" w:cs="宋体"/>
                <w:sz w:val="18"/>
                <w:szCs w:val="18"/>
              </w:rPr>
              <w:t>3</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台式电脑</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sz w:val="18"/>
                <w:szCs w:val="18"/>
                <w:lang w:eastAsia="zh-CN"/>
              </w:rPr>
            </w:pPr>
            <w:r>
              <w:rPr>
                <w:rFonts w:hint="eastAsia" w:ascii="宋体" w:hAnsi="宋体" w:eastAsia="宋体" w:cs="宋体"/>
                <w:sz w:val="18"/>
                <w:szCs w:val="18"/>
                <w:lang w:eastAsia="zh-CN"/>
              </w:rPr>
              <w:t>第八代英特尔酷睿</w:t>
            </w:r>
            <w:r>
              <w:rPr>
                <w:rFonts w:ascii="宋体" w:hAnsi="宋体" w:eastAsia="宋体" w:cs="宋体"/>
                <w:sz w:val="18"/>
                <w:szCs w:val="18"/>
                <w:lang w:eastAsia="zh-CN"/>
              </w:rPr>
              <w:t>i5，台式电脑整机（I5-8400 8G 1T ）21.5英寸 （具体与甲方沟通）</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台</w:t>
            </w:r>
          </w:p>
        </w:tc>
        <w:tc>
          <w:tcPr>
            <w:tcW w:w="4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1</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1</w:t>
            </w:r>
            <w:r>
              <w:rPr>
                <w:rFonts w:ascii="宋体" w:hAnsi="宋体" w:eastAsia="宋体" w:cs="宋体"/>
                <w:sz w:val="18"/>
                <w:szCs w:val="18"/>
              </w:rPr>
              <w:t>4</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辅材</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rPr>
            </w:pPr>
            <w:r>
              <w:rPr>
                <w:rFonts w:hint="eastAsia" w:ascii="宋体" w:hAnsi="宋体" w:eastAsia="宋体" w:cs="宋体"/>
                <w:color w:val="000000"/>
                <w:sz w:val="18"/>
                <w:szCs w:val="18"/>
              </w:rPr>
              <w:t>所需线缆、辅材等</w:t>
            </w:r>
          </w:p>
        </w:tc>
        <w:tc>
          <w:tcPr>
            <w:tcW w:w="4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项</w:t>
            </w:r>
          </w:p>
        </w:tc>
        <w:tc>
          <w:tcPr>
            <w:tcW w:w="4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1</w:t>
            </w:r>
          </w:p>
        </w:tc>
      </w:tr>
      <w:tr>
        <w:tblPrEx>
          <w:tblCellMar>
            <w:top w:w="0" w:type="dxa"/>
            <w:left w:w="108" w:type="dxa"/>
            <w:bottom w:w="0" w:type="dxa"/>
            <w:right w:w="108" w:type="dxa"/>
          </w:tblCellMar>
        </w:tblPrEx>
        <w:trPr>
          <w:trHeight w:val="20" w:hRule="atLeast"/>
        </w:trPr>
        <w:tc>
          <w:tcPr>
            <w:tcW w:w="924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4.会议专用桌椅</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1</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会议台</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sz w:val="18"/>
                <w:szCs w:val="18"/>
                <w:lang w:eastAsia="zh-CN"/>
              </w:rPr>
            </w:pPr>
            <w:r>
              <w:rPr>
                <w:rFonts w:hint="eastAsia" w:ascii="宋体" w:hAnsi="宋体" w:eastAsia="宋体" w:cs="宋体"/>
                <w:sz w:val="18"/>
                <w:szCs w:val="18"/>
                <w:lang w:eastAsia="zh-CN"/>
              </w:rPr>
              <w:t>1.基材：采用优质E0级高密度纤维板，长度和宽度偏差±2mm，密度≥0.78g/cm3，吸水厚度膨胀率≤5%，甲醛释放量≤0.04mg/m3，含水率≤7%，总挥发性有机化合物TVOC≤25</w:t>
            </w:r>
            <w:r>
              <w:rPr>
                <w:rFonts w:hint="eastAsia" w:ascii="MS Gothic" w:hAnsi="MS Gothic" w:eastAsia="MS Gothic" w:cs="MS Gothic"/>
                <w:sz w:val="18"/>
                <w:szCs w:val="18"/>
                <w:lang w:eastAsia="zh-CN"/>
              </w:rPr>
              <w:t>㎍</w:t>
            </w:r>
            <w:r>
              <w:rPr>
                <w:rFonts w:hint="eastAsia" w:ascii="宋体" w:hAnsi="宋体" w:eastAsia="宋体" w:cs="宋体"/>
                <w:sz w:val="18"/>
                <w:szCs w:val="18"/>
                <w:lang w:eastAsia="zh-CN"/>
              </w:rPr>
              <w:t>/m3，防霉菌性能不低于1级，符合GB/T 31765-2015《高密度纤维板》、GB/T 35601-2017《绿色产品评价 人造板和木质地板》、JC/T 2039-2010《抗菌防霉木质装饰板》等标准。</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2.饰面：采用天然实木皮，厚度≥0.6mm，含水率≤8%，甲醛释放量≤0.2mg/L，总挥发性有机化合物TVOC≤25</w:t>
            </w:r>
            <w:r>
              <w:rPr>
                <w:rFonts w:hint="eastAsia" w:ascii="MS Gothic" w:hAnsi="MS Gothic" w:eastAsia="MS Gothic" w:cs="MS Gothic"/>
                <w:sz w:val="18"/>
                <w:szCs w:val="18"/>
                <w:lang w:eastAsia="zh-CN"/>
              </w:rPr>
              <w:t>㎍</w:t>
            </w:r>
            <w:r>
              <w:rPr>
                <w:rFonts w:hint="eastAsia" w:ascii="宋体" w:hAnsi="宋体" w:eastAsia="宋体" w:cs="宋体"/>
                <w:sz w:val="18"/>
                <w:szCs w:val="18"/>
                <w:lang w:eastAsia="zh-CN"/>
              </w:rPr>
              <w:t>/m3，GB/T 1931-2009《木材含水率测定方法》，GB/T 13010-2006《刨切单板》标准。</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 xml:space="preserve">3.封边：采用优质天然实木封边条，含水率≤11%，甲醛释放量≤0.2mg/L，符合 QB/T 4463-2013《家具用封边条技术要求》标准。 </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4.油漆：采用优质品牌环保油漆，经过五底三面油漆工序，木纹纹理清晰，色泽均匀、光滑耐用；挥发性有机化合物（VOC）含量≤50g/L，可溶性重金属含量 可溶性铅（Pb）≤8mg/kg、可溶性镉(Cd)≤2mg/kg、可溶性铬(Cr)≤3mg/kg、可溶性汞(Hg)≤2mg/kg，多环芳烃总和含量≤10mg/kg，漆膜硬度3H,符合GB 18581-2020《木器涂料中有害物质限量》、GB/T 6739-2006《色漆和清漆铅笔法测定漆膜硬度》标准。</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5.水性胶粘剂：选用优质环保胶，粘性强，久不分层，具有防水性、防潮性、耐油性、耐撞性等特点，游离甲醛≤0.05g/kg，苯≤0.15g/kg，甲苯+二甲苯≤5g/kg，总挥发性有机物含量≤5g/L，符合 GB 18583-2008 《室内装饰装修材料 胶粘剂中有害物质限量》标准。</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6.五金配件：采用优质品牌五金配件，无锈蚀，具有足够的承载能力、耐腐蚀能力。</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7.根据现场情况进行定制。</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张</w:t>
            </w:r>
          </w:p>
        </w:tc>
        <w:tc>
          <w:tcPr>
            <w:tcW w:w="4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1</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2</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 xml:space="preserve"> 会议椅</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sz w:val="18"/>
                <w:szCs w:val="18"/>
                <w:lang w:eastAsia="zh-CN"/>
              </w:rPr>
            </w:pPr>
            <w:r>
              <w:rPr>
                <w:rFonts w:hint="eastAsia" w:ascii="宋体" w:hAnsi="宋体" w:eastAsia="宋体" w:cs="宋体"/>
                <w:sz w:val="18"/>
                <w:szCs w:val="18"/>
                <w:lang w:eastAsia="zh-CN"/>
              </w:rPr>
              <w:t>1.面料：选用优质环保皮，厚度≥1.5mm，摩擦色牢度干擦500次≥4级，湿擦250次≥3/4级，涂层粘着牢度≥6.0N/10mm，耐折牢度（50000次）无裂纹，撕裂力≥80N，游离甲醛≤20mg/kg，挥发性有机化合物（VOC）≤10mg/kg，禁用偶氮染料≤5mg/kg，防霉菌性能不低于1级，符合GB/T 16799-2018《家具用皮革》、QB/T 4199-2011《皮革 防霉性能测试方法》标准。</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2.海绵：采用优质阻燃高弹海绵，用抽纱或丝绒覆面，表面有防腐化和防变型保护膜，回弹性高，耐用度高，防碎，防氧化，密度≥46kg/m3，回弹率≥47%，75%压缩永久变形≤5%，湿热老化后拉伸强度≥100KPa，干热老化后拉伸强度≥100KPa，甲醛释放量≤0.03mg/m2h，燃烧性能达B1级，抗疲劳力强，坐感舒适，符合GB/T 10802-2006《通用软质聚醚型氨酯泡沫塑料》、GB 8624-2012《建筑材料及制品燃烧性能分级》等标准。</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3.框架：采用优质实木框架，经过防虫、防腐特殊处理，含水率≤10%，甲醛释放量≤0.1mg/L，坚固、可靠，长期使用不松动、不腐朽，符合GB/T 1931-2009《木材含水率测定方法》、GB 18584-2001 《室内装饰装修材料木家具中有害物质限量》标准；背底采用高频热压机加工成型多层弯曲木板，符合人体工程学。</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4.扶手：采用优质实木扶手，经过防虫、防腐特殊处理，甲醛释放量E1≤0.2mg/L，坚固、可靠，长期使用不松动、不腐朽，符合GB18584-2001 《室内装饰装修材料 木家具中有害物质限量》标准。</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5.油漆：采用优质品牌环保油漆，经过五底三面油漆工序，木纹纹理清晰，色泽均匀、光滑耐用；挥发性有机化合物（VOC）含量≤50g/L，可溶性重金属含量 可溶性铅（Pb）≤8mg/kg、可溶性镉(Cd)≤2mg/kg、可溶性铬(Cr)≤3mg/kg、可溶性汞(Hg)≤2mg/kg，多环芳烃总和含量≤10mg/kg，漆膜硬度3H,符合GB 18581-2020《木器涂料中有害物质限量》、GB/T 6739-2015《色漆和清漆铅笔法测定漆膜硬度》标准。</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把</w:t>
            </w:r>
          </w:p>
        </w:tc>
        <w:tc>
          <w:tcPr>
            <w:tcW w:w="4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20</w:t>
            </w:r>
          </w:p>
        </w:tc>
      </w:tr>
      <w:tr>
        <w:tblPrEx>
          <w:tblCellMar>
            <w:top w:w="0" w:type="dxa"/>
            <w:left w:w="108" w:type="dxa"/>
            <w:bottom w:w="0" w:type="dxa"/>
            <w:right w:w="108" w:type="dxa"/>
          </w:tblCellMar>
        </w:tblPrEx>
        <w:trPr>
          <w:trHeight w:val="20" w:hRule="atLeast"/>
        </w:trPr>
        <w:tc>
          <w:tcPr>
            <w:tcW w:w="44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3</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主位</w:t>
            </w:r>
          </w:p>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会议椅</w:t>
            </w:r>
          </w:p>
        </w:tc>
        <w:tc>
          <w:tcPr>
            <w:tcW w:w="691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sz w:val="18"/>
                <w:szCs w:val="18"/>
                <w:lang w:eastAsia="zh-CN"/>
              </w:rPr>
            </w:pPr>
            <w:r>
              <w:rPr>
                <w:rFonts w:hint="eastAsia" w:ascii="宋体" w:hAnsi="宋体" w:eastAsia="宋体" w:cs="宋体"/>
                <w:sz w:val="18"/>
                <w:szCs w:val="18"/>
                <w:lang w:eastAsia="zh-CN"/>
              </w:rPr>
              <w:t>1.面料：选用优质头层小牛皮，厚度≥1.8mm，摩擦色牢度干擦500次≥4级，湿擦250次≥3/4级，涂层粘着牢度≥7.0N/10mm，耐折牢度（50000次）无裂纹，撕裂力≥90N，游离甲醛≤20mg/kg，挥发性有机化合物（VOC）≤10mg/kg，禁用偶氮染料≤5mg/kg，防霉菌性能不低于1级，符合GB/T 16799-2018《家具用皮革》、QB/T 4199-2011《皮革 防霉性能测试方法》标准。</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2.海绵：采用优质阻燃高弹海绵，用抽纱或丝绒覆面，表面有防腐化和防变型保护膜，回弹性高，耐用度高，防碎，防氧化，密度≥46kg/m3，回弹率≥47%，75%压缩永久变形≤5%，湿热老化后拉伸强度≥100KPa，干热老化后拉伸强度≥100KPa，甲醛释放量≤0.03mg/m2h，燃烧性能达B1级，抗疲劳力强，坐感舒适，符合GB/T 10802-2006《通用软质聚醚型氨酯泡沫塑料》、GB 8624-2012《建筑材料及制品燃烧性能分级》等标准。</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3.框架：采用优质实木框架，经过防虫、防腐特殊处理，含水率≤10%，甲醛释放量≤0.1mg/L，坚固、可靠，长期使用不松动、不腐朽，符合GB/T 1931-2009《木材含水率测定方法》、GB 18584-2001 《室内装饰装修材料木家具中有害物质限量》标准；背底采用高频热压机加工成型多层弯曲木板，符合人体工程学。</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4.扶手：采用优质实木扶手，经过防虫、防腐特殊处理，甲醛释放量E1≤0.2mg/L，坚固、可靠，长期使用不松动、不腐朽，符合GB18584-2001 《室内装饰装修材料 木家具中有害物质限量》标准。</w:t>
            </w:r>
          </w:p>
          <w:p>
            <w:pPr>
              <w:widowControl/>
              <w:rPr>
                <w:rFonts w:ascii="宋体" w:hAnsi="宋体" w:eastAsia="宋体" w:cs="宋体"/>
                <w:sz w:val="18"/>
                <w:szCs w:val="18"/>
                <w:lang w:eastAsia="zh-CN"/>
              </w:rPr>
            </w:pPr>
            <w:r>
              <w:rPr>
                <w:rFonts w:hint="eastAsia" w:ascii="宋体" w:hAnsi="宋体" w:eastAsia="宋体" w:cs="宋体"/>
                <w:sz w:val="18"/>
                <w:szCs w:val="18"/>
                <w:lang w:eastAsia="zh-CN"/>
              </w:rPr>
              <w:t>5.油漆：采用优质品牌环保油漆，经过五底三面油漆工序，木纹纹理清晰，色泽均匀、光滑耐用；挥发性有机化合物（VOC）含量≤50g/L，可溶性重金属含量 可溶性铅（Pb）≤8mg/kg、可溶性镉(Cd)≤2mg/kg、可溶性铬(Cr)≤3mg/kg、可溶性汞(Hg)≤2mg/kg，多环芳烃总和含量≤10mg/kg，漆膜硬度3H,符合GB 18581-2020《木器涂料中有害物质限量》、GB/T 6739-2020《色漆和清漆铅笔法测定漆膜硬度》标准。</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把</w:t>
            </w:r>
          </w:p>
        </w:tc>
        <w:tc>
          <w:tcPr>
            <w:tcW w:w="4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1</w:t>
            </w:r>
          </w:p>
        </w:tc>
      </w:tr>
    </w:tbl>
    <w:p>
      <w:pPr>
        <w:ind w:firstLine="560" w:firstLineChars="200"/>
        <w:jc w:val="center"/>
        <w:rPr>
          <w:rFonts w:ascii="宋体" w:hAnsi="宋体" w:eastAsia="宋体"/>
          <w:sz w:val="28"/>
        </w:rPr>
      </w:pPr>
      <w:r>
        <w:rPr>
          <w:rFonts w:ascii="宋体" w:hAnsi="宋体" w:eastAsia="宋体"/>
          <w:sz w:val="28"/>
        </w:rPr>
        <w:br w:type="page"/>
      </w:r>
    </w:p>
    <w:p>
      <w:pPr>
        <w:pStyle w:val="5"/>
        <w:numPr>
          <w:ilvl w:val="0"/>
          <w:numId w:val="8"/>
        </w:numPr>
        <w:spacing w:before="360" w:after="360"/>
        <w:rPr>
          <w:sz w:val="32"/>
          <w:szCs w:val="32"/>
          <w:lang w:eastAsia="zh-CN"/>
        </w:rPr>
      </w:pPr>
      <w:r>
        <w:rPr>
          <w:rFonts w:hint="eastAsia"/>
          <w:sz w:val="32"/>
          <w:szCs w:val="32"/>
          <w:lang w:eastAsia="zh-CN"/>
        </w:rPr>
        <w:t>软件配置清单</w:t>
      </w:r>
    </w:p>
    <w:tbl>
      <w:tblPr>
        <w:tblStyle w:val="41"/>
        <w:tblW w:w="9240" w:type="dxa"/>
        <w:tblInd w:w="0" w:type="dxa"/>
        <w:tblLayout w:type="fixed"/>
        <w:tblCellMar>
          <w:top w:w="0" w:type="dxa"/>
          <w:left w:w="108" w:type="dxa"/>
          <w:bottom w:w="0" w:type="dxa"/>
          <w:right w:w="108" w:type="dxa"/>
        </w:tblCellMar>
      </w:tblPr>
      <w:tblGrid>
        <w:gridCol w:w="465"/>
        <w:gridCol w:w="564"/>
        <w:gridCol w:w="845"/>
        <w:gridCol w:w="6479"/>
        <w:gridCol w:w="469"/>
        <w:gridCol w:w="418"/>
      </w:tblGrid>
      <w:tr>
        <w:tblPrEx>
          <w:tblCellMar>
            <w:top w:w="0" w:type="dxa"/>
            <w:left w:w="108" w:type="dxa"/>
            <w:bottom w:w="0" w:type="dxa"/>
            <w:right w:w="108" w:type="dxa"/>
          </w:tblCellMar>
        </w:tblPrEx>
        <w:trPr>
          <w:trHeight w:val="20" w:hRule="atLeast"/>
          <w:tblHeader/>
        </w:trPr>
        <w:tc>
          <w:tcPr>
            <w:tcW w:w="4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序号</w:t>
            </w:r>
          </w:p>
        </w:tc>
        <w:tc>
          <w:tcPr>
            <w:tcW w:w="140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设备名称</w:t>
            </w:r>
          </w:p>
        </w:tc>
        <w:tc>
          <w:tcPr>
            <w:tcW w:w="64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技术参数/功能描述</w:t>
            </w:r>
          </w:p>
        </w:tc>
        <w:tc>
          <w:tcPr>
            <w:tcW w:w="4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单位</w:t>
            </w:r>
          </w:p>
        </w:tc>
        <w:tc>
          <w:tcPr>
            <w:tcW w:w="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数量</w:t>
            </w:r>
          </w:p>
        </w:tc>
      </w:tr>
      <w:tr>
        <w:tblPrEx>
          <w:tblCellMar>
            <w:top w:w="0" w:type="dxa"/>
            <w:left w:w="108" w:type="dxa"/>
            <w:bottom w:w="0" w:type="dxa"/>
            <w:right w:w="108" w:type="dxa"/>
          </w:tblCellMar>
        </w:tblPrEx>
        <w:trPr>
          <w:trHeight w:val="20" w:hRule="atLeast"/>
        </w:trPr>
        <w:tc>
          <w:tcPr>
            <w:tcW w:w="924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sz w:val="18"/>
                <w:szCs w:val="18"/>
                <w:lang w:eastAsia="zh-CN"/>
              </w:rPr>
            </w:pPr>
            <w:r>
              <w:rPr>
                <w:rFonts w:hint="eastAsia" w:ascii="宋体" w:hAnsi="宋体" w:eastAsia="宋体" w:cs="宋体"/>
                <w:b/>
                <w:bCs/>
                <w:color w:val="000000"/>
                <w:sz w:val="18"/>
                <w:szCs w:val="18"/>
                <w:lang w:eastAsia="zh-CN"/>
              </w:rPr>
              <w:t>1.县人民医院信息化系统应用</w:t>
            </w:r>
          </w:p>
        </w:tc>
      </w:tr>
      <w:tr>
        <w:tblPrEx>
          <w:tblCellMar>
            <w:top w:w="0" w:type="dxa"/>
            <w:left w:w="108" w:type="dxa"/>
            <w:bottom w:w="0" w:type="dxa"/>
            <w:right w:w="108" w:type="dxa"/>
          </w:tblCellMar>
        </w:tblPrEx>
        <w:trPr>
          <w:trHeight w:val="20" w:hRule="atLeast"/>
        </w:trPr>
        <w:tc>
          <w:tcPr>
            <w:tcW w:w="46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5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医院管理系统（HIS）</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门诊管理</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初始化功能、挂号处理功能、退号处理功能、查询功能、门急诊挂号收费核算功能、收费处理功能、门急诊收费报销凭证打印功能、结算功能、门急诊病人统计功能、统计查询功能、报表打印输出功能、系统维护功能。</w:t>
            </w:r>
          </w:p>
        </w:tc>
        <w:tc>
          <w:tcPr>
            <w:tcW w:w="46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套</w:t>
            </w:r>
          </w:p>
        </w:tc>
        <w:tc>
          <w:tcPr>
            <w:tcW w:w="41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住院管理</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入院管理、预交金管理、病人费用管理、出院管理、住院财务管理、住院收费科室工作量统计、查询统计功能、打印输出功能、床位管理功能。</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药库管理</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是用于协助医院对药品仓库管理的计算机应用程序，其主要任务是对西药库、中药库的采购入库、采购退货、调拔出库、定期盘点管理、药品会计核算等信息的管理。</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中药房管理</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是用于协助医院对中药房管理的计算机应用程序，其主要任务是对中草药品的调拔入库、定期盘点管理、药品调价、药品会计核算等信息的管理。</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住院药房管理</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是用于协助医院对住院药房管理的计算机应用程序，其主要任务是对西药、成药的调拔入库、定期盘点管理、药品调价、药品会计核算等信息的管理。</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门诊医生管理</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门诊医生管理是协助门诊医生完成日常医疗工作的计算机应用程序。其主要任务是处理门诊记录、诊断、处方、检查、检验、治疗处置、手术和卫生材料等信息。</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住院医生站管理</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住院医生站管理是协助医生完成病房日常医疗工作的计算机应用程序。其主要任务是处理诊断、处方、检查、检验、治疗处置、手术、护理、卫生材料以及会诊、转科、出院等信息</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住院护士</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住院护士是协助病房护士对住院患者完成日常的护理工作的计算机应用程序。其主要任务是协助护士核对并处理医生下达的长期和临时医嘱，对医嘱执行情况进行管理。同时协助护士完成护理及病区床位管理等日常工作。</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院长查询</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院长查询是指为医院领导掌握医院运行状况而提供数据查询、分析的计算机应用程序。该包括：日常事务、财务信息、医疗信息、药品信息、职工信息、病员信息等功能，从医院信息系统中加工处理出有关医院管理的医、教、研和人、财、物分析决策信息，以便为院长及各级管理者决策提供依据。</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ascii="宋体" w:hAnsi="宋体" w:eastAsia="宋体" w:cs="宋体"/>
                <w:color w:val="000000"/>
                <w:sz w:val="18"/>
                <w:szCs w:val="18"/>
                <w:lang w:eastAsia="zh-CN"/>
              </w:rPr>
              <w:t>医技管理系统(含住院及门诊)</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医技终端确认：对传输到医技终端的医嘱进行确认执行，同时扣除费用。</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医技终端退费：对已确认的医嘱进行退费，且只能退在本科收的费用。</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终端批费查询：查询医嘱的终端确认及收退费情况</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2</w:t>
            </w:r>
          </w:p>
        </w:tc>
        <w:tc>
          <w:tcPr>
            <w:tcW w:w="5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电子病历管理系统（EMR）</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医护工作站</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病人列表、入院记录、医嘱查看、病程记录、手术记录、会诊记录、谈话记录、出院记录、死亡记录、知情文书、检验检查、三测单、护理文书、表格护理记录、护理评估。</w:t>
            </w:r>
          </w:p>
        </w:tc>
        <w:tc>
          <w:tcPr>
            <w:tcW w:w="46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套</w:t>
            </w:r>
          </w:p>
        </w:tc>
        <w:tc>
          <w:tcPr>
            <w:tcW w:w="41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病历模板管理</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基本元素、数据组、段落模板、常用语、住院病历模板、模板库管理。</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病案管理</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病案首页、病历授权、借阅管理、Drgs。</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病案质控</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时控设置、控规则设置、病案评分、病案评分、整改病历。</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3</w:t>
            </w:r>
          </w:p>
        </w:tc>
        <w:tc>
          <w:tcPr>
            <w:tcW w:w="5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检验信息管理系统（LIS）</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检验业务管理系统</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标本采样、标本送检、标本核收、标本检验、报告审核、标本状态。</w:t>
            </w:r>
          </w:p>
        </w:tc>
        <w:tc>
          <w:tcPr>
            <w:tcW w:w="46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套</w:t>
            </w:r>
          </w:p>
        </w:tc>
        <w:tc>
          <w:tcPr>
            <w:tcW w:w="41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标本条形码管理系统</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支持标本条形码打印格式。（条形码号唯一）、支持标本条形码病人取单取回执单打印、支持标本条形码二维码打印、支持条形码自定义输出打印格式。</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质控管理系统</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室内、室间质量控制全程控制，可以设定对区域内所属管理的医疗机构进行远程质控管理。</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实现自动接收仪器的质控结果。</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实现绘制质控图、标示结果失控或在控状态并打印输出, 自动判断仪器的失控和在控状态，并给操作者提示。质控图上标注试剂厂家、效期等信息。</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实现支持多规则质控Westguard规则，并且支持自定义多规则选择。</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实现支持双水平质控管理。</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 xml:space="preserve"> 自动计算X、SD、CV。</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自动按月生成质控报告。</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质控看版功能，对失控处理支持记录录入，维修、保养、定标、失控处理、样本比对等行为记录</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支持同一个批号在不同仪器上的数据列表比较功能。</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质控数据成批输入与删除。</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可以追溯质控项目中靶值、标准差、CV%的修改记录。</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对质控数据支持失控处理记录，可以记录纠正值、失控规则、纠正措施、处理结果、纠正评估等，并且能支持是否纳入统计。</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检验报告发布管理系统</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rPr>
            </w:pPr>
            <w:r>
              <w:rPr>
                <w:rFonts w:hint="eastAsia" w:ascii="宋体" w:hAnsi="宋体" w:eastAsia="宋体" w:cs="宋体"/>
                <w:color w:val="000000"/>
                <w:sz w:val="18"/>
                <w:szCs w:val="18"/>
                <w:lang w:eastAsia="zh-CN"/>
              </w:rPr>
              <w:t>1、审核后可自动打印检验报告单功能。</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2、可通过颜色或字体区别常规报告、急诊报告、打印报告、未打印报告；对急诊报告能够自动提示检验操作人员，防止超时报告。</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3、根据用户设置的打印规则，判断是否符合打印条件，自动调整打印输出检验报告单的内容，动态调整检验报告单。</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4、可设置报告单类型，自定义报告单的输出内容，自定义报告单提示信息的方式。</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5、检验报告可以转换成pdf、jpg等通用格式文件，保存和发布。</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6、能够按科室或标本状态批量打印检验报告。</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7、支持自助取单机自动打印检验报告单，支持市民卡、就诊卡、医保卡、条形码及输入卡号等方式进行自助打印；支持设定打印指定天数内的检验报告单。</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8、支持自定义检验报告单格式的功能。</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9、提供检验报告预览功能。</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10，支持打印检验报告单时记录打印时间、打印人、打印机器。</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11、支持可以设定检验报告单是否可以重复打印。</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rPr>
              <w:t>12,支持检验报告单防被伪造的机制和功能。</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危急值管理系统</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危急值发现信息主动推送提醒，有声音提醒，并且能记录。</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支持危急值未处理提示处理功能，处理记录操作支持自动获取主管医生以及主管医生联系电话。</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支持危急值解除功能。</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支持危急值主动发送到医生、护理工作站，并能反馈医生确认收到信息，形在有效危急值闭环管理模式</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支持危急值登记册生成并打印功能。</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支持危急值查询分析功能。</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危急值按科室、项目统计功能。</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仪器通讯接口模块</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1、支持检验仪器的单向通讯，可自动接收仪器检验结果。</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2、支持检验仪器的双向通讯，对大型的生化、免疫类仪器，可以支持无固定位置的放置检验样本，而仪器通过扫描样本条码，直接从LIS系统读取检验项目，减少人工设置的工作量。</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3、支持读入仪器操作系统的数据文件。</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5、通讯诊断，通讯故障时，通讯程序支持故障提示，有对应通讯故障时的诊断功能。</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6、提供试管打包机接口程序，支持不同厂家的试管打包机连接到LIS系统，可以把不同小组，不同设备所做的样本自动分开，针对不同采样信息自动进行样本采集的准备。</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7、与HIS无缝对接接口（包括门诊、住院、诊间、自助打印/查询、病区护士站等）。</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HIS－LIS相关接口模块</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rPr>
            </w:pPr>
            <w:r>
              <w:rPr>
                <w:rFonts w:hint="eastAsia" w:ascii="宋体" w:hAnsi="宋体" w:eastAsia="宋体" w:cs="宋体"/>
                <w:color w:val="000000"/>
                <w:sz w:val="18"/>
                <w:szCs w:val="18"/>
                <w:lang w:eastAsia="zh-CN"/>
              </w:rPr>
              <w:t>1、数据传输采用基于Web的REST服务模式提供接口函数；</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2、LIS系统从HIS系统中得到病人的基础信息如病人姓名、性别、民族、科室、诊断、检验项目等检验申请信息。</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3、LIS系统从HIS数据库中得到病人的医嘱检验项目信息。</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4、LIS系统向HIS返回医嘱检验项目信息的状态如记费状态，确认费用，退费信息。</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rPr>
              <w:t>5、LIS系统向HIS返回检验结果信息.</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技术架构</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1、采用java平台，B/S软件架构，体现易联易通，实现即联即用，系统的扩展部署容易。</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 xml:space="preserve">2、采用ajax技术刷新高效，对系统减少压力，减轻了系统维护与升级的便捷。 </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3、三层web结构，数据应用灵活部署，保证安全的同时确保大数据量查询优化系统性能。</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4</w:t>
            </w:r>
          </w:p>
        </w:tc>
        <w:tc>
          <w:tcPr>
            <w:tcW w:w="5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影像信息管理系统(PACS)</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服务器软件</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rPr>
            </w:pPr>
            <w:r>
              <w:rPr>
                <w:rFonts w:hint="eastAsia" w:ascii="宋体" w:hAnsi="宋体" w:eastAsia="宋体" w:cs="宋体"/>
                <w:color w:val="000000"/>
                <w:sz w:val="18"/>
                <w:szCs w:val="18"/>
              </w:rPr>
              <w:t>1、支持CR/DX/CT/MR/RF/XA/NM/PT/US/SC等各种DICOM数据类型。支持JPEG Lossless/Lossy压缩。</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2、DICOM影像直接从影像设备传送到PACS服务器，无需通过其他PACS工作站中转。存储支持DAS、SAN、NAS等各种存储设备。</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3、支持对不同影像设备分別设定不同的传输语法和DICOM头信息信息提取策略。</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4、支持为各科室配置不同的存储访问优先级、不同压缩方法和压缩比。</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5、图像自动匹配。自动将影像与RIS系统中的信息匹配；同一检查影像自动归并；支持校验病人信息。</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6、支持采用集中式数据库及分布式影像储存管理机制。分布式存储支持IHE XDS Register 服务软件，提供XDS文档注册服务；IHE XDS Repository 服务软件，整合数据中心的报告与影像；DICOM WADO Server 服务软件；PIX/PDQ 接口软件等。</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7、各科室统一的用户界面和管理界面。可以根据用户的角色、工作组等多维参数，确定用户的权限。</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8、支持将用户登录/注销操作、数据更改操作（删除影像、修改影像信息、手工匹配/合并检查等）以Log方式记录。</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9、影像和报告服务器分开，影像服务器故障时，诊断和临床应用不受影响；报告服务器故障时，确保用户仍可以从影像获取服务器取得影像；存储设备故障时，影像获取服务器仍可从影像设备获取影像。</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10、存储的影像文件名称可以自定义，方便直接拷贝和导出。</w:t>
            </w:r>
          </w:p>
        </w:tc>
        <w:tc>
          <w:tcPr>
            <w:tcW w:w="46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套</w:t>
            </w:r>
          </w:p>
        </w:tc>
        <w:tc>
          <w:tcPr>
            <w:tcW w:w="41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医技检查登记系统</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1、申请单电子化，同时支持拍摄申请单和从医生站传电子申请单的方式。支持申请单拍摄，拍摄时间&lt;2秒；允许事后拍摄检查申请单。</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2、支持急诊加快管理，在不明确病人信息下执行检查，后续补充和修改信息。</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3、检查单打印，可打印条码，可设置打印张数。</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4、支持多个检查项目同时登记，支持检查的确认、取消和更改。查询和跟踪检查的状态。</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5、病人姓名拼音自动生成。</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6、支持病人信息归档：确保病人信息的准确性和一致性，必要时可手工纠正及保留修改痕迹。</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7、支持检查项目输入时可按照检查类型或检查设备过滤以便快速定位。</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8、自动核对来复检的病人，进行统一编号；支持手工编辑检查号以满足个性化要求。</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放射检查信息管理系统（iEIS/RIS）</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病人数据管理、报告编辑、权限和用户管理</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放射影像阅片系统（Viewer/PACS）</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病人数据管理、阅片／图像查看、图像处理、测量标注、影像打印输出</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超声检查信息管理系统</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超声图像采集、超声图文报告</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内窥镜检查信息管理系统</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内镜图像采集、内镜图文报告</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科室主任管理系统</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rPr>
            </w:pPr>
            <w:r>
              <w:rPr>
                <w:rFonts w:hint="eastAsia" w:ascii="宋体" w:hAnsi="宋体" w:eastAsia="宋体" w:cs="宋体"/>
                <w:color w:val="000000"/>
                <w:sz w:val="18"/>
                <w:szCs w:val="18"/>
              </w:rPr>
              <w:t>统计管理、主任管理</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心电信息系统</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登记系统、采集浏览系统报告管理、信息统计</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5</w:t>
            </w:r>
          </w:p>
        </w:tc>
        <w:tc>
          <w:tcPr>
            <w:tcW w:w="5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移动查房系统</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管理员系统设置</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用于设置服务器地址等</w:t>
            </w:r>
          </w:p>
        </w:tc>
        <w:tc>
          <w:tcPr>
            <w:tcW w:w="46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套</w:t>
            </w:r>
          </w:p>
        </w:tc>
        <w:tc>
          <w:tcPr>
            <w:tcW w:w="41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基本信息</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入院信息、诊断信息、手术信息、门诊及历次住院信息、费用信息。</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检验、检查</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检验列表及报告单查看、检查列表及报告单查看、检验、检查开具</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医嘱管理</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长期医嘱管理、临时医嘱管理</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电子病历</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病历查看、知情同意书签署</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体征查看</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rPr>
            </w:pPr>
            <w:r>
              <w:rPr>
                <w:rFonts w:hint="eastAsia" w:ascii="宋体" w:hAnsi="宋体" w:eastAsia="宋体" w:cs="宋体"/>
                <w:color w:val="000000"/>
                <w:sz w:val="18"/>
                <w:szCs w:val="18"/>
              </w:rPr>
              <w:t>体温单、其他体征</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20" w:hRule="atLeast"/>
        </w:trPr>
        <w:tc>
          <w:tcPr>
            <w:tcW w:w="46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6</w:t>
            </w:r>
          </w:p>
        </w:tc>
        <w:tc>
          <w:tcPr>
            <w:tcW w:w="5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移动护理系统</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患者综合管理模块</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1、患者基本信息：显示所选中的患者基本信息，包括姓名、性别、护理级别、联系方式、住址、身份证号、主治医生、诊断、饮食、费用等。（所显示信息受 his 现有信息的限制）</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2、移动端-病区、患者一览表、用户登陆移动设备后，可以根据所属护理单元查看在区患者。</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3、PC 端-病区患者床位一览表、用户登陆护理系统 PC 端后，可以根据所属护理单元查看在区患者。显示等级登记护理</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4、巡视：患者出入病区进行扫描登记以便追踪患者情况。</w:t>
            </w:r>
          </w:p>
        </w:tc>
        <w:tc>
          <w:tcPr>
            <w:tcW w:w="46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套</w:t>
            </w:r>
          </w:p>
        </w:tc>
        <w:tc>
          <w:tcPr>
            <w:tcW w:w="41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医嘱执行模块</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1、新医嘱查看：在护理系统的 pc 端的病人一览界面中，可以在医生下达新医嘱后在床位卡上进行提示。</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2、病区配液的模式中，按给定的时间频度和医嘱有效期，将医嘱按照频次拆分后，产生输液类医嘱瓶签。</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 xml:space="preserve">3、备药扫描：病人输液用药成组药品的扫描。 </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4、输液配药复核核扫描输液配药的复核扫描操作。</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5、护士站收药核对：护理人员对病人输液用药成组药品的扫描。</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6、医嘱执行记录查看：在 PC 和移动端查看护士对于病人医嘱执行的相关记录。</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7、医嘱执行巡视：对执行用药患者情况的查看及基本操作。</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全科生命体征管理模块</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1、Pc端体征批量采集：根据批量采集的的病人体征信息，并根据体征待测提醒列表，批量录入到系统中，生成体温单，并可进行体温单打印。</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2、体征床旁采集：病人体征信息的床旁实时采集，采集体征信息包括:体温、脉搏、呼吸、心率、出入液量、血氧饱和度、疼痛、各种引流管、体重、各类住院事件。</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3、体征信息查看：PDA\PC 端支持病人体征信息实时查看，可以选择过滤条件。</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4、体温单：体温单修改、预览、打印：针对录入的体征信息，按卫生部规定的体温单格式输出。</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7</w:t>
            </w:r>
          </w:p>
        </w:tc>
        <w:tc>
          <w:tcPr>
            <w:tcW w:w="5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手术麻醉管理系统</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系统框架</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1、支持大数据平台架构</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2、支持多数据中心架构，支持分布式接入HIS、LIS、PACS、CIS等医院系统数据</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3、支持开源技术，基于开源平台开发和应用</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4、支持麻醉机、监护仪、血气等设备的联网采集</w:t>
            </w:r>
          </w:p>
        </w:tc>
        <w:tc>
          <w:tcPr>
            <w:tcW w:w="46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套</w:t>
            </w:r>
          </w:p>
        </w:tc>
        <w:tc>
          <w:tcPr>
            <w:tcW w:w="41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1</w:t>
            </w: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手术排班</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1、能够批量接收HIS下达的手术申请信息。</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2、能够接收指定患者HIS下达的手术申请信息。</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3、能够查看临床科室申请的手术申请单详细信息。</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4、能够以图形化界面批量排班，支持鼠标拖拽批量排班。</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5、能够批量对手术间进行排班，同时能显示当前手术间的已排班数量。</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6、能通过与医院信息系统集成，查看患者的检验信息。</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7、能够为手术申请分配手术间。能够为手术申请信息分配洗手护士和巡回护士。</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8、能够为手术申请信息分配麻醉医生。</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9、对未排班的手术申请，支持手术申请撤销功能。</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10、对已经排班的手术申请，支持手术申请取消功能。</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术前准备</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1、能够按照医院要求的格式自动生成术前访视单。</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2、对访视中患者的检验信息可自动检查患者的检验数据。</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3、能够按照医院要求的格式自动生成患者知情同意书。</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术中麻醉</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1、能够自动获取监护仪、麻醉机的患者体征信息，如血压、脉搏、心率、SPO2、呼吸频率等患者生命体征信息。</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2、系统可以对采集到的体征数据进行修正。</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3、能够支持手术过程中手术信息的维护。</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4、支持所见即所得的麻醉单。</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5、能够从手术申请中提取患者基本信息、手术人员信息自动填充到文书中。</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6、能够通过下拉菜单、拼音字头模糊检索出药品、事件字典信息，实现麻醉事件及用药的快速录入。</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7、能够自动记取该点对应的时间作为事件发生时间（或持续事件的起始时间），自动匹配该事件对应的剂量、途径、持续情况等。</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8、能够在现有用药事件基础上实现快速追加录入。</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9、能够快速选择药品录入，录入时自动匹配录入的药品剂量、浓度、速度单位。</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10、能够配置快捷药品事件栏以及药品常用量，在独立界面以按钮形式展现，实现常用药品、事件的快速录入。</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11、能够支持药品快速检索并对常用药品或常用量优先排序。</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12、能够支持根据麻醉过程数据，按照要求自动填入并生成麻醉记录。</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13、能够将术中麻醉操作以数字序号方式标记在治疗序号区域对应时间点，对应麻醉备注区域事件详情。</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14、能够在手术过程中，自动计算患者的入量。</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15、能够实现交接班麻醉医生的记录。</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16、能够以时间轴的方式显示患者的手术流程，便于医护人员对手术流程的把控。</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17、能够支持当前手术没完成，不得进入下一台手术。</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18、能够根据医院的需求维护患者的手术状态，并支持术中患者手术状态的修正。</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19、能够自动将采集到的监护仪、麻醉机生命体征参数记录在麻醉单上， 并将数据实时传送到服务器数据库内存储。</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20、支持设置体征参数在麻醉单上的显示方式，提供至少两种不同风格供选择。</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21、能够在麻醉单模拟监护仪对体征参数进行实时动态显示，同时不干扰麻醉记录单趋势图的正常显示。</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 xml:space="preserve">22、能够设置用户权限对受干扰的体征数据进行修正，后台保存修正前数据，前端正常显示。 </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 xml:space="preserve">23、能够提供图形化修改体征的便捷操作。 </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 xml:space="preserve">24、能够在麻醉单上自由拖拽事件的时间节点 </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25、能够在麻醉单上自由拖拽单次、持续用药的时间，麻醉持续用药支持拖拽速度以修改不同速度开始时间</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26、能够提供修正前原始数据的保存功能。</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27、能够实现麻醉单模板套用，并支持以公有和私有的方式管理麻醉记录单模板。</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28、能够支持安全核查并根据核查记录，自动生成复合标准的安全核查记录，支持预览打印。</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29、能够支持麻醉总结记录，生成符合标准的麻醉总结文书，并支持预览打印。</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30、能够实现交接班麻醉医生、交班护理人员的记录。</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31、能够支持记录患者出室后去向，并以后可统计。</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32、能够支持麻醉会诊、麻醉实施、麻醉后访视</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33、支持分类显示手术详情</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34、能够生成无痛分娩记录单</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35、支持单次及批量添加体征</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36、支持单个或多个编辑用药</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37、支持选择时间点同时编辑体征和用药数据</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急诊管理</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1、能够通过录入患者ID或住院号从HIS系统中提取急诊手术信息</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2、能够对急诊患者手术能快速进入手术</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手术取消</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1、能够对已经安排的手术、手术人员、麻醉人员进行修改或者取消手术。</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2、能够查阅手术取消原因</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3、支持术前撤销手术</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术后</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1、能够按照医院要求的格式生成术后随访单，记录患者术后随访信息。</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2、能够自定义模板管理。</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3、能够按照医院要求的格式生成术后镇痛记录单，记录患者术后镇痛效果。</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4、能够支持复苏记录单，支持监护数据实时采集</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 xml:space="preserve">5、能够支持麻醉小结 </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6、能够集中分区块颜色显示近期不同类型的手术</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7、能够连接患者出室后的体征延续，并将患者术中的数据延续到复苏室</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8、支持手术室复苏或者复苏室复苏模式</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系统管理模块</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1、支持多种集成方式。</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2、能够支持通过HIS获取患者基本信息、手术申请信息等。</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3、能够支持通过LIS获取患者检验报告。</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4、能够获取监护仪上的血压、脉搏、心率、SPO2等患者生命体征信息。</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5、能够实时获取麻醉机上的呼吸频率、潮气量、呼吸比、ETCO2等患者生命体征信息。</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6、支持集中采集生命体征</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7、支持跨平台部署服务器</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8、支持使用开源框架，无版权问题</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9、支持自动提取his人员、科室等数据字典表。</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10、支持用户手工维护本地字典。</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11、支持自定义维护科室手术间。</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12、支持配置麻醉记录字典，包括麻醉事件、麻醉常用量、麻醉方法。</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13、能够支持保存模板。</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14、能够支持套用模板。</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15、支持不同文书模板配置。</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16、能够支持管理员对公用模板管理。</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17、能够支持麻醉医生对自己的模板进行管理。</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18、能够为指定用户分配角色以获得相应的程序访问权限。</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19、能够编辑系统角色的名称，用于分配一系列的程序功能访问权限。</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20、能够根据医院信息化管理的要求创建用户，包括登陆用户名、密码及所在科室。</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21、能够修改指定用户的登陆密码。</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22、能够分配指定角色所具备的系统权限。</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统计查询需求</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1、能够支持查询指定日期内所有手术的麻醉相关详细信息。</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2、能够支持查询指定日期内的ASA分级统计</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3、能够支持查询指定日期内所有入PACU患者手术情况。</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4、能够支持按麻醉医生角色统计其麻醉台数及麻醉时长。</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5、能够支持统计指定时间段内所有手术的详细信息。</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6、能够统计指定日期范围内的ASA不同等级的例数以及所占总例数的百分比。</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7、能够支持查询指定日期内所有手术的详细信息。</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8、能够支持统计一段期间内护士参与的手术例数。</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9、能够支持统计首台划刀统计。</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10、能够支持查询手术用血情况。</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11、能够支持查询指定日期内的输血统计</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12、能够支持查询指定日期内的复苏统计信息</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13、能够提供不同年龄的手术分析</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14、能够统提供不同手术去向的分析</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15、能够支持查询指定日期内医院各科室的手术量</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16、能够支持查询指定日期内麻醉医生的工分</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17、能够支持查询指定日期内麻醉医生的工作时长、护士的工作时长</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18、能够支持查询指定日期内手术医生的工作例数以及手术详情</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r>
      <w:tr>
        <w:tblPrEx>
          <w:tblCellMar>
            <w:top w:w="0" w:type="dxa"/>
            <w:left w:w="108" w:type="dxa"/>
            <w:bottom w:w="0" w:type="dxa"/>
            <w:right w:w="108" w:type="dxa"/>
          </w:tblCellMar>
        </w:tblPrEx>
        <w:trPr>
          <w:trHeight w:val="20" w:hRule="atLeast"/>
        </w:trPr>
        <w:tc>
          <w:tcPr>
            <w:tcW w:w="46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8</w:t>
            </w:r>
          </w:p>
        </w:tc>
        <w:tc>
          <w:tcPr>
            <w:tcW w:w="5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临床路径管理系统</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基础数据维护</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用户维护、操作权限控制</w:t>
            </w:r>
          </w:p>
        </w:tc>
        <w:tc>
          <w:tcPr>
            <w:tcW w:w="46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套</w:t>
            </w:r>
          </w:p>
        </w:tc>
        <w:tc>
          <w:tcPr>
            <w:tcW w:w="41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路径设置</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临床路径、入径诊断、路径时点、治疗方案</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治疗方案</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患者列表、入径管理、医嘱类项目执行管理、变异信息管理、出径管理</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数据字典</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rPr>
            </w:pPr>
            <w:r>
              <w:rPr>
                <w:rFonts w:hint="eastAsia" w:ascii="宋体" w:hAnsi="宋体" w:eastAsia="宋体" w:cs="宋体"/>
                <w:color w:val="000000"/>
                <w:sz w:val="18"/>
                <w:szCs w:val="18"/>
              </w:rPr>
              <w:t>数据字典</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统计报表</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rPr>
            </w:pPr>
            <w:r>
              <w:rPr>
                <w:rFonts w:hint="eastAsia" w:ascii="宋体" w:hAnsi="宋体" w:eastAsia="宋体" w:cs="宋体"/>
                <w:color w:val="000000"/>
                <w:sz w:val="18"/>
                <w:szCs w:val="18"/>
              </w:rPr>
              <w:t>临床路径统计报表</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20" w:hRule="atLeast"/>
        </w:trPr>
        <w:tc>
          <w:tcPr>
            <w:tcW w:w="46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9</w:t>
            </w:r>
          </w:p>
        </w:tc>
        <w:tc>
          <w:tcPr>
            <w:tcW w:w="140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危急值管理系统</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1、提供最新危急值显示功能，可直观查看当前危急值信息做处理；</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2、支持医生端查看危急值详情，进行危急值处理，可确认是否是危急值进行推送；</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3、经过复查，确认该结果属于危急值的，可以直接对危急值的产生和结果、判断标准进行快速详细的记录，并生成危急值报告。</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4、支持危急值撤销功能，已处理的危急值无法撤销；</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5、支持危急值新增功能，可手工录入非数值型危急值；</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6、支持统计查询，查询检验科已登记的危急值信息；</w:t>
            </w:r>
          </w:p>
        </w:tc>
        <w:tc>
          <w:tcPr>
            <w:tcW w:w="4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套</w:t>
            </w: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r>
      <w:tr>
        <w:tblPrEx>
          <w:tblCellMar>
            <w:top w:w="0" w:type="dxa"/>
            <w:left w:w="108" w:type="dxa"/>
            <w:bottom w:w="0" w:type="dxa"/>
            <w:right w:w="108" w:type="dxa"/>
          </w:tblCellMar>
        </w:tblPrEx>
        <w:trPr>
          <w:trHeight w:val="20" w:hRule="atLeast"/>
        </w:trPr>
        <w:tc>
          <w:tcPr>
            <w:tcW w:w="46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10</w:t>
            </w:r>
          </w:p>
        </w:tc>
        <w:tc>
          <w:tcPr>
            <w:tcW w:w="5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血库管理系统</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出入库</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标准血出入库、调配出入库、紧急用血出库、血袋回收检验及用血:</w:t>
            </w:r>
          </w:p>
        </w:tc>
        <w:tc>
          <w:tcPr>
            <w:tcW w:w="46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套</w:t>
            </w:r>
          </w:p>
        </w:tc>
        <w:tc>
          <w:tcPr>
            <w:tcW w:w="41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检验及用血</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血型的正定反定审核、用血凭证、交叉配血报表：</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报表</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入库报表、出库报表、回收血袋明细、输血单补打、费用报表、有效期明细、库存明细、入库统计、出库统计、工作量统计、配血统计</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11</w:t>
            </w:r>
          </w:p>
        </w:tc>
        <w:tc>
          <w:tcPr>
            <w:tcW w:w="5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合理用药监测系统</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处方（医嘱）审查功能</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药物相互作用审查、体外注射药物配伍审查、药品超最大剂量审查、禁忌症审查、超适应症审查、年龄与性别用药审查、妊娠用药审查、哺乳用药审查、药物过敏审查、给药途径审查、重复用药审查、肝功能损害患者的用药审查、肾功能损害患者的用药审查、麻醉药品处方量审核、精神药品处方量审核、兴奋剂提示</w:t>
            </w:r>
          </w:p>
        </w:tc>
        <w:tc>
          <w:tcPr>
            <w:tcW w:w="46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套</w:t>
            </w:r>
          </w:p>
        </w:tc>
        <w:tc>
          <w:tcPr>
            <w:tcW w:w="41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自定义审查功能</w:t>
            </w:r>
          </w:p>
        </w:tc>
        <w:tc>
          <w:tcPr>
            <w:tcW w:w="6479"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药物相互作用自定义、重复用药规则自定义、最大剂量用药自定义、#药品疗程总剂量自定义、适应症自定义、特殊人群用药自定义、妊娠期用药自定义、哺乳期规则自定义、皮试规则自定义、过敏规则自定义、用药天数自定义、#门诊输液审查自定义、#不良反应审查自定义、#补钾浓度规则自定义、#细菌耐药性规则自定义、静脉用药滴速自定义、#中成药毒性成分规则自定义、#门诊给药途径限制自定义、#十八反十九畏规则自定义、溶媒审查自定义</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分级警示</w:t>
            </w:r>
          </w:p>
        </w:tc>
        <w:tc>
          <w:tcPr>
            <w:tcW w:w="6479"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自定义警示级别、#自定义提示是否自动弹出、#自定义提示时间</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用药监控统计</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多种查询条件、统计报表</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医药咨询</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药品说明书查询、药物相互作用与配伍查询、儿童与老年人用药查询、哺乳期用药查询、妊娠期用药查询、肝肾功能不全用药查询、常用医学公式</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12</w:t>
            </w:r>
          </w:p>
        </w:tc>
        <w:tc>
          <w:tcPr>
            <w:tcW w:w="5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处方点评系统</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系统管理</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用户管理、角色管理、权限管理、科室信息维护、医生信息维护、药品信息维护、药品自定义分类维护、给药途径维护、检验信息维护、检验结果维护、手术信息维护。</w:t>
            </w:r>
          </w:p>
        </w:tc>
        <w:tc>
          <w:tcPr>
            <w:tcW w:w="46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套</w:t>
            </w:r>
          </w:p>
        </w:tc>
        <w:tc>
          <w:tcPr>
            <w:tcW w:w="41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处方点评（含专项点评）</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基础点评、专项点评、点评任务管理、自动点评、点评结果查看、人工点评、点评反馈。</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13</w:t>
            </w:r>
          </w:p>
        </w:tc>
        <w:tc>
          <w:tcPr>
            <w:tcW w:w="5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院内感染管理系统</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感染管理模块</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监测功能、通知功能、手卫生功能、职业暴漏功能、量化考核功能、历史记录功能、统计分析功能、系统管理功能、学习交流、术语编辑</w:t>
            </w:r>
          </w:p>
        </w:tc>
        <w:tc>
          <w:tcPr>
            <w:tcW w:w="46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套</w:t>
            </w:r>
          </w:p>
        </w:tc>
        <w:tc>
          <w:tcPr>
            <w:tcW w:w="41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公共卫生系统功能</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通知、传染病、食源性疾病、心脑血管疾病、死亡登记、登记表、学习交流、术语编辑</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14</w:t>
            </w:r>
          </w:p>
        </w:tc>
        <w:tc>
          <w:tcPr>
            <w:tcW w:w="5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CA电子签名系统</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医护及患者实名认证服务</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个人银行四要素认证、运营商三要素认证、刷脸认证、</w:t>
            </w:r>
          </w:p>
        </w:tc>
        <w:tc>
          <w:tcPr>
            <w:tcW w:w="46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套</w:t>
            </w:r>
          </w:p>
        </w:tc>
        <w:tc>
          <w:tcPr>
            <w:tcW w:w="41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数字证书服务</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数字证书服务，含800套授权（800数字证书）</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电子印章服务</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模板印章生成服务、自定义印章生成服务</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电子签名服务</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数字签名标准、数字签名加密算法、签署方式</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15</w:t>
            </w:r>
          </w:p>
        </w:tc>
        <w:tc>
          <w:tcPr>
            <w:tcW w:w="5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临床辅助决策系统（CDSS）</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数据管理</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数据采集、数据质量管理、人工智能数据处理、知识图谱可视化、知识库检索</w:t>
            </w:r>
          </w:p>
        </w:tc>
        <w:tc>
          <w:tcPr>
            <w:tcW w:w="46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套</w:t>
            </w:r>
          </w:p>
        </w:tc>
        <w:tc>
          <w:tcPr>
            <w:tcW w:w="41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临床辅助决策（住院版）</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入院诊断推荐、住院辅助检查推荐、住院治疗方案推荐、住院医嘱知识支持、住院医嘱合理性校验 、住院检验报告解读 、智能评估</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临床辅助决策（门诊版）</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智能问诊推送、基于门诊场景的诊断推荐、诊断路径推荐、危急重症警示及处置流程推送、基于门诊场景的检查检验推荐、基于门诊场景的药品推荐、门诊医嘱知识支持、门诊医嘱校验及提示、门诊检验报告解读、病历书写助手、相似病历推荐、病历检索</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知识库模块</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知识库模块、药品知识、用药建议、检查建议、检验知识、检查知识、手术知识、指南文献、评估表、评估表、知识库更新</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知识管理平台（医学知识库及应用管理）</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知识维护中心、机构管理中心、数据中心、用户中心、字典维护中心、日志中心、医学知识图谱、构建工具、数据驾驶舱</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16</w:t>
            </w:r>
          </w:p>
        </w:tc>
        <w:tc>
          <w:tcPr>
            <w:tcW w:w="5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不良事件系统</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不良事件管理</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不良事件管理是用于医院各种不良事件的登记、查询、打印、和各类报表的统计。</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1、医疗不良事件，患者和相关信息的登记、查询、打印功能。</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2、护理不良事件，患者和相关信息的登记、查询、打印功能。</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3、药品不良事件，患者和相关信息的登记、查询、打印功能。</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4、器械不良事件，患者和相关信息的登记、查询、打印功能。</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5、输血不良事件，患者和相关信息的登记、查询、打印功能。</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6、锐器伤不良事件，患者和相关信息的登记、查询、打印功能。</w:t>
            </w:r>
          </w:p>
          <w:p>
            <w:pPr>
              <w:widowControl/>
              <w:rPr>
                <w:rFonts w:ascii="宋体" w:hAnsi="宋体" w:eastAsia="宋体" w:cs="宋体"/>
                <w:color w:val="000000"/>
                <w:sz w:val="18"/>
                <w:szCs w:val="18"/>
              </w:rPr>
            </w:pPr>
            <w:r>
              <w:rPr>
                <w:rFonts w:hint="eastAsia" w:ascii="宋体" w:hAnsi="宋体" w:eastAsia="宋体" w:cs="宋体"/>
                <w:color w:val="000000"/>
                <w:sz w:val="18"/>
                <w:szCs w:val="18"/>
              </w:rPr>
              <w:t>7、报表统计</w:t>
            </w:r>
          </w:p>
        </w:tc>
        <w:tc>
          <w:tcPr>
            <w:tcW w:w="4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套</w:t>
            </w: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r>
      <w:tr>
        <w:tblPrEx>
          <w:tblCellMar>
            <w:top w:w="0" w:type="dxa"/>
            <w:left w:w="108" w:type="dxa"/>
            <w:bottom w:w="0" w:type="dxa"/>
            <w:right w:w="108" w:type="dxa"/>
          </w:tblCellMar>
        </w:tblPrEx>
        <w:trPr>
          <w:trHeight w:val="20" w:hRule="atLeast"/>
        </w:trPr>
        <w:tc>
          <w:tcPr>
            <w:tcW w:w="465" w:type="dxa"/>
            <w:vMerge w:val="restart"/>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17</w:t>
            </w:r>
          </w:p>
        </w:tc>
        <w:tc>
          <w:tcPr>
            <w:tcW w:w="564"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DRG管理系统</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智能小助手</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建立支付预分组模型和病案清单质控规则，提取诊疗过程中当前病例的分组、付费、病案填写相关参数信息，以智能小助手的形式，在HIS系统、病案系统中为医生及病案编码人员提供包括分组预测、分组推荐、编码质控、非编码质控、病案评分等预测与分析服务</w:t>
            </w:r>
          </w:p>
        </w:tc>
        <w:tc>
          <w:tcPr>
            <w:tcW w:w="46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套</w:t>
            </w:r>
          </w:p>
        </w:tc>
        <w:tc>
          <w:tcPr>
            <w:tcW w:w="41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sz w:val="18"/>
                <w:szCs w:val="18"/>
              </w:rPr>
            </w:pPr>
          </w:p>
        </w:tc>
        <w:tc>
          <w:tcPr>
            <w:tcW w:w="564" w:type="dxa"/>
            <w:vMerge w:val="continue"/>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color w:val="000000"/>
                <w:sz w:val="18"/>
                <w:szCs w:val="18"/>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医院病案清单质控</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病案质控总览、病案首页质控、结算清单质控、医保分组质控、病例数据查询等功能模块</w:t>
            </w:r>
          </w:p>
        </w:tc>
        <w:tc>
          <w:tcPr>
            <w:tcW w:w="46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医保结算清单上报管理</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包括结算清单总览、结算清单质控、结算清单修改、结算清单预览、结算清单上传、质控前后对比等</w:t>
            </w:r>
          </w:p>
        </w:tc>
        <w:tc>
          <w:tcPr>
            <w:tcW w:w="46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医保付费预测分析</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预测医保支付总览、科室/医生/病组/病例盈亏分析等功能模块</w:t>
            </w:r>
          </w:p>
        </w:tc>
        <w:tc>
          <w:tcPr>
            <w:tcW w:w="46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DRG综合能力评价</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院内DRG总体指标、病组覆盖分析、医院病种分析、医院综合分析、绩效评价分析、辅助管理分析等功能模块</w:t>
            </w:r>
          </w:p>
        </w:tc>
        <w:tc>
          <w:tcPr>
            <w:tcW w:w="46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医院运营决策管理</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运营综合指标、全院异常预警、科室费用预警、医保费用构成、OE值监管等功能模块</w:t>
            </w:r>
          </w:p>
        </w:tc>
        <w:tc>
          <w:tcPr>
            <w:tcW w:w="46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系统管理</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支持系统个性化配置权限管理，包括配置角色、角色权限管理、分配账户、账户角色配置等</w:t>
            </w:r>
          </w:p>
        </w:tc>
        <w:tc>
          <w:tcPr>
            <w:tcW w:w="46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18</w:t>
            </w:r>
          </w:p>
        </w:tc>
        <w:tc>
          <w:tcPr>
            <w:tcW w:w="140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互联网医院（微信公众号）</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用户、预约挂号、我的、基础数据</w:t>
            </w:r>
          </w:p>
        </w:tc>
        <w:tc>
          <w:tcPr>
            <w:tcW w:w="4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套</w:t>
            </w: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r>
      <w:tr>
        <w:tblPrEx>
          <w:tblCellMar>
            <w:top w:w="0" w:type="dxa"/>
            <w:left w:w="108" w:type="dxa"/>
            <w:bottom w:w="0" w:type="dxa"/>
            <w:right w:w="108" w:type="dxa"/>
          </w:tblCellMar>
        </w:tblPrEx>
        <w:trPr>
          <w:trHeight w:val="20" w:hRule="atLeast"/>
        </w:trPr>
        <w:tc>
          <w:tcPr>
            <w:tcW w:w="46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19</w:t>
            </w:r>
          </w:p>
        </w:tc>
        <w:tc>
          <w:tcPr>
            <w:tcW w:w="140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体检系统</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体检签到、检前服务、体检登记、医生诊台、总检诊台、总检报告、公共数据、基础数据、系统设置、报表统计、其他</w:t>
            </w:r>
          </w:p>
        </w:tc>
        <w:tc>
          <w:tcPr>
            <w:tcW w:w="4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套</w:t>
            </w: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r>
      <w:tr>
        <w:tblPrEx>
          <w:tblCellMar>
            <w:top w:w="0" w:type="dxa"/>
            <w:left w:w="108" w:type="dxa"/>
            <w:bottom w:w="0" w:type="dxa"/>
            <w:right w:w="108" w:type="dxa"/>
          </w:tblCellMar>
        </w:tblPrEx>
        <w:trPr>
          <w:trHeight w:val="20" w:hRule="atLeast"/>
        </w:trPr>
        <w:tc>
          <w:tcPr>
            <w:tcW w:w="46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20</w:t>
            </w:r>
          </w:p>
        </w:tc>
        <w:tc>
          <w:tcPr>
            <w:tcW w:w="140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OA系统</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门户管理、工作流程、文档中心、档案管理、客户管理、项目管理、新闻公告、短信邮件、日程计划、微博日志、协作管理、绩效考核、考勤管理、组织查询、人事档案、通讯录、投票调查、会议管理、用车管理、办公用品、固定资产、图书信息、相册管理、报表管理、系统管理、个性设置、其他应用</w:t>
            </w:r>
          </w:p>
        </w:tc>
        <w:tc>
          <w:tcPr>
            <w:tcW w:w="4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套</w:t>
            </w: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r>
      <w:tr>
        <w:tblPrEx>
          <w:tblCellMar>
            <w:top w:w="0" w:type="dxa"/>
            <w:left w:w="108" w:type="dxa"/>
            <w:bottom w:w="0" w:type="dxa"/>
            <w:right w:w="108" w:type="dxa"/>
          </w:tblCellMar>
        </w:tblPrEx>
        <w:trPr>
          <w:trHeight w:val="20" w:hRule="atLeast"/>
        </w:trPr>
        <w:tc>
          <w:tcPr>
            <w:tcW w:w="46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21</w:t>
            </w:r>
          </w:p>
        </w:tc>
        <w:tc>
          <w:tcPr>
            <w:tcW w:w="56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血透管理系统</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医生工作站</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患者基本信息、★血管通路、医嘱管理、透析治疗方案、定期化验、医疗文书</w:t>
            </w:r>
          </w:p>
        </w:tc>
        <w:tc>
          <w:tcPr>
            <w:tcW w:w="46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套</w:t>
            </w:r>
          </w:p>
        </w:tc>
        <w:tc>
          <w:tcPr>
            <w:tcW w:w="418"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sz w:val="18"/>
                <w:szCs w:val="18"/>
              </w:rPr>
            </w:pPr>
          </w:p>
        </w:tc>
        <w:tc>
          <w:tcPr>
            <w:tcW w:w="56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护士工作站</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班次透前准备、患者宣教、定期评估、交班看板、透析治疗、透析记录单、临时医嘱单</w:t>
            </w:r>
          </w:p>
        </w:tc>
        <w:tc>
          <w:tcPr>
            <w:tcW w:w="46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智能排班</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智能排床、排床显示、快速排床、血滤灌流排班显示、每日排班</w:t>
            </w:r>
          </w:p>
        </w:tc>
        <w:tc>
          <w:tcPr>
            <w:tcW w:w="46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护士长工作站</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支持医护信息档案★支持护士长规范化管理医护人员、排班、管理医护人员、工作量统计、对异常结束的记录单的处理</w:t>
            </w:r>
          </w:p>
        </w:tc>
        <w:tc>
          <w:tcPr>
            <w:tcW w:w="46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工程师工作站</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对科室透析设备有详细信息及支持工程师移动端快捷的记录透析机和水处理设备的各压力点记录、日常运行检测记录、维修、消毒、报废、细菌、透析机成分检测参数校对和水处理化学污染物信息</w:t>
            </w:r>
          </w:p>
        </w:tc>
        <w:tc>
          <w:tcPr>
            <w:tcW w:w="46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感控员工作站</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ascii="宋体" w:hAnsi="宋体" w:eastAsia="宋体" w:cs="宋体"/>
                <w:color w:val="000000"/>
                <w:sz w:val="18"/>
                <w:szCs w:val="18"/>
                <w:lang w:eastAsia="zh-CN"/>
              </w:rPr>
              <w:t>★</w:t>
            </w:r>
            <w:r>
              <w:rPr>
                <w:rFonts w:hint="eastAsia" w:ascii="宋体" w:hAnsi="宋体" w:eastAsia="宋体" w:cs="宋体"/>
                <w:color w:val="000000"/>
                <w:sz w:val="18"/>
                <w:szCs w:val="18"/>
                <w:lang w:eastAsia="zh-CN"/>
              </w:rPr>
              <w:t>持透析用水细菌、内毒素、物表监测、空气培养等院感监测指标有自动统计样本数量，自动统计合格率等功能</w:t>
            </w:r>
          </w:p>
        </w:tc>
        <w:tc>
          <w:tcPr>
            <w:tcW w:w="46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管理者工作站</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医疗质控指标、护理质控指标、医学工程、感染控制、传染疾病质控、血管通路</w:t>
            </w:r>
          </w:p>
        </w:tc>
        <w:tc>
          <w:tcPr>
            <w:tcW w:w="46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费用功能</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持患者透析过程中使用的耗材及护士护理所产生的费用，自动进行日费用，月费用等计费汇总；并满足查询患者在某一段时间内透析所产生的费用明细</w:t>
            </w:r>
          </w:p>
        </w:tc>
        <w:tc>
          <w:tcPr>
            <w:tcW w:w="46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数据上报</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与现有全国血液透析质控上报中心系统进行对接，满足患者基本信息、化验数据、治疗信息的上报。满足科室全自动上报形式</w:t>
            </w:r>
          </w:p>
        </w:tc>
        <w:tc>
          <w:tcPr>
            <w:tcW w:w="46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数据统计</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提供多种报表和数据的统计分析</w:t>
            </w:r>
          </w:p>
        </w:tc>
        <w:tc>
          <w:tcPr>
            <w:tcW w:w="46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智能提醒功能</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支持医生、技师等工作的分级提醒控制、并满足手动添加具体提醒人员及信息内容</w:t>
            </w:r>
          </w:p>
        </w:tc>
        <w:tc>
          <w:tcPr>
            <w:tcW w:w="46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联机功能</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支持与血透室具备联机条件的透析机联机</w:t>
            </w:r>
          </w:p>
        </w:tc>
        <w:tc>
          <w:tcPr>
            <w:tcW w:w="46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权限化管理</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系统支持科室自定义设置各种岗位，并根据不同岗位分配不同工作内容，方便科室各项工作的管理</w:t>
            </w:r>
          </w:p>
        </w:tc>
        <w:tc>
          <w:tcPr>
            <w:tcW w:w="46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22</w:t>
            </w:r>
          </w:p>
        </w:tc>
        <w:tc>
          <w:tcPr>
            <w:tcW w:w="140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供应室管理系统</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医疗包、一次卫材申请管理模块、储存发放模块、回收清洗模块、包装灭菌管理模块 、统计汇总模块、过期包提示、外来器械质量管理、相关记录模块、基础资料、系统设置模块</w:t>
            </w:r>
          </w:p>
        </w:tc>
        <w:tc>
          <w:tcPr>
            <w:tcW w:w="4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套</w:t>
            </w: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r>
      <w:tr>
        <w:tblPrEx>
          <w:tblCellMar>
            <w:top w:w="0" w:type="dxa"/>
            <w:left w:w="108" w:type="dxa"/>
            <w:bottom w:w="0" w:type="dxa"/>
            <w:right w:w="108" w:type="dxa"/>
          </w:tblCellMar>
        </w:tblPrEx>
        <w:trPr>
          <w:trHeight w:val="20" w:hRule="atLeast"/>
        </w:trPr>
        <w:tc>
          <w:tcPr>
            <w:tcW w:w="46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23</w:t>
            </w:r>
          </w:p>
        </w:tc>
        <w:tc>
          <w:tcPr>
            <w:tcW w:w="140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排队叫号系统</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诊间队列信息显示；虚拟叫号器；后台管理系统：终端管理、用户管理、信息维护、系统接口</w:t>
            </w:r>
          </w:p>
        </w:tc>
        <w:tc>
          <w:tcPr>
            <w:tcW w:w="4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套</w:t>
            </w: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r>
      <w:tr>
        <w:tblPrEx>
          <w:tblCellMar>
            <w:top w:w="0" w:type="dxa"/>
            <w:left w:w="108" w:type="dxa"/>
            <w:bottom w:w="0" w:type="dxa"/>
            <w:right w:w="108" w:type="dxa"/>
          </w:tblCellMar>
        </w:tblPrEx>
        <w:trPr>
          <w:trHeight w:val="20" w:hRule="atLeast"/>
        </w:trPr>
        <w:tc>
          <w:tcPr>
            <w:tcW w:w="46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24</w:t>
            </w:r>
          </w:p>
        </w:tc>
        <w:tc>
          <w:tcPr>
            <w:tcW w:w="140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自助服务系统</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当日挂号、预约挂号、预约取号、缴费结算、住院日清单打印、自助查询、满意度调查</w:t>
            </w:r>
          </w:p>
        </w:tc>
        <w:tc>
          <w:tcPr>
            <w:tcW w:w="4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套</w:t>
            </w: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r>
      <w:tr>
        <w:tblPrEx>
          <w:tblCellMar>
            <w:top w:w="0" w:type="dxa"/>
            <w:left w:w="108" w:type="dxa"/>
            <w:bottom w:w="0" w:type="dxa"/>
            <w:right w:w="108" w:type="dxa"/>
          </w:tblCellMar>
        </w:tblPrEx>
        <w:trPr>
          <w:trHeight w:val="20" w:hRule="atLeast"/>
        </w:trPr>
        <w:tc>
          <w:tcPr>
            <w:tcW w:w="46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25</w:t>
            </w:r>
          </w:p>
        </w:tc>
        <w:tc>
          <w:tcPr>
            <w:tcW w:w="5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HRP系统</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物资材料管理系统</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医用材料管理、高值材料管理（代销二级库）、后勤材料管理、实物三级库</w:t>
            </w:r>
          </w:p>
        </w:tc>
        <w:tc>
          <w:tcPr>
            <w:tcW w:w="46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套</w:t>
            </w:r>
          </w:p>
        </w:tc>
        <w:tc>
          <w:tcPr>
            <w:tcW w:w="41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电子招采</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厂商供应商注册及证件管理、厂商供应商注册及证件管理、注册证管理、注册证管理、订单配送管理、开票管理、备货库存查询、备货库存查询、条码管理、</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人力资源管理系统</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招聘、人事、考勤、培训、宿舍（员工生活）、人力资源</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成本核算管理系统</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基础信息管理、院科成本核算、院科效益核算、通用接口管理、成本报表管理中心、效益报表管理中心、新财务制度成本报表、系统信息维护、</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绩效管理系统</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院内指标库、院内考核设置、考核组管理、数量考核、质量考核、考核应用、考核分析</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全面预算管理系统</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预算指标编制管理、预算执行录入、预算分析、业务量预算、预算考核、</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26</w:t>
            </w:r>
          </w:p>
        </w:tc>
        <w:tc>
          <w:tcPr>
            <w:tcW w:w="140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急诊管理系统</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支持分诊汇总功能</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支持分诊标签打印</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支持分诊的评估功能</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支持入抢（留）评估的录入</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支持护理记录的录入，护理记录能自定义关键事件，提取到时间轴显示</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支持自动从分诊记录中采集首次体温、脉搏、呼吸、血压等数据</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支持记录各项护理项目名称和护理措施等</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支持对护理及病情观察记录情况进行模板定义</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支持出入量的录入以及管理功能</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支持自动获取记录检验、检查情况结果，手工加入到护理及病情观察记录</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支持护理记录的双人签名功能</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支持关键事件的自动显示</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支持护理记录的作废、打印功能</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支持健康宣教结构化录入</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支持机械通气录入</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支持静脉通路录入</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支持输血评估单录入</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支持急诊抢救室护理质量检查标准表</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支持制度管理的功能</w:t>
            </w:r>
          </w:p>
        </w:tc>
        <w:tc>
          <w:tcPr>
            <w:tcW w:w="4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套</w:t>
            </w: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r>
      <w:tr>
        <w:tblPrEx>
          <w:tblCellMar>
            <w:top w:w="0" w:type="dxa"/>
            <w:left w:w="108" w:type="dxa"/>
            <w:bottom w:w="0" w:type="dxa"/>
            <w:right w:w="108" w:type="dxa"/>
          </w:tblCellMar>
        </w:tblPrEx>
        <w:trPr>
          <w:trHeight w:val="20" w:hRule="atLeast"/>
        </w:trPr>
        <w:tc>
          <w:tcPr>
            <w:tcW w:w="46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27</w:t>
            </w:r>
          </w:p>
        </w:tc>
        <w:tc>
          <w:tcPr>
            <w:tcW w:w="140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重症监护系统</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rPr>
            </w:pPr>
            <w:r>
              <w:rPr>
                <w:rFonts w:hint="eastAsia" w:ascii="宋体" w:hAnsi="宋体" w:eastAsia="宋体" w:cs="宋体"/>
                <w:color w:val="000000"/>
                <w:sz w:val="18"/>
                <w:szCs w:val="18"/>
                <w:lang w:eastAsia="zh-CN"/>
              </w:rPr>
              <w:t>1、支持卡片式床头卡，支持从HIS平台刷新患者基本信息</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2、支持自动计算MEWS评分，并通过AI自动计算，给不同危重症等级的患者标注颜色</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3、支持按照评分、护理等级、是否感染等对床位进行筛选</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4、支持隔离标注，支持飞沫隔离、接触隔离、空气隔离等隔离类别进行患者标注</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5、支持修改患者信息，如来源科室、诊断、护理等级等、支持从HIS或平台获取最新信息</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6、支持根据患者病情设定治疗目标，可设定患者检验指标、体征指标等作为治疗目标</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7、支持自动导入患者手术信息、支持获取患者所有历史手术的信息</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8、支持自定义患者体征的阈值管理，支持患者在不同时期应用不同的阈值模板</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9、支持患者备忘录，支持家属联系方式设置，支持患者在院期间所有备忘事件的登记</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10、支持留言板功能，可以根据日期保存留言信息，同时支持视频、图片、音频等留言方式</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11、支持健康宣教，支持检验、护理组套、护理评估等信息自动导入，支持教育方法、教育时机、教育项目、教育目标的分类宣教</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12、支持大数据查询患者历史信息，支持自定义查询患者信息，同时支持七天内快速查询</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13、支持接入医嘱系统，支持自动实时获取医嘱信息</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14、支持甘特图方式显示医嘱的执行情况，支持自动拆分用药频次，并用各种颜色标注频次</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15、支持医嘱信息快速补录，支持临时医嘱的自动实时获取</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16、支持医嘱的闭环操作，按照长期医嘱、临时医嘱、其他类医嘱与医嘱开立时间提取每个患者的医嘱信息，支持分类显示医嘱</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17、支持对调速、快推、暂停、恢复等功能</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18、支持医嘱根据用药方式自动拆分归类</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19、支持过滤长期、临时的医嘱</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20、支持过滤已完成、执行中等多状态医嘱信息</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21、支持自动汇总执行用药的用量</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22、支持自定义是否计算到出入量功能</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23、支持当日未执行、已执行医嘱半点提示，防止护士漏执行医嘱和核对医嘱</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24、支持按班次显示医嘱执行情况和全天显示医嘱执行情况</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25、支持提供脉搏、皮肤、营养、排便等多种护理分类</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26、支持图形化显示护理信息，支持各种评分的图形化评分</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27、支持基础护理中所对应的各类事件，支持闭环操作</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28、支持提供生命体征、设备参数、检验项目、评估评分、危急设置</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29、支持临床设备的生命体征数据统一采集，支持HR、NIBP(D)、NIBP(S)、有创舒张压、有创收缩压、有创平均压、呼吸、SPO2、CVP、UVP等生命体征实时自动采集</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30、支持RR、VT、PC、Ppeak、FiO2、I:E、PS、IPAP、EPAP等呼吸机参数的自动实时采集</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31、支持实现对患者生命体征、检验结果、评估评分的预警提醒</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32、支持图形化显示各类评分内容</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33、支持自定义观察项内容</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34、支持气管导管、气切导管、动脉置管、静脉置管、尿管通畅、尿液性质等管道护理，同时支持输液管、三通接头、胃管、气管套管等更换管道功能</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35、支持糖尿病饮食、流质饮食、鼻或管饲等饮食管理</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36、支持皮肤完整、异常部位、气垫床、水垫等皮肤管理</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37、支持约束部位血循环、伤口换药。褥疮换药、深静脉导管穿刺部位换药等功能</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38、支持入量、出量的录入，支持温开水、鼻饲、食物、静脉入量、微泵入量、肠胃入量、其它药物入量以及每小时入量的入量信息，以及尿量、大便量、脱水量、硬膜外引流量、脑室引流量、胸腔引流量、腹腔引流量等出量信息。</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39、支持液体平衡的每小时显示</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40、支持冲洗入量、冲洗出量</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41、支持通过图形化显示小时/天为单位的出入量</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42、支持按班次、按天显示出入量情况</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43、支持自定义配置出入量分组</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44、支持护理记录的书写，自动导入检验、检查、体征、医嘱等信息，同时支持视频、音频、图片等数据导入，支持各类特殊符号的快速录入。</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45、支持护理记录的模板功能，保存或调阅相关模板</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46、支持三维立体人体模型可视化展示、导管信息及管理、护理信息、历史信息，支持支持导管部位自定义与选择，实现导管全流程管理，</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47、支持根据不同颜色区分管道的危重情况，支持自动计算累计置管天数</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48、支持自定义导管信息的录入</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49、支持患者在院所有皮肤记录的查询，支持三维立体人体皮肤的标注</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50、支持追踪皮肤护理的内容</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51、支持输血管理，记录体温、心率、不良反应、呼吸、氧饱和度、血压等输血相关参数，记录输血的产品号、总量、时间等基础信息</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52、支持检验报告自动导入，支持检验指标归类趋势显示、支持检验结果异常标识显示</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53、支持检查报告自动导入，支持查阅在院期间所有检查信息</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54、支持自动采集血糖数据，支持血糖指标的趋势图</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55、支持护理类常用评分，如Padua、Caprini、Rass、NRS2002、Braden、Wells-DVT、ICDSC、VTE、ADL等，支持A4纸原稿录入方式</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56、支持保护性约束评估单、坠床评估单、导管滑落评估单等多类评估单，支持A4纸原稿录入方式</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57、支持批量打印各类评分，支持归类评分打印</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58、支持评分趋势分析</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59、支持护理评估单、液体平衡单、护理记录单、输血记录单、CRRT记录单、体温单、护理计划单、液体平衡统计单等多类ICU文书，支持A4纸原稿显示方式</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60、支持根据护理规格要求的A3原稿方式显示护理单，支持体征、护理、评分、用药等集中显示。</w:t>
            </w:r>
            <w:r>
              <w:rPr>
                <w:rFonts w:hint="eastAsia" w:ascii="宋体" w:hAnsi="宋体" w:eastAsia="宋体" w:cs="宋体"/>
                <w:color w:val="000000"/>
                <w:sz w:val="18"/>
                <w:szCs w:val="18"/>
              </w:rPr>
              <w:t>支持A3护理单的放大缩小、缩放等功能</w:t>
            </w:r>
          </w:p>
        </w:tc>
        <w:tc>
          <w:tcPr>
            <w:tcW w:w="4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套</w:t>
            </w: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r>
      <w:tr>
        <w:tblPrEx>
          <w:tblCellMar>
            <w:top w:w="0" w:type="dxa"/>
            <w:left w:w="108" w:type="dxa"/>
            <w:bottom w:w="0" w:type="dxa"/>
            <w:right w:w="108" w:type="dxa"/>
          </w:tblCellMar>
        </w:tblPrEx>
        <w:trPr>
          <w:trHeight w:val="20" w:hRule="atLeast"/>
        </w:trPr>
        <w:tc>
          <w:tcPr>
            <w:tcW w:w="46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28</w:t>
            </w:r>
          </w:p>
        </w:tc>
        <w:tc>
          <w:tcPr>
            <w:tcW w:w="56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单病种上报管理</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单病种质控管理平台</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数据管理、质控报告、数据科研、指标监测、组织管理、质控监督、公告与帮助、系统与配置、个人信息</w:t>
            </w:r>
          </w:p>
        </w:tc>
        <w:tc>
          <w:tcPr>
            <w:tcW w:w="46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套</w:t>
            </w:r>
          </w:p>
        </w:tc>
        <w:tc>
          <w:tcPr>
            <w:tcW w:w="41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sz w:val="18"/>
                <w:szCs w:val="18"/>
              </w:rPr>
            </w:pPr>
          </w:p>
        </w:tc>
        <w:tc>
          <w:tcPr>
            <w:tcW w:w="56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单病种数据采集平台</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数据库配置、多源异构数据库/表采集配置</w:t>
            </w:r>
          </w:p>
        </w:tc>
        <w:tc>
          <w:tcPr>
            <w:tcW w:w="46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29</w:t>
            </w:r>
          </w:p>
        </w:tc>
        <w:tc>
          <w:tcPr>
            <w:tcW w:w="5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资产精细化设备全生命周期管理系统</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全院采购申报审批及档案管理系统</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标准化采购字典管理、审批流程配置、申购内容配置、申购类型管理、论证格式管理、申购权限管理、年度申购管理、临时申购管理、申购计划单管理、移动端审批管理、附件管理、会议记录管理、申购计划执行分析、采购到货提配、申购执行分析</w:t>
            </w:r>
          </w:p>
        </w:tc>
        <w:tc>
          <w:tcPr>
            <w:tcW w:w="46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套</w:t>
            </w:r>
          </w:p>
        </w:tc>
        <w:tc>
          <w:tcPr>
            <w:tcW w:w="41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简易招标采购合同管理</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附件管理及收集、采购计划管理、采购人及任务分配管理、招标及合同登记管理、招标调研参数管理、咨询会议管理、执行预算审批、招标计划管理、招标审批管理、简易采购、中标结果及审批管理、合同模板管理、合同自动生成管理、统计分析及报表（含二维码打印机、标签纸）</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资产精细化管理</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分类及品牌管理、供应商厂商管理、名称规格字典管理、入库管理、出库管理、转科管理、发票管理、付款管理、台帐管理、条码及标签管理、预报废计划及管理、报废管理、财政上报管理、折旧管理、移动核对清点管理、科室资产管理、位置管理、库存管理及资产申领、其它台帐管理、主附台帐管理、资产盘点及三级清查管理、月结及会计管理、查询统计、业务分析报表、库房调拨及在用调拨、rfid标签管理、移动rfid批量盘点定位管理、移动端单据审核管理、移动端资产查询、图片上传、移动端预报废、转科、盘点、借用、移动盘点信息推送及扫码盘点</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医疗设备质控管理</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培训管理、预入库管理、附件管理、供应商上传管理、设备分类管理、设备质控方案管理、设备巡检管理、科室巡检管理、巡检记录确认、科室自检管理、pm管理、质量检测、计量管理、不良事件、人员证件管理、放射场地、设备管理、放射人员体检管理、质控记录管理、使用登记、借用管理、试用管理、设备时钟管理、设备使用率共享管理、动态电子档案管理、pdca管理、知库管理、统计分析及报表、移动pda管理、应急演练、手机移动巡检、pm、自检、手机移动不良事件、借用、安装验收、手机移动扫码培训签到管理、设备风险评估、设备评价管理、值班管理及交接班、通知公告管理</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医疗设备全景效益分析</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效益分析台帐及对照管理、分组管理及设备分类（专项）、院级设备效益分析、科级设备效益分析、设备级效益分析</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30</w:t>
            </w:r>
          </w:p>
        </w:tc>
        <w:tc>
          <w:tcPr>
            <w:tcW w:w="56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传染病上报</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传染病</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待审核、待上报、报卡列表、疾病统计</w:t>
            </w:r>
          </w:p>
        </w:tc>
        <w:tc>
          <w:tcPr>
            <w:tcW w:w="46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套</w:t>
            </w:r>
          </w:p>
        </w:tc>
        <w:tc>
          <w:tcPr>
            <w:tcW w:w="41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sz w:val="18"/>
                <w:szCs w:val="18"/>
              </w:rPr>
            </w:pPr>
          </w:p>
        </w:tc>
        <w:tc>
          <w:tcPr>
            <w:tcW w:w="56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食源性疾病</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待审核、待上报、上报历史</w:t>
            </w:r>
          </w:p>
        </w:tc>
        <w:tc>
          <w:tcPr>
            <w:tcW w:w="46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心脑血管疾病</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待审核、待上报、上报历史</w:t>
            </w:r>
          </w:p>
        </w:tc>
        <w:tc>
          <w:tcPr>
            <w:tcW w:w="46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死亡登记</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待审核、待上报、上报历史</w:t>
            </w:r>
          </w:p>
        </w:tc>
        <w:tc>
          <w:tcPr>
            <w:tcW w:w="46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登记表</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传染病、慢性病、食源性疾病、死亡证明、上报统计登记</w:t>
            </w:r>
          </w:p>
        </w:tc>
        <w:tc>
          <w:tcPr>
            <w:tcW w:w="46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学习交流</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rPr>
            </w:pPr>
            <w:r>
              <w:rPr>
                <w:rFonts w:hint="eastAsia" w:ascii="宋体" w:hAnsi="宋体" w:eastAsia="宋体" w:cs="宋体"/>
                <w:color w:val="000000"/>
                <w:sz w:val="18"/>
                <w:szCs w:val="18"/>
              </w:rPr>
              <w:t>知识库、知识讨论</w:t>
            </w:r>
          </w:p>
        </w:tc>
        <w:tc>
          <w:tcPr>
            <w:tcW w:w="46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sz w:val="18"/>
                <w:szCs w:val="18"/>
              </w:rPr>
            </w:pPr>
          </w:p>
        </w:tc>
        <w:tc>
          <w:tcPr>
            <w:tcW w:w="41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sz w:val="18"/>
                <w:szCs w:val="18"/>
              </w:rPr>
            </w:pPr>
          </w:p>
        </w:tc>
        <w:tc>
          <w:tcPr>
            <w:tcW w:w="56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术语编辑</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传染病、食源性疾病、心脑血管疾病的归类</w:t>
            </w:r>
          </w:p>
        </w:tc>
        <w:tc>
          <w:tcPr>
            <w:tcW w:w="46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31</w:t>
            </w:r>
          </w:p>
        </w:tc>
        <w:tc>
          <w:tcPr>
            <w:tcW w:w="140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抗菌药物管理与统计分析</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抗菌药物目录管理、 抗菌药物分级设置、 医生抗菌药处方权分级设置、二级管控用药规则设置、 抗菌药物使用智能提醒与越级管理、全院抗菌药物使用金额排名、 全院抗菌药物使用量排名、 门诊抗菌药物药物处方比例、住院抗菌药物使用率、 越级使用抗菌药物统计</w:t>
            </w:r>
          </w:p>
        </w:tc>
        <w:tc>
          <w:tcPr>
            <w:tcW w:w="4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套</w:t>
            </w: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r>
      <w:tr>
        <w:tblPrEx>
          <w:tblCellMar>
            <w:top w:w="0" w:type="dxa"/>
            <w:left w:w="108" w:type="dxa"/>
            <w:bottom w:w="0" w:type="dxa"/>
            <w:right w:w="108" w:type="dxa"/>
          </w:tblCellMar>
        </w:tblPrEx>
        <w:trPr>
          <w:trHeight w:val="20" w:hRule="atLeast"/>
        </w:trPr>
        <w:tc>
          <w:tcPr>
            <w:tcW w:w="46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32</w:t>
            </w:r>
          </w:p>
        </w:tc>
        <w:tc>
          <w:tcPr>
            <w:tcW w:w="56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医院医保费用智能监管系统</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知识库系统</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规则查询、规则启停控制、引导操作配置</w:t>
            </w:r>
          </w:p>
        </w:tc>
        <w:tc>
          <w:tcPr>
            <w:tcW w:w="46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套</w:t>
            </w:r>
          </w:p>
        </w:tc>
        <w:tc>
          <w:tcPr>
            <w:tcW w:w="41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sz w:val="18"/>
                <w:szCs w:val="18"/>
              </w:rPr>
            </w:pPr>
          </w:p>
        </w:tc>
        <w:tc>
          <w:tcPr>
            <w:tcW w:w="56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智能费用审核</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rPr>
            </w:pPr>
            <w:r>
              <w:rPr>
                <w:rFonts w:hint="eastAsia" w:ascii="宋体" w:hAnsi="宋体" w:eastAsia="宋体" w:cs="宋体"/>
                <w:color w:val="000000"/>
                <w:sz w:val="18"/>
                <w:szCs w:val="18"/>
              </w:rPr>
              <w:t>门诊审核、住院审核</w:t>
            </w:r>
          </w:p>
        </w:tc>
        <w:tc>
          <w:tcPr>
            <w:tcW w:w="46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sz w:val="18"/>
                <w:szCs w:val="18"/>
              </w:rPr>
            </w:pPr>
          </w:p>
        </w:tc>
        <w:tc>
          <w:tcPr>
            <w:tcW w:w="41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sz w:val="18"/>
                <w:szCs w:val="18"/>
              </w:rPr>
            </w:pPr>
          </w:p>
        </w:tc>
        <w:tc>
          <w:tcPr>
            <w:tcW w:w="56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智能诊疗监测</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依据医保局医保管理政策、医保管理专家经验等方面，可配置医保政策管理相关的审核规则，对异常就诊行为进行监测预警</w:t>
            </w:r>
          </w:p>
        </w:tc>
        <w:tc>
          <w:tcPr>
            <w:tcW w:w="46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智能医保助手</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rPr>
            </w:pPr>
            <w:r>
              <w:rPr>
                <w:rFonts w:hint="eastAsia" w:ascii="宋体" w:hAnsi="宋体" w:eastAsia="宋体" w:cs="宋体"/>
                <w:color w:val="000000"/>
                <w:sz w:val="18"/>
                <w:szCs w:val="18"/>
              </w:rPr>
              <w:t>消息通知、 辅助工具</w:t>
            </w:r>
          </w:p>
        </w:tc>
        <w:tc>
          <w:tcPr>
            <w:tcW w:w="46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sz w:val="18"/>
                <w:szCs w:val="18"/>
              </w:rPr>
            </w:pPr>
          </w:p>
        </w:tc>
        <w:tc>
          <w:tcPr>
            <w:tcW w:w="41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sz w:val="18"/>
                <w:szCs w:val="18"/>
              </w:rPr>
            </w:pPr>
          </w:p>
        </w:tc>
        <w:tc>
          <w:tcPr>
            <w:tcW w:w="56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智能诊疗监测</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提供异常诊疗监测功能，系统依据医保局医保管理政策、医保管理专家经验等方面，可配置医保政策管理相关的审核规则，对异常就诊行为进行监测预警</w:t>
            </w:r>
          </w:p>
        </w:tc>
        <w:tc>
          <w:tcPr>
            <w:tcW w:w="46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医保指标监管</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指标管理、指标监测、指标预警、指标分析</w:t>
            </w:r>
          </w:p>
        </w:tc>
        <w:tc>
          <w:tcPr>
            <w:tcW w:w="46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智能申诉管理</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初审扣款管理、申诉材料生成、申诉任务管理</w:t>
            </w:r>
          </w:p>
        </w:tc>
        <w:tc>
          <w:tcPr>
            <w:tcW w:w="46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智能辅助决策</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智能审核查询、审核预警分析、审核违规排名、医保拒付分析、审核效果分析、医疗费用分析</w:t>
            </w:r>
          </w:p>
        </w:tc>
        <w:tc>
          <w:tcPr>
            <w:tcW w:w="46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系统管理</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信息维护、权限管理、参数配置</w:t>
            </w:r>
          </w:p>
        </w:tc>
        <w:tc>
          <w:tcPr>
            <w:tcW w:w="46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924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sz w:val="18"/>
                <w:szCs w:val="18"/>
                <w:lang w:eastAsia="zh-CN"/>
              </w:rPr>
            </w:pPr>
            <w:r>
              <w:rPr>
                <w:rFonts w:hint="eastAsia" w:ascii="宋体" w:hAnsi="宋体" w:eastAsia="宋体" w:cs="宋体"/>
                <w:b/>
                <w:bCs/>
                <w:color w:val="000000"/>
                <w:sz w:val="18"/>
                <w:szCs w:val="18"/>
                <w:lang w:eastAsia="zh-CN"/>
              </w:rPr>
              <w:t>2.医共体（县人民医院）信息集成平台</w:t>
            </w:r>
          </w:p>
        </w:tc>
      </w:tr>
      <w:tr>
        <w:tblPrEx>
          <w:tblCellMar>
            <w:top w:w="0" w:type="dxa"/>
            <w:left w:w="108" w:type="dxa"/>
            <w:bottom w:w="0" w:type="dxa"/>
            <w:right w:w="108" w:type="dxa"/>
          </w:tblCellMar>
        </w:tblPrEx>
        <w:trPr>
          <w:trHeight w:val="20" w:hRule="atLeast"/>
        </w:trPr>
        <w:tc>
          <w:tcPr>
            <w:tcW w:w="46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1</w:t>
            </w:r>
          </w:p>
        </w:tc>
        <w:tc>
          <w:tcPr>
            <w:tcW w:w="5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集成平台</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日志中心</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20"/>
                <w:szCs w:val="20"/>
                <w:lang w:eastAsia="zh-CN"/>
              </w:rPr>
              <w:t>日志中心分成两部分，分别是采集端和收集端。 采集器从各服务器采集数据，然后发送给接收端，接收端接到数据后，将日志保存到磁盘上。用户能在日志中心服务器上查询和分析日志</w:t>
            </w:r>
          </w:p>
        </w:tc>
        <w:tc>
          <w:tcPr>
            <w:tcW w:w="46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套</w:t>
            </w:r>
          </w:p>
        </w:tc>
        <w:tc>
          <w:tcPr>
            <w:tcW w:w="41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注册中心</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highlight w:val="yellow"/>
                <w:lang w:eastAsia="zh-CN"/>
              </w:rPr>
            </w:pPr>
            <w:r>
              <w:rPr>
                <w:rFonts w:hint="eastAsia" w:ascii="宋体" w:hAnsi="宋体" w:eastAsia="宋体" w:cs="宋体"/>
                <w:color w:val="000000"/>
                <w:sz w:val="20"/>
                <w:szCs w:val="20"/>
                <w:lang w:eastAsia="zh-CN"/>
              </w:rPr>
              <w:t>用于提供微服务的注册与发现。支持高可用的配置，当集群中有分片出现故障时，注册中心就会转入自动保护模式，它允许分片故障期间继续提供服务的发现和注册，当故障分片恢复正常时，集群中其他分片会把他们的状态再次同步回来。 客户端组件包含服务消费者与服务生产者。在应用程序运行时，客户端向注册中心注册自身提供的服务并周期性的发送心跳来更新它的服务租约。同时也可以从服务端查询当前注册的服务信息并把他们缓存到本地并周期性的刷新服务状态</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微服务</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将应用程序构建为独立的组件，并将每个应用程序进程作为一项服务运行。这些服务使用轻量级 API 通过明确定义的接口进行通信。这些服务是围绕业务功能构建的，每项服务执行一项功能。由于它们是独立运行的，因此可以针对各项服务进行更新、部署和扩展，以满足对应用程序特定功能的需求</w:t>
            </w:r>
          </w:p>
          <w:p>
            <w:pPr>
              <w:widowControl/>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提供数据解析处理，可实时根据医院上传的业务数据，按照交换策略，将XML数据源导入进目标表数据表中。</w:t>
            </w:r>
          </w:p>
          <w:p>
            <w:pPr>
              <w:widowControl/>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提供处理记录查询，可查询处理记录，查询每次解析所涉及的业务，并查询成功失败标志。</w:t>
            </w:r>
          </w:p>
          <w:p>
            <w:pPr>
              <w:widowControl/>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提供应用开发的框架以适应不同的应用系统连接的需求。主要包括数据源处理、处理规则管理、数据处理引擎、数据过滤、数据转换、数据比对与校验、数据容错、数据合并、数据入库、数据存储服务等。</w:t>
            </w:r>
          </w:p>
          <w:p>
            <w:pPr>
              <w:widowControl/>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能够将各个应用系统数据库中数据按照制定的统一的数据标准，转换、传输到指定的数据库中，为各个应用系统提供统一的数据获取源。</w:t>
            </w:r>
          </w:p>
          <w:p>
            <w:pPr>
              <w:widowControl/>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能够支持定时数据交换和实时数据交换两种数据交互方式。</w:t>
            </w:r>
          </w:p>
          <w:p>
            <w:pPr>
              <w:widowControl/>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支持双向数据交换，保证数据传递过程的安全、可靠。</w:t>
            </w:r>
          </w:p>
          <w:p>
            <w:pPr>
              <w:widowControl/>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支持数据采集、汇总、转换功能。</w:t>
            </w:r>
          </w:p>
          <w:p>
            <w:pPr>
              <w:widowControl/>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支持批量和实时的数据交换模式。</w:t>
            </w:r>
          </w:p>
          <w:p>
            <w:pPr>
              <w:widowControl/>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支持异地的、异构系统数据交换。</w:t>
            </w:r>
          </w:p>
          <w:p>
            <w:pPr>
              <w:widowControl/>
              <w:rPr>
                <w:rFonts w:ascii="宋体" w:hAnsi="宋体" w:eastAsia="宋体" w:cs="宋体"/>
                <w:color w:val="000000"/>
                <w:sz w:val="20"/>
                <w:szCs w:val="20"/>
              </w:rPr>
            </w:pPr>
            <w:r>
              <w:rPr>
                <w:rFonts w:hint="eastAsia" w:ascii="宋体" w:hAnsi="宋体" w:eastAsia="宋体" w:cs="宋体"/>
                <w:color w:val="000000"/>
                <w:sz w:val="20"/>
                <w:szCs w:val="20"/>
              </w:rPr>
              <w:t>以标准XML数据格式为标准，对外采用通用的http服务为接口，支持多客户端的对接。</w:t>
            </w:r>
          </w:p>
          <w:p>
            <w:pPr>
              <w:widowControl/>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要求提供传输数据的校验功能，校验数据包括但不限于账户、密码、业务编码，密码加密，提供安全服务配置功能，保证系统安全可靠。</w:t>
            </w:r>
          </w:p>
          <w:p>
            <w:pPr>
              <w:widowControl/>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系统支持自定义业务配置或自定义接口实现。</w:t>
            </w:r>
          </w:p>
          <w:p>
            <w:pPr>
              <w:widowControl/>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系统支持不同数据库的配置，具有一定的底层兼容性。</w:t>
            </w:r>
          </w:p>
          <w:p>
            <w:pPr>
              <w:widowControl/>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系统支持数据集中服务模式，将数据集中到集成平台中，实现数据集中管理和规范化管理，方便以后对数据分析和挖掘。</w:t>
            </w:r>
          </w:p>
          <w:p>
            <w:pPr>
              <w:widowControl/>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数据交换平台生成的数据字典，可供其他应用利用，实现数据共享。</w:t>
            </w:r>
          </w:p>
          <w:p>
            <w:pPr>
              <w:widowControl/>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为医疗行业特别量体定做的底座服务软件，必须很好支持不同系统之间的医疗数据的整合，能够处理各医疗子系统之间的协同通讯服务。</w:t>
            </w:r>
          </w:p>
          <w:p>
            <w:pPr>
              <w:widowControl/>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医疗服务底座软件应消除不同应用之间的技术差异，让不同的应用服务器协调运作，实现不同服务之间的通信与整合。</w:t>
            </w:r>
          </w:p>
          <w:p>
            <w:pPr>
              <w:widowControl/>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医疗服务底座软件应能够实现业务级别的各种业务接口的集成。</w:t>
            </w:r>
          </w:p>
          <w:p>
            <w:pPr>
              <w:widowControl/>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医疗服务底座软件应提供自定义可插拔服务功能。</w:t>
            </w:r>
          </w:p>
          <w:p>
            <w:pPr>
              <w:widowControl/>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医疗服务底座软件应提供系统运行环境设置，包括数据库环境配置，业务处理服务配置，日志配置，通用业务表设置。</w:t>
            </w:r>
          </w:p>
          <w:p>
            <w:pPr>
              <w:widowControl/>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提供松耦合连接机制，实现数据信息的交换、传输、校验、路由、转换、日志、监控等功能。</w:t>
            </w:r>
          </w:p>
          <w:p>
            <w:pPr>
              <w:widowControl/>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提供高性能、可靠稳定的数据传输，确保数据的数量和质量。</w:t>
            </w:r>
          </w:p>
          <w:p>
            <w:pPr>
              <w:widowControl/>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提供多种灵活的消息传输机制，应支持同步和异步数据传输。例如HTTP/SOAP/MQ等。</w:t>
            </w:r>
          </w:p>
          <w:p>
            <w:pPr>
              <w:widowControl/>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数据路由处理消息、生成转发消息、触发其他消息事件的发生以及卫生事件消息体系的管理。</w:t>
            </w:r>
          </w:p>
          <w:p>
            <w:pPr>
              <w:widowControl/>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支持传输层安全、内容安全、身份认证等各种安全保障机制。</w:t>
            </w:r>
          </w:p>
          <w:p>
            <w:pPr>
              <w:widowControl/>
              <w:rPr>
                <w:rFonts w:ascii="宋体" w:hAnsi="宋体" w:eastAsia="宋体" w:cs="宋体"/>
                <w:color w:val="000000"/>
                <w:sz w:val="18"/>
                <w:szCs w:val="18"/>
                <w:highlight w:val="yellow"/>
                <w:lang w:eastAsia="zh-CN"/>
              </w:rPr>
            </w:pPr>
            <w:r>
              <w:rPr>
                <w:rFonts w:hint="eastAsia" w:ascii="宋体" w:hAnsi="宋体" w:eastAsia="宋体" w:cs="宋体"/>
                <w:color w:val="000000"/>
                <w:sz w:val="20"/>
                <w:szCs w:val="20"/>
                <w:lang w:eastAsia="zh-CN"/>
              </w:rPr>
              <w:t>提供消息中转服务，负责保证底层通讯、消息发送和接收的安全性、可靠性。实现支持不同网络、网段之间的消息传输通讯，保证消息接发过程中的消息可靠性、安全性。</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消息中心</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highlight w:val="yellow"/>
                <w:lang w:eastAsia="zh-CN"/>
              </w:rPr>
            </w:pPr>
            <w:r>
              <w:rPr>
                <w:rFonts w:hint="eastAsia" w:ascii="宋体" w:hAnsi="宋体" w:eastAsia="宋体" w:cs="宋体"/>
                <w:color w:val="000000"/>
                <w:sz w:val="20"/>
                <w:szCs w:val="20"/>
                <w:lang w:eastAsia="zh-CN"/>
              </w:rPr>
              <w:t>收集各类业务产生的任务及消息数据，集中在消息中心查询、处理</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网关管理</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highlight w:val="yellow"/>
                <w:lang w:eastAsia="zh-CN"/>
              </w:rPr>
            </w:pPr>
            <w:r>
              <w:rPr>
                <w:rFonts w:hint="eastAsia" w:ascii="宋体" w:hAnsi="宋体" w:eastAsia="宋体" w:cs="宋体"/>
                <w:color w:val="000000"/>
                <w:sz w:val="20"/>
                <w:szCs w:val="20"/>
                <w:lang w:eastAsia="zh-CN"/>
              </w:rPr>
              <w:t>平台微服务网关的负载均衡管理</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单点登录</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highlight w:val="yellow"/>
                <w:lang w:eastAsia="zh-CN"/>
              </w:rPr>
            </w:pPr>
            <w:r>
              <w:rPr>
                <w:rFonts w:hint="eastAsia" w:ascii="宋体" w:hAnsi="宋体" w:eastAsia="宋体" w:cs="宋体"/>
                <w:color w:val="000000"/>
                <w:sz w:val="20"/>
                <w:szCs w:val="20"/>
                <w:lang w:eastAsia="zh-CN"/>
              </w:rPr>
              <w:t>用于集成各子系统登录验证配置实现自动登录</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2</w:t>
            </w:r>
          </w:p>
        </w:tc>
        <w:tc>
          <w:tcPr>
            <w:tcW w:w="5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数据中心</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临床数据库(CDR)</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《电子病历基本数据集》、《医院管理信息系统》等标准与规范形成的临床数据中心</w:t>
            </w:r>
          </w:p>
        </w:tc>
        <w:tc>
          <w:tcPr>
            <w:tcW w:w="46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套</w:t>
            </w:r>
          </w:p>
        </w:tc>
        <w:tc>
          <w:tcPr>
            <w:tcW w:w="41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运营数据库(ODR)</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通过生产数据进行抽取、转换、清洗，集合医院各业务系统相关运营管理数据（财务管理数据库、人事管理数据库、设备管理数据库），建立以医院管理为核心的运营数据库</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3</w:t>
            </w:r>
          </w:p>
        </w:tc>
        <w:tc>
          <w:tcPr>
            <w:tcW w:w="5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highlight w:val="red"/>
              </w:rPr>
            </w:pPr>
            <w:r>
              <w:rPr>
                <w:rFonts w:hint="eastAsia" w:ascii="宋体" w:hAnsi="宋体" w:eastAsia="宋体" w:cs="宋体"/>
                <w:color w:val="000000"/>
                <w:sz w:val="20"/>
                <w:szCs w:val="20"/>
              </w:rPr>
              <w:t>统一门户</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highlight w:val="red"/>
              </w:rPr>
            </w:pPr>
            <w:r>
              <w:rPr>
                <w:rFonts w:hint="eastAsia" w:ascii="宋体" w:hAnsi="宋体" w:eastAsia="宋体" w:cs="宋体"/>
                <w:color w:val="000000"/>
                <w:sz w:val="20"/>
                <w:szCs w:val="20"/>
              </w:rPr>
              <w:t>系统管理</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highlight w:val="red"/>
                <w:lang w:eastAsia="zh-CN"/>
              </w:rPr>
            </w:pPr>
            <w:r>
              <w:rPr>
                <w:rFonts w:hint="eastAsia" w:ascii="宋体" w:hAnsi="宋体" w:eastAsia="宋体" w:cs="宋体"/>
                <w:color w:val="000000"/>
                <w:sz w:val="20"/>
                <w:szCs w:val="20"/>
                <w:lang w:eastAsia="zh-CN"/>
              </w:rPr>
              <w:t>人员管理  、角色管理、日志管理、应用管理、字典管理、扩展属性管理、消息管理</w:t>
            </w:r>
          </w:p>
        </w:tc>
        <w:tc>
          <w:tcPr>
            <w:tcW w:w="46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套</w:t>
            </w:r>
          </w:p>
        </w:tc>
        <w:tc>
          <w:tcPr>
            <w:tcW w:w="41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highlight w:val="red"/>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highlight w:val="red"/>
              </w:rPr>
            </w:pPr>
            <w:r>
              <w:rPr>
                <w:rFonts w:hint="eastAsia" w:ascii="宋体" w:hAnsi="宋体" w:eastAsia="宋体" w:cs="宋体"/>
                <w:color w:val="000000"/>
                <w:sz w:val="20"/>
                <w:szCs w:val="20"/>
              </w:rPr>
              <w:t>桌面系统</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highlight w:val="red"/>
                <w:lang w:eastAsia="zh-CN"/>
              </w:rPr>
            </w:pPr>
            <w:r>
              <w:rPr>
                <w:rFonts w:hint="eastAsia" w:ascii="宋体" w:hAnsi="宋体" w:eastAsia="宋体" w:cs="宋体"/>
                <w:color w:val="000000"/>
                <w:sz w:val="20"/>
                <w:szCs w:val="20"/>
                <w:lang w:eastAsia="zh-CN"/>
              </w:rPr>
              <w:t>面向操作人员提供的统一应用入口方式之一，实现平台提供的基本通用功能，包含统一登录、系统消息等</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highlight w:val="red"/>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highlight w:val="red"/>
              </w:rPr>
            </w:pPr>
            <w:r>
              <w:rPr>
                <w:rFonts w:hint="eastAsia" w:ascii="宋体" w:hAnsi="宋体" w:eastAsia="宋体" w:cs="宋体"/>
                <w:color w:val="000000"/>
                <w:sz w:val="20"/>
                <w:szCs w:val="20"/>
              </w:rPr>
              <w:t>后台服务</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highlight w:val="red"/>
                <w:lang w:eastAsia="zh-CN"/>
              </w:rPr>
            </w:pPr>
            <w:r>
              <w:rPr>
                <w:rFonts w:hint="eastAsia" w:ascii="宋体" w:hAnsi="宋体" w:eastAsia="宋体" w:cs="宋体"/>
                <w:color w:val="000000"/>
                <w:sz w:val="20"/>
                <w:szCs w:val="20"/>
                <w:lang w:eastAsia="zh-CN"/>
              </w:rPr>
              <w:t>后台服务为应用和对外的标准接口提供底层实现支撑。</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highlight w:val="red"/>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highlight w:val="red"/>
              </w:rPr>
            </w:pPr>
            <w:r>
              <w:rPr>
                <w:rFonts w:hint="eastAsia" w:ascii="宋体" w:hAnsi="宋体" w:eastAsia="宋体" w:cs="宋体"/>
                <w:color w:val="000000"/>
                <w:sz w:val="20"/>
                <w:szCs w:val="20"/>
              </w:rPr>
              <w:t>扩展服务组件</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highlight w:val="red"/>
                <w:lang w:eastAsia="zh-CN"/>
              </w:rPr>
            </w:pPr>
            <w:r>
              <w:rPr>
                <w:rFonts w:hint="eastAsia" w:ascii="宋体" w:hAnsi="宋体" w:eastAsia="宋体" w:cs="宋体"/>
                <w:color w:val="000000"/>
                <w:sz w:val="20"/>
                <w:szCs w:val="20"/>
                <w:lang w:eastAsia="zh-CN"/>
              </w:rPr>
              <w:t>多方式登录、登录双因素验证、短消息组件、密码安全策略、自助找回密码、个人中心、关键信息受控规则管理</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highlight w:val="red"/>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highlight w:val="red"/>
              </w:rPr>
            </w:pPr>
            <w:r>
              <w:rPr>
                <w:rFonts w:hint="eastAsia" w:ascii="宋体" w:hAnsi="宋体" w:eastAsia="宋体" w:cs="宋体"/>
                <w:color w:val="000000"/>
                <w:sz w:val="20"/>
                <w:szCs w:val="20"/>
              </w:rPr>
              <w:t>接口管理</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highlight w:val="red"/>
                <w:lang w:eastAsia="zh-CN"/>
              </w:rPr>
            </w:pPr>
            <w:r>
              <w:rPr>
                <w:rFonts w:hint="eastAsia" w:ascii="宋体" w:hAnsi="宋体" w:eastAsia="宋体" w:cs="宋体"/>
                <w:color w:val="000000"/>
                <w:sz w:val="20"/>
                <w:szCs w:val="20"/>
                <w:lang w:eastAsia="zh-CN"/>
              </w:rPr>
              <w:t>与国家新医保、院内LIS、PACS、手术麻醉、电子发票接口、重症监护、院感、合理用药、OA、电子签名、医保、地区级平台、自治区级平台、银医一卡通、金蝶财务软件、DRGS，县域SPD接口等相关接口对接</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4</w:t>
            </w:r>
          </w:p>
        </w:tc>
        <w:tc>
          <w:tcPr>
            <w:tcW w:w="5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报表中心</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预览功能</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highlight w:val="yellow"/>
              </w:rPr>
            </w:pPr>
            <w:r>
              <w:rPr>
                <w:rFonts w:hint="eastAsia" w:ascii="宋体" w:hAnsi="宋体" w:eastAsia="宋体" w:cs="宋体"/>
                <w:color w:val="000000"/>
                <w:sz w:val="20"/>
                <w:szCs w:val="20"/>
              </w:rPr>
              <w:t>支持预览，分页预览</w:t>
            </w:r>
          </w:p>
        </w:tc>
        <w:tc>
          <w:tcPr>
            <w:tcW w:w="46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套</w:t>
            </w:r>
          </w:p>
        </w:tc>
        <w:tc>
          <w:tcPr>
            <w:tcW w:w="41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模板导入</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highlight w:val="yellow"/>
              </w:rPr>
            </w:pPr>
            <w:r>
              <w:rPr>
                <w:rFonts w:hint="eastAsia" w:ascii="宋体" w:hAnsi="宋体" w:eastAsia="宋体" w:cs="宋体"/>
                <w:color w:val="000000"/>
                <w:sz w:val="20"/>
                <w:szCs w:val="20"/>
              </w:rPr>
              <w:t>支持导入Excel模板文件功能</w:t>
            </w:r>
          </w:p>
        </w:tc>
        <w:tc>
          <w:tcPr>
            <w:tcW w:w="46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sz w:val="18"/>
                <w:szCs w:val="18"/>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报表设计</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监控微服务调用接口耗时、是否正常等情况</w:t>
            </w:r>
          </w:p>
          <w:p>
            <w:pPr>
              <w:widowControl/>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敏感数据支持字符掩盖和关键字替换两种脱敏规则</w:t>
            </w:r>
          </w:p>
          <w:p>
            <w:pPr>
              <w:widowControl/>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 xml:space="preserve">平台用户一些操作的记录包括用户登录、退出，模块操作等日志包括操作时间、操作用户、操作内容、角色、操作IP等  </w:t>
            </w:r>
          </w:p>
          <w:p>
            <w:pPr>
              <w:widowControl/>
              <w:rPr>
                <w:rFonts w:ascii="宋体" w:hAnsi="宋体" w:eastAsia="宋体" w:cs="宋体"/>
                <w:color w:val="000000"/>
                <w:sz w:val="18"/>
                <w:szCs w:val="18"/>
                <w:highlight w:val="yellow"/>
                <w:lang w:eastAsia="zh-CN"/>
              </w:rPr>
            </w:pPr>
            <w:r>
              <w:rPr>
                <w:rFonts w:hint="eastAsia" w:ascii="宋体" w:hAnsi="宋体" w:eastAsia="宋体" w:cs="宋体"/>
                <w:color w:val="000000"/>
                <w:sz w:val="20"/>
                <w:szCs w:val="20"/>
                <w:lang w:eastAsia="zh-CN"/>
              </w:rPr>
              <w:t>平台用户一些操作的记录包括：模块的增加，删除，修改</w:t>
            </w:r>
          </w:p>
        </w:tc>
        <w:tc>
          <w:tcPr>
            <w:tcW w:w="46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页面配置</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页面类型，页面宽（毫米），页面高（毫米），左边距（毫米），右边距（毫米），上边距（毫米），下边距（毫米），方向:纵向/横向，HTML报表输出时对齐方式：</w:t>
            </w:r>
          </w:p>
          <w:p>
            <w:pPr>
              <w:widowControl/>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居左/居中/居右。HTML报表定时刷新（秒），套打背景图</w:t>
            </w:r>
          </w:p>
          <w:p>
            <w:pPr>
              <w:widowControl/>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页眉 字体样式配置 页眉顶端距离（毫米）</w:t>
            </w:r>
          </w:p>
          <w:p>
            <w:pPr>
              <w:widowControl/>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页脚 字体样式配置 页脚顶端距离（毫米）</w:t>
            </w:r>
          </w:p>
          <w:p>
            <w:pPr>
              <w:widowControl/>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分页配置分页方式：自动/固定行数</w:t>
            </w:r>
          </w:p>
          <w:p>
            <w:pPr>
              <w:widowControl/>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分栏配置：</w:t>
            </w:r>
          </w:p>
          <w:p>
            <w:pPr>
              <w:widowControl/>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分栏：禁用/启用</w:t>
            </w:r>
          </w:p>
          <w:p>
            <w:pPr>
              <w:widowControl/>
              <w:rPr>
                <w:rFonts w:ascii="宋体" w:hAnsi="宋体" w:eastAsia="宋体" w:cs="宋体"/>
                <w:color w:val="000000"/>
                <w:sz w:val="18"/>
                <w:szCs w:val="18"/>
                <w:highlight w:val="yellow"/>
                <w:lang w:eastAsia="zh-CN"/>
              </w:rPr>
            </w:pPr>
            <w:r>
              <w:rPr>
                <w:rFonts w:hint="eastAsia" w:ascii="宋体" w:hAnsi="宋体" w:eastAsia="宋体" w:cs="宋体"/>
                <w:color w:val="000000"/>
                <w:sz w:val="20"/>
                <w:szCs w:val="20"/>
                <w:lang w:eastAsia="zh-CN"/>
              </w:rPr>
              <w:t>栏数，栏间距</w:t>
            </w:r>
          </w:p>
        </w:tc>
        <w:tc>
          <w:tcPr>
            <w:tcW w:w="46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数据链接</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highlight w:val="yellow"/>
                <w:lang w:eastAsia="zh-CN"/>
              </w:rPr>
            </w:pPr>
            <w:r>
              <w:rPr>
                <w:rFonts w:hint="eastAsia" w:ascii="宋体" w:hAnsi="宋体" w:eastAsia="宋体" w:cs="宋体"/>
                <w:color w:val="000000"/>
                <w:sz w:val="20"/>
                <w:szCs w:val="20"/>
                <w:lang w:eastAsia="zh-CN"/>
              </w:rPr>
              <w:t>支持添加数据库连接，添加SpringBean连接，添加内置数据源连接</w:t>
            </w:r>
          </w:p>
        </w:tc>
        <w:tc>
          <w:tcPr>
            <w:tcW w:w="46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5</w:t>
            </w:r>
          </w:p>
        </w:tc>
        <w:tc>
          <w:tcPr>
            <w:tcW w:w="5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基础信息管理</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基础信息</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sz w:val="20"/>
                <w:szCs w:val="20"/>
                <w:lang w:eastAsia="zh-CN"/>
              </w:rPr>
            </w:pPr>
            <w:r>
              <w:rPr>
                <w:rFonts w:hint="eastAsia" w:ascii="宋体" w:hAnsi="宋体" w:eastAsia="宋体" w:cs="宋体"/>
                <w:sz w:val="20"/>
                <w:szCs w:val="20"/>
                <w:lang w:eastAsia="zh-CN"/>
              </w:rPr>
              <w:t xml:space="preserve">平台医疗机构管理：包括医疗机构名称、联系电话、机构负责人（法人）、地址、电话、邮政编码、医疗机构等级、医院地址、联系电话、医疗机构简介、医疗机构介绍等。可以新增、修改、停用、启用、删除等操作  </w:t>
            </w:r>
          </w:p>
          <w:p>
            <w:pPr>
              <w:widowControl/>
              <w:rPr>
                <w:rFonts w:ascii="宋体" w:hAnsi="宋体" w:eastAsia="宋体" w:cs="宋体"/>
                <w:sz w:val="20"/>
                <w:szCs w:val="20"/>
                <w:lang w:eastAsia="zh-CN"/>
              </w:rPr>
            </w:pPr>
            <w:r>
              <w:rPr>
                <w:rFonts w:hint="eastAsia" w:ascii="宋体" w:hAnsi="宋体" w:eastAsia="宋体" w:cs="宋体"/>
                <w:sz w:val="20"/>
                <w:szCs w:val="20"/>
                <w:lang w:eastAsia="zh-CN"/>
              </w:rPr>
              <w:t>平台机构科室管理：包括科室名称、科室代码、上级科室、科室类型（门诊科室、医技科室、住院科室、住院病区）、科室联系人名称、科室介绍等 ，可以新增，修改、停用、启用、删除等操作</w:t>
            </w:r>
          </w:p>
          <w:p>
            <w:pPr>
              <w:widowControl/>
              <w:rPr>
                <w:rFonts w:ascii="宋体" w:hAnsi="宋体" w:eastAsia="宋体" w:cs="宋体"/>
                <w:sz w:val="20"/>
                <w:szCs w:val="20"/>
                <w:lang w:eastAsia="zh-CN"/>
              </w:rPr>
            </w:pPr>
            <w:r>
              <w:rPr>
                <w:rFonts w:hint="eastAsia" w:ascii="宋体" w:hAnsi="宋体" w:eastAsia="宋体" w:cs="宋体"/>
                <w:sz w:val="20"/>
                <w:szCs w:val="20"/>
                <w:lang w:eastAsia="zh-CN"/>
              </w:rPr>
              <w:t xml:space="preserve">平台卫生人员管理：包括人员工号、人员姓名、证件类型、证件号码、出生年月、性别、专业技术职务类别、技术职称、所属机构、所属科室等。可以新增、修改、停用、启用、删除等操作 </w:t>
            </w:r>
          </w:p>
          <w:p>
            <w:pPr>
              <w:widowControl/>
              <w:rPr>
                <w:rFonts w:ascii="宋体" w:hAnsi="宋体" w:eastAsia="宋体" w:cs="宋体"/>
                <w:sz w:val="20"/>
                <w:szCs w:val="20"/>
                <w:lang w:eastAsia="zh-CN"/>
              </w:rPr>
            </w:pPr>
            <w:r>
              <w:rPr>
                <w:rFonts w:hint="eastAsia" w:ascii="宋体" w:hAnsi="宋体" w:eastAsia="宋体" w:cs="宋体"/>
                <w:sz w:val="20"/>
                <w:szCs w:val="20"/>
                <w:lang w:eastAsia="zh-CN"/>
              </w:rPr>
              <w:t xml:space="preserve">组织结构展示多层的树型结构  </w:t>
            </w:r>
          </w:p>
          <w:p>
            <w:pPr>
              <w:widowControl/>
              <w:rPr>
                <w:rFonts w:ascii="宋体" w:hAnsi="宋体" w:eastAsia="宋体" w:cs="宋体"/>
                <w:sz w:val="18"/>
                <w:szCs w:val="18"/>
                <w:highlight w:val="yellow"/>
                <w:lang w:eastAsia="zh-CN"/>
              </w:rPr>
            </w:pPr>
            <w:r>
              <w:rPr>
                <w:rFonts w:hint="eastAsia" w:ascii="宋体" w:hAnsi="宋体" w:eastAsia="宋体" w:cs="宋体"/>
                <w:sz w:val="20"/>
                <w:szCs w:val="20"/>
                <w:lang w:eastAsia="zh-CN"/>
              </w:rPr>
              <w:t>居民注册服务：居民信息管理、居民主索引管理、合并规则管理、合并历史管理、注销管理、发布通知管理、主题管理</w:t>
            </w:r>
          </w:p>
        </w:tc>
        <w:tc>
          <w:tcPr>
            <w:tcW w:w="4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套</w:t>
            </w: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r>
      <w:tr>
        <w:tblPrEx>
          <w:tblCellMar>
            <w:top w:w="0" w:type="dxa"/>
            <w:left w:w="108" w:type="dxa"/>
            <w:bottom w:w="0" w:type="dxa"/>
            <w:right w:w="108" w:type="dxa"/>
          </w:tblCellMar>
        </w:tblPrEx>
        <w:trPr>
          <w:trHeight w:val="20" w:hRule="atLeast"/>
        </w:trPr>
        <w:tc>
          <w:tcPr>
            <w:tcW w:w="46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6</w:t>
            </w:r>
          </w:p>
        </w:tc>
        <w:tc>
          <w:tcPr>
            <w:tcW w:w="5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主数据管理</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标准管理</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 xml:space="preserve">数据元维护，包含新增、导入、导出、停用、删除等操作，可以查看数据元标识符、数据元名称、定义、数据元值的数据类型、表达格式、数据元允许值等信息  </w:t>
            </w:r>
          </w:p>
          <w:p>
            <w:pPr>
              <w:widowControl/>
              <w:rPr>
                <w:rFonts w:ascii="宋体" w:hAnsi="宋体" w:eastAsia="宋体" w:cs="宋体"/>
                <w:color w:val="000000"/>
                <w:sz w:val="18"/>
                <w:szCs w:val="18"/>
                <w:highlight w:val="yellow"/>
                <w:lang w:eastAsia="zh-CN"/>
              </w:rPr>
            </w:pPr>
            <w:r>
              <w:rPr>
                <w:rFonts w:hint="eastAsia" w:ascii="宋体" w:hAnsi="宋体" w:eastAsia="宋体" w:cs="宋体"/>
                <w:color w:val="000000"/>
                <w:sz w:val="20"/>
                <w:szCs w:val="20"/>
                <w:lang w:eastAsia="zh-CN"/>
              </w:rPr>
              <w:t xml:space="preserve">数据集信息的维护，包括新增、编辑、停用、关联、导入、导出等操作  </w:t>
            </w:r>
          </w:p>
        </w:tc>
        <w:tc>
          <w:tcPr>
            <w:tcW w:w="46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套</w:t>
            </w:r>
          </w:p>
        </w:tc>
        <w:tc>
          <w:tcPr>
            <w:tcW w:w="41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标准字典</w:t>
            </w:r>
          </w:p>
        </w:tc>
        <w:tc>
          <w:tcPr>
            <w:tcW w:w="6479" w:type="dxa"/>
            <w:tcBorders>
              <w:top w:val="nil"/>
              <w:left w:val="nil"/>
              <w:bottom w:val="single" w:color="auto" w:sz="4" w:space="0"/>
              <w:right w:val="single" w:color="auto" w:sz="4" w:space="0"/>
            </w:tcBorders>
            <w:shd w:val="clear" w:color="auto" w:fill="auto"/>
            <w:vAlign w:val="center"/>
          </w:tcPr>
          <w:p>
            <w:pPr>
              <w:rPr>
                <w:rFonts w:ascii="仿宋" w:hAnsi="仿宋" w:eastAsia="仿宋" w:cs="仿宋"/>
                <w:color w:val="000000"/>
                <w:szCs w:val="21"/>
                <w:highlight w:val="yellow"/>
                <w:lang w:eastAsia="zh-CN"/>
              </w:rPr>
            </w:pPr>
            <w:r>
              <w:rPr>
                <w:rFonts w:hint="eastAsia" w:ascii="宋体" w:hAnsi="宋体" w:eastAsia="宋体" w:cs="宋体"/>
                <w:color w:val="000000"/>
                <w:sz w:val="20"/>
                <w:szCs w:val="20"/>
                <w:lang w:eastAsia="zh-CN"/>
              </w:rPr>
              <w:t xml:space="preserve">平台标准字典的维护，包括字典的新增、启用、停用、导入、导出、查询  </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疾病诊断</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highlight w:val="yellow"/>
                <w:lang w:eastAsia="zh-CN"/>
              </w:rPr>
            </w:pPr>
            <w:r>
              <w:rPr>
                <w:rFonts w:hint="eastAsia" w:ascii="宋体" w:hAnsi="宋体" w:eastAsia="宋体" w:cs="宋体"/>
                <w:color w:val="000000"/>
                <w:sz w:val="20"/>
                <w:szCs w:val="20"/>
                <w:lang w:eastAsia="zh-CN"/>
              </w:rPr>
              <w:t>数据标准中西医诊断字典的维护</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手术操作编码</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highlight w:val="yellow"/>
                <w:lang w:eastAsia="zh-CN"/>
              </w:rPr>
            </w:pPr>
            <w:r>
              <w:rPr>
                <w:rFonts w:hint="eastAsia" w:ascii="宋体" w:hAnsi="宋体" w:eastAsia="宋体" w:cs="宋体"/>
                <w:color w:val="000000"/>
                <w:sz w:val="20"/>
                <w:szCs w:val="20"/>
                <w:lang w:eastAsia="zh-CN"/>
              </w:rPr>
              <w:t>手术操作代码字典的维护</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医院项目数据</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highlight w:val="yellow"/>
                <w:lang w:eastAsia="zh-CN"/>
              </w:rPr>
            </w:pPr>
            <w:r>
              <w:rPr>
                <w:rFonts w:hint="eastAsia" w:ascii="宋体" w:hAnsi="宋体" w:eastAsia="宋体" w:cs="宋体"/>
                <w:color w:val="000000"/>
                <w:sz w:val="20"/>
                <w:szCs w:val="20"/>
                <w:lang w:eastAsia="zh-CN"/>
              </w:rPr>
              <w:t>包括医院药品字典，检查项目，检验项，医嘱项目，收费项目等管理。</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7</w:t>
            </w:r>
          </w:p>
        </w:tc>
        <w:tc>
          <w:tcPr>
            <w:tcW w:w="5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MPI主索引管理</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主索引管理</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 xml:space="preserve">索引更新：建立以人为单位的索引目录。索引目录包含事件目录和文档目录。 </w:t>
            </w:r>
          </w:p>
          <w:p>
            <w:pPr>
              <w:widowControl/>
              <w:rPr>
                <w:rFonts w:ascii="宋体" w:hAnsi="宋体" w:eastAsia="宋体" w:cs="宋体"/>
                <w:color w:val="000000"/>
                <w:sz w:val="18"/>
                <w:szCs w:val="18"/>
                <w:highlight w:val="yellow"/>
                <w:lang w:eastAsia="zh-CN"/>
              </w:rPr>
            </w:pPr>
            <w:r>
              <w:rPr>
                <w:rFonts w:hint="eastAsia" w:ascii="宋体" w:hAnsi="宋体" w:eastAsia="宋体" w:cs="宋体"/>
                <w:color w:val="000000"/>
                <w:sz w:val="20"/>
                <w:szCs w:val="20"/>
                <w:lang w:eastAsia="zh-CN"/>
              </w:rPr>
              <w:t>单个人的索引查询：平台内部其他服务或外部接口提供实质的查询服务。通过主索引ID索引与该相，为平台内部其他服务或外部接口提供实质的查询服务。通过主索引ID、地区、时间区间、事件类型、事件名称、发生机构。 条件为组合使用，所有符合条件的所有事件目录和文档目录。</w:t>
            </w:r>
          </w:p>
        </w:tc>
        <w:tc>
          <w:tcPr>
            <w:tcW w:w="4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套</w:t>
            </w: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r>
      <w:tr>
        <w:tblPrEx>
          <w:tblCellMar>
            <w:top w:w="0" w:type="dxa"/>
            <w:left w:w="108" w:type="dxa"/>
            <w:bottom w:w="0" w:type="dxa"/>
            <w:right w:w="108" w:type="dxa"/>
          </w:tblCellMar>
        </w:tblPrEx>
        <w:trPr>
          <w:trHeight w:val="20" w:hRule="atLeast"/>
        </w:trPr>
        <w:tc>
          <w:tcPr>
            <w:tcW w:w="46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8</w:t>
            </w:r>
          </w:p>
        </w:tc>
        <w:tc>
          <w:tcPr>
            <w:tcW w:w="5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患者360视图</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全息视图</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highlight w:val="yellow"/>
                <w:lang w:eastAsia="zh-CN"/>
              </w:rPr>
            </w:pPr>
            <w:r>
              <w:rPr>
                <w:rFonts w:hint="eastAsia" w:ascii="宋体" w:hAnsi="宋体" w:eastAsia="宋体" w:cs="宋体"/>
                <w:color w:val="000000"/>
                <w:sz w:val="20"/>
                <w:szCs w:val="20"/>
                <w:lang w:eastAsia="zh-CN"/>
              </w:rPr>
              <w:t>本信息调阅、档案调阅、服务调阅、居民全生命周期服务调阅</w:t>
            </w:r>
          </w:p>
        </w:tc>
        <w:tc>
          <w:tcPr>
            <w:tcW w:w="4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套</w:t>
            </w: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r>
      <w:tr>
        <w:tblPrEx>
          <w:tblCellMar>
            <w:top w:w="0" w:type="dxa"/>
            <w:left w:w="108" w:type="dxa"/>
            <w:bottom w:w="0" w:type="dxa"/>
            <w:right w:w="108" w:type="dxa"/>
          </w:tblCellMar>
        </w:tblPrEx>
        <w:trPr>
          <w:trHeight w:val="20" w:hRule="atLeast"/>
        </w:trPr>
        <w:tc>
          <w:tcPr>
            <w:tcW w:w="46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9</w:t>
            </w:r>
          </w:p>
        </w:tc>
        <w:tc>
          <w:tcPr>
            <w:tcW w:w="5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综合决策分析</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今日实时动态</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综合分析医院今日门诊收入、住院收入、门诊量、住院人次等指标信息</w:t>
            </w:r>
          </w:p>
        </w:tc>
        <w:tc>
          <w:tcPr>
            <w:tcW w:w="46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套</w:t>
            </w:r>
          </w:p>
        </w:tc>
        <w:tc>
          <w:tcPr>
            <w:tcW w:w="41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医疗收入</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综合分析门诊收入、急诊收入、人均费用、均次药费、药占比等指标信息，以及按时间、按科室进行挖掘分析</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综合分析住院收入、人均费用、均次药费、药占比、医保占比等指标信息，以及按时间、按科室进行挖掘分析</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各科室的医生数量、接诊人次、医生接诊均次、人均费用、总收入</w:t>
            </w:r>
            <w:r>
              <w:rPr>
                <w:rFonts w:hint="eastAsia" w:ascii="宋体" w:hAnsi="宋体" w:eastAsia="宋体" w:cs="宋体"/>
                <w:color w:val="000000"/>
                <w:sz w:val="18"/>
                <w:szCs w:val="18"/>
                <w:lang w:eastAsia="zh-CN"/>
              </w:rPr>
              <w:br w:type="page"/>
            </w:r>
            <w:r>
              <w:rPr>
                <w:rFonts w:hint="eastAsia" w:ascii="宋体" w:hAnsi="宋体" w:eastAsia="宋体" w:cs="宋体"/>
                <w:color w:val="000000"/>
                <w:sz w:val="18"/>
                <w:szCs w:val="18"/>
                <w:lang w:eastAsia="zh-CN"/>
              </w:rPr>
              <w:t>各科室的医生数量、住院人数、平均住院日、人均费用、总收入</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医疗工作量</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综合分析门急诊人次、检查人次、检验人次、预约诊疗率等指标信息，以及按时间，按科室进行挖掘分析</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综合分析入院人数、出院人数、平均住院日、以及按时间，按科室进行挖掘分析</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医疗资源</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综合分析累计开放床位数、累计占用床位数、床位周转次数、床位使用率、平均床日等指标信息</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综合分析医院职工总数、医护比、中高级职称占比、教授及副教授人数、药师人数等指标信息</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医疗质量</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综合分析门诊药事相关指标，包含：辅助用药药占比、基本药物处方占比、PPI类药物收入使用量，以及按时间、按科室进行分析</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综合分析住院药事相关指标，包含：辅助用药药占比、基本药物处方占比、PPI类药物收入使用量，以及按时间、按科室进行分析</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重点监测患者住院总死亡率、手术患者住院死亡率、ICU患者收治率、ICU患者收治床日率，以及按时间，按科室进行挖掘分析</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公共卫生服务监管</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对所辖区域的社区卫生服务机构的基本公共卫生服务情况进行统计分析</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卫生资源分析</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卫生机构监管、卫生人力监管、卫生设施监管、卫生经费监管</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医保数据分析</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对门诊、住院、药品的医保费用使用情况、医保类别进行分析；对各医共体成员单位的医保类别、刷卡人次、刷卡金额进行分析</w:t>
            </w:r>
          </w:p>
        </w:tc>
        <w:tc>
          <w:tcPr>
            <w:tcW w:w="4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lang w:eastAsia="zh-CN"/>
              </w:rPr>
            </w:pPr>
          </w:p>
        </w:tc>
        <w:tc>
          <w:tcPr>
            <w:tcW w:w="4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20" w:hRule="atLeast"/>
        </w:trPr>
        <w:tc>
          <w:tcPr>
            <w:tcW w:w="46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10</w:t>
            </w:r>
          </w:p>
        </w:tc>
        <w:tc>
          <w:tcPr>
            <w:tcW w:w="140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可视化展示</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对日常运营基本监测、门诊情况、住院情况、手术情况、收入情况的可视化展示。</w:t>
            </w:r>
          </w:p>
        </w:tc>
        <w:tc>
          <w:tcPr>
            <w:tcW w:w="4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套</w:t>
            </w: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r>
      <w:tr>
        <w:tblPrEx>
          <w:tblCellMar>
            <w:top w:w="0" w:type="dxa"/>
            <w:left w:w="108" w:type="dxa"/>
            <w:bottom w:w="0" w:type="dxa"/>
            <w:right w:w="108" w:type="dxa"/>
          </w:tblCellMar>
        </w:tblPrEx>
        <w:trPr>
          <w:trHeight w:val="20" w:hRule="atLeast"/>
        </w:trPr>
        <w:tc>
          <w:tcPr>
            <w:tcW w:w="9240" w:type="dxa"/>
            <w:gridSpan w:val="6"/>
            <w:tcBorders>
              <w:top w:val="single" w:color="auto" w:sz="4" w:space="0"/>
              <w:left w:val="nil"/>
              <w:bottom w:val="single" w:color="auto" w:sz="4" w:space="0"/>
              <w:right w:val="nil"/>
            </w:tcBorders>
            <w:shd w:val="clear" w:color="auto" w:fill="auto"/>
            <w:vAlign w:val="center"/>
          </w:tcPr>
          <w:p>
            <w:pPr>
              <w:widowControl/>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3.平台硬件</w:t>
            </w:r>
          </w:p>
        </w:tc>
      </w:tr>
      <w:tr>
        <w:tblPrEx>
          <w:tblCellMar>
            <w:top w:w="0" w:type="dxa"/>
            <w:left w:w="108" w:type="dxa"/>
            <w:bottom w:w="0" w:type="dxa"/>
            <w:right w:w="108" w:type="dxa"/>
          </w:tblCellMar>
        </w:tblPrEx>
        <w:trPr>
          <w:trHeight w:val="20" w:hRule="atLeast"/>
        </w:trPr>
        <w:tc>
          <w:tcPr>
            <w:tcW w:w="46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1</w:t>
            </w:r>
          </w:p>
        </w:tc>
        <w:tc>
          <w:tcPr>
            <w:tcW w:w="140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内网业务服务器</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1、国内知名品牌，机架式服务器，高度≤2U；</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2、CPU：配置≥2颗物理CPU，单颗核数≥20核，主频≥2.3GHz；</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3、内存：配置≥512GB DDR4内存；</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4、硬盘：配置≥2块960GB SSD硬盘，支持热插拔；</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5、阵列卡：配置独立阵列卡，支持RAID 0/1/10；</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6、接口：配置≥2*GE电口，配置≥4*10GE光口（满配光模块）；</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7、电源：配置≥800W冗余电源，支持冗余热插拔电源，并提供配套的电源连接线；</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8、风扇：满配冗余风扇，支持单风扇失效；</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9、三年原厂质保。</w:t>
            </w:r>
          </w:p>
        </w:tc>
        <w:tc>
          <w:tcPr>
            <w:tcW w:w="4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台</w:t>
            </w: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8</w:t>
            </w:r>
          </w:p>
        </w:tc>
      </w:tr>
      <w:tr>
        <w:tblPrEx>
          <w:tblCellMar>
            <w:top w:w="0" w:type="dxa"/>
            <w:left w:w="108" w:type="dxa"/>
            <w:bottom w:w="0" w:type="dxa"/>
            <w:right w:w="108" w:type="dxa"/>
          </w:tblCellMar>
        </w:tblPrEx>
        <w:trPr>
          <w:trHeight w:val="20" w:hRule="atLeast"/>
        </w:trPr>
        <w:tc>
          <w:tcPr>
            <w:tcW w:w="46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2</w:t>
            </w:r>
          </w:p>
        </w:tc>
        <w:tc>
          <w:tcPr>
            <w:tcW w:w="140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内网物理服务器</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1、国内知名品牌，机架式服务器，高度≤2U；</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2、CPU：配置≥2颗物理CPU，单颗核数≥20核，主频≥2.3GHz；</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3、内存：配置≥1024GB DDR4内存；</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4、硬盘：配置≥2块960GB SSD硬盘，支持热插拔；</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5、阵列卡：配置独立阵列卡，支持RAID 0/1/10；</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6、接口：配置≥2*GE电口，配置≥4*10GE光口（含光模块）；</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7、电源：配置≥800W冗余电源，支持冗余热插拔电源，并提供配套的电源连接线；</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8、风扇：满配冗余风扇，支持单风扇失效；</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9、三年原厂质保。</w:t>
            </w:r>
          </w:p>
        </w:tc>
        <w:tc>
          <w:tcPr>
            <w:tcW w:w="4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台</w:t>
            </w: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5</w:t>
            </w:r>
          </w:p>
        </w:tc>
      </w:tr>
      <w:tr>
        <w:tblPrEx>
          <w:tblCellMar>
            <w:top w:w="0" w:type="dxa"/>
            <w:left w:w="108" w:type="dxa"/>
            <w:bottom w:w="0" w:type="dxa"/>
            <w:right w:w="108" w:type="dxa"/>
          </w:tblCellMar>
        </w:tblPrEx>
        <w:trPr>
          <w:trHeight w:val="20" w:hRule="atLeast"/>
        </w:trPr>
        <w:tc>
          <w:tcPr>
            <w:tcW w:w="46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3</w:t>
            </w:r>
          </w:p>
        </w:tc>
        <w:tc>
          <w:tcPr>
            <w:tcW w:w="140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服务器汇聚交换机</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1、交换容量≥2.5Tbps，包转发率≥1200Mpps；</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2、支持24个万兆SFP+端口，6个40/100G QSFP28端口，支持可插拔的双电源；</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3、支持静态路由、RIP V1/2、OSPF、IS-IS、BGP、RIPng、OSPFv3、BGP4+、ISISv6；</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4、支持纵向虚拟化，作为父节点管理纵向子节点、作为纵向子节点零配置即插即用；</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5、支持VxLAN功能，支持VxLAN二层网关、三层网关，支持BGP EVPN，实现自动建立隧道；</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6、★为响应国产化要求，要求设备采用国产自研的主控芯片，提供第三方权威检测报告并加盖厂商有效印章；</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7、资质要求：设备厂商具有质量管理体系（ISO9001）、信息安全管理体系（ISO27001）、供应链安全管理体系（ISO28000）认证，提供证书复印件证明并加盖厂商有效印章；</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8、实配：双电源，万兆多模光模块≥20个，三年原厂质保。</w:t>
            </w:r>
          </w:p>
        </w:tc>
        <w:tc>
          <w:tcPr>
            <w:tcW w:w="4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台</w:t>
            </w: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r>
      <w:tr>
        <w:tblPrEx>
          <w:tblCellMar>
            <w:top w:w="0" w:type="dxa"/>
            <w:left w:w="108" w:type="dxa"/>
            <w:bottom w:w="0" w:type="dxa"/>
            <w:right w:w="108" w:type="dxa"/>
          </w:tblCellMar>
        </w:tblPrEx>
        <w:trPr>
          <w:trHeight w:val="20" w:hRule="atLeast"/>
        </w:trPr>
        <w:tc>
          <w:tcPr>
            <w:tcW w:w="46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4</w:t>
            </w:r>
          </w:p>
        </w:tc>
        <w:tc>
          <w:tcPr>
            <w:tcW w:w="140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管理交换机</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1、交换容量≥520Gbps，包转发率≥160Mpps；</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2、支持千兆电口≥48个，千兆SFP接口≥4个；</w:t>
            </w:r>
          </w:p>
          <w:p>
            <w:pPr>
              <w:widowControl/>
              <w:rPr>
                <w:rFonts w:ascii="宋体" w:hAnsi="宋体" w:eastAsia="宋体" w:cs="宋体"/>
                <w:color w:val="000000"/>
                <w:sz w:val="18"/>
                <w:szCs w:val="18"/>
              </w:rPr>
            </w:pPr>
            <w:r>
              <w:rPr>
                <w:rFonts w:hint="eastAsia" w:ascii="宋体" w:hAnsi="宋体" w:eastAsia="宋体" w:cs="宋体"/>
                <w:color w:val="000000"/>
                <w:sz w:val="18"/>
                <w:szCs w:val="18"/>
              </w:rPr>
              <w:t>3、支持4K VLAN，支持Guest VLAN、Voice VLAN、MAX VLAN等；</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4、支持静态路由、RIPv1/2、RIPng、OSPF、OSPFv3；</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5、支持MAC表项≥32K，支持IPv4 路由表≥4K，支持IPv6 路由表≥1K，提供第三方权威检测报告并加盖厂商有效印章；</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6、★为响应国产化要求，要求设备采用国产自研的主控芯片，提供第三方权威检测报告并加盖厂商有效印章；</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8、支持堆叠，主机堆叠数不小于9台，支持G.8032（ERPS）标准以太环网协议；</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9、实配：千兆单模光模块≥4个，三年原厂质保。</w:t>
            </w:r>
          </w:p>
        </w:tc>
        <w:tc>
          <w:tcPr>
            <w:tcW w:w="4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台</w:t>
            </w: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r>
      <w:tr>
        <w:tblPrEx>
          <w:tblCellMar>
            <w:top w:w="0" w:type="dxa"/>
            <w:left w:w="108" w:type="dxa"/>
            <w:bottom w:w="0" w:type="dxa"/>
            <w:right w:w="108" w:type="dxa"/>
          </w:tblCellMar>
        </w:tblPrEx>
        <w:trPr>
          <w:trHeight w:val="4535" w:hRule="atLeast"/>
        </w:trPr>
        <w:tc>
          <w:tcPr>
            <w:tcW w:w="46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5</w:t>
            </w:r>
          </w:p>
        </w:tc>
        <w:tc>
          <w:tcPr>
            <w:tcW w:w="140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内网虚拟化平台</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1、提供≥16颗物理CPU的虚拟化软件授权许可；</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2、虚拟化软件可以实现物理机的全部功能，如具有自己的资源（内存、CPU、网卡、存储），可单独指定MAC地址等，支持在线调整虚拟机的CPU、内存等规格，不用重启即可生效；</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3、虚拟机之间可以做到隔离保护，其中每一个虚拟机发生故障都不会影响同一个物理机上的其它虚拟机运行，以保障系统平台的安全性；</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4、每个虚拟机均可安装独立的操作系统，为获得良好的兼容性操作系统支持需要包括Windows、Linux，且支持国产操作系统包括中标麒麟、统信等操作系统；</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5、支持虚拟化HA功能，当物理服务器发生故障时，可将物理服务器上所有的虚拟化迁移到集群内其他物理服务器上重新启动，保证业务连续性；</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6、支持图形化界面安全删除虚拟机，可对回收站内的已删除的虚拟机进行复原操作；</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7、支持在虚拟机启动时设置负载均衡策略，可根据集群内主机的实时CPU、内存负载情况动态选择运行在那台主机上；</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8、支持通过文件夹对虚拟机进行分组操作，文件夹深度最多可以支持2层，可以对已分组的虚拟机批量进行关闭、启动、克隆等操作；</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9、支持系统根据集群的负载情况，自动上下电主机，优化数据中心的能耗，实现节能减排的目的；</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10、虚拟化平台使用存储设备时，支持本地硬盘、IP-SAN、FC-SAN、NAS等不同类型的存储设备，不限制虚拟交换模式；</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11、网络传输可绕过软件模拟层，直接分配到虚拟机，降低了软件模拟层中的I/O开销；</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12、提供图形化的主机和虚拟机指标监控，用户可自定义监控周期，支持多种类型指标告警，可对指定的告警进行屏蔽；</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13、支持记录操作维护人员通过运维管理系统进行的操作日志。系统操作维护人员可查看日志，不允许删除日志；</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14、支持X86不同代次的处理器的节点间可互相热迁移，解决在异构CPU上进行热迁移时存在的兼容性问题；</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15、为响应国产化要求，同时为了保护投资，要求虚拟化软件支持在X86和ARM架构的服务器上同时运行，并进行统一管理，提供虚拟化软件厂商官网可查询的证明并加盖厂商有效印章；</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16、软件具有国产软件自主知识产权，具有自主研发能力，提供软件著作权证书证明材料；</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17、三年原厂维保服务。</w:t>
            </w:r>
          </w:p>
        </w:tc>
        <w:tc>
          <w:tcPr>
            <w:tcW w:w="4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台</w:t>
            </w: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r>
      <w:tr>
        <w:tblPrEx>
          <w:tblCellMar>
            <w:top w:w="0" w:type="dxa"/>
            <w:left w:w="108" w:type="dxa"/>
            <w:bottom w:w="0" w:type="dxa"/>
            <w:right w:w="108" w:type="dxa"/>
          </w:tblCellMar>
        </w:tblPrEx>
        <w:trPr>
          <w:trHeight w:val="20" w:hRule="atLeast"/>
        </w:trPr>
        <w:tc>
          <w:tcPr>
            <w:tcW w:w="46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6</w:t>
            </w:r>
          </w:p>
        </w:tc>
        <w:tc>
          <w:tcPr>
            <w:tcW w:w="140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内网磁盘阵列</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1、集中式存储，国产化品牌存储厂商，自主研发产品，非OEM或者贴牌；</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2、支持控制器横向扩展，采用SAN和NAS统一集成的控制器架构；</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3、★为响应国产化要求，要求存储底层操作系统内核采用国产自主研发的操作系统，不得采用国外开源社区操作系统和国外操作系统，提供命令行查询截图证明并加盖厂商有效印章（截图要求显示操作系统内核版本）；</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4、★配置≥2个存储控制器，配置≥2颗高性能处理器，处理器总主频（处理器数量*处理器核数*处理器基准主频）≥160GHz，提供证明材料并加盖厂商有效印章；</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5、缓存容量：总缓存容量配置≥256GB，单控制器缓存容量≥128GB（不含任何性能加速模块、FlashCache、PAM卡，SSD Cache、SCM等）；</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6、硬盘：配置≥13块7.68TB NVMe SSD硬盘，配置≥50块6TB NL SAS硬盘，单控制框最大支持磁盘插槽个数≥800；</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7、接口：配置≥8*1GE电口，配置≥8*10GE光口（含光模块）；</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8、支持RAID 5、RAID 6，支持同一个RAID组内任意三块硬盘同时失效，数据不丢失，业务不中断，提供证明材料；</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9、配置QoS、缓存加速、自动精简配置、在线重复数据删除、数据压缩、快照、克隆等功能；</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10、支持缓存保护，并配置BBU电池保护模组，保证掉电时Cache数据可安全写入Flash或硬盘永久保存；</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11、支持存储双活功能，为保障系统效率，依靠存储自身引擎实现，不采用虚拟网关方式实现；</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12、支持硬盘、电源模块、接口不停机热插拔；</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13、具备多路径软件，支持链路的负载均衡、路径故障自动切换与回切、链路检测和隔离；</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14、配置中文图形化管理软件平台，配置性能监控软件功能；</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15、★支持数据加密功能，可以通过与外置密管的配合实现数据的加密，数据加密模块通过国家密码管理局商用密码产品认证，提供证书复印件并加盖数据加密模块厂商或其母公司的公章；</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16、资质要求：设备厂商具有质量管理体系（ISO9001）、信息安全管理体系（ISO27001）、供应链安全管理体系（ISO28000）认证，提供证书复印件证明并加盖厂商有效印章；</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17、三年原厂质保。</w:t>
            </w:r>
          </w:p>
        </w:tc>
        <w:tc>
          <w:tcPr>
            <w:tcW w:w="4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台</w:t>
            </w: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r>
      <w:tr>
        <w:tblPrEx>
          <w:tblCellMar>
            <w:top w:w="0" w:type="dxa"/>
            <w:left w:w="108" w:type="dxa"/>
            <w:bottom w:w="0" w:type="dxa"/>
            <w:right w:w="108" w:type="dxa"/>
          </w:tblCellMar>
        </w:tblPrEx>
        <w:trPr>
          <w:trHeight w:val="794" w:hRule="atLeast"/>
        </w:trPr>
        <w:tc>
          <w:tcPr>
            <w:tcW w:w="46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7</w:t>
            </w:r>
          </w:p>
        </w:tc>
        <w:tc>
          <w:tcPr>
            <w:tcW w:w="140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存储交换机</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1、交换容量≥2.5Tbps，包转发率≥1200Mpps；</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2、支持24个万兆SFP+端口，6个40/100G QSFP28端口，支持可插拔的双电源；</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3、支持静态路由、RIP V1/2、OSPF、IS-IS、BGP、RIPng、OSPFv3、BGP4+、ISISv6；</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4、支持纵向虚拟化，作为父节点管理纵向子节点、作为纵向子节点零配置即插即用；</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5、支持VxLAN功能，支持VxLAN二层网关、三层网关，支持BGP EVPN，实现自动建立隧道；</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6、★为响应国产化要求，要求设备采用国产自研的主控芯片，提供第三方权威检测报告并加盖厂商有效印章；</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7、资质要求：设备厂商具有质量管理体系（ISO9001）、信息安全管理体系（ISO27001）、供应链安全管理体系（ISO28000）认证，提供证书复印件证明并加盖厂商有效印章；</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8、实配：双电源，万兆多模光模块≥20个，三年原厂质保。</w:t>
            </w:r>
          </w:p>
        </w:tc>
        <w:tc>
          <w:tcPr>
            <w:tcW w:w="4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台</w:t>
            </w: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r>
      <w:tr>
        <w:tblPrEx>
          <w:tblCellMar>
            <w:top w:w="0" w:type="dxa"/>
            <w:left w:w="108" w:type="dxa"/>
            <w:bottom w:w="0" w:type="dxa"/>
            <w:right w:w="108" w:type="dxa"/>
          </w:tblCellMar>
        </w:tblPrEx>
        <w:trPr>
          <w:trHeight w:val="20" w:hRule="atLeast"/>
        </w:trPr>
        <w:tc>
          <w:tcPr>
            <w:tcW w:w="46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8</w:t>
            </w:r>
          </w:p>
        </w:tc>
        <w:tc>
          <w:tcPr>
            <w:tcW w:w="140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数据备份系统</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1、国内知名品牌，拥有自主知识产权，以保障后续产品的连续性，提供软件著作权登记证书复印件证明并加盖厂商有效印章；</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2、软硬件一体化架构，集备份管理软件、备份服务器和备份存储于一体，支持横向扩展；</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3、★配置≥2颗高性能处理器，处理器总主频（处理器数量*处理器核数*处理器基准主频）≥240GHz，提供证明材料并加盖厂商有效印章；</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4、配置≥512GB DDR4内存；</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5、配置≥6块1.92TB SSD硬盘，配置≥19块8TB NL SAS硬盘，支持硬盘、电源、接口卡热插拔；</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6、★提供硬盘槽位≥48个，支持同一个RAID组内任意三块硬盘同时失效，数据不丢失，业务不中断，提供证明材料并加盖厂商有效印章；</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7、后端物理容量授权≥150TB，且不限制备份客户端数量、重删、备份恢复等功能；</w:t>
            </w:r>
            <w:r>
              <w:rPr>
                <w:rFonts w:hint="eastAsia" w:ascii="宋体" w:hAnsi="宋体" w:eastAsia="宋体" w:cs="宋体"/>
                <w:color w:val="000000"/>
                <w:sz w:val="18"/>
                <w:szCs w:val="18"/>
                <w:lang w:eastAsia="zh-CN"/>
              </w:rPr>
              <w:tab/>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8、配置≥2个GE电口，配置≥16个10GE光口（含光模块)，支持10GE/25GE接口；</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9、★主板、电源组件均≥两份，风扇≥6个，任一组件故障，业务不中断，提供证明材料并加盖厂商有效印章；</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10、支持对Oracle、MySQL、SQL Server、GaussDB、OpenGauss、Postgre SQL、达梦、KingBase、DB2、SAP HANA、GoldenDB数据库进行在线备份保护，备份任务配置过程全部图形化操作；</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11、支持永久增量备份功能，合成副本支持数据重复删除、备份副本异地复制、备份副本长期保留到对象和带库功能，支持备份副本即时挂载和恢复；</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12、支持主流虚拟化厂商的虚拟机全量备份，永久增量备份，支持副本即时挂载恢复，备份任务配置过程全部图形化操作，无需编写脚本；</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13、支持重删压缩功能，支持源端重删、后端重删、复制链路重删；</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14、支持按备份任务细粒度复制，支持设置立即复制和周期性复制，支持设置复制副本保留时长（支持永久保留、按年/月/周/天保留）；</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15、支持数据备份的集中监控和统一管理，通过单一图形界面实现对备份任务、备份资源、告警信息等的统一管理，实现对多套备份设备备份任务；</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16、配置中文图形化管理界面，配置图形化巡检工具，备份系统软件和客户端软件支持图形化升级，支持通过多个客户端软件进行批量升级；</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17、★支持数据加密功能，可以通过与外置密管的配合实现数据的加密，数据加密模块通过国家密码管理局商用密码产品认证，提供证书复印件并加盖数据加密模块厂商或其母公司的公章；</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18、资质要求：设备厂商具有质量管理体系（ISO9001）、信息安全管理体系（ISO27001）、供应链安全管理体系（ISO28000）认证，提供证书复印件证明并加盖厂商有效印章；</w:t>
            </w:r>
          </w:p>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19、三年原厂质保。</w:t>
            </w:r>
          </w:p>
        </w:tc>
        <w:tc>
          <w:tcPr>
            <w:tcW w:w="4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台</w:t>
            </w: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r>
      <w:tr>
        <w:tblPrEx>
          <w:tblCellMar>
            <w:top w:w="0" w:type="dxa"/>
            <w:left w:w="108" w:type="dxa"/>
            <w:bottom w:w="0" w:type="dxa"/>
            <w:right w:w="108" w:type="dxa"/>
          </w:tblCellMar>
        </w:tblPrEx>
        <w:trPr>
          <w:trHeight w:val="20" w:hRule="atLeast"/>
        </w:trPr>
        <w:tc>
          <w:tcPr>
            <w:tcW w:w="46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9</w:t>
            </w:r>
          </w:p>
        </w:tc>
        <w:tc>
          <w:tcPr>
            <w:tcW w:w="140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辅材</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rPr>
            </w:pPr>
            <w:r>
              <w:rPr>
                <w:rFonts w:hint="eastAsia" w:ascii="宋体" w:hAnsi="宋体" w:eastAsia="宋体" w:cs="宋体"/>
                <w:color w:val="000000"/>
                <w:sz w:val="18"/>
                <w:szCs w:val="18"/>
              </w:rPr>
              <w:t>所需线缆、辅材等</w:t>
            </w:r>
          </w:p>
        </w:tc>
        <w:tc>
          <w:tcPr>
            <w:tcW w:w="4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项</w:t>
            </w:r>
          </w:p>
        </w:tc>
        <w:tc>
          <w:tcPr>
            <w:tcW w:w="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1</w:t>
            </w:r>
          </w:p>
        </w:tc>
      </w:tr>
      <w:tr>
        <w:tblPrEx>
          <w:tblCellMar>
            <w:top w:w="0" w:type="dxa"/>
            <w:left w:w="108" w:type="dxa"/>
            <w:bottom w:w="0" w:type="dxa"/>
            <w:right w:w="108" w:type="dxa"/>
          </w:tblCellMar>
        </w:tblPrEx>
        <w:trPr>
          <w:trHeight w:val="283" w:hRule="atLeast"/>
        </w:trPr>
        <w:tc>
          <w:tcPr>
            <w:tcW w:w="924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4.机房建设</w:t>
            </w:r>
          </w:p>
        </w:tc>
      </w:tr>
      <w:tr>
        <w:tblPrEx>
          <w:tblCellMar>
            <w:top w:w="0" w:type="dxa"/>
            <w:left w:w="108" w:type="dxa"/>
            <w:bottom w:w="0" w:type="dxa"/>
            <w:right w:w="108" w:type="dxa"/>
          </w:tblCellMar>
        </w:tblPrEx>
        <w:trPr>
          <w:trHeight w:val="20" w:hRule="atLeast"/>
        </w:trPr>
        <w:tc>
          <w:tcPr>
            <w:tcW w:w="4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1</w:t>
            </w:r>
          </w:p>
        </w:tc>
        <w:tc>
          <w:tcPr>
            <w:tcW w:w="140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服务器机柜</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rPr>
            </w:pPr>
            <w:r>
              <w:rPr>
                <w:rFonts w:hint="eastAsia" w:ascii="宋体" w:hAnsi="宋体" w:eastAsia="宋体" w:cs="宋体"/>
                <w:color w:val="000000"/>
                <w:sz w:val="18"/>
                <w:szCs w:val="18"/>
              </w:rPr>
              <w:t>标准42U机柜，尺寸：600mm×1200mm×2000mm；机柜自带两条PDU，输出端口GB20*10A+GB4*16A；</w:t>
            </w:r>
          </w:p>
        </w:tc>
        <w:tc>
          <w:tcPr>
            <w:tcW w:w="4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台</w:t>
            </w:r>
          </w:p>
        </w:tc>
        <w:tc>
          <w:tcPr>
            <w:tcW w:w="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2</w:t>
            </w:r>
          </w:p>
        </w:tc>
      </w:tr>
      <w:tr>
        <w:tblPrEx>
          <w:tblCellMar>
            <w:top w:w="0" w:type="dxa"/>
            <w:left w:w="108" w:type="dxa"/>
            <w:bottom w:w="0" w:type="dxa"/>
            <w:right w:w="108" w:type="dxa"/>
          </w:tblCellMar>
        </w:tblPrEx>
        <w:trPr>
          <w:trHeight w:val="20" w:hRule="atLeast"/>
        </w:trPr>
        <w:tc>
          <w:tcPr>
            <w:tcW w:w="4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2</w:t>
            </w:r>
          </w:p>
        </w:tc>
        <w:tc>
          <w:tcPr>
            <w:tcW w:w="140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理线托盘</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理线托盘-1U-从机柜正面向后理线,带毛刷</w:t>
            </w:r>
          </w:p>
        </w:tc>
        <w:tc>
          <w:tcPr>
            <w:tcW w:w="4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台</w:t>
            </w:r>
          </w:p>
        </w:tc>
        <w:tc>
          <w:tcPr>
            <w:tcW w:w="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1</w:t>
            </w:r>
          </w:p>
        </w:tc>
      </w:tr>
      <w:tr>
        <w:tblPrEx>
          <w:tblCellMar>
            <w:top w:w="0" w:type="dxa"/>
            <w:left w:w="108" w:type="dxa"/>
            <w:bottom w:w="0" w:type="dxa"/>
            <w:right w:w="108" w:type="dxa"/>
          </w:tblCellMar>
        </w:tblPrEx>
        <w:trPr>
          <w:trHeight w:val="20" w:hRule="atLeast"/>
        </w:trPr>
        <w:tc>
          <w:tcPr>
            <w:tcW w:w="4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3</w:t>
            </w:r>
          </w:p>
        </w:tc>
        <w:tc>
          <w:tcPr>
            <w:tcW w:w="140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线架</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线架</w:t>
            </w:r>
            <w:r>
              <w:rPr>
                <w:rFonts w:hint="eastAsia" w:ascii="宋体" w:hAnsi="宋体" w:eastAsia="宋体" w:cs="宋体"/>
                <w:sz w:val="18"/>
                <w:szCs w:val="18"/>
                <w:lang w:eastAsia="zh-CN"/>
              </w:rPr>
              <w:t>-用于绕柱走线场景-1.2m-包含1组强弱电线架</w:t>
            </w:r>
          </w:p>
        </w:tc>
        <w:tc>
          <w:tcPr>
            <w:tcW w:w="4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个</w:t>
            </w:r>
          </w:p>
        </w:tc>
        <w:tc>
          <w:tcPr>
            <w:tcW w:w="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1</w:t>
            </w:r>
          </w:p>
        </w:tc>
      </w:tr>
      <w:tr>
        <w:tblPrEx>
          <w:tblCellMar>
            <w:top w:w="0" w:type="dxa"/>
            <w:left w:w="108" w:type="dxa"/>
            <w:bottom w:w="0" w:type="dxa"/>
            <w:right w:w="108" w:type="dxa"/>
          </w:tblCellMar>
        </w:tblPrEx>
        <w:trPr>
          <w:trHeight w:val="20" w:hRule="atLeast"/>
        </w:trPr>
        <w:tc>
          <w:tcPr>
            <w:tcW w:w="4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4</w:t>
            </w:r>
          </w:p>
        </w:tc>
        <w:tc>
          <w:tcPr>
            <w:tcW w:w="140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5P空调</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rPr>
            </w:pPr>
            <w:r>
              <w:rPr>
                <w:rFonts w:hint="eastAsia" w:ascii="宋体" w:hAnsi="宋体" w:eastAsia="宋体" w:cs="宋体"/>
                <w:color w:val="000000"/>
                <w:sz w:val="18"/>
                <w:szCs w:val="18"/>
              </w:rPr>
              <w:t>5P机房专用空调</w:t>
            </w:r>
          </w:p>
        </w:tc>
        <w:tc>
          <w:tcPr>
            <w:tcW w:w="4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台</w:t>
            </w:r>
          </w:p>
        </w:tc>
        <w:tc>
          <w:tcPr>
            <w:tcW w:w="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18"/>
                <w:szCs w:val="18"/>
              </w:rPr>
            </w:pPr>
            <w:r>
              <w:rPr>
                <w:rFonts w:hint="eastAsia" w:ascii="宋体" w:hAnsi="宋体" w:eastAsia="宋体" w:cs="宋体"/>
                <w:sz w:val="18"/>
                <w:szCs w:val="18"/>
              </w:rPr>
              <w:t>2</w:t>
            </w:r>
          </w:p>
        </w:tc>
      </w:tr>
      <w:tr>
        <w:tblPrEx>
          <w:tblCellMar>
            <w:top w:w="0" w:type="dxa"/>
            <w:left w:w="108" w:type="dxa"/>
            <w:bottom w:w="0" w:type="dxa"/>
            <w:right w:w="108" w:type="dxa"/>
          </w:tblCellMar>
        </w:tblPrEx>
        <w:trPr>
          <w:trHeight w:val="20" w:hRule="atLeast"/>
        </w:trPr>
        <w:tc>
          <w:tcPr>
            <w:tcW w:w="4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5</w:t>
            </w:r>
          </w:p>
        </w:tc>
        <w:tc>
          <w:tcPr>
            <w:tcW w:w="140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空调电缆</w:t>
            </w:r>
          </w:p>
        </w:tc>
        <w:tc>
          <w:tcPr>
            <w:tcW w:w="6479"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电源线-ZR-VVR-5x10mm^2</w:t>
            </w:r>
          </w:p>
        </w:tc>
        <w:tc>
          <w:tcPr>
            <w:tcW w:w="4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米</w:t>
            </w:r>
          </w:p>
        </w:tc>
        <w:tc>
          <w:tcPr>
            <w:tcW w:w="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40</w:t>
            </w:r>
          </w:p>
        </w:tc>
      </w:tr>
      <w:tr>
        <w:tblPrEx>
          <w:tblCellMar>
            <w:top w:w="0" w:type="dxa"/>
            <w:left w:w="108" w:type="dxa"/>
            <w:bottom w:w="0" w:type="dxa"/>
            <w:right w:w="108" w:type="dxa"/>
          </w:tblCellMar>
        </w:tblPrEx>
        <w:trPr>
          <w:trHeight w:val="20" w:hRule="atLeast"/>
        </w:trPr>
        <w:tc>
          <w:tcPr>
            <w:tcW w:w="4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6</w:t>
            </w:r>
          </w:p>
        </w:tc>
        <w:tc>
          <w:tcPr>
            <w:tcW w:w="140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空调铜管</w:t>
            </w:r>
          </w:p>
        </w:tc>
        <w:tc>
          <w:tcPr>
            <w:tcW w:w="6479"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 xml:space="preserve">液管 </w:t>
            </w:r>
            <w:r>
              <w:rPr>
                <w:rFonts w:hint="eastAsia" w:ascii="宋体" w:hAnsi="宋体" w:eastAsia="宋体" w:cs="宋体"/>
                <w:color w:val="000000"/>
                <w:sz w:val="18"/>
                <w:szCs w:val="18"/>
              </w:rPr>
              <w:t>φ</w:t>
            </w:r>
            <w:r>
              <w:rPr>
                <w:rFonts w:hint="eastAsia" w:ascii="宋体" w:hAnsi="宋体" w:eastAsia="宋体" w:cs="宋体"/>
                <w:color w:val="000000"/>
                <w:sz w:val="18"/>
                <w:szCs w:val="18"/>
                <w:lang w:eastAsia="zh-CN"/>
              </w:rPr>
              <w:t xml:space="preserve">16；气管 </w:t>
            </w:r>
            <w:r>
              <w:rPr>
                <w:rFonts w:hint="eastAsia" w:ascii="宋体" w:hAnsi="宋体" w:eastAsia="宋体" w:cs="宋体"/>
                <w:color w:val="000000"/>
                <w:sz w:val="18"/>
                <w:szCs w:val="18"/>
              </w:rPr>
              <w:t>φ</w:t>
            </w:r>
            <w:r>
              <w:rPr>
                <w:rFonts w:hint="eastAsia" w:ascii="宋体" w:hAnsi="宋体" w:eastAsia="宋体" w:cs="宋体"/>
                <w:color w:val="000000"/>
                <w:sz w:val="18"/>
                <w:szCs w:val="18"/>
                <w:lang w:eastAsia="zh-CN"/>
              </w:rPr>
              <w:t>22  R410专用铜管 含直接 弯头 集油弯等</w:t>
            </w:r>
          </w:p>
        </w:tc>
        <w:tc>
          <w:tcPr>
            <w:tcW w:w="4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个</w:t>
            </w:r>
          </w:p>
        </w:tc>
        <w:tc>
          <w:tcPr>
            <w:tcW w:w="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80</w:t>
            </w:r>
          </w:p>
        </w:tc>
      </w:tr>
      <w:tr>
        <w:tblPrEx>
          <w:tblCellMar>
            <w:top w:w="0" w:type="dxa"/>
            <w:left w:w="108" w:type="dxa"/>
            <w:bottom w:w="0" w:type="dxa"/>
            <w:right w:w="108" w:type="dxa"/>
          </w:tblCellMar>
        </w:tblPrEx>
        <w:trPr>
          <w:trHeight w:val="20" w:hRule="atLeast"/>
        </w:trPr>
        <w:tc>
          <w:tcPr>
            <w:tcW w:w="4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7</w:t>
            </w:r>
          </w:p>
        </w:tc>
        <w:tc>
          <w:tcPr>
            <w:tcW w:w="140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辅材</w:t>
            </w:r>
          </w:p>
        </w:tc>
        <w:tc>
          <w:tcPr>
            <w:tcW w:w="64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含运费、搬运、穿墙、打洞、安装、调试、开机、焊丝、保温套、扎带、空调给排水、接地线等</w:t>
            </w:r>
          </w:p>
        </w:tc>
        <w:tc>
          <w:tcPr>
            <w:tcW w:w="4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r>
              <w:rPr>
                <w:rFonts w:hint="eastAsia" w:ascii="宋体" w:hAnsi="宋体" w:eastAsia="宋体" w:cs="宋体"/>
                <w:sz w:val="18"/>
                <w:szCs w:val="18"/>
              </w:rPr>
              <w:t>项</w:t>
            </w:r>
          </w:p>
        </w:tc>
        <w:tc>
          <w:tcPr>
            <w:tcW w:w="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r>
    </w:tbl>
    <w:p>
      <w:pPr>
        <w:pStyle w:val="18"/>
        <w:spacing w:before="0" w:line="360" w:lineRule="auto"/>
        <w:ind w:left="0"/>
        <w:rPr>
          <w:rFonts w:hint="eastAsia"/>
          <w:b w:val="0"/>
          <w:bCs w:val="0"/>
          <w:sz w:val="20"/>
          <w:szCs w:val="20"/>
          <w:lang w:eastAsia="zh-CN"/>
        </w:rPr>
      </w:pPr>
    </w:p>
    <w:p>
      <w:pPr>
        <w:pStyle w:val="18"/>
        <w:spacing w:before="0" w:line="360" w:lineRule="auto"/>
        <w:ind w:left="0"/>
        <w:rPr>
          <w:rFonts w:hint="eastAsia"/>
          <w:b w:val="0"/>
          <w:bCs w:val="0"/>
          <w:sz w:val="28"/>
          <w:szCs w:val="28"/>
          <w:lang w:eastAsia="zh-CN"/>
        </w:rPr>
      </w:pPr>
      <w:r>
        <w:rPr>
          <w:rFonts w:hint="eastAsia"/>
          <w:b w:val="0"/>
          <w:bCs w:val="0"/>
          <w:sz w:val="28"/>
          <w:szCs w:val="28"/>
          <w:lang w:val="en-US" w:eastAsia="zh-CN"/>
        </w:rPr>
        <w:t>4.2.3</w:t>
      </w:r>
      <w:r>
        <w:rPr>
          <w:rFonts w:hint="eastAsia"/>
          <w:b w:val="0"/>
          <w:bCs w:val="0"/>
          <w:sz w:val="28"/>
          <w:szCs w:val="28"/>
          <w:lang w:eastAsia="zh-CN"/>
        </w:rPr>
        <w:t>项目实施及售后服务要求</w:t>
      </w:r>
    </w:p>
    <w:p>
      <w:pPr>
        <w:pStyle w:val="18"/>
        <w:spacing w:before="0" w:line="360" w:lineRule="auto"/>
        <w:ind w:left="0"/>
        <w:rPr>
          <w:rFonts w:hint="eastAsia"/>
          <w:b w:val="0"/>
          <w:bCs w:val="0"/>
          <w:sz w:val="28"/>
          <w:szCs w:val="28"/>
          <w:lang w:eastAsia="zh-CN"/>
        </w:rPr>
      </w:pPr>
      <w:r>
        <w:rPr>
          <w:rFonts w:hint="eastAsia"/>
          <w:b w:val="0"/>
          <w:bCs w:val="0"/>
          <w:sz w:val="28"/>
          <w:szCs w:val="28"/>
          <w:lang w:val="en-US" w:eastAsia="zh-CN"/>
        </w:rPr>
        <w:t>4.2.3.1</w:t>
      </w:r>
      <w:r>
        <w:rPr>
          <w:rFonts w:hint="eastAsia"/>
          <w:b w:val="0"/>
          <w:bCs w:val="0"/>
          <w:sz w:val="28"/>
          <w:szCs w:val="28"/>
          <w:lang w:eastAsia="zh-CN"/>
        </w:rPr>
        <w:t>项目进度要求</w:t>
      </w:r>
    </w:p>
    <w:p>
      <w:pPr>
        <w:pStyle w:val="18"/>
        <w:spacing w:before="0" w:line="360" w:lineRule="auto"/>
        <w:ind w:left="0"/>
        <w:rPr>
          <w:rFonts w:hint="eastAsia"/>
          <w:b w:val="0"/>
          <w:bCs w:val="0"/>
          <w:sz w:val="28"/>
          <w:szCs w:val="28"/>
          <w:lang w:eastAsia="zh-CN"/>
        </w:rPr>
      </w:pPr>
      <w:r>
        <w:rPr>
          <w:rFonts w:hint="eastAsia"/>
          <w:b w:val="0"/>
          <w:bCs w:val="0"/>
          <w:sz w:val="28"/>
          <w:szCs w:val="28"/>
          <w:lang w:eastAsia="zh-CN"/>
        </w:rPr>
        <w:t>运维服务：202</w:t>
      </w:r>
      <w:r>
        <w:rPr>
          <w:rFonts w:hint="eastAsia"/>
          <w:b w:val="0"/>
          <w:bCs w:val="0"/>
          <w:sz w:val="28"/>
          <w:szCs w:val="28"/>
          <w:lang w:val="en-US" w:eastAsia="zh-CN"/>
        </w:rPr>
        <w:t>4</w:t>
      </w:r>
      <w:r>
        <w:rPr>
          <w:rFonts w:hint="eastAsia"/>
          <w:b w:val="0"/>
          <w:bCs w:val="0"/>
          <w:sz w:val="28"/>
          <w:szCs w:val="28"/>
          <w:lang w:eastAsia="zh-CN"/>
        </w:rPr>
        <w:t>年至202</w:t>
      </w:r>
      <w:r>
        <w:rPr>
          <w:rFonts w:hint="eastAsia"/>
          <w:b w:val="0"/>
          <w:bCs w:val="0"/>
          <w:sz w:val="28"/>
          <w:szCs w:val="28"/>
          <w:lang w:val="en-US" w:eastAsia="zh-CN"/>
        </w:rPr>
        <w:t>6</w:t>
      </w:r>
      <w:r>
        <w:rPr>
          <w:rFonts w:hint="eastAsia"/>
          <w:b w:val="0"/>
          <w:bCs w:val="0"/>
          <w:sz w:val="28"/>
          <w:szCs w:val="28"/>
          <w:lang w:eastAsia="zh-CN"/>
        </w:rPr>
        <w:t>共计3年。以项目验收时间起始日期计算。</w:t>
      </w:r>
    </w:p>
    <w:p>
      <w:pPr>
        <w:pStyle w:val="18"/>
        <w:spacing w:before="0" w:line="360" w:lineRule="auto"/>
        <w:ind w:left="0"/>
        <w:rPr>
          <w:rFonts w:hint="eastAsia"/>
          <w:b w:val="0"/>
          <w:bCs w:val="0"/>
          <w:sz w:val="28"/>
          <w:szCs w:val="28"/>
          <w:lang w:eastAsia="zh-CN"/>
        </w:rPr>
      </w:pPr>
      <w:r>
        <w:rPr>
          <w:rFonts w:hint="eastAsia"/>
          <w:b w:val="0"/>
          <w:bCs w:val="0"/>
          <w:sz w:val="28"/>
          <w:szCs w:val="28"/>
          <w:lang w:eastAsia="zh-CN"/>
        </w:rPr>
        <w:t>硬件供货期：30天。</w:t>
      </w:r>
    </w:p>
    <w:p>
      <w:pPr>
        <w:pStyle w:val="18"/>
        <w:spacing w:before="0" w:line="360" w:lineRule="auto"/>
        <w:ind w:left="0"/>
        <w:rPr>
          <w:rFonts w:hint="eastAsia"/>
          <w:b w:val="0"/>
          <w:bCs w:val="0"/>
          <w:sz w:val="28"/>
          <w:szCs w:val="28"/>
          <w:lang w:eastAsia="zh-CN"/>
        </w:rPr>
      </w:pPr>
      <w:r>
        <w:rPr>
          <w:rFonts w:hint="eastAsia"/>
          <w:b w:val="0"/>
          <w:bCs w:val="0"/>
          <w:sz w:val="28"/>
          <w:szCs w:val="28"/>
          <w:lang w:val="en-US" w:eastAsia="zh-CN"/>
        </w:rPr>
        <w:t>4.2.3.2</w:t>
      </w:r>
      <w:r>
        <w:rPr>
          <w:rFonts w:hint="eastAsia"/>
          <w:b w:val="0"/>
          <w:bCs w:val="0"/>
          <w:sz w:val="28"/>
          <w:szCs w:val="28"/>
          <w:lang w:eastAsia="zh-CN"/>
        </w:rPr>
        <w:t>系统集成实施要求</w:t>
      </w:r>
    </w:p>
    <w:p>
      <w:pPr>
        <w:pStyle w:val="18"/>
        <w:spacing w:before="0" w:line="360" w:lineRule="auto"/>
        <w:ind w:left="0"/>
        <w:rPr>
          <w:rFonts w:hint="eastAsia"/>
          <w:b w:val="0"/>
          <w:bCs w:val="0"/>
          <w:sz w:val="28"/>
          <w:szCs w:val="28"/>
          <w:lang w:eastAsia="zh-CN"/>
        </w:rPr>
      </w:pPr>
      <w:r>
        <w:rPr>
          <w:rFonts w:hint="eastAsia"/>
          <w:b w:val="0"/>
          <w:bCs w:val="0"/>
          <w:sz w:val="28"/>
          <w:szCs w:val="28"/>
          <w:lang w:eastAsia="zh-CN"/>
        </w:rPr>
        <w:t>1、项目系统集成实施的进度计划及控制</w:t>
      </w:r>
    </w:p>
    <w:p>
      <w:pPr>
        <w:pStyle w:val="18"/>
        <w:spacing w:before="0" w:line="360" w:lineRule="auto"/>
        <w:ind w:left="0"/>
        <w:rPr>
          <w:rFonts w:hint="eastAsia"/>
          <w:b w:val="0"/>
          <w:bCs w:val="0"/>
          <w:sz w:val="28"/>
          <w:szCs w:val="28"/>
          <w:lang w:eastAsia="zh-CN"/>
        </w:rPr>
      </w:pPr>
      <w:r>
        <w:rPr>
          <w:rFonts w:hint="eastAsia"/>
          <w:b w:val="0"/>
          <w:bCs w:val="0"/>
          <w:sz w:val="28"/>
          <w:szCs w:val="28"/>
          <w:lang w:eastAsia="zh-CN"/>
        </w:rPr>
        <w:t>项目实施进度要求：要求投标人根据项目建设单位的实际情况，科学合理的定出集成实施的时间表。</w:t>
      </w:r>
    </w:p>
    <w:p>
      <w:pPr>
        <w:pStyle w:val="18"/>
        <w:spacing w:before="0" w:line="360" w:lineRule="auto"/>
        <w:ind w:left="0"/>
        <w:rPr>
          <w:rFonts w:hint="eastAsia"/>
          <w:b w:val="0"/>
          <w:bCs w:val="0"/>
          <w:sz w:val="28"/>
          <w:szCs w:val="28"/>
          <w:lang w:eastAsia="zh-CN"/>
        </w:rPr>
      </w:pPr>
      <w:r>
        <w:rPr>
          <w:rFonts w:hint="eastAsia"/>
          <w:b w:val="0"/>
          <w:bCs w:val="0"/>
          <w:sz w:val="28"/>
          <w:szCs w:val="28"/>
          <w:lang w:eastAsia="zh-CN"/>
        </w:rPr>
        <w:t>对项目实施的各个阶段：需求分析阶段、系统配置、系统集成实施准备阶段、系统培训阶段、系统部署阶段、系统初验测试阶段、系统试运行阶段、系统终验阶段的进度做出详细的计划。</w:t>
      </w:r>
    </w:p>
    <w:p>
      <w:pPr>
        <w:pStyle w:val="18"/>
        <w:spacing w:before="0" w:line="360" w:lineRule="auto"/>
        <w:ind w:left="0"/>
        <w:rPr>
          <w:rFonts w:hint="eastAsia"/>
          <w:b w:val="0"/>
          <w:bCs w:val="0"/>
          <w:sz w:val="28"/>
          <w:szCs w:val="28"/>
          <w:lang w:eastAsia="zh-CN"/>
        </w:rPr>
      </w:pPr>
      <w:r>
        <w:rPr>
          <w:rFonts w:hint="eastAsia"/>
          <w:b w:val="0"/>
          <w:bCs w:val="0"/>
          <w:sz w:val="28"/>
          <w:szCs w:val="28"/>
          <w:lang w:eastAsia="zh-CN"/>
        </w:rPr>
        <w:t>对项目实施的进度计划及控制中各阶段中投标人所要做的工作及保障措施做出详细安排。</w:t>
      </w:r>
    </w:p>
    <w:p>
      <w:pPr>
        <w:pStyle w:val="18"/>
        <w:spacing w:before="0" w:line="360" w:lineRule="auto"/>
        <w:ind w:left="0"/>
        <w:rPr>
          <w:rFonts w:hint="eastAsia"/>
          <w:b w:val="0"/>
          <w:bCs w:val="0"/>
          <w:sz w:val="28"/>
          <w:szCs w:val="28"/>
          <w:lang w:eastAsia="zh-CN"/>
        </w:rPr>
      </w:pPr>
      <w:r>
        <w:rPr>
          <w:rFonts w:hint="eastAsia"/>
          <w:b w:val="0"/>
          <w:bCs w:val="0"/>
          <w:sz w:val="28"/>
          <w:szCs w:val="28"/>
          <w:lang w:eastAsia="zh-CN"/>
        </w:rPr>
        <w:t>2、全面的项目质量管理体系</w:t>
      </w:r>
    </w:p>
    <w:p>
      <w:pPr>
        <w:pStyle w:val="18"/>
        <w:spacing w:before="0" w:line="360" w:lineRule="auto"/>
        <w:ind w:left="0"/>
        <w:rPr>
          <w:rFonts w:hint="eastAsia"/>
          <w:b w:val="0"/>
          <w:bCs w:val="0"/>
          <w:sz w:val="28"/>
          <w:szCs w:val="28"/>
          <w:lang w:eastAsia="zh-CN"/>
        </w:rPr>
      </w:pPr>
      <w:r>
        <w:rPr>
          <w:rFonts w:hint="eastAsia"/>
          <w:b w:val="0"/>
          <w:bCs w:val="0"/>
          <w:sz w:val="28"/>
          <w:szCs w:val="28"/>
          <w:lang w:eastAsia="zh-CN"/>
        </w:rPr>
        <w:t>投标人须提出项目实施中的集成技术设计、系统开发、安装调试和项目售后服务的全过程质量管理及控制提出具体措施，并提出质量保障目标的承诺。</w:t>
      </w:r>
    </w:p>
    <w:p>
      <w:pPr>
        <w:pStyle w:val="18"/>
        <w:spacing w:before="0" w:line="360" w:lineRule="auto"/>
        <w:ind w:left="0"/>
        <w:rPr>
          <w:rFonts w:hint="eastAsia"/>
          <w:b w:val="0"/>
          <w:bCs w:val="0"/>
          <w:sz w:val="28"/>
          <w:szCs w:val="28"/>
          <w:lang w:eastAsia="zh-CN"/>
        </w:rPr>
      </w:pPr>
      <w:r>
        <w:rPr>
          <w:rFonts w:hint="eastAsia"/>
          <w:b w:val="0"/>
          <w:bCs w:val="0"/>
          <w:sz w:val="28"/>
          <w:szCs w:val="28"/>
          <w:lang w:eastAsia="zh-CN"/>
        </w:rPr>
        <w:t>要求投标人对本项目的工程实施进行风险控制。</w:t>
      </w:r>
    </w:p>
    <w:p>
      <w:pPr>
        <w:pStyle w:val="18"/>
        <w:spacing w:before="0" w:line="360" w:lineRule="auto"/>
        <w:ind w:left="0"/>
        <w:rPr>
          <w:rFonts w:hint="eastAsia"/>
          <w:b w:val="0"/>
          <w:bCs w:val="0"/>
          <w:sz w:val="28"/>
          <w:szCs w:val="28"/>
          <w:lang w:eastAsia="zh-CN"/>
        </w:rPr>
      </w:pPr>
      <w:r>
        <w:rPr>
          <w:rFonts w:hint="eastAsia"/>
          <w:b w:val="0"/>
          <w:bCs w:val="0"/>
          <w:sz w:val="28"/>
          <w:szCs w:val="28"/>
          <w:lang w:val="en-US" w:eastAsia="zh-CN"/>
        </w:rPr>
        <w:t>4.2.3.3</w:t>
      </w:r>
      <w:r>
        <w:rPr>
          <w:rFonts w:hint="eastAsia"/>
          <w:b w:val="0"/>
          <w:bCs w:val="0"/>
          <w:sz w:val="28"/>
          <w:szCs w:val="28"/>
          <w:lang w:eastAsia="zh-CN"/>
        </w:rPr>
        <w:t>项目验收要求</w:t>
      </w:r>
    </w:p>
    <w:p>
      <w:pPr>
        <w:pStyle w:val="18"/>
        <w:spacing w:before="0" w:line="360" w:lineRule="auto"/>
        <w:ind w:left="0"/>
        <w:rPr>
          <w:rFonts w:hint="eastAsia"/>
          <w:b w:val="0"/>
          <w:bCs w:val="0"/>
          <w:sz w:val="28"/>
          <w:szCs w:val="28"/>
          <w:lang w:eastAsia="zh-CN"/>
        </w:rPr>
      </w:pPr>
      <w:r>
        <w:rPr>
          <w:rFonts w:hint="eastAsia"/>
          <w:b w:val="0"/>
          <w:bCs w:val="0"/>
          <w:sz w:val="28"/>
          <w:szCs w:val="28"/>
          <w:lang w:eastAsia="zh-CN"/>
        </w:rPr>
        <w:t>1、系统集成安装时，投标人应提供最新型号和软件的最新版本。</w:t>
      </w:r>
    </w:p>
    <w:p>
      <w:pPr>
        <w:pStyle w:val="18"/>
        <w:spacing w:before="0" w:line="360" w:lineRule="auto"/>
        <w:ind w:left="0"/>
        <w:rPr>
          <w:rFonts w:hint="eastAsia"/>
          <w:b w:val="0"/>
          <w:bCs w:val="0"/>
          <w:sz w:val="28"/>
          <w:szCs w:val="28"/>
          <w:lang w:eastAsia="zh-CN"/>
        </w:rPr>
      </w:pPr>
      <w:r>
        <w:rPr>
          <w:rFonts w:hint="eastAsia"/>
          <w:b w:val="0"/>
          <w:bCs w:val="0"/>
          <w:sz w:val="28"/>
          <w:szCs w:val="28"/>
          <w:lang w:eastAsia="zh-CN"/>
        </w:rPr>
        <w:t>2、投标人必须在合同规定的时间内，以完工验收申请报告形式书面通知招标人以声明整个系统完毕，招标人确认申请报告的第三个工作日为验收测试开始日。</w:t>
      </w:r>
    </w:p>
    <w:p>
      <w:pPr>
        <w:pStyle w:val="18"/>
        <w:spacing w:before="0" w:line="360" w:lineRule="auto"/>
        <w:ind w:left="0"/>
        <w:rPr>
          <w:rFonts w:hint="eastAsia"/>
          <w:b w:val="0"/>
          <w:bCs w:val="0"/>
          <w:sz w:val="28"/>
          <w:szCs w:val="28"/>
          <w:lang w:eastAsia="zh-CN"/>
        </w:rPr>
      </w:pPr>
      <w:r>
        <w:rPr>
          <w:rFonts w:hint="eastAsia"/>
          <w:b w:val="0"/>
          <w:bCs w:val="0"/>
          <w:sz w:val="28"/>
          <w:szCs w:val="28"/>
          <w:lang w:eastAsia="zh-CN"/>
        </w:rPr>
        <w:t>3、招标人与投标人一起对整个系统集成依据合同要求进行检查测试；对集成的每一部分进行诊断，并对系统进行48小时测试。</w:t>
      </w:r>
    </w:p>
    <w:p>
      <w:pPr>
        <w:pStyle w:val="18"/>
        <w:spacing w:before="0" w:line="360" w:lineRule="auto"/>
        <w:ind w:left="0"/>
        <w:rPr>
          <w:rFonts w:hint="eastAsia"/>
          <w:b w:val="0"/>
          <w:bCs w:val="0"/>
          <w:sz w:val="28"/>
          <w:szCs w:val="28"/>
          <w:lang w:eastAsia="zh-CN"/>
        </w:rPr>
      </w:pPr>
      <w:r>
        <w:rPr>
          <w:rFonts w:hint="eastAsia"/>
          <w:b w:val="0"/>
          <w:bCs w:val="0"/>
          <w:sz w:val="28"/>
          <w:szCs w:val="28"/>
          <w:lang w:eastAsia="zh-CN"/>
        </w:rPr>
        <w:t>4、测试结束后，招标人按《用户手册》和经过调研后双方确认的功能模块和客户化需求确认书对中标方提供的应用软件进行验收。</w:t>
      </w:r>
    </w:p>
    <w:p>
      <w:pPr>
        <w:pStyle w:val="18"/>
        <w:spacing w:before="0" w:line="360" w:lineRule="auto"/>
        <w:ind w:left="0"/>
        <w:rPr>
          <w:rFonts w:hint="eastAsia"/>
          <w:b w:val="0"/>
          <w:bCs w:val="0"/>
          <w:sz w:val="28"/>
          <w:szCs w:val="28"/>
          <w:lang w:eastAsia="zh-CN"/>
        </w:rPr>
      </w:pPr>
      <w:r>
        <w:rPr>
          <w:rFonts w:hint="eastAsia"/>
          <w:b w:val="0"/>
          <w:bCs w:val="0"/>
          <w:sz w:val="28"/>
          <w:szCs w:val="28"/>
          <w:lang w:eastAsia="zh-CN"/>
        </w:rPr>
        <w:t>5、验收由招标方组织有关人员进行，投标方应派人到场参加，双方对验收结果确认，并签署《验收报告书》，双方各执贰份。</w:t>
      </w:r>
    </w:p>
    <w:p>
      <w:pPr>
        <w:pStyle w:val="18"/>
        <w:spacing w:before="0" w:line="360" w:lineRule="auto"/>
        <w:ind w:left="0"/>
        <w:rPr>
          <w:rFonts w:hint="eastAsia"/>
          <w:b w:val="0"/>
          <w:bCs w:val="0"/>
          <w:sz w:val="28"/>
          <w:szCs w:val="28"/>
          <w:lang w:eastAsia="zh-CN"/>
        </w:rPr>
      </w:pPr>
      <w:r>
        <w:rPr>
          <w:rFonts w:hint="eastAsia"/>
          <w:b w:val="0"/>
          <w:bCs w:val="0"/>
          <w:sz w:val="28"/>
          <w:szCs w:val="28"/>
          <w:lang w:eastAsia="zh-CN"/>
        </w:rPr>
        <w:t>6、验收交付文档：</w:t>
      </w:r>
    </w:p>
    <w:p>
      <w:pPr>
        <w:pStyle w:val="18"/>
        <w:spacing w:before="0" w:line="360" w:lineRule="auto"/>
        <w:ind w:left="0"/>
        <w:rPr>
          <w:rFonts w:hint="eastAsia"/>
          <w:b w:val="0"/>
          <w:bCs w:val="0"/>
          <w:sz w:val="28"/>
          <w:szCs w:val="28"/>
          <w:lang w:eastAsia="zh-CN"/>
        </w:rPr>
      </w:pPr>
      <w:r>
        <w:rPr>
          <w:rFonts w:hint="eastAsia"/>
          <w:b w:val="0"/>
          <w:bCs w:val="0"/>
          <w:sz w:val="28"/>
          <w:szCs w:val="28"/>
          <w:lang w:eastAsia="zh-CN"/>
        </w:rPr>
        <w:t>(1)需求分析说明书；</w:t>
      </w:r>
    </w:p>
    <w:p>
      <w:pPr>
        <w:pStyle w:val="18"/>
        <w:spacing w:before="0" w:line="360" w:lineRule="auto"/>
        <w:ind w:left="0"/>
        <w:rPr>
          <w:rFonts w:hint="eastAsia"/>
          <w:b w:val="0"/>
          <w:bCs w:val="0"/>
          <w:sz w:val="28"/>
          <w:szCs w:val="28"/>
          <w:lang w:eastAsia="zh-CN"/>
        </w:rPr>
      </w:pPr>
      <w:r>
        <w:rPr>
          <w:rFonts w:hint="eastAsia"/>
          <w:b w:val="0"/>
          <w:bCs w:val="0"/>
          <w:sz w:val="28"/>
          <w:szCs w:val="28"/>
          <w:lang w:eastAsia="zh-CN"/>
        </w:rPr>
        <w:t>(2)概要设计说明书；</w:t>
      </w:r>
    </w:p>
    <w:p>
      <w:pPr>
        <w:pStyle w:val="18"/>
        <w:spacing w:before="0" w:line="360" w:lineRule="auto"/>
        <w:ind w:left="0"/>
        <w:rPr>
          <w:rFonts w:hint="eastAsia"/>
          <w:b w:val="0"/>
          <w:bCs w:val="0"/>
          <w:sz w:val="28"/>
          <w:szCs w:val="28"/>
          <w:lang w:eastAsia="zh-CN"/>
        </w:rPr>
      </w:pPr>
      <w:r>
        <w:rPr>
          <w:rFonts w:hint="eastAsia"/>
          <w:b w:val="0"/>
          <w:bCs w:val="0"/>
          <w:sz w:val="28"/>
          <w:szCs w:val="28"/>
          <w:lang w:eastAsia="zh-CN"/>
        </w:rPr>
        <w:t>(3)详细设计说明书；</w:t>
      </w:r>
    </w:p>
    <w:p>
      <w:pPr>
        <w:pStyle w:val="18"/>
        <w:spacing w:before="0" w:line="360" w:lineRule="auto"/>
        <w:ind w:left="0"/>
        <w:rPr>
          <w:rFonts w:hint="eastAsia"/>
          <w:b w:val="0"/>
          <w:bCs w:val="0"/>
          <w:sz w:val="28"/>
          <w:szCs w:val="28"/>
          <w:lang w:eastAsia="zh-CN"/>
        </w:rPr>
      </w:pPr>
      <w:r>
        <w:rPr>
          <w:rFonts w:hint="eastAsia"/>
          <w:b w:val="0"/>
          <w:bCs w:val="0"/>
          <w:sz w:val="28"/>
          <w:szCs w:val="28"/>
          <w:lang w:eastAsia="zh-CN"/>
        </w:rPr>
        <w:t>(4)测试报告；</w:t>
      </w:r>
    </w:p>
    <w:p>
      <w:pPr>
        <w:pStyle w:val="18"/>
        <w:spacing w:before="0" w:line="360" w:lineRule="auto"/>
        <w:ind w:left="0"/>
        <w:rPr>
          <w:rFonts w:hint="eastAsia"/>
          <w:b w:val="0"/>
          <w:bCs w:val="0"/>
          <w:sz w:val="28"/>
          <w:szCs w:val="28"/>
          <w:lang w:eastAsia="zh-CN"/>
        </w:rPr>
      </w:pPr>
      <w:r>
        <w:rPr>
          <w:rFonts w:hint="eastAsia"/>
          <w:b w:val="0"/>
          <w:bCs w:val="0"/>
          <w:sz w:val="28"/>
          <w:szCs w:val="28"/>
          <w:lang w:eastAsia="zh-CN"/>
        </w:rPr>
        <w:t>(5)用户使用手册；</w:t>
      </w:r>
    </w:p>
    <w:p>
      <w:pPr>
        <w:pStyle w:val="18"/>
        <w:spacing w:before="0" w:line="360" w:lineRule="auto"/>
        <w:ind w:left="0"/>
        <w:rPr>
          <w:rFonts w:hint="eastAsia"/>
          <w:b w:val="0"/>
          <w:bCs w:val="0"/>
          <w:sz w:val="28"/>
          <w:szCs w:val="28"/>
          <w:lang w:eastAsia="zh-CN"/>
        </w:rPr>
      </w:pPr>
      <w:r>
        <w:rPr>
          <w:rFonts w:hint="eastAsia"/>
          <w:b w:val="0"/>
          <w:bCs w:val="0"/>
          <w:sz w:val="28"/>
          <w:szCs w:val="28"/>
          <w:lang w:eastAsia="zh-CN"/>
        </w:rPr>
        <w:t>(6)程序文件；</w:t>
      </w:r>
    </w:p>
    <w:p>
      <w:pPr>
        <w:pStyle w:val="18"/>
        <w:spacing w:before="0" w:line="360" w:lineRule="auto"/>
        <w:ind w:left="0"/>
        <w:rPr>
          <w:rFonts w:hint="eastAsia"/>
          <w:b w:val="0"/>
          <w:bCs w:val="0"/>
          <w:sz w:val="28"/>
          <w:szCs w:val="28"/>
          <w:lang w:eastAsia="zh-CN"/>
        </w:rPr>
      </w:pPr>
      <w:r>
        <w:rPr>
          <w:rFonts w:hint="eastAsia"/>
          <w:b w:val="0"/>
          <w:bCs w:val="0"/>
          <w:sz w:val="28"/>
          <w:szCs w:val="28"/>
          <w:lang w:eastAsia="zh-CN"/>
        </w:rPr>
        <w:t>(7)项目验收报告。</w:t>
      </w:r>
    </w:p>
    <w:p>
      <w:pPr>
        <w:pStyle w:val="18"/>
        <w:spacing w:before="0" w:line="360" w:lineRule="auto"/>
        <w:ind w:left="0"/>
        <w:rPr>
          <w:rFonts w:hint="eastAsia"/>
          <w:b w:val="0"/>
          <w:bCs w:val="0"/>
          <w:sz w:val="28"/>
          <w:szCs w:val="28"/>
          <w:lang w:eastAsia="zh-CN"/>
        </w:rPr>
      </w:pPr>
      <w:r>
        <w:rPr>
          <w:rFonts w:hint="eastAsia"/>
          <w:b w:val="0"/>
          <w:bCs w:val="0"/>
          <w:sz w:val="28"/>
          <w:szCs w:val="28"/>
          <w:lang w:val="en-US" w:eastAsia="zh-CN"/>
        </w:rPr>
        <w:t>4.2.3.4</w:t>
      </w:r>
      <w:r>
        <w:rPr>
          <w:rFonts w:hint="eastAsia"/>
          <w:b w:val="0"/>
          <w:bCs w:val="0"/>
          <w:sz w:val="28"/>
          <w:szCs w:val="28"/>
          <w:lang w:eastAsia="zh-CN"/>
        </w:rPr>
        <w:t>项目培训要求</w:t>
      </w:r>
    </w:p>
    <w:p>
      <w:pPr>
        <w:pStyle w:val="18"/>
        <w:spacing w:before="0" w:line="360" w:lineRule="auto"/>
        <w:ind w:left="0"/>
        <w:rPr>
          <w:rFonts w:hint="eastAsia"/>
          <w:b w:val="0"/>
          <w:bCs w:val="0"/>
          <w:sz w:val="28"/>
          <w:szCs w:val="28"/>
          <w:lang w:eastAsia="zh-CN"/>
        </w:rPr>
      </w:pPr>
      <w:r>
        <w:rPr>
          <w:rFonts w:hint="eastAsia"/>
          <w:b w:val="0"/>
          <w:bCs w:val="0"/>
          <w:sz w:val="28"/>
          <w:szCs w:val="28"/>
          <w:lang w:eastAsia="zh-CN"/>
        </w:rPr>
        <w:t>投标人必须提供满足以下要求的培训服务：</w:t>
      </w:r>
    </w:p>
    <w:p>
      <w:pPr>
        <w:pStyle w:val="18"/>
        <w:spacing w:before="0" w:line="360" w:lineRule="auto"/>
        <w:ind w:left="0"/>
        <w:rPr>
          <w:rFonts w:hint="eastAsia"/>
          <w:b w:val="0"/>
          <w:bCs w:val="0"/>
          <w:sz w:val="28"/>
          <w:szCs w:val="28"/>
          <w:lang w:eastAsia="zh-CN"/>
        </w:rPr>
      </w:pPr>
      <w:r>
        <w:rPr>
          <w:rFonts w:hint="eastAsia"/>
          <w:b w:val="0"/>
          <w:bCs w:val="0"/>
          <w:sz w:val="28"/>
          <w:szCs w:val="28"/>
          <w:lang w:eastAsia="zh-CN"/>
        </w:rPr>
        <w:t>投标人应提供完善的培训方案，培训方案包含培训内容、培训课时等。系统的培训工作要在系统上线试运行前实施，并在培训实施前编制专门的培训材料。</w:t>
      </w:r>
    </w:p>
    <w:p>
      <w:pPr>
        <w:pStyle w:val="18"/>
        <w:spacing w:before="0" w:line="360" w:lineRule="auto"/>
        <w:ind w:left="0"/>
        <w:rPr>
          <w:rFonts w:hint="eastAsia"/>
          <w:b w:val="0"/>
          <w:bCs w:val="0"/>
          <w:sz w:val="28"/>
          <w:szCs w:val="28"/>
          <w:lang w:eastAsia="zh-CN"/>
        </w:rPr>
      </w:pPr>
      <w:r>
        <w:rPr>
          <w:rFonts w:hint="eastAsia"/>
          <w:b w:val="0"/>
          <w:bCs w:val="0"/>
          <w:sz w:val="28"/>
          <w:szCs w:val="28"/>
          <w:lang w:eastAsia="zh-CN"/>
        </w:rPr>
        <w:t>1、对采购人主要技术人员和骨干用户提供使用及维护培训，对普通用户提供使用培训；</w:t>
      </w:r>
    </w:p>
    <w:p>
      <w:pPr>
        <w:pStyle w:val="18"/>
        <w:spacing w:before="0" w:line="360" w:lineRule="auto"/>
        <w:ind w:left="0"/>
        <w:rPr>
          <w:rFonts w:hint="eastAsia"/>
          <w:b w:val="0"/>
          <w:bCs w:val="0"/>
          <w:sz w:val="28"/>
          <w:szCs w:val="28"/>
          <w:lang w:eastAsia="zh-CN"/>
        </w:rPr>
      </w:pPr>
      <w:r>
        <w:rPr>
          <w:rFonts w:hint="eastAsia"/>
          <w:b w:val="0"/>
          <w:bCs w:val="0"/>
          <w:sz w:val="28"/>
          <w:szCs w:val="28"/>
          <w:lang w:eastAsia="zh-CN"/>
        </w:rPr>
        <w:t>2、对采购人主要技术人员提供对系统开发用到的主要技术培训，如操作系统、数据库、开发工具的厂家认证培训，以及应用系统平台的二次开发培训；</w:t>
      </w:r>
    </w:p>
    <w:p>
      <w:pPr>
        <w:pStyle w:val="18"/>
        <w:spacing w:before="0" w:line="360" w:lineRule="auto"/>
        <w:ind w:left="0"/>
        <w:rPr>
          <w:rFonts w:hint="eastAsia"/>
          <w:b w:val="0"/>
          <w:bCs w:val="0"/>
          <w:sz w:val="28"/>
          <w:szCs w:val="28"/>
          <w:lang w:eastAsia="zh-CN"/>
        </w:rPr>
      </w:pPr>
      <w:r>
        <w:rPr>
          <w:rFonts w:hint="eastAsia"/>
          <w:b w:val="0"/>
          <w:bCs w:val="0"/>
          <w:sz w:val="28"/>
          <w:szCs w:val="28"/>
          <w:lang w:eastAsia="zh-CN"/>
        </w:rPr>
        <w:t>3、所提供的培训课程表随投标文件一起提交；</w:t>
      </w:r>
    </w:p>
    <w:p>
      <w:pPr>
        <w:pStyle w:val="18"/>
        <w:spacing w:before="0" w:line="360" w:lineRule="auto"/>
        <w:ind w:left="0"/>
        <w:rPr>
          <w:rFonts w:hint="eastAsia"/>
          <w:b w:val="0"/>
          <w:bCs w:val="0"/>
          <w:sz w:val="28"/>
          <w:szCs w:val="28"/>
          <w:lang w:eastAsia="zh-CN"/>
        </w:rPr>
      </w:pPr>
      <w:r>
        <w:rPr>
          <w:rFonts w:hint="eastAsia"/>
          <w:b w:val="0"/>
          <w:bCs w:val="0"/>
          <w:sz w:val="28"/>
          <w:szCs w:val="28"/>
          <w:lang w:eastAsia="zh-CN"/>
        </w:rPr>
        <w:t>4、投标人必须为所有被培训人员提供培训用文字资料和讲义等相关用品，所有的资料必须是中文书写。</w:t>
      </w:r>
    </w:p>
    <w:p>
      <w:pPr>
        <w:pStyle w:val="18"/>
        <w:spacing w:before="0" w:line="360" w:lineRule="auto"/>
        <w:ind w:left="0"/>
        <w:rPr>
          <w:rFonts w:hint="eastAsia"/>
          <w:b w:val="0"/>
          <w:bCs w:val="0"/>
          <w:sz w:val="28"/>
          <w:szCs w:val="28"/>
          <w:lang w:eastAsia="zh-CN"/>
        </w:rPr>
      </w:pPr>
      <w:r>
        <w:rPr>
          <w:rFonts w:hint="eastAsia"/>
          <w:b w:val="0"/>
          <w:bCs w:val="0"/>
          <w:sz w:val="28"/>
          <w:szCs w:val="28"/>
          <w:lang w:val="en-US" w:eastAsia="zh-CN"/>
        </w:rPr>
        <w:t>4.2.3.5</w:t>
      </w:r>
      <w:r>
        <w:rPr>
          <w:rFonts w:hint="eastAsia"/>
          <w:b w:val="0"/>
          <w:bCs w:val="0"/>
          <w:sz w:val="28"/>
          <w:szCs w:val="28"/>
          <w:lang w:eastAsia="zh-CN"/>
        </w:rPr>
        <w:t>项目售后服务要求</w:t>
      </w:r>
    </w:p>
    <w:p>
      <w:pPr>
        <w:pStyle w:val="18"/>
        <w:spacing w:before="0" w:line="360" w:lineRule="auto"/>
        <w:ind w:left="0"/>
        <w:rPr>
          <w:rFonts w:hint="eastAsia"/>
          <w:b w:val="0"/>
          <w:bCs w:val="0"/>
          <w:sz w:val="28"/>
          <w:szCs w:val="28"/>
          <w:lang w:eastAsia="zh-CN"/>
        </w:rPr>
      </w:pPr>
      <w:r>
        <w:rPr>
          <w:rFonts w:hint="eastAsia"/>
          <w:b w:val="0"/>
          <w:bCs w:val="0"/>
          <w:sz w:val="28"/>
          <w:szCs w:val="28"/>
          <w:lang w:val="en-US" w:eastAsia="zh-CN"/>
        </w:rPr>
        <w:t>4.2.3.5.1</w:t>
      </w:r>
      <w:r>
        <w:rPr>
          <w:rFonts w:hint="eastAsia"/>
          <w:b w:val="0"/>
          <w:bCs w:val="0"/>
          <w:sz w:val="28"/>
          <w:szCs w:val="28"/>
          <w:lang w:eastAsia="zh-CN"/>
        </w:rPr>
        <w:t>售后服务要求</w:t>
      </w:r>
    </w:p>
    <w:p>
      <w:pPr>
        <w:pStyle w:val="18"/>
        <w:spacing w:before="0" w:line="360" w:lineRule="auto"/>
        <w:ind w:left="0"/>
        <w:rPr>
          <w:rFonts w:hint="eastAsia"/>
          <w:b w:val="0"/>
          <w:bCs w:val="0"/>
          <w:sz w:val="28"/>
          <w:szCs w:val="28"/>
          <w:lang w:eastAsia="zh-CN"/>
        </w:rPr>
      </w:pPr>
      <w:r>
        <w:rPr>
          <w:rFonts w:hint="eastAsia"/>
          <w:b w:val="0"/>
          <w:bCs w:val="0"/>
          <w:sz w:val="28"/>
          <w:szCs w:val="28"/>
          <w:lang w:eastAsia="zh-CN"/>
        </w:rPr>
        <w:t>1、投标人必须承诺在本项目系统实施中提供充分的技术支持、良好的工程维护和培训服务、及时的售后服务以及系统升级服务。</w:t>
      </w:r>
    </w:p>
    <w:p>
      <w:pPr>
        <w:pStyle w:val="18"/>
        <w:spacing w:before="0" w:line="360" w:lineRule="auto"/>
        <w:ind w:left="0"/>
        <w:rPr>
          <w:rFonts w:hint="eastAsia"/>
          <w:b w:val="0"/>
          <w:bCs w:val="0"/>
          <w:sz w:val="28"/>
          <w:szCs w:val="28"/>
          <w:lang w:eastAsia="zh-CN"/>
        </w:rPr>
      </w:pPr>
      <w:r>
        <w:rPr>
          <w:rFonts w:hint="eastAsia"/>
          <w:b w:val="0"/>
          <w:bCs w:val="0"/>
          <w:sz w:val="28"/>
          <w:szCs w:val="28"/>
          <w:lang w:eastAsia="zh-CN"/>
        </w:rPr>
        <w:t>2、运维内容主要包括：改正性维护，即在软件使用过程中识别和纠正软件错误，改正软件性能缺陷；适应性开发服务，即当软件外部环境或数据环境发生变化，修改软件以适应变化，根据系统使用单位的业务发展以及相关政策调整的要求进行适应性修改。质量保质期内，要求提供免费版本升级和免费现场技术支持服务，并成立专门的售后服务小组，安排有丰富售后服务经验的、熟悉本项目建设的售后服务人员提供完善周到的本地化服务，保证售后服务质量。</w:t>
      </w:r>
    </w:p>
    <w:p>
      <w:pPr>
        <w:pStyle w:val="18"/>
        <w:spacing w:before="0" w:line="360" w:lineRule="auto"/>
        <w:ind w:left="0"/>
        <w:rPr>
          <w:rFonts w:hint="eastAsia"/>
          <w:b w:val="0"/>
          <w:bCs w:val="0"/>
          <w:sz w:val="28"/>
          <w:szCs w:val="28"/>
          <w:lang w:eastAsia="zh-CN"/>
        </w:rPr>
      </w:pPr>
      <w:r>
        <w:rPr>
          <w:rFonts w:hint="eastAsia"/>
          <w:b w:val="0"/>
          <w:bCs w:val="0"/>
          <w:sz w:val="28"/>
          <w:szCs w:val="28"/>
          <w:lang w:eastAsia="zh-CN"/>
        </w:rPr>
        <w:t>3、投标人必须按招标方指定的方式提供7×24小时支持维护服务，包括邮件、电话、远程维护、现场服务等方式。必须保证有足够的人员及技术支持电话负责本系统运维工作，并保证1小时之内响应、4小时内派工程师到达现场、24小时之内解决问题。</w:t>
      </w:r>
    </w:p>
    <w:p>
      <w:pPr>
        <w:pStyle w:val="18"/>
        <w:spacing w:before="0" w:line="360" w:lineRule="auto"/>
        <w:ind w:left="0"/>
        <w:rPr>
          <w:rFonts w:hint="eastAsia"/>
          <w:b w:val="0"/>
          <w:bCs w:val="0"/>
          <w:sz w:val="28"/>
          <w:szCs w:val="28"/>
          <w:lang w:eastAsia="zh-CN"/>
        </w:rPr>
      </w:pPr>
      <w:r>
        <w:rPr>
          <w:rFonts w:hint="eastAsia"/>
          <w:b w:val="0"/>
          <w:bCs w:val="0"/>
          <w:sz w:val="28"/>
          <w:szCs w:val="28"/>
          <w:lang w:eastAsia="zh-CN"/>
        </w:rPr>
        <w:t>4、投标人对系统软件进行更新及升级时应不影响原有应用系统的正常运行和效率，不涉及到对原有应用系统重新设计。对系统软件的更新及升级时，未经招标人同意，不得改变针对本项目定制的功能。</w:t>
      </w:r>
    </w:p>
    <w:p>
      <w:pPr>
        <w:pStyle w:val="18"/>
        <w:spacing w:before="0" w:line="360" w:lineRule="auto"/>
        <w:ind w:left="0"/>
        <w:rPr>
          <w:rFonts w:hint="eastAsia"/>
          <w:b w:val="0"/>
          <w:bCs w:val="0"/>
          <w:sz w:val="28"/>
          <w:szCs w:val="28"/>
          <w:lang w:eastAsia="zh-CN"/>
        </w:rPr>
      </w:pPr>
      <w:r>
        <w:rPr>
          <w:rFonts w:hint="eastAsia"/>
          <w:b w:val="0"/>
          <w:bCs w:val="0"/>
          <w:sz w:val="28"/>
          <w:szCs w:val="28"/>
          <w:lang w:eastAsia="zh-CN"/>
        </w:rPr>
        <w:t>5、针对本项目售后服务的要求，制定完善、可实施和操作性强的售后服务方案，依此来指导售后服务的组织和实施工作。售后服务方案至少要求确定售后服务原则和售后服务对象、明确售后服务方式和内容、以及建立售后服务组织结构和服务人员安排等。</w:t>
      </w:r>
    </w:p>
    <w:p>
      <w:pPr>
        <w:pStyle w:val="18"/>
        <w:keepNext w:val="0"/>
        <w:keepLines w:val="0"/>
        <w:pageBreakBefore w:val="0"/>
        <w:widowControl w:val="0"/>
        <w:kinsoku/>
        <w:wordWrap/>
        <w:overflowPunct/>
        <w:topLinePunct w:val="0"/>
        <w:autoSpaceDE/>
        <w:autoSpaceDN/>
        <w:bidi w:val="0"/>
        <w:adjustRightInd/>
        <w:snapToGrid/>
        <w:spacing w:before="0" w:line="360" w:lineRule="auto"/>
        <w:ind w:left="0"/>
        <w:textAlignment w:val="auto"/>
        <w:rPr>
          <w:rFonts w:hint="eastAsia"/>
          <w:b w:val="0"/>
          <w:bCs w:val="0"/>
          <w:sz w:val="28"/>
          <w:szCs w:val="28"/>
          <w:lang w:eastAsia="zh-CN"/>
        </w:rPr>
      </w:pPr>
      <w:r>
        <w:rPr>
          <w:rFonts w:hint="eastAsia"/>
          <w:b w:val="0"/>
          <w:bCs w:val="0"/>
          <w:sz w:val="28"/>
          <w:szCs w:val="28"/>
          <w:lang w:eastAsia="zh-CN"/>
        </w:rPr>
        <w:t>6、在系统质保期满后，投标人仍应满足招标人对所出现故障的系统进行维修的要求。</w:t>
      </w:r>
    </w:p>
    <w:p>
      <w:pPr>
        <w:pStyle w:val="18"/>
        <w:keepNext w:val="0"/>
        <w:keepLines w:val="0"/>
        <w:pageBreakBefore w:val="0"/>
        <w:widowControl w:val="0"/>
        <w:kinsoku/>
        <w:wordWrap/>
        <w:overflowPunct/>
        <w:topLinePunct w:val="0"/>
        <w:autoSpaceDE/>
        <w:autoSpaceDN/>
        <w:bidi w:val="0"/>
        <w:adjustRightInd/>
        <w:snapToGrid/>
        <w:spacing w:before="0" w:line="360" w:lineRule="auto"/>
        <w:ind w:left="0"/>
        <w:textAlignment w:val="auto"/>
        <w:rPr>
          <w:rFonts w:hint="eastAsia"/>
          <w:b w:val="0"/>
          <w:bCs w:val="0"/>
          <w:sz w:val="28"/>
          <w:szCs w:val="28"/>
          <w:lang w:eastAsia="zh-CN"/>
        </w:rPr>
      </w:pPr>
      <w:r>
        <w:rPr>
          <w:rFonts w:hint="eastAsia"/>
          <w:b w:val="0"/>
          <w:bCs w:val="0"/>
          <w:sz w:val="28"/>
          <w:szCs w:val="28"/>
          <w:lang w:val="en-US" w:eastAsia="zh-CN"/>
        </w:rPr>
        <w:t>4.2.3.5.2</w:t>
      </w:r>
      <w:r>
        <w:rPr>
          <w:rFonts w:hint="eastAsia"/>
          <w:b w:val="0"/>
          <w:bCs w:val="0"/>
          <w:sz w:val="28"/>
          <w:szCs w:val="28"/>
          <w:lang w:eastAsia="zh-CN"/>
        </w:rPr>
        <w:t>质保期内的技术服务</w:t>
      </w:r>
    </w:p>
    <w:p>
      <w:pPr>
        <w:pStyle w:val="18"/>
        <w:keepNext w:val="0"/>
        <w:keepLines w:val="0"/>
        <w:pageBreakBefore w:val="0"/>
        <w:widowControl w:val="0"/>
        <w:kinsoku/>
        <w:wordWrap/>
        <w:overflowPunct/>
        <w:topLinePunct w:val="0"/>
        <w:autoSpaceDE/>
        <w:autoSpaceDN/>
        <w:bidi w:val="0"/>
        <w:adjustRightInd/>
        <w:snapToGrid/>
        <w:spacing w:before="0" w:line="360" w:lineRule="auto"/>
        <w:ind w:left="0"/>
        <w:textAlignment w:val="auto"/>
        <w:rPr>
          <w:rFonts w:hint="eastAsia"/>
          <w:b w:val="0"/>
          <w:bCs w:val="0"/>
          <w:sz w:val="28"/>
          <w:szCs w:val="28"/>
          <w:lang w:eastAsia="zh-CN"/>
        </w:rPr>
      </w:pPr>
      <w:r>
        <w:rPr>
          <w:rFonts w:hint="eastAsia"/>
          <w:b w:val="0"/>
          <w:bCs w:val="0"/>
          <w:sz w:val="28"/>
          <w:szCs w:val="28"/>
          <w:lang w:eastAsia="zh-CN"/>
        </w:rPr>
        <w:t>质保期：硬件质保期为原厂三年维保，软件及服务质保期为三年，自项目验收合格后开始计算。</w:t>
      </w:r>
    </w:p>
    <w:p>
      <w:pPr>
        <w:pStyle w:val="18"/>
        <w:keepNext w:val="0"/>
        <w:keepLines w:val="0"/>
        <w:pageBreakBefore w:val="0"/>
        <w:widowControl w:val="0"/>
        <w:kinsoku/>
        <w:wordWrap/>
        <w:overflowPunct/>
        <w:topLinePunct w:val="0"/>
        <w:autoSpaceDE/>
        <w:autoSpaceDN/>
        <w:bidi w:val="0"/>
        <w:adjustRightInd/>
        <w:snapToGrid/>
        <w:spacing w:before="0" w:line="360" w:lineRule="auto"/>
        <w:ind w:left="0"/>
        <w:textAlignment w:val="auto"/>
        <w:rPr>
          <w:rFonts w:hint="eastAsia"/>
          <w:b w:val="0"/>
          <w:bCs w:val="0"/>
          <w:sz w:val="28"/>
          <w:szCs w:val="28"/>
          <w:lang w:eastAsia="zh-CN"/>
        </w:rPr>
      </w:pPr>
      <w:r>
        <w:rPr>
          <w:rFonts w:hint="eastAsia"/>
          <w:b w:val="0"/>
          <w:bCs w:val="0"/>
          <w:sz w:val="28"/>
          <w:szCs w:val="28"/>
          <w:lang w:eastAsia="zh-CN"/>
        </w:rPr>
        <w:t>1、升级服务：提供在正常条件下保证系统正常稳定运行的系统扩充、版本更新升级及功能更新服务。</w:t>
      </w:r>
    </w:p>
    <w:p>
      <w:pPr>
        <w:pStyle w:val="18"/>
        <w:keepNext w:val="0"/>
        <w:keepLines w:val="0"/>
        <w:pageBreakBefore w:val="0"/>
        <w:widowControl w:val="0"/>
        <w:kinsoku/>
        <w:wordWrap/>
        <w:overflowPunct/>
        <w:topLinePunct w:val="0"/>
        <w:autoSpaceDE/>
        <w:autoSpaceDN/>
        <w:bidi w:val="0"/>
        <w:adjustRightInd/>
        <w:snapToGrid/>
        <w:spacing w:before="0" w:line="360" w:lineRule="auto"/>
        <w:ind w:left="0"/>
        <w:textAlignment w:val="auto"/>
        <w:rPr>
          <w:rFonts w:hint="eastAsia"/>
          <w:b w:val="0"/>
          <w:bCs w:val="0"/>
          <w:sz w:val="28"/>
          <w:szCs w:val="28"/>
          <w:lang w:eastAsia="zh-CN"/>
        </w:rPr>
      </w:pPr>
      <w:r>
        <w:rPr>
          <w:rFonts w:hint="eastAsia"/>
          <w:b w:val="0"/>
          <w:bCs w:val="0"/>
          <w:sz w:val="28"/>
          <w:szCs w:val="28"/>
          <w:lang w:eastAsia="zh-CN"/>
        </w:rPr>
        <w:t>2、优化服务：提出在正常条件下改进系统性能的各项建议，包括系统资源分配与效率改进建议、软件配置规划和性能优化建议、系统容量预测建议等。</w:t>
      </w:r>
    </w:p>
    <w:p>
      <w:pPr>
        <w:pStyle w:val="18"/>
        <w:keepNext w:val="0"/>
        <w:keepLines w:val="0"/>
        <w:pageBreakBefore w:val="0"/>
        <w:widowControl w:val="0"/>
        <w:kinsoku/>
        <w:wordWrap/>
        <w:overflowPunct/>
        <w:topLinePunct w:val="0"/>
        <w:autoSpaceDE/>
        <w:autoSpaceDN/>
        <w:bidi w:val="0"/>
        <w:adjustRightInd/>
        <w:snapToGrid/>
        <w:spacing w:before="0" w:line="360" w:lineRule="auto"/>
        <w:ind w:left="0"/>
        <w:textAlignment w:val="auto"/>
        <w:rPr>
          <w:rFonts w:hint="eastAsia"/>
          <w:b w:val="0"/>
          <w:bCs w:val="0"/>
          <w:sz w:val="28"/>
          <w:szCs w:val="28"/>
          <w:lang w:eastAsia="zh-CN"/>
        </w:rPr>
      </w:pPr>
      <w:r>
        <w:rPr>
          <w:rFonts w:hint="eastAsia"/>
          <w:b w:val="0"/>
          <w:bCs w:val="0"/>
          <w:sz w:val="28"/>
          <w:szCs w:val="28"/>
          <w:lang w:eastAsia="zh-CN"/>
        </w:rPr>
        <w:t>3、咨询服务：在质保期内提供系统软件应用和维护技术咨询服务。</w:t>
      </w:r>
    </w:p>
    <w:p>
      <w:pPr>
        <w:pStyle w:val="18"/>
        <w:keepNext w:val="0"/>
        <w:keepLines w:val="0"/>
        <w:pageBreakBefore w:val="0"/>
        <w:widowControl w:val="0"/>
        <w:kinsoku/>
        <w:wordWrap/>
        <w:overflowPunct/>
        <w:topLinePunct w:val="0"/>
        <w:autoSpaceDE/>
        <w:autoSpaceDN/>
        <w:bidi w:val="0"/>
        <w:adjustRightInd/>
        <w:snapToGrid/>
        <w:spacing w:before="0" w:line="360" w:lineRule="auto"/>
        <w:ind w:left="0"/>
        <w:textAlignment w:val="auto"/>
        <w:rPr>
          <w:rFonts w:hint="eastAsia"/>
          <w:b w:val="0"/>
          <w:bCs w:val="0"/>
          <w:sz w:val="28"/>
          <w:szCs w:val="28"/>
          <w:lang w:eastAsia="zh-CN"/>
        </w:rPr>
      </w:pPr>
      <w:r>
        <w:rPr>
          <w:rFonts w:hint="eastAsia"/>
          <w:b w:val="0"/>
          <w:bCs w:val="0"/>
          <w:sz w:val="28"/>
          <w:szCs w:val="28"/>
          <w:lang w:eastAsia="zh-CN"/>
        </w:rPr>
        <w:t>4、电话或现场技术服务：在质保期内提供电话或现场技术服务。</w:t>
      </w:r>
    </w:p>
    <w:p>
      <w:pPr>
        <w:pStyle w:val="18"/>
        <w:keepNext w:val="0"/>
        <w:keepLines w:val="0"/>
        <w:pageBreakBefore w:val="0"/>
        <w:widowControl w:val="0"/>
        <w:kinsoku/>
        <w:wordWrap/>
        <w:overflowPunct/>
        <w:topLinePunct w:val="0"/>
        <w:autoSpaceDE/>
        <w:autoSpaceDN/>
        <w:bidi w:val="0"/>
        <w:adjustRightInd/>
        <w:snapToGrid/>
        <w:spacing w:before="0" w:line="360" w:lineRule="auto"/>
        <w:ind w:left="0"/>
        <w:textAlignment w:val="auto"/>
        <w:rPr>
          <w:rFonts w:hint="eastAsia"/>
          <w:b w:val="0"/>
          <w:bCs w:val="0"/>
          <w:sz w:val="28"/>
          <w:szCs w:val="28"/>
          <w:lang w:eastAsia="zh-CN"/>
        </w:rPr>
      </w:pPr>
      <w:r>
        <w:rPr>
          <w:rFonts w:hint="eastAsia"/>
          <w:b w:val="0"/>
          <w:bCs w:val="0"/>
          <w:sz w:val="28"/>
          <w:szCs w:val="28"/>
          <w:lang w:eastAsia="zh-CN"/>
        </w:rPr>
        <w:t>5、质保期内的技术服务不再另行收费。</w:t>
      </w:r>
    </w:p>
    <w:p>
      <w:pPr>
        <w:pStyle w:val="18"/>
        <w:keepNext w:val="0"/>
        <w:keepLines w:val="0"/>
        <w:pageBreakBefore w:val="0"/>
        <w:widowControl w:val="0"/>
        <w:kinsoku/>
        <w:wordWrap/>
        <w:overflowPunct/>
        <w:topLinePunct w:val="0"/>
        <w:autoSpaceDE/>
        <w:autoSpaceDN/>
        <w:bidi w:val="0"/>
        <w:adjustRightInd/>
        <w:snapToGrid/>
        <w:spacing w:before="0" w:line="360" w:lineRule="auto"/>
        <w:ind w:left="0"/>
        <w:textAlignment w:val="auto"/>
        <w:rPr>
          <w:rFonts w:hint="eastAsia"/>
          <w:b w:val="0"/>
          <w:bCs w:val="0"/>
          <w:sz w:val="28"/>
          <w:szCs w:val="28"/>
          <w:lang w:eastAsia="zh-CN"/>
        </w:rPr>
      </w:pPr>
      <w:r>
        <w:rPr>
          <w:rFonts w:hint="eastAsia"/>
          <w:b w:val="0"/>
          <w:bCs w:val="0"/>
          <w:sz w:val="28"/>
          <w:szCs w:val="28"/>
          <w:lang w:val="en-US" w:eastAsia="zh-CN"/>
        </w:rPr>
        <w:t>4.2.3.5.3</w:t>
      </w:r>
      <w:r>
        <w:rPr>
          <w:rFonts w:hint="eastAsia"/>
          <w:b w:val="0"/>
          <w:bCs w:val="0"/>
          <w:sz w:val="28"/>
          <w:szCs w:val="28"/>
          <w:lang w:eastAsia="zh-CN"/>
        </w:rPr>
        <w:t>质保期后的技术服务</w:t>
      </w:r>
    </w:p>
    <w:p>
      <w:pPr>
        <w:pStyle w:val="18"/>
        <w:keepNext w:val="0"/>
        <w:keepLines w:val="0"/>
        <w:pageBreakBefore w:val="0"/>
        <w:widowControl w:val="0"/>
        <w:kinsoku/>
        <w:wordWrap/>
        <w:overflowPunct/>
        <w:topLinePunct w:val="0"/>
        <w:autoSpaceDE/>
        <w:autoSpaceDN/>
        <w:bidi w:val="0"/>
        <w:adjustRightInd/>
        <w:snapToGrid/>
        <w:spacing w:before="0" w:line="360" w:lineRule="auto"/>
        <w:ind w:left="0"/>
        <w:textAlignment w:val="auto"/>
        <w:rPr>
          <w:rFonts w:hint="eastAsia"/>
          <w:b w:val="0"/>
          <w:bCs w:val="0"/>
          <w:sz w:val="28"/>
          <w:szCs w:val="28"/>
          <w:lang w:eastAsia="zh-CN"/>
        </w:rPr>
      </w:pPr>
      <w:r>
        <w:rPr>
          <w:rFonts w:hint="eastAsia"/>
          <w:b w:val="0"/>
          <w:bCs w:val="0"/>
          <w:sz w:val="28"/>
          <w:szCs w:val="28"/>
          <w:lang w:eastAsia="zh-CN"/>
        </w:rPr>
        <w:t>质保期后，投标人仍应根据合同要求向招标人提供技术服务，以合理价格提供招标人需要的系统维护及系统更新服务。</w:t>
      </w:r>
    </w:p>
    <w:p>
      <w:pPr>
        <w:pStyle w:val="18"/>
        <w:keepNext w:val="0"/>
        <w:keepLines w:val="0"/>
        <w:pageBreakBefore w:val="0"/>
        <w:widowControl w:val="0"/>
        <w:kinsoku/>
        <w:wordWrap/>
        <w:overflowPunct/>
        <w:topLinePunct w:val="0"/>
        <w:autoSpaceDE/>
        <w:autoSpaceDN/>
        <w:bidi w:val="0"/>
        <w:adjustRightInd/>
        <w:snapToGrid/>
        <w:spacing w:before="0" w:line="360" w:lineRule="auto"/>
        <w:ind w:left="0"/>
        <w:textAlignment w:val="auto"/>
        <w:rPr>
          <w:rFonts w:hint="eastAsia"/>
          <w:b w:val="0"/>
          <w:bCs w:val="0"/>
          <w:sz w:val="28"/>
          <w:szCs w:val="28"/>
          <w:lang w:eastAsia="zh-CN"/>
        </w:rPr>
      </w:pPr>
      <w:r>
        <w:rPr>
          <w:rFonts w:hint="eastAsia"/>
          <w:b w:val="0"/>
          <w:bCs w:val="0"/>
          <w:sz w:val="28"/>
          <w:szCs w:val="28"/>
          <w:lang w:eastAsia="zh-CN"/>
        </w:rPr>
        <w:t>投标人应提出质保期后每年的收费技术支持和售后服务的内容、费用和服务方式、范围（产品、技术、模块、部件），设计质保期后的售后服务方案。质保期后，相关系统的运维根据实际情况双方协商确定。</w:t>
      </w:r>
    </w:p>
    <w:p>
      <w:pPr>
        <w:pStyle w:val="18"/>
        <w:keepNext w:val="0"/>
        <w:keepLines w:val="0"/>
        <w:pageBreakBefore w:val="0"/>
        <w:widowControl w:val="0"/>
        <w:kinsoku/>
        <w:wordWrap/>
        <w:overflowPunct/>
        <w:topLinePunct w:val="0"/>
        <w:autoSpaceDE/>
        <w:autoSpaceDN/>
        <w:bidi w:val="0"/>
        <w:adjustRightInd/>
        <w:snapToGrid/>
        <w:spacing w:before="0" w:line="360" w:lineRule="auto"/>
        <w:ind w:left="0"/>
        <w:textAlignment w:val="auto"/>
        <w:rPr>
          <w:rFonts w:hint="eastAsia"/>
          <w:b w:val="0"/>
          <w:bCs w:val="0"/>
          <w:sz w:val="28"/>
          <w:szCs w:val="28"/>
          <w:lang w:eastAsia="zh-CN"/>
        </w:rPr>
      </w:pPr>
      <w:r>
        <w:rPr>
          <w:rFonts w:hint="eastAsia"/>
          <w:b w:val="0"/>
          <w:bCs w:val="0"/>
          <w:sz w:val="28"/>
          <w:szCs w:val="28"/>
          <w:lang w:eastAsia="zh-CN"/>
        </w:rPr>
        <w:t>对于系统相关维护的咨询应是免费的。</w:t>
      </w:r>
    </w:p>
    <w:p>
      <w:pPr>
        <w:pStyle w:val="18"/>
        <w:keepNext w:val="0"/>
        <w:keepLines w:val="0"/>
        <w:pageBreakBefore w:val="0"/>
        <w:widowControl w:val="0"/>
        <w:kinsoku/>
        <w:wordWrap/>
        <w:overflowPunct/>
        <w:topLinePunct w:val="0"/>
        <w:autoSpaceDE/>
        <w:autoSpaceDN/>
        <w:bidi w:val="0"/>
        <w:adjustRightInd/>
        <w:snapToGrid/>
        <w:spacing w:before="0" w:line="360" w:lineRule="auto"/>
        <w:ind w:left="0"/>
        <w:textAlignment w:val="auto"/>
        <w:rPr>
          <w:rFonts w:hint="eastAsia"/>
          <w:b w:val="0"/>
          <w:bCs w:val="0"/>
          <w:sz w:val="28"/>
          <w:szCs w:val="28"/>
          <w:lang w:eastAsia="zh-CN"/>
        </w:rPr>
      </w:pPr>
      <w:r>
        <w:rPr>
          <w:rFonts w:hint="eastAsia"/>
          <w:b w:val="0"/>
          <w:bCs w:val="0"/>
          <w:sz w:val="28"/>
          <w:szCs w:val="28"/>
          <w:lang w:val="en-US" w:eastAsia="zh-CN"/>
        </w:rPr>
        <w:t>4.2.3.6</w:t>
      </w:r>
      <w:r>
        <w:rPr>
          <w:rFonts w:hint="eastAsia"/>
          <w:b w:val="0"/>
          <w:bCs w:val="0"/>
          <w:sz w:val="28"/>
          <w:szCs w:val="28"/>
          <w:lang w:eastAsia="zh-CN"/>
        </w:rPr>
        <w:t>人员要求：</w:t>
      </w:r>
    </w:p>
    <w:p>
      <w:pPr>
        <w:pStyle w:val="18"/>
        <w:keepNext w:val="0"/>
        <w:keepLines w:val="0"/>
        <w:pageBreakBefore w:val="0"/>
        <w:widowControl w:val="0"/>
        <w:kinsoku/>
        <w:wordWrap/>
        <w:overflowPunct/>
        <w:topLinePunct w:val="0"/>
        <w:autoSpaceDE/>
        <w:autoSpaceDN/>
        <w:bidi w:val="0"/>
        <w:adjustRightInd/>
        <w:snapToGrid/>
        <w:spacing w:before="0" w:line="360" w:lineRule="auto"/>
        <w:ind w:left="0"/>
        <w:textAlignment w:val="auto"/>
        <w:rPr>
          <w:rFonts w:hint="eastAsia"/>
          <w:b w:val="0"/>
          <w:bCs w:val="0"/>
          <w:sz w:val="28"/>
          <w:szCs w:val="28"/>
          <w:lang w:eastAsia="zh-CN"/>
        </w:rPr>
      </w:pPr>
      <w:r>
        <w:rPr>
          <w:rFonts w:hint="eastAsia"/>
          <w:b w:val="0"/>
          <w:bCs w:val="0"/>
          <w:sz w:val="28"/>
          <w:szCs w:val="28"/>
          <w:lang w:eastAsia="zh-CN"/>
        </w:rPr>
        <w:t>项目团队人员至少具有信息系统项目管理师不少于1名、系统分析师不少于1名、软件设计师不少于1名、信息安全工程师不少于1名、网络工程师不少于1名、软件评测师证书不少于1名。</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360" w:after="360" w:line="360" w:lineRule="auto"/>
        <w:ind w:left="576" w:hanging="576"/>
        <w:jc w:val="center"/>
        <w:textAlignment w:val="auto"/>
        <w:rPr>
          <w:lang w:eastAsia="zh-CN"/>
        </w:rPr>
      </w:pPr>
      <w:bookmarkStart w:id="94" w:name="（3）技术研发室"/>
      <w:bookmarkEnd w:id="94"/>
      <w:bookmarkStart w:id="95" w:name="（2）会客接待室"/>
      <w:bookmarkEnd w:id="95"/>
      <w:bookmarkStart w:id="96" w:name="（6）强弱电间（信息机房）"/>
      <w:bookmarkEnd w:id="96"/>
      <w:bookmarkStart w:id="97" w:name="3.2._项目实施要求"/>
      <w:bookmarkEnd w:id="97"/>
      <w:bookmarkStart w:id="98" w:name="第五章__评标方法与评标标准"/>
      <w:bookmarkEnd w:id="98"/>
      <w:bookmarkStart w:id="99" w:name="_bookmark7"/>
      <w:bookmarkEnd w:id="99"/>
      <w:bookmarkStart w:id="100" w:name="（1）供配电系统"/>
      <w:bookmarkEnd w:id="100"/>
      <w:bookmarkStart w:id="101" w:name="第1章_服务概述"/>
      <w:bookmarkEnd w:id="101"/>
      <w:bookmarkStart w:id="102" w:name="（1）办公室"/>
      <w:bookmarkEnd w:id="102"/>
      <w:bookmarkStart w:id="103" w:name="（7）值班室"/>
      <w:bookmarkEnd w:id="103"/>
      <w:bookmarkStart w:id="104" w:name="_bookmark4"/>
      <w:bookmarkEnd w:id="104"/>
      <w:bookmarkStart w:id="105" w:name="（3）机房系统"/>
      <w:bookmarkEnd w:id="105"/>
      <w:bookmarkStart w:id="106" w:name="3.2.3._保密要求"/>
      <w:bookmarkEnd w:id="106"/>
      <w:bookmarkStart w:id="107" w:name="第3章_服务要求"/>
      <w:bookmarkEnd w:id="107"/>
      <w:bookmarkStart w:id="108" w:name="（1）大屏显示系统"/>
      <w:bookmarkEnd w:id="108"/>
      <w:bookmarkStart w:id="109" w:name="3.2.2._施工要求"/>
      <w:bookmarkEnd w:id="109"/>
      <w:bookmarkStart w:id="110" w:name="（5）视频会议室"/>
      <w:bookmarkEnd w:id="110"/>
      <w:bookmarkStart w:id="111" w:name="（6）分布式系统"/>
      <w:bookmarkEnd w:id="111"/>
      <w:bookmarkStart w:id="112" w:name="3.2.4.验收要求"/>
      <w:bookmarkEnd w:id="112"/>
      <w:bookmarkStart w:id="113" w:name="（4）技术交流与会商室"/>
      <w:bookmarkEnd w:id="113"/>
      <w:bookmarkStart w:id="114" w:name="_bookmark8"/>
      <w:bookmarkEnd w:id="114"/>
    </w:p>
    <w:p>
      <w:pPr>
        <w:pStyle w:val="4"/>
        <w:numPr>
          <w:ilvl w:val="0"/>
          <w:numId w:val="0"/>
        </w:numPr>
        <w:spacing w:before="360" w:after="360"/>
        <w:ind w:left="576" w:hanging="576"/>
        <w:jc w:val="center"/>
        <w:rPr>
          <w:lang w:eastAsia="zh-CN"/>
        </w:rPr>
      </w:pPr>
      <w:r>
        <w:rPr>
          <w:lang w:eastAsia="zh-CN"/>
        </w:rPr>
        <w:t>第五章 评标方法与评标标准</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360" w:after="360" w:line="400" w:lineRule="exact"/>
        <w:textAlignment w:val="auto"/>
        <w:rPr>
          <w:sz w:val="32"/>
          <w:szCs w:val="32"/>
          <w:lang w:eastAsia="zh-CN"/>
        </w:rPr>
      </w:pPr>
      <w:bookmarkStart w:id="115" w:name="一、评标方法与定标原则"/>
      <w:bookmarkEnd w:id="115"/>
      <w:r>
        <w:rPr>
          <w:sz w:val="32"/>
          <w:szCs w:val="32"/>
          <w:lang w:eastAsia="zh-CN"/>
        </w:rPr>
        <w:t>一、评标方法与定标原则</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ascii="仿宋" w:hAnsi="仿宋" w:eastAsia="仿宋" w:cs="仿宋"/>
          <w:sz w:val="24"/>
          <w:szCs w:val="24"/>
          <w:lang w:eastAsia="zh-CN"/>
        </w:rPr>
      </w:pPr>
      <w:r>
        <w:rPr>
          <w:rFonts w:ascii="仿宋" w:hAnsi="仿宋" w:eastAsia="仿宋" w:cs="仿宋"/>
          <w:sz w:val="24"/>
          <w:szCs w:val="24"/>
          <w:lang w:eastAsia="zh-CN"/>
        </w:rPr>
        <w:t>本项目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360" w:after="360" w:line="400" w:lineRule="exact"/>
        <w:textAlignment w:val="auto"/>
        <w:rPr>
          <w:sz w:val="32"/>
          <w:szCs w:val="32"/>
        </w:rPr>
      </w:pPr>
      <w:bookmarkStart w:id="116" w:name="二、评标标准"/>
      <w:bookmarkEnd w:id="116"/>
      <w:r>
        <w:rPr>
          <w:sz w:val="32"/>
          <w:szCs w:val="32"/>
        </w:rPr>
        <w:t>二、评标标准</w:t>
      </w:r>
    </w:p>
    <w:tbl>
      <w:tblPr>
        <w:tblStyle w:val="41"/>
        <w:tblW w:w="9059" w:type="dxa"/>
        <w:tblInd w:w="113" w:type="dxa"/>
        <w:tblLayout w:type="fixed"/>
        <w:tblCellMar>
          <w:top w:w="0" w:type="dxa"/>
          <w:left w:w="108" w:type="dxa"/>
          <w:bottom w:w="0" w:type="dxa"/>
          <w:right w:w="108" w:type="dxa"/>
        </w:tblCellMar>
      </w:tblPr>
      <w:tblGrid>
        <w:gridCol w:w="948"/>
        <w:gridCol w:w="755"/>
        <w:gridCol w:w="6879"/>
        <w:gridCol w:w="477"/>
      </w:tblGrid>
      <w:tr>
        <w:tblPrEx>
          <w:tblCellMar>
            <w:top w:w="0" w:type="dxa"/>
            <w:left w:w="108" w:type="dxa"/>
            <w:bottom w:w="0" w:type="dxa"/>
            <w:right w:w="108" w:type="dxa"/>
          </w:tblCellMar>
        </w:tblPrEx>
        <w:trPr>
          <w:trHeight w:val="430" w:hRule="atLeast"/>
        </w:trPr>
        <w:tc>
          <w:tcPr>
            <w:tcW w:w="17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lang w:eastAsia="zh-CN"/>
              </w:rPr>
            </w:pPr>
            <w:r>
              <w:rPr>
                <w:rFonts w:hint="eastAsia" w:ascii="仿宋" w:hAnsi="仿宋" w:eastAsia="仿宋" w:cs="宋体"/>
                <w:b/>
                <w:bCs/>
                <w:color w:val="000000"/>
                <w:lang w:eastAsia="zh-CN"/>
              </w:rPr>
              <w:t>评分项</w:t>
            </w:r>
          </w:p>
        </w:tc>
        <w:tc>
          <w:tcPr>
            <w:tcW w:w="68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lang w:eastAsia="zh-CN"/>
              </w:rPr>
            </w:pPr>
            <w:r>
              <w:rPr>
                <w:rFonts w:hint="eastAsia" w:ascii="仿宋" w:hAnsi="仿宋" w:eastAsia="仿宋" w:cs="宋体"/>
                <w:b/>
                <w:bCs/>
                <w:color w:val="000000"/>
                <w:lang w:eastAsia="zh-CN"/>
              </w:rPr>
              <w:t>评审标准</w:t>
            </w:r>
          </w:p>
        </w:tc>
        <w:tc>
          <w:tcPr>
            <w:tcW w:w="4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lang w:eastAsia="zh-CN"/>
              </w:rPr>
            </w:pPr>
            <w:r>
              <w:rPr>
                <w:rFonts w:hint="eastAsia" w:ascii="仿宋" w:hAnsi="仿宋" w:eastAsia="仿宋" w:cs="宋体"/>
                <w:b/>
                <w:bCs/>
                <w:color w:val="000000"/>
                <w:lang w:eastAsia="zh-CN"/>
              </w:rPr>
              <w:t>分值</w:t>
            </w:r>
          </w:p>
        </w:tc>
      </w:tr>
      <w:tr>
        <w:tblPrEx>
          <w:tblCellMar>
            <w:top w:w="0" w:type="dxa"/>
            <w:left w:w="108" w:type="dxa"/>
            <w:bottom w:w="0" w:type="dxa"/>
            <w:right w:w="108" w:type="dxa"/>
          </w:tblCellMar>
        </w:tblPrEx>
        <w:trPr>
          <w:trHeight w:val="640" w:hRule="atLeast"/>
        </w:trPr>
        <w:tc>
          <w:tcPr>
            <w:tcW w:w="948" w:type="dxa"/>
            <w:tcBorders>
              <w:top w:val="nil"/>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color w:val="auto"/>
                <w:highlight w:val="none"/>
                <w:lang w:eastAsia="zh-CN"/>
              </w:rPr>
            </w:pPr>
            <w:r>
              <w:rPr>
                <w:rFonts w:hint="eastAsia" w:ascii="仿宋" w:hAnsi="仿宋" w:eastAsia="仿宋" w:cs="宋体"/>
                <w:color w:val="auto"/>
                <w:highlight w:val="none"/>
                <w:lang w:eastAsia="zh-CN"/>
              </w:rPr>
              <w:t>价格部分（</w:t>
            </w:r>
            <w:r>
              <w:rPr>
                <w:rFonts w:hint="eastAsia" w:ascii="仿宋" w:hAnsi="仿宋" w:eastAsia="仿宋" w:cs="宋体"/>
                <w:color w:val="auto"/>
                <w:highlight w:val="none"/>
                <w:lang w:val="en-US" w:eastAsia="zh-CN"/>
              </w:rPr>
              <w:t>20</w:t>
            </w:r>
            <w:r>
              <w:rPr>
                <w:rFonts w:hint="eastAsia" w:ascii="仿宋" w:hAnsi="仿宋" w:eastAsia="仿宋" w:cs="宋体"/>
                <w:color w:val="auto"/>
                <w:highlight w:val="none"/>
                <w:lang w:eastAsia="zh-CN"/>
              </w:rPr>
              <w:t>分）</w:t>
            </w:r>
          </w:p>
        </w:tc>
        <w:tc>
          <w:tcPr>
            <w:tcW w:w="7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highlight w:val="none"/>
                <w:lang w:eastAsia="zh-CN"/>
              </w:rPr>
            </w:pPr>
            <w:r>
              <w:rPr>
                <w:rFonts w:hint="eastAsia" w:ascii="仿宋" w:hAnsi="仿宋" w:eastAsia="仿宋" w:cs="宋体"/>
                <w:color w:val="auto"/>
                <w:sz w:val="21"/>
                <w:szCs w:val="21"/>
                <w:highlight w:val="none"/>
                <w:lang w:eastAsia="zh-CN"/>
              </w:rPr>
              <w:t>报价方案</w:t>
            </w:r>
          </w:p>
        </w:tc>
        <w:tc>
          <w:tcPr>
            <w:tcW w:w="6879" w:type="dxa"/>
            <w:tcBorders>
              <w:top w:val="nil"/>
              <w:left w:val="nil"/>
              <w:bottom w:val="single" w:color="auto" w:sz="4" w:space="0"/>
              <w:right w:val="single" w:color="auto" w:sz="4" w:space="0"/>
            </w:tcBorders>
            <w:shd w:val="clear" w:color="auto" w:fill="auto"/>
            <w:vAlign w:val="center"/>
          </w:tcPr>
          <w:p>
            <w:pPr>
              <w:widowControl/>
              <w:jc w:val="both"/>
              <w:rPr>
                <w:rFonts w:ascii="仿宋" w:hAnsi="仿宋" w:eastAsia="仿宋" w:cs="宋体"/>
                <w:color w:val="auto"/>
                <w:highlight w:val="none"/>
                <w:lang w:eastAsia="zh-CN"/>
              </w:rPr>
            </w:pPr>
            <w:r>
              <w:rPr>
                <w:rFonts w:hint="eastAsia" w:ascii="仿宋" w:hAnsi="仿宋" w:eastAsia="仿宋" w:cs="宋体"/>
                <w:color w:val="auto"/>
                <w:highlight w:val="none"/>
                <w:lang w:eastAsia="zh-CN"/>
              </w:rPr>
              <w:t>完全满足招标文件参数的投标报价中的最低价为评标基准价，按照下列公式计算每个投标人的投标价格得分。投标报价得分＝（基准价/投标报价）×价格权重×100。</w:t>
            </w:r>
          </w:p>
        </w:tc>
        <w:tc>
          <w:tcPr>
            <w:tcW w:w="4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lang w:eastAsia="zh-CN"/>
              </w:rPr>
            </w:pPr>
            <w:r>
              <w:rPr>
                <w:rFonts w:hint="eastAsia" w:ascii="仿宋" w:hAnsi="仿宋" w:eastAsia="仿宋" w:cs="宋体"/>
                <w:color w:val="auto"/>
                <w:lang w:val="en-US" w:eastAsia="zh-CN"/>
              </w:rPr>
              <w:t>20</w:t>
            </w:r>
          </w:p>
        </w:tc>
      </w:tr>
      <w:tr>
        <w:tblPrEx>
          <w:tblCellMar>
            <w:top w:w="0" w:type="dxa"/>
            <w:left w:w="108" w:type="dxa"/>
            <w:bottom w:w="0" w:type="dxa"/>
            <w:right w:w="108" w:type="dxa"/>
          </w:tblCellMar>
        </w:tblPrEx>
        <w:trPr>
          <w:trHeight w:val="1485" w:hRule="atLeast"/>
        </w:trPr>
        <w:tc>
          <w:tcPr>
            <w:tcW w:w="94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lang w:eastAsia="zh-CN"/>
              </w:rPr>
            </w:pPr>
            <w:r>
              <w:rPr>
                <w:rFonts w:hint="eastAsia" w:ascii="仿宋" w:hAnsi="仿宋" w:eastAsia="仿宋" w:cs="宋体"/>
                <w:color w:val="000000"/>
                <w:lang w:eastAsia="zh-CN"/>
              </w:rPr>
              <w:t>商务部分</w:t>
            </w:r>
          </w:p>
          <w:p>
            <w:pPr>
              <w:widowControl/>
              <w:jc w:val="center"/>
              <w:rPr>
                <w:rFonts w:ascii="仿宋" w:hAnsi="仿宋" w:eastAsia="仿宋" w:cs="宋体"/>
                <w:color w:val="000000"/>
                <w:lang w:eastAsia="zh-CN"/>
              </w:rPr>
            </w:pPr>
            <w:r>
              <w:rPr>
                <w:rFonts w:hint="eastAsia" w:ascii="仿宋" w:hAnsi="仿宋" w:eastAsia="仿宋" w:cs="宋体"/>
                <w:color w:val="000000"/>
                <w:lang w:eastAsia="zh-CN"/>
              </w:rPr>
              <w:t>（25分）</w:t>
            </w:r>
          </w:p>
        </w:tc>
        <w:tc>
          <w:tcPr>
            <w:tcW w:w="75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lang w:eastAsia="zh-CN"/>
              </w:rPr>
            </w:pPr>
            <w:r>
              <w:rPr>
                <w:rFonts w:hint="eastAsia" w:ascii="仿宋" w:hAnsi="仿宋" w:eastAsia="仿宋" w:cs="宋体"/>
                <w:color w:val="auto"/>
                <w:lang w:eastAsia="zh-CN"/>
              </w:rPr>
              <w:t>企业实力</w:t>
            </w:r>
          </w:p>
        </w:tc>
        <w:tc>
          <w:tcPr>
            <w:tcW w:w="687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auto"/>
                <w:lang w:eastAsia="zh-CN"/>
              </w:rPr>
            </w:pPr>
            <w:r>
              <w:rPr>
                <w:rFonts w:hint="eastAsia" w:ascii="仿宋" w:hAnsi="仿宋" w:eastAsia="仿宋" w:cs="宋体"/>
                <w:color w:val="auto"/>
                <w:lang w:eastAsia="zh-CN"/>
              </w:rPr>
              <w:t>投标人具有</w:t>
            </w:r>
          </w:p>
          <w:p>
            <w:pPr>
              <w:widowControl/>
              <w:rPr>
                <w:rFonts w:ascii="仿宋" w:hAnsi="仿宋" w:eastAsia="仿宋" w:cs="宋体"/>
                <w:color w:val="auto"/>
                <w:lang w:eastAsia="zh-CN"/>
              </w:rPr>
            </w:pPr>
            <w:r>
              <w:rPr>
                <w:rFonts w:hint="eastAsia" w:ascii="仿宋" w:hAnsi="仿宋" w:eastAsia="仿宋" w:cs="宋体"/>
                <w:color w:val="auto"/>
                <w:lang w:eastAsia="zh-CN"/>
              </w:rPr>
              <w:t>1、 IT 服务管理体系认证证书；</w:t>
            </w:r>
          </w:p>
          <w:p>
            <w:pPr>
              <w:widowControl/>
              <w:rPr>
                <w:rFonts w:ascii="仿宋" w:hAnsi="仿宋" w:eastAsia="仿宋" w:cs="宋体"/>
                <w:color w:val="auto"/>
                <w:lang w:eastAsia="zh-CN"/>
              </w:rPr>
            </w:pPr>
            <w:r>
              <w:rPr>
                <w:rFonts w:hint="eastAsia" w:ascii="仿宋" w:hAnsi="仿宋" w:eastAsia="仿宋" w:cs="宋体"/>
                <w:color w:val="auto"/>
                <w:lang w:eastAsia="zh-CN"/>
              </w:rPr>
              <w:t>2、 信息安全管理体系认证证书；</w:t>
            </w:r>
          </w:p>
          <w:p>
            <w:pPr>
              <w:widowControl/>
              <w:rPr>
                <w:rFonts w:ascii="仿宋" w:hAnsi="仿宋" w:eastAsia="仿宋" w:cs="宋体"/>
                <w:color w:val="auto"/>
                <w:lang w:eastAsia="zh-CN"/>
              </w:rPr>
            </w:pPr>
            <w:r>
              <w:rPr>
                <w:rFonts w:hint="eastAsia" w:ascii="仿宋" w:hAnsi="仿宋" w:eastAsia="仿宋" w:cs="宋体"/>
                <w:color w:val="auto"/>
                <w:lang w:eastAsia="zh-CN"/>
              </w:rPr>
              <w:t>3、质量管理体系认证证书；</w:t>
            </w:r>
          </w:p>
          <w:p>
            <w:pPr>
              <w:widowControl/>
              <w:rPr>
                <w:rFonts w:ascii="仿宋" w:hAnsi="仿宋" w:eastAsia="仿宋" w:cs="宋体"/>
                <w:color w:val="auto"/>
                <w:lang w:eastAsia="zh-CN"/>
              </w:rPr>
            </w:pPr>
            <w:r>
              <w:rPr>
                <w:rFonts w:hint="eastAsia" w:ascii="仿宋" w:hAnsi="仿宋" w:eastAsia="仿宋" w:cs="宋体"/>
                <w:color w:val="auto"/>
                <w:lang w:eastAsia="zh-CN"/>
              </w:rPr>
              <w:t>4、企业社会责任管体系认证。</w:t>
            </w:r>
          </w:p>
          <w:p>
            <w:pPr>
              <w:widowControl/>
              <w:rPr>
                <w:rFonts w:ascii="仿宋" w:hAnsi="仿宋" w:eastAsia="仿宋" w:cs="宋体"/>
                <w:color w:val="auto"/>
                <w:lang w:eastAsia="zh-CN"/>
              </w:rPr>
            </w:pPr>
            <w:r>
              <w:rPr>
                <w:rFonts w:hint="eastAsia" w:ascii="仿宋" w:hAnsi="仿宋" w:eastAsia="仿宋" w:cs="宋体"/>
                <w:color w:val="auto"/>
                <w:lang w:eastAsia="zh-CN"/>
              </w:rPr>
              <w:t>全部具备得4分，缺一项扣</w:t>
            </w:r>
            <w:r>
              <w:rPr>
                <w:rFonts w:hint="eastAsia" w:ascii="仿宋" w:hAnsi="仿宋" w:eastAsia="仿宋" w:cs="宋体"/>
                <w:color w:val="auto"/>
                <w:lang w:val="en-US" w:eastAsia="zh-CN"/>
              </w:rPr>
              <w:t>1</w:t>
            </w:r>
            <w:r>
              <w:rPr>
                <w:rFonts w:hint="eastAsia" w:ascii="仿宋" w:hAnsi="仿宋" w:eastAsia="仿宋" w:cs="宋体"/>
                <w:color w:val="auto"/>
                <w:lang w:eastAsia="zh-CN"/>
              </w:rPr>
              <w:t>分，扣完为止。</w:t>
            </w:r>
            <w:r>
              <w:rPr>
                <w:rFonts w:hint="eastAsia" w:ascii="仿宋" w:hAnsi="仿宋" w:eastAsia="仿宋" w:cs="宋体"/>
                <w:b/>
                <w:bCs/>
                <w:color w:val="auto"/>
                <w:lang w:eastAsia="zh-CN"/>
              </w:rPr>
              <w:t>以上证书需提供有效期内的证书扫描件并加盖投标人鲜章或电子公章，否则不得分。</w:t>
            </w:r>
          </w:p>
        </w:tc>
        <w:tc>
          <w:tcPr>
            <w:tcW w:w="4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lang w:eastAsia="zh-CN"/>
              </w:rPr>
            </w:pPr>
            <w:r>
              <w:rPr>
                <w:rFonts w:hint="eastAsia" w:ascii="仿宋" w:hAnsi="仿宋" w:eastAsia="仿宋" w:cs="宋体"/>
                <w:color w:val="000000"/>
                <w:lang w:eastAsia="zh-CN"/>
              </w:rPr>
              <w:t>4</w:t>
            </w:r>
          </w:p>
        </w:tc>
      </w:tr>
      <w:tr>
        <w:tblPrEx>
          <w:tblCellMar>
            <w:top w:w="0" w:type="dxa"/>
            <w:left w:w="108" w:type="dxa"/>
            <w:bottom w:w="0" w:type="dxa"/>
            <w:right w:w="108" w:type="dxa"/>
          </w:tblCellMar>
        </w:tblPrEx>
        <w:trPr>
          <w:trHeight w:val="296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s="宋体"/>
                <w:color w:val="000000"/>
                <w:lang w:eastAsia="zh-CN"/>
              </w:rPr>
            </w:pPr>
          </w:p>
        </w:tc>
        <w:tc>
          <w:tcPr>
            <w:tcW w:w="755"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s="宋体"/>
                <w:color w:val="auto"/>
                <w:lang w:eastAsia="zh-CN"/>
              </w:rPr>
            </w:pPr>
          </w:p>
        </w:tc>
        <w:tc>
          <w:tcPr>
            <w:tcW w:w="687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auto"/>
                <w:lang w:eastAsia="zh-CN"/>
              </w:rPr>
            </w:pPr>
            <w:r>
              <w:rPr>
                <w:rFonts w:hint="eastAsia" w:ascii="仿宋" w:hAnsi="仿宋" w:eastAsia="仿宋" w:cs="宋体"/>
                <w:color w:val="auto"/>
                <w:lang w:eastAsia="zh-CN"/>
              </w:rPr>
              <w:t>投标人具有以下服务资质证书：</w:t>
            </w:r>
          </w:p>
          <w:p>
            <w:pPr>
              <w:widowControl/>
              <w:rPr>
                <w:rFonts w:ascii="仿宋" w:hAnsi="仿宋" w:eastAsia="仿宋" w:cs="宋体"/>
                <w:color w:val="auto"/>
                <w:lang w:eastAsia="zh-CN"/>
              </w:rPr>
            </w:pPr>
            <w:r>
              <w:rPr>
                <w:rFonts w:hint="eastAsia" w:ascii="仿宋" w:hAnsi="仿宋" w:eastAsia="仿宋" w:cs="宋体"/>
                <w:color w:val="auto"/>
                <w:lang w:eastAsia="zh-CN"/>
              </w:rPr>
              <w:t>（1）信息系统建设和服务能力三级及以上，具备四级得1分，具备三级得0.5分，不具备不得分；</w:t>
            </w:r>
          </w:p>
          <w:p>
            <w:pPr>
              <w:widowControl/>
              <w:rPr>
                <w:rFonts w:ascii="仿宋" w:hAnsi="仿宋" w:eastAsia="仿宋" w:cs="宋体"/>
                <w:color w:val="auto"/>
                <w:lang w:eastAsia="zh-CN"/>
              </w:rPr>
            </w:pPr>
            <w:r>
              <w:rPr>
                <w:rFonts w:hint="eastAsia" w:ascii="仿宋" w:hAnsi="仿宋" w:eastAsia="仿宋" w:cs="宋体"/>
                <w:color w:val="auto"/>
                <w:lang w:eastAsia="zh-CN"/>
              </w:rPr>
              <w:t>（2）能力成熟度模型CMMI5认证证书，具备的1分，不具备不得分；</w:t>
            </w:r>
          </w:p>
          <w:p>
            <w:pPr>
              <w:widowControl/>
              <w:rPr>
                <w:rFonts w:ascii="仿宋" w:hAnsi="仿宋" w:eastAsia="仿宋" w:cs="宋体"/>
                <w:color w:val="auto"/>
                <w:lang w:eastAsia="zh-CN"/>
              </w:rPr>
            </w:pPr>
            <w:r>
              <w:rPr>
                <w:rFonts w:hint="eastAsia" w:ascii="仿宋" w:hAnsi="仿宋" w:eastAsia="仿宋" w:cs="宋体"/>
                <w:color w:val="auto"/>
                <w:lang w:eastAsia="zh-CN"/>
              </w:rPr>
              <w:t>（3）信息技术服务标准符合性证书(咨询设计)，得1.5分；</w:t>
            </w:r>
          </w:p>
          <w:p>
            <w:pPr>
              <w:widowControl/>
              <w:rPr>
                <w:rFonts w:ascii="仿宋" w:hAnsi="仿宋" w:eastAsia="仿宋" w:cs="宋体"/>
                <w:color w:val="auto"/>
                <w:lang w:eastAsia="zh-CN"/>
              </w:rPr>
            </w:pPr>
            <w:r>
              <w:rPr>
                <w:rFonts w:hint="eastAsia" w:ascii="仿宋" w:hAnsi="仿宋" w:eastAsia="仿宋" w:cs="宋体"/>
                <w:color w:val="auto"/>
                <w:lang w:eastAsia="zh-CN"/>
              </w:rPr>
              <w:t>（4）信息技术服务标准符合性证书(运行维护)，一级得1.5分，二级得0.5分，其他不得分；</w:t>
            </w:r>
          </w:p>
          <w:p>
            <w:pPr>
              <w:widowControl/>
              <w:rPr>
                <w:rFonts w:ascii="仿宋" w:hAnsi="仿宋" w:eastAsia="仿宋" w:cs="宋体"/>
                <w:color w:val="auto"/>
                <w:lang w:eastAsia="zh-CN"/>
              </w:rPr>
            </w:pPr>
            <w:r>
              <w:rPr>
                <w:rFonts w:hint="eastAsia" w:ascii="仿宋" w:hAnsi="仿宋" w:eastAsia="仿宋" w:cs="宋体"/>
                <w:color w:val="auto"/>
                <w:lang w:eastAsia="zh-CN"/>
              </w:rPr>
              <w:t>（5）中国网络安全审查技术与认证中心颁发的信息安全服务资质认证(软件安全开发)，一级得1.5分，二级得0.5分，其他不得分；</w:t>
            </w:r>
          </w:p>
          <w:p>
            <w:pPr>
              <w:widowControl/>
              <w:rPr>
                <w:rFonts w:ascii="仿宋" w:hAnsi="仿宋" w:eastAsia="仿宋" w:cs="宋体"/>
                <w:color w:val="auto"/>
                <w:lang w:eastAsia="zh-CN"/>
              </w:rPr>
            </w:pPr>
            <w:r>
              <w:rPr>
                <w:rFonts w:hint="eastAsia" w:ascii="仿宋" w:hAnsi="仿宋" w:eastAsia="仿宋" w:cs="宋体"/>
                <w:color w:val="auto"/>
                <w:lang w:eastAsia="zh-CN"/>
              </w:rPr>
              <w:t>（6）中国网络安全审查技术与认证中心颁发的信息安全服务资质认证(安全运维)，一级得1.5分，二级得0.5分，其他不得分。</w:t>
            </w:r>
          </w:p>
          <w:p>
            <w:pPr>
              <w:widowControl/>
              <w:rPr>
                <w:rFonts w:ascii="仿宋" w:hAnsi="仿宋" w:eastAsia="仿宋" w:cs="宋体"/>
                <w:color w:val="auto"/>
                <w:lang w:eastAsia="zh-CN"/>
              </w:rPr>
            </w:pPr>
            <w:r>
              <w:rPr>
                <w:rFonts w:hint="eastAsia" w:ascii="仿宋" w:hAnsi="仿宋" w:eastAsia="仿宋" w:cs="宋体"/>
                <w:b/>
                <w:bCs/>
                <w:color w:val="auto"/>
                <w:lang w:eastAsia="zh-CN"/>
              </w:rPr>
              <w:t>以上证书需提供有效期内的证书扫描件并加盖投标人鲜章或电子公章，否则不得分。</w:t>
            </w:r>
          </w:p>
        </w:tc>
        <w:tc>
          <w:tcPr>
            <w:tcW w:w="4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lang w:eastAsia="zh-CN"/>
              </w:rPr>
            </w:pPr>
            <w:r>
              <w:rPr>
                <w:rFonts w:hint="eastAsia" w:ascii="仿宋" w:hAnsi="仿宋" w:eastAsia="仿宋" w:cs="宋体"/>
                <w:color w:val="000000"/>
                <w:lang w:eastAsia="zh-CN"/>
              </w:rPr>
              <w:t>8</w:t>
            </w:r>
          </w:p>
        </w:tc>
      </w:tr>
      <w:tr>
        <w:tblPrEx>
          <w:tblCellMar>
            <w:top w:w="0" w:type="dxa"/>
            <w:left w:w="108" w:type="dxa"/>
            <w:bottom w:w="0" w:type="dxa"/>
            <w:right w:w="108" w:type="dxa"/>
          </w:tblCellMar>
        </w:tblPrEx>
        <w:trPr>
          <w:trHeight w:val="1485"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s="宋体"/>
                <w:color w:val="000000"/>
                <w:lang w:eastAsia="zh-CN"/>
              </w:rPr>
            </w:pPr>
          </w:p>
        </w:tc>
        <w:tc>
          <w:tcPr>
            <w:tcW w:w="7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lang w:eastAsia="zh-CN"/>
              </w:rPr>
            </w:pPr>
            <w:r>
              <w:rPr>
                <w:rFonts w:hint="eastAsia" w:ascii="仿宋" w:hAnsi="仿宋" w:eastAsia="仿宋" w:cs="宋体"/>
                <w:color w:val="auto"/>
                <w:lang w:eastAsia="zh-CN"/>
              </w:rPr>
              <w:t>类似业绩</w:t>
            </w:r>
          </w:p>
        </w:tc>
        <w:tc>
          <w:tcPr>
            <w:tcW w:w="687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auto"/>
                <w:lang w:eastAsia="zh-CN"/>
              </w:rPr>
            </w:pPr>
            <w:r>
              <w:rPr>
                <w:rFonts w:hint="eastAsia" w:ascii="仿宋" w:hAnsi="仿宋" w:eastAsia="仿宋" w:cs="宋体"/>
                <w:color w:val="auto"/>
                <w:lang w:eastAsia="zh-CN"/>
              </w:rPr>
              <w:t>投标人提供2020年1月1日以来</w:t>
            </w:r>
            <w:r>
              <w:rPr>
                <w:rFonts w:hint="eastAsia" w:ascii="仿宋" w:hAnsi="仿宋" w:eastAsia="仿宋" w:cs="宋体"/>
                <w:color w:val="auto"/>
                <w:highlight w:val="none"/>
                <w:lang w:eastAsia="zh-CN"/>
              </w:rPr>
              <w:t>类似信息化项目的业绩，每提供一个满足要求的类似业绩得1分，满分</w:t>
            </w:r>
            <w:r>
              <w:rPr>
                <w:rFonts w:hint="eastAsia" w:ascii="仿宋" w:hAnsi="仿宋" w:eastAsia="仿宋" w:cs="宋体"/>
                <w:color w:val="auto"/>
                <w:lang w:eastAsia="zh-CN"/>
              </w:rPr>
              <w:t>5分。</w:t>
            </w:r>
          </w:p>
          <w:p>
            <w:pPr>
              <w:widowControl/>
              <w:rPr>
                <w:rFonts w:ascii="仿宋" w:hAnsi="仿宋" w:eastAsia="仿宋" w:cs="宋体"/>
                <w:color w:val="auto"/>
                <w:lang w:eastAsia="zh-CN"/>
              </w:rPr>
            </w:pPr>
            <w:r>
              <w:rPr>
                <w:rFonts w:hint="eastAsia" w:ascii="仿宋" w:hAnsi="仿宋" w:eastAsia="仿宋" w:cs="宋体"/>
                <w:color w:val="auto"/>
                <w:lang w:eastAsia="zh-CN"/>
              </w:rPr>
              <w:t>注：</w:t>
            </w:r>
          </w:p>
          <w:p>
            <w:pPr>
              <w:widowControl/>
              <w:rPr>
                <w:rFonts w:ascii="仿宋" w:hAnsi="仿宋" w:eastAsia="仿宋" w:cs="宋体"/>
                <w:color w:val="auto"/>
                <w:lang w:eastAsia="zh-CN"/>
              </w:rPr>
            </w:pPr>
            <w:r>
              <w:rPr>
                <w:rFonts w:hint="eastAsia" w:ascii="仿宋" w:hAnsi="仿宋" w:eastAsia="仿宋" w:cs="宋体"/>
                <w:color w:val="auto"/>
                <w:lang w:eastAsia="zh-CN"/>
              </w:rPr>
              <w:t>（1）合同日期以合同签订时间为准；</w:t>
            </w:r>
          </w:p>
          <w:p>
            <w:pPr>
              <w:widowControl/>
              <w:rPr>
                <w:rFonts w:ascii="仿宋" w:hAnsi="仿宋" w:eastAsia="仿宋" w:cs="宋体"/>
                <w:color w:val="auto"/>
                <w:lang w:eastAsia="zh-CN"/>
              </w:rPr>
            </w:pPr>
            <w:r>
              <w:rPr>
                <w:rFonts w:hint="eastAsia" w:ascii="仿宋" w:hAnsi="仿宋" w:eastAsia="仿宋" w:cs="宋体"/>
                <w:color w:val="auto"/>
                <w:lang w:eastAsia="zh-CN"/>
              </w:rPr>
              <w:t>（2）须提供采购合同关键页扫描件并加盖供应商公章。合同关键页包括但不限于合同首页、合同金额、合同标的物、签章页等，</w:t>
            </w:r>
            <w:r>
              <w:rPr>
                <w:rFonts w:hint="eastAsia" w:ascii="仿宋" w:hAnsi="仿宋" w:eastAsia="仿宋" w:cs="宋体"/>
                <w:b/>
                <w:bCs/>
                <w:color w:val="auto"/>
                <w:lang w:eastAsia="zh-CN"/>
              </w:rPr>
              <w:t>不提供或未按要求提供的均不得分。</w:t>
            </w:r>
          </w:p>
        </w:tc>
        <w:tc>
          <w:tcPr>
            <w:tcW w:w="4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lang w:eastAsia="zh-CN"/>
              </w:rPr>
            </w:pPr>
            <w:r>
              <w:rPr>
                <w:rFonts w:hint="eastAsia" w:ascii="仿宋" w:hAnsi="仿宋" w:eastAsia="仿宋" w:cs="宋体"/>
                <w:color w:val="000000"/>
                <w:lang w:eastAsia="zh-CN"/>
              </w:rPr>
              <w:t>5</w:t>
            </w:r>
          </w:p>
        </w:tc>
      </w:tr>
      <w:tr>
        <w:tblPrEx>
          <w:tblCellMar>
            <w:top w:w="0" w:type="dxa"/>
            <w:left w:w="108" w:type="dxa"/>
            <w:bottom w:w="0" w:type="dxa"/>
            <w:right w:w="108" w:type="dxa"/>
          </w:tblCellMar>
        </w:tblPrEx>
        <w:trPr>
          <w:trHeight w:val="5284"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s="宋体"/>
                <w:color w:val="000000"/>
                <w:lang w:eastAsia="zh-CN"/>
              </w:rPr>
            </w:pPr>
          </w:p>
        </w:tc>
        <w:tc>
          <w:tcPr>
            <w:tcW w:w="7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highlight w:val="none"/>
                <w:lang w:eastAsia="zh-CN"/>
              </w:rPr>
            </w:pPr>
            <w:r>
              <w:rPr>
                <w:rFonts w:hint="eastAsia" w:ascii="仿宋" w:hAnsi="仿宋" w:eastAsia="仿宋" w:cs="宋体"/>
                <w:color w:val="auto"/>
                <w:highlight w:val="none"/>
                <w:lang w:eastAsia="zh-CN"/>
              </w:rPr>
              <w:t>人员配置</w:t>
            </w:r>
          </w:p>
        </w:tc>
        <w:tc>
          <w:tcPr>
            <w:tcW w:w="687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auto"/>
                <w:highlight w:val="none"/>
                <w:lang w:eastAsia="zh-CN"/>
              </w:rPr>
            </w:pPr>
            <w:r>
              <w:rPr>
                <w:rFonts w:hint="eastAsia" w:ascii="仿宋" w:hAnsi="仿宋" w:eastAsia="仿宋" w:cs="宋体"/>
                <w:color w:val="auto"/>
                <w:highlight w:val="none"/>
                <w:lang w:eastAsia="zh-CN"/>
              </w:rPr>
              <w:t>1、投标人拟派的项目经理具有：</w:t>
            </w:r>
          </w:p>
          <w:p>
            <w:pPr>
              <w:widowControl/>
              <w:rPr>
                <w:rFonts w:ascii="仿宋" w:hAnsi="仿宋" w:eastAsia="仿宋" w:cs="宋体"/>
                <w:color w:val="auto"/>
                <w:highlight w:val="none"/>
                <w:lang w:eastAsia="zh-CN"/>
              </w:rPr>
            </w:pPr>
            <w:r>
              <w:rPr>
                <w:rFonts w:hint="eastAsia" w:ascii="仿宋" w:hAnsi="仿宋" w:eastAsia="仿宋" w:cs="宋体"/>
                <w:color w:val="auto"/>
                <w:highlight w:val="none"/>
                <w:lang w:eastAsia="zh-CN"/>
              </w:rPr>
              <w:t>（1）信息系统项目管理师证书。</w:t>
            </w:r>
          </w:p>
          <w:p>
            <w:pPr>
              <w:widowControl/>
              <w:rPr>
                <w:rFonts w:ascii="仿宋" w:hAnsi="仿宋" w:eastAsia="仿宋" w:cs="宋体"/>
                <w:color w:val="auto"/>
                <w:highlight w:val="none"/>
                <w:lang w:eastAsia="zh-CN"/>
              </w:rPr>
            </w:pPr>
            <w:r>
              <w:rPr>
                <w:rFonts w:hint="eastAsia" w:ascii="仿宋" w:hAnsi="仿宋" w:eastAsia="仿宋" w:cs="宋体"/>
                <w:color w:val="auto"/>
                <w:highlight w:val="none"/>
                <w:lang w:eastAsia="zh-CN"/>
              </w:rPr>
              <w:t>（2）系统规划与管理师证书。</w:t>
            </w:r>
          </w:p>
          <w:p>
            <w:pPr>
              <w:widowControl/>
              <w:rPr>
                <w:rFonts w:ascii="仿宋" w:hAnsi="仿宋" w:eastAsia="仿宋" w:cs="宋体"/>
                <w:color w:val="auto"/>
                <w:highlight w:val="none"/>
                <w:lang w:eastAsia="zh-CN"/>
              </w:rPr>
            </w:pPr>
            <w:r>
              <w:rPr>
                <w:rFonts w:hint="eastAsia" w:ascii="仿宋" w:hAnsi="仿宋" w:eastAsia="仿宋" w:cs="宋体"/>
                <w:color w:val="auto"/>
                <w:highlight w:val="none"/>
                <w:lang w:eastAsia="zh-CN"/>
              </w:rPr>
              <w:t>（3）系统分析师证书。</w:t>
            </w:r>
          </w:p>
          <w:p>
            <w:pPr>
              <w:widowControl/>
              <w:rPr>
                <w:rFonts w:ascii="仿宋" w:hAnsi="仿宋" w:eastAsia="仿宋" w:cs="宋体"/>
                <w:color w:val="auto"/>
                <w:highlight w:val="none"/>
                <w:lang w:eastAsia="zh-CN"/>
              </w:rPr>
            </w:pPr>
            <w:r>
              <w:rPr>
                <w:rFonts w:hint="eastAsia" w:ascii="仿宋" w:hAnsi="仿宋" w:eastAsia="仿宋" w:cs="宋体"/>
                <w:color w:val="auto"/>
                <w:highlight w:val="none"/>
                <w:lang w:eastAsia="zh-CN"/>
              </w:rPr>
              <w:t>（4）信息安全保障人员认证证书（CISAW）。</w:t>
            </w:r>
          </w:p>
          <w:p>
            <w:pPr>
              <w:widowControl/>
              <w:rPr>
                <w:rFonts w:ascii="仿宋" w:hAnsi="仿宋" w:eastAsia="仿宋" w:cs="宋体"/>
                <w:color w:val="auto"/>
                <w:highlight w:val="none"/>
                <w:lang w:eastAsia="zh-CN"/>
              </w:rPr>
            </w:pPr>
            <w:r>
              <w:rPr>
                <w:rFonts w:hint="eastAsia" w:ascii="仿宋" w:hAnsi="仿宋" w:eastAsia="仿宋" w:cs="宋体"/>
                <w:b/>
                <w:bCs/>
                <w:color w:val="auto"/>
                <w:highlight w:val="none"/>
                <w:lang w:eastAsia="zh-CN"/>
              </w:rPr>
              <w:t>完全满足得2分，每有一项不满足扣</w:t>
            </w:r>
            <w:r>
              <w:rPr>
                <w:rFonts w:hint="eastAsia" w:ascii="仿宋" w:hAnsi="仿宋" w:eastAsia="仿宋" w:cs="宋体"/>
                <w:b/>
                <w:bCs/>
                <w:color w:val="auto"/>
                <w:highlight w:val="none"/>
                <w:lang w:val="en-US" w:eastAsia="zh-CN"/>
              </w:rPr>
              <w:t>0.5</w:t>
            </w:r>
            <w:r>
              <w:rPr>
                <w:rFonts w:hint="eastAsia" w:ascii="仿宋" w:hAnsi="仿宋" w:eastAsia="仿宋" w:cs="宋体"/>
                <w:b/>
                <w:bCs/>
                <w:color w:val="auto"/>
                <w:highlight w:val="none"/>
                <w:lang w:eastAsia="zh-CN"/>
              </w:rPr>
              <w:t>分，扣完为止。</w:t>
            </w:r>
          </w:p>
          <w:p>
            <w:pPr>
              <w:widowControl/>
              <w:rPr>
                <w:rFonts w:ascii="仿宋" w:hAnsi="仿宋" w:eastAsia="仿宋" w:cs="宋体"/>
                <w:color w:val="auto"/>
                <w:highlight w:val="none"/>
                <w:lang w:eastAsia="zh-CN"/>
              </w:rPr>
            </w:pPr>
            <w:r>
              <w:rPr>
                <w:rFonts w:hint="eastAsia" w:ascii="仿宋" w:hAnsi="仿宋" w:eastAsia="仿宋" w:cs="宋体"/>
                <w:color w:val="auto"/>
                <w:highlight w:val="none"/>
                <w:lang w:eastAsia="zh-CN"/>
              </w:rPr>
              <w:t>2、投标人拟派的项目技术负责人具有：</w:t>
            </w:r>
          </w:p>
          <w:p>
            <w:pPr>
              <w:widowControl/>
              <w:rPr>
                <w:rFonts w:ascii="仿宋" w:hAnsi="仿宋" w:eastAsia="仿宋" w:cs="宋体"/>
                <w:color w:val="auto"/>
                <w:highlight w:val="none"/>
                <w:lang w:eastAsia="zh-CN"/>
              </w:rPr>
            </w:pPr>
            <w:r>
              <w:rPr>
                <w:rFonts w:hint="eastAsia" w:ascii="仿宋" w:hAnsi="仿宋" w:eastAsia="仿宋" w:cs="宋体"/>
                <w:color w:val="auto"/>
                <w:highlight w:val="none"/>
                <w:lang w:eastAsia="zh-CN"/>
              </w:rPr>
              <w:t>（1）信息系统项目管理师证书</w:t>
            </w:r>
          </w:p>
          <w:p>
            <w:pPr>
              <w:widowControl/>
              <w:rPr>
                <w:rFonts w:ascii="仿宋" w:hAnsi="仿宋" w:eastAsia="仿宋" w:cs="宋体"/>
                <w:color w:val="auto"/>
                <w:highlight w:val="none"/>
                <w:lang w:eastAsia="zh-CN"/>
              </w:rPr>
            </w:pPr>
            <w:r>
              <w:rPr>
                <w:rFonts w:hint="eastAsia" w:ascii="仿宋" w:hAnsi="仿宋" w:eastAsia="仿宋" w:cs="宋体"/>
                <w:color w:val="auto"/>
                <w:highlight w:val="none"/>
                <w:lang w:eastAsia="zh-CN"/>
              </w:rPr>
              <w:t>（2）系统规划与管理师证书。</w:t>
            </w:r>
          </w:p>
          <w:p>
            <w:pPr>
              <w:widowControl/>
              <w:rPr>
                <w:rFonts w:ascii="仿宋" w:hAnsi="仿宋" w:eastAsia="仿宋" w:cs="宋体"/>
                <w:color w:val="auto"/>
                <w:highlight w:val="none"/>
                <w:lang w:eastAsia="zh-CN"/>
              </w:rPr>
            </w:pPr>
            <w:r>
              <w:rPr>
                <w:rFonts w:hint="eastAsia" w:ascii="仿宋" w:hAnsi="仿宋" w:eastAsia="仿宋" w:cs="宋体"/>
                <w:color w:val="auto"/>
                <w:highlight w:val="none"/>
                <w:lang w:eastAsia="zh-CN"/>
              </w:rPr>
              <w:t>（3）软件设计师证书。</w:t>
            </w:r>
          </w:p>
          <w:p>
            <w:pPr>
              <w:widowControl/>
              <w:rPr>
                <w:rFonts w:ascii="仿宋" w:hAnsi="仿宋" w:eastAsia="仿宋" w:cs="宋体"/>
                <w:color w:val="auto"/>
                <w:highlight w:val="none"/>
                <w:lang w:eastAsia="zh-CN"/>
              </w:rPr>
            </w:pPr>
            <w:r>
              <w:rPr>
                <w:rFonts w:hint="eastAsia" w:ascii="仿宋" w:hAnsi="仿宋" w:eastAsia="仿宋" w:cs="宋体"/>
                <w:b/>
                <w:bCs/>
                <w:color w:val="auto"/>
                <w:highlight w:val="none"/>
                <w:lang w:eastAsia="zh-CN"/>
              </w:rPr>
              <w:t>完全满足得1.5分，每有一项不满足扣</w:t>
            </w:r>
            <w:r>
              <w:rPr>
                <w:rFonts w:hint="eastAsia" w:ascii="仿宋" w:hAnsi="仿宋" w:eastAsia="仿宋" w:cs="宋体"/>
                <w:b/>
                <w:bCs/>
                <w:color w:val="auto"/>
                <w:highlight w:val="none"/>
                <w:lang w:val="en-US" w:eastAsia="zh-CN"/>
              </w:rPr>
              <w:t>0.5</w:t>
            </w:r>
            <w:r>
              <w:rPr>
                <w:rFonts w:hint="eastAsia" w:ascii="仿宋" w:hAnsi="仿宋" w:eastAsia="仿宋" w:cs="宋体"/>
                <w:b/>
                <w:bCs/>
                <w:color w:val="auto"/>
                <w:highlight w:val="none"/>
                <w:lang w:eastAsia="zh-CN"/>
              </w:rPr>
              <w:t>分，扣完为止。</w:t>
            </w:r>
          </w:p>
          <w:p>
            <w:pPr>
              <w:widowControl/>
              <w:rPr>
                <w:rFonts w:ascii="仿宋" w:hAnsi="仿宋" w:eastAsia="仿宋" w:cs="宋体"/>
                <w:color w:val="auto"/>
                <w:highlight w:val="none"/>
                <w:lang w:eastAsia="zh-CN"/>
              </w:rPr>
            </w:pPr>
            <w:r>
              <w:rPr>
                <w:rFonts w:hint="eastAsia" w:ascii="仿宋" w:hAnsi="仿宋" w:eastAsia="仿宋" w:cs="宋体"/>
                <w:color w:val="auto"/>
                <w:highlight w:val="none"/>
                <w:lang w:val="en-US" w:eastAsia="zh-CN"/>
              </w:rPr>
              <w:t>3</w:t>
            </w:r>
            <w:r>
              <w:rPr>
                <w:rFonts w:hint="eastAsia" w:ascii="仿宋" w:hAnsi="仿宋" w:eastAsia="仿宋" w:cs="宋体"/>
                <w:color w:val="auto"/>
                <w:highlight w:val="none"/>
                <w:lang w:eastAsia="zh-CN"/>
              </w:rPr>
              <w:t>、投标人拟派的项目实施负责人具有：</w:t>
            </w:r>
          </w:p>
          <w:p>
            <w:pPr>
              <w:widowControl/>
              <w:rPr>
                <w:rFonts w:ascii="仿宋" w:hAnsi="仿宋" w:eastAsia="仿宋" w:cs="宋体"/>
                <w:color w:val="auto"/>
                <w:highlight w:val="none"/>
                <w:lang w:eastAsia="zh-CN"/>
              </w:rPr>
            </w:pPr>
            <w:r>
              <w:rPr>
                <w:rFonts w:hint="eastAsia" w:ascii="仿宋" w:hAnsi="仿宋" w:eastAsia="仿宋" w:cs="宋体"/>
                <w:color w:val="auto"/>
                <w:highlight w:val="none"/>
                <w:lang w:eastAsia="zh-CN"/>
              </w:rPr>
              <w:t>（1）信息系统项目管理师证书。</w:t>
            </w:r>
          </w:p>
          <w:p>
            <w:pPr>
              <w:widowControl/>
              <w:rPr>
                <w:rFonts w:ascii="仿宋" w:hAnsi="仿宋" w:eastAsia="仿宋" w:cs="宋体"/>
                <w:color w:val="auto"/>
                <w:highlight w:val="none"/>
                <w:lang w:eastAsia="zh-CN"/>
              </w:rPr>
            </w:pPr>
            <w:r>
              <w:rPr>
                <w:rFonts w:hint="eastAsia" w:ascii="仿宋" w:hAnsi="仿宋" w:eastAsia="仿宋" w:cs="宋体"/>
                <w:color w:val="auto"/>
                <w:highlight w:val="none"/>
                <w:lang w:eastAsia="zh-CN"/>
              </w:rPr>
              <w:t>（2）系统规划与管理师证书。</w:t>
            </w:r>
          </w:p>
          <w:p>
            <w:pPr>
              <w:widowControl/>
              <w:rPr>
                <w:rFonts w:ascii="仿宋" w:hAnsi="仿宋" w:eastAsia="仿宋" w:cs="宋体"/>
                <w:color w:val="auto"/>
                <w:highlight w:val="none"/>
                <w:lang w:eastAsia="zh-CN"/>
              </w:rPr>
            </w:pPr>
            <w:r>
              <w:rPr>
                <w:rFonts w:hint="eastAsia" w:ascii="仿宋" w:hAnsi="仿宋" w:eastAsia="仿宋" w:cs="宋体"/>
                <w:color w:val="auto"/>
                <w:highlight w:val="none"/>
                <w:lang w:eastAsia="zh-CN"/>
              </w:rPr>
              <w:t>（3）ITSS IT服务项目经理证书。</w:t>
            </w:r>
          </w:p>
          <w:p>
            <w:pPr>
              <w:widowControl/>
              <w:rPr>
                <w:rFonts w:ascii="仿宋" w:hAnsi="仿宋" w:eastAsia="仿宋" w:cs="宋体"/>
                <w:color w:val="auto"/>
                <w:highlight w:val="none"/>
                <w:lang w:eastAsia="zh-CN"/>
              </w:rPr>
            </w:pPr>
            <w:r>
              <w:rPr>
                <w:rFonts w:hint="eastAsia" w:ascii="仿宋" w:hAnsi="仿宋" w:eastAsia="仿宋" w:cs="宋体"/>
                <w:b/>
                <w:bCs/>
                <w:color w:val="auto"/>
                <w:highlight w:val="none"/>
                <w:lang w:eastAsia="zh-CN"/>
              </w:rPr>
              <w:t>完全满足得1.5分，每有一项不满足扣</w:t>
            </w:r>
            <w:r>
              <w:rPr>
                <w:rFonts w:hint="eastAsia" w:ascii="仿宋" w:hAnsi="仿宋" w:eastAsia="仿宋" w:cs="宋体"/>
                <w:b/>
                <w:bCs/>
                <w:color w:val="auto"/>
                <w:highlight w:val="none"/>
                <w:lang w:val="en-US" w:eastAsia="zh-CN"/>
              </w:rPr>
              <w:t>0.5</w:t>
            </w:r>
            <w:r>
              <w:rPr>
                <w:rFonts w:hint="eastAsia" w:ascii="仿宋" w:hAnsi="仿宋" w:eastAsia="仿宋" w:cs="宋体"/>
                <w:b/>
                <w:bCs/>
                <w:color w:val="auto"/>
                <w:highlight w:val="none"/>
                <w:lang w:eastAsia="zh-CN"/>
              </w:rPr>
              <w:t>分，扣完为止。</w:t>
            </w:r>
          </w:p>
          <w:p>
            <w:pPr>
              <w:widowControl/>
              <w:rPr>
                <w:rFonts w:ascii="仿宋" w:hAnsi="仿宋" w:eastAsia="仿宋" w:cs="宋体"/>
                <w:color w:val="auto"/>
                <w:highlight w:val="none"/>
                <w:lang w:eastAsia="zh-CN"/>
              </w:rPr>
            </w:pPr>
            <w:r>
              <w:rPr>
                <w:rFonts w:hint="eastAsia" w:ascii="仿宋" w:hAnsi="仿宋" w:eastAsia="仿宋" w:cs="宋体"/>
                <w:color w:val="auto"/>
                <w:highlight w:val="none"/>
                <w:lang w:eastAsia="zh-CN"/>
              </w:rPr>
              <w:t>4、投标人拟派的其他项目成员不少于1</w:t>
            </w:r>
            <w:r>
              <w:rPr>
                <w:rFonts w:ascii="仿宋" w:hAnsi="仿宋" w:eastAsia="仿宋" w:cs="宋体"/>
                <w:color w:val="auto"/>
                <w:highlight w:val="none"/>
                <w:lang w:eastAsia="zh-CN"/>
              </w:rPr>
              <w:t>0</w:t>
            </w:r>
            <w:r>
              <w:rPr>
                <w:rFonts w:hint="eastAsia" w:ascii="仿宋" w:hAnsi="仿宋" w:eastAsia="仿宋" w:cs="宋体"/>
                <w:color w:val="auto"/>
                <w:highlight w:val="none"/>
                <w:lang w:eastAsia="zh-CN"/>
              </w:rPr>
              <w:t>人，其中信息系统项目管理师1人，系统架构设计师2人，软件设计师3人，软件评测师1人，数据库系统工程师1人，ITSS IT服务项目经理2人，需提供以上人员资格证书复印件。</w:t>
            </w:r>
          </w:p>
          <w:p>
            <w:pPr>
              <w:widowControl/>
              <w:rPr>
                <w:rFonts w:ascii="仿宋" w:hAnsi="仿宋" w:eastAsia="仿宋" w:cs="宋体"/>
                <w:b/>
                <w:bCs/>
                <w:color w:val="auto"/>
                <w:highlight w:val="none"/>
                <w:lang w:eastAsia="zh-CN"/>
              </w:rPr>
            </w:pPr>
            <w:r>
              <w:rPr>
                <w:rFonts w:hint="eastAsia" w:ascii="仿宋" w:hAnsi="仿宋" w:eastAsia="仿宋" w:cs="宋体"/>
                <w:b/>
                <w:bCs/>
                <w:color w:val="auto"/>
                <w:highlight w:val="none"/>
                <w:lang w:eastAsia="zh-CN"/>
              </w:rPr>
              <w:t>以上完全满足得3分，每缺一人扣</w:t>
            </w:r>
            <w:r>
              <w:rPr>
                <w:rFonts w:hint="eastAsia" w:ascii="仿宋" w:hAnsi="仿宋" w:eastAsia="仿宋" w:cs="宋体"/>
                <w:b/>
                <w:bCs/>
                <w:color w:val="auto"/>
                <w:highlight w:val="none"/>
                <w:lang w:val="en-US" w:eastAsia="zh-CN"/>
              </w:rPr>
              <w:t>0.5</w:t>
            </w:r>
            <w:r>
              <w:rPr>
                <w:rFonts w:hint="eastAsia" w:ascii="仿宋" w:hAnsi="仿宋" w:eastAsia="仿宋" w:cs="宋体"/>
                <w:b/>
                <w:bCs/>
                <w:color w:val="auto"/>
                <w:highlight w:val="none"/>
                <w:lang w:eastAsia="zh-CN"/>
              </w:rPr>
              <w:t>分，扣完为止。一人获得多项证书按一项证书计算。</w:t>
            </w:r>
          </w:p>
          <w:p>
            <w:pPr>
              <w:widowControl/>
              <w:rPr>
                <w:rFonts w:ascii="仿宋" w:hAnsi="仿宋" w:eastAsia="仿宋" w:cs="宋体"/>
                <w:color w:val="auto"/>
                <w:highlight w:val="none"/>
                <w:lang w:eastAsia="zh-CN"/>
              </w:rPr>
            </w:pPr>
            <w:r>
              <w:rPr>
                <w:rFonts w:hint="eastAsia" w:ascii="仿宋" w:hAnsi="仿宋" w:eastAsia="仿宋" w:cs="宋体"/>
                <w:b/>
                <w:bCs/>
                <w:color w:val="auto"/>
                <w:highlight w:val="none"/>
                <w:lang w:eastAsia="zh-CN"/>
              </w:rPr>
              <w:t>注：1、项目经理、技术负责人、实施负责人均不能为同一人；2、提供人员资质证书扫描件和近半年任意一个月的社保证明材料扫描件，否则不得分。</w:t>
            </w:r>
          </w:p>
        </w:tc>
        <w:tc>
          <w:tcPr>
            <w:tcW w:w="4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lang w:eastAsia="zh-CN"/>
              </w:rPr>
            </w:pPr>
            <w:r>
              <w:rPr>
                <w:rFonts w:hint="eastAsia" w:ascii="仿宋" w:hAnsi="仿宋" w:eastAsia="仿宋" w:cs="宋体"/>
                <w:color w:val="000000"/>
                <w:lang w:eastAsia="zh-CN"/>
              </w:rPr>
              <w:t>8</w:t>
            </w:r>
          </w:p>
        </w:tc>
      </w:tr>
      <w:tr>
        <w:tblPrEx>
          <w:tblCellMar>
            <w:top w:w="0" w:type="dxa"/>
            <w:left w:w="108" w:type="dxa"/>
            <w:bottom w:w="0" w:type="dxa"/>
            <w:right w:w="108" w:type="dxa"/>
          </w:tblCellMar>
        </w:tblPrEx>
        <w:trPr>
          <w:trHeight w:val="1696" w:hRule="atLeast"/>
        </w:trPr>
        <w:tc>
          <w:tcPr>
            <w:tcW w:w="94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lang w:eastAsia="zh-CN"/>
              </w:rPr>
            </w:pPr>
            <w:r>
              <w:rPr>
                <w:rFonts w:hint="eastAsia" w:ascii="仿宋" w:hAnsi="仿宋" w:eastAsia="仿宋" w:cs="宋体"/>
                <w:color w:val="000000"/>
                <w:lang w:eastAsia="zh-CN"/>
              </w:rPr>
              <w:t>技术部分</w:t>
            </w:r>
          </w:p>
          <w:p>
            <w:pPr>
              <w:widowControl/>
              <w:jc w:val="center"/>
              <w:rPr>
                <w:rFonts w:ascii="仿宋" w:hAnsi="仿宋" w:eastAsia="仿宋" w:cs="宋体"/>
                <w:color w:val="000000"/>
                <w:lang w:eastAsia="zh-CN"/>
              </w:rPr>
            </w:pPr>
            <w:r>
              <w:rPr>
                <w:rFonts w:hint="eastAsia" w:ascii="仿宋" w:hAnsi="仿宋" w:eastAsia="仿宋" w:cs="宋体"/>
                <w:color w:val="000000"/>
                <w:lang w:eastAsia="zh-CN"/>
              </w:rPr>
              <w:t>（</w:t>
            </w:r>
            <w:r>
              <w:rPr>
                <w:rFonts w:hint="eastAsia" w:ascii="仿宋" w:hAnsi="仿宋" w:eastAsia="仿宋" w:cs="宋体"/>
                <w:color w:val="000000"/>
                <w:lang w:val="en-US" w:eastAsia="zh-CN"/>
              </w:rPr>
              <w:t>5</w:t>
            </w:r>
            <w:r>
              <w:rPr>
                <w:rFonts w:hint="eastAsia" w:ascii="仿宋" w:hAnsi="仿宋" w:eastAsia="仿宋" w:cs="宋体"/>
                <w:color w:val="000000"/>
                <w:lang w:eastAsia="zh-CN"/>
              </w:rPr>
              <w:t>5分）</w:t>
            </w:r>
          </w:p>
        </w:tc>
        <w:tc>
          <w:tcPr>
            <w:tcW w:w="7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lang w:eastAsia="zh-CN"/>
              </w:rPr>
            </w:pPr>
            <w:r>
              <w:rPr>
                <w:rFonts w:hint="eastAsia" w:ascii="仿宋" w:hAnsi="仿宋" w:eastAsia="仿宋" w:cs="宋体"/>
                <w:color w:val="auto"/>
                <w:sz w:val="21"/>
                <w:szCs w:val="21"/>
                <w:lang w:eastAsia="zh-CN"/>
              </w:rPr>
              <w:t>技术参数响应情况</w:t>
            </w:r>
          </w:p>
        </w:tc>
        <w:tc>
          <w:tcPr>
            <w:tcW w:w="687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auto"/>
                <w:lang w:eastAsia="zh-CN"/>
              </w:rPr>
            </w:pPr>
            <w:r>
              <w:rPr>
                <w:rFonts w:hint="eastAsia" w:ascii="仿宋" w:hAnsi="仿宋" w:eastAsia="仿宋" w:cs="宋体"/>
                <w:color w:val="auto"/>
                <w:lang w:eastAsia="zh-CN"/>
              </w:rPr>
              <w:t>满足或优于采购文件技术参数要求的得</w:t>
            </w:r>
            <w:r>
              <w:rPr>
                <w:rFonts w:hint="eastAsia" w:ascii="仿宋" w:hAnsi="仿宋" w:eastAsia="仿宋" w:cs="宋体"/>
                <w:color w:val="auto"/>
                <w:lang w:val="en-US" w:eastAsia="zh-CN"/>
              </w:rPr>
              <w:t>3</w:t>
            </w:r>
            <w:r>
              <w:rPr>
                <w:rFonts w:hint="eastAsia" w:ascii="仿宋" w:hAnsi="仿宋" w:eastAsia="仿宋" w:cs="宋体"/>
                <w:color w:val="auto"/>
                <w:lang w:eastAsia="zh-CN"/>
              </w:rPr>
              <w:t>0分，以此为基础，供应商提供的技术参数低于采购文件规定的相应技术参数的，每有一项负偏离减2分，减完为止。</w:t>
            </w:r>
          </w:p>
          <w:p>
            <w:pPr>
              <w:widowControl/>
              <w:rPr>
                <w:rFonts w:ascii="仿宋" w:hAnsi="仿宋" w:eastAsia="仿宋" w:cs="宋体"/>
                <w:color w:val="auto"/>
                <w:lang w:eastAsia="zh-CN"/>
              </w:rPr>
            </w:pPr>
            <w:r>
              <w:rPr>
                <w:rFonts w:hint="eastAsia" w:ascii="仿宋" w:hAnsi="仿宋" w:eastAsia="仿宋" w:cs="宋体"/>
                <w:color w:val="auto"/>
                <w:lang w:eastAsia="zh-CN"/>
              </w:rPr>
              <w:t>注：采购参数中提到的功能截图、产品资质等文件均需加投标人鲜章或电子公章。</w:t>
            </w:r>
          </w:p>
          <w:p>
            <w:pPr>
              <w:widowControl/>
              <w:rPr>
                <w:rFonts w:ascii="仿宋" w:hAnsi="仿宋" w:eastAsia="仿宋" w:cs="宋体"/>
                <w:color w:val="auto"/>
                <w:lang w:eastAsia="zh-CN"/>
              </w:rPr>
            </w:pPr>
            <w:r>
              <w:rPr>
                <w:rFonts w:hint="eastAsia" w:ascii="仿宋" w:hAnsi="仿宋" w:eastAsia="仿宋" w:cs="宋体"/>
                <w:color w:val="auto"/>
                <w:lang w:eastAsia="zh-CN"/>
              </w:rPr>
              <w:t>未提供以上证明资料的，视为技术参数负偏离。</w:t>
            </w:r>
          </w:p>
          <w:p>
            <w:pPr>
              <w:widowControl/>
              <w:rPr>
                <w:rFonts w:ascii="仿宋" w:hAnsi="仿宋" w:eastAsia="仿宋" w:cs="宋体"/>
                <w:color w:val="auto"/>
                <w:lang w:eastAsia="zh-CN"/>
              </w:rPr>
            </w:pPr>
            <w:r>
              <w:rPr>
                <w:rFonts w:hint="eastAsia" w:ascii="仿宋" w:hAnsi="仿宋" w:eastAsia="仿宋" w:cs="宋体"/>
                <w:color w:val="auto"/>
                <w:lang w:eastAsia="zh-CN"/>
              </w:rPr>
              <w:t>中标后五个工作日内，采购方有权要求进行功能性验证测试，对于虚假应标者做废标处理，并追究其相应法律责任。</w:t>
            </w:r>
          </w:p>
        </w:tc>
        <w:tc>
          <w:tcPr>
            <w:tcW w:w="477"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lang w:val="en-US" w:eastAsia="zh-CN"/>
              </w:rPr>
            </w:pPr>
            <w:r>
              <w:rPr>
                <w:rFonts w:hint="eastAsia" w:ascii="仿宋" w:hAnsi="仿宋" w:eastAsia="仿宋" w:cs="宋体"/>
                <w:color w:val="000000"/>
                <w:lang w:val="en-US" w:eastAsia="zh-CN"/>
              </w:rPr>
              <w:t>30</w:t>
            </w:r>
          </w:p>
        </w:tc>
      </w:tr>
      <w:tr>
        <w:tblPrEx>
          <w:tblCellMar>
            <w:top w:w="0" w:type="dxa"/>
            <w:left w:w="108" w:type="dxa"/>
            <w:bottom w:w="0" w:type="dxa"/>
            <w:right w:w="108" w:type="dxa"/>
          </w:tblCellMar>
        </w:tblPrEx>
        <w:trPr>
          <w:trHeight w:val="587" w:hRule="atLeast"/>
        </w:trPr>
        <w:tc>
          <w:tcPr>
            <w:tcW w:w="948" w:type="dxa"/>
            <w:vMerge w:val="continue"/>
            <w:tcBorders>
              <w:top w:val="nil"/>
              <w:left w:val="single" w:color="auto" w:sz="4" w:space="0"/>
              <w:bottom w:val="single" w:color="000000" w:sz="4" w:space="0"/>
              <w:right w:val="single" w:color="auto" w:sz="4" w:space="0"/>
            </w:tcBorders>
            <w:vAlign w:val="center"/>
          </w:tcPr>
          <w:p>
            <w:pPr>
              <w:widowControl/>
              <w:rPr>
                <w:rFonts w:ascii="仿宋" w:hAnsi="仿宋" w:eastAsia="仿宋" w:cs="宋体"/>
                <w:color w:val="000000"/>
                <w:highlight w:val="none"/>
                <w:lang w:eastAsia="zh-CN"/>
              </w:rPr>
            </w:pPr>
          </w:p>
        </w:tc>
        <w:tc>
          <w:tcPr>
            <w:tcW w:w="7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sz w:val="21"/>
                <w:szCs w:val="21"/>
                <w:highlight w:val="none"/>
                <w:lang w:eastAsia="zh-CN"/>
              </w:rPr>
            </w:pPr>
            <w:r>
              <w:rPr>
                <w:rFonts w:hint="eastAsia" w:ascii="仿宋" w:hAnsi="仿宋" w:eastAsia="仿宋" w:cs="宋体"/>
                <w:color w:val="auto"/>
                <w:sz w:val="21"/>
                <w:szCs w:val="21"/>
                <w:highlight w:val="none"/>
                <w:lang w:eastAsia="zh-CN"/>
              </w:rPr>
              <w:t>服务能力证明</w:t>
            </w:r>
          </w:p>
        </w:tc>
        <w:tc>
          <w:tcPr>
            <w:tcW w:w="687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auto"/>
                <w:highlight w:val="none"/>
                <w:lang w:eastAsia="zh-CN"/>
              </w:rPr>
            </w:pPr>
            <w:r>
              <w:rPr>
                <w:rFonts w:hint="eastAsia" w:ascii="仿宋" w:hAnsi="仿宋" w:eastAsia="仿宋" w:cs="宋体"/>
                <w:color w:val="auto"/>
                <w:highlight w:val="none"/>
                <w:lang w:eastAsia="zh-CN"/>
              </w:rPr>
              <w:t>1、投标人或原厂需提供获得国家版权局颁发类似：DRGs系统数据清洗处理、DRGs医疗服务质量评价与绩效分析、医院DRGs精细化管理、医院医保费用管理、相同病组对比、编码映射系统相关软件著作权，每提供1个得1分，最多得</w:t>
            </w:r>
            <w:r>
              <w:rPr>
                <w:rFonts w:hint="eastAsia" w:ascii="仿宋" w:hAnsi="仿宋" w:eastAsia="仿宋" w:cs="宋体"/>
                <w:color w:val="auto"/>
                <w:highlight w:val="none"/>
                <w:lang w:val="en-US" w:eastAsia="zh-CN"/>
              </w:rPr>
              <w:t>2</w:t>
            </w:r>
            <w:r>
              <w:rPr>
                <w:rFonts w:hint="eastAsia" w:ascii="仿宋" w:hAnsi="仿宋" w:eastAsia="仿宋" w:cs="宋体"/>
                <w:color w:val="auto"/>
                <w:highlight w:val="none"/>
                <w:lang w:eastAsia="zh-CN"/>
              </w:rPr>
              <w:t>分。</w:t>
            </w:r>
          </w:p>
          <w:p>
            <w:pPr>
              <w:widowControl/>
              <w:rPr>
                <w:rFonts w:ascii="仿宋" w:hAnsi="仿宋" w:eastAsia="仿宋" w:cs="宋体"/>
                <w:color w:val="auto"/>
                <w:highlight w:val="none"/>
                <w:lang w:eastAsia="zh-CN"/>
              </w:rPr>
            </w:pPr>
            <w:r>
              <w:rPr>
                <w:rFonts w:hint="eastAsia" w:ascii="仿宋" w:hAnsi="仿宋" w:eastAsia="仿宋" w:cs="宋体"/>
                <w:color w:val="auto"/>
                <w:highlight w:val="none"/>
                <w:lang w:eastAsia="zh-CN"/>
              </w:rPr>
              <w:t>2，为响应国产化要求，保证核心数据安全，所投磁盘阵列产品满足关键芯片自主可控，包括控制器CPU芯片、BMC管理芯片、接口卡处理芯片、SSD控制芯片，针对上述四种芯片，分别提供自主可控的证明材料并加盖厂商有效印章，每满足一种得1分，最多得</w:t>
            </w:r>
            <w:r>
              <w:rPr>
                <w:rFonts w:hint="eastAsia" w:ascii="仿宋" w:hAnsi="仿宋" w:eastAsia="仿宋" w:cs="宋体"/>
                <w:color w:val="auto"/>
                <w:highlight w:val="none"/>
                <w:lang w:val="en-US" w:eastAsia="zh-CN"/>
              </w:rPr>
              <w:t>3</w:t>
            </w:r>
            <w:r>
              <w:rPr>
                <w:rFonts w:hint="eastAsia" w:ascii="仿宋" w:hAnsi="仿宋" w:eastAsia="仿宋" w:cs="宋体"/>
                <w:color w:val="auto"/>
                <w:highlight w:val="none"/>
                <w:lang w:eastAsia="zh-CN"/>
              </w:rPr>
              <w:t>分。</w:t>
            </w:r>
          </w:p>
          <w:p>
            <w:pPr>
              <w:widowControl/>
              <w:rPr>
                <w:rFonts w:ascii="仿宋" w:hAnsi="仿宋" w:eastAsia="仿宋" w:cs="宋体"/>
                <w:color w:val="auto"/>
                <w:highlight w:val="none"/>
                <w:lang w:eastAsia="zh-CN"/>
              </w:rPr>
            </w:pPr>
            <w:r>
              <w:rPr>
                <w:rFonts w:hint="eastAsia" w:ascii="仿宋" w:hAnsi="仿宋" w:eastAsia="仿宋" w:cs="宋体"/>
                <w:color w:val="auto"/>
                <w:highlight w:val="none"/>
                <w:lang w:eastAsia="zh-CN"/>
              </w:rPr>
              <w:t>3，为保证医院业务系统的访问性能，要求所投磁盘阵列采用较高主频的处理器，提供证明材料并加盖厂商有效印章。满足处理器基准主频不低于2.0GHz得1分，基准主频在2.0GHz基础上每增加0.1GHz加0.5分，本项满分</w:t>
            </w:r>
            <w:r>
              <w:rPr>
                <w:rFonts w:hint="eastAsia" w:ascii="仿宋" w:hAnsi="仿宋" w:eastAsia="仿宋" w:cs="宋体"/>
                <w:color w:val="auto"/>
                <w:highlight w:val="none"/>
                <w:lang w:val="en-US" w:eastAsia="zh-CN"/>
              </w:rPr>
              <w:t>3</w:t>
            </w:r>
            <w:r>
              <w:rPr>
                <w:rFonts w:hint="eastAsia" w:ascii="仿宋" w:hAnsi="仿宋" w:eastAsia="仿宋" w:cs="宋体"/>
                <w:color w:val="auto"/>
                <w:highlight w:val="none"/>
                <w:lang w:eastAsia="zh-CN"/>
              </w:rPr>
              <w:t>分。</w:t>
            </w:r>
          </w:p>
          <w:p>
            <w:pPr>
              <w:widowControl/>
              <w:rPr>
                <w:rFonts w:ascii="仿宋" w:hAnsi="仿宋" w:eastAsia="仿宋" w:cs="宋体"/>
                <w:color w:val="auto"/>
                <w:highlight w:val="none"/>
                <w:lang w:eastAsia="zh-CN"/>
              </w:rPr>
            </w:pPr>
            <w:r>
              <w:rPr>
                <w:rFonts w:hint="eastAsia" w:ascii="仿宋" w:hAnsi="仿宋" w:eastAsia="仿宋" w:cs="宋体"/>
                <w:color w:val="auto"/>
                <w:highlight w:val="none"/>
                <w:lang w:eastAsia="zh-CN"/>
              </w:rPr>
              <w:t>4、桌面云原厂商属于中华人民共和国公共安全行业标准《信息安全技术桌面云系统安全技术要求》标准起草单位之一。满足得1分。</w:t>
            </w:r>
          </w:p>
          <w:p>
            <w:pPr>
              <w:widowControl/>
              <w:rPr>
                <w:rFonts w:ascii="仿宋" w:hAnsi="仿宋" w:eastAsia="仿宋" w:cs="宋体"/>
                <w:color w:val="auto"/>
                <w:highlight w:val="none"/>
                <w:lang w:eastAsia="zh-CN"/>
              </w:rPr>
            </w:pPr>
            <w:r>
              <w:rPr>
                <w:rFonts w:hint="eastAsia" w:ascii="仿宋" w:hAnsi="仿宋" w:eastAsia="仿宋" w:cs="宋体"/>
                <w:color w:val="auto"/>
                <w:highlight w:val="none"/>
                <w:lang w:eastAsia="zh-CN"/>
              </w:rPr>
              <w:t>5、防火墙设备厂家得到国家信息安全漏洞库认可，是CNNVD一级技术支撑单位，提供有效证书复印件。满足得1分。</w:t>
            </w:r>
          </w:p>
          <w:p>
            <w:pPr>
              <w:widowControl/>
              <w:rPr>
                <w:rFonts w:ascii="仿宋" w:hAnsi="仿宋" w:eastAsia="仿宋" w:cs="宋体"/>
                <w:color w:val="auto"/>
                <w:highlight w:val="none"/>
                <w:lang w:eastAsia="zh-CN"/>
              </w:rPr>
            </w:pPr>
            <w:r>
              <w:rPr>
                <w:rFonts w:hint="eastAsia" w:ascii="仿宋" w:hAnsi="仿宋" w:eastAsia="仿宋" w:cs="宋体"/>
                <w:color w:val="auto"/>
                <w:highlight w:val="none"/>
                <w:lang w:eastAsia="zh-CN"/>
              </w:rPr>
              <w:t>6、投标人或原厂产品具有本项目软件相关著作权证书≥8项著作权，得</w:t>
            </w:r>
            <w:r>
              <w:rPr>
                <w:rFonts w:hint="eastAsia" w:ascii="仿宋" w:hAnsi="仿宋" w:eastAsia="仿宋" w:cs="宋体"/>
                <w:color w:val="auto"/>
                <w:highlight w:val="none"/>
                <w:lang w:val="en-US" w:eastAsia="zh-CN"/>
              </w:rPr>
              <w:t>5</w:t>
            </w:r>
            <w:r>
              <w:rPr>
                <w:rFonts w:hint="eastAsia" w:ascii="仿宋" w:hAnsi="仿宋" w:eastAsia="仿宋" w:cs="宋体"/>
                <w:color w:val="auto"/>
                <w:highlight w:val="none"/>
                <w:lang w:eastAsia="zh-CN"/>
              </w:rPr>
              <w:t>分，提供4-8项得3分，提供1-3项得1分，不提供不得分。</w:t>
            </w:r>
          </w:p>
          <w:p>
            <w:pPr>
              <w:widowControl/>
              <w:rPr>
                <w:rFonts w:ascii="仿宋" w:hAnsi="仿宋" w:eastAsia="仿宋" w:cs="宋体"/>
                <w:color w:val="auto"/>
                <w:highlight w:val="none"/>
                <w:lang w:eastAsia="zh-CN"/>
              </w:rPr>
            </w:pPr>
            <w:r>
              <w:rPr>
                <w:rFonts w:hint="eastAsia" w:ascii="仿宋" w:hAnsi="仿宋" w:eastAsia="仿宋" w:cs="宋体"/>
                <w:b/>
                <w:bCs/>
                <w:color w:val="auto"/>
                <w:highlight w:val="none"/>
                <w:lang w:eastAsia="zh-CN"/>
              </w:rPr>
              <w:t>以上材料提供有效证书复印件并加盖投标人鲜章或电子公章有效。</w:t>
            </w:r>
          </w:p>
        </w:tc>
        <w:tc>
          <w:tcPr>
            <w:tcW w:w="4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lang w:eastAsia="zh-CN"/>
              </w:rPr>
            </w:pPr>
            <w:r>
              <w:rPr>
                <w:rFonts w:hint="eastAsia" w:ascii="仿宋" w:hAnsi="仿宋" w:eastAsia="仿宋" w:cs="宋体"/>
                <w:color w:val="000000"/>
                <w:lang w:eastAsia="zh-CN"/>
              </w:rPr>
              <w:t>15</w:t>
            </w:r>
          </w:p>
        </w:tc>
      </w:tr>
      <w:tr>
        <w:tblPrEx>
          <w:tblCellMar>
            <w:top w:w="0" w:type="dxa"/>
            <w:left w:w="108" w:type="dxa"/>
            <w:bottom w:w="0" w:type="dxa"/>
            <w:right w:w="108" w:type="dxa"/>
          </w:tblCellMar>
        </w:tblPrEx>
        <w:trPr>
          <w:trHeight w:val="2118" w:hRule="atLeast"/>
        </w:trPr>
        <w:tc>
          <w:tcPr>
            <w:tcW w:w="948" w:type="dxa"/>
            <w:vMerge w:val="continue"/>
            <w:tcBorders>
              <w:top w:val="nil"/>
              <w:left w:val="single" w:color="auto" w:sz="4" w:space="0"/>
              <w:bottom w:val="single" w:color="000000" w:sz="4" w:space="0"/>
              <w:right w:val="single" w:color="auto" w:sz="4" w:space="0"/>
            </w:tcBorders>
            <w:vAlign w:val="center"/>
          </w:tcPr>
          <w:p>
            <w:pPr>
              <w:widowControl/>
              <w:rPr>
                <w:rFonts w:ascii="仿宋" w:hAnsi="仿宋" w:eastAsia="仿宋" w:cs="宋体"/>
                <w:color w:val="000000"/>
                <w:lang w:eastAsia="zh-CN"/>
              </w:rPr>
            </w:pPr>
          </w:p>
        </w:tc>
        <w:tc>
          <w:tcPr>
            <w:tcW w:w="7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eastAsia="zh-CN"/>
              </w:rPr>
            </w:pPr>
            <w:r>
              <w:rPr>
                <w:rFonts w:hint="eastAsia" w:ascii="仿宋" w:hAnsi="仿宋" w:eastAsia="仿宋" w:cs="宋体"/>
                <w:sz w:val="21"/>
                <w:szCs w:val="21"/>
                <w:lang w:eastAsia="zh-CN"/>
              </w:rPr>
              <w:t>技术服务方案</w:t>
            </w:r>
          </w:p>
        </w:tc>
        <w:tc>
          <w:tcPr>
            <w:tcW w:w="687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lang w:eastAsia="zh-CN"/>
              </w:rPr>
            </w:pPr>
            <w:r>
              <w:rPr>
                <w:rFonts w:hint="eastAsia" w:ascii="仿宋" w:hAnsi="仿宋" w:eastAsia="仿宋" w:cs="宋体"/>
                <w:color w:val="000000"/>
                <w:lang w:eastAsia="zh-CN"/>
              </w:rPr>
              <w:t>评审小组根据供应商编制的技术服务方案（方案包含但不限于：</w:t>
            </w:r>
            <w:r>
              <w:rPr>
                <w:rFonts w:hint="eastAsia" w:ascii="仿宋" w:hAnsi="仿宋" w:eastAsia="仿宋" w:cs="宋体"/>
                <w:b/>
                <w:bCs/>
                <w:color w:val="000000"/>
                <w:lang w:eastAsia="zh-CN"/>
              </w:rPr>
              <w:t>①项目实施方案；②售后服务方案；③技术培训方案等）</w:t>
            </w:r>
            <w:r>
              <w:rPr>
                <w:rFonts w:hint="eastAsia" w:ascii="仿宋" w:hAnsi="仿宋" w:eastAsia="仿宋" w:cs="宋体"/>
                <w:color w:val="000000"/>
                <w:lang w:eastAsia="zh-CN"/>
              </w:rPr>
              <w:t>的完整性、实操性、合理性、与采购人实际需求匹配程度等进行综合评审：</w:t>
            </w:r>
          </w:p>
          <w:p>
            <w:pPr>
              <w:widowControl/>
              <w:rPr>
                <w:rFonts w:ascii="仿宋" w:hAnsi="仿宋" w:eastAsia="仿宋" w:cs="宋体"/>
                <w:color w:val="auto"/>
                <w:lang w:eastAsia="zh-CN"/>
              </w:rPr>
            </w:pPr>
            <w:r>
              <w:rPr>
                <w:rFonts w:hint="eastAsia" w:ascii="仿宋" w:hAnsi="仿宋" w:eastAsia="仿宋" w:cs="宋体"/>
                <w:color w:val="auto"/>
                <w:lang w:eastAsia="zh-CN"/>
              </w:rPr>
              <w:t>1、方案制作完善、条理清晰，过程严谨，实操性、合理性强、与采购人实际需求匹配程度高的得5分；</w:t>
            </w:r>
          </w:p>
          <w:p>
            <w:pPr>
              <w:widowControl/>
              <w:rPr>
                <w:rFonts w:ascii="仿宋" w:hAnsi="仿宋" w:eastAsia="仿宋" w:cs="宋体"/>
                <w:color w:val="auto"/>
                <w:lang w:eastAsia="zh-CN"/>
              </w:rPr>
            </w:pPr>
            <w:r>
              <w:rPr>
                <w:rFonts w:hint="eastAsia" w:ascii="仿宋" w:hAnsi="仿宋" w:eastAsia="仿宋" w:cs="宋体"/>
                <w:color w:val="auto"/>
                <w:lang w:eastAsia="zh-CN"/>
              </w:rPr>
              <w:t>2、方案制作较完善，条理较清晰，过程较严谨，实操性、合理性较好、与采购人实际需求匹配程度一般的得3分；</w:t>
            </w:r>
          </w:p>
          <w:p>
            <w:pPr>
              <w:widowControl/>
              <w:rPr>
                <w:rFonts w:ascii="仿宋" w:hAnsi="仿宋" w:eastAsia="仿宋" w:cs="宋体"/>
                <w:color w:val="000000"/>
                <w:lang w:eastAsia="zh-CN"/>
              </w:rPr>
            </w:pPr>
            <w:r>
              <w:rPr>
                <w:rFonts w:hint="eastAsia" w:ascii="仿宋" w:hAnsi="仿宋" w:eastAsia="仿宋" w:cs="宋体"/>
                <w:color w:val="000000"/>
                <w:lang w:eastAsia="zh-CN"/>
              </w:rPr>
              <w:t>3、方案制作简陋，条理不清晰，过程不够严谨，实操性、合理性差、与采购人实际需求匹配程度低的得1分；</w:t>
            </w:r>
          </w:p>
          <w:p>
            <w:pPr>
              <w:widowControl/>
              <w:rPr>
                <w:rFonts w:ascii="仿宋" w:hAnsi="仿宋" w:eastAsia="仿宋" w:cs="宋体"/>
                <w:color w:val="000000"/>
                <w:lang w:eastAsia="zh-CN"/>
              </w:rPr>
            </w:pPr>
            <w:r>
              <w:rPr>
                <w:rFonts w:hint="eastAsia" w:ascii="仿宋" w:hAnsi="仿宋" w:eastAsia="仿宋" w:cs="宋体"/>
                <w:color w:val="000000"/>
                <w:lang w:eastAsia="zh-CN"/>
              </w:rPr>
              <w:t>4、未提供方案的不得分。</w:t>
            </w:r>
          </w:p>
        </w:tc>
        <w:tc>
          <w:tcPr>
            <w:tcW w:w="4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lang w:eastAsia="zh-CN"/>
              </w:rPr>
            </w:pPr>
            <w:r>
              <w:rPr>
                <w:rFonts w:hint="eastAsia" w:ascii="仿宋" w:hAnsi="仿宋" w:eastAsia="仿宋" w:cs="宋体"/>
                <w:color w:val="000000"/>
                <w:lang w:eastAsia="zh-CN"/>
              </w:rPr>
              <w:t>5</w:t>
            </w:r>
          </w:p>
        </w:tc>
      </w:tr>
      <w:tr>
        <w:tblPrEx>
          <w:tblCellMar>
            <w:top w:w="0" w:type="dxa"/>
            <w:left w:w="108" w:type="dxa"/>
            <w:bottom w:w="0" w:type="dxa"/>
            <w:right w:w="108" w:type="dxa"/>
          </w:tblCellMar>
        </w:tblPrEx>
        <w:trPr>
          <w:trHeight w:val="1070" w:hRule="atLeast"/>
        </w:trPr>
        <w:tc>
          <w:tcPr>
            <w:tcW w:w="948" w:type="dxa"/>
            <w:vMerge w:val="continue"/>
            <w:tcBorders>
              <w:top w:val="nil"/>
              <w:left w:val="single" w:color="auto" w:sz="4" w:space="0"/>
              <w:bottom w:val="single" w:color="000000" w:sz="4" w:space="0"/>
              <w:right w:val="single" w:color="auto" w:sz="4" w:space="0"/>
            </w:tcBorders>
            <w:vAlign w:val="center"/>
          </w:tcPr>
          <w:p>
            <w:pPr>
              <w:widowControl/>
              <w:rPr>
                <w:rFonts w:ascii="仿宋" w:hAnsi="仿宋" w:eastAsia="仿宋" w:cs="宋体"/>
                <w:color w:val="000000"/>
                <w:lang w:eastAsia="zh-CN"/>
              </w:rPr>
            </w:pPr>
          </w:p>
        </w:tc>
        <w:tc>
          <w:tcPr>
            <w:tcW w:w="7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sz w:val="21"/>
                <w:szCs w:val="21"/>
                <w:lang w:eastAsia="zh-CN"/>
              </w:rPr>
            </w:pPr>
            <w:r>
              <w:rPr>
                <w:rFonts w:hint="eastAsia" w:ascii="仿宋" w:hAnsi="仿宋" w:eastAsia="仿宋" w:cs="宋体"/>
                <w:sz w:val="21"/>
                <w:szCs w:val="21"/>
                <w:lang w:eastAsia="zh-CN"/>
              </w:rPr>
              <w:t>售后服务</w:t>
            </w:r>
          </w:p>
        </w:tc>
        <w:tc>
          <w:tcPr>
            <w:tcW w:w="687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lang w:eastAsia="zh-CN"/>
              </w:rPr>
            </w:pPr>
            <w:r>
              <w:rPr>
                <w:rFonts w:hint="eastAsia" w:ascii="仿宋" w:hAnsi="仿宋" w:eastAsia="仿宋" w:cs="宋体"/>
                <w:color w:val="000000"/>
                <w:lang w:eastAsia="zh-CN"/>
              </w:rPr>
              <w:t>1、提供原厂售后服务承诺书并加盖原厂公章的扫描件。满足质保硬件三年、软件三年得3分；不提供或低于此要求不得分。</w:t>
            </w:r>
          </w:p>
          <w:p>
            <w:pPr>
              <w:widowControl/>
              <w:rPr>
                <w:rFonts w:ascii="仿宋" w:hAnsi="仿宋" w:eastAsia="仿宋" w:cs="宋体"/>
                <w:color w:val="000000"/>
                <w:lang w:eastAsia="zh-CN"/>
              </w:rPr>
            </w:pPr>
            <w:r>
              <w:rPr>
                <w:rFonts w:hint="eastAsia" w:ascii="仿宋" w:hAnsi="仿宋" w:eastAsia="仿宋" w:cs="宋体"/>
                <w:color w:val="000000"/>
                <w:lang w:eastAsia="zh-CN"/>
              </w:rPr>
              <w:t>2、提供本地售后服务证明，证明材料包括本地营业执照或场所租赁合同等。提供者得2分，不提供不得分。</w:t>
            </w:r>
          </w:p>
          <w:p>
            <w:pPr>
              <w:widowControl/>
              <w:rPr>
                <w:rFonts w:ascii="仿宋" w:hAnsi="仿宋" w:eastAsia="仿宋" w:cs="宋体"/>
                <w:color w:val="000000"/>
                <w:lang w:eastAsia="zh-CN"/>
              </w:rPr>
            </w:pPr>
            <w:r>
              <w:rPr>
                <w:rFonts w:hint="eastAsia" w:ascii="仿宋" w:hAnsi="仿宋" w:eastAsia="仿宋" w:cs="宋体"/>
                <w:b/>
                <w:bCs/>
                <w:color w:val="000000"/>
                <w:lang w:eastAsia="zh-CN"/>
              </w:rPr>
              <w:t>以上材料提供有效证书复印件并加盖投标人鲜章或电子公章有效。</w:t>
            </w:r>
          </w:p>
        </w:tc>
        <w:tc>
          <w:tcPr>
            <w:tcW w:w="4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lang w:eastAsia="zh-CN"/>
              </w:rPr>
            </w:pPr>
            <w:r>
              <w:rPr>
                <w:rFonts w:hint="eastAsia" w:ascii="仿宋" w:hAnsi="仿宋" w:eastAsia="仿宋" w:cs="宋体"/>
                <w:color w:val="000000"/>
                <w:lang w:eastAsia="zh-CN"/>
              </w:rPr>
              <w:t>5</w:t>
            </w:r>
          </w:p>
        </w:tc>
      </w:tr>
    </w:tbl>
    <w:p>
      <w:pPr>
        <w:spacing w:line="360" w:lineRule="auto"/>
        <w:jc w:val="both"/>
        <w:rPr>
          <w:rFonts w:ascii="仿宋" w:hAnsi="仿宋" w:eastAsia="仿宋" w:cs="Times New Roman"/>
          <w:sz w:val="24"/>
          <w:szCs w:val="24"/>
          <w:lang w:eastAsia="zh-CN"/>
        </w:rPr>
      </w:pPr>
    </w:p>
    <w:p>
      <w:pPr>
        <w:jc w:val="both"/>
        <w:rPr>
          <w:rFonts w:ascii="仿宋" w:hAnsi="仿宋" w:eastAsia="仿宋" w:cs="仿宋"/>
          <w:sz w:val="21"/>
          <w:szCs w:val="21"/>
          <w:lang w:eastAsia="zh-CN"/>
        </w:rPr>
      </w:pPr>
      <w:r>
        <w:rPr>
          <w:rFonts w:ascii="仿宋" w:hAnsi="仿宋" w:eastAsia="仿宋" w:cs="仿宋"/>
          <w:b/>
          <w:bCs/>
          <w:sz w:val="21"/>
          <w:szCs w:val="21"/>
          <w:lang w:eastAsia="zh-CN"/>
        </w:rPr>
        <w:t>另：政府采购政策功能落实</w:t>
      </w:r>
    </w:p>
    <w:p>
      <w:pPr>
        <w:jc w:val="both"/>
        <w:rPr>
          <w:rFonts w:ascii="仿宋" w:hAnsi="仿宋" w:eastAsia="仿宋" w:cs="仿宋"/>
          <w:sz w:val="21"/>
          <w:szCs w:val="21"/>
          <w:lang w:eastAsia="zh-CN"/>
        </w:rPr>
      </w:pPr>
      <w:r>
        <w:rPr>
          <w:rFonts w:ascii="仿宋" w:hAnsi="仿宋" w:eastAsia="仿宋" w:cs="仿宋"/>
          <w:sz w:val="21"/>
          <w:szCs w:val="21"/>
          <w:lang w:eastAsia="zh-CN"/>
        </w:rPr>
        <w:t>1、小微型企业价格扣除</w:t>
      </w:r>
    </w:p>
    <w:p>
      <w:pPr>
        <w:jc w:val="both"/>
        <w:rPr>
          <w:rFonts w:ascii="仿宋" w:hAnsi="仿宋" w:eastAsia="仿宋" w:cs="仿宋"/>
          <w:sz w:val="21"/>
          <w:szCs w:val="21"/>
          <w:lang w:eastAsia="zh-CN"/>
        </w:rPr>
      </w:pPr>
      <w:r>
        <w:rPr>
          <w:rFonts w:ascii="仿宋" w:hAnsi="仿宋" w:eastAsia="仿宋" w:cs="仿宋"/>
          <w:spacing w:val="-7"/>
          <w:sz w:val="21"/>
          <w:szCs w:val="21"/>
          <w:lang w:eastAsia="zh-CN"/>
        </w:rPr>
        <w:t>（1）本项目对小型和微型企业产品给予</w:t>
      </w:r>
      <w:r>
        <w:rPr>
          <w:rFonts w:ascii="仿宋" w:hAnsi="仿宋" w:eastAsia="仿宋" w:cs="仿宋"/>
          <w:spacing w:val="-6"/>
          <w:sz w:val="21"/>
          <w:szCs w:val="21"/>
          <w:lang w:eastAsia="zh-CN"/>
        </w:rPr>
        <w:t>10%的扣除价格，用扣除后的价格参与评审。</w:t>
      </w:r>
    </w:p>
    <w:p>
      <w:pPr>
        <w:jc w:val="both"/>
        <w:rPr>
          <w:rFonts w:ascii="仿宋" w:hAnsi="仿宋" w:eastAsia="仿宋" w:cs="仿宋"/>
          <w:sz w:val="21"/>
          <w:szCs w:val="21"/>
          <w:lang w:eastAsia="zh-CN"/>
        </w:rPr>
      </w:pPr>
      <w:r>
        <w:rPr>
          <w:rFonts w:ascii="仿宋" w:hAnsi="仿宋" w:eastAsia="仿宋" w:cs="仿宋"/>
          <w:sz w:val="21"/>
          <w:szCs w:val="21"/>
          <w:lang w:eastAsia="zh-CN"/>
        </w:rPr>
        <w:t>（2）供应商需按照采购文件的要求提供相应的《企业声明函》。</w:t>
      </w:r>
    </w:p>
    <w:p>
      <w:pPr>
        <w:jc w:val="both"/>
        <w:rPr>
          <w:rFonts w:ascii="仿宋" w:hAnsi="仿宋" w:eastAsia="仿宋" w:cs="仿宋"/>
          <w:sz w:val="21"/>
          <w:szCs w:val="21"/>
          <w:lang w:eastAsia="zh-CN"/>
        </w:rPr>
      </w:pPr>
      <w:r>
        <w:rPr>
          <w:rFonts w:ascii="仿宋" w:hAnsi="仿宋" w:eastAsia="仿宋" w:cs="仿宋"/>
          <w:sz w:val="21"/>
          <w:szCs w:val="21"/>
          <w:lang w:eastAsia="zh-CN"/>
        </w:rPr>
        <w:t>（3）企业标准请参照《关于印发中小企业划型标准规定的通知》（工信部联企业[2011]300号）文件规定自行填写。</w:t>
      </w:r>
    </w:p>
    <w:p>
      <w:pPr>
        <w:jc w:val="both"/>
        <w:rPr>
          <w:rFonts w:ascii="仿宋" w:hAnsi="仿宋" w:eastAsia="仿宋" w:cs="仿宋"/>
          <w:sz w:val="21"/>
          <w:szCs w:val="21"/>
          <w:lang w:eastAsia="zh-CN"/>
        </w:rPr>
      </w:pPr>
      <w:r>
        <w:rPr>
          <w:rFonts w:ascii="仿宋" w:hAnsi="仿宋" w:eastAsia="仿宋" w:cs="仿宋"/>
          <w:sz w:val="21"/>
          <w:szCs w:val="21"/>
          <w:lang w:eastAsia="zh-CN"/>
        </w:rPr>
        <w:t>2、残疾人福利单位价格扣除</w:t>
      </w:r>
    </w:p>
    <w:p>
      <w:pPr>
        <w:jc w:val="both"/>
        <w:rPr>
          <w:rFonts w:ascii="仿宋" w:hAnsi="仿宋" w:eastAsia="仿宋" w:cs="仿宋"/>
          <w:sz w:val="21"/>
          <w:szCs w:val="21"/>
          <w:lang w:eastAsia="zh-CN"/>
        </w:rPr>
      </w:pPr>
      <w:r>
        <w:rPr>
          <w:rFonts w:ascii="仿宋" w:hAnsi="仿宋" w:eastAsia="仿宋" w:cs="仿宋"/>
          <w:sz w:val="21"/>
          <w:szCs w:val="21"/>
          <w:lang w:eastAsia="zh-CN"/>
        </w:rPr>
        <w:t>（1）本项目对残疾人福利性单位视同小型、微型企业，给予10%的价格扣除，用扣除后的价格参与评审。</w:t>
      </w:r>
    </w:p>
    <w:p>
      <w:pPr>
        <w:jc w:val="both"/>
        <w:rPr>
          <w:rFonts w:ascii="仿宋" w:hAnsi="仿宋" w:eastAsia="仿宋" w:cs="仿宋"/>
          <w:sz w:val="21"/>
          <w:szCs w:val="21"/>
          <w:lang w:eastAsia="zh-CN"/>
        </w:rPr>
      </w:pPr>
      <w:r>
        <w:rPr>
          <w:rFonts w:ascii="仿宋" w:hAnsi="仿宋" w:eastAsia="仿宋" w:cs="仿宋"/>
          <w:sz w:val="21"/>
          <w:szCs w:val="21"/>
          <w:lang w:eastAsia="zh-CN"/>
        </w:rPr>
        <w:t>（2）残疾人福利单位需按照采购文件的要求提供《残疾人福利性单位声明函》。</w:t>
      </w:r>
    </w:p>
    <w:p>
      <w:pPr>
        <w:jc w:val="both"/>
        <w:rPr>
          <w:rFonts w:ascii="仿宋" w:hAnsi="仿宋" w:eastAsia="仿宋" w:cs="仿宋"/>
          <w:sz w:val="21"/>
          <w:szCs w:val="21"/>
          <w:lang w:eastAsia="zh-CN"/>
        </w:rPr>
      </w:pPr>
      <w:r>
        <w:rPr>
          <w:rFonts w:ascii="仿宋" w:hAnsi="仿宋" w:eastAsia="仿宋" w:cs="仿宋"/>
          <w:spacing w:val="-8"/>
          <w:sz w:val="21"/>
          <w:szCs w:val="21"/>
          <w:lang w:eastAsia="zh-CN"/>
        </w:rPr>
        <w:t>（3）残疾人福利单位标准请参照《关于促进残疾人就业政府采购政策的通知》（财</w:t>
      </w:r>
      <w:r>
        <w:rPr>
          <w:rFonts w:ascii="仿宋" w:hAnsi="仿宋" w:eastAsia="仿宋" w:cs="仿宋"/>
          <w:sz w:val="21"/>
          <w:szCs w:val="21"/>
          <w:lang w:eastAsia="zh-CN"/>
        </w:rPr>
        <w:t>库〔2017〕141号）。</w:t>
      </w:r>
    </w:p>
    <w:p>
      <w:pPr>
        <w:jc w:val="both"/>
        <w:rPr>
          <w:rFonts w:ascii="仿宋" w:hAnsi="仿宋" w:eastAsia="仿宋" w:cs="仿宋"/>
          <w:sz w:val="21"/>
          <w:szCs w:val="21"/>
          <w:lang w:eastAsia="zh-CN"/>
        </w:rPr>
      </w:pPr>
      <w:r>
        <w:rPr>
          <w:rFonts w:ascii="仿宋" w:hAnsi="仿宋" w:eastAsia="仿宋" w:cs="仿宋"/>
          <w:sz w:val="21"/>
          <w:szCs w:val="21"/>
          <w:lang w:eastAsia="zh-CN"/>
        </w:rPr>
        <w:t>3、监狱和戒毒企业价格扣除</w:t>
      </w:r>
    </w:p>
    <w:p>
      <w:pPr>
        <w:jc w:val="both"/>
        <w:rPr>
          <w:rFonts w:ascii="仿宋" w:hAnsi="仿宋" w:eastAsia="仿宋" w:cs="仿宋"/>
          <w:sz w:val="21"/>
          <w:szCs w:val="21"/>
          <w:lang w:eastAsia="zh-CN"/>
        </w:rPr>
      </w:pPr>
      <w:r>
        <w:rPr>
          <w:rFonts w:ascii="仿宋" w:hAnsi="仿宋" w:eastAsia="仿宋" w:cs="仿宋"/>
          <w:sz w:val="21"/>
          <w:szCs w:val="21"/>
          <w:lang w:eastAsia="zh-CN"/>
        </w:rPr>
        <w:t>（1）本项目对监狱和戒毒企业（简称监狱企业）视同小型、微型企业，给予10%的价格扣除，用扣除后的价格参与评审。</w:t>
      </w:r>
    </w:p>
    <w:p>
      <w:pPr>
        <w:jc w:val="both"/>
        <w:rPr>
          <w:rFonts w:ascii="仿宋" w:hAnsi="仿宋" w:eastAsia="仿宋" w:cs="仿宋"/>
          <w:sz w:val="21"/>
          <w:szCs w:val="21"/>
          <w:lang w:eastAsia="zh-CN"/>
        </w:rPr>
      </w:pPr>
      <w:r>
        <w:rPr>
          <w:rFonts w:ascii="仿宋" w:hAnsi="仿宋" w:eastAsia="仿宋" w:cs="仿宋"/>
          <w:spacing w:val="-2"/>
          <w:sz w:val="21"/>
          <w:szCs w:val="21"/>
          <w:lang w:eastAsia="zh-CN"/>
        </w:rPr>
        <w:t>（2）监狱企业参加政府采购活动时，需提供由省级以上监狱管理局、戒毒管理局</w:t>
      </w:r>
      <w:r>
        <w:rPr>
          <w:rFonts w:ascii="仿宋" w:hAnsi="仿宋" w:eastAsia="仿宋" w:cs="仿宋"/>
          <w:sz w:val="21"/>
          <w:szCs w:val="21"/>
          <w:lang w:eastAsia="zh-CN"/>
        </w:rPr>
        <w:t>(含新疆生产建设兵团)出具的属于监狱企业的证明文件。供应商如不提供上述证明文件，价格将不做相应扣除。</w:t>
      </w:r>
    </w:p>
    <w:p>
      <w:pPr>
        <w:jc w:val="both"/>
        <w:rPr>
          <w:rFonts w:ascii="仿宋" w:hAnsi="仿宋" w:eastAsia="仿宋" w:cs="仿宋"/>
          <w:sz w:val="21"/>
          <w:szCs w:val="21"/>
          <w:lang w:eastAsia="zh-CN"/>
        </w:rPr>
      </w:pPr>
      <w:r>
        <w:rPr>
          <w:rFonts w:ascii="仿宋" w:hAnsi="仿宋" w:eastAsia="仿宋" w:cs="仿宋"/>
          <w:spacing w:val="-8"/>
          <w:sz w:val="21"/>
          <w:szCs w:val="21"/>
          <w:lang w:eastAsia="zh-CN"/>
        </w:rPr>
        <w:t>（3）监狱企业标准请参照《关于政府采购支持监狱企业发展有关问题的通知》（财</w:t>
      </w:r>
      <w:r>
        <w:rPr>
          <w:rFonts w:ascii="仿宋" w:hAnsi="仿宋" w:eastAsia="仿宋" w:cs="仿宋"/>
          <w:sz w:val="21"/>
          <w:szCs w:val="21"/>
          <w:lang w:eastAsia="zh-CN"/>
        </w:rPr>
        <w:t>库[2014]68号）。</w:t>
      </w:r>
    </w:p>
    <w:p>
      <w:pPr>
        <w:jc w:val="both"/>
        <w:rPr>
          <w:rFonts w:ascii="仿宋" w:hAnsi="仿宋" w:eastAsia="仿宋" w:cs="仿宋"/>
          <w:sz w:val="21"/>
          <w:szCs w:val="21"/>
          <w:lang w:eastAsia="zh-CN"/>
        </w:rPr>
      </w:pPr>
      <w:r>
        <w:rPr>
          <w:rFonts w:ascii="仿宋" w:hAnsi="仿宋" w:eastAsia="仿宋" w:cs="仿宋"/>
          <w:sz w:val="21"/>
          <w:szCs w:val="21"/>
          <w:lang w:eastAsia="zh-CN"/>
        </w:rPr>
        <w:t>4、残疾人福利单位、监狱企业属于小型、微型企业的，不重复享受政策。</w:t>
      </w:r>
    </w:p>
    <w:p>
      <w:pPr>
        <w:jc w:val="both"/>
        <w:rPr>
          <w:rFonts w:ascii="仿宋" w:hAnsi="仿宋" w:eastAsia="仿宋" w:cs="仿宋"/>
          <w:sz w:val="21"/>
          <w:szCs w:val="21"/>
          <w:lang w:eastAsia="zh-CN"/>
        </w:rPr>
      </w:pPr>
      <w:r>
        <w:rPr>
          <w:rFonts w:ascii="仿宋" w:hAnsi="仿宋" w:eastAsia="仿宋" w:cs="仿宋"/>
          <w:spacing w:val="-2"/>
          <w:sz w:val="21"/>
          <w:szCs w:val="21"/>
          <w:lang w:eastAsia="zh-CN"/>
        </w:rPr>
        <w:t>5、大中型企业和其他自然人、法人或者其他组织并与小型、微型企业（残疾人福</w:t>
      </w:r>
      <w:r>
        <w:rPr>
          <w:rFonts w:ascii="仿宋" w:hAnsi="仿宋" w:eastAsia="仿宋" w:cs="仿宋"/>
          <w:sz w:val="21"/>
          <w:szCs w:val="21"/>
          <w:lang w:eastAsia="zh-CN"/>
        </w:rPr>
        <w:t>利单位、监狱企业）组成联合体共同参加政府采购活动。联合协议中约定，小型、微</w:t>
      </w:r>
      <w:r>
        <w:rPr>
          <w:rFonts w:ascii="仿宋" w:hAnsi="仿宋" w:eastAsia="仿宋" w:cs="仿宋"/>
          <w:spacing w:val="-3"/>
          <w:sz w:val="21"/>
          <w:szCs w:val="21"/>
          <w:lang w:eastAsia="zh-CN"/>
        </w:rPr>
        <w:t>型企业（残疾人福利单位、监狱企业）的协议合同金额占到联合体协议合同总金额</w:t>
      </w:r>
      <w:r>
        <w:rPr>
          <w:rFonts w:ascii="仿宋" w:hAnsi="仿宋" w:eastAsia="仿宋" w:cs="仿宋"/>
          <w:sz w:val="21"/>
          <w:szCs w:val="21"/>
          <w:lang w:eastAsia="zh-CN"/>
        </w:rPr>
        <w:t>30%以上的，给予联合体4%的价格扣除，用扣除后的价格参与评审。</w:t>
      </w:r>
    </w:p>
    <w:p>
      <w:pPr>
        <w:jc w:val="both"/>
        <w:rPr>
          <w:rFonts w:ascii="仿宋" w:hAnsi="仿宋" w:eastAsia="仿宋" w:cs="仿宋"/>
          <w:sz w:val="21"/>
          <w:szCs w:val="21"/>
          <w:lang w:eastAsia="zh-CN"/>
        </w:rPr>
      </w:pPr>
      <w:r>
        <w:rPr>
          <w:rFonts w:ascii="仿宋" w:hAnsi="仿宋" w:eastAsia="仿宋" w:cs="仿宋"/>
          <w:spacing w:val="-2"/>
          <w:sz w:val="21"/>
          <w:szCs w:val="21"/>
          <w:lang w:eastAsia="zh-CN"/>
        </w:rPr>
        <w:t>6、联合体各方均为小型、微型企业（残疾人福利单位、监狱企业）的，联合体享</w:t>
      </w:r>
      <w:r>
        <w:rPr>
          <w:rFonts w:ascii="仿宋" w:hAnsi="仿宋" w:eastAsia="仿宋" w:cs="仿宋"/>
          <w:sz w:val="21"/>
          <w:szCs w:val="21"/>
          <w:lang w:eastAsia="zh-CN"/>
        </w:rPr>
        <w:t>受10%价格扣除，用扣除后的价格参与评审。</w:t>
      </w:r>
      <w:bookmarkStart w:id="117" w:name="第六章__投标文件格式"/>
      <w:bookmarkEnd w:id="117"/>
      <w:bookmarkStart w:id="118" w:name="_bookmark9"/>
      <w:bookmarkEnd w:id="118"/>
    </w:p>
    <w:p>
      <w:pPr>
        <w:rPr>
          <w:rFonts w:ascii="仿宋" w:hAnsi="仿宋" w:eastAsia="仿宋" w:cs="仿宋"/>
          <w:sz w:val="21"/>
          <w:szCs w:val="21"/>
          <w:lang w:eastAsia="zh-CN"/>
        </w:rPr>
      </w:pPr>
      <w:r>
        <w:rPr>
          <w:rFonts w:ascii="仿宋" w:hAnsi="仿宋" w:eastAsia="仿宋" w:cs="仿宋"/>
          <w:sz w:val="21"/>
          <w:szCs w:val="21"/>
          <w:lang w:eastAsia="zh-CN"/>
        </w:rPr>
        <w:br w:type="page"/>
      </w:r>
    </w:p>
    <w:p>
      <w:pPr>
        <w:pStyle w:val="4"/>
        <w:numPr>
          <w:ilvl w:val="0"/>
          <w:numId w:val="0"/>
        </w:numPr>
        <w:spacing w:before="360" w:after="360"/>
        <w:ind w:left="576" w:hanging="576"/>
        <w:jc w:val="center"/>
        <w:rPr>
          <w:lang w:eastAsia="zh-CN"/>
        </w:rPr>
      </w:pPr>
      <w:r>
        <w:rPr>
          <w:w w:val="95"/>
          <w:lang w:eastAsia="zh-CN"/>
        </w:rPr>
        <w:t xml:space="preserve">第六章 </w:t>
      </w:r>
      <w:r>
        <w:rPr>
          <w:lang w:eastAsia="zh-CN"/>
        </w:rPr>
        <w:t>投标文件格式</w:t>
      </w:r>
    </w:p>
    <w:p>
      <w:pPr>
        <w:spacing w:line="360" w:lineRule="auto"/>
        <w:jc w:val="both"/>
        <w:rPr>
          <w:rFonts w:ascii="仿宋" w:hAnsi="仿宋" w:eastAsia="仿宋" w:cs="仿宋"/>
          <w:b/>
          <w:bCs/>
          <w:sz w:val="24"/>
          <w:szCs w:val="24"/>
          <w:lang w:eastAsia="zh-CN"/>
        </w:rPr>
      </w:pPr>
    </w:p>
    <w:p>
      <w:pPr>
        <w:spacing w:line="360" w:lineRule="auto"/>
        <w:jc w:val="both"/>
        <w:rPr>
          <w:rFonts w:ascii="仿宋" w:hAnsi="仿宋" w:eastAsia="仿宋" w:cs="仿宋"/>
          <w:b/>
          <w:bCs/>
          <w:sz w:val="24"/>
          <w:szCs w:val="24"/>
          <w:lang w:eastAsia="zh-CN"/>
        </w:rPr>
      </w:pPr>
    </w:p>
    <w:p>
      <w:pPr>
        <w:tabs>
          <w:tab w:val="left" w:pos="2370"/>
          <w:tab w:val="left" w:pos="5071"/>
        </w:tabs>
        <w:spacing w:line="360" w:lineRule="auto"/>
        <w:jc w:val="center"/>
        <w:rPr>
          <w:rFonts w:ascii="仿宋" w:hAnsi="仿宋" w:eastAsia="仿宋" w:cs="宋体"/>
          <w:b/>
          <w:bCs/>
          <w:sz w:val="52"/>
          <w:szCs w:val="52"/>
          <w:lang w:eastAsia="zh-CN"/>
        </w:rPr>
      </w:pPr>
      <w:r>
        <w:rPr>
          <w:rFonts w:ascii="仿宋" w:hAnsi="仿宋" w:eastAsia="仿宋" w:cs="宋体"/>
          <w:b/>
          <w:bCs/>
          <w:spacing w:val="-1"/>
          <w:sz w:val="52"/>
          <w:szCs w:val="52"/>
          <w:lang w:eastAsia="zh-CN"/>
        </w:rPr>
        <w:t>投</w:t>
      </w:r>
      <w:r>
        <w:rPr>
          <w:rFonts w:ascii="仿宋" w:hAnsi="仿宋" w:eastAsia="仿宋" w:cs="宋体"/>
          <w:b/>
          <w:bCs/>
          <w:sz w:val="52"/>
          <w:szCs w:val="52"/>
          <w:lang w:eastAsia="zh-CN"/>
        </w:rPr>
        <w:t>标文件</w:t>
      </w:r>
    </w:p>
    <w:p>
      <w:pPr>
        <w:spacing w:line="360" w:lineRule="auto"/>
        <w:jc w:val="both"/>
        <w:rPr>
          <w:rFonts w:ascii="仿宋" w:hAnsi="仿宋" w:eastAsia="仿宋" w:cs="宋体"/>
          <w:sz w:val="24"/>
          <w:szCs w:val="24"/>
          <w:lang w:eastAsia="zh-CN"/>
        </w:rPr>
      </w:pPr>
    </w:p>
    <w:p>
      <w:pPr>
        <w:spacing w:line="360" w:lineRule="auto"/>
        <w:jc w:val="both"/>
        <w:rPr>
          <w:rFonts w:ascii="仿宋" w:hAnsi="仿宋" w:eastAsia="仿宋" w:cs="宋体"/>
          <w:sz w:val="24"/>
          <w:szCs w:val="24"/>
          <w:lang w:eastAsia="zh-CN"/>
        </w:rPr>
      </w:pPr>
    </w:p>
    <w:p>
      <w:pPr>
        <w:spacing w:line="360" w:lineRule="auto"/>
        <w:jc w:val="both"/>
        <w:rPr>
          <w:rFonts w:ascii="仿宋" w:hAnsi="仿宋" w:eastAsia="仿宋" w:cs="宋体"/>
          <w:sz w:val="24"/>
          <w:szCs w:val="24"/>
          <w:lang w:eastAsia="zh-CN"/>
        </w:rPr>
      </w:pPr>
    </w:p>
    <w:p>
      <w:pPr>
        <w:spacing w:line="360" w:lineRule="auto"/>
        <w:jc w:val="both"/>
        <w:rPr>
          <w:rFonts w:ascii="仿宋" w:hAnsi="仿宋" w:eastAsia="仿宋" w:cs="宋体"/>
          <w:sz w:val="24"/>
          <w:szCs w:val="24"/>
          <w:lang w:eastAsia="zh-CN"/>
        </w:rPr>
      </w:pPr>
    </w:p>
    <w:p>
      <w:pPr>
        <w:spacing w:line="360" w:lineRule="auto"/>
        <w:jc w:val="both"/>
        <w:rPr>
          <w:rFonts w:ascii="仿宋" w:hAnsi="仿宋" w:eastAsia="仿宋" w:cs="宋体"/>
          <w:sz w:val="24"/>
          <w:szCs w:val="24"/>
          <w:lang w:eastAsia="zh-CN"/>
        </w:rPr>
      </w:pPr>
    </w:p>
    <w:p>
      <w:pPr>
        <w:spacing w:line="360" w:lineRule="auto"/>
        <w:jc w:val="both"/>
        <w:rPr>
          <w:rFonts w:ascii="仿宋" w:hAnsi="仿宋" w:eastAsia="仿宋" w:cs="宋体"/>
          <w:sz w:val="24"/>
          <w:szCs w:val="24"/>
          <w:lang w:eastAsia="zh-CN"/>
        </w:rPr>
      </w:pPr>
    </w:p>
    <w:p>
      <w:pPr>
        <w:spacing w:line="360" w:lineRule="auto"/>
        <w:jc w:val="both"/>
        <w:rPr>
          <w:rFonts w:ascii="仿宋" w:hAnsi="仿宋" w:eastAsia="仿宋" w:cs="宋体"/>
          <w:sz w:val="24"/>
          <w:szCs w:val="24"/>
          <w:lang w:eastAsia="zh-CN"/>
        </w:rPr>
      </w:pPr>
    </w:p>
    <w:p>
      <w:pPr>
        <w:spacing w:line="360" w:lineRule="auto"/>
        <w:jc w:val="both"/>
        <w:rPr>
          <w:rFonts w:ascii="仿宋" w:hAnsi="仿宋" w:eastAsia="仿宋" w:cs="宋体"/>
          <w:sz w:val="24"/>
          <w:szCs w:val="24"/>
          <w:lang w:eastAsia="zh-CN"/>
        </w:rPr>
      </w:pPr>
    </w:p>
    <w:p>
      <w:pPr>
        <w:spacing w:line="360" w:lineRule="auto"/>
        <w:jc w:val="both"/>
        <w:rPr>
          <w:rFonts w:ascii="仿宋" w:hAnsi="仿宋" w:eastAsia="仿宋" w:cs="宋体"/>
          <w:sz w:val="24"/>
          <w:szCs w:val="24"/>
          <w:lang w:eastAsia="zh-CN"/>
        </w:rPr>
      </w:pPr>
    </w:p>
    <w:p>
      <w:pPr>
        <w:spacing w:line="360" w:lineRule="auto"/>
        <w:jc w:val="both"/>
        <w:rPr>
          <w:rFonts w:ascii="仿宋" w:hAnsi="仿宋" w:eastAsia="仿宋" w:cs="宋体"/>
          <w:sz w:val="24"/>
          <w:szCs w:val="24"/>
          <w:lang w:eastAsia="zh-CN"/>
        </w:rPr>
      </w:pPr>
    </w:p>
    <w:p>
      <w:pPr>
        <w:spacing w:line="360" w:lineRule="auto"/>
        <w:jc w:val="both"/>
        <w:rPr>
          <w:rFonts w:ascii="仿宋" w:hAnsi="仿宋" w:eastAsia="仿宋" w:cs="宋体"/>
          <w:sz w:val="24"/>
          <w:szCs w:val="24"/>
          <w:lang w:eastAsia="zh-CN"/>
        </w:rPr>
      </w:pPr>
    </w:p>
    <w:p>
      <w:pPr>
        <w:spacing w:line="360" w:lineRule="auto"/>
        <w:jc w:val="center"/>
        <w:rPr>
          <w:rFonts w:ascii="仿宋" w:hAnsi="仿宋" w:eastAsia="仿宋" w:cs="宋体"/>
          <w:sz w:val="24"/>
          <w:szCs w:val="24"/>
          <w:lang w:eastAsia="zh-CN"/>
        </w:rPr>
      </w:pPr>
      <w:r>
        <w:rPr>
          <w:rFonts w:ascii="仿宋" w:hAnsi="仿宋" w:eastAsia="仿宋" w:cs="宋体"/>
          <w:sz w:val="24"/>
          <w:szCs w:val="24"/>
          <w:lang w:eastAsia="zh-CN"/>
        </w:rPr>
        <w:t>项目名称：</w:t>
      </w:r>
    </w:p>
    <w:p>
      <w:pPr>
        <w:spacing w:line="360" w:lineRule="auto"/>
        <w:jc w:val="center"/>
        <w:rPr>
          <w:rFonts w:ascii="仿宋" w:hAnsi="仿宋" w:eastAsia="仿宋" w:cs="宋体"/>
          <w:sz w:val="24"/>
          <w:szCs w:val="24"/>
          <w:lang w:eastAsia="zh-CN"/>
        </w:rPr>
      </w:pPr>
      <w:r>
        <w:rPr>
          <w:rFonts w:ascii="仿宋" w:hAnsi="仿宋" w:eastAsia="仿宋" w:cs="宋体"/>
          <w:sz w:val="24"/>
          <w:szCs w:val="24"/>
          <w:lang w:eastAsia="zh-CN"/>
        </w:rPr>
        <w:t>项目编号：</w:t>
      </w:r>
    </w:p>
    <w:p>
      <w:pPr>
        <w:spacing w:line="360" w:lineRule="auto"/>
        <w:jc w:val="center"/>
        <w:rPr>
          <w:rFonts w:ascii="仿宋" w:hAnsi="仿宋" w:eastAsia="仿宋" w:cs="宋体"/>
          <w:sz w:val="24"/>
          <w:szCs w:val="24"/>
          <w:lang w:eastAsia="zh-CN"/>
        </w:rPr>
      </w:pPr>
      <w:r>
        <w:rPr>
          <w:rFonts w:ascii="仿宋" w:hAnsi="仿宋" w:eastAsia="仿宋" w:cs="宋体"/>
          <w:sz w:val="24"/>
          <w:szCs w:val="24"/>
          <w:lang w:eastAsia="zh-CN"/>
        </w:rPr>
        <w:t>投标人名称：</w:t>
      </w:r>
    </w:p>
    <w:p>
      <w:pPr>
        <w:spacing w:line="360" w:lineRule="auto"/>
        <w:jc w:val="center"/>
        <w:rPr>
          <w:rFonts w:ascii="仿宋" w:hAnsi="仿宋" w:eastAsia="仿宋" w:cs="宋体"/>
          <w:sz w:val="24"/>
          <w:szCs w:val="24"/>
          <w:lang w:eastAsia="zh-CN"/>
        </w:rPr>
      </w:pPr>
      <w:r>
        <w:rPr>
          <w:rFonts w:ascii="仿宋" w:hAnsi="仿宋" w:eastAsia="仿宋" w:cs="宋体"/>
          <w:sz w:val="24"/>
          <w:szCs w:val="24"/>
          <w:lang w:eastAsia="zh-CN"/>
        </w:rPr>
        <w:t>日</w:t>
      </w:r>
      <w:r>
        <w:rPr>
          <w:rFonts w:hint="eastAsia" w:ascii="仿宋" w:hAnsi="仿宋" w:eastAsia="仿宋" w:cs="宋体"/>
          <w:sz w:val="24"/>
          <w:szCs w:val="24"/>
          <w:lang w:eastAsia="zh-CN"/>
        </w:rPr>
        <w:t xml:space="preserve"> </w:t>
      </w:r>
      <w:r>
        <w:rPr>
          <w:rFonts w:ascii="仿宋" w:hAnsi="仿宋" w:eastAsia="仿宋" w:cs="宋体"/>
          <w:sz w:val="24"/>
          <w:szCs w:val="24"/>
          <w:lang w:eastAsia="zh-CN"/>
        </w:rPr>
        <w:t xml:space="preserve">   期：</w:t>
      </w:r>
    </w:p>
    <w:p>
      <w:pPr>
        <w:spacing w:line="360" w:lineRule="auto"/>
        <w:jc w:val="both"/>
        <w:rPr>
          <w:rFonts w:ascii="仿宋" w:hAnsi="仿宋" w:eastAsia="仿宋" w:cs="宋体"/>
          <w:sz w:val="24"/>
          <w:szCs w:val="24"/>
          <w:lang w:eastAsia="zh-CN"/>
        </w:rPr>
        <w:sectPr>
          <w:footerReference r:id="rId9" w:type="default"/>
          <w:pgSz w:w="11910" w:h="16840"/>
          <w:pgMar w:top="1100" w:right="1440" w:bottom="1080" w:left="1220" w:header="880" w:footer="815" w:gutter="0"/>
          <w:pgBorders>
            <w:top w:val="none" w:sz="0" w:space="0"/>
            <w:left w:val="none" w:sz="0" w:space="0"/>
            <w:bottom w:val="none" w:sz="0" w:space="0"/>
            <w:right w:val="none" w:sz="0" w:space="0"/>
          </w:pgBorders>
          <w:pgNumType w:fmt="decimal"/>
          <w:cols w:space="720" w:num="1"/>
        </w:sectPr>
      </w:pPr>
    </w:p>
    <w:p>
      <w:pPr>
        <w:pStyle w:val="5"/>
        <w:numPr>
          <w:ilvl w:val="0"/>
          <w:numId w:val="0"/>
        </w:numPr>
        <w:spacing w:before="360" w:after="360"/>
        <w:ind w:left="720" w:hanging="720"/>
      </w:pPr>
      <w:bookmarkStart w:id="119" w:name="评分索引表"/>
      <w:bookmarkEnd w:id="119"/>
      <w:r>
        <w:t>评分索引表</w:t>
      </w:r>
    </w:p>
    <w:p>
      <w:pPr>
        <w:spacing w:line="360" w:lineRule="auto"/>
        <w:jc w:val="both"/>
        <w:rPr>
          <w:rFonts w:ascii="仿宋" w:hAnsi="仿宋" w:eastAsia="仿宋" w:cs="宋体"/>
          <w:b/>
          <w:bCs/>
          <w:sz w:val="24"/>
          <w:szCs w:val="24"/>
        </w:rPr>
      </w:pPr>
    </w:p>
    <w:tbl>
      <w:tblPr>
        <w:tblStyle w:val="49"/>
        <w:tblW w:w="8932" w:type="dxa"/>
        <w:tblInd w:w="153" w:type="dxa"/>
        <w:tblLayout w:type="fixed"/>
        <w:tblCellMar>
          <w:top w:w="0" w:type="dxa"/>
          <w:left w:w="0" w:type="dxa"/>
          <w:bottom w:w="0" w:type="dxa"/>
          <w:right w:w="0" w:type="dxa"/>
        </w:tblCellMar>
      </w:tblPr>
      <w:tblGrid>
        <w:gridCol w:w="5670"/>
        <w:gridCol w:w="3262"/>
      </w:tblGrid>
      <w:tr>
        <w:tblPrEx>
          <w:tblCellMar>
            <w:top w:w="0" w:type="dxa"/>
            <w:left w:w="0" w:type="dxa"/>
            <w:bottom w:w="0" w:type="dxa"/>
            <w:right w:w="0" w:type="dxa"/>
          </w:tblCellMar>
        </w:tblPrEx>
        <w:trPr>
          <w:trHeight w:val="590" w:hRule="exact"/>
        </w:trPr>
        <w:tc>
          <w:tcPr>
            <w:tcW w:w="5670" w:type="dxa"/>
            <w:tcBorders>
              <w:top w:val="single" w:color="000000" w:sz="4" w:space="0"/>
              <w:left w:val="single" w:color="000000" w:sz="4" w:space="0"/>
              <w:bottom w:val="single" w:color="000000" w:sz="4" w:space="0"/>
              <w:right w:val="single" w:color="000000" w:sz="4" w:space="0"/>
            </w:tcBorders>
            <w:vAlign w:val="center"/>
          </w:tcPr>
          <w:p>
            <w:pPr>
              <w:pStyle w:val="51"/>
              <w:spacing w:line="360" w:lineRule="auto"/>
              <w:jc w:val="center"/>
              <w:rPr>
                <w:rFonts w:ascii="仿宋" w:hAnsi="仿宋" w:eastAsia="仿宋" w:cs="仿宋"/>
                <w:sz w:val="24"/>
                <w:szCs w:val="24"/>
              </w:rPr>
            </w:pPr>
            <w:r>
              <w:rPr>
                <w:rFonts w:ascii="仿宋" w:hAnsi="仿宋" w:eastAsia="仿宋" w:cs="仿宋"/>
                <w:b/>
                <w:bCs/>
                <w:sz w:val="24"/>
                <w:szCs w:val="24"/>
              </w:rPr>
              <w:t>评分项目</w:t>
            </w:r>
          </w:p>
        </w:tc>
        <w:tc>
          <w:tcPr>
            <w:tcW w:w="3262" w:type="dxa"/>
            <w:tcBorders>
              <w:top w:val="single" w:color="000000" w:sz="4" w:space="0"/>
              <w:left w:val="single" w:color="000000" w:sz="4" w:space="0"/>
              <w:bottom w:val="single" w:color="000000" w:sz="4" w:space="0"/>
              <w:right w:val="single" w:color="000000" w:sz="4" w:space="0"/>
            </w:tcBorders>
            <w:vAlign w:val="center"/>
          </w:tcPr>
          <w:p>
            <w:pPr>
              <w:pStyle w:val="51"/>
              <w:spacing w:line="360" w:lineRule="auto"/>
              <w:jc w:val="center"/>
              <w:rPr>
                <w:rFonts w:ascii="仿宋" w:hAnsi="仿宋" w:eastAsia="仿宋" w:cs="仿宋"/>
                <w:sz w:val="24"/>
                <w:szCs w:val="24"/>
                <w:lang w:eastAsia="zh-CN"/>
              </w:rPr>
            </w:pPr>
            <w:r>
              <w:rPr>
                <w:rFonts w:ascii="仿宋" w:hAnsi="仿宋" w:eastAsia="仿宋" w:cs="仿宋"/>
                <w:b/>
                <w:bCs/>
                <w:sz w:val="24"/>
                <w:szCs w:val="24"/>
                <w:lang w:eastAsia="zh-CN"/>
              </w:rPr>
              <w:t>在投标文件中的页码位置</w:t>
            </w:r>
          </w:p>
        </w:tc>
      </w:tr>
      <w:tr>
        <w:tblPrEx>
          <w:tblCellMar>
            <w:top w:w="0" w:type="dxa"/>
            <w:left w:w="0" w:type="dxa"/>
            <w:bottom w:w="0" w:type="dxa"/>
            <w:right w:w="0" w:type="dxa"/>
          </w:tblCellMar>
        </w:tblPrEx>
        <w:trPr>
          <w:trHeight w:val="590" w:hRule="exact"/>
        </w:trPr>
        <w:tc>
          <w:tcPr>
            <w:tcW w:w="5670"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lang w:eastAsia="zh-CN"/>
              </w:rPr>
            </w:pPr>
          </w:p>
        </w:tc>
        <w:tc>
          <w:tcPr>
            <w:tcW w:w="3262"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lang w:eastAsia="zh-CN"/>
              </w:rPr>
            </w:pPr>
          </w:p>
        </w:tc>
      </w:tr>
      <w:tr>
        <w:tblPrEx>
          <w:tblCellMar>
            <w:top w:w="0" w:type="dxa"/>
            <w:left w:w="0" w:type="dxa"/>
            <w:bottom w:w="0" w:type="dxa"/>
            <w:right w:w="0" w:type="dxa"/>
          </w:tblCellMar>
        </w:tblPrEx>
        <w:trPr>
          <w:trHeight w:val="590" w:hRule="exact"/>
        </w:trPr>
        <w:tc>
          <w:tcPr>
            <w:tcW w:w="8932" w:type="dxa"/>
            <w:gridSpan w:val="2"/>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lang w:eastAsia="zh-CN"/>
              </w:rPr>
            </w:pPr>
          </w:p>
        </w:tc>
      </w:tr>
      <w:tr>
        <w:tblPrEx>
          <w:tblCellMar>
            <w:top w:w="0" w:type="dxa"/>
            <w:left w:w="0" w:type="dxa"/>
            <w:bottom w:w="0" w:type="dxa"/>
            <w:right w:w="0" w:type="dxa"/>
          </w:tblCellMar>
        </w:tblPrEx>
        <w:trPr>
          <w:trHeight w:val="590" w:hRule="exact"/>
        </w:trPr>
        <w:tc>
          <w:tcPr>
            <w:tcW w:w="5670"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lang w:eastAsia="zh-CN"/>
              </w:rPr>
            </w:pPr>
          </w:p>
        </w:tc>
        <w:tc>
          <w:tcPr>
            <w:tcW w:w="3262"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lang w:eastAsia="zh-CN"/>
              </w:rPr>
            </w:pPr>
          </w:p>
        </w:tc>
      </w:tr>
      <w:tr>
        <w:tblPrEx>
          <w:tblCellMar>
            <w:top w:w="0" w:type="dxa"/>
            <w:left w:w="0" w:type="dxa"/>
            <w:bottom w:w="0" w:type="dxa"/>
            <w:right w:w="0" w:type="dxa"/>
          </w:tblCellMar>
        </w:tblPrEx>
        <w:trPr>
          <w:trHeight w:val="589" w:hRule="exact"/>
        </w:trPr>
        <w:tc>
          <w:tcPr>
            <w:tcW w:w="5670"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lang w:eastAsia="zh-CN"/>
              </w:rPr>
            </w:pPr>
          </w:p>
        </w:tc>
        <w:tc>
          <w:tcPr>
            <w:tcW w:w="3262"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lang w:eastAsia="zh-CN"/>
              </w:rPr>
            </w:pPr>
          </w:p>
        </w:tc>
      </w:tr>
      <w:tr>
        <w:tblPrEx>
          <w:tblCellMar>
            <w:top w:w="0" w:type="dxa"/>
            <w:left w:w="0" w:type="dxa"/>
            <w:bottom w:w="0" w:type="dxa"/>
            <w:right w:w="0" w:type="dxa"/>
          </w:tblCellMar>
        </w:tblPrEx>
        <w:trPr>
          <w:trHeight w:val="590" w:hRule="exact"/>
        </w:trPr>
        <w:tc>
          <w:tcPr>
            <w:tcW w:w="5670"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lang w:eastAsia="zh-CN"/>
              </w:rPr>
            </w:pPr>
          </w:p>
        </w:tc>
        <w:tc>
          <w:tcPr>
            <w:tcW w:w="3262"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lang w:eastAsia="zh-CN"/>
              </w:rPr>
            </w:pPr>
          </w:p>
        </w:tc>
      </w:tr>
      <w:tr>
        <w:tblPrEx>
          <w:tblCellMar>
            <w:top w:w="0" w:type="dxa"/>
            <w:left w:w="0" w:type="dxa"/>
            <w:bottom w:w="0" w:type="dxa"/>
            <w:right w:w="0" w:type="dxa"/>
          </w:tblCellMar>
        </w:tblPrEx>
        <w:trPr>
          <w:trHeight w:val="590" w:hRule="exact"/>
        </w:trPr>
        <w:tc>
          <w:tcPr>
            <w:tcW w:w="5670"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lang w:eastAsia="zh-CN"/>
              </w:rPr>
            </w:pPr>
          </w:p>
        </w:tc>
        <w:tc>
          <w:tcPr>
            <w:tcW w:w="3262"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lang w:eastAsia="zh-CN"/>
              </w:rPr>
            </w:pPr>
          </w:p>
        </w:tc>
      </w:tr>
      <w:tr>
        <w:tblPrEx>
          <w:tblCellMar>
            <w:top w:w="0" w:type="dxa"/>
            <w:left w:w="0" w:type="dxa"/>
            <w:bottom w:w="0" w:type="dxa"/>
            <w:right w:w="0" w:type="dxa"/>
          </w:tblCellMar>
        </w:tblPrEx>
        <w:trPr>
          <w:trHeight w:val="590" w:hRule="exact"/>
        </w:trPr>
        <w:tc>
          <w:tcPr>
            <w:tcW w:w="5670"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lang w:eastAsia="zh-CN"/>
              </w:rPr>
            </w:pPr>
          </w:p>
        </w:tc>
        <w:tc>
          <w:tcPr>
            <w:tcW w:w="3262"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lang w:eastAsia="zh-CN"/>
              </w:rPr>
            </w:pPr>
          </w:p>
        </w:tc>
      </w:tr>
      <w:tr>
        <w:tblPrEx>
          <w:tblCellMar>
            <w:top w:w="0" w:type="dxa"/>
            <w:left w:w="0" w:type="dxa"/>
            <w:bottom w:w="0" w:type="dxa"/>
            <w:right w:w="0" w:type="dxa"/>
          </w:tblCellMar>
        </w:tblPrEx>
        <w:trPr>
          <w:trHeight w:val="590" w:hRule="exact"/>
        </w:trPr>
        <w:tc>
          <w:tcPr>
            <w:tcW w:w="8932" w:type="dxa"/>
            <w:gridSpan w:val="2"/>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lang w:eastAsia="zh-CN"/>
              </w:rPr>
            </w:pPr>
          </w:p>
        </w:tc>
      </w:tr>
      <w:tr>
        <w:tblPrEx>
          <w:tblCellMar>
            <w:top w:w="0" w:type="dxa"/>
            <w:left w:w="0" w:type="dxa"/>
            <w:bottom w:w="0" w:type="dxa"/>
            <w:right w:w="0" w:type="dxa"/>
          </w:tblCellMar>
        </w:tblPrEx>
        <w:trPr>
          <w:trHeight w:val="590" w:hRule="exact"/>
        </w:trPr>
        <w:tc>
          <w:tcPr>
            <w:tcW w:w="5670"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lang w:eastAsia="zh-CN"/>
              </w:rPr>
            </w:pPr>
          </w:p>
        </w:tc>
        <w:tc>
          <w:tcPr>
            <w:tcW w:w="3262"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lang w:eastAsia="zh-CN"/>
              </w:rPr>
            </w:pPr>
          </w:p>
        </w:tc>
      </w:tr>
      <w:tr>
        <w:tblPrEx>
          <w:tblCellMar>
            <w:top w:w="0" w:type="dxa"/>
            <w:left w:w="0" w:type="dxa"/>
            <w:bottom w:w="0" w:type="dxa"/>
            <w:right w:w="0" w:type="dxa"/>
          </w:tblCellMar>
        </w:tblPrEx>
        <w:trPr>
          <w:trHeight w:val="588" w:hRule="exact"/>
        </w:trPr>
        <w:tc>
          <w:tcPr>
            <w:tcW w:w="5670"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lang w:eastAsia="zh-CN"/>
              </w:rPr>
            </w:pPr>
          </w:p>
        </w:tc>
        <w:tc>
          <w:tcPr>
            <w:tcW w:w="3262"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lang w:eastAsia="zh-CN"/>
              </w:rPr>
            </w:pPr>
          </w:p>
        </w:tc>
      </w:tr>
      <w:tr>
        <w:tblPrEx>
          <w:tblCellMar>
            <w:top w:w="0" w:type="dxa"/>
            <w:left w:w="0" w:type="dxa"/>
            <w:bottom w:w="0" w:type="dxa"/>
            <w:right w:w="0" w:type="dxa"/>
          </w:tblCellMar>
        </w:tblPrEx>
        <w:trPr>
          <w:trHeight w:val="591" w:hRule="exact"/>
        </w:trPr>
        <w:tc>
          <w:tcPr>
            <w:tcW w:w="5670"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lang w:eastAsia="zh-CN"/>
              </w:rPr>
            </w:pPr>
          </w:p>
        </w:tc>
        <w:tc>
          <w:tcPr>
            <w:tcW w:w="3262"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lang w:eastAsia="zh-CN"/>
              </w:rPr>
            </w:pPr>
          </w:p>
        </w:tc>
      </w:tr>
      <w:tr>
        <w:tblPrEx>
          <w:tblCellMar>
            <w:top w:w="0" w:type="dxa"/>
            <w:left w:w="0" w:type="dxa"/>
            <w:bottom w:w="0" w:type="dxa"/>
            <w:right w:w="0" w:type="dxa"/>
          </w:tblCellMar>
        </w:tblPrEx>
        <w:trPr>
          <w:trHeight w:val="590" w:hRule="exact"/>
        </w:trPr>
        <w:tc>
          <w:tcPr>
            <w:tcW w:w="5670"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lang w:eastAsia="zh-CN"/>
              </w:rPr>
            </w:pPr>
          </w:p>
        </w:tc>
        <w:tc>
          <w:tcPr>
            <w:tcW w:w="3262"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lang w:eastAsia="zh-CN"/>
              </w:rPr>
            </w:pPr>
          </w:p>
        </w:tc>
      </w:tr>
      <w:tr>
        <w:tblPrEx>
          <w:tblCellMar>
            <w:top w:w="0" w:type="dxa"/>
            <w:left w:w="0" w:type="dxa"/>
            <w:bottom w:w="0" w:type="dxa"/>
            <w:right w:w="0" w:type="dxa"/>
          </w:tblCellMar>
        </w:tblPrEx>
        <w:trPr>
          <w:trHeight w:val="590" w:hRule="exact"/>
        </w:trPr>
        <w:tc>
          <w:tcPr>
            <w:tcW w:w="5670"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lang w:eastAsia="zh-CN"/>
              </w:rPr>
            </w:pPr>
          </w:p>
        </w:tc>
        <w:tc>
          <w:tcPr>
            <w:tcW w:w="3262"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lang w:eastAsia="zh-CN"/>
              </w:rPr>
            </w:pPr>
          </w:p>
        </w:tc>
      </w:tr>
      <w:tr>
        <w:tblPrEx>
          <w:tblCellMar>
            <w:top w:w="0" w:type="dxa"/>
            <w:left w:w="0" w:type="dxa"/>
            <w:bottom w:w="0" w:type="dxa"/>
            <w:right w:w="0" w:type="dxa"/>
          </w:tblCellMar>
        </w:tblPrEx>
        <w:trPr>
          <w:trHeight w:val="590" w:hRule="exact"/>
        </w:trPr>
        <w:tc>
          <w:tcPr>
            <w:tcW w:w="8932" w:type="dxa"/>
            <w:gridSpan w:val="2"/>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lang w:eastAsia="zh-CN"/>
              </w:rPr>
            </w:pPr>
          </w:p>
        </w:tc>
      </w:tr>
      <w:tr>
        <w:tblPrEx>
          <w:tblCellMar>
            <w:top w:w="0" w:type="dxa"/>
            <w:left w:w="0" w:type="dxa"/>
            <w:bottom w:w="0" w:type="dxa"/>
            <w:right w:w="0" w:type="dxa"/>
          </w:tblCellMar>
        </w:tblPrEx>
        <w:trPr>
          <w:trHeight w:val="590" w:hRule="exact"/>
        </w:trPr>
        <w:tc>
          <w:tcPr>
            <w:tcW w:w="5670"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lang w:eastAsia="zh-CN"/>
              </w:rPr>
            </w:pPr>
          </w:p>
        </w:tc>
        <w:tc>
          <w:tcPr>
            <w:tcW w:w="3262"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lang w:eastAsia="zh-CN"/>
              </w:rPr>
            </w:pPr>
          </w:p>
        </w:tc>
      </w:tr>
      <w:tr>
        <w:tblPrEx>
          <w:tblCellMar>
            <w:top w:w="0" w:type="dxa"/>
            <w:left w:w="0" w:type="dxa"/>
            <w:bottom w:w="0" w:type="dxa"/>
            <w:right w:w="0" w:type="dxa"/>
          </w:tblCellMar>
        </w:tblPrEx>
        <w:trPr>
          <w:trHeight w:val="588" w:hRule="exact"/>
        </w:trPr>
        <w:tc>
          <w:tcPr>
            <w:tcW w:w="5670"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lang w:eastAsia="zh-CN"/>
              </w:rPr>
            </w:pPr>
          </w:p>
        </w:tc>
        <w:tc>
          <w:tcPr>
            <w:tcW w:w="3262"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lang w:eastAsia="zh-CN"/>
              </w:rPr>
            </w:pPr>
          </w:p>
        </w:tc>
      </w:tr>
      <w:tr>
        <w:tblPrEx>
          <w:tblCellMar>
            <w:top w:w="0" w:type="dxa"/>
            <w:left w:w="0" w:type="dxa"/>
            <w:bottom w:w="0" w:type="dxa"/>
            <w:right w:w="0" w:type="dxa"/>
          </w:tblCellMar>
        </w:tblPrEx>
        <w:trPr>
          <w:trHeight w:val="591" w:hRule="exact"/>
        </w:trPr>
        <w:tc>
          <w:tcPr>
            <w:tcW w:w="5670"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lang w:eastAsia="zh-CN"/>
              </w:rPr>
            </w:pPr>
          </w:p>
        </w:tc>
        <w:tc>
          <w:tcPr>
            <w:tcW w:w="3262"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lang w:eastAsia="zh-CN"/>
              </w:rPr>
            </w:pPr>
          </w:p>
        </w:tc>
      </w:tr>
      <w:tr>
        <w:tblPrEx>
          <w:tblCellMar>
            <w:top w:w="0" w:type="dxa"/>
            <w:left w:w="0" w:type="dxa"/>
            <w:bottom w:w="0" w:type="dxa"/>
            <w:right w:w="0" w:type="dxa"/>
          </w:tblCellMar>
        </w:tblPrEx>
        <w:trPr>
          <w:trHeight w:val="590" w:hRule="exact"/>
        </w:trPr>
        <w:tc>
          <w:tcPr>
            <w:tcW w:w="8932" w:type="dxa"/>
            <w:gridSpan w:val="2"/>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lang w:eastAsia="zh-CN"/>
              </w:rPr>
            </w:pPr>
          </w:p>
        </w:tc>
      </w:tr>
      <w:tr>
        <w:tblPrEx>
          <w:tblCellMar>
            <w:top w:w="0" w:type="dxa"/>
            <w:left w:w="0" w:type="dxa"/>
            <w:bottom w:w="0" w:type="dxa"/>
            <w:right w:w="0" w:type="dxa"/>
          </w:tblCellMar>
        </w:tblPrEx>
        <w:trPr>
          <w:trHeight w:val="590" w:hRule="exact"/>
        </w:trPr>
        <w:tc>
          <w:tcPr>
            <w:tcW w:w="5670"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lang w:eastAsia="zh-CN"/>
              </w:rPr>
            </w:pPr>
          </w:p>
        </w:tc>
        <w:tc>
          <w:tcPr>
            <w:tcW w:w="3262"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lang w:eastAsia="zh-CN"/>
              </w:rPr>
            </w:pPr>
          </w:p>
        </w:tc>
      </w:tr>
      <w:tr>
        <w:tblPrEx>
          <w:tblCellMar>
            <w:top w:w="0" w:type="dxa"/>
            <w:left w:w="0" w:type="dxa"/>
            <w:bottom w:w="0" w:type="dxa"/>
            <w:right w:w="0" w:type="dxa"/>
          </w:tblCellMar>
        </w:tblPrEx>
        <w:trPr>
          <w:trHeight w:val="590" w:hRule="exact"/>
        </w:trPr>
        <w:tc>
          <w:tcPr>
            <w:tcW w:w="5670"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lang w:eastAsia="zh-CN"/>
              </w:rPr>
            </w:pPr>
          </w:p>
        </w:tc>
        <w:tc>
          <w:tcPr>
            <w:tcW w:w="3262"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lang w:eastAsia="zh-CN"/>
              </w:rPr>
            </w:pPr>
          </w:p>
        </w:tc>
      </w:tr>
    </w:tbl>
    <w:p>
      <w:pPr>
        <w:spacing w:line="360" w:lineRule="auto"/>
        <w:jc w:val="both"/>
        <w:rPr>
          <w:rFonts w:ascii="仿宋" w:hAnsi="仿宋" w:eastAsia="仿宋"/>
          <w:sz w:val="24"/>
          <w:szCs w:val="24"/>
          <w:lang w:eastAsia="zh-CN"/>
        </w:rPr>
        <w:sectPr>
          <w:footerReference r:id="rId10" w:type="default"/>
          <w:pgSz w:w="11910" w:h="16840"/>
          <w:pgMar w:top="1100" w:right="1440" w:bottom="1080" w:left="1220" w:header="880" w:footer="888" w:gutter="0"/>
          <w:pgBorders>
            <w:top w:val="none" w:sz="0" w:space="0"/>
            <w:left w:val="none" w:sz="0" w:space="0"/>
            <w:bottom w:val="none" w:sz="0" w:space="0"/>
            <w:right w:val="none" w:sz="0" w:space="0"/>
          </w:pgBorders>
          <w:pgNumType w:fmt="decimal"/>
          <w:cols w:space="720" w:num="1"/>
        </w:sectPr>
      </w:pPr>
    </w:p>
    <w:p>
      <w:pPr>
        <w:pStyle w:val="5"/>
        <w:numPr>
          <w:ilvl w:val="0"/>
          <w:numId w:val="0"/>
        </w:numPr>
        <w:spacing w:before="360" w:after="360"/>
        <w:ind w:left="720" w:hanging="720"/>
        <w:rPr>
          <w:lang w:eastAsia="zh-CN"/>
        </w:rPr>
      </w:pPr>
      <w:r>
        <w:rPr>
          <w:lang w:eastAsia="zh-CN"/>
        </w:rPr>
        <w:t>投标主要文件目录</w:t>
      </w:r>
    </w:p>
    <w:p>
      <w:pPr>
        <w:spacing w:line="360" w:lineRule="auto"/>
        <w:jc w:val="both"/>
        <w:rPr>
          <w:lang w:eastAsia="zh-CN"/>
        </w:rPr>
      </w:pPr>
    </w:p>
    <w:p>
      <w:pPr>
        <w:spacing w:line="360" w:lineRule="auto"/>
        <w:jc w:val="both"/>
        <w:rPr>
          <w:rFonts w:ascii="仿宋" w:hAnsi="仿宋" w:eastAsia="仿宋" w:cs="宋体"/>
          <w:sz w:val="24"/>
          <w:szCs w:val="24"/>
          <w:lang w:eastAsia="zh-CN"/>
        </w:rPr>
      </w:pPr>
      <w:r>
        <w:rPr>
          <w:rFonts w:ascii="仿宋" w:hAnsi="仿宋" w:eastAsia="仿宋" w:cs="宋体"/>
          <w:sz w:val="24"/>
          <w:szCs w:val="24"/>
          <w:lang w:eastAsia="zh-CN"/>
        </w:rPr>
        <w:t>一、资格性和符合性检查响应对照表</w:t>
      </w:r>
    </w:p>
    <w:p>
      <w:pPr>
        <w:spacing w:line="360" w:lineRule="auto"/>
        <w:jc w:val="both"/>
        <w:rPr>
          <w:rFonts w:ascii="仿宋" w:hAnsi="仿宋" w:eastAsia="仿宋" w:cs="宋体"/>
          <w:sz w:val="24"/>
          <w:szCs w:val="24"/>
          <w:lang w:eastAsia="zh-CN"/>
        </w:rPr>
      </w:pPr>
      <w:r>
        <w:rPr>
          <w:rFonts w:ascii="仿宋" w:hAnsi="仿宋" w:eastAsia="仿宋" w:cs="宋体"/>
          <w:sz w:val="24"/>
          <w:szCs w:val="24"/>
          <w:lang w:eastAsia="zh-CN"/>
        </w:rPr>
        <w:t>二、资格、资信证明文件要求</w:t>
      </w:r>
    </w:p>
    <w:p>
      <w:pPr>
        <w:spacing w:line="360" w:lineRule="auto"/>
        <w:jc w:val="both"/>
        <w:rPr>
          <w:rFonts w:ascii="仿宋" w:hAnsi="仿宋" w:eastAsia="仿宋" w:cs="宋体"/>
          <w:sz w:val="24"/>
          <w:szCs w:val="24"/>
          <w:lang w:eastAsia="zh-CN"/>
        </w:rPr>
      </w:pPr>
      <w:r>
        <w:rPr>
          <w:rFonts w:ascii="仿宋" w:hAnsi="仿宋" w:eastAsia="仿宋" w:cs="宋体"/>
          <w:sz w:val="24"/>
          <w:szCs w:val="24"/>
          <w:lang w:eastAsia="zh-CN"/>
        </w:rPr>
        <w:t>三、投标产品配置及分项报价表</w:t>
      </w:r>
    </w:p>
    <w:p>
      <w:pPr>
        <w:spacing w:line="360" w:lineRule="auto"/>
        <w:jc w:val="both"/>
        <w:rPr>
          <w:rFonts w:ascii="仿宋" w:hAnsi="仿宋" w:eastAsia="仿宋" w:cs="宋体"/>
          <w:sz w:val="24"/>
          <w:szCs w:val="24"/>
          <w:lang w:eastAsia="zh-CN"/>
        </w:rPr>
      </w:pPr>
      <w:r>
        <w:rPr>
          <w:rFonts w:ascii="仿宋" w:hAnsi="仿宋" w:eastAsia="仿宋" w:cs="宋体"/>
          <w:sz w:val="24"/>
          <w:szCs w:val="24"/>
          <w:lang w:eastAsia="zh-CN"/>
        </w:rPr>
        <w:t>四、技术参数响应及偏离表</w:t>
      </w:r>
    </w:p>
    <w:p>
      <w:pPr>
        <w:spacing w:line="360" w:lineRule="auto"/>
        <w:jc w:val="both"/>
        <w:rPr>
          <w:rFonts w:ascii="仿宋" w:hAnsi="仿宋" w:eastAsia="仿宋" w:cs="宋体"/>
          <w:sz w:val="24"/>
          <w:szCs w:val="24"/>
          <w:lang w:eastAsia="zh-CN"/>
        </w:rPr>
      </w:pPr>
      <w:r>
        <w:rPr>
          <w:rFonts w:ascii="仿宋" w:hAnsi="仿宋" w:eastAsia="仿宋" w:cs="宋体"/>
          <w:sz w:val="24"/>
          <w:szCs w:val="24"/>
          <w:lang w:eastAsia="zh-CN"/>
        </w:rPr>
        <w:t>五、商务条款响应及偏离表</w:t>
      </w:r>
    </w:p>
    <w:p>
      <w:pPr>
        <w:spacing w:line="360" w:lineRule="auto"/>
        <w:jc w:val="both"/>
        <w:rPr>
          <w:rFonts w:ascii="仿宋" w:hAnsi="仿宋" w:eastAsia="仿宋" w:cs="宋体"/>
          <w:sz w:val="24"/>
          <w:szCs w:val="24"/>
          <w:lang w:eastAsia="zh-CN"/>
        </w:rPr>
      </w:pPr>
      <w:r>
        <w:rPr>
          <w:rFonts w:ascii="仿宋" w:hAnsi="仿宋" w:eastAsia="仿宋" w:cs="宋体"/>
          <w:sz w:val="24"/>
          <w:szCs w:val="24"/>
          <w:lang w:eastAsia="zh-CN"/>
        </w:rPr>
        <w:t>六、开标一览表</w:t>
      </w:r>
    </w:p>
    <w:p>
      <w:pPr>
        <w:spacing w:line="360" w:lineRule="auto"/>
        <w:jc w:val="both"/>
        <w:rPr>
          <w:rFonts w:ascii="仿宋" w:hAnsi="仿宋" w:eastAsia="仿宋" w:cs="宋体"/>
          <w:sz w:val="24"/>
          <w:szCs w:val="24"/>
          <w:lang w:eastAsia="zh-CN"/>
        </w:rPr>
      </w:pPr>
      <w:r>
        <w:rPr>
          <w:rFonts w:ascii="仿宋" w:hAnsi="仿宋" w:eastAsia="仿宋" w:cs="宋体"/>
          <w:sz w:val="24"/>
          <w:szCs w:val="24"/>
          <w:lang w:eastAsia="zh-CN"/>
        </w:rPr>
        <w:t>七、技术方案</w:t>
      </w:r>
    </w:p>
    <w:p>
      <w:pPr>
        <w:spacing w:line="360" w:lineRule="auto"/>
        <w:jc w:val="both"/>
        <w:rPr>
          <w:rFonts w:ascii="仿宋" w:hAnsi="仿宋" w:eastAsia="仿宋" w:cs="宋体"/>
          <w:sz w:val="24"/>
          <w:szCs w:val="24"/>
          <w:lang w:eastAsia="zh-CN"/>
        </w:rPr>
        <w:sectPr>
          <w:footerReference r:id="rId11" w:type="default"/>
          <w:pgSz w:w="11910" w:h="16840"/>
          <w:pgMar w:top="1100" w:right="1440" w:bottom="1080" w:left="1220" w:header="880" w:footer="888" w:gutter="0"/>
          <w:pgBorders>
            <w:top w:val="none" w:sz="0" w:space="0"/>
            <w:left w:val="none" w:sz="0" w:space="0"/>
            <w:bottom w:val="none" w:sz="0" w:space="0"/>
            <w:right w:val="none" w:sz="0" w:space="0"/>
          </w:pgBorders>
          <w:pgNumType w:fmt="decimal" w:start="1"/>
          <w:cols w:space="720" w:num="1"/>
        </w:sectPr>
      </w:pPr>
    </w:p>
    <w:p>
      <w:pPr>
        <w:pStyle w:val="6"/>
        <w:numPr>
          <w:ilvl w:val="0"/>
          <w:numId w:val="0"/>
        </w:numPr>
        <w:spacing w:before="360" w:after="360"/>
        <w:ind w:left="864" w:hanging="864"/>
        <w:rPr>
          <w:lang w:eastAsia="zh-CN"/>
        </w:rPr>
      </w:pPr>
      <w:bookmarkStart w:id="120" w:name="一、资格性和符合性检查响应对照表"/>
      <w:bookmarkEnd w:id="120"/>
      <w:r>
        <w:rPr>
          <w:lang w:eastAsia="zh-CN"/>
        </w:rPr>
        <w:t>一、资格性和符合性检查响应对照表</w:t>
      </w: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投标人全称（加盖公章）：</w:t>
      </w:r>
    </w:p>
    <w:p>
      <w:pPr>
        <w:spacing w:line="360" w:lineRule="auto"/>
        <w:jc w:val="both"/>
        <w:rPr>
          <w:rFonts w:ascii="仿宋" w:hAnsi="仿宋" w:eastAsia="仿宋" w:cs="仿宋"/>
          <w:sz w:val="24"/>
          <w:szCs w:val="24"/>
          <w:lang w:eastAsia="zh-CN"/>
        </w:rPr>
      </w:pPr>
    </w:p>
    <w:tbl>
      <w:tblPr>
        <w:tblStyle w:val="49"/>
        <w:tblW w:w="9182" w:type="dxa"/>
        <w:tblInd w:w="112" w:type="dxa"/>
        <w:tblLayout w:type="fixed"/>
        <w:tblCellMar>
          <w:top w:w="0" w:type="dxa"/>
          <w:left w:w="0" w:type="dxa"/>
          <w:bottom w:w="0" w:type="dxa"/>
          <w:right w:w="0" w:type="dxa"/>
        </w:tblCellMar>
      </w:tblPr>
      <w:tblGrid>
        <w:gridCol w:w="646"/>
        <w:gridCol w:w="5135"/>
        <w:gridCol w:w="1699"/>
        <w:gridCol w:w="1702"/>
      </w:tblGrid>
      <w:tr>
        <w:tblPrEx>
          <w:tblCellMar>
            <w:top w:w="0" w:type="dxa"/>
            <w:left w:w="0" w:type="dxa"/>
            <w:bottom w:w="0" w:type="dxa"/>
            <w:right w:w="0" w:type="dxa"/>
          </w:tblCellMar>
        </w:tblPrEx>
        <w:trPr>
          <w:trHeight w:val="893" w:hRule="exact"/>
        </w:trPr>
        <w:tc>
          <w:tcPr>
            <w:tcW w:w="646" w:type="dxa"/>
            <w:tcBorders>
              <w:top w:val="single" w:color="000000" w:sz="4" w:space="0"/>
              <w:left w:val="single" w:color="000000" w:sz="4" w:space="0"/>
              <w:bottom w:val="single" w:color="000000" w:sz="4" w:space="0"/>
              <w:right w:val="single" w:color="000000" w:sz="4" w:space="0"/>
            </w:tcBorders>
            <w:vAlign w:val="center"/>
          </w:tcPr>
          <w:p>
            <w:pPr>
              <w:pStyle w:val="51"/>
              <w:spacing w:line="360" w:lineRule="auto"/>
              <w:jc w:val="center"/>
              <w:rPr>
                <w:rFonts w:ascii="仿宋" w:hAnsi="仿宋" w:eastAsia="仿宋" w:cs="仿宋"/>
                <w:sz w:val="24"/>
                <w:szCs w:val="24"/>
              </w:rPr>
            </w:pPr>
            <w:r>
              <w:rPr>
                <w:rFonts w:ascii="仿宋" w:hAnsi="仿宋" w:eastAsia="仿宋" w:cs="仿宋"/>
                <w:b/>
                <w:bCs/>
                <w:sz w:val="24"/>
                <w:szCs w:val="24"/>
              </w:rPr>
              <w:t>序号</w:t>
            </w:r>
          </w:p>
        </w:tc>
        <w:tc>
          <w:tcPr>
            <w:tcW w:w="5135" w:type="dxa"/>
            <w:tcBorders>
              <w:top w:val="single" w:color="000000" w:sz="4" w:space="0"/>
              <w:left w:val="single" w:color="000000" w:sz="4" w:space="0"/>
              <w:bottom w:val="single" w:color="000000" w:sz="4" w:space="0"/>
              <w:right w:val="single" w:color="000000" w:sz="4" w:space="0"/>
            </w:tcBorders>
            <w:vAlign w:val="center"/>
          </w:tcPr>
          <w:p>
            <w:pPr>
              <w:pStyle w:val="51"/>
              <w:spacing w:line="360" w:lineRule="auto"/>
              <w:jc w:val="center"/>
              <w:rPr>
                <w:rFonts w:ascii="仿宋" w:hAnsi="仿宋" w:eastAsia="仿宋" w:cs="仿宋"/>
                <w:sz w:val="24"/>
                <w:szCs w:val="24"/>
                <w:lang w:eastAsia="zh-CN"/>
              </w:rPr>
            </w:pPr>
            <w:r>
              <w:rPr>
                <w:rFonts w:ascii="仿宋" w:hAnsi="仿宋" w:eastAsia="仿宋" w:cs="仿宋"/>
                <w:b/>
                <w:bCs/>
                <w:sz w:val="24"/>
                <w:szCs w:val="24"/>
                <w:lang w:eastAsia="zh-CN"/>
              </w:rPr>
              <w:t>资格性和符合性检查响应内容</w:t>
            </w:r>
          </w:p>
        </w:tc>
        <w:tc>
          <w:tcPr>
            <w:tcW w:w="1699" w:type="dxa"/>
            <w:tcBorders>
              <w:top w:val="single" w:color="000000" w:sz="4" w:space="0"/>
              <w:left w:val="single" w:color="000000" w:sz="4" w:space="0"/>
              <w:bottom w:val="single" w:color="000000" w:sz="4" w:space="0"/>
              <w:right w:val="single" w:color="000000" w:sz="4" w:space="0"/>
            </w:tcBorders>
            <w:vAlign w:val="center"/>
          </w:tcPr>
          <w:p>
            <w:pPr>
              <w:pStyle w:val="51"/>
              <w:spacing w:line="360" w:lineRule="auto"/>
              <w:jc w:val="center"/>
              <w:rPr>
                <w:rFonts w:ascii="仿宋" w:hAnsi="仿宋" w:eastAsia="仿宋" w:cs="仿宋"/>
                <w:b/>
                <w:bCs/>
                <w:sz w:val="24"/>
                <w:szCs w:val="24"/>
                <w:lang w:eastAsia="zh-CN"/>
              </w:rPr>
            </w:pPr>
            <w:r>
              <w:rPr>
                <w:rFonts w:ascii="仿宋" w:hAnsi="仿宋" w:eastAsia="仿宋" w:cs="仿宋"/>
                <w:b/>
                <w:bCs/>
                <w:sz w:val="24"/>
                <w:szCs w:val="24"/>
                <w:lang w:eastAsia="zh-CN"/>
              </w:rPr>
              <w:t>是否响应</w:t>
            </w:r>
          </w:p>
          <w:p>
            <w:pPr>
              <w:pStyle w:val="51"/>
              <w:spacing w:line="360" w:lineRule="auto"/>
              <w:jc w:val="center"/>
              <w:rPr>
                <w:rFonts w:ascii="仿宋" w:hAnsi="仿宋" w:eastAsia="仿宋" w:cs="仿宋"/>
                <w:sz w:val="24"/>
                <w:szCs w:val="24"/>
                <w:lang w:eastAsia="zh-CN"/>
              </w:rPr>
            </w:pPr>
            <w:r>
              <w:rPr>
                <w:rFonts w:ascii="仿宋" w:hAnsi="仿宋" w:eastAsia="仿宋" w:cs="仿宋"/>
                <w:b/>
                <w:bCs/>
                <w:sz w:val="24"/>
                <w:szCs w:val="24"/>
                <w:lang w:eastAsia="zh-CN"/>
              </w:rPr>
              <w:t>（填是或者否）</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51"/>
              <w:spacing w:line="360" w:lineRule="auto"/>
              <w:jc w:val="center"/>
              <w:rPr>
                <w:rFonts w:ascii="仿宋" w:hAnsi="仿宋" w:eastAsia="仿宋" w:cs="仿宋"/>
                <w:sz w:val="24"/>
                <w:szCs w:val="24"/>
                <w:lang w:eastAsia="zh-CN"/>
              </w:rPr>
            </w:pPr>
            <w:r>
              <w:rPr>
                <w:rFonts w:ascii="仿宋" w:hAnsi="仿宋" w:eastAsia="仿宋" w:cs="仿宋"/>
                <w:b/>
                <w:bCs/>
                <w:sz w:val="24"/>
                <w:szCs w:val="24"/>
                <w:lang w:eastAsia="zh-CN"/>
              </w:rPr>
              <w:t>投标文件中的页码位置</w:t>
            </w:r>
          </w:p>
        </w:tc>
      </w:tr>
      <w:tr>
        <w:tblPrEx>
          <w:tblCellMar>
            <w:top w:w="0" w:type="dxa"/>
            <w:left w:w="0" w:type="dxa"/>
            <w:bottom w:w="0" w:type="dxa"/>
            <w:right w:w="0" w:type="dxa"/>
          </w:tblCellMar>
        </w:tblPrEx>
        <w:trPr>
          <w:trHeight w:val="595" w:hRule="exact"/>
        </w:trPr>
        <w:tc>
          <w:tcPr>
            <w:tcW w:w="646" w:type="dxa"/>
            <w:tcBorders>
              <w:top w:val="single" w:color="000000" w:sz="4" w:space="0"/>
              <w:left w:val="single" w:color="000000" w:sz="4" w:space="0"/>
              <w:bottom w:val="single" w:color="000000" w:sz="4" w:space="0"/>
              <w:right w:val="single" w:color="000000" w:sz="4" w:space="0"/>
            </w:tcBorders>
            <w:vAlign w:val="center"/>
          </w:tcPr>
          <w:p>
            <w:pPr>
              <w:pStyle w:val="51"/>
              <w:spacing w:line="360" w:lineRule="auto"/>
              <w:jc w:val="center"/>
              <w:rPr>
                <w:rFonts w:ascii="仿宋" w:hAnsi="仿宋" w:eastAsia="仿宋" w:cs="仿宋"/>
                <w:sz w:val="24"/>
                <w:szCs w:val="24"/>
              </w:rPr>
            </w:pPr>
            <w:r>
              <w:rPr>
                <w:rFonts w:ascii="仿宋" w:hAnsi="仿宋" w:eastAsia="仿宋"/>
                <w:b/>
                <w:w w:val="99"/>
                <w:sz w:val="24"/>
                <w:szCs w:val="24"/>
                <w:u w:val="single" w:color="000000"/>
              </w:rPr>
              <w:t>1</w:t>
            </w:r>
          </w:p>
        </w:tc>
        <w:tc>
          <w:tcPr>
            <w:tcW w:w="51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sz w:val="24"/>
                <w:szCs w:val="24"/>
              </w:rPr>
            </w:pPr>
          </w:p>
        </w:tc>
        <w:tc>
          <w:tcPr>
            <w:tcW w:w="169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sz w:val="24"/>
                <w:szCs w:val="24"/>
              </w:rPr>
            </w:pPr>
          </w:p>
        </w:tc>
        <w:tc>
          <w:tcPr>
            <w:tcW w:w="170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sz w:val="24"/>
                <w:szCs w:val="24"/>
              </w:rPr>
            </w:pPr>
          </w:p>
        </w:tc>
      </w:tr>
      <w:tr>
        <w:tblPrEx>
          <w:tblCellMar>
            <w:top w:w="0" w:type="dxa"/>
            <w:left w:w="0" w:type="dxa"/>
            <w:bottom w:w="0" w:type="dxa"/>
            <w:right w:w="0" w:type="dxa"/>
          </w:tblCellMar>
        </w:tblPrEx>
        <w:trPr>
          <w:trHeight w:val="595" w:hRule="exact"/>
        </w:trPr>
        <w:tc>
          <w:tcPr>
            <w:tcW w:w="646" w:type="dxa"/>
            <w:tcBorders>
              <w:top w:val="single" w:color="000000" w:sz="4" w:space="0"/>
              <w:left w:val="single" w:color="000000" w:sz="4" w:space="0"/>
              <w:bottom w:val="single" w:color="000000" w:sz="4" w:space="0"/>
              <w:right w:val="single" w:color="000000" w:sz="4" w:space="0"/>
            </w:tcBorders>
            <w:vAlign w:val="center"/>
          </w:tcPr>
          <w:p>
            <w:pPr>
              <w:pStyle w:val="51"/>
              <w:spacing w:line="360" w:lineRule="auto"/>
              <w:jc w:val="center"/>
              <w:rPr>
                <w:rFonts w:ascii="仿宋" w:hAnsi="仿宋" w:eastAsia="仿宋" w:cs="仿宋"/>
                <w:sz w:val="24"/>
                <w:szCs w:val="24"/>
              </w:rPr>
            </w:pPr>
            <w:r>
              <w:rPr>
                <w:rFonts w:ascii="仿宋" w:hAnsi="仿宋" w:eastAsia="仿宋"/>
                <w:sz w:val="24"/>
                <w:szCs w:val="24"/>
                <w:u w:val="single" w:color="000000"/>
              </w:rPr>
              <w:t>2</w:t>
            </w:r>
          </w:p>
        </w:tc>
        <w:tc>
          <w:tcPr>
            <w:tcW w:w="51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sz w:val="24"/>
                <w:szCs w:val="24"/>
              </w:rPr>
            </w:pPr>
          </w:p>
        </w:tc>
        <w:tc>
          <w:tcPr>
            <w:tcW w:w="169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sz w:val="24"/>
                <w:szCs w:val="24"/>
              </w:rPr>
            </w:pPr>
          </w:p>
        </w:tc>
        <w:tc>
          <w:tcPr>
            <w:tcW w:w="170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sz w:val="24"/>
                <w:szCs w:val="24"/>
              </w:rPr>
            </w:pPr>
          </w:p>
        </w:tc>
      </w:tr>
      <w:tr>
        <w:tblPrEx>
          <w:tblCellMar>
            <w:top w:w="0" w:type="dxa"/>
            <w:left w:w="0" w:type="dxa"/>
            <w:bottom w:w="0" w:type="dxa"/>
            <w:right w:w="0" w:type="dxa"/>
          </w:tblCellMar>
        </w:tblPrEx>
        <w:trPr>
          <w:trHeight w:val="595" w:hRule="exact"/>
        </w:trPr>
        <w:tc>
          <w:tcPr>
            <w:tcW w:w="646" w:type="dxa"/>
            <w:tcBorders>
              <w:top w:val="single" w:color="000000" w:sz="4" w:space="0"/>
              <w:left w:val="single" w:color="000000" w:sz="4" w:space="0"/>
              <w:bottom w:val="single" w:color="000000" w:sz="4" w:space="0"/>
              <w:right w:val="single" w:color="000000" w:sz="4" w:space="0"/>
            </w:tcBorders>
            <w:vAlign w:val="center"/>
          </w:tcPr>
          <w:p>
            <w:pPr>
              <w:pStyle w:val="51"/>
              <w:spacing w:line="360" w:lineRule="auto"/>
              <w:jc w:val="center"/>
              <w:rPr>
                <w:rFonts w:ascii="仿宋" w:hAnsi="仿宋" w:eastAsia="仿宋" w:cs="仿宋"/>
                <w:sz w:val="24"/>
                <w:szCs w:val="24"/>
              </w:rPr>
            </w:pPr>
            <w:r>
              <w:rPr>
                <w:rFonts w:ascii="仿宋" w:hAnsi="仿宋" w:eastAsia="仿宋"/>
                <w:sz w:val="24"/>
                <w:szCs w:val="24"/>
                <w:u w:val="single" w:color="000000"/>
              </w:rPr>
              <w:t>3</w:t>
            </w:r>
          </w:p>
        </w:tc>
        <w:tc>
          <w:tcPr>
            <w:tcW w:w="51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sz w:val="24"/>
                <w:szCs w:val="24"/>
              </w:rPr>
            </w:pPr>
          </w:p>
        </w:tc>
        <w:tc>
          <w:tcPr>
            <w:tcW w:w="169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sz w:val="24"/>
                <w:szCs w:val="24"/>
              </w:rPr>
            </w:pPr>
          </w:p>
        </w:tc>
        <w:tc>
          <w:tcPr>
            <w:tcW w:w="170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sz w:val="24"/>
                <w:szCs w:val="24"/>
              </w:rPr>
            </w:pPr>
          </w:p>
        </w:tc>
      </w:tr>
      <w:tr>
        <w:tblPrEx>
          <w:tblCellMar>
            <w:top w:w="0" w:type="dxa"/>
            <w:left w:w="0" w:type="dxa"/>
            <w:bottom w:w="0" w:type="dxa"/>
            <w:right w:w="0" w:type="dxa"/>
          </w:tblCellMar>
        </w:tblPrEx>
        <w:trPr>
          <w:trHeight w:val="2605" w:hRule="exact"/>
        </w:trPr>
        <w:tc>
          <w:tcPr>
            <w:tcW w:w="646" w:type="dxa"/>
            <w:tcBorders>
              <w:top w:val="single" w:color="000000" w:sz="4" w:space="0"/>
              <w:left w:val="single" w:color="000000" w:sz="4" w:space="0"/>
              <w:bottom w:val="single" w:color="000000" w:sz="4" w:space="0"/>
              <w:right w:val="single" w:color="000000" w:sz="4" w:space="0"/>
            </w:tcBorders>
            <w:vAlign w:val="center"/>
          </w:tcPr>
          <w:p>
            <w:pPr>
              <w:pStyle w:val="51"/>
              <w:spacing w:line="360" w:lineRule="auto"/>
              <w:jc w:val="center"/>
              <w:rPr>
                <w:rFonts w:ascii="仿宋" w:hAnsi="仿宋" w:eastAsia="仿宋" w:cs="仿宋"/>
                <w:sz w:val="24"/>
                <w:szCs w:val="24"/>
              </w:rPr>
            </w:pPr>
          </w:p>
          <w:p>
            <w:pPr>
              <w:pStyle w:val="51"/>
              <w:spacing w:line="360" w:lineRule="auto"/>
              <w:jc w:val="center"/>
              <w:rPr>
                <w:rFonts w:ascii="仿宋" w:hAnsi="仿宋" w:eastAsia="仿宋" w:cs="仿宋"/>
                <w:sz w:val="24"/>
                <w:szCs w:val="24"/>
              </w:rPr>
            </w:pPr>
          </w:p>
          <w:p>
            <w:pPr>
              <w:pStyle w:val="51"/>
              <w:spacing w:line="360" w:lineRule="auto"/>
              <w:jc w:val="center"/>
              <w:rPr>
                <w:rFonts w:ascii="仿宋" w:hAnsi="仿宋" w:eastAsia="仿宋" w:cs="仿宋"/>
                <w:sz w:val="24"/>
                <w:szCs w:val="24"/>
              </w:rPr>
            </w:pPr>
          </w:p>
          <w:p>
            <w:pPr>
              <w:pStyle w:val="51"/>
              <w:spacing w:line="360" w:lineRule="auto"/>
              <w:jc w:val="center"/>
              <w:rPr>
                <w:rFonts w:ascii="仿宋" w:hAnsi="仿宋" w:eastAsia="仿宋" w:cs="仿宋"/>
                <w:sz w:val="24"/>
                <w:szCs w:val="24"/>
              </w:rPr>
            </w:pPr>
          </w:p>
          <w:p>
            <w:pPr>
              <w:pStyle w:val="51"/>
              <w:spacing w:line="360" w:lineRule="auto"/>
              <w:jc w:val="center"/>
              <w:rPr>
                <w:rFonts w:ascii="仿宋" w:hAnsi="仿宋" w:eastAsia="仿宋" w:cs="仿宋"/>
                <w:sz w:val="24"/>
                <w:szCs w:val="24"/>
              </w:rPr>
            </w:pPr>
            <w:r>
              <w:rPr>
                <w:rFonts w:ascii="仿宋" w:hAnsi="仿宋" w:eastAsia="仿宋"/>
                <w:sz w:val="24"/>
                <w:szCs w:val="24"/>
                <w:u w:val="single" w:color="000000"/>
              </w:rPr>
              <w:t>4</w:t>
            </w:r>
          </w:p>
        </w:tc>
        <w:tc>
          <w:tcPr>
            <w:tcW w:w="51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sz w:val="24"/>
                <w:szCs w:val="24"/>
              </w:rPr>
            </w:pPr>
          </w:p>
        </w:tc>
        <w:tc>
          <w:tcPr>
            <w:tcW w:w="169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sz w:val="24"/>
                <w:szCs w:val="24"/>
              </w:rPr>
            </w:pPr>
          </w:p>
        </w:tc>
        <w:tc>
          <w:tcPr>
            <w:tcW w:w="170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sz w:val="24"/>
                <w:szCs w:val="24"/>
              </w:rPr>
            </w:pPr>
          </w:p>
        </w:tc>
      </w:tr>
      <w:tr>
        <w:tblPrEx>
          <w:tblCellMar>
            <w:top w:w="0" w:type="dxa"/>
            <w:left w:w="0" w:type="dxa"/>
            <w:bottom w:w="0" w:type="dxa"/>
            <w:right w:w="0" w:type="dxa"/>
          </w:tblCellMar>
        </w:tblPrEx>
        <w:trPr>
          <w:trHeight w:val="1587" w:hRule="exact"/>
        </w:trPr>
        <w:tc>
          <w:tcPr>
            <w:tcW w:w="646" w:type="dxa"/>
            <w:tcBorders>
              <w:top w:val="single" w:color="000000" w:sz="4" w:space="0"/>
              <w:left w:val="single" w:color="000000" w:sz="4" w:space="0"/>
              <w:bottom w:val="single" w:color="000000" w:sz="4" w:space="0"/>
              <w:right w:val="single" w:color="000000" w:sz="4" w:space="0"/>
            </w:tcBorders>
            <w:vAlign w:val="center"/>
          </w:tcPr>
          <w:p>
            <w:pPr>
              <w:pStyle w:val="51"/>
              <w:spacing w:line="360" w:lineRule="auto"/>
              <w:jc w:val="center"/>
              <w:rPr>
                <w:rFonts w:ascii="仿宋" w:hAnsi="仿宋" w:eastAsia="仿宋" w:cs="仿宋"/>
                <w:sz w:val="24"/>
                <w:szCs w:val="24"/>
              </w:rPr>
            </w:pPr>
          </w:p>
          <w:p>
            <w:pPr>
              <w:pStyle w:val="51"/>
              <w:spacing w:line="360" w:lineRule="auto"/>
              <w:jc w:val="center"/>
              <w:rPr>
                <w:rFonts w:ascii="仿宋" w:hAnsi="仿宋" w:eastAsia="仿宋" w:cs="仿宋"/>
                <w:sz w:val="24"/>
                <w:szCs w:val="24"/>
              </w:rPr>
            </w:pPr>
          </w:p>
          <w:p>
            <w:pPr>
              <w:pStyle w:val="51"/>
              <w:spacing w:line="360" w:lineRule="auto"/>
              <w:jc w:val="center"/>
              <w:rPr>
                <w:rFonts w:ascii="仿宋" w:hAnsi="仿宋" w:eastAsia="仿宋" w:cs="仿宋"/>
                <w:sz w:val="24"/>
                <w:szCs w:val="24"/>
              </w:rPr>
            </w:pPr>
            <w:r>
              <w:rPr>
                <w:rFonts w:ascii="仿宋" w:hAnsi="仿宋" w:eastAsia="仿宋"/>
                <w:sz w:val="24"/>
                <w:szCs w:val="24"/>
                <w:u w:val="single" w:color="000000"/>
              </w:rPr>
              <w:t>5</w:t>
            </w:r>
          </w:p>
        </w:tc>
        <w:tc>
          <w:tcPr>
            <w:tcW w:w="51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sz w:val="24"/>
                <w:szCs w:val="24"/>
              </w:rPr>
            </w:pPr>
          </w:p>
        </w:tc>
        <w:tc>
          <w:tcPr>
            <w:tcW w:w="169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Fonts w:ascii="仿宋" w:hAnsi="仿宋" w:eastAsia="仿宋"/>
                <w:sz w:val="24"/>
                <w:szCs w:val="24"/>
              </w:rPr>
            </w:pPr>
          </w:p>
        </w:tc>
        <w:tc>
          <w:tcPr>
            <w:tcW w:w="170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Fonts w:ascii="仿宋" w:hAnsi="仿宋" w:eastAsia="仿宋"/>
                <w:sz w:val="24"/>
                <w:szCs w:val="24"/>
              </w:rPr>
            </w:pPr>
          </w:p>
        </w:tc>
      </w:tr>
      <w:tr>
        <w:tblPrEx>
          <w:tblCellMar>
            <w:top w:w="0" w:type="dxa"/>
            <w:left w:w="0" w:type="dxa"/>
            <w:bottom w:w="0" w:type="dxa"/>
            <w:right w:w="0" w:type="dxa"/>
          </w:tblCellMar>
        </w:tblPrEx>
        <w:trPr>
          <w:trHeight w:val="600" w:hRule="exact"/>
        </w:trPr>
        <w:tc>
          <w:tcPr>
            <w:tcW w:w="646" w:type="dxa"/>
            <w:tcBorders>
              <w:top w:val="single" w:color="000000" w:sz="4" w:space="0"/>
              <w:left w:val="single" w:color="000000" w:sz="4" w:space="0"/>
              <w:bottom w:val="single" w:color="000000" w:sz="4" w:space="0"/>
              <w:right w:val="single" w:color="000000" w:sz="4" w:space="0"/>
            </w:tcBorders>
            <w:vAlign w:val="center"/>
          </w:tcPr>
          <w:p>
            <w:pPr>
              <w:pStyle w:val="51"/>
              <w:spacing w:line="360" w:lineRule="auto"/>
              <w:jc w:val="center"/>
              <w:rPr>
                <w:rFonts w:ascii="仿宋" w:hAnsi="仿宋" w:eastAsia="仿宋" w:cs="仿宋"/>
                <w:sz w:val="24"/>
                <w:szCs w:val="24"/>
              </w:rPr>
            </w:pPr>
            <w:r>
              <w:rPr>
                <w:rFonts w:ascii="仿宋" w:hAnsi="仿宋" w:eastAsia="仿宋"/>
                <w:sz w:val="24"/>
                <w:szCs w:val="24"/>
                <w:u w:val="single" w:color="000000"/>
              </w:rPr>
              <w:t>6</w:t>
            </w:r>
          </w:p>
        </w:tc>
        <w:tc>
          <w:tcPr>
            <w:tcW w:w="51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sz w:val="24"/>
                <w:szCs w:val="24"/>
              </w:rPr>
            </w:pPr>
          </w:p>
        </w:tc>
        <w:tc>
          <w:tcPr>
            <w:tcW w:w="169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Fonts w:ascii="仿宋" w:hAnsi="仿宋" w:eastAsia="仿宋"/>
                <w:sz w:val="24"/>
                <w:szCs w:val="24"/>
              </w:rPr>
            </w:pPr>
          </w:p>
        </w:tc>
        <w:tc>
          <w:tcPr>
            <w:tcW w:w="170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Fonts w:ascii="仿宋" w:hAnsi="仿宋" w:eastAsia="仿宋"/>
                <w:sz w:val="24"/>
                <w:szCs w:val="24"/>
              </w:rPr>
            </w:pPr>
          </w:p>
        </w:tc>
      </w:tr>
      <w:tr>
        <w:tblPrEx>
          <w:tblCellMar>
            <w:top w:w="0" w:type="dxa"/>
            <w:left w:w="0" w:type="dxa"/>
            <w:bottom w:w="0" w:type="dxa"/>
            <w:right w:w="0" w:type="dxa"/>
          </w:tblCellMar>
        </w:tblPrEx>
        <w:trPr>
          <w:trHeight w:val="657" w:hRule="exact"/>
        </w:trPr>
        <w:tc>
          <w:tcPr>
            <w:tcW w:w="646" w:type="dxa"/>
            <w:tcBorders>
              <w:top w:val="single" w:color="000000" w:sz="4" w:space="0"/>
              <w:left w:val="single" w:color="000000" w:sz="4" w:space="0"/>
              <w:bottom w:val="single" w:color="000000" w:sz="4" w:space="0"/>
              <w:right w:val="single" w:color="000000" w:sz="4" w:space="0"/>
            </w:tcBorders>
            <w:vAlign w:val="center"/>
          </w:tcPr>
          <w:p>
            <w:pPr>
              <w:pStyle w:val="51"/>
              <w:spacing w:line="360" w:lineRule="auto"/>
              <w:jc w:val="center"/>
              <w:rPr>
                <w:rFonts w:ascii="仿宋" w:hAnsi="仿宋" w:eastAsia="仿宋" w:cs="仿宋"/>
                <w:sz w:val="24"/>
                <w:szCs w:val="24"/>
              </w:rPr>
            </w:pPr>
            <w:r>
              <w:rPr>
                <w:rFonts w:ascii="仿宋" w:hAnsi="仿宋" w:eastAsia="仿宋"/>
                <w:sz w:val="24"/>
                <w:szCs w:val="24"/>
                <w:u w:val="single" w:color="000000"/>
              </w:rPr>
              <w:t>7</w:t>
            </w:r>
          </w:p>
        </w:tc>
        <w:tc>
          <w:tcPr>
            <w:tcW w:w="5135" w:type="dxa"/>
            <w:tcBorders>
              <w:top w:val="single" w:color="000000" w:sz="4" w:space="0"/>
              <w:left w:val="single" w:color="000000" w:sz="4" w:space="0"/>
              <w:bottom w:val="single" w:color="000000" w:sz="4" w:space="0"/>
              <w:right w:val="single" w:color="000000" w:sz="4" w:space="0"/>
            </w:tcBorders>
            <w:vAlign w:val="center"/>
          </w:tcPr>
          <w:p>
            <w:pPr>
              <w:pStyle w:val="51"/>
              <w:spacing w:line="360" w:lineRule="auto"/>
              <w:jc w:val="center"/>
              <w:rPr>
                <w:rFonts w:ascii="仿宋" w:hAnsi="仿宋" w:eastAsia="仿宋" w:cs="仿宋"/>
                <w:sz w:val="24"/>
                <w:szCs w:val="24"/>
                <w:lang w:eastAsia="zh-CN"/>
              </w:rPr>
            </w:pPr>
            <w:r>
              <w:rPr>
                <w:rFonts w:ascii="仿宋" w:hAnsi="仿宋" w:eastAsia="仿宋" w:cs="仿宋"/>
                <w:i w:val="0"/>
                <w:iCs/>
                <w:sz w:val="24"/>
                <w:szCs w:val="24"/>
                <w:u w:val="single" w:color="000000"/>
                <w:lang w:eastAsia="zh-CN"/>
              </w:rPr>
              <w:t>招标文件中的其他实质性要求</w:t>
            </w:r>
          </w:p>
        </w:tc>
        <w:tc>
          <w:tcPr>
            <w:tcW w:w="169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Fonts w:ascii="仿宋" w:hAnsi="仿宋" w:eastAsia="仿宋"/>
                <w:sz w:val="24"/>
                <w:szCs w:val="24"/>
                <w:lang w:eastAsia="zh-CN"/>
              </w:rPr>
            </w:pPr>
          </w:p>
        </w:tc>
        <w:tc>
          <w:tcPr>
            <w:tcW w:w="170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Fonts w:ascii="仿宋" w:hAnsi="仿宋" w:eastAsia="仿宋"/>
                <w:sz w:val="24"/>
                <w:szCs w:val="24"/>
                <w:lang w:eastAsia="zh-CN"/>
              </w:rPr>
            </w:pPr>
          </w:p>
        </w:tc>
      </w:tr>
    </w:tbl>
    <w:p>
      <w:pPr>
        <w:spacing w:line="360" w:lineRule="auto"/>
        <w:jc w:val="both"/>
        <w:rPr>
          <w:rFonts w:ascii="仿宋" w:hAnsi="仿宋" w:eastAsia="仿宋"/>
          <w:sz w:val="24"/>
          <w:szCs w:val="24"/>
          <w:lang w:eastAsia="zh-CN"/>
        </w:rPr>
        <w:sectPr>
          <w:footerReference r:id="rId12" w:type="default"/>
          <w:pgSz w:w="11910" w:h="16840"/>
          <w:pgMar w:top="1100" w:right="1340" w:bottom="1080" w:left="1140" w:header="880" w:footer="888" w:gutter="0"/>
          <w:pgBorders>
            <w:top w:val="none" w:sz="0" w:space="0"/>
            <w:left w:val="none" w:sz="0" w:space="0"/>
            <w:bottom w:val="none" w:sz="0" w:space="0"/>
            <w:right w:val="none" w:sz="0" w:space="0"/>
          </w:pgBorders>
          <w:pgNumType w:fmt="decimal"/>
          <w:cols w:space="720" w:num="1"/>
        </w:sectPr>
      </w:pPr>
    </w:p>
    <w:p>
      <w:pPr>
        <w:pStyle w:val="6"/>
        <w:numPr>
          <w:ilvl w:val="0"/>
          <w:numId w:val="0"/>
        </w:numPr>
        <w:spacing w:before="360" w:after="360"/>
        <w:ind w:left="864" w:hanging="864"/>
        <w:rPr>
          <w:lang w:eastAsia="zh-CN"/>
        </w:rPr>
      </w:pPr>
      <w:bookmarkStart w:id="121" w:name="二、资格、资信证明文件要求"/>
      <w:bookmarkEnd w:id="121"/>
      <w:r>
        <w:rPr>
          <w:lang w:eastAsia="zh-CN"/>
        </w:rPr>
        <w:t>二、资格、资信证明文件要求</w:t>
      </w:r>
    </w:p>
    <w:p>
      <w:pPr>
        <w:spacing w:line="360" w:lineRule="auto"/>
        <w:jc w:val="both"/>
        <w:rPr>
          <w:rFonts w:ascii="仿宋" w:hAnsi="仿宋" w:eastAsia="仿宋" w:cs="仿宋"/>
          <w:b/>
          <w:bCs/>
          <w:sz w:val="24"/>
          <w:szCs w:val="24"/>
          <w:lang w:eastAsia="zh-CN"/>
        </w:rPr>
      </w:pPr>
    </w:p>
    <w:p>
      <w:pPr>
        <w:spacing w:line="360" w:lineRule="auto"/>
        <w:jc w:val="both"/>
        <w:rPr>
          <w:rFonts w:ascii="仿宋" w:hAnsi="仿宋" w:eastAsia="仿宋" w:cs="仿宋"/>
          <w:sz w:val="24"/>
          <w:szCs w:val="24"/>
          <w:lang w:eastAsia="zh-CN"/>
        </w:rPr>
      </w:pPr>
      <w:r>
        <w:rPr>
          <w:rFonts w:ascii="仿宋" w:hAnsi="仿宋" w:eastAsia="仿宋" w:cs="仿宋"/>
          <w:b/>
          <w:bCs/>
          <w:sz w:val="24"/>
          <w:szCs w:val="24"/>
          <w:lang w:eastAsia="zh-CN"/>
        </w:rPr>
        <w:t>1、资格证明文件目录</w:t>
      </w:r>
    </w:p>
    <w:p>
      <w:pPr>
        <w:spacing w:line="360" w:lineRule="auto"/>
        <w:jc w:val="both"/>
        <w:rPr>
          <w:rFonts w:ascii="仿宋" w:hAnsi="仿宋" w:eastAsia="仿宋" w:cs="仿宋"/>
          <w:sz w:val="24"/>
          <w:szCs w:val="24"/>
          <w:u w:val="single" w:color="000000"/>
          <w:lang w:eastAsia="zh-CN"/>
        </w:rPr>
      </w:pPr>
      <w:r>
        <w:rPr>
          <w:rFonts w:ascii="仿宋" w:hAnsi="仿宋" w:eastAsia="仿宋" w:cs="仿宋"/>
          <w:sz w:val="24"/>
          <w:szCs w:val="24"/>
          <w:u w:val="single" w:color="000000"/>
          <w:lang w:eastAsia="zh-CN"/>
        </w:rPr>
        <w:t>文件1法人或者其他组织的营业执照等证明文件，自然人的身份证明（复印件）</w:t>
      </w:r>
    </w:p>
    <w:p>
      <w:pPr>
        <w:spacing w:line="360" w:lineRule="auto"/>
        <w:jc w:val="both"/>
        <w:rPr>
          <w:rFonts w:ascii="仿宋" w:hAnsi="仿宋" w:eastAsia="仿宋" w:cs="仿宋"/>
          <w:sz w:val="24"/>
          <w:szCs w:val="24"/>
          <w:u w:val="single" w:color="000000"/>
          <w:lang w:eastAsia="zh-CN"/>
        </w:rPr>
      </w:pPr>
      <w:r>
        <w:rPr>
          <w:rFonts w:ascii="仿宋" w:hAnsi="仿宋" w:eastAsia="仿宋" w:cs="仿宋"/>
          <w:sz w:val="24"/>
          <w:szCs w:val="24"/>
          <w:u w:val="single" w:color="000000"/>
          <w:lang w:eastAsia="zh-CN"/>
        </w:rPr>
        <w:t>文件2经审计上年度财务状况报告（复印件，成立不满一年不需提供）</w:t>
      </w:r>
    </w:p>
    <w:p>
      <w:pPr>
        <w:spacing w:line="360" w:lineRule="auto"/>
        <w:jc w:val="both"/>
        <w:rPr>
          <w:rFonts w:ascii="仿宋" w:hAnsi="仿宋" w:eastAsia="仿宋" w:cs="仿宋"/>
          <w:sz w:val="24"/>
          <w:szCs w:val="24"/>
          <w:u w:val="single" w:color="000000"/>
          <w:lang w:eastAsia="zh-CN"/>
        </w:rPr>
      </w:pPr>
      <w:r>
        <w:rPr>
          <w:rFonts w:ascii="仿宋" w:hAnsi="仿宋" w:eastAsia="仿宋" w:cs="仿宋"/>
          <w:sz w:val="24"/>
          <w:szCs w:val="24"/>
          <w:u w:val="single" w:color="000000"/>
          <w:lang w:eastAsia="zh-CN"/>
        </w:rPr>
        <w:t>文件3依法缴纳税收和社会保障资金的相关材料（复印件）</w:t>
      </w:r>
    </w:p>
    <w:p>
      <w:pPr>
        <w:spacing w:line="360" w:lineRule="auto"/>
        <w:jc w:val="both"/>
        <w:rPr>
          <w:rFonts w:ascii="仿宋" w:hAnsi="仿宋" w:eastAsia="仿宋" w:cs="仿宋"/>
          <w:sz w:val="24"/>
          <w:szCs w:val="24"/>
          <w:u w:val="single" w:color="000000"/>
          <w:lang w:eastAsia="zh-CN"/>
        </w:rPr>
      </w:pPr>
      <w:r>
        <w:rPr>
          <w:rFonts w:ascii="仿宋" w:hAnsi="仿宋" w:eastAsia="仿宋" w:cs="仿宋"/>
          <w:sz w:val="24"/>
          <w:szCs w:val="24"/>
          <w:u w:val="single" w:color="000000"/>
          <w:lang w:eastAsia="zh-CN"/>
        </w:rPr>
        <w:t>文件4具备履行合同所必需的设备和专业技术能力的书面声明（原件,格式见后）</w:t>
      </w:r>
    </w:p>
    <w:p>
      <w:pPr>
        <w:spacing w:line="360" w:lineRule="auto"/>
        <w:jc w:val="both"/>
        <w:rPr>
          <w:rFonts w:ascii="仿宋" w:hAnsi="仿宋" w:eastAsia="仿宋" w:cs="仿宋"/>
          <w:sz w:val="24"/>
          <w:szCs w:val="24"/>
          <w:u w:val="single" w:color="000000"/>
          <w:lang w:eastAsia="zh-CN"/>
        </w:rPr>
      </w:pPr>
      <w:r>
        <w:rPr>
          <w:rFonts w:ascii="仿宋" w:hAnsi="仿宋" w:eastAsia="仿宋" w:cs="仿宋"/>
          <w:sz w:val="24"/>
          <w:szCs w:val="24"/>
          <w:u w:val="single" w:color="000000"/>
          <w:lang w:eastAsia="zh-CN"/>
        </w:rPr>
        <w:t>文件5参加政府采购活动前3年内在经营活动中没有重大违法记录的书面声明</w:t>
      </w:r>
    </w:p>
    <w:p>
      <w:pPr>
        <w:spacing w:line="360" w:lineRule="auto"/>
        <w:jc w:val="both"/>
        <w:rPr>
          <w:rFonts w:ascii="仿宋" w:hAnsi="仿宋" w:eastAsia="仿宋" w:cs="仿宋"/>
          <w:sz w:val="24"/>
          <w:szCs w:val="24"/>
          <w:u w:val="single" w:color="000000"/>
          <w:lang w:eastAsia="zh-CN"/>
        </w:rPr>
      </w:pPr>
      <w:r>
        <w:rPr>
          <w:rFonts w:ascii="仿宋" w:hAnsi="仿宋" w:eastAsia="仿宋" w:cs="仿宋"/>
          <w:sz w:val="24"/>
          <w:szCs w:val="24"/>
          <w:u w:val="single" w:color="000000"/>
          <w:lang w:eastAsia="zh-CN"/>
        </w:rPr>
        <w:t>（原件,格式见后）</w:t>
      </w:r>
    </w:p>
    <w:p>
      <w:pPr>
        <w:spacing w:line="360" w:lineRule="auto"/>
        <w:jc w:val="both"/>
        <w:rPr>
          <w:rFonts w:ascii="仿宋" w:hAnsi="仿宋" w:eastAsia="仿宋" w:cs="仿宋"/>
          <w:sz w:val="24"/>
          <w:szCs w:val="24"/>
          <w:u w:val="single" w:color="000000"/>
          <w:lang w:eastAsia="zh-CN"/>
        </w:rPr>
      </w:pPr>
      <w:r>
        <w:rPr>
          <w:rFonts w:ascii="仿宋" w:hAnsi="仿宋" w:eastAsia="仿宋" w:cs="仿宋"/>
          <w:sz w:val="24"/>
          <w:szCs w:val="24"/>
          <w:u w:val="single" w:color="000000"/>
          <w:lang w:eastAsia="zh-CN"/>
        </w:rPr>
        <w:t>文件6法人授权书（原件）</w:t>
      </w:r>
    </w:p>
    <w:p>
      <w:pPr>
        <w:spacing w:line="360" w:lineRule="auto"/>
        <w:jc w:val="both"/>
        <w:rPr>
          <w:rFonts w:ascii="仿宋" w:hAnsi="仿宋" w:eastAsia="仿宋" w:cs="仿宋"/>
          <w:sz w:val="24"/>
          <w:szCs w:val="24"/>
          <w:u w:val="single" w:color="000000"/>
          <w:lang w:eastAsia="zh-CN"/>
        </w:rPr>
      </w:pPr>
      <w:r>
        <w:rPr>
          <w:rFonts w:ascii="仿宋" w:hAnsi="仿宋" w:eastAsia="仿宋" w:cs="仿宋"/>
          <w:sz w:val="24"/>
          <w:szCs w:val="24"/>
          <w:u w:val="single" w:color="000000"/>
          <w:lang w:eastAsia="zh-CN"/>
        </w:rPr>
        <w:t>文件7投标函（原件）文件8其它资格证明文件</w:t>
      </w:r>
    </w:p>
    <w:p>
      <w:pPr>
        <w:spacing w:line="360" w:lineRule="auto"/>
        <w:jc w:val="both"/>
        <w:rPr>
          <w:rFonts w:ascii="仿宋" w:hAnsi="仿宋" w:eastAsia="仿宋" w:cs="仿宋"/>
          <w:i/>
          <w:sz w:val="24"/>
          <w:szCs w:val="24"/>
          <w:lang w:eastAsia="zh-CN"/>
        </w:rPr>
      </w:pPr>
    </w:p>
    <w:p>
      <w:pPr>
        <w:spacing w:line="360" w:lineRule="auto"/>
        <w:jc w:val="both"/>
        <w:rPr>
          <w:rFonts w:ascii="仿宋" w:hAnsi="仿宋" w:eastAsia="仿宋" w:cs="仿宋"/>
          <w:sz w:val="24"/>
          <w:szCs w:val="24"/>
          <w:u w:val="single" w:color="000000"/>
          <w:lang w:eastAsia="zh-CN"/>
        </w:rPr>
      </w:pPr>
      <w:r>
        <w:rPr>
          <w:rFonts w:ascii="仿宋" w:hAnsi="仿宋" w:eastAsia="仿宋" w:cs="仿宋"/>
          <w:sz w:val="24"/>
          <w:szCs w:val="24"/>
          <w:u w:val="single" w:color="000000"/>
          <w:lang w:eastAsia="zh-CN"/>
        </w:rPr>
        <w:t>以上资格证明文件中要求加盖公章的，必须加盖公章，否则视为无效投标。</w:t>
      </w:r>
    </w:p>
    <w:p>
      <w:pPr>
        <w:spacing w:line="360" w:lineRule="auto"/>
        <w:jc w:val="both"/>
        <w:rPr>
          <w:rFonts w:ascii="仿宋" w:hAnsi="仿宋" w:eastAsia="仿宋" w:cs="仿宋"/>
          <w:sz w:val="24"/>
          <w:szCs w:val="24"/>
          <w:lang w:eastAsia="zh-CN"/>
        </w:rPr>
      </w:pPr>
      <w:r>
        <w:rPr>
          <w:rFonts w:ascii="仿宋" w:hAnsi="仿宋" w:eastAsia="仿宋" w:cs="仿宋"/>
          <w:b/>
          <w:bCs/>
          <w:sz w:val="24"/>
          <w:szCs w:val="24"/>
          <w:lang w:eastAsia="zh-CN"/>
        </w:rPr>
        <w:t>备注：建议投标人将资格证明文件单独装订成册。</w:t>
      </w:r>
    </w:p>
    <w:p>
      <w:pPr>
        <w:spacing w:line="360" w:lineRule="auto"/>
        <w:jc w:val="both"/>
        <w:rPr>
          <w:rFonts w:ascii="仿宋" w:hAnsi="仿宋" w:eastAsia="仿宋" w:cs="仿宋"/>
          <w:b/>
          <w:bCs/>
          <w:sz w:val="24"/>
          <w:szCs w:val="24"/>
          <w:lang w:eastAsia="zh-CN"/>
        </w:rPr>
      </w:pPr>
    </w:p>
    <w:p>
      <w:pPr>
        <w:spacing w:line="360" w:lineRule="auto"/>
        <w:jc w:val="both"/>
        <w:rPr>
          <w:rFonts w:ascii="仿宋" w:hAnsi="仿宋" w:eastAsia="仿宋" w:cs="仿宋"/>
          <w:b/>
          <w:bCs/>
          <w:sz w:val="24"/>
          <w:szCs w:val="24"/>
          <w:lang w:eastAsia="zh-CN"/>
        </w:rPr>
      </w:pPr>
      <w:r>
        <w:rPr>
          <w:rFonts w:ascii="仿宋" w:hAnsi="仿宋" w:eastAsia="仿宋" w:cs="仿宋"/>
          <w:b/>
          <w:bCs/>
          <w:sz w:val="24"/>
          <w:szCs w:val="24"/>
          <w:lang w:eastAsia="zh-CN"/>
        </w:rPr>
        <w:t>2、非实质性资信证明文件目录</w:t>
      </w: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格式1《企业声明函》</w:t>
      </w: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格式2《残疾人福利性单位声明函》</w:t>
      </w:r>
    </w:p>
    <w:p>
      <w:pPr>
        <w:spacing w:line="360" w:lineRule="auto"/>
        <w:jc w:val="both"/>
        <w:rPr>
          <w:rFonts w:ascii="仿宋" w:hAnsi="仿宋" w:eastAsia="仿宋" w:cs="仿宋"/>
          <w:sz w:val="24"/>
          <w:szCs w:val="24"/>
          <w:lang w:eastAsia="zh-CN"/>
        </w:rPr>
        <w:sectPr>
          <w:pgSz w:w="11910" w:h="16840"/>
          <w:pgMar w:top="1100" w:right="1360" w:bottom="1080" w:left="1220" w:header="880" w:footer="888" w:gutter="0"/>
          <w:pgBorders>
            <w:top w:val="none" w:sz="0" w:space="0"/>
            <w:left w:val="none" w:sz="0" w:space="0"/>
            <w:bottom w:val="none" w:sz="0" w:space="0"/>
            <w:right w:val="none" w:sz="0" w:space="0"/>
          </w:pgBorders>
          <w:pgNumType w:fmt="decimal"/>
          <w:cols w:space="720" w:num="1"/>
        </w:sectPr>
      </w:pPr>
    </w:p>
    <w:p>
      <w:pPr>
        <w:spacing w:line="360" w:lineRule="auto"/>
        <w:jc w:val="both"/>
        <w:rPr>
          <w:rFonts w:ascii="仿宋" w:hAnsi="仿宋" w:eastAsia="仿宋" w:cs="仿宋"/>
          <w:sz w:val="24"/>
          <w:szCs w:val="24"/>
          <w:lang w:eastAsia="zh-CN"/>
        </w:rPr>
      </w:pPr>
    </w:p>
    <w:p>
      <w:pPr>
        <w:pStyle w:val="7"/>
        <w:numPr>
          <w:ilvl w:val="0"/>
          <w:numId w:val="0"/>
        </w:numPr>
        <w:spacing w:before="360" w:after="360"/>
        <w:ind w:left="1008" w:hanging="1008"/>
        <w:rPr>
          <w:lang w:eastAsia="zh-CN"/>
        </w:rPr>
      </w:pPr>
      <w:r>
        <w:rPr>
          <w:lang w:eastAsia="zh-CN"/>
        </w:rPr>
        <w:t>具备履行合同所必需的设备和专业技术能力的书面声明</w:t>
      </w:r>
    </w:p>
    <w:p>
      <w:pPr>
        <w:spacing w:line="360" w:lineRule="auto"/>
        <w:jc w:val="both"/>
        <w:rPr>
          <w:rFonts w:ascii="仿宋" w:hAnsi="仿宋" w:eastAsia="仿宋" w:cs="仿宋"/>
          <w:b/>
          <w:bCs/>
          <w:sz w:val="24"/>
          <w:szCs w:val="24"/>
          <w:lang w:eastAsia="zh-CN"/>
        </w:rPr>
      </w:pP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我单位郑重声明：我单位具备履行本项采购合同所必需的设备和专业技术能力，为履行本项采购合同我公司具备如下主要设备和主要专业技术能力：</w:t>
      </w: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主要设备有：。</w:t>
      </w:r>
    </w:p>
    <w:p>
      <w:pPr>
        <w:spacing w:line="360" w:lineRule="auto"/>
        <w:jc w:val="both"/>
        <w:rPr>
          <w:rFonts w:ascii="仿宋" w:hAnsi="仿宋" w:eastAsia="仿宋" w:cs="仿宋"/>
          <w:sz w:val="24"/>
          <w:szCs w:val="24"/>
          <w:lang w:eastAsia="zh-CN"/>
        </w:rPr>
      </w:pPr>
    </w:p>
    <w:p>
      <w:pPr>
        <w:tabs>
          <w:tab w:val="left" w:pos="3398"/>
        </w:tabs>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主要专业技术能力有：</w:t>
      </w:r>
      <w:r>
        <w:rPr>
          <w:rFonts w:ascii="仿宋" w:hAnsi="仿宋" w:eastAsia="仿宋" w:cs="Times New Roman"/>
          <w:sz w:val="24"/>
          <w:szCs w:val="24"/>
          <w:u w:val="single" w:color="000000"/>
          <w:lang w:eastAsia="zh-CN"/>
        </w:rPr>
        <w:tab/>
      </w:r>
      <w:r>
        <w:rPr>
          <w:rFonts w:ascii="仿宋" w:hAnsi="仿宋" w:eastAsia="仿宋" w:cs="仿宋"/>
          <w:sz w:val="24"/>
          <w:szCs w:val="24"/>
          <w:lang w:eastAsia="zh-CN"/>
        </w:rPr>
        <w:t>。</w:t>
      </w:r>
    </w:p>
    <w:p>
      <w:pPr>
        <w:spacing w:line="360" w:lineRule="auto"/>
        <w:jc w:val="both"/>
        <w:rPr>
          <w:rFonts w:ascii="仿宋" w:hAnsi="仿宋" w:eastAsia="仿宋" w:cs="仿宋"/>
          <w:sz w:val="24"/>
          <w:szCs w:val="24"/>
          <w:lang w:eastAsia="zh-CN"/>
        </w:rPr>
      </w:pPr>
    </w:p>
    <w:p>
      <w:pPr>
        <w:spacing w:line="360" w:lineRule="auto"/>
        <w:jc w:val="both"/>
        <w:rPr>
          <w:rFonts w:ascii="仿宋" w:hAnsi="仿宋" w:eastAsia="仿宋" w:cs="仿宋"/>
          <w:sz w:val="24"/>
          <w:szCs w:val="24"/>
          <w:lang w:eastAsia="zh-CN"/>
        </w:rPr>
      </w:pPr>
    </w:p>
    <w:p>
      <w:pPr>
        <w:spacing w:line="360" w:lineRule="auto"/>
        <w:jc w:val="both"/>
        <w:rPr>
          <w:rFonts w:ascii="仿宋" w:hAnsi="仿宋" w:eastAsia="仿宋" w:cs="仿宋"/>
          <w:sz w:val="24"/>
          <w:szCs w:val="24"/>
          <w:lang w:eastAsia="zh-CN"/>
        </w:rPr>
      </w:pP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投标人名称（电子公章）：</w:t>
      </w:r>
    </w:p>
    <w:p>
      <w:pPr>
        <w:spacing w:line="360" w:lineRule="auto"/>
        <w:jc w:val="both"/>
        <w:rPr>
          <w:rFonts w:ascii="仿宋" w:hAnsi="仿宋" w:eastAsia="仿宋" w:cs="仿宋"/>
          <w:sz w:val="24"/>
          <w:szCs w:val="24"/>
          <w:lang w:eastAsia="zh-CN"/>
        </w:rPr>
      </w:pPr>
    </w:p>
    <w:p>
      <w:pPr>
        <w:tabs>
          <w:tab w:val="left" w:pos="6552"/>
          <w:tab w:val="left" w:pos="7183"/>
          <w:tab w:val="left" w:pos="7813"/>
        </w:tabs>
        <w:spacing w:line="360" w:lineRule="auto"/>
        <w:jc w:val="right"/>
        <w:rPr>
          <w:rFonts w:ascii="仿宋" w:hAnsi="仿宋" w:eastAsia="仿宋" w:cs="仿宋"/>
          <w:sz w:val="24"/>
          <w:szCs w:val="24"/>
          <w:lang w:eastAsia="zh-CN"/>
        </w:rPr>
      </w:pPr>
      <w:r>
        <w:rPr>
          <w:rFonts w:ascii="仿宋" w:hAnsi="仿宋" w:eastAsia="仿宋" w:cs="Times New Roman"/>
          <w:spacing w:val="-3"/>
          <w:sz w:val="24"/>
          <w:szCs w:val="24"/>
          <w:u w:val="single" w:color="000000"/>
          <w:lang w:eastAsia="zh-CN"/>
        </w:rPr>
        <w:t xml:space="preserve">             </w:t>
      </w:r>
      <w:r>
        <w:rPr>
          <w:rFonts w:ascii="仿宋" w:hAnsi="仿宋" w:eastAsia="仿宋" w:cs="仿宋"/>
          <w:sz w:val="24"/>
          <w:szCs w:val="24"/>
          <w:lang w:eastAsia="zh-CN"/>
        </w:rPr>
        <w:t>年</w:t>
      </w:r>
      <w:r>
        <w:rPr>
          <w:rFonts w:ascii="仿宋" w:hAnsi="仿宋" w:eastAsia="仿宋" w:cs="Times New Roman"/>
          <w:spacing w:val="-3"/>
          <w:sz w:val="24"/>
          <w:szCs w:val="24"/>
          <w:u w:val="single" w:color="000000"/>
          <w:lang w:eastAsia="zh-CN"/>
        </w:rPr>
        <w:t xml:space="preserve">      </w:t>
      </w:r>
      <w:r>
        <w:rPr>
          <w:rFonts w:ascii="仿宋" w:hAnsi="仿宋" w:eastAsia="仿宋" w:cs="仿宋"/>
          <w:spacing w:val="-3"/>
          <w:sz w:val="24"/>
          <w:szCs w:val="24"/>
          <w:lang w:eastAsia="zh-CN"/>
        </w:rPr>
        <w:t>月</w:t>
      </w:r>
      <w:r>
        <w:rPr>
          <w:rFonts w:ascii="仿宋" w:hAnsi="仿宋" w:eastAsia="仿宋" w:cs="Times New Roman"/>
          <w:spacing w:val="-3"/>
          <w:sz w:val="24"/>
          <w:szCs w:val="24"/>
          <w:u w:val="single" w:color="000000"/>
          <w:lang w:eastAsia="zh-CN"/>
        </w:rPr>
        <w:t xml:space="preserve">      </w:t>
      </w:r>
      <w:r>
        <w:rPr>
          <w:rFonts w:ascii="仿宋" w:hAnsi="仿宋" w:eastAsia="仿宋" w:cs="仿宋"/>
          <w:sz w:val="24"/>
          <w:szCs w:val="24"/>
          <w:lang w:eastAsia="zh-CN"/>
        </w:rPr>
        <w:t>日</w:t>
      </w:r>
    </w:p>
    <w:p>
      <w:pPr>
        <w:spacing w:line="360" w:lineRule="auto"/>
        <w:jc w:val="both"/>
        <w:rPr>
          <w:rFonts w:ascii="仿宋" w:hAnsi="仿宋" w:eastAsia="仿宋" w:cs="仿宋"/>
          <w:sz w:val="24"/>
          <w:szCs w:val="24"/>
          <w:lang w:eastAsia="zh-CN"/>
        </w:rPr>
        <w:sectPr>
          <w:pgSz w:w="11910" w:h="16840"/>
          <w:pgMar w:top="1100" w:right="1440" w:bottom="1080" w:left="1220" w:header="880" w:footer="888" w:gutter="0"/>
          <w:pgBorders>
            <w:top w:val="none" w:sz="0" w:space="0"/>
            <w:left w:val="none" w:sz="0" w:space="0"/>
            <w:bottom w:val="none" w:sz="0" w:space="0"/>
            <w:right w:val="none" w:sz="0" w:space="0"/>
          </w:pgBorders>
          <w:pgNumType w:fmt="decimal"/>
          <w:cols w:space="720" w:num="1"/>
        </w:sectPr>
      </w:pPr>
    </w:p>
    <w:p>
      <w:pPr>
        <w:spacing w:line="360" w:lineRule="auto"/>
        <w:jc w:val="both"/>
        <w:rPr>
          <w:rFonts w:ascii="仿宋" w:hAnsi="仿宋" w:eastAsia="仿宋" w:cs="仿宋"/>
          <w:sz w:val="24"/>
          <w:szCs w:val="24"/>
          <w:lang w:eastAsia="zh-CN"/>
        </w:rPr>
      </w:pPr>
    </w:p>
    <w:p>
      <w:pPr>
        <w:pStyle w:val="7"/>
        <w:numPr>
          <w:ilvl w:val="0"/>
          <w:numId w:val="0"/>
        </w:numPr>
        <w:spacing w:before="360" w:after="360"/>
        <w:ind w:left="1008" w:hanging="1008"/>
        <w:rPr>
          <w:lang w:eastAsia="zh-CN"/>
        </w:rPr>
      </w:pPr>
      <w:r>
        <w:rPr>
          <w:lang w:eastAsia="zh-CN"/>
        </w:rPr>
        <w:t>参加政府采购活动前</w:t>
      </w:r>
      <w:r>
        <w:rPr>
          <w:rFonts w:cs="仿宋"/>
          <w:lang w:eastAsia="zh-CN"/>
        </w:rPr>
        <w:t>3</w:t>
      </w:r>
      <w:r>
        <w:rPr>
          <w:lang w:eastAsia="zh-CN"/>
        </w:rPr>
        <w:t>年内在经营活动中没有重大违法记录的书面声明</w:t>
      </w:r>
    </w:p>
    <w:p>
      <w:pPr>
        <w:spacing w:line="360" w:lineRule="auto"/>
        <w:jc w:val="both"/>
        <w:rPr>
          <w:rFonts w:ascii="仿宋" w:hAnsi="仿宋" w:eastAsia="仿宋" w:cs="仿宋"/>
          <w:sz w:val="24"/>
          <w:szCs w:val="24"/>
          <w:lang w:eastAsia="zh-CN"/>
        </w:rPr>
      </w:pPr>
    </w:p>
    <w:p>
      <w:pPr>
        <w:tabs>
          <w:tab w:val="left" w:pos="885"/>
        </w:tabs>
        <w:spacing w:line="360" w:lineRule="auto"/>
        <w:jc w:val="center"/>
        <w:rPr>
          <w:rFonts w:ascii="仿宋" w:hAnsi="仿宋" w:eastAsia="仿宋" w:cs="仿宋"/>
          <w:sz w:val="28"/>
          <w:szCs w:val="28"/>
          <w:lang w:eastAsia="zh-CN"/>
        </w:rPr>
      </w:pPr>
      <w:r>
        <w:rPr>
          <w:rFonts w:ascii="仿宋" w:hAnsi="仿宋" w:eastAsia="仿宋" w:cs="仿宋"/>
          <w:b/>
          <w:bCs/>
          <w:w w:val="95"/>
          <w:sz w:val="28"/>
          <w:szCs w:val="28"/>
          <w:lang w:eastAsia="zh-CN"/>
        </w:rPr>
        <w:t>声</w:t>
      </w:r>
      <w:r>
        <w:rPr>
          <w:rFonts w:ascii="仿宋" w:hAnsi="仿宋" w:eastAsia="仿宋" w:cs="仿宋"/>
          <w:b/>
          <w:bCs/>
          <w:w w:val="95"/>
          <w:sz w:val="28"/>
          <w:szCs w:val="28"/>
          <w:lang w:eastAsia="zh-CN"/>
        </w:rPr>
        <w:tab/>
      </w:r>
      <w:r>
        <w:rPr>
          <w:rFonts w:ascii="仿宋" w:hAnsi="仿宋" w:eastAsia="仿宋" w:cs="仿宋"/>
          <w:b/>
          <w:bCs/>
          <w:sz w:val="28"/>
          <w:szCs w:val="28"/>
          <w:lang w:eastAsia="zh-CN"/>
        </w:rPr>
        <w:t>明</w:t>
      </w: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我单位郑重声明：参加本次政府采购活动前3年内，我单位在经营活动中没有因违法经营受到刑事处罚或者责令停产停业、吊销许可证或者执照、较大数额罚款等行政处罚。</w:t>
      </w:r>
    </w:p>
    <w:p>
      <w:pPr>
        <w:spacing w:line="360" w:lineRule="auto"/>
        <w:jc w:val="both"/>
        <w:rPr>
          <w:rFonts w:ascii="仿宋" w:hAnsi="仿宋" w:eastAsia="仿宋" w:cs="仿宋"/>
          <w:sz w:val="24"/>
          <w:szCs w:val="24"/>
          <w:lang w:eastAsia="zh-CN"/>
        </w:rPr>
      </w:pPr>
    </w:p>
    <w:p>
      <w:pPr>
        <w:spacing w:line="360" w:lineRule="auto"/>
        <w:jc w:val="both"/>
        <w:rPr>
          <w:rFonts w:ascii="仿宋" w:hAnsi="仿宋" w:eastAsia="仿宋" w:cs="仿宋"/>
          <w:sz w:val="24"/>
          <w:szCs w:val="24"/>
          <w:lang w:eastAsia="zh-CN"/>
        </w:rPr>
      </w:pPr>
    </w:p>
    <w:p>
      <w:pPr>
        <w:spacing w:line="360" w:lineRule="auto"/>
        <w:jc w:val="both"/>
        <w:rPr>
          <w:rFonts w:ascii="仿宋" w:hAnsi="仿宋" w:eastAsia="仿宋" w:cs="仿宋"/>
          <w:sz w:val="24"/>
          <w:szCs w:val="24"/>
          <w:lang w:eastAsia="zh-CN"/>
        </w:rPr>
      </w:pPr>
    </w:p>
    <w:p>
      <w:pPr>
        <w:spacing w:line="360" w:lineRule="auto"/>
        <w:jc w:val="right"/>
        <w:rPr>
          <w:rFonts w:ascii="仿宋" w:hAnsi="仿宋" w:eastAsia="仿宋" w:cs="仿宋"/>
          <w:sz w:val="24"/>
          <w:szCs w:val="24"/>
          <w:lang w:eastAsia="zh-CN"/>
        </w:rPr>
      </w:pPr>
      <w:r>
        <w:rPr>
          <w:rFonts w:ascii="仿宋" w:hAnsi="仿宋" w:eastAsia="仿宋" w:cs="仿宋"/>
          <w:sz w:val="24"/>
          <w:szCs w:val="24"/>
          <w:lang w:eastAsia="zh-CN"/>
        </w:rPr>
        <w:t>投标人名称（电子公章）：</w:t>
      </w:r>
    </w:p>
    <w:p>
      <w:pPr>
        <w:spacing w:line="360" w:lineRule="auto"/>
        <w:jc w:val="right"/>
        <w:rPr>
          <w:rFonts w:ascii="仿宋" w:hAnsi="仿宋" w:eastAsia="仿宋" w:cs="仿宋"/>
          <w:sz w:val="24"/>
          <w:szCs w:val="24"/>
          <w:lang w:eastAsia="zh-CN"/>
        </w:rPr>
      </w:pPr>
    </w:p>
    <w:p>
      <w:pPr>
        <w:tabs>
          <w:tab w:val="left" w:pos="6552"/>
          <w:tab w:val="left" w:pos="7183"/>
          <w:tab w:val="left" w:pos="7813"/>
        </w:tabs>
        <w:spacing w:line="360" w:lineRule="auto"/>
        <w:jc w:val="right"/>
        <w:rPr>
          <w:rFonts w:ascii="仿宋" w:hAnsi="仿宋" w:eastAsia="仿宋" w:cs="仿宋"/>
          <w:sz w:val="24"/>
          <w:szCs w:val="24"/>
          <w:lang w:eastAsia="zh-CN"/>
        </w:rPr>
      </w:pPr>
      <w:r>
        <w:rPr>
          <w:rFonts w:ascii="仿宋" w:hAnsi="仿宋" w:eastAsia="仿宋" w:cs="Times New Roman"/>
          <w:spacing w:val="-3"/>
          <w:sz w:val="24"/>
          <w:szCs w:val="24"/>
          <w:u w:val="single" w:color="000000"/>
          <w:lang w:eastAsia="zh-CN"/>
        </w:rPr>
        <w:t xml:space="preserve">             </w:t>
      </w:r>
      <w:r>
        <w:rPr>
          <w:rFonts w:ascii="仿宋" w:hAnsi="仿宋" w:eastAsia="仿宋" w:cs="仿宋"/>
          <w:sz w:val="24"/>
          <w:szCs w:val="24"/>
          <w:lang w:eastAsia="zh-CN"/>
        </w:rPr>
        <w:t>年</w:t>
      </w:r>
      <w:r>
        <w:rPr>
          <w:rFonts w:ascii="仿宋" w:hAnsi="仿宋" w:eastAsia="仿宋" w:cs="Times New Roman"/>
          <w:spacing w:val="-3"/>
          <w:sz w:val="24"/>
          <w:szCs w:val="24"/>
          <w:u w:val="single" w:color="000000"/>
          <w:lang w:eastAsia="zh-CN"/>
        </w:rPr>
        <w:t xml:space="preserve">      </w:t>
      </w:r>
      <w:r>
        <w:rPr>
          <w:rFonts w:ascii="仿宋" w:hAnsi="仿宋" w:eastAsia="仿宋" w:cs="仿宋"/>
          <w:spacing w:val="-3"/>
          <w:sz w:val="24"/>
          <w:szCs w:val="24"/>
          <w:lang w:eastAsia="zh-CN"/>
        </w:rPr>
        <w:t>月</w:t>
      </w:r>
      <w:r>
        <w:rPr>
          <w:rFonts w:ascii="仿宋" w:hAnsi="仿宋" w:eastAsia="仿宋" w:cs="Times New Roman"/>
          <w:spacing w:val="-3"/>
          <w:sz w:val="24"/>
          <w:szCs w:val="24"/>
          <w:u w:val="single" w:color="000000"/>
          <w:lang w:eastAsia="zh-CN"/>
        </w:rPr>
        <w:t xml:space="preserve">      </w:t>
      </w:r>
      <w:r>
        <w:rPr>
          <w:rFonts w:ascii="仿宋" w:hAnsi="仿宋" w:eastAsia="仿宋" w:cs="仿宋"/>
          <w:sz w:val="24"/>
          <w:szCs w:val="24"/>
          <w:lang w:eastAsia="zh-CN"/>
        </w:rPr>
        <w:t>日</w:t>
      </w:r>
    </w:p>
    <w:p>
      <w:pPr>
        <w:spacing w:line="360" w:lineRule="auto"/>
        <w:jc w:val="both"/>
        <w:rPr>
          <w:rFonts w:ascii="仿宋" w:hAnsi="仿宋" w:eastAsia="仿宋" w:cs="仿宋"/>
          <w:sz w:val="24"/>
          <w:szCs w:val="24"/>
          <w:lang w:eastAsia="zh-CN"/>
        </w:rPr>
        <w:sectPr>
          <w:pgSz w:w="11910" w:h="16840"/>
          <w:pgMar w:top="1100" w:right="1440" w:bottom="1080" w:left="1220" w:header="880" w:footer="888" w:gutter="0"/>
          <w:pgBorders>
            <w:top w:val="none" w:sz="0" w:space="0"/>
            <w:left w:val="none" w:sz="0" w:space="0"/>
            <w:bottom w:val="none" w:sz="0" w:space="0"/>
            <w:right w:val="none" w:sz="0" w:space="0"/>
          </w:pgBorders>
          <w:pgNumType w:fmt="decimal"/>
          <w:cols w:space="720" w:num="1"/>
        </w:sectPr>
      </w:pPr>
    </w:p>
    <w:p>
      <w:pPr>
        <w:spacing w:line="360" w:lineRule="auto"/>
        <w:jc w:val="both"/>
        <w:rPr>
          <w:rFonts w:ascii="仿宋" w:hAnsi="仿宋" w:eastAsia="仿宋" w:cs="仿宋"/>
          <w:sz w:val="24"/>
          <w:szCs w:val="24"/>
          <w:lang w:eastAsia="zh-CN"/>
        </w:rPr>
      </w:pPr>
    </w:p>
    <w:p>
      <w:pPr>
        <w:pStyle w:val="7"/>
        <w:numPr>
          <w:ilvl w:val="0"/>
          <w:numId w:val="0"/>
        </w:numPr>
        <w:spacing w:before="360" w:after="360"/>
        <w:ind w:left="1008" w:hanging="1008"/>
        <w:rPr>
          <w:b/>
          <w:bCs/>
          <w:lang w:eastAsia="zh-CN"/>
        </w:rPr>
      </w:pPr>
      <w:r>
        <w:rPr>
          <w:lang w:eastAsia="zh-CN"/>
        </w:rPr>
        <w:t>法定代表人授权书格式</w:t>
      </w:r>
    </w:p>
    <w:p>
      <w:pPr>
        <w:spacing w:line="360" w:lineRule="auto"/>
        <w:jc w:val="both"/>
        <w:rPr>
          <w:rFonts w:ascii="仿宋" w:hAnsi="仿宋" w:eastAsia="仿宋" w:cs="仿宋"/>
          <w:b/>
          <w:bCs/>
          <w:sz w:val="24"/>
          <w:szCs w:val="24"/>
          <w:lang w:eastAsia="zh-CN"/>
        </w:rPr>
      </w:pPr>
    </w:p>
    <w:p>
      <w:pPr>
        <w:spacing w:line="360" w:lineRule="auto"/>
        <w:jc w:val="both"/>
        <w:rPr>
          <w:rFonts w:ascii="仿宋" w:hAnsi="仿宋" w:eastAsia="仿宋" w:cs="仿宋"/>
          <w:b/>
          <w:bCs/>
          <w:sz w:val="24"/>
          <w:szCs w:val="24"/>
          <w:lang w:eastAsia="zh-CN"/>
        </w:rPr>
      </w:pPr>
    </w:p>
    <w:p>
      <w:pPr>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本授权书声明：注册于（地区的名称）的（公司名称），在下面签字的法人代表（姓名、职务），代表本公司授权在下面签字的（被授权人的姓名、职务）为本公司的合法代理人，就（项目名称）的投标，以本公司的名义处理一切与之有关的事务。</w:t>
      </w:r>
    </w:p>
    <w:p>
      <w:pPr>
        <w:tabs>
          <w:tab w:val="left" w:pos="2448"/>
          <w:tab w:val="left" w:pos="2928"/>
          <w:tab w:val="left" w:pos="3408"/>
        </w:tabs>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本授权书于20</w:t>
      </w:r>
      <w:r>
        <w:rPr>
          <w:rFonts w:ascii="仿宋" w:hAnsi="仿宋" w:eastAsia="仿宋" w:cs="仿宋"/>
          <w:sz w:val="24"/>
          <w:szCs w:val="24"/>
          <w:u w:val="single"/>
          <w:lang w:eastAsia="zh-CN"/>
        </w:rPr>
        <w:tab/>
      </w:r>
      <w:r>
        <w:rPr>
          <w:rFonts w:ascii="仿宋" w:hAnsi="仿宋" w:eastAsia="仿宋" w:cs="仿宋"/>
          <w:sz w:val="24"/>
          <w:szCs w:val="24"/>
          <w:lang w:eastAsia="zh-CN"/>
        </w:rPr>
        <w:t>年</w:t>
      </w:r>
      <w:r>
        <w:rPr>
          <w:rFonts w:ascii="仿宋" w:hAnsi="仿宋" w:eastAsia="仿宋" w:cs="仿宋"/>
          <w:sz w:val="24"/>
          <w:szCs w:val="24"/>
          <w:u w:val="single"/>
          <w:lang w:eastAsia="zh-CN"/>
        </w:rPr>
        <w:tab/>
      </w:r>
      <w:r>
        <w:rPr>
          <w:rFonts w:ascii="仿宋" w:hAnsi="仿宋" w:eastAsia="仿宋" w:cs="仿宋"/>
          <w:sz w:val="24"/>
          <w:szCs w:val="24"/>
          <w:lang w:eastAsia="zh-CN"/>
        </w:rPr>
        <w:t>月</w:t>
      </w:r>
      <w:r>
        <w:rPr>
          <w:rFonts w:ascii="仿宋" w:hAnsi="仿宋" w:eastAsia="仿宋" w:cs="仿宋"/>
          <w:sz w:val="24"/>
          <w:szCs w:val="24"/>
          <w:u w:val="single"/>
          <w:lang w:eastAsia="zh-CN"/>
        </w:rPr>
        <w:tab/>
      </w:r>
      <w:r>
        <w:rPr>
          <w:rFonts w:ascii="仿宋" w:hAnsi="仿宋" w:eastAsia="仿宋" w:cs="仿宋"/>
          <w:sz w:val="24"/>
          <w:szCs w:val="24"/>
          <w:lang w:eastAsia="zh-CN"/>
        </w:rPr>
        <w:t>日签字生效，特此声明。</w:t>
      </w:r>
    </w:p>
    <w:p>
      <w:pPr>
        <w:tabs>
          <w:tab w:val="left" w:pos="1185"/>
          <w:tab w:val="left" w:pos="3826"/>
          <w:tab w:val="left" w:pos="4066"/>
        </w:tabs>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法定代表人签字（签章）：</w:t>
      </w:r>
      <w:r>
        <w:rPr>
          <w:rFonts w:ascii="仿宋" w:hAnsi="仿宋" w:eastAsia="仿宋" w:cs="仿宋"/>
          <w:sz w:val="24"/>
          <w:szCs w:val="24"/>
          <w:u w:val="single"/>
          <w:lang w:eastAsia="zh-CN"/>
        </w:rPr>
        <w:tab/>
      </w:r>
      <w:r>
        <w:rPr>
          <w:rFonts w:ascii="仿宋" w:hAnsi="仿宋" w:eastAsia="仿宋" w:cs="仿宋"/>
          <w:sz w:val="24"/>
          <w:szCs w:val="24"/>
          <w:u w:val="single"/>
          <w:lang w:eastAsia="zh-CN"/>
        </w:rPr>
        <w:tab/>
      </w:r>
    </w:p>
    <w:p>
      <w:pPr>
        <w:tabs>
          <w:tab w:val="left" w:pos="1185"/>
          <w:tab w:val="left" w:pos="4065"/>
        </w:tabs>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法人电话：被授权人签字：</w:t>
      </w:r>
      <w:r>
        <w:rPr>
          <w:rFonts w:ascii="仿宋" w:hAnsi="仿宋" w:eastAsia="仿宋" w:cs="仿宋"/>
          <w:sz w:val="24"/>
          <w:szCs w:val="24"/>
          <w:u w:val="single"/>
          <w:lang w:eastAsia="zh-CN"/>
        </w:rPr>
        <w:tab/>
      </w:r>
    </w:p>
    <w:p>
      <w:pPr>
        <w:tabs>
          <w:tab w:val="left" w:pos="1185"/>
          <w:tab w:val="left" w:pos="3826"/>
          <w:tab w:val="left" w:pos="4066"/>
        </w:tabs>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被委托人电话：</w:t>
      </w:r>
      <w:r>
        <w:rPr>
          <w:rFonts w:hint="eastAsia" w:ascii="仿宋" w:hAnsi="仿宋" w:eastAsia="仿宋" w:cs="仿宋"/>
          <w:sz w:val="24"/>
          <w:szCs w:val="24"/>
          <w:u w:val="single"/>
          <w:lang w:eastAsia="zh-CN"/>
        </w:rPr>
        <w:t xml:space="preserve"> </w:t>
      </w:r>
      <w:r>
        <w:rPr>
          <w:rFonts w:ascii="仿宋" w:hAnsi="仿宋" w:eastAsia="仿宋" w:cs="仿宋"/>
          <w:sz w:val="24"/>
          <w:szCs w:val="24"/>
          <w:u w:val="single"/>
          <w:lang w:eastAsia="zh-CN"/>
        </w:rPr>
        <w:t xml:space="preserve">      </w:t>
      </w:r>
    </w:p>
    <w:p>
      <w:pPr>
        <w:tabs>
          <w:tab w:val="left" w:pos="1185"/>
          <w:tab w:val="left" w:pos="3826"/>
          <w:tab w:val="left" w:pos="4066"/>
        </w:tabs>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公</w:t>
      </w:r>
      <w:r>
        <w:rPr>
          <w:rFonts w:ascii="仿宋" w:hAnsi="仿宋" w:eastAsia="仿宋" w:cs="仿宋"/>
          <w:sz w:val="24"/>
          <w:szCs w:val="24"/>
          <w:lang w:eastAsia="zh-CN"/>
        </w:rPr>
        <w:tab/>
      </w:r>
      <w:r>
        <w:rPr>
          <w:rFonts w:ascii="仿宋" w:hAnsi="仿宋" w:eastAsia="仿宋" w:cs="仿宋"/>
          <w:sz w:val="24"/>
          <w:szCs w:val="24"/>
          <w:lang w:eastAsia="zh-CN"/>
        </w:rPr>
        <w:t>章：</w:t>
      </w:r>
      <w:r>
        <w:rPr>
          <w:rFonts w:hint="eastAsia" w:ascii="仿宋" w:hAnsi="仿宋" w:eastAsia="仿宋" w:cs="仿宋"/>
          <w:sz w:val="24"/>
          <w:szCs w:val="24"/>
          <w:u w:val="single"/>
          <w:lang w:eastAsia="zh-CN"/>
        </w:rPr>
        <w:t xml:space="preserve"> </w:t>
      </w:r>
      <w:r>
        <w:rPr>
          <w:rFonts w:ascii="仿宋" w:hAnsi="仿宋" w:eastAsia="仿宋" w:cs="仿宋"/>
          <w:sz w:val="24"/>
          <w:szCs w:val="24"/>
          <w:u w:val="single"/>
          <w:lang w:eastAsia="zh-CN"/>
        </w:rPr>
        <w:t xml:space="preserve">          </w:t>
      </w:r>
    </w:p>
    <w:tbl>
      <w:tblPr>
        <w:tblStyle w:val="49"/>
        <w:tblW w:w="9288" w:type="dxa"/>
        <w:tblInd w:w="0" w:type="dxa"/>
        <w:tblLayout w:type="fixed"/>
        <w:tblCellMar>
          <w:top w:w="0" w:type="dxa"/>
          <w:left w:w="0" w:type="dxa"/>
          <w:bottom w:w="0" w:type="dxa"/>
          <w:right w:w="0" w:type="dxa"/>
        </w:tblCellMar>
      </w:tblPr>
      <w:tblGrid>
        <w:gridCol w:w="4645"/>
        <w:gridCol w:w="4643"/>
      </w:tblGrid>
      <w:tr>
        <w:tblPrEx>
          <w:tblCellMar>
            <w:top w:w="0" w:type="dxa"/>
            <w:left w:w="0" w:type="dxa"/>
            <w:bottom w:w="0" w:type="dxa"/>
            <w:right w:w="0" w:type="dxa"/>
          </w:tblCellMar>
        </w:tblPrEx>
        <w:trPr>
          <w:trHeight w:val="1659" w:hRule="exact"/>
        </w:trPr>
        <w:tc>
          <w:tcPr>
            <w:tcW w:w="4645" w:type="dxa"/>
            <w:tcBorders>
              <w:top w:val="single" w:color="000000" w:sz="4" w:space="0"/>
              <w:left w:val="single" w:color="000000" w:sz="4" w:space="0"/>
              <w:bottom w:val="single" w:color="000000" w:sz="4" w:space="0"/>
              <w:right w:val="single" w:color="000000" w:sz="4" w:space="0"/>
            </w:tcBorders>
          </w:tcPr>
          <w:p>
            <w:pPr>
              <w:pStyle w:val="51"/>
              <w:spacing w:line="360" w:lineRule="auto"/>
              <w:ind w:left="103"/>
              <w:rPr>
                <w:rFonts w:ascii="仿宋" w:hAnsi="仿宋" w:eastAsia="仿宋" w:cs="仿宋"/>
                <w:sz w:val="24"/>
                <w:szCs w:val="24"/>
                <w:lang w:eastAsia="zh-CN"/>
              </w:rPr>
            </w:pPr>
            <w:r>
              <w:rPr>
                <w:rFonts w:ascii="仿宋" w:hAnsi="仿宋" w:eastAsia="仿宋" w:cs="仿宋"/>
                <w:sz w:val="24"/>
                <w:szCs w:val="24"/>
                <w:lang w:eastAsia="zh-CN"/>
              </w:rPr>
              <w:t>授权人身份证复印件</w:t>
            </w:r>
          </w:p>
          <w:p>
            <w:pPr>
              <w:pStyle w:val="51"/>
              <w:spacing w:line="360" w:lineRule="auto"/>
              <w:rPr>
                <w:rFonts w:ascii="仿宋" w:hAnsi="仿宋" w:eastAsia="仿宋" w:cs="仿宋"/>
                <w:sz w:val="24"/>
                <w:szCs w:val="24"/>
                <w:lang w:eastAsia="zh-CN"/>
              </w:rPr>
            </w:pPr>
          </w:p>
          <w:p>
            <w:pPr>
              <w:pStyle w:val="51"/>
              <w:spacing w:line="360" w:lineRule="auto"/>
              <w:ind w:right="1"/>
              <w:jc w:val="center"/>
              <w:rPr>
                <w:rFonts w:ascii="仿宋" w:hAnsi="仿宋" w:eastAsia="仿宋" w:cs="仿宋"/>
                <w:sz w:val="24"/>
                <w:szCs w:val="24"/>
                <w:lang w:eastAsia="zh-CN"/>
              </w:rPr>
            </w:pPr>
            <w:r>
              <w:rPr>
                <w:rFonts w:ascii="仿宋" w:hAnsi="仿宋" w:eastAsia="仿宋" w:cs="仿宋"/>
                <w:sz w:val="24"/>
                <w:szCs w:val="24"/>
                <w:lang w:eastAsia="zh-CN"/>
              </w:rPr>
              <w:t>（正面）</w:t>
            </w:r>
          </w:p>
        </w:tc>
        <w:tc>
          <w:tcPr>
            <w:tcW w:w="4643" w:type="dxa"/>
            <w:tcBorders>
              <w:top w:val="single" w:color="000000" w:sz="4" w:space="0"/>
              <w:left w:val="single" w:color="000000" w:sz="4" w:space="0"/>
              <w:bottom w:val="single" w:color="000000" w:sz="4" w:space="0"/>
              <w:right w:val="single" w:color="000000" w:sz="4" w:space="0"/>
            </w:tcBorders>
          </w:tcPr>
          <w:p>
            <w:pPr>
              <w:pStyle w:val="51"/>
              <w:spacing w:line="360" w:lineRule="auto"/>
              <w:ind w:left="100"/>
              <w:rPr>
                <w:rFonts w:ascii="仿宋" w:hAnsi="仿宋" w:eastAsia="仿宋" w:cs="仿宋"/>
                <w:sz w:val="24"/>
                <w:szCs w:val="24"/>
                <w:lang w:eastAsia="zh-CN"/>
              </w:rPr>
            </w:pPr>
            <w:r>
              <w:rPr>
                <w:rFonts w:ascii="仿宋" w:hAnsi="仿宋" w:eastAsia="仿宋" w:cs="仿宋"/>
                <w:sz w:val="24"/>
                <w:szCs w:val="24"/>
                <w:lang w:eastAsia="zh-CN"/>
              </w:rPr>
              <w:t>被授权人身份证复印件</w:t>
            </w:r>
          </w:p>
          <w:p>
            <w:pPr>
              <w:pStyle w:val="51"/>
              <w:spacing w:line="360" w:lineRule="auto"/>
              <w:rPr>
                <w:rFonts w:ascii="仿宋" w:hAnsi="仿宋" w:eastAsia="仿宋" w:cs="仿宋"/>
                <w:sz w:val="24"/>
                <w:szCs w:val="24"/>
                <w:lang w:eastAsia="zh-CN"/>
              </w:rPr>
            </w:pPr>
          </w:p>
          <w:p>
            <w:pPr>
              <w:pStyle w:val="51"/>
              <w:spacing w:line="360" w:lineRule="auto"/>
              <w:ind w:right="3"/>
              <w:jc w:val="center"/>
              <w:rPr>
                <w:rFonts w:ascii="仿宋" w:hAnsi="仿宋" w:eastAsia="仿宋" w:cs="仿宋"/>
                <w:sz w:val="24"/>
                <w:szCs w:val="24"/>
                <w:lang w:eastAsia="zh-CN"/>
              </w:rPr>
            </w:pPr>
            <w:r>
              <w:rPr>
                <w:rFonts w:ascii="仿宋" w:hAnsi="仿宋" w:eastAsia="仿宋" w:cs="仿宋"/>
                <w:sz w:val="24"/>
                <w:szCs w:val="24"/>
                <w:lang w:eastAsia="zh-CN"/>
              </w:rPr>
              <w:t>（正面）</w:t>
            </w:r>
          </w:p>
        </w:tc>
      </w:tr>
      <w:tr>
        <w:tblPrEx>
          <w:tblCellMar>
            <w:top w:w="0" w:type="dxa"/>
            <w:left w:w="0" w:type="dxa"/>
            <w:bottom w:w="0" w:type="dxa"/>
            <w:right w:w="0" w:type="dxa"/>
          </w:tblCellMar>
        </w:tblPrEx>
        <w:trPr>
          <w:trHeight w:val="1658" w:hRule="exact"/>
        </w:trPr>
        <w:tc>
          <w:tcPr>
            <w:tcW w:w="4645" w:type="dxa"/>
            <w:tcBorders>
              <w:top w:val="single" w:color="000000" w:sz="4" w:space="0"/>
              <w:left w:val="single" w:color="000000" w:sz="4" w:space="0"/>
              <w:bottom w:val="single" w:color="000000" w:sz="4" w:space="0"/>
              <w:right w:val="single" w:color="000000" w:sz="4" w:space="0"/>
            </w:tcBorders>
          </w:tcPr>
          <w:p>
            <w:pPr>
              <w:pStyle w:val="51"/>
              <w:spacing w:line="360" w:lineRule="auto"/>
              <w:rPr>
                <w:rFonts w:ascii="仿宋" w:hAnsi="仿宋" w:eastAsia="仿宋" w:cs="仿宋"/>
                <w:sz w:val="24"/>
                <w:szCs w:val="24"/>
                <w:lang w:eastAsia="zh-CN"/>
              </w:rPr>
            </w:pPr>
          </w:p>
          <w:p>
            <w:pPr>
              <w:pStyle w:val="51"/>
              <w:spacing w:line="360" w:lineRule="auto"/>
              <w:rPr>
                <w:rFonts w:ascii="仿宋" w:hAnsi="仿宋" w:eastAsia="仿宋" w:cs="仿宋"/>
                <w:sz w:val="24"/>
                <w:szCs w:val="24"/>
                <w:lang w:eastAsia="zh-CN"/>
              </w:rPr>
            </w:pPr>
          </w:p>
          <w:p>
            <w:pPr>
              <w:pStyle w:val="51"/>
              <w:spacing w:line="360" w:lineRule="auto"/>
              <w:ind w:right="1"/>
              <w:jc w:val="center"/>
              <w:rPr>
                <w:rFonts w:ascii="仿宋" w:hAnsi="仿宋" w:eastAsia="仿宋" w:cs="仿宋"/>
                <w:sz w:val="24"/>
                <w:szCs w:val="24"/>
              </w:rPr>
            </w:pPr>
            <w:r>
              <w:rPr>
                <w:rFonts w:ascii="仿宋" w:hAnsi="仿宋" w:eastAsia="仿宋" w:cs="仿宋"/>
                <w:sz w:val="24"/>
                <w:szCs w:val="24"/>
              </w:rPr>
              <w:t>（背面）</w:t>
            </w:r>
          </w:p>
        </w:tc>
        <w:tc>
          <w:tcPr>
            <w:tcW w:w="4643" w:type="dxa"/>
            <w:tcBorders>
              <w:top w:val="single" w:color="000000" w:sz="4" w:space="0"/>
              <w:left w:val="single" w:color="000000" w:sz="4" w:space="0"/>
              <w:bottom w:val="single" w:color="000000" w:sz="4" w:space="0"/>
              <w:right w:val="single" w:color="000000" w:sz="4" w:space="0"/>
            </w:tcBorders>
          </w:tcPr>
          <w:p>
            <w:pPr>
              <w:pStyle w:val="51"/>
              <w:spacing w:line="360" w:lineRule="auto"/>
              <w:rPr>
                <w:rFonts w:ascii="仿宋" w:hAnsi="仿宋" w:eastAsia="仿宋" w:cs="仿宋"/>
                <w:sz w:val="24"/>
                <w:szCs w:val="24"/>
              </w:rPr>
            </w:pPr>
          </w:p>
          <w:p>
            <w:pPr>
              <w:pStyle w:val="51"/>
              <w:spacing w:line="360" w:lineRule="auto"/>
              <w:rPr>
                <w:rFonts w:ascii="仿宋" w:hAnsi="仿宋" w:eastAsia="仿宋" w:cs="仿宋"/>
                <w:sz w:val="24"/>
                <w:szCs w:val="24"/>
              </w:rPr>
            </w:pPr>
          </w:p>
          <w:p>
            <w:pPr>
              <w:pStyle w:val="51"/>
              <w:spacing w:line="360" w:lineRule="auto"/>
              <w:ind w:right="3"/>
              <w:jc w:val="center"/>
              <w:rPr>
                <w:rFonts w:ascii="仿宋" w:hAnsi="仿宋" w:eastAsia="仿宋" w:cs="仿宋"/>
                <w:sz w:val="24"/>
                <w:szCs w:val="24"/>
              </w:rPr>
            </w:pPr>
            <w:r>
              <w:rPr>
                <w:rFonts w:ascii="仿宋" w:hAnsi="仿宋" w:eastAsia="仿宋" w:cs="仿宋"/>
                <w:sz w:val="24"/>
                <w:szCs w:val="24"/>
              </w:rPr>
              <w:t>（背面）</w:t>
            </w:r>
          </w:p>
        </w:tc>
      </w:tr>
    </w:tbl>
    <w:p>
      <w:pPr>
        <w:spacing w:line="360" w:lineRule="auto"/>
        <w:jc w:val="both"/>
        <w:rPr>
          <w:rFonts w:ascii="仿宋" w:hAnsi="仿宋" w:eastAsia="仿宋" w:cs="仿宋"/>
          <w:sz w:val="24"/>
          <w:szCs w:val="24"/>
          <w:lang w:eastAsia="zh-CN"/>
        </w:rPr>
      </w:pPr>
    </w:p>
    <w:p>
      <w:pPr>
        <w:spacing w:line="360" w:lineRule="auto"/>
        <w:jc w:val="both"/>
        <w:rPr>
          <w:rFonts w:ascii="仿宋" w:hAnsi="仿宋" w:eastAsia="仿宋" w:cs="仿宋"/>
          <w:sz w:val="24"/>
          <w:szCs w:val="24"/>
          <w:lang w:eastAsia="zh-CN"/>
        </w:rPr>
      </w:pPr>
    </w:p>
    <w:p>
      <w:pPr>
        <w:spacing w:line="360" w:lineRule="auto"/>
        <w:jc w:val="both"/>
        <w:rPr>
          <w:rFonts w:ascii="仿宋" w:hAnsi="仿宋" w:eastAsia="仿宋" w:cs="仿宋"/>
          <w:sz w:val="24"/>
          <w:szCs w:val="24"/>
          <w:lang w:eastAsia="zh-CN"/>
        </w:rPr>
      </w:pPr>
    </w:p>
    <w:p>
      <w:pPr>
        <w:tabs>
          <w:tab w:val="left" w:pos="7498"/>
          <w:tab w:val="left" w:pos="8219"/>
          <w:tab w:val="left" w:pos="8939"/>
        </w:tabs>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授权日期：20</w:t>
      </w:r>
      <w:r>
        <w:rPr>
          <w:rFonts w:ascii="仿宋" w:hAnsi="仿宋" w:eastAsia="仿宋" w:cs="仿宋"/>
          <w:sz w:val="24"/>
          <w:szCs w:val="24"/>
          <w:u w:val="single"/>
          <w:lang w:eastAsia="zh-CN"/>
        </w:rPr>
        <w:t xml:space="preserve">    </w:t>
      </w:r>
      <w:r>
        <w:rPr>
          <w:rFonts w:ascii="仿宋" w:hAnsi="仿宋" w:eastAsia="仿宋" w:cs="仿宋"/>
          <w:sz w:val="24"/>
          <w:szCs w:val="24"/>
          <w:lang w:eastAsia="zh-CN"/>
        </w:rPr>
        <w:t>年</w:t>
      </w:r>
      <w:r>
        <w:rPr>
          <w:rFonts w:ascii="仿宋" w:hAnsi="仿宋" w:eastAsia="仿宋" w:cs="仿宋"/>
          <w:sz w:val="24"/>
          <w:szCs w:val="24"/>
          <w:u w:val="single"/>
          <w:lang w:eastAsia="zh-CN"/>
        </w:rPr>
        <w:t xml:space="preserve">    </w:t>
      </w:r>
      <w:r>
        <w:rPr>
          <w:rFonts w:ascii="仿宋" w:hAnsi="仿宋" w:eastAsia="仿宋" w:cs="仿宋"/>
          <w:sz w:val="24"/>
          <w:szCs w:val="24"/>
          <w:lang w:eastAsia="zh-CN"/>
        </w:rPr>
        <w:t>月</w:t>
      </w:r>
      <w:r>
        <w:rPr>
          <w:rFonts w:ascii="仿宋" w:hAnsi="仿宋" w:eastAsia="仿宋" w:cs="仿宋"/>
          <w:sz w:val="24"/>
          <w:szCs w:val="24"/>
          <w:u w:val="single"/>
          <w:lang w:eastAsia="zh-CN"/>
        </w:rPr>
        <w:t xml:space="preserve">     </w:t>
      </w:r>
      <w:r>
        <w:rPr>
          <w:rFonts w:ascii="仿宋" w:hAnsi="仿宋" w:eastAsia="仿宋" w:cs="仿宋"/>
          <w:sz w:val="24"/>
          <w:szCs w:val="24"/>
          <w:lang w:eastAsia="zh-CN"/>
        </w:rPr>
        <w:t>日</w:t>
      </w:r>
    </w:p>
    <w:p>
      <w:pPr>
        <w:tabs>
          <w:tab w:val="left" w:pos="7498"/>
          <w:tab w:val="left" w:pos="8219"/>
          <w:tab w:val="left" w:pos="8939"/>
        </w:tabs>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注：1、法定代表人本人作为公司代理人前来参加投标的投标方，可不提供此项证明文件。</w:t>
      </w:r>
    </w:p>
    <w:p>
      <w:pPr>
        <w:spacing w:line="360" w:lineRule="auto"/>
        <w:jc w:val="both"/>
        <w:rPr>
          <w:rFonts w:ascii="仿宋" w:hAnsi="仿宋" w:eastAsia="仿宋" w:cs="仿宋"/>
          <w:sz w:val="24"/>
          <w:szCs w:val="24"/>
          <w:lang w:eastAsia="zh-CN"/>
        </w:rPr>
      </w:pPr>
      <w:r>
        <w:rPr>
          <w:rFonts w:ascii="仿宋" w:hAnsi="仿宋" w:eastAsia="仿宋" w:cs="仿宋"/>
          <w:spacing w:val="4"/>
          <w:sz w:val="24"/>
          <w:szCs w:val="24"/>
          <w:lang w:eastAsia="zh-CN"/>
        </w:rPr>
        <w:t>2、授权书上应当附有授权人和被授权人的居民身份证复印件（否则视为无效授</w:t>
      </w:r>
      <w:r>
        <w:rPr>
          <w:rFonts w:ascii="仿宋" w:hAnsi="仿宋" w:eastAsia="仿宋" w:cs="仿宋"/>
          <w:sz w:val="24"/>
          <w:szCs w:val="24"/>
          <w:lang w:eastAsia="zh-CN"/>
        </w:rPr>
        <w:t>权）。</w:t>
      </w:r>
    </w:p>
    <w:p>
      <w:pPr>
        <w:spacing w:line="360" w:lineRule="auto"/>
        <w:jc w:val="both"/>
        <w:rPr>
          <w:rFonts w:ascii="仿宋" w:hAnsi="仿宋" w:eastAsia="仿宋" w:cs="仿宋"/>
          <w:sz w:val="24"/>
          <w:szCs w:val="24"/>
          <w:lang w:eastAsia="zh-CN"/>
        </w:rPr>
        <w:sectPr>
          <w:pgSz w:w="11910" w:h="16840"/>
          <w:pgMar w:top="1100" w:right="1240" w:bottom="1080" w:left="1140" w:header="880" w:footer="888" w:gutter="0"/>
          <w:pgBorders>
            <w:top w:val="none" w:sz="0" w:space="0"/>
            <w:left w:val="none" w:sz="0" w:space="0"/>
            <w:bottom w:val="none" w:sz="0" w:space="0"/>
            <w:right w:val="none" w:sz="0" w:space="0"/>
          </w:pgBorders>
          <w:pgNumType w:fmt="decimal"/>
          <w:cols w:space="720" w:num="1"/>
        </w:sectPr>
      </w:pPr>
    </w:p>
    <w:p>
      <w:pPr>
        <w:pStyle w:val="7"/>
        <w:numPr>
          <w:ilvl w:val="0"/>
          <w:numId w:val="0"/>
        </w:numPr>
        <w:spacing w:before="360" w:after="360"/>
        <w:ind w:left="1008" w:hanging="1008"/>
        <w:rPr>
          <w:b/>
          <w:bCs/>
          <w:lang w:eastAsia="zh-CN"/>
        </w:rPr>
      </w:pPr>
      <w:r>
        <w:rPr>
          <w:lang w:eastAsia="zh-CN"/>
        </w:rPr>
        <w:t>投标函格式</w:t>
      </w:r>
    </w:p>
    <w:p>
      <w:pPr>
        <w:spacing w:line="360" w:lineRule="auto"/>
        <w:jc w:val="both"/>
        <w:rPr>
          <w:rFonts w:ascii="仿宋" w:hAnsi="仿宋" w:eastAsia="仿宋" w:cs="仿宋"/>
          <w:b/>
          <w:bCs/>
          <w:sz w:val="24"/>
          <w:szCs w:val="24"/>
          <w:lang w:eastAsia="zh-CN"/>
        </w:rPr>
      </w:pP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致：</w:t>
      </w:r>
      <w:r>
        <w:rPr>
          <w:rFonts w:hint="eastAsia" w:ascii="仿宋" w:hAnsi="仿宋" w:eastAsia="仿宋" w:cs="仿宋"/>
          <w:w w:val="95"/>
          <w:sz w:val="24"/>
          <w:szCs w:val="24"/>
          <w:lang w:eastAsia="zh-CN"/>
        </w:rPr>
        <w:t>玛纳斯县政务服务和公共资源交易管理中心</w:t>
      </w:r>
    </w:p>
    <w:p>
      <w:pPr>
        <w:spacing w:line="360" w:lineRule="auto"/>
        <w:jc w:val="both"/>
        <w:rPr>
          <w:rFonts w:ascii="仿宋" w:hAnsi="仿宋" w:eastAsia="仿宋" w:cs="仿宋"/>
          <w:sz w:val="24"/>
          <w:szCs w:val="24"/>
          <w:lang w:eastAsia="zh-CN"/>
        </w:rPr>
      </w:pPr>
    </w:p>
    <w:p>
      <w:pPr>
        <w:tabs>
          <w:tab w:val="left" w:pos="4416"/>
        </w:tabs>
        <w:spacing w:line="360" w:lineRule="auto"/>
        <w:ind w:firstLine="480" w:firstLineChars="200"/>
        <w:jc w:val="both"/>
        <w:rPr>
          <w:rFonts w:ascii="仿宋" w:hAnsi="仿宋" w:eastAsia="仿宋" w:cs="仿宋"/>
          <w:sz w:val="24"/>
          <w:szCs w:val="24"/>
          <w:lang w:eastAsia="zh-CN"/>
        </w:rPr>
      </w:pPr>
      <w:r>
        <w:rPr>
          <w:rFonts w:ascii="仿宋" w:hAnsi="仿宋" w:eastAsia="仿宋" w:cs="仿宋"/>
          <w:sz w:val="24"/>
          <w:szCs w:val="24"/>
          <w:lang w:eastAsia="zh-CN"/>
        </w:rPr>
        <w:t>根据贵方的</w:t>
      </w:r>
      <w:r>
        <w:rPr>
          <w:rFonts w:ascii="仿宋" w:hAnsi="仿宋" w:eastAsia="仿宋" w:cs="仿宋"/>
          <w:sz w:val="24"/>
          <w:szCs w:val="24"/>
          <w:u w:val="single" w:color="000000"/>
          <w:lang w:eastAsia="zh-CN"/>
        </w:rPr>
        <w:tab/>
      </w:r>
      <w:r>
        <w:rPr>
          <w:rFonts w:ascii="仿宋" w:hAnsi="仿宋" w:eastAsia="仿宋" w:cs="仿宋"/>
          <w:sz w:val="24"/>
          <w:szCs w:val="24"/>
          <w:lang w:eastAsia="zh-CN"/>
        </w:rPr>
        <w:t>号招标文件，正式授权下述签字人</w:t>
      </w:r>
      <w:r>
        <w:rPr>
          <w:rFonts w:ascii="仿宋" w:hAnsi="仿宋" w:eastAsia="仿宋" w:cs="仿宋"/>
          <w:sz w:val="24"/>
          <w:szCs w:val="24"/>
          <w:u w:val="single" w:color="000000"/>
          <w:lang w:eastAsia="zh-CN"/>
        </w:rPr>
        <w:tab/>
      </w:r>
      <w:r>
        <w:rPr>
          <w:rFonts w:ascii="仿宋" w:hAnsi="仿宋" w:eastAsia="仿宋" w:cs="仿宋"/>
          <w:spacing w:val="-1"/>
          <w:sz w:val="24"/>
          <w:szCs w:val="24"/>
          <w:lang w:eastAsia="zh-CN"/>
        </w:rPr>
        <w:t>(姓名)代表我方</w:t>
      </w:r>
      <w:r>
        <w:rPr>
          <w:rFonts w:ascii="仿宋" w:hAnsi="仿宋" w:eastAsia="仿宋" w:cs="Times New Roman"/>
          <w:spacing w:val="-1"/>
          <w:sz w:val="24"/>
          <w:szCs w:val="24"/>
          <w:u w:val="single" w:color="000000"/>
          <w:lang w:eastAsia="zh-CN"/>
        </w:rPr>
        <w:tab/>
      </w:r>
      <w:r>
        <w:rPr>
          <w:rFonts w:ascii="仿宋" w:hAnsi="仿宋" w:eastAsia="仿宋" w:cs="仿宋"/>
          <w:spacing w:val="-3"/>
          <w:sz w:val="24"/>
          <w:szCs w:val="24"/>
          <w:lang w:eastAsia="zh-CN"/>
        </w:rPr>
        <w:t>（投标人的名称），全权处理本次</w:t>
      </w:r>
      <w:r>
        <w:rPr>
          <w:rFonts w:ascii="仿宋" w:hAnsi="仿宋" w:eastAsia="仿宋" w:cs="仿宋"/>
          <w:sz w:val="24"/>
          <w:szCs w:val="24"/>
          <w:lang w:eastAsia="zh-CN"/>
        </w:rPr>
        <w:t>项目投标的有关事宜。</w:t>
      </w:r>
    </w:p>
    <w:p>
      <w:pPr>
        <w:tabs>
          <w:tab w:val="left" w:pos="2786"/>
        </w:tabs>
        <w:spacing w:line="360" w:lineRule="auto"/>
        <w:ind w:firstLine="476" w:firstLineChars="200"/>
        <w:jc w:val="both"/>
        <w:rPr>
          <w:rFonts w:ascii="仿宋" w:hAnsi="仿宋" w:eastAsia="仿宋" w:cs="仿宋"/>
          <w:sz w:val="24"/>
          <w:szCs w:val="24"/>
          <w:lang w:eastAsia="zh-CN"/>
        </w:rPr>
      </w:pPr>
      <w:r>
        <w:rPr>
          <w:rFonts w:ascii="仿宋" w:hAnsi="仿宋" w:eastAsia="仿宋" w:cs="仿宋"/>
          <w:spacing w:val="-1"/>
          <w:sz w:val="24"/>
          <w:szCs w:val="24"/>
          <w:lang w:eastAsia="zh-CN"/>
        </w:rPr>
        <w:t>据此函，</w:t>
      </w:r>
      <w:r>
        <w:rPr>
          <w:rFonts w:ascii="仿宋" w:hAnsi="仿宋" w:eastAsia="仿宋" w:cs="Times New Roman"/>
          <w:spacing w:val="-1"/>
          <w:sz w:val="24"/>
          <w:szCs w:val="24"/>
          <w:u w:val="single" w:color="000000"/>
          <w:lang w:eastAsia="zh-CN"/>
        </w:rPr>
        <w:tab/>
      </w:r>
      <w:r>
        <w:rPr>
          <w:rFonts w:ascii="仿宋" w:hAnsi="仿宋" w:eastAsia="仿宋" w:cs="仿宋"/>
          <w:sz w:val="24"/>
          <w:szCs w:val="24"/>
          <w:lang w:eastAsia="zh-CN"/>
        </w:rPr>
        <w:t>签字人兹宣布同意如下：</w:t>
      </w:r>
    </w:p>
    <w:p>
      <w:pPr>
        <w:spacing w:line="360" w:lineRule="auto"/>
        <w:jc w:val="both"/>
        <w:rPr>
          <w:rFonts w:ascii="仿宋" w:hAnsi="仿宋" w:eastAsia="仿宋" w:cs="仿宋"/>
          <w:sz w:val="24"/>
          <w:szCs w:val="24"/>
          <w:lang w:eastAsia="zh-CN"/>
        </w:rPr>
      </w:pP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1.按招标文件规定的各项要求，向买方提供所需服务或产品与服务。</w:t>
      </w: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2.我们完全理解贵方不一定将合同授予最低报价的投标人。</w:t>
      </w: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3.我们已详细审核全部招标文件及其有效补充文件，我们知道必须放弃提出含糊不清或误解问题的权利。</w:t>
      </w: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4.我们同意从规定的开标日期起遵循本投标文件，并在规定的投标有效期期满之前均具有约束力。</w:t>
      </w: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5.如果在开标后规定的投标有效期内撤回投标或中标后拒绝签订合同，我们的投标保证金可不予退还。</w:t>
      </w: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6.同意向贵方提供贵方可能另外要求的与投标有关的任何证据或资料，并保证我方已提供和将要提供的文件是真实的、准确的。</w:t>
      </w: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7.一旦我方中标,我方将根据招标文件的规定，严格履行合同的责任和义务,并保证在招标文件规定的时间完成项目，交付买方验收、使用。</w:t>
      </w:r>
    </w:p>
    <w:p>
      <w:pPr>
        <w:tabs>
          <w:tab w:val="left" w:pos="2485"/>
        </w:tabs>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8.与本投标有关的正式通讯地址为：</w:t>
      </w:r>
    </w:p>
    <w:p>
      <w:pPr>
        <w:tabs>
          <w:tab w:val="left" w:pos="1530"/>
        </w:tabs>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地</w:t>
      </w:r>
      <w:r>
        <w:rPr>
          <w:rFonts w:ascii="仿宋" w:hAnsi="仿宋" w:eastAsia="仿宋" w:cs="仿宋"/>
          <w:sz w:val="24"/>
          <w:szCs w:val="24"/>
          <w:lang w:eastAsia="zh-CN"/>
        </w:rPr>
        <w:tab/>
      </w:r>
      <w:r>
        <w:rPr>
          <w:rFonts w:ascii="仿宋" w:hAnsi="仿宋" w:eastAsia="仿宋" w:cs="仿宋"/>
          <w:sz w:val="24"/>
          <w:szCs w:val="24"/>
          <w:lang w:eastAsia="zh-CN"/>
        </w:rPr>
        <w:t>址：</w:t>
      </w:r>
    </w:p>
    <w:p>
      <w:pPr>
        <w:tabs>
          <w:tab w:val="left" w:pos="1530"/>
        </w:tabs>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邮</w:t>
      </w:r>
      <w:r>
        <w:rPr>
          <w:rFonts w:ascii="仿宋" w:hAnsi="仿宋" w:eastAsia="仿宋" w:cs="仿宋"/>
          <w:sz w:val="24"/>
          <w:szCs w:val="24"/>
          <w:lang w:eastAsia="zh-CN"/>
        </w:rPr>
        <w:tab/>
      </w:r>
      <w:r>
        <w:rPr>
          <w:rFonts w:ascii="仿宋" w:hAnsi="仿宋" w:eastAsia="仿宋" w:cs="仿宋"/>
          <w:sz w:val="24"/>
          <w:szCs w:val="24"/>
          <w:lang w:eastAsia="zh-CN"/>
        </w:rPr>
        <w:t>编：</w:t>
      </w:r>
    </w:p>
    <w:p>
      <w:pPr>
        <w:tabs>
          <w:tab w:val="left" w:pos="1530"/>
        </w:tabs>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电</w:t>
      </w:r>
      <w:r>
        <w:rPr>
          <w:rFonts w:ascii="仿宋" w:hAnsi="仿宋" w:eastAsia="仿宋" w:cs="仿宋"/>
          <w:sz w:val="24"/>
          <w:szCs w:val="24"/>
          <w:lang w:eastAsia="zh-CN"/>
        </w:rPr>
        <w:tab/>
      </w:r>
      <w:r>
        <w:rPr>
          <w:rFonts w:ascii="仿宋" w:hAnsi="仿宋" w:eastAsia="仿宋" w:cs="仿宋"/>
          <w:sz w:val="24"/>
          <w:szCs w:val="24"/>
          <w:lang w:eastAsia="zh-CN"/>
        </w:rPr>
        <w:t>话：</w:t>
      </w:r>
    </w:p>
    <w:p>
      <w:pPr>
        <w:tabs>
          <w:tab w:val="left" w:pos="1530"/>
        </w:tabs>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传</w:t>
      </w:r>
      <w:r>
        <w:rPr>
          <w:rFonts w:ascii="仿宋" w:hAnsi="仿宋" w:eastAsia="仿宋" w:cs="仿宋"/>
          <w:sz w:val="24"/>
          <w:szCs w:val="24"/>
          <w:lang w:eastAsia="zh-CN"/>
        </w:rPr>
        <w:tab/>
      </w:r>
      <w:r>
        <w:rPr>
          <w:rFonts w:ascii="仿宋" w:hAnsi="仿宋" w:eastAsia="仿宋" w:cs="仿宋"/>
          <w:sz w:val="24"/>
          <w:szCs w:val="24"/>
          <w:lang w:eastAsia="zh-CN"/>
        </w:rPr>
        <w:t>真：</w:t>
      </w: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投标人开户行：</w:t>
      </w:r>
    </w:p>
    <w:p>
      <w:pPr>
        <w:tabs>
          <w:tab w:val="left" w:pos="1530"/>
        </w:tabs>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账</w:t>
      </w:r>
      <w:r>
        <w:rPr>
          <w:rFonts w:ascii="仿宋" w:hAnsi="仿宋" w:eastAsia="仿宋" w:cs="仿宋"/>
          <w:sz w:val="24"/>
          <w:szCs w:val="24"/>
          <w:lang w:eastAsia="zh-CN"/>
        </w:rPr>
        <w:tab/>
      </w:r>
      <w:r>
        <w:rPr>
          <w:rFonts w:ascii="仿宋" w:hAnsi="仿宋" w:eastAsia="仿宋" w:cs="仿宋"/>
          <w:sz w:val="24"/>
          <w:szCs w:val="24"/>
          <w:lang w:eastAsia="zh-CN"/>
        </w:rPr>
        <w:t>户：</w:t>
      </w: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投标人名称（电子公章）：</w:t>
      </w:r>
    </w:p>
    <w:p>
      <w:pPr>
        <w:tabs>
          <w:tab w:val="left" w:pos="1650"/>
          <w:tab w:val="left" w:pos="4046"/>
          <w:tab w:val="left" w:pos="4766"/>
          <w:tab w:val="left" w:pos="5486"/>
        </w:tabs>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日</w:t>
      </w:r>
      <w:r>
        <w:rPr>
          <w:rFonts w:ascii="仿宋" w:hAnsi="仿宋" w:eastAsia="仿宋" w:cs="仿宋"/>
          <w:sz w:val="24"/>
          <w:szCs w:val="24"/>
          <w:lang w:eastAsia="zh-CN"/>
        </w:rPr>
        <w:tab/>
      </w:r>
      <w:r>
        <w:rPr>
          <w:rFonts w:ascii="仿宋" w:hAnsi="仿宋" w:eastAsia="仿宋" w:cs="仿宋"/>
          <w:sz w:val="24"/>
          <w:szCs w:val="24"/>
          <w:lang w:eastAsia="zh-CN"/>
        </w:rPr>
        <w:t>期：</w:t>
      </w:r>
      <w:r>
        <w:rPr>
          <w:rFonts w:ascii="仿宋" w:hAnsi="仿宋" w:eastAsia="仿宋" w:cs="Times New Roman"/>
          <w:sz w:val="24"/>
          <w:szCs w:val="24"/>
          <w:u w:val="single" w:color="000000"/>
          <w:lang w:eastAsia="zh-CN"/>
        </w:rPr>
        <w:tab/>
      </w:r>
      <w:r>
        <w:rPr>
          <w:rFonts w:ascii="仿宋" w:hAnsi="仿宋" w:eastAsia="仿宋" w:cs="仿宋"/>
          <w:sz w:val="24"/>
          <w:szCs w:val="24"/>
          <w:lang w:eastAsia="zh-CN"/>
        </w:rPr>
        <w:t>年</w:t>
      </w:r>
      <w:r>
        <w:rPr>
          <w:rFonts w:ascii="仿宋" w:hAnsi="仿宋" w:eastAsia="仿宋" w:cs="Times New Roman"/>
          <w:sz w:val="24"/>
          <w:szCs w:val="24"/>
          <w:u w:val="single" w:color="000000"/>
          <w:lang w:eastAsia="zh-CN"/>
        </w:rPr>
        <w:tab/>
      </w:r>
      <w:r>
        <w:rPr>
          <w:rFonts w:ascii="仿宋" w:hAnsi="仿宋" w:eastAsia="仿宋" w:cs="仿宋"/>
          <w:sz w:val="24"/>
          <w:szCs w:val="24"/>
          <w:lang w:eastAsia="zh-CN"/>
        </w:rPr>
        <w:t>月</w:t>
      </w:r>
      <w:r>
        <w:rPr>
          <w:rFonts w:ascii="仿宋" w:hAnsi="仿宋" w:eastAsia="仿宋" w:cs="Times New Roman"/>
          <w:sz w:val="24"/>
          <w:szCs w:val="24"/>
          <w:u w:val="single" w:color="000000"/>
          <w:lang w:eastAsia="zh-CN"/>
        </w:rPr>
        <w:tab/>
      </w:r>
      <w:r>
        <w:rPr>
          <w:rFonts w:ascii="仿宋" w:hAnsi="仿宋" w:eastAsia="仿宋" w:cs="仿宋"/>
          <w:sz w:val="24"/>
          <w:szCs w:val="24"/>
          <w:lang w:eastAsia="zh-CN"/>
        </w:rPr>
        <w:t>日</w:t>
      </w:r>
    </w:p>
    <w:p>
      <w:pPr>
        <w:spacing w:line="360" w:lineRule="auto"/>
        <w:jc w:val="both"/>
        <w:rPr>
          <w:rFonts w:ascii="仿宋" w:hAnsi="仿宋" w:eastAsia="仿宋" w:cs="仿宋"/>
          <w:sz w:val="24"/>
          <w:szCs w:val="24"/>
          <w:lang w:eastAsia="zh-CN"/>
        </w:rPr>
        <w:sectPr>
          <w:pgSz w:w="11910" w:h="16840"/>
          <w:pgMar w:top="1100" w:right="1440" w:bottom="1080" w:left="1220" w:header="880" w:footer="888" w:gutter="0"/>
          <w:pgBorders>
            <w:top w:val="none" w:sz="0" w:space="0"/>
            <w:left w:val="none" w:sz="0" w:space="0"/>
            <w:bottom w:val="none" w:sz="0" w:space="0"/>
            <w:right w:val="none" w:sz="0" w:space="0"/>
          </w:pgBorders>
          <w:pgNumType w:fmt="decimal"/>
          <w:cols w:space="720" w:num="1"/>
        </w:sectPr>
      </w:pPr>
    </w:p>
    <w:p>
      <w:pPr>
        <w:spacing w:line="360" w:lineRule="auto"/>
        <w:jc w:val="both"/>
        <w:rPr>
          <w:rFonts w:ascii="仿宋" w:hAnsi="仿宋" w:eastAsia="仿宋" w:cs="仿宋"/>
          <w:sz w:val="24"/>
          <w:szCs w:val="24"/>
          <w:lang w:eastAsia="zh-CN"/>
        </w:rPr>
      </w:pPr>
    </w:p>
    <w:p>
      <w:pPr>
        <w:pStyle w:val="7"/>
        <w:numPr>
          <w:ilvl w:val="0"/>
          <w:numId w:val="0"/>
        </w:numPr>
        <w:spacing w:before="360" w:after="360"/>
        <w:ind w:left="1008"/>
        <w:rPr>
          <w:rFonts w:cs="宋体"/>
          <w:b/>
          <w:bCs/>
          <w:lang w:eastAsia="zh-CN"/>
        </w:rPr>
      </w:pPr>
      <w:r>
        <w:rPr>
          <w:lang w:eastAsia="zh-CN"/>
        </w:rPr>
        <w:t>格式一企业声明函中小企业声明函</w:t>
      </w:r>
      <w:r>
        <w:rPr>
          <w:rFonts w:cs="宋体"/>
          <w:lang w:eastAsia="zh-CN"/>
        </w:rPr>
        <w:t>(</w:t>
      </w:r>
      <w:r>
        <w:rPr>
          <w:lang w:eastAsia="zh-CN"/>
        </w:rPr>
        <w:t>货物</w:t>
      </w:r>
      <w:r>
        <w:rPr>
          <w:rFonts w:cs="宋体"/>
          <w:lang w:eastAsia="zh-CN"/>
        </w:rPr>
        <w:t>)</w:t>
      </w:r>
    </w:p>
    <w:p>
      <w:pPr>
        <w:pStyle w:val="18"/>
        <w:spacing w:before="0" w:line="360" w:lineRule="auto"/>
        <w:ind w:left="0" w:firstLine="480" w:firstLineChars="200"/>
        <w:jc w:val="both"/>
        <w:rPr>
          <w:sz w:val="24"/>
          <w:szCs w:val="24"/>
          <w:lang w:eastAsia="zh-CN"/>
        </w:rPr>
      </w:pPr>
      <w:r>
        <w:rPr>
          <w:sz w:val="24"/>
          <w:szCs w:val="24"/>
          <w:lang w:eastAsia="zh-CN"/>
        </w:rPr>
        <w:t>本公司（联合体）郑重声明，根据《政府采购促进中小企业发展管理办法》（财库</w:t>
      </w:r>
      <w:r>
        <w:rPr>
          <w:rFonts w:cs="仿宋"/>
          <w:sz w:val="24"/>
          <w:szCs w:val="24"/>
          <w:lang w:eastAsia="zh-CN"/>
        </w:rPr>
        <w:t>[2020]46</w:t>
      </w:r>
      <w:r>
        <w:rPr>
          <w:sz w:val="24"/>
          <w:szCs w:val="24"/>
          <w:lang w:eastAsia="zh-CN"/>
        </w:rPr>
        <w:t>号）的规定，本公司（联合体）参加</w:t>
      </w:r>
      <w:r>
        <w:rPr>
          <w:sz w:val="24"/>
          <w:szCs w:val="24"/>
          <w:u w:val="single" w:color="000000"/>
          <w:lang w:eastAsia="zh-CN"/>
        </w:rPr>
        <w:t>（单位名称）</w:t>
      </w:r>
      <w:r>
        <w:rPr>
          <w:sz w:val="24"/>
          <w:szCs w:val="24"/>
          <w:lang w:eastAsia="zh-CN"/>
        </w:rPr>
        <w:t>的</w:t>
      </w:r>
      <w:r>
        <w:rPr>
          <w:sz w:val="24"/>
          <w:szCs w:val="24"/>
          <w:u w:val="single" w:color="000000"/>
          <w:lang w:eastAsia="zh-CN"/>
        </w:rPr>
        <w:t>（项目名称）</w:t>
      </w:r>
      <w:r>
        <w:rPr>
          <w:sz w:val="24"/>
          <w:szCs w:val="24"/>
          <w:lang w:eastAsia="zh-CN"/>
        </w:rPr>
        <w:t>采购活动，提供的货物全部由符合政策要求的中小企业制造。相关企业（含联合体中的中小企业、签订分包意向协议的中小企业）的具体情况如下：</w:t>
      </w:r>
    </w:p>
    <w:p>
      <w:pPr>
        <w:pStyle w:val="18"/>
        <w:spacing w:before="0" w:line="360" w:lineRule="auto"/>
        <w:ind w:left="0"/>
        <w:jc w:val="both"/>
        <w:rPr>
          <w:sz w:val="24"/>
          <w:szCs w:val="24"/>
          <w:lang w:eastAsia="zh-CN"/>
        </w:rPr>
      </w:pPr>
      <w:r>
        <w:rPr>
          <w:rFonts w:cs="仿宋"/>
          <w:spacing w:val="-10"/>
          <w:sz w:val="24"/>
          <w:szCs w:val="24"/>
          <w:lang w:eastAsia="zh-CN"/>
        </w:rPr>
        <w:t>1.</w:t>
      </w:r>
      <w:r>
        <w:rPr>
          <w:spacing w:val="-10"/>
          <w:sz w:val="24"/>
          <w:szCs w:val="24"/>
          <w:u w:val="single" w:color="000000"/>
          <w:lang w:eastAsia="zh-CN"/>
        </w:rPr>
        <w:t>（</w:t>
      </w:r>
      <w:r>
        <w:rPr>
          <w:spacing w:val="-10"/>
          <w:sz w:val="24"/>
          <w:szCs w:val="24"/>
          <w:u w:val="single"/>
          <w:lang w:eastAsia="zh-CN"/>
        </w:rPr>
        <w:t>标的</w:t>
      </w:r>
      <w:r>
        <w:rPr>
          <w:spacing w:val="-10"/>
          <w:sz w:val="24"/>
          <w:szCs w:val="24"/>
          <w:u w:val="single" w:color="000000"/>
          <w:lang w:eastAsia="zh-CN"/>
        </w:rPr>
        <w:t>名称）</w:t>
      </w:r>
      <w:r>
        <w:rPr>
          <w:spacing w:val="-10"/>
          <w:sz w:val="24"/>
          <w:szCs w:val="24"/>
          <w:lang w:eastAsia="zh-CN"/>
        </w:rPr>
        <w:t>，属于</w:t>
      </w:r>
      <w:r>
        <w:rPr>
          <w:spacing w:val="-10"/>
          <w:sz w:val="24"/>
          <w:szCs w:val="24"/>
          <w:u w:val="single" w:color="000000"/>
          <w:lang w:eastAsia="zh-CN"/>
        </w:rPr>
        <w:t>（</w:t>
      </w:r>
      <w:r>
        <w:rPr>
          <w:spacing w:val="-10"/>
          <w:sz w:val="24"/>
          <w:szCs w:val="24"/>
          <w:lang w:eastAsia="zh-CN"/>
        </w:rPr>
        <w:t>采购</w:t>
      </w:r>
      <w:r>
        <w:rPr>
          <w:spacing w:val="-10"/>
          <w:sz w:val="24"/>
          <w:szCs w:val="24"/>
          <w:u w:val="single" w:color="000000"/>
          <w:lang w:eastAsia="zh-CN"/>
        </w:rPr>
        <w:t>文件中明确的所属行业）</w:t>
      </w:r>
      <w:r>
        <w:rPr>
          <w:spacing w:val="-10"/>
          <w:sz w:val="24"/>
          <w:szCs w:val="24"/>
          <w:lang w:eastAsia="zh-CN"/>
        </w:rPr>
        <w:t>；制造商为</w:t>
      </w:r>
      <w:r>
        <w:rPr>
          <w:spacing w:val="-10"/>
          <w:sz w:val="24"/>
          <w:szCs w:val="24"/>
          <w:u w:val="single" w:color="000000"/>
          <w:lang w:eastAsia="zh-CN"/>
        </w:rPr>
        <w:t>（</w:t>
      </w:r>
      <w:r>
        <w:rPr>
          <w:spacing w:val="-10"/>
          <w:sz w:val="24"/>
          <w:szCs w:val="24"/>
          <w:u w:val="single"/>
          <w:lang w:eastAsia="zh-CN"/>
        </w:rPr>
        <w:t>企</w:t>
      </w:r>
      <w:r>
        <w:rPr>
          <w:sz w:val="24"/>
          <w:szCs w:val="24"/>
          <w:u w:val="single" w:color="000000"/>
          <w:lang w:eastAsia="zh-CN"/>
        </w:rPr>
        <w:t>业名称）</w:t>
      </w:r>
      <w:r>
        <w:rPr>
          <w:sz w:val="24"/>
          <w:szCs w:val="24"/>
          <w:lang w:eastAsia="zh-CN"/>
        </w:rPr>
        <w:t>，从业人员人，营业收入为万元，资产总额为万元，属于</w:t>
      </w:r>
      <w:r>
        <w:rPr>
          <w:sz w:val="24"/>
          <w:szCs w:val="24"/>
          <w:u w:val="single" w:color="000000"/>
          <w:lang w:eastAsia="zh-CN"/>
        </w:rPr>
        <w:t>（中型企业、小型企业、微型企业）</w:t>
      </w:r>
      <w:r>
        <w:rPr>
          <w:sz w:val="24"/>
          <w:szCs w:val="24"/>
          <w:lang w:eastAsia="zh-CN"/>
        </w:rPr>
        <w:t>；</w:t>
      </w:r>
    </w:p>
    <w:p>
      <w:pPr>
        <w:pStyle w:val="18"/>
        <w:spacing w:before="0" w:line="360" w:lineRule="auto"/>
        <w:ind w:left="0"/>
        <w:jc w:val="both"/>
        <w:rPr>
          <w:sz w:val="24"/>
          <w:szCs w:val="24"/>
          <w:lang w:eastAsia="zh-CN"/>
        </w:rPr>
      </w:pPr>
      <w:r>
        <w:rPr>
          <w:rFonts w:cs="仿宋"/>
          <w:sz w:val="24"/>
          <w:szCs w:val="24"/>
          <w:lang w:eastAsia="zh-CN"/>
        </w:rPr>
        <w:t>2.</w:t>
      </w:r>
      <w:r>
        <w:rPr>
          <w:spacing w:val="2"/>
          <w:sz w:val="24"/>
          <w:szCs w:val="24"/>
          <w:u w:val="single" w:color="000000"/>
          <w:lang w:eastAsia="zh-CN"/>
        </w:rPr>
        <w:t>（标的名称）</w:t>
      </w:r>
      <w:r>
        <w:rPr>
          <w:spacing w:val="2"/>
          <w:sz w:val="24"/>
          <w:szCs w:val="24"/>
          <w:lang w:eastAsia="zh-CN"/>
        </w:rPr>
        <w:t>，属于</w:t>
      </w:r>
      <w:r>
        <w:rPr>
          <w:spacing w:val="2"/>
          <w:sz w:val="24"/>
          <w:szCs w:val="24"/>
          <w:u w:val="single" w:color="000000"/>
          <w:lang w:eastAsia="zh-CN"/>
        </w:rPr>
        <w:t>（采购文件中明确的所属行业）</w:t>
      </w:r>
      <w:r>
        <w:rPr>
          <w:spacing w:val="2"/>
          <w:sz w:val="24"/>
          <w:szCs w:val="24"/>
          <w:lang w:eastAsia="zh-CN"/>
        </w:rPr>
        <w:t>；制造商为</w:t>
      </w:r>
      <w:r>
        <w:rPr>
          <w:spacing w:val="-1"/>
          <w:sz w:val="24"/>
          <w:szCs w:val="24"/>
          <w:u w:val="single" w:color="000000"/>
          <w:lang w:eastAsia="zh-CN"/>
        </w:rPr>
        <w:t>（企业名称）</w:t>
      </w:r>
      <w:r>
        <w:rPr>
          <w:spacing w:val="-1"/>
          <w:sz w:val="24"/>
          <w:szCs w:val="24"/>
          <w:lang w:eastAsia="zh-CN"/>
        </w:rPr>
        <w:t>，从业人员</w:t>
      </w:r>
      <w:r>
        <w:rPr>
          <w:rFonts w:cs="Times New Roman"/>
          <w:spacing w:val="-1"/>
          <w:sz w:val="24"/>
          <w:szCs w:val="24"/>
          <w:u w:val="single" w:color="000000"/>
          <w:lang w:eastAsia="zh-CN"/>
        </w:rPr>
        <w:tab/>
      </w:r>
      <w:r>
        <w:rPr>
          <w:spacing w:val="-2"/>
          <w:sz w:val="24"/>
          <w:szCs w:val="24"/>
          <w:lang w:eastAsia="zh-CN"/>
        </w:rPr>
        <w:t>人，营业收入为</w:t>
      </w:r>
      <w:r>
        <w:rPr>
          <w:rFonts w:cs="Times New Roman"/>
          <w:spacing w:val="-2"/>
          <w:sz w:val="24"/>
          <w:szCs w:val="24"/>
          <w:u w:val="single" w:color="000000"/>
          <w:lang w:eastAsia="zh-CN"/>
        </w:rPr>
        <w:tab/>
      </w:r>
      <w:r>
        <w:rPr>
          <w:spacing w:val="-1"/>
          <w:sz w:val="24"/>
          <w:szCs w:val="24"/>
          <w:lang w:eastAsia="zh-CN"/>
        </w:rPr>
        <w:t>万元，资产总额为</w:t>
      </w:r>
      <w:r>
        <w:rPr>
          <w:rFonts w:cs="Times New Roman"/>
          <w:spacing w:val="-1"/>
          <w:sz w:val="24"/>
          <w:szCs w:val="24"/>
          <w:u w:val="single" w:color="000000"/>
          <w:lang w:eastAsia="zh-CN"/>
        </w:rPr>
        <w:tab/>
      </w:r>
      <w:r>
        <w:rPr>
          <w:spacing w:val="-1"/>
          <w:sz w:val="24"/>
          <w:szCs w:val="24"/>
          <w:lang w:eastAsia="zh-CN"/>
        </w:rPr>
        <w:t>万元，</w:t>
      </w:r>
      <w:r>
        <w:rPr>
          <w:sz w:val="24"/>
          <w:szCs w:val="24"/>
          <w:lang w:eastAsia="zh-CN"/>
        </w:rPr>
        <w:t>属于</w:t>
      </w:r>
      <w:r>
        <w:rPr>
          <w:sz w:val="24"/>
          <w:szCs w:val="24"/>
          <w:u w:val="single" w:color="000000"/>
          <w:lang w:eastAsia="zh-CN"/>
        </w:rPr>
        <w:t>（中型企业、小型企业、微型企业）</w:t>
      </w:r>
      <w:r>
        <w:rPr>
          <w:sz w:val="24"/>
          <w:szCs w:val="24"/>
          <w:lang w:eastAsia="zh-CN"/>
        </w:rPr>
        <w:t>；</w:t>
      </w:r>
    </w:p>
    <w:p>
      <w:pPr>
        <w:pStyle w:val="18"/>
        <w:spacing w:before="0" w:line="360" w:lineRule="auto"/>
        <w:ind w:left="0"/>
        <w:jc w:val="both"/>
        <w:rPr>
          <w:sz w:val="24"/>
          <w:szCs w:val="24"/>
          <w:lang w:eastAsia="zh-CN"/>
        </w:rPr>
      </w:pPr>
      <w:r>
        <w:rPr>
          <w:sz w:val="24"/>
          <w:szCs w:val="24"/>
          <w:lang w:eastAsia="zh-CN"/>
        </w:rPr>
        <w:t>……</w:t>
      </w:r>
      <w:r>
        <w:rPr>
          <w:spacing w:val="-2"/>
          <w:sz w:val="24"/>
          <w:szCs w:val="24"/>
          <w:lang w:eastAsia="zh-CN"/>
        </w:rPr>
        <w:t>以上企业，不属于大企业的分支机构，不存在控股股东为大企业的情</w:t>
      </w:r>
      <w:r>
        <w:rPr>
          <w:sz w:val="24"/>
          <w:szCs w:val="24"/>
          <w:lang w:eastAsia="zh-CN"/>
        </w:rPr>
        <w:t>形，也不存在与大企业的负责人为同一人的情形。</w:t>
      </w:r>
      <w:r>
        <w:rPr>
          <w:spacing w:val="-2"/>
          <w:sz w:val="24"/>
          <w:szCs w:val="24"/>
          <w:lang w:eastAsia="zh-CN"/>
        </w:rPr>
        <w:t>本企业对上述声明内容的真实性负责。如有虚假，将依法承担相应责</w:t>
      </w:r>
      <w:r>
        <w:rPr>
          <w:sz w:val="24"/>
          <w:szCs w:val="24"/>
          <w:lang w:eastAsia="zh-CN"/>
        </w:rPr>
        <w:t>任。</w:t>
      </w:r>
    </w:p>
    <w:p>
      <w:pPr>
        <w:spacing w:line="360" w:lineRule="auto"/>
        <w:jc w:val="both"/>
        <w:rPr>
          <w:rFonts w:ascii="仿宋" w:hAnsi="仿宋" w:eastAsia="仿宋" w:cs="仿宋"/>
          <w:sz w:val="24"/>
          <w:szCs w:val="24"/>
          <w:lang w:eastAsia="zh-CN"/>
        </w:rPr>
      </w:pPr>
    </w:p>
    <w:p>
      <w:pPr>
        <w:pStyle w:val="18"/>
        <w:spacing w:before="0" w:line="360" w:lineRule="auto"/>
        <w:ind w:left="0"/>
        <w:jc w:val="both"/>
        <w:rPr>
          <w:spacing w:val="-1"/>
          <w:sz w:val="24"/>
          <w:szCs w:val="24"/>
          <w:lang w:eastAsia="zh-CN"/>
        </w:rPr>
      </w:pPr>
      <w:r>
        <w:rPr>
          <w:spacing w:val="-1"/>
          <w:sz w:val="24"/>
          <w:szCs w:val="24"/>
          <w:lang w:eastAsia="zh-CN"/>
        </w:rPr>
        <w:t>企业名称（盖章）：</w:t>
      </w:r>
    </w:p>
    <w:p>
      <w:pPr>
        <w:pStyle w:val="18"/>
        <w:spacing w:before="0" w:line="360" w:lineRule="auto"/>
        <w:ind w:left="0"/>
        <w:jc w:val="both"/>
        <w:rPr>
          <w:sz w:val="24"/>
          <w:szCs w:val="24"/>
          <w:lang w:eastAsia="zh-CN"/>
        </w:rPr>
      </w:pPr>
      <w:r>
        <w:rPr>
          <w:sz w:val="24"/>
          <w:szCs w:val="24"/>
          <w:lang w:eastAsia="zh-CN"/>
        </w:rPr>
        <w:t>日</w:t>
      </w:r>
      <w:r>
        <w:rPr>
          <w:rFonts w:hint="eastAsia"/>
          <w:sz w:val="24"/>
          <w:szCs w:val="24"/>
          <w:lang w:eastAsia="zh-CN"/>
        </w:rPr>
        <w:t xml:space="preserve"> </w:t>
      </w:r>
      <w:r>
        <w:rPr>
          <w:sz w:val="24"/>
          <w:szCs w:val="24"/>
          <w:lang w:eastAsia="zh-CN"/>
        </w:rPr>
        <w:t xml:space="preserve">           期：</w:t>
      </w:r>
    </w:p>
    <w:p>
      <w:pPr>
        <w:spacing w:line="360" w:lineRule="auto"/>
        <w:jc w:val="both"/>
        <w:rPr>
          <w:rFonts w:ascii="仿宋" w:hAnsi="仿宋" w:eastAsia="仿宋" w:cs="仿宋"/>
          <w:sz w:val="24"/>
          <w:szCs w:val="24"/>
          <w:lang w:eastAsia="zh-CN"/>
        </w:rPr>
      </w:pPr>
    </w:p>
    <w:p>
      <w:pPr>
        <w:spacing w:line="360" w:lineRule="auto"/>
        <w:jc w:val="both"/>
        <w:rPr>
          <w:rFonts w:ascii="仿宋" w:hAnsi="仿宋" w:eastAsia="仿宋" w:cs="宋体"/>
          <w:b/>
          <w:bCs/>
          <w:sz w:val="21"/>
          <w:szCs w:val="21"/>
          <w:lang w:eastAsia="zh-CN"/>
        </w:rPr>
      </w:pPr>
      <w:r>
        <w:rPr>
          <w:rFonts w:ascii="仿宋" w:hAnsi="仿宋" w:eastAsia="仿宋" w:cs="宋体"/>
          <w:b/>
          <w:bCs/>
          <w:sz w:val="21"/>
          <w:szCs w:val="21"/>
          <w:lang w:eastAsia="zh-CN"/>
        </w:rPr>
        <w:t>（备注：供应商如不提供此声明函，价格将不做相应扣除，供应商如不提供此声明函，价格将不</w:t>
      </w:r>
      <w:r>
        <w:rPr>
          <w:rFonts w:ascii="仿宋" w:hAnsi="仿宋" w:eastAsia="仿宋" w:cs="宋体"/>
          <w:b/>
          <w:bCs/>
          <w:spacing w:val="-4"/>
          <w:sz w:val="21"/>
          <w:szCs w:val="21"/>
          <w:lang w:eastAsia="zh-CN"/>
        </w:rPr>
        <w:t>做响应扣除。提供此声明函的企业，须按照《工业和信息化部、国家统计局、国家发展和改革委员会、财政部关于印发中小企业划型标准规定的通知》</w:t>
      </w:r>
      <w:r>
        <w:rPr>
          <w:rFonts w:ascii="仿宋" w:hAnsi="仿宋" w:eastAsia="仿宋" w:cs="Calibri"/>
          <w:b/>
          <w:bCs/>
          <w:spacing w:val="-4"/>
          <w:sz w:val="21"/>
          <w:szCs w:val="21"/>
          <w:lang w:eastAsia="zh-CN"/>
        </w:rPr>
        <w:t>(</w:t>
      </w:r>
      <w:r>
        <w:rPr>
          <w:rFonts w:ascii="仿宋" w:hAnsi="仿宋" w:eastAsia="仿宋" w:cs="宋体"/>
          <w:b/>
          <w:bCs/>
          <w:spacing w:val="-4"/>
          <w:sz w:val="21"/>
          <w:szCs w:val="21"/>
          <w:lang w:eastAsia="zh-CN"/>
        </w:rPr>
        <w:t>工信部联企业</w:t>
      </w:r>
      <w:r>
        <w:rPr>
          <w:rFonts w:ascii="仿宋" w:hAnsi="仿宋" w:eastAsia="仿宋" w:cs="Calibri"/>
          <w:b/>
          <w:bCs/>
          <w:spacing w:val="-4"/>
          <w:sz w:val="21"/>
          <w:szCs w:val="21"/>
          <w:lang w:eastAsia="zh-CN"/>
        </w:rPr>
        <w:t>[2011]300</w:t>
      </w:r>
      <w:r>
        <w:rPr>
          <w:rFonts w:ascii="仿宋" w:hAnsi="仿宋" w:eastAsia="仿宋" w:cs="宋体"/>
          <w:b/>
          <w:bCs/>
          <w:sz w:val="21"/>
          <w:szCs w:val="21"/>
          <w:lang w:eastAsia="zh-CN"/>
        </w:rPr>
        <w:t>号</w:t>
      </w:r>
      <w:r>
        <w:rPr>
          <w:rFonts w:ascii="仿宋" w:hAnsi="仿宋" w:eastAsia="仿宋" w:cs="Calibri"/>
          <w:b/>
          <w:bCs/>
          <w:sz w:val="21"/>
          <w:szCs w:val="21"/>
          <w:lang w:eastAsia="zh-CN"/>
        </w:rPr>
        <w:t>)</w:t>
      </w:r>
      <w:r>
        <w:rPr>
          <w:rFonts w:ascii="仿宋" w:hAnsi="仿宋" w:eastAsia="仿宋" w:cs="宋体"/>
          <w:b/>
          <w:bCs/>
          <w:sz w:val="21"/>
          <w:szCs w:val="21"/>
          <w:lang w:eastAsia="zh-CN"/>
        </w:rPr>
        <w:t>文中各行业划型标</w:t>
      </w:r>
      <w:r>
        <w:rPr>
          <w:rFonts w:ascii="仿宋" w:hAnsi="仿宋" w:eastAsia="仿宋" w:cs="宋体"/>
          <w:b/>
          <w:bCs/>
          <w:spacing w:val="-6"/>
          <w:sz w:val="21"/>
          <w:szCs w:val="21"/>
          <w:lang w:eastAsia="zh-CN"/>
        </w:rPr>
        <w:t>准提供相应的证明材料（截图）。残疾人福利单位参照《关于促进残疾人就业政府采购政策的通知》</w:t>
      </w:r>
      <w:r>
        <w:rPr>
          <w:rFonts w:ascii="仿宋" w:hAnsi="仿宋" w:eastAsia="仿宋" w:cs="宋体"/>
          <w:b/>
          <w:bCs/>
          <w:sz w:val="21"/>
          <w:szCs w:val="21"/>
          <w:lang w:eastAsia="zh-CN"/>
        </w:rPr>
        <w:t>（财库〔</w:t>
      </w:r>
      <w:r>
        <w:rPr>
          <w:rFonts w:ascii="仿宋" w:hAnsi="仿宋" w:eastAsia="仿宋" w:cs="Calibri"/>
          <w:b/>
          <w:bCs/>
          <w:sz w:val="21"/>
          <w:szCs w:val="21"/>
          <w:lang w:eastAsia="zh-CN"/>
        </w:rPr>
        <w:t>2017</w:t>
      </w:r>
      <w:r>
        <w:rPr>
          <w:rFonts w:ascii="仿宋" w:hAnsi="仿宋" w:eastAsia="仿宋" w:cs="宋体"/>
          <w:b/>
          <w:bCs/>
          <w:sz w:val="21"/>
          <w:szCs w:val="21"/>
          <w:lang w:eastAsia="zh-CN"/>
        </w:rPr>
        <w:t>〕</w:t>
      </w:r>
      <w:r>
        <w:rPr>
          <w:rFonts w:ascii="仿宋" w:hAnsi="仿宋" w:eastAsia="仿宋" w:cs="Calibri"/>
          <w:b/>
          <w:bCs/>
          <w:sz w:val="21"/>
          <w:szCs w:val="21"/>
          <w:lang w:eastAsia="zh-CN"/>
        </w:rPr>
        <w:t>141</w:t>
      </w:r>
      <w:r>
        <w:rPr>
          <w:rFonts w:ascii="仿宋" w:hAnsi="仿宋" w:eastAsia="仿宋" w:cs="宋体"/>
          <w:b/>
          <w:bCs/>
          <w:sz w:val="21"/>
          <w:szCs w:val="21"/>
          <w:lang w:eastAsia="zh-CN"/>
        </w:rPr>
        <w:t>号）提招标文件</w:t>
      </w:r>
      <w:r>
        <w:rPr>
          <w:rFonts w:hint="eastAsia" w:ascii="仿宋" w:hAnsi="仿宋" w:eastAsia="仿宋" w:cs="宋体"/>
          <w:b/>
          <w:bCs/>
          <w:sz w:val="21"/>
          <w:szCs w:val="21"/>
          <w:lang w:eastAsia="zh-CN"/>
        </w:rPr>
        <w:t>玛纳斯县政务服务和公共资源交易管理中心</w:t>
      </w:r>
      <w:r>
        <w:rPr>
          <w:rFonts w:hint="eastAsia" w:ascii="仿宋" w:hAnsi="仿宋" w:eastAsia="仿宋" w:cs="Calibri"/>
          <w:b/>
          <w:bCs/>
          <w:sz w:val="21"/>
          <w:szCs w:val="21"/>
          <w:lang w:eastAsia="zh-CN"/>
        </w:rPr>
        <w:t>提</w:t>
      </w:r>
      <w:r>
        <w:rPr>
          <w:rFonts w:ascii="仿宋" w:hAnsi="仿宋" w:eastAsia="仿宋" w:cs="宋体"/>
          <w:b/>
          <w:bCs/>
          <w:sz w:val="21"/>
          <w:szCs w:val="21"/>
          <w:lang w:eastAsia="zh-CN"/>
        </w:rPr>
        <w:t>供相应的证明材料（截图），监狱企</w:t>
      </w:r>
      <w:r>
        <w:rPr>
          <w:rFonts w:ascii="仿宋" w:hAnsi="仿宋" w:eastAsia="仿宋" w:cs="宋体"/>
          <w:b/>
          <w:bCs/>
          <w:spacing w:val="-3"/>
          <w:sz w:val="21"/>
          <w:szCs w:val="21"/>
          <w:lang w:eastAsia="zh-CN"/>
        </w:rPr>
        <w:t>业参照《关于政府采购支持监狱企业发展有关问题的通知》（财库</w:t>
      </w:r>
      <w:r>
        <w:rPr>
          <w:rFonts w:ascii="仿宋" w:hAnsi="仿宋" w:eastAsia="仿宋" w:cs="Calibri"/>
          <w:b/>
          <w:bCs/>
          <w:spacing w:val="-3"/>
          <w:sz w:val="21"/>
          <w:szCs w:val="21"/>
          <w:lang w:eastAsia="zh-CN"/>
        </w:rPr>
        <w:t>[2014]68</w:t>
      </w:r>
      <w:r>
        <w:rPr>
          <w:rFonts w:ascii="仿宋" w:hAnsi="仿宋" w:eastAsia="仿宋" w:cs="宋体"/>
          <w:b/>
          <w:bCs/>
          <w:spacing w:val="-3"/>
          <w:sz w:val="21"/>
          <w:szCs w:val="21"/>
          <w:lang w:eastAsia="zh-CN"/>
        </w:rPr>
        <w:t>号）提供相应的证明材</w:t>
      </w:r>
      <w:r>
        <w:rPr>
          <w:rFonts w:ascii="仿宋" w:hAnsi="仿宋" w:eastAsia="仿宋" w:cs="宋体"/>
          <w:b/>
          <w:bCs/>
          <w:sz w:val="21"/>
          <w:szCs w:val="21"/>
          <w:lang w:eastAsia="zh-CN"/>
        </w:rPr>
        <w:t>料。（截图））</w:t>
      </w:r>
    </w:p>
    <w:p>
      <w:pPr>
        <w:spacing w:line="360" w:lineRule="auto"/>
        <w:jc w:val="both"/>
        <w:rPr>
          <w:rFonts w:ascii="仿宋" w:hAnsi="仿宋" w:eastAsia="仿宋" w:cs="宋体"/>
          <w:sz w:val="24"/>
          <w:szCs w:val="24"/>
          <w:lang w:eastAsia="zh-CN"/>
        </w:rPr>
        <w:sectPr>
          <w:pgSz w:w="11910" w:h="16840"/>
          <w:pgMar w:top="1100" w:right="1360" w:bottom="1080" w:left="1220" w:header="880" w:footer="888" w:gutter="0"/>
          <w:pgBorders>
            <w:top w:val="none" w:sz="0" w:space="0"/>
            <w:left w:val="none" w:sz="0" w:space="0"/>
            <w:bottom w:val="none" w:sz="0" w:space="0"/>
            <w:right w:val="none" w:sz="0" w:space="0"/>
          </w:pgBorders>
          <w:pgNumType w:fmt="decimal"/>
          <w:cols w:space="720" w:num="1"/>
        </w:sectPr>
      </w:pPr>
    </w:p>
    <w:p>
      <w:pPr>
        <w:spacing w:line="360" w:lineRule="auto"/>
        <w:jc w:val="both"/>
        <w:rPr>
          <w:rFonts w:ascii="仿宋" w:hAnsi="仿宋" w:eastAsia="仿宋" w:cs="宋体"/>
          <w:sz w:val="24"/>
          <w:szCs w:val="24"/>
          <w:lang w:eastAsia="zh-CN"/>
        </w:rPr>
      </w:pPr>
    </w:p>
    <w:p>
      <w:pPr>
        <w:pStyle w:val="7"/>
        <w:numPr>
          <w:ilvl w:val="0"/>
          <w:numId w:val="0"/>
        </w:numPr>
        <w:spacing w:before="360" w:after="360"/>
        <w:ind w:left="1008" w:hanging="1008"/>
        <w:rPr>
          <w:rFonts w:cs="宋体"/>
          <w:b/>
          <w:bCs/>
          <w:lang w:eastAsia="zh-CN"/>
        </w:rPr>
      </w:pPr>
      <w:r>
        <w:rPr>
          <w:lang w:eastAsia="zh-CN"/>
        </w:rPr>
        <w:t>中小企业声明函</w:t>
      </w:r>
      <w:r>
        <w:rPr>
          <w:rFonts w:cs="宋体"/>
          <w:lang w:eastAsia="zh-CN"/>
        </w:rPr>
        <w:t>(</w:t>
      </w:r>
      <w:r>
        <w:rPr>
          <w:lang w:eastAsia="zh-CN"/>
        </w:rPr>
        <w:t>工程、服务</w:t>
      </w:r>
      <w:r>
        <w:rPr>
          <w:rFonts w:cs="宋体"/>
          <w:lang w:eastAsia="zh-CN"/>
        </w:rPr>
        <w:t>)</w:t>
      </w:r>
    </w:p>
    <w:p>
      <w:pPr>
        <w:spacing w:line="360" w:lineRule="auto"/>
        <w:jc w:val="both"/>
        <w:rPr>
          <w:rFonts w:ascii="仿宋" w:hAnsi="仿宋" w:eastAsia="仿宋" w:cs="宋体"/>
          <w:b/>
          <w:bCs/>
          <w:sz w:val="24"/>
          <w:szCs w:val="24"/>
          <w:lang w:eastAsia="zh-CN"/>
        </w:rPr>
      </w:pPr>
    </w:p>
    <w:p>
      <w:pPr>
        <w:pStyle w:val="18"/>
        <w:spacing w:before="0" w:line="360" w:lineRule="auto"/>
        <w:ind w:left="0" w:firstLine="480" w:firstLineChars="200"/>
        <w:jc w:val="both"/>
        <w:rPr>
          <w:sz w:val="24"/>
          <w:szCs w:val="24"/>
          <w:lang w:eastAsia="zh-CN"/>
        </w:rPr>
      </w:pPr>
      <w:r>
        <w:rPr>
          <w:sz w:val="24"/>
          <w:szCs w:val="24"/>
          <w:lang w:eastAsia="zh-CN"/>
        </w:rPr>
        <w:t>本公司（联合体）郑重声明，根据《政府采购促进中小企业发展管理办法》（财库</w:t>
      </w:r>
      <w:r>
        <w:rPr>
          <w:rFonts w:cs="仿宋"/>
          <w:sz w:val="24"/>
          <w:szCs w:val="24"/>
          <w:lang w:eastAsia="zh-CN"/>
        </w:rPr>
        <w:t>[2020]46</w:t>
      </w:r>
      <w:r>
        <w:rPr>
          <w:sz w:val="24"/>
          <w:szCs w:val="24"/>
          <w:lang w:eastAsia="zh-CN"/>
        </w:rPr>
        <w:t>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pStyle w:val="18"/>
        <w:tabs>
          <w:tab w:val="left" w:pos="2256"/>
          <w:tab w:val="left" w:pos="8821"/>
        </w:tabs>
        <w:spacing w:before="0" w:line="360" w:lineRule="auto"/>
        <w:ind w:left="0"/>
        <w:jc w:val="both"/>
        <w:rPr>
          <w:sz w:val="24"/>
          <w:szCs w:val="24"/>
          <w:lang w:eastAsia="zh-CN"/>
        </w:rPr>
      </w:pPr>
      <w:r>
        <w:rPr>
          <w:rFonts w:cs="仿宋"/>
          <w:spacing w:val="-6"/>
          <w:sz w:val="24"/>
          <w:szCs w:val="24"/>
          <w:lang w:eastAsia="zh-CN"/>
        </w:rPr>
        <w:t>1.</w:t>
      </w:r>
      <w:r>
        <w:rPr>
          <w:spacing w:val="-6"/>
          <w:sz w:val="24"/>
          <w:szCs w:val="24"/>
          <w:lang w:eastAsia="zh-CN"/>
        </w:rPr>
        <w:t>（标的名称），属于（采购文件中明确的所属行业）；承建（承接）</w:t>
      </w:r>
      <w:r>
        <w:rPr>
          <w:spacing w:val="-14"/>
          <w:sz w:val="24"/>
          <w:szCs w:val="24"/>
          <w:lang w:eastAsia="zh-CN"/>
        </w:rPr>
        <w:t>企业为（企业名称），从业人员</w:t>
      </w:r>
      <w:r>
        <w:rPr>
          <w:spacing w:val="-14"/>
          <w:sz w:val="24"/>
          <w:szCs w:val="24"/>
          <w:u w:val="single"/>
          <w:lang w:eastAsia="zh-CN"/>
        </w:rPr>
        <w:tab/>
      </w:r>
      <w:r>
        <w:rPr>
          <w:spacing w:val="-10"/>
          <w:sz w:val="24"/>
          <w:szCs w:val="24"/>
          <w:lang w:eastAsia="zh-CN"/>
        </w:rPr>
        <w:t>人，营业收入为</w:t>
      </w:r>
      <w:r>
        <w:rPr>
          <w:spacing w:val="-10"/>
          <w:sz w:val="24"/>
          <w:szCs w:val="24"/>
          <w:u w:val="single"/>
          <w:lang w:eastAsia="zh-CN"/>
        </w:rPr>
        <w:t xml:space="preserve">     </w:t>
      </w:r>
      <w:r>
        <w:rPr>
          <w:spacing w:val="-9"/>
          <w:sz w:val="24"/>
          <w:szCs w:val="24"/>
          <w:lang w:eastAsia="zh-CN"/>
        </w:rPr>
        <w:t>万元，资产总额为</w:t>
      </w:r>
      <w:r>
        <w:rPr>
          <w:spacing w:val="-9"/>
          <w:sz w:val="24"/>
          <w:szCs w:val="24"/>
          <w:u w:val="single"/>
          <w:lang w:eastAsia="zh-CN"/>
        </w:rPr>
        <w:t xml:space="preserve">      </w:t>
      </w:r>
      <w:r>
        <w:rPr>
          <w:sz w:val="24"/>
          <w:szCs w:val="24"/>
          <w:lang w:eastAsia="zh-CN"/>
        </w:rPr>
        <w:t>万元，属于（中型企业、小型企业、微型企业）；</w:t>
      </w:r>
    </w:p>
    <w:p>
      <w:pPr>
        <w:pStyle w:val="18"/>
        <w:spacing w:before="0" w:line="360" w:lineRule="auto"/>
        <w:ind w:left="0"/>
        <w:jc w:val="both"/>
        <w:rPr>
          <w:sz w:val="24"/>
          <w:szCs w:val="24"/>
          <w:lang w:eastAsia="zh-CN"/>
        </w:rPr>
      </w:pPr>
      <w:r>
        <w:rPr>
          <w:rFonts w:cs="仿宋"/>
          <w:sz w:val="24"/>
          <w:szCs w:val="24"/>
          <w:lang w:eastAsia="zh-CN"/>
        </w:rPr>
        <w:t>2.</w:t>
      </w:r>
      <w:r>
        <w:rPr>
          <w:spacing w:val="2"/>
          <w:sz w:val="24"/>
          <w:szCs w:val="24"/>
          <w:lang w:eastAsia="zh-CN"/>
        </w:rPr>
        <w:t>（标的名称），属于（采购文件中明确的所属行业）；承建（承</w:t>
      </w:r>
      <w:r>
        <w:rPr>
          <w:sz w:val="24"/>
          <w:szCs w:val="24"/>
          <w:lang w:eastAsia="zh-CN"/>
        </w:rPr>
        <w:t>接）企业为（企业名称），从业人员人，营业收入为万元，资产总额为万元，属于（中型企业、小型企业、微型企业）；</w:t>
      </w:r>
    </w:p>
    <w:p>
      <w:pPr>
        <w:pStyle w:val="18"/>
        <w:spacing w:before="0" w:line="360" w:lineRule="auto"/>
        <w:ind w:left="0"/>
        <w:jc w:val="both"/>
        <w:rPr>
          <w:sz w:val="24"/>
          <w:szCs w:val="24"/>
          <w:lang w:eastAsia="zh-CN"/>
        </w:rPr>
      </w:pPr>
      <w:r>
        <w:rPr>
          <w:sz w:val="24"/>
          <w:szCs w:val="24"/>
          <w:lang w:eastAsia="zh-CN"/>
        </w:rPr>
        <w:t>……</w:t>
      </w:r>
      <w:r>
        <w:rPr>
          <w:spacing w:val="-2"/>
          <w:sz w:val="24"/>
          <w:szCs w:val="24"/>
          <w:lang w:eastAsia="zh-CN"/>
        </w:rPr>
        <w:t>以上企业，不属于大企业的分支机构，不存在控股股东为大企业的情</w:t>
      </w:r>
      <w:r>
        <w:rPr>
          <w:sz w:val="24"/>
          <w:szCs w:val="24"/>
          <w:lang w:eastAsia="zh-CN"/>
        </w:rPr>
        <w:t>形，也不存在与大企业的负责人为同一人的情形。</w:t>
      </w:r>
      <w:r>
        <w:rPr>
          <w:spacing w:val="-2"/>
          <w:sz w:val="24"/>
          <w:szCs w:val="24"/>
          <w:lang w:eastAsia="zh-CN"/>
        </w:rPr>
        <w:t>本企业对上述声明内容的真实性负责。如有虚假，将依法承担相应责</w:t>
      </w:r>
      <w:r>
        <w:rPr>
          <w:sz w:val="24"/>
          <w:szCs w:val="24"/>
          <w:lang w:eastAsia="zh-CN"/>
        </w:rPr>
        <w:t>任。</w:t>
      </w:r>
    </w:p>
    <w:p>
      <w:pPr>
        <w:spacing w:line="360" w:lineRule="auto"/>
        <w:jc w:val="both"/>
        <w:rPr>
          <w:rFonts w:ascii="仿宋" w:hAnsi="仿宋" w:eastAsia="仿宋" w:cs="仿宋"/>
          <w:sz w:val="24"/>
          <w:szCs w:val="24"/>
          <w:lang w:eastAsia="zh-CN"/>
        </w:rPr>
      </w:pPr>
    </w:p>
    <w:p>
      <w:pPr>
        <w:pStyle w:val="18"/>
        <w:spacing w:before="0" w:line="360" w:lineRule="auto"/>
        <w:ind w:left="0"/>
        <w:jc w:val="both"/>
        <w:rPr>
          <w:spacing w:val="-1"/>
          <w:sz w:val="24"/>
          <w:szCs w:val="24"/>
          <w:lang w:eastAsia="zh-CN"/>
        </w:rPr>
      </w:pPr>
      <w:r>
        <w:rPr>
          <w:spacing w:val="-1"/>
          <w:sz w:val="24"/>
          <w:szCs w:val="24"/>
          <w:lang w:eastAsia="zh-CN"/>
        </w:rPr>
        <w:t>企业名称（盖章）：</w:t>
      </w:r>
    </w:p>
    <w:p>
      <w:pPr>
        <w:pStyle w:val="18"/>
        <w:spacing w:before="0" w:line="360" w:lineRule="auto"/>
        <w:ind w:left="0"/>
        <w:jc w:val="both"/>
        <w:rPr>
          <w:sz w:val="24"/>
          <w:szCs w:val="24"/>
          <w:lang w:eastAsia="zh-CN"/>
        </w:rPr>
      </w:pPr>
      <w:r>
        <w:rPr>
          <w:sz w:val="24"/>
          <w:szCs w:val="24"/>
          <w:lang w:eastAsia="zh-CN"/>
        </w:rPr>
        <w:t>日</w:t>
      </w:r>
      <w:r>
        <w:rPr>
          <w:rFonts w:hint="eastAsia"/>
          <w:sz w:val="24"/>
          <w:szCs w:val="24"/>
          <w:lang w:eastAsia="zh-CN"/>
        </w:rPr>
        <w:t xml:space="preserve"> </w:t>
      </w:r>
      <w:r>
        <w:rPr>
          <w:sz w:val="24"/>
          <w:szCs w:val="24"/>
          <w:lang w:eastAsia="zh-CN"/>
        </w:rPr>
        <w:t xml:space="preserve">           期：</w:t>
      </w:r>
    </w:p>
    <w:p>
      <w:pPr>
        <w:spacing w:line="360" w:lineRule="auto"/>
        <w:jc w:val="both"/>
        <w:rPr>
          <w:rFonts w:ascii="仿宋" w:hAnsi="仿宋" w:eastAsia="仿宋" w:cs="仿宋"/>
          <w:sz w:val="24"/>
          <w:szCs w:val="24"/>
          <w:lang w:eastAsia="zh-CN"/>
        </w:rPr>
      </w:pPr>
    </w:p>
    <w:p>
      <w:pPr>
        <w:spacing w:line="360" w:lineRule="auto"/>
        <w:jc w:val="both"/>
        <w:rPr>
          <w:rFonts w:ascii="仿宋" w:hAnsi="仿宋" w:eastAsia="仿宋" w:cs="宋体"/>
          <w:b/>
          <w:bCs/>
          <w:sz w:val="21"/>
          <w:szCs w:val="21"/>
          <w:lang w:eastAsia="zh-CN"/>
        </w:rPr>
      </w:pPr>
      <w:r>
        <w:rPr>
          <w:rFonts w:ascii="仿宋" w:hAnsi="仿宋" w:eastAsia="仿宋" w:cs="宋体"/>
          <w:b/>
          <w:bCs/>
          <w:spacing w:val="-4"/>
          <w:sz w:val="21"/>
          <w:szCs w:val="21"/>
          <w:lang w:eastAsia="zh-CN"/>
        </w:rPr>
        <w:t>（备注：供应商如不提供此声明函，价格将不做相应扣除，供应商如不提供此声明函，价格将不做</w:t>
      </w:r>
      <w:r>
        <w:rPr>
          <w:rFonts w:ascii="仿宋" w:hAnsi="仿宋" w:eastAsia="仿宋" w:cs="宋体"/>
          <w:b/>
          <w:bCs/>
          <w:spacing w:val="-6"/>
          <w:sz w:val="21"/>
          <w:szCs w:val="21"/>
          <w:lang w:eastAsia="zh-CN"/>
        </w:rPr>
        <w:t>响应扣除。提供此声明函的企业，须按照《工业和信息化部、国家统计局、国家发展和改革委员会、</w:t>
      </w:r>
      <w:r>
        <w:rPr>
          <w:rFonts w:ascii="仿宋" w:hAnsi="仿宋" w:eastAsia="仿宋" w:cs="宋体"/>
          <w:b/>
          <w:bCs/>
          <w:spacing w:val="-4"/>
          <w:sz w:val="21"/>
          <w:szCs w:val="21"/>
          <w:lang w:eastAsia="zh-CN"/>
        </w:rPr>
        <w:t>财政部关于印发中小企业划型标准规定的通知》</w:t>
      </w:r>
      <w:r>
        <w:rPr>
          <w:rFonts w:ascii="仿宋" w:hAnsi="仿宋" w:eastAsia="仿宋" w:cs="Calibri"/>
          <w:b/>
          <w:bCs/>
          <w:spacing w:val="-4"/>
          <w:sz w:val="21"/>
          <w:szCs w:val="21"/>
          <w:lang w:eastAsia="zh-CN"/>
        </w:rPr>
        <w:t>(</w:t>
      </w:r>
      <w:r>
        <w:rPr>
          <w:rFonts w:ascii="仿宋" w:hAnsi="仿宋" w:eastAsia="仿宋" w:cs="宋体"/>
          <w:b/>
          <w:bCs/>
          <w:spacing w:val="-4"/>
          <w:sz w:val="21"/>
          <w:szCs w:val="21"/>
          <w:lang w:eastAsia="zh-CN"/>
        </w:rPr>
        <w:t>工信部联企业</w:t>
      </w:r>
      <w:r>
        <w:rPr>
          <w:rFonts w:ascii="仿宋" w:hAnsi="仿宋" w:eastAsia="仿宋" w:cs="Calibri"/>
          <w:b/>
          <w:bCs/>
          <w:spacing w:val="-4"/>
          <w:sz w:val="21"/>
          <w:szCs w:val="21"/>
          <w:lang w:eastAsia="zh-CN"/>
        </w:rPr>
        <w:t>[2011]300</w:t>
      </w:r>
      <w:r>
        <w:rPr>
          <w:rFonts w:ascii="仿宋" w:hAnsi="仿宋" w:eastAsia="仿宋" w:cs="宋体"/>
          <w:b/>
          <w:bCs/>
          <w:sz w:val="21"/>
          <w:szCs w:val="21"/>
          <w:lang w:eastAsia="zh-CN"/>
        </w:rPr>
        <w:t>号</w:t>
      </w:r>
      <w:r>
        <w:rPr>
          <w:rFonts w:ascii="仿宋" w:hAnsi="仿宋" w:eastAsia="仿宋" w:cs="Calibri"/>
          <w:b/>
          <w:bCs/>
          <w:sz w:val="21"/>
          <w:szCs w:val="21"/>
          <w:lang w:eastAsia="zh-CN"/>
        </w:rPr>
        <w:t>)</w:t>
      </w:r>
      <w:r>
        <w:rPr>
          <w:rFonts w:ascii="仿宋" w:hAnsi="仿宋" w:eastAsia="仿宋" w:cs="宋体"/>
          <w:b/>
          <w:bCs/>
          <w:sz w:val="21"/>
          <w:szCs w:val="21"/>
          <w:lang w:eastAsia="zh-CN"/>
        </w:rPr>
        <w:t>文中各行业划型标准提</w:t>
      </w:r>
      <w:r>
        <w:rPr>
          <w:rFonts w:ascii="仿宋" w:hAnsi="仿宋" w:eastAsia="仿宋" w:cs="宋体"/>
          <w:b/>
          <w:bCs/>
          <w:spacing w:val="-8"/>
          <w:sz w:val="21"/>
          <w:szCs w:val="21"/>
          <w:lang w:eastAsia="zh-CN"/>
        </w:rPr>
        <w:t>供相应的证明材料（截图）。残疾人福利单位参照《关于促进残疾人就业政府采购政策的通知》（财</w:t>
      </w:r>
      <w:r>
        <w:rPr>
          <w:rFonts w:ascii="仿宋" w:hAnsi="仿宋" w:eastAsia="仿宋" w:cs="宋体"/>
          <w:b/>
          <w:bCs/>
          <w:sz w:val="21"/>
          <w:szCs w:val="21"/>
          <w:lang w:eastAsia="zh-CN"/>
        </w:rPr>
        <w:t>库〔</w:t>
      </w:r>
      <w:r>
        <w:rPr>
          <w:rFonts w:ascii="仿宋" w:hAnsi="仿宋" w:eastAsia="仿宋" w:cs="Calibri"/>
          <w:b/>
          <w:bCs/>
          <w:sz w:val="21"/>
          <w:szCs w:val="21"/>
          <w:lang w:eastAsia="zh-CN"/>
        </w:rPr>
        <w:t>2017</w:t>
      </w:r>
      <w:r>
        <w:rPr>
          <w:rFonts w:ascii="仿宋" w:hAnsi="仿宋" w:eastAsia="仿宋" w:cs="宋体"/>
          <w:b/>
          <w:bCs/>
          <w:sz w:val="21"/>
          <w:szCs w:val="21"/>
          <w:lang w:eastAsia="zh-CN"/>
        </w:rPr>
        <w:t>〕</w:t>
      </w:r>
      <w:r>
        <w:rPr>
          <w:rFonts w:ascii="仿宋" w:hAnsi="仿宋" w:eastAsia="仿宋" w:cs="Calibri"/>
          <w:b/>
          <w:bCs/>
          <w:sz w:val="21"/>
          <w:szCs w:val="21"/>
          <w:lang w:eastAsia="zh-CN"/>
        </w:rPr>
        <w:t>141</w:t>
      </w:r>
      <w:r>
        <w:rPr>
          <w:rFonts w:ascii="仿宋" w:hAnsi="仿宋" w:eastAsia="仿宋" w:cs="宋体"/>
          <w:b/>
          <w:bCs/>
          <w:sz w:val="21"/>
          <w:szCs w:val="21"/>
          <w:lang w:eastAsia="zh-CN"/>
        </w:rPr>
        <w:t>号）提招标文件</w:t>
      </w:r>
      <w:r>
        <w:rPr>
          <w:rFonts w:hint="eastAsia" w:ascii="仿宋" w:hAnsi="仿宋" w:eastAsia="仿宋" w:cs="仿宋"/>
          <w:w w:val="95"/>
          <w:sz w:val="24"/>
          <w:szCs w:val="24"/>
          <w:lang w:eastAsia="zh-CN"/>
        </w:rPr>
        <w:t>玛纳斯县政务服务和公共资源交易管理中心提供</w:t>
      </w:r>
      <w:r>
        <w:rPr>
          <w:rFonts w:ascii="仿宋" w:hAnsi="仿宋" w:eastAsia="仿宋" w:cs="宋体"/>
          <w:b/>
          <w:bCs/>
          <w:sz w:val="21"/>
          <w:szCs w:val="21"/>
          <w:lang w:eastAsia="zh-CN"/>
        </w:rPr>
        <w:t>相应的证明材料（截图），监狱企</w:t>
      </w:r>
      <w:r>
        <w:rPr>
          <w:rFonts w:ascii="仿宋" w:hAnsi="仿宋" w:eastAsia="仿宋" w:cs="宋体"/>
          <w:b/>
          <w:bCs/>
          <w:spacing w:val="-3"/>
          <w:sz w:val="21"/>
          <w:szCs w:val="21"/>
          <w:lang w:eastAsia="zh-CN"/>
        </w:rPr>
        <w:t>业参照《关于政府采购支持监狱企业发展有关问题的通知》（财库</w:t>
      </w:r>
      <w:r>
        <w:rPr>
          <w:rFonts w:ascii="仿宋" w:hAnsi="仿宋" w:eastAsia="仿宋" w:cs="Calibri"/>
          <w:b/>
          <w:bCs/>
          <w:spacing w:val="-3"/>
          <w:sz w:val="21"/>
          <w:szCs w:val="21"/>
          <w:lang w:eastAsia="zh-CN"/>
        </w:rPr>
        <w:t>[2014]68</w:t>
      </w:r>
      <w:r>
        <w:rPr>
          <w:rFonts w:ascii="仿宋" w:hAnsi="仿宋" w:eastAsia="仿宋" w:cs="宋体"/>
          <w:b/>
          <w:bCs/>
          <w:spacing w:val="-3"/>
          <w:sz w:val="21"/>
          <w:szCs w:val="21"/>
          <w:lang w:eastAsia="zh-CN"/>
        </w:rPr>
        <w:t>号）提供相应的证明材</w:t>
      </w:r>
      <w:r>
        <w:rPr>
          <w:rFonts w:ascii="仿宋" w:hAnsi="仿宋" w:eastAsia="仿宋" w:cs="宋体"/>
          <w:b/>
          <w:bCs/>
          <w:sz w:val="21"/>
          <w:szCs w:val="21"/>
          <w:lang w:eastAsia="zh-CN"/>
        </w:rPr>
        <w:t>料。（截图））</w:t>
      </w:r>
    </w:p>
    <w:p>
      <w:pPr>
        <w:spacing w:line="360" w:lineRule="auto"/>
        <w:jc w:val="both"/>
        <w:rPr>
          <w:rFonts w:ascii="仿宋" w:hAnsi="仿宋" w:eastAsia="仿宋" w:cs="宋体"/>
          <w:sz w:val="24"/>
          <w:szCs w:val="24"/>
          <w:lang w:eastAsia="zh-CN"/>
        </w:rPr>
        <w:sectPr>
          <w:footerReference r:id="rId13" w:type="default"/>
          <w:pgSz w:w="11910" w:h="16840"/>
          <w:pgMar w:top="1100" w:right="1340" w:bottom="1080" w:left="1220" w:header="880" w:footer="888" w:gutter="0"/>
          <w:pgBorders>
            <w:top w:val="none" w:sz="0" w:space="0"/>
            <w:left w:val="none" w:sz="0" w:space="0"/>
            <w:bottom w:val="none" w:sz="0" w:space="0"/>
            <w:right w:val="none" w:sz="0" w:space="0"/>
          </w:pgBorders>
          <w:pgNumType w:fmt="decimal"/>
          <w:cols w:space="720" w:num="1"/>
        </w:sectPr>
      </w:pPr>
    </w:p>
    <w:p>
      <w:pPr>
        <w:pStyle w:val="7"/>
        <w:numPr>
          <w:ilvl w:val="0"/>
          <w:numId w:val="0"/>
        </w:numPr>
        <w:spacing w:before="360" w:after="360"/>
        <w:ind w:left="1008" w:hanging="1008"/>
        <w:rPr>
          <w:lang w:eastAsia="zh-CN"/>
        </w:rPr>
      </w:pPr>
      <w:r>
        <w:rPr>
          <w:lang w:eastAsia="zh-CN"/>
        </w:rPr>
        <w:t>格式二残疾人福利性单位声明函</w:t>
      </w:r>
    </w:p>
    <w:p>
      <w:pPr>
        <w:spacing w:line="360" w:lineRule="auto"/>
        <w:jc w:val="both"/>
        <w:rPr>
          <w:rFonts w:ascii="仿宋" w:hAnsi="仿宋" w:eastAsia="仿宋" w:cs="仿宋"/>
          <w:b/>
          <w:bCs/>
          <w:sz w:val="24"/>
          <w:szCs w:val="24"/>
          <w:lang w:eastAsia="zh-CN"/>
        </w:rPr>
      </w:pPr>
    </w:p>
    <w:p>
      <w:pPr>
        <w:spacing w:line="360" w:lineRule="auto"/>
        <w:jc w:val="both"/>
        <w:rPr>
          <w:rFonts w:ascii="仿宋" w:hAnsi="仿宋" w:eastAsia="仿宋" w:cs="仿宋"/>
          <w:b/>
          <w:bCs/>
          <w:sz w:val="24"/>
          <w:szCs w:val="24"/>
          <w:lang w:eastAsia="zh-CN"/>
        </w:rPr>
      </w:pPr>
    </w:p>
    <w:p>
      <w:pPr>
        <w:tabs>
          <w:tab w:val="left" w:pos="3698"/>
          <w:tab w:val="left" w:pos="6818"/>
          <w:tab w:val="left" w:pos="7899"/>
        </w:tabs>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本单位郑重声明，根据《财政部民政部中国残疾人联合会关于促进残疾人就业政府采购政策的通知》（财库〔2017〕141号）的规定，本单位为符合条件的残疾人</w:t>
      </w:r>
      <w:r>
        <w:rPr>
          <w:rFonts w:ascii="仿宋" w:hAnsi="仿宋" w:eastAsia="仿宋" w:cs="仿宋"/>
          <w:spacing w:val="-4"/>
          <w:sz w:val="24"/>
          <w:szCs w:val="24"/>
          <w:lang w:eastAsia="zh-CN"/>
        </w:rPr>
        <w:t>福利性单位，且本单位参加</w:t>
      </w:r>
      <w:r>
        <w:rPr>
          <w:rFonts w:ascii="仿宋" w:hAnsi="仿宋" w:eastAsia="仿宋" w:cs="Times New Roman"/>
          <w:spacing w:val="-4"/>
          <w:sz w:val="24"/>
          <w:szCs w:val="24"/>
          <w:u w:val="single" w:color="000000"/>
          <w:lang w:eastAsia="zh-CN"/>
        </w:rPr>
        <w:tab/>
      </w:r>
      <w:r>
        <w:rPr>
          <w:rFonts w:ascii="仿宋" w:hAnsi="仿宋" w:eastAsia="仿宋" w:cs="仿宋"/>
          <w:sz w:val="24"/>
          <w:szCs w:val="24"/>
          <w:lang w:eastAsia="zh-CN"/>
        </w:rPr>
        <w:t>单位的采购文件编号为</w:t>
      </w:r>
      <w:r>
        <w:rPr>
          <w:rFonts w:ascii="仿宋" w:hAnsi="仿宋" w:eastAsia="仿宋" w:cs="Times New Roman"/>
          <w:sz w:val="24"/>
          <w:szCs w:val="24"/>
          <w:u w:val="single" w:color="000000"/>
          <w:lang w:eastAsia="zh-CN"/>
        </w:rPr>
        <w:tab/>
      </w:r>
      <w:r>
        <w:rPr>
          <w:rFonts w:ascii="仿宋" w:hAnsi="仿宋" w:eastAsia="仿宋" w:cs="仿宋"/>
          <w:sz w:val="24"/>
          <w:szCs w:val="24"/>
          <w:lang w:eastAsia="zh-CN"/>
        </w:rPr>
        <w:t>的</w:t>
      </w:r>
      <w:r>
        <w:rPr>
          <w:rFonts w:ascii="仿宋" w:hAnsi="仿宋" w:eastAsia="仿宋" w:cs="Times New Roman"/>
          <w:sz w:val="24"/>
          <w:szCs w:val="24"/>
          <w:u w:val="single" w:color="000000"/>
          <w:lang w:eastAsia="zh-CN"/>
        </w:rPr>
        <w:tab/>
      </w:r>
      <w:r>
        <w:rPr>
          <w:rFonts w:ascii="仿宋" w:hAnsi="仿宋" w:eastAsia="仿宋" w:cs="仿宋"/>
          <w:sz w:val="24"/>
          <w:szCs w:val="24"/>
          <w:lang w:eastAsia="zh-CN"/>
        </w:rPr>
        <w:t>项目采购活</w:t>
      </w:r>
    </w:p>
    <w:p>
      <w:pPr>
        <w:spacing w:line="360" w:lineRule="auto"/>
        <w:jc w:val="both"/>
        <w:rPr>
          <w:rFonts w:ascii="仿宋" w:hAnsi="仿宋" w:eastAsia="仿宋" w:cs="仿宋"/>
          <w:sz w:val="24"/>
          <w:szCs w:val="24"/>
          <w:lang w:eastAsia="zh-CN"/>
        </w:rPr>
      </w:pPr>
      <w:r>
        <w:rPr>
          <w:rFonts w:ascii="仿宋" w:hAnsi="仿宋" w:eastAsia="仿宋" w:cs="仿宋"/>
          <w:spacing w:val="-2"/>
          <w:sz w:val="24"/>
          <w:szCs w:val="24"/>
          <w:lang w:eastAsia="zh-CN"/>
        </w:rPr>
        <w:t>动提供本单位制造的服务或产品（由本单位承担工程/提供服务），或者提供其他残疾</w:t>
      </w:r>
      <w:r>
        <w:rPr>
          <w:rFonts w:ascii="仿宋" w:hAnsi="仿宋" w:eastAsia="仿宋" w:cs="仿宋"/>
          <w:sz w:val="24"/>
          <w:szCs w:val="24"/>
          <w:lang w:eastAsia="zh-CN"/>
        </w:rPr>
        <w:t>人福利性单位制造的服务或产品（不包括使用非残疾人福利性单位注册商标的服务或产品）。</w:t>
      </w:r>
    </w:p>
    <w:p>
      <w:pPr>
        <w:tabs>
          <w:tab w:val="left" w:pos="1345"/>
          <w:tab w:val="left" w:pos="3146"/>
        </w:tabs>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本单位在本次政府采购活动中提供的残疾人福利单位产品报价合计为人民币（大写）</w:t>
      </w:r>
      <w:r>
        <w:rPr>
          <w:rFonts w:ascii="仿宋" w:hAnsi="仿宋" w:eastAsia="仿宋" w:cs="Times New Roman"/>
          <w:sz w:val="24"/>
          <w:szCs w:val="24"/>
          <w:u w:val="single" w:color="000000"/>
          <w:lang w:eastAsia="zh-CN"/>
        </w:rPr>
        <w:tab/>
      </w:r>
      <w:r>
        <w:rPr>
          <w:rFonts w:ascii="仿宋" w:hAnsi="仿宋" w:eastAsia="仿宋" w:cs="仿宋"/>
          <w:sz w:val="24"/>
          <w:szCs w:val="24"/>
          <w:lang w:eastAsia="zh-CN"/>
        </w:rPr>
        <w:t>圆整（￥：</w:t>
      </w:r>
      <w:r>
        <w:rPr>
          <w:rFonts w:ascii="仿宋" w:hAnsi="仿宋" w:eastAsia="仿宋" w:cs="仿宋"/>
          <w:sz w:val="24"/>
          <w:szCs w:val="24"/>
          <w:lang w:eastAsia="zh-CN"/>
        </w:rPr>
        <w:tab/>
      </w:r>
      <w:r>
        <w:rPr>
          <w:rFonts w:ascii="仿宋" w:hAnsi="仿宋" w:eastAsia="仿宋" w:cs="仿宋"/>
          <w:sz w:val="24"/>
          <w:szCs w:val="24"/>
          <w:lang w:eastAsia="zh-CN"/>
        </w:rPr>
        <w:t>）。</w:t>
      </w:r>
    </w:p>
    <w:p>
      <w:pPr>
        <w:spacing w:line="360" w:lineRule="auto"/>
        <w:jc w:val="both"/>
        <w:rPr>
          <w:rFonts w:ascii="仿宋" w:hAnsi="仿宋" w:eastAsia="仿宋" w:cs="仿宋"/>
          <w:sz w:val="24"/>
          <w:szCs w:val="24"/>
          <w:lang w:eastAsia="zh-CN"/>
        </w:rPr>
      </w:pP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本单位对上述声明的真实性负责。如有虚假，将依法承担相应责任。</w:t>
      </w:r>
    </w:p>
    <w:p>
      <w:pPr>
        <w:spacing w:line="360" w:lineRule="auto"/>
        <w:jc w:val="both"/>
        <w:rPr>
          <w:rFonts w:ascii="仿宋" w:hAnsi="仿宋" w:eastAsia="仿宋" w:cs="仿宋"/>
          <w:sz w:val="24"/>
          <w:szCs w:val="24"/>
          <w:lang w:eastAsia="zh-CN"/>
        </w:rPr>
      </w:pPr>
    </w:p>
    <w:p>
      <w:pPr>
        <w:spacing w:line="360" w:lineRule="auto"/>
        <w:jc w:val="both"/>
        <w:rPr>
          <w:rFonts w:ascii="仿宋" w:hAnsi="仿宋" w:eastAsia="仿宋" w:cs="仿宋"/>
          <w:sz w:val="24"/>
          <w:szCs w:val="24"/>
          <w:lang w:eastAsia="zh-CN"/>
        </w:rPr>
      </w:pPr>
    </w:p>
    <w:p>
      <w:pPr>
        <w:spacing w:line="360" w:lineRule="auto"/>
        <w:jc w:val="both"/>
        <w:rPr>
          <w:rFonts w:ascii="仿宋" w:hAnsi="仿宋" w:eastAsia="仿宋" w:cs="仿宋"/>
          <w:sz w:val="24"/>
          <w:szCs w:val="24"/>
          <w:lang w:eastAsia="zh-CN"/>
        </w:rPr>
      </w:pP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（备注：1、供应商如不提供此声明函，价格将不做相应扣除。2、中标供应商为残疾人福利单位的，此声明函将随中标结果同时公告，接受社会监督）</w:t>
      </w:r>
    </w:p>
    <w:p>
      <w:pPr>
        <w:spacing w:line="360" w:lineRule="auto"/>
        <w:jc w:val="both"/>
        <w:rPr>
          <w:rFonts w:ascii="仿宋" w:hAnsi="仿宋" w:eastAsia="仿宋" w:cs="仿宋"/>
          <w:sz w:val="24"/>
          <w:szCs w:val="24"/>
          <w:lang w:eastAsia="zh-CN"/>
        </w:rPr>
      </w:pPr>
    </w:p>
    <w:p>
      <w:pPr>
        <w:spacing w:line="360" w:lineRule="auto"/>
        <w:jc w:val="both"/>
        <w:rPr>
          <w:rFonts w:ascii="仿宋" w:hAnsi="仿宋" w:eastAsia="仿宋" w:cs="仿宋"/>
          <w:sz w:val="24"/>
          <w:szCs w:val="24"/>
          <w:lang w:eastAsia="zh-CN"/>
        </w:rPr>
      </w:pPr>
    </w:p>
    <w:p>
      <w:pPr>
        <w:spacing w:line="360" w:lineRule="auto"/>
        <w:jc w:val="both"/>
        <w:rPr>
          <w:rFonts w:ascii="仿宋" w:hAnsi="仿宋" w:eastAsia="仿宋" w:cs="仿宋"/>
          <w:sz w:val="24"/>
          <w:szCs w:val="24"/>
          <w:lang w:eastAsia="zh-CN"/>
        </w:rPr>
      </w:pPr>
    </w:p>
    <w:p>
      <w:pPr>
        <w:tabs>
          <w:tab w:val="left" w:pos="5882"/>
        </w:tabs>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供应商全称（盖电子章）：日</w:t>
      </w:r>
      <w:r>
        <w:rPr>
          <w:rFonts w:ascii="仿宋" w:hAnsi="仿宋" w:eastAsia="仿宋" w:cs="仿宋"/>
          <w:sz w:val="24"/>
          <w:szCs w:val="24"/>
          <w:lang w:eastAsia="zh-CN"/>
        </w:rPr>
        <w:tab/>
      </w:r>
      <w:r>
        <w:rPr>
          <w:rFonts w:ascii="仿宋" w:hAnsi="仿宋" w:eastAsia="仿宋" w:cs="仿宋"/>
          <w:sz w:val="24"/>
          <w:szCs w:val="24"/>
          <w:lang w:eastAsia="zh-CN"/>
        </w:rPr>
        <w:t>期：</w:t>
      </w:r>
    </w:p>
    <w:p>
      <w:pPr>
        <w:spacing w:line="360" w:lineRule="auto"/>
        <w:jc w:val="both"/>
        <w:rPr>
          <w:rFonts w:ascii="仿宋" w:hAnsi="仿宋" w:eastAsia="仿宋" w:cs="仿宋"/>
          <w:sz w:val="24"/>
          <w:szCs w:val="24"/>
          <w:lang w:eastAsia="zh-CN"/>
        </w:rPr>
        <w:sectPr>
          <w:footerReference r:id="rId14" w:type="default"/>
          <w:pgSz w:w="11910" w:h="16840"/>
          <w:pgMar w:top="1100" w:right="1440" w:bottom="1080" w:left="1220" w:header="880" w:footer="888" w:gutter="0"/>
          <w:pgBorders>
            <w:top w:val="none" w:sz="0" w:space="0"/>
            <w:left w:val="none" w:sz="0" w:space="0"/>
            <w:bottom w:val="none" w:sz="0" w:space="0"/>
            <w:right w:val="none" w:sz="0" w:space="0"/>
          </w:pgBorders>
          <w:pgNumType w:fmt="decimal"/>
          <w:cols w:space="720" w:num="1"/>
        </w:sectPr>
      </w:pPr>
    </w:p>
    <w:p>
      <w:pPr>
        <w:pStyle w:val="6"/>
        <w:numPr>
          <w:ilvl w:val="0"/>
          <w:numId w:val="0"/>
        </w:numPr>
        <w:spacing w:before="360" w:after="360"/>
        <w:ind w:left="864" w:hanging="864"/>
        <w:rPr>
          <w:lang w:eastAsia="zh-CN"/>
        </w:rPr>
      </w:pPr>
      <w:bookmarkStart w:id="122" w:name="三、投标产品配置及分项报价表"/>
      <w:bookmarkEnd w:id="122"/>
      <w:r>
        <w:rPr>
          <w:lang w:eastAsia="zh-CN"/>
        </w:rPr>
        <w:t>三、投标产品配置及分项报价表</w:t>
      </w:r>
    </w:p>
    <w:p>
      <w:pPr>
        <w:spacing w:line="360" w:lineRule="auto"/>
        <w:jc w:val="both"/>
        <w:rPr>
          <w:rFonts w:ascii="仿宋" w:hAnsi="仿宋" w:eastAsia="仿宋" w:cs="仿宋"/>
          <w:b/>
          <w:bCs/>
          <w:sz w:val="24"/>
          <w:szCs w:val="24"/>
          <w:lang w:eastAsia="zh-CN"/>
        </w:rPr>
      </w:pPr>
    </w:p>
    <w:tbl>
      <w:tblPr>
        <w:tblStyle w:val="49"/>
        <w:tblW w:w="9588" w:type="dxa"/>
        <w:tblInd w:w="103" w:type="dxa"/>
        <w:tblLayout w:type="fixed"/>
        <w:tblCellMar>
          <w:top w:w="0" w:type="dxa"/>
          <w:left w:w="0" w:type="dxa"/>
          <w:bottom w:w="0" w:type="dxa"/>
          <w:right w:w="0" w:type="dxa"/>
        </w:tblCellMar>
      </w:tblPr>
      <w:tblGrid>
        <w:gridCol w:w="2994"/>
        <w:gridCol w:w="2369"/>
        <w:gridCol w:w="1442"/>
        <w:gridCol w:w="2783"/>
      </w:tblGrid>
      <w:tr>
        <w:tblPrEx>
          <w:tblCellMar>
            <w:top w:w="0" w:type="dxa"/>
            <w:left w:w="0" w:type="dxa"/>
            <w:bottom w:w="0" w:type="dxa"/>
            <w:right w:w="0" w:type="dxa"/>
          </w:tblCellMar>
        </w:tblPrEx>
        <w:trPr>
          <w:trHeight w:val="590" w:hRule="exact"/>
        </w:trPr>
        <w:tc>
          <w:tcPr>
            <w:tcW w:w="2994" w:type="dxa"/>
            <w:tcBorders>
              <w:top w:val="single" w:color="000000" w:sz="4" w:space="0"/>
              <w:left w:val="single" w:color="000000" w:sz="4" w:space="0"/>
              <w:bottom w:val="single" w:color="000000" w:sz="4" w:space="0"/>
              <w:right w:val="single" w:color="000000" w:sz="4" w:space="0"/>
            </w:tcBorders>
          </w:tcPr>
          <w:p>
            <w:pPr>
              <w:pStyle w:val="51"/>
              <w:spacing w:line="360" w:lineRule="auto"/>
              <w:jc w:val="center"/>
              <w:rPr>
                <w:rFonts w:ascii="仿宋" w:hAnsi="仿宋" w:eastAsia="仿宋" w:cs="仿宋"/>
                <w:sz w:val="24"/>
                <w:szCs w:val="24"/>
              </w:rPr>
            </w:pPr>
            <w:r>
              <w:rPr>
                <w:rFonts w:ascii="仿宋" w:hAnsi="仿宋" w:eastAsia="仿宋"/>
                <w:sz w:val="24"/>
                <w:szCs w:val="24"/>
              </w:rPr>
              <w:t>1</w:t>
            </w:r>
          </w:p>
        </w:tc>
        <w:tc>
          <w:tcPr>
            <w:tcW w:w="2369" w:type="dxa"/>
            <w:tcBorders>
              <w:top w:val="single" w:color="000000" w:sz="4" w:space="0"/>
              <w:left w:val="single" w:color="000000" w:sz="4" w:space="0"/>
              <w:bottom w:val="single" w:color="000000" w:sz="4" w:space="0"/>
              <w:right w:val="single" w:color="000000" w:sz="4" w:space="0"/>
            </w:tcBorders>
          </w:tcPr>
          <w:p>
            <w:pPr>
              <w:pStyle w:val="51"/>
              <w:spacing w:line="360" w:lineRule="auto"/>
              <w:jc w:val="center"/>
              <w:rPr>
                <w:rFonts w:ascii="仿宋" w:hAnsi="仿宋" w:eastAsia="仿宋" w:cs="仿宋"/>
                <w:sz w:val="24"/>
                <w:szCs w:val="24"/>
              </w:rPr>
            </w:pPr>
            <w:r>
              <w:rPr>
                <w:rFonts w:ascii="仿宋" w:hAnsi="仿宋" w:eastAsia="仿宋"/>
                <w:sz w:val="24"/>
                <w:szCs w:val="24"/>
              </w:rPr>
              <w:t>2</w:t>
            </w:r>
          </w:p>
        </w:tc>
        <w:tc>
          <w:tcPr>
            <w:tcW w:w="1442" w:type="dxa"/>
            <w:tcBorders>
              <w:top w:val="single" w:color="000000" w:sz="4" w:space="0"/>
              <w:left w:val="single" w:color="000000" w:sz="4" w:space="0"/>
              <w:bottom w:val="single" w:color="000000" w:sz="4" w:space="0"/>
              <w:right w:val="single" w:color="000000" w:sz="4" w:space="0"/>
            </w:tcBorders>
          </w:tcPr>
          <w:p>
            <w:pPr>
              <w:pStyle w:val="51"/>
              <w:spacing w:line="360" w:lineRule="auto"/>
              <w:jc w:val="center"/>
              <w:rPr>
                <w:rFonts w:ascii="仿宋" w:hAnsi="仿宋" w:eastAsia="仿宋" w:cs="仿宋"/>
                <w:sz w:val="24"/>
                <w:szCs w:val="24"/>
              </w:rPr>
            </w:pPr>
            <w:r>
              <w:rPr>
                <w:rFonts w:ascii="仿宋" w:hAnsi="仿宋" w:eastAsia="仿宋"/>
                <w:sz w:val="24"/>
                <w:szCs w:val="24"/>
              </w:rPr>
              <w:t>3</w:t>
            </w:r>
          </w:p>
        </w:tc>
        <w:tc>
          <w:tcPr>
            <w:tcW w:w="2783" w:type="dxa"/>
            <w:tcBorders>
              <w:top w:val="single" w:color="000000" w:sz="4" w:space="0"/>
              <w:left w:val="single" w:color="000000" w:sz="4" w:space="0"/>
              <w:bottom w:val="single" w:color="000000" w:sz="4" w:space="0"/>
              <w:right w:val="single" w:color="000000" w:sz="4" w:space="0"/>
            </w:tcBorders>
          </w:tcPr>
          <w:p>
            <w:pPr>
              <w:pStyle w:val="51"/>
              <w:spacing w:line="360" w:lineRule="auto"/>
              <w:jc w:val="center"/>
              <w:rPr>
                <w:rFonts w:ascii="仿宋" w:hAnsi="仿宋" w:eastAsia="仿宋" w:cs="仿宋"/>
                <w:sz w:val="24"/>
                <w:szCs w:val="24"/>
              </w:rPr>
            </w:pPr>
            <w:r>
              <w:rPr>
                <w:rFonts w:ascii="仿宋" w:hAnsi="仿宋" w:eastAsia="仿宋"/>
                <w:sz w:val="24"/>
                <w:szCs w:val="24"/>
              </w:rPr>
              <w:t>4</w:t>
            </w:r>
          </w:p>
        </w:tc>
      </w:tr>
      <w:tr>
        <w:tblPrEx>
          <w:tblCellMar>
            <w:top w:w="0" w:type="dxa"/>
            <w:left w:w="0" w:type="dxa"/>
            <w:bottom w:w="0" w:type="dxa"/>
            <w:right w:w="0" w:type="dxa"/>
          </w:tblCellMar>
        </w:tblPrEx>
        <w:trPr>
          <w:trHeight w:val="590" w:hRule="exact"/>
        </w:trPr>
        <w:tc>
          <w:tcPr>
            <w:tcW w:w="2994" w:type="dxa"/>
            <w:tcBorders>
              <w:top w:val="single" w:color="000000" w:sz="4" w:space="0"/>
              <w:left w:val="single" w:color="000000" w:sz="4" w:space="0"/>
              <w:bottom w:val="single" w:color="000000" w:sz="4" w:space="0"/>
              <w:right w:val="single" w:color="000000" w:sz="4" w:space="0"/>
            </w:tcBorders>
          </w:tcPr>
          <w:p>
            <w:pPr>
              <w:pStyle w:val="51"/>
              <w:spacing w:line="360" w:lineRule="auto"/>
              <w:jc w:val="center"/>
              <w:rPr>
                <w:rFonts w:ascii="仿宋" w:hAnsi="仿宋" w:eastAsia="仿宋" w:cs="仿宋"/>
                <w:sz w:val="24"/>
                <w:szCs w:val="24"/>
                <w:lang w:eastAsia="zh-CN"/>
              </w:rPr>
            </w:pPr>
            <w:r>
              <w:rPr>
                <w:rFonts w:ascii="仿宋" w:hAnsi="仿宋" w:eastAsia="仿宋" w:cs="仿宋"/>
                <w:sz w:val="24"/>
                <w:szCs w:val="24"/>
                <w:lang w:eastAsia="zh-CN"/>
              </w:rPr>
              <w:t>产品名称及规格、型号</w:t>
            </w:r>
          </w:p>
        </w:tc>
        <w:tc>
          <w:tcPr>
            <w:tcW w:w="2369" w:type="dxa"/>
            <w:tcBorders>
              <w:top w:val="single" w:color="000000" w:sz="4" w:space="0"/>
              <w:left w:val="single" w:color="000000" w:sz="4" w:space="0"/>
              <w:bottom w:val="single" w:color="000000" w:sz="4" w:space="0"/>
              <w:right w:val="single" w:color="000000" w:sz="4" w:space="0"/>
            </w:tcBorders>
          </w:tcPr>
          <w:p>
            <w:pPr>
              <w:pStyle w:val="51"/>
              <w:spacing w:line="360" w:lineRule="auto"/>
              <w:jc w:val="center"/>
              <w:rPr>
                <w:rFonts w:ascii="仿宋" w:hAnsi="仿宋" w:eastAsia="仿宋" w:cs="仿宋"/>
                <w:sz w:val="24"/>
                <w:szCs w:val="24"/>
              </w:rPr>
            </w:pPr>
            <w:r>
              <w:rPr>
                <w:rFonts w:ascii="仿宋" w:hAnsi="仿宋" w:eastAsia="仿宋" w:cs="仿宋"/>
                <w:sz w:val="24"/>
                <w:szCs w:val="24"/>
              </w:rPr>
              <w:t>数量</w:t>
            </w:r>
          </w:p>
        </w:tc>
        <w:tc>
          <w:tcPr>
            <w:tcW w:w="1442" w:type="dxa"/>
            <w:tcBorders>
              <w:top w:val="single" w:color="000000" w:sz="4" w:space="0"/>
              <w:left w:val="single" w:color="000000" w:sz="4" w:space="0"/>
              <w:bottom w:val="single" w:color="000000" w:sz="4" w:space="0"/>
              <w:right w:val="single" w:color="000000" w:sz="4" w:space="0"/>
            </w:tcBorders>
          </w:tcPr>
          <w:p>
            <w:pPr>
              <w:pStyle w:val="51"/>
              <w:spacing w:line="360" w:lineRule="auto"/>
              <w:jc w:val="center"/>
              <w:rPr>
                <w:rFonts w:ascii="仿宋" w:hAnsi="仿宋" w:eastAsia="仿宋" w:cs="仿宋"/>
                <w:sz w:val="24"/>
                <w:szCs w:val="24"/>
              </w:rPr>
            </w:pPr>
            <w:r>
              <w:rPr>
                <w:rFonts w:ascii="仿宋" w:hAnsi="仿宋" w:eastAsia="仿宋" w:cs="仿宋"/>
                <w:sz w:val="24"/>
                <w:szCs w:val="24"/>
              </w:rPr>
              <w:t>单价</w:t>
            </w:r>
          </w:p>
        </w:tc>
        <w:tc>
          <w:tcPr>
            <w:tcW w:w="2783" w:type="dxa"/>
            <w:tcBorders>
              <w:top w:val="single" w:color="000000" w:sz="4" w:space="0"/>
              <w:left w:val="single" w:color="000000" w:sz="4" w:space="0"/>
              <w:bottom w:val="single" w:color="000000" w:sz="4" w:space="0"/>
              <w:right w:val="single" w:color="000000" w:sz="4" w:space="0"/>
            </w:tcBorders>
          </w:tcPr>
          <w:p>
            <w:pPr>
              <w:pStyle w:val="51"/>
              <w:spacing w:line="360" w:lineRule="auto"/>
              <w:jc w:val="center"/>
              <w:rPr>
                <w:rFonts w:ascii="仿宋" w:hAnsi="仿宋" w:eastAsia="仿宋" w:cs="仿宋"/>
                <w:sz w:val="24"/>
                <w:szCs w:val="24"/>
              </w:rPr>
            </w:pPr>
            <w:r>
              <w:rPr>
                <w:rFonts w:ascii="仿宋" w:hAnsi="仿宋" w:eastAsia="仿宋" w:cs="仿宋"/>
                <w:sz w:val="24"/>
                <w:szCs w:val="24"/>
              </w:rPr>
              <w:t>总价</w:t>
            </w:r>
          </w:p>
        </w:tc>
      </w:tr>
      <w:tr>
        <w:tblPrEx>
          <w:tblCellMar>
            <w:top w:w="0" w:type="dxa"/>
            <w:left w:w="0" w:type="dxa"/>
            <w:bottom w:w="0" w:type="dxa"/>
            <w:right w:w="0" w:type="dxa"/>
          </w:tblCellMar>
        </w:tblPrEx>
        <w:trPr>
          <w:trHeight w:val="989" w:hRule="exact"/>
        </w:trPr>
        <w:tc>
          <w:tcPr>
            <w:tcW w:w="2994"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rPr>
            </w:pPr>
          </w:p>
        </w:tc>
        <w:tc>
          <w:tcPr>
            <w:tcW w:w="236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rPr>
            </w:pPr>
          </w:p>
        </w:tc>
        <w:tc>
          <w:tcPr>
            <w:tcW w:w="1442"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rPr>
            </w:pPr>
          </w:p>
        </w:tc>
        <w:tc>
          <w:tcPr>
            <w:tcW w:w="2783"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rPr>
            </w:pPr>
          </w:p>
        </w:tc>
      </w:tr>
      <w:tr>
        <w:tblPrEx>
          <w:tblCellMar>
            <w:top w:w="0" w:type="dxa"/>
            <w:left w:w="0" w:type="dxa"/>
            <w:bottom w:w="0" w:type="dxa"/>
            <w:right w:w="0" w:type="dxa"/>
          </w:tblCellMar>
        </w:tblPrEx>
        <w:trPr>
          <w:trHeight w:val="992" w:hRule="exact"/>
        </w:trPr>
        <w:tc>
          <w:tcPr>
            <w:tcW w:w="2994"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rPr>
            </w:pPr>
          </w:p>
        </w:tc>
        <w:tc>
          <w:tcPr>
            <w:tcW w:w="236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rPr>
            </w:pPr>
          </w:p>
        </w:tc>
        <w:tc>
          <w:tcPr>
            <w:tcW w:w="1442"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rPr>
            </w:pPr>
          </w:p>
        </w:tc>
        <w:tc>
          <w:tcPr>
            <w:tcW w:w="2783"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rPr>
            </w:pPr>
          </w:p>
        </w:tc>
      </w:tr>
      <w:tr>
        <w:tblPrEx>
          <w:tblCellMar>
            <w:top w:w="0" w:type="dxa"/>
            <w:left w:w="0" w:type="dxa"/>
            <w:bottom w:w="0" w:type="dxa"/>
            <w:right w:w="0" w:type="dxa"/>
          </w:tblCellMar>
        </w:tblPrEx>
        <w:trPr>
          <w:trHeight w:val="989" w:hRule="exact"/>
        </w:trPr>
        <w:tc>
          <w:tcPr>
            <w:tcW w:w="2994"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rPr>
            </w:pPr>
          </w:p>
        </w:tc>
        <w:tc>
          <w:tcPr>
            <w:tcW w:w="236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rPr>
            </w:pPr>
          </w:p>
        </w:tc>
        <w:tc>
          <w:tcPr>
            <w:tcW w:w="1442"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rPr>
            </w:pPr>
          </w:p>
        </w:tc>
        <w:tc>
          <w:tcPr>
            <w:tcW w:w="2783"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rPr>
            </w:pPr>
          </w:p>
        </w:tc>
      </w:tr>
      <w:tr>
        <w:tblPrEx>
          <w:tblCellMar>
            <w:top w:w="0" w:type="dxa"/>
            <w:left w:w="0" w:type="dxa"/>
            <w:bottom w:w="0" w:type="dxa"/>
            <w:right w:w="0" w:type="dxa"/>
          </w:tblCellMar>
        </w:tblPrEx>
        <w:trPr>
          <w:trHeight w:val="626" w:hRule="exact"/>
        </w:trPr>
        <w:tc>
          <w:tcPr>
            <w:tcW w:w="2994"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rPr>
            </w:pPr>
          </w:p>
        </w:tc>
        <w:tc>
          <w:tcPr>
            <w:tcW w:w="236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rPr>
            </w:pPr>
          </w:p>
        </w:tc>
        <w:tc>
          <w:tcPr>
            <w:tcW w:w="1442"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rPr>
            </w:pPr>
          </w:p>
        </w:tc>
        <w:tc>
          <w:tcPr>
            <w:tcW w:w="2783"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rPr>
            </w:pPr>
          </w:p>
        </w:tc>
      </w:tr>
      <w:tr>
        <w:tblPrEx>
          <w:tblCellMar>
            <w:top w:w="0" w:type="dxa"/>
            <w:left w:w="0" w:type="dxa"/>
            <w:bottom w:w="0" w:type="dxa"/>
            <w:right w:w="0" w:type="dxa"/>
          </w:tblCellMar>
        </w:tblPrEx>
        <w:trPr>
          <w:trHeight w:val="1102" w:hRule="exact"/>
        </w:trPr>
        <w:tc>
          <w:tcPr>
            <w:tcW w:w="2994" w:type="dxa"/>
            <w:tcBorders>
              <w:top w:val="single" w:color="000000" w:sz="4" w:space="0"/>
              <w:left w:val="single" w:color="000000" w:sz="4" w:space="0"/>
              <w:bottom w:val="single" w:color="000000" w:sz="4" w:space="0"/>
              <w:right w:val="single" w:color="000000" w:sz="4" w:space="0"/>
            </w:tcBorders>
          </w:tcPr>
          <w:p>
            <w:pPr>
              <w:pStyle w:val="51"/>
              <w:spacing w:line="360" w:lineRule="auto"/>
              <w:jc w:val="center"/>
              <w:rPr>
                <w:rFonts w:ascii="仿宋" w:hAnsi="仿宋" w:eastAsia="仿宋" w:cs="仿宋"/>
                <w:b/>
                <w:bCs/>
                <w:sz w:val="24"/>
                <w:szCs w:val="24"/>
              </w:rPr>
            </w:pPr>
          </w:p>
          <w:p>
            <w:pPr>
              <w:pStyle w:val="51"/>
              <w:spacing w:line="360" w:lineRule="auto"/>
              <w:jc w:val="center"/>
              <w:rPr>
                <w:rFonts w:ascii="仿宋" w:hAnsi="仿宋" w:eastAsia="仿宋" w:cs="仿宋"/>
                <w:sz w:val="24"/>
                <w:szCs w:val="24"/>
              </w:rPr>
            </w:pPr>
            <w:r>
              <w:rPr>
                <w:rFonts w:ascii="仿宋" w:hAnsi="仿宋" w:eastAsia="仿宋" w:cs="仿宋"/>
                <w:sz w:val="24"/>
                <w:szCs w:val="24"/>
              </w:rPr>
              <w:t>合计</w:t>
            </w:r>
          </w:p>
        </w:tc>
        <w:tc>
          <w:tcPr>
            <w:tcW w:w="6594" w:type="dxa"/>
            <w:gridSpan w:val="3"/>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rPr>
            </w:pPr>
          </w:p>
        </w:tc>
      </w:tr>
    </w:tbl>
    <w:p>
      <w:pPr>
        <w:spacing w:line="360" w:lineRule="auto"/>
        <w:jc w:val="both"/>
        <w:rPr>
          <w:rFonts w:ascii="仿宋" w:hAnsi="仿宋" w:eastAsia="仿宋"/>
          <w:sz w:val="24"/>
          <w:szCs w:val="24"/>
        </w:rPr>
        <w:sectPr>
          <w:pgSz w:w="11910" w:h="16840"/>
          <w:pgMar w:top="1100" w:right="1160" w:bottom="1080" w:left="940" w:header="880" w:footer="888" w:gutter="0"/>
          <w:pgBorders>
            <w:top w:val="none" w:sz="0" w:space="0"/>
            <w:left w:val="none" w:sz="0" w:space="0"/>
            <w:bottom w:val="none" w:sz="0" w:space="0"/>
            <w:right w:val="none" w:sz="0" w:space="0"/>
          </w:pgBorders>
          <w:pgNumType w:fmt="decimal"/>
          <w:cols w:space="720" w:num="1"/>
        </w:sectPr>
      </w:pPr>
    </w:p>
    <w:p>
      <w:pPr>
        <w:spacing w:line="360" w:lineRule="auto"/>
        <w:jc w:val="both"/>
        <w:rPr>
          <w:rFonts w:ascii="仿宋" w:hAnsi="仿宋" w:eastAsia="仿宋" w:cs="仿宋"/>
          <w:b/>
          <w:bCs/>
          <w:sz w:val="24"/>
          <w:szCs w:val="24"/>
        </w:rPr>
      </w:pPr>
    </w:p>
    <w:p>
      <w:pPr>
        <w:pStyle w:val="6"/>
        <w:numPr>
          <w:ilvl w:val="0"/>
          <w:numId w:val="0"/>
        </w:numPr>
        <w:spacing w:before="360" w:after="360"/>
        <w:ind w:left="864" w:hanging="864"/>
        <w:rPr>
          <w:lang w:eastAsia="zh-CN"/>
        </w:rPr>
      </w:pPr>
      <w:bookmarkStart w:id="123" w:name="四、技术参数响应及偏离表"/>
      <w:bookmarkEnd w:id="123"/>
      <w:r>
        <w:rPr>
          <w:lang w:eastAsia="zh-CN"/>
        </w:rPr>
        <w:t>四、技术参数响应及偏离表</w:t>
      </w:r>
    </w:p>
    <w:p>
      <w:pPr>
        <w:spacing w:line="360" w:lineRule="auto"/>
        <w:jc w:val="both"/>
        <w:rPr>
          <w:rFonts w:ascii="仿宋" w:hAnsi="仿宋" w:eastAsia="仿宋" w:cs="仿宋"/>
          <w:b/>
          <w:bCs/>
          <w:sz w:val="24"/>
          <w:szCs w:val="24"/>
          <w:lang w:eastAsia="zh-CN"/>
        </w:rPr>
      </w:pPr>
    </w:p>
    <w:tbl>
      <w:tblPr>
        <w:tblStyle w:val="49"/>
        <w:tblW w:w="9170" w:type="dxa"/>
        <w:tblInd w:w="112" w:type="dxa"/>
        <w:tblLayout w:type="fixed"/>
        <w:tblCellMar>
          <w:top w:w="0" w:type="dxa"/>
          <w:left w:w="0" w:type="dxa"/>
          <w:bottom w:w="0" w:type="dxa"/>
          <w:right w:w="0" w:type="dxa"/>
        </w:tblCellMar>
      </w:tblPr>
      <w:tblGrid>
        <w:gridCol w:w="984"/>
        <w:gridCol w:w="2852"/>
        <w:gridCol w:w="2854"/>
        <w:gridCol w:w="1309"/>
        <w:gridCol w:w="1171"/>
      </w:tblGrid>
      <w:tr>
        <w:tblPrEx>
          <w:tblCellMar>
            <w:top w:w="0" w:type="dxa"/>
            <w:left w:w="0" w:type="dxa"/>
            <w:bottom w:w="0" w:type="dxa"/>
            <w:right w:w="0" w:type="dxa"/>
          </w:tblCellMar>
        </w:tblPrEx>
        <w:trPr>
          <w:trHeight w:val="1169" w:hRule="exact"/>
        </w:trPr>
        <w:tc>
          <w:tcPr>
            <w:tcW w:w="984" w:type="dxa"/>
            <w:tcBorders>
              <w:top w:val="single" w:color="000000" w:sz="4" w:space="0"/>
              <w:left w:val="single" w:color="000000" w:sz="4" w:space="0"/>
              <w:bottom w:val="single" w:color="000000" w:sz="4" w:space="0"/>
              <w:right w:val="single" w:color="000000" w:sz="4" w:space="0"/>
            </w:tcBorders>
          </w:tcPr>
          <w:p>
            <w:pPr>
              <w:pStyle w:val="51"/>
              <w:spacing w:line="360" w:lineRule="auto"/>
              <w:jc w:val="center"/>
              <w:rPr>
                <w:rFonts w:ascii="仿宋" w:hAnsi="仿宋" w:eastAsia="仿宋" w:cs="仿宋"/>
                <w:b/>
                <w:bCs/>
                <w:sz w:val="24"/>
                <w:szCs w:val="24"/>
                <w:lang w:eastAsia="zh-CN"/>
              </w:rPr>
            </w:pPr>
          </w:p>
          <w:p>
            <w:pPr>
              <w:pStyle w:val="51"/>
              <w:spacing w:line="360" w:lineRule="auto"/>
              <w:jc w:val="center"/>
              <w:rPr>
                <w:rFonts w:ascii="仿宋" w:hAnsi="仿宋" w:eastAsia="仿宋" w:cs="仿宋"/>
                <w:sz w:val="24"/>
                <w:szCs w:val="24"/>
              </w:rPr>
            </w:pPr>
            <w:r>
              <w:rPr>
                <w:rFonts w:ascii="仿宋" w:hAnsi="仿宋" w:eastAsia="仿宋" w:cs="仿宋"/>
                <w:sz w:val="24"/>
                <w:szCs w:val="24"/>
              </w:rPr>
              <w:t>序号</w:t>
            </w:r>
          </w:p>
        </w:tc>
        <w:tc>
          <w:tcPr>
            <w:tcW w:w="2852" w:type="dxa"/>
            <w:tcBorders>
              <w:top w:val="single" w:color="000000" w:sz="4" w:space="0"/>
              <w:left w:val="single" w:color="000000" w:sz="4" w:space="0"/>
              <w:bottom w:val="single" w:color="000000" w:sz="4" w:space="0"/>
              <w:right w:val="single" w:color="000000" w:sz="4" w:space="0"/>
            </w:tcBorders>
          </w:tcPr>
          <w:p>
            <w:pPr>
              <w:pStyle w:val="51"/>
              <w:spacing w:line="360" w:lineRule="auto"/>
              <w:jc w:val="center"/>
              <w:rPr>
                <w:rFonts w:ascii="仿宋" w:hAnsi="仿宋" w:eastAsia="仿宋" w:cs="仿宋"/>
                <w:b/>
                <w:bCs/>
                <w:sz w:val="24"/>
                <w:szCs w:val="24"/>
              </w:rPr>
            </w:pPr>
          </w:p>
          <w:p>
            <w:pPr>
              <w:pStyle w:val="51"/>
              <w:spacing w:line="360" w:lineRule="auto"/>
              <w:jc w:val="center"/>
              <w:rPr>
                <w:rFonts w:ascii="仿宋" w:hAnsi="仿宋" w:eastAsia="仿宋" w:cs="仿宋"/>
                <w:sz w:val="24"/>
                <w:szCs w:val="24"/>
              </w:rPr>
            </w:pPr>
            <w:r>
              <w:rPr>
                <w:rFonts w:ascii="仿宋" w:hAnsi="仿宋" w:eastAsia="仿宋" w:cs="仿宋"/>
                <w:sz w:val="24"/>
                <w:szCs w:val="24"/>
              </w:rPr>
              <w:t>招标要求</w:t>
            </w:r>
          </w:p>
        </w:tc>
        <w:tc>
          <w:tcPr>
            <w:tcW w:w="2854" w:type="dxa"/>
            <w:tcBorders>
              <w:top w:val="single" w:color="000000" w:sz="4" w:space="0"/>
              <w:left w:val="single" w:color="000000" w:sz="4" w:space="0"/>
              <w:bottom w:val="single" w:color="000000" w:sz="4" w:space="0"/>
              <w:right w:val="single" w:color="000000" w:sz="4" w:space="0"/>
            </w:tcBorders>
          </w:tcPr>
          <w:p>
            <w:pPr>
              <w:pStyle w:val="51"/>
              <w:spacing w:line="360" w:lineRule="auto"/>
              <w:jc w:val="center"/>
              <w:rPr>
                <w:rFonts w:ascii="仿宋" w:hAnsi="仿宋" w:eastAsia="仿宋" w:cs="仿宋"/>
                <w:b/>
                <w:bCs/>
                <w:sz w:val="24"/>
                <w:szCs w:val="24"/>
              </w:rPr>
            </w:pPr>
          </w:p>
          <w:p>
            <w:pPr>
              <w:pStyle w:val="51"/>
              <w:spacing w:line="360" w:lineRule="auto"/>
              <w:jc w:val="center"/>
              <w:rPr>
                <w:rFonts w:ascii="仿宋" w:hAnsi="仿宋" w:eastAsia="仿宋" w:cs="仿宋"/>
                <w:sz w:val="24"/>
                <w:szCs w:val="24"/>
              </w:rPr>
            </w:pPr>
            <w:r>
              <w:rPr>
                <w:rFonts w:ascii="仿宋" w:hAnsi="仿宋" w:eastAsia="仿宋" w:cs="仿宋"/>
                <w:sz w:val="24"/>
                <w:szCs w:val="24"/>
              </w:rPr>
              <w:t>投标响应</w:t>
            </w:r>
          </w:p>
        </w:tc>
        <w:tc>
          <w:tcPr>
            <w:tcW w:w="1309" w:type="dxa"/>
            <w:tcBorders>
              <w:top w:val="single" w:color="000000" w:sz="4" w:space="0"/>
              <w:left w:val="single" w:color="000000" w:sz="4" w:space="0"/>
              <w:bottom w:val="single" w:color="000000" w:sz="4" w:space="0"/>
              <w:right w:val="single" w:color="000000" w:sz="4" w:space="0"/>
            </w:tcBorders>
            <w:vAlign w:val="center"/>
          </w:tcPr>
          <w:p>
            <w:pPr>
              <w:pStyle w:val="51"/>
              <w:spacing w:line="360" w:lineRule="auto"/>
              <w:jc w:val="center"/>
              <w:rPr>
                <w:rFonts w:ascii="仿宋" w:hAnsi="仿宋" w:eastAsia="仿宋" w:cs="仿宋"/>
                <w:sz w:val="24"/>
                <w:szCs w:val="24"/>
              </w:rPr>
            </w:pPr>
            <w:r>
              <w:rPr>
                <w:rFonts w:ascii="仿宋" w:hAnsi="仿宋" w:eastAsia="仿宋" w:cs="仿宋"/>
                <w:spacing w:val="-22"/>
                <w:sz w:val="24"/>
                <w:szCs w:val="24"/>
              </w:rPr>
              <w:t>超出、符合</w:t>
            </w:r>
          </w:p>
          <w:p>
            <w:pPr>
              <w:pStyle w:val="51"/>
              <w:spacing w:line="360" w:lineRule="auto"/>
              <w:jc w:val="center"/>
              <w:rPr>
                <w:rFonts w:ascii="仿宋" w:hAnsi="仿宋" w:eastAsia="仿宋" w:cs="仿宋"/>
                <w:sz w:val="24"/>
                <w:szCs w:val="24"/>
              </w:rPr>
            </w:pPr>
            <w:r>
              <w:rPr>
                <w:rFonts w:ascii="仿宋" w:hAnsi="仿宋" w:eastAsia="仿宋" w:cs="仿宋"/>
                <w:sz w:val="24"/>
                <w:szCs w:val="24"/>
              </w:rPr>
              <w:t>或偏离</w:t>
            </w:r>
          </w:p>
        </w:tc>
        <w:tc>
          <w:tcPr>
            <w:tcW w:w="1171" w:type="dxa"/>
            <w:tcBorders>
              <w:top w:val="single" w:color="000000" w:sz="4" w:space="0"/>
              <w:left w:val="single" w:color="000000" w:sz="4" w:space="0"/>
              <w:bottom w:val="single" w:color="000000" w:sz="4" w:space="0"/>
              <w:right w:val="single" w:color="000000" w:sz="4" w:space="0"/>
            </w:tcBorders>
          </w:tcPr>
          <w:p>
            <w:pPr>
              <w:pStyle w:val="51"/>
              <w:spacing w:line="360" w:lineRule="auto"/>
              <w:jc w:val="center"/>
              <w:rPr>
                <w:rFonts w:ascii="仿宋" w:hAnsi="仿宋" w:eastAsia="仿宋" w:cs="仿宋"/>
                <w:b/>
                <w:bCs/>
                <w:sz w:val="24"/>
                <w:szCs w:val="24"/>
              </w:rPr>
            </w:pPr>
          </w:p>
          <w:p>
            <w:pPr>
              <w:pStyle w:val="51"/>
              <w:spacing w:line="360" w:lineRule="auto"/>
              <w:jc w:val="center"/>
              <w:rPr>
                <w:rFonts w:ascii="仿宋" w:hAnsi="仿宋" w:eastAsia="仿宋" w:cs="仿宋"/>
                <w:sz w:val="24"/>
                <w:szCs w:val="24"/>
              </w:rPr>
            </w:pPr>
            <w:r>
              <w:rPr>
                <w:rFonts w:ascii="仿宋" w:hAnsi="仿宋" w:eastAsia="仿宋" w:cs="仿宋"/>
                <w:sz w:val="24"/>
                <w:szCs w:val="24"/>
              </w:rPr>
              <w:t>原因</w:t>
            </w:r>
          </w:p>
        </w:tc>
      </w:tr>
      <w:tr>
        <w:tblPrEx>
          <w:tblCellMar>
            <w:top w:w="0" w:type="dxa"/>
            <w:left w:w="0" w:type="dxa"/>
            <w:bottom w:w="0" w:type="dxa"/>
            <w:right w:w="0" w:type="dxa"/>
          </w:tblCellMar>
        </w:tblPrEx>
        <w:trPr>
          <w:trHeight w:val="650" w:hRule="exact"/>
        </w:trPr>
        <w:tc>
          <w:tcPr>
            <w:tcW w:w="984"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rPr>
            </w:pPr>
          </w:p>
        </w:tc>
        <w:tc>
          <w:tcPr>
            <w:tcW w:w="2852"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rPr>
            </w:pPr>
          </w:p>
        </w:tc>
        <w:tc>
          <w:tcPr>
            <w:tcW w:w="2854"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rPr>
            </w:pPr>
          </w:p>
        </w:tc>
        <w:tc>
          <w:tcPr>
            <w:tcW w:w="130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rPr>
            </w:pPr>
          </w:p>
        </w:tc>
        <w:tc>
          <w:tcPr>
            <w:tcW w:w="1171"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rPr>
            </w:pPr>
          </w:p>
        </w:tc>
      </w:tr>
      <w:tr>
        <w:tblPrEx>
          <w:tblCellMar>
            <w:top w:w="0" w:type="dxa"/>
            <w:left w:w="0" w:type="dxa"/>
            <w:bottom w:w="0" w:type="dxa"/>
            <w:right w:w="0" w:type="dxa"/>
          </w:tblCellMar>
        </w:tblPrEx>
        <w:trPr>
          <w:trHeight w:val="651" w:hRule="exact"/>
        </w:trPr>
        <w:tc>
          <w:tcPr>
            <w:tcW w:w="984"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rPr>
            </w:pPr>
          </w:p>
        </w:tc>
        <w:tc>
          <w:tcPr>
            <w:tcW w:w="2852"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rPr>
            </w:pPr>
          </w:p>
        </w:tc>
        <w:tc>
          <w:tcPr>
            <w:tcW w:w="2854"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rPr>
            </w:pPr>
          </w:p>
        </w:tc>
        <w:tc>
          <w:tcPr>
            <w:tcW w:w="130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rPr>
            </w:pPr>
          </w:p>
        </w:tc>
        <w:tc>
          <w:tcPr>
            <w:tcW w:w="1171"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rPr>
            </w:pPr>
          </w:p>
        </w:tc>
      </w:tr>
      <w:tr>
        <w:tblPrEx>
          <w:tblCellMar>
            <w:top w:w="0" w:type="dxa"/>
            <w:left w:w="0" w:type="dxa"/>
            <w:bottom w:w="0" w:type="dxa"/>
            <w:right w:w="0" w:type="dxa"/>
          </w:tblCellMar>
        </w:tblPrEx>
        <w:trPr>
          <w:trHeight w:val="650" w:hRule="exact"/>
        </w:trPr>
        <w:tc>
          <w:tcPr>
            <w:tcW w:w="984"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rPr>
            </w:pPr>
          </w:p>
        </w:tc>
        <w:tc>
          <w:tcPr>
            <w:tcW w:w="2852"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rPr>
            </w:pPr>
          </w:p>
        </w:tc>
        <w:tc>
          <w:tcPr>
            <w:tcW w:w="2854"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rPr>
            </w:pPr>
          </w:p>
        </w:tc>
        <w:tc>
          <w:tcPr>
            <w:tcW w:w="130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rPr>
            </w:pPr>
          </w:p>
        </w:tc>
        <w:tc>
          <w:tcPr>
            <w:tcW w:w="1171"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rPr>
            </w:pPr>
          </w:p>
        </w:tc>
      </w:tr>
      <w:tr>
        <w:tblPrEx>
          <w:tblCellMar>
            <w:top w:w="0" w:type="dxa"/>
            <w:left w:w="0" w:type="dxa"/>
            <w:bottom w:w="0" w:type="dxa"/>
            <w:right w:w="0" w:type="dxa"/>
          </w:tblCellMar>
        </w:tblPrEx>
        <w:trPr>
          <w:trHeight w:val="648" w:hRule="exact"/>
        </w:trPr>
        <w:tc>
          <w:tcPr>
            <w:tcW w:w="984"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rPr>
            </w:pPr>
          </w:p>
        </w:tc>
        <w:tc>
          <w:tcPr>
            <w:tcW w:w="2852"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rPr>
            </w:pPr>
          </w:p>
        </w:tc>
        <w:tc>
          <w:tcPr>
            <w:tcW w:w="2854"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rPr>
            </w:pPr>
          </w:p>
        </w:tc>
        <w:tc>
          <w:tcPr>
            <w:tcW w:w="130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rPr>
            </w:pPr>
          </w:p>
        </w:tc>
        <w:tc>
          <w:tcPr>
            <w:tcW w:w="1171"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rPr>
            </w:pPr>
          </w:p>
        </w:tc>
      </w:tr>
      <w:tr>
        <w:tblPrEx>
          <w:tblCellMar>
            <w:top w:w="0" w:type="dxa"/>
            <w:left w:w="0" w:type="dxa"/>
            <w:bottom w:w="0" w:type="dxa"/>
            <w:right w:w="0" w:type="dxa"/>
          </w:tblCellMar>
        </w:tblPrEx>
        <w:trPr>
          <w:trHeight w:val="650" w:hRule="exact"/>
        </w:trPr>
        <w:tc>
          <w:tcPr>
            <w:tcW w:w="984"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rPr>
            </w:pPr>
          </w:p>
        </w:tc>
        <w:tc>
          <w:tcPr>
            <w:tcW w:w="2852"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rPr>
            </w:pPr>
          </w:p>
        </w:tc>
        <w:tc>
          <w:tcPr>
            <w:tcW w:w="2854"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rPr>
            </w:pPr>
          </w:p>
        </w:tc>
        <w:tc>
          <w:tcPr>
            <w:tcW w:w="130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rPr>
            </w:pPr>
          </w:p>
        </w:tc>
        <w:tc>
          <w:tcPr>
            <w:tcW w:w="1171"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rPr>
            </w:pPr>
          </w:p>
        </w:tc>
      </w:tr>
      <w:tr>
        <w:tblPrEx>
          <w:tblCellMar>
            <w:top w:w="0" w:type="dxa"/>
            <w:left w:w="0" w:type="dxa"/>
            <w:bottom w:w="0" w:type="dxa"/>
            <w:right w:w="0" w:type="dxa"/>
          </w:tblCellMar>
        </w:tblPrEx>
        <w:trPr>
          <w:trHeight w:val="650" w:hRule="exact"/>
        </w:trPr>
        <w:tc>
          <w:tcPr>
            <w:tcW w:w="984"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rPr>
            </w:pPr>
          </w:p>
        </w:tc>
        <w:tc>
          <w:tcPr>
            <w:tcW w:w="2852"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rPr>
            </w:pPr>
          </w:p>
        </w:tc>
        <w:tc>
          <w:tcPr>
            <w:tcW w:w="2854"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rPr>
            </w:pPr>
          </w:p>
        </w:tc>
        <w:tc>
          <w:tcPr>
            <w:tcW w:w="130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rPr>
            </w:pPr>
          </w:p>
        </w:tc>
        <w:tc>
          <w:tcPr>
            <w:tcW w:w="1171"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rPr>
            </w:pPr>
          </w:p>
        </w:tc>
      </w:tr>
      <w:tr>
        <w:tblPrEx>
          <w:tblCellMar>
            <w:top w:w="0" w:type="dxa"/>
            <w:left w:w="0" w:type="dxa"/>
            <w:bottom w:w="0" w:type="dxa"/>
            <w:right w:w="0" w:type="dxa"/>
          </w:tblCellMar>
        </w:tblPrEx>
        <w:trPr>
          <w:trHeight w:val="651" w:hRule="exact"/>
        </w:trPr>
        <w:tc>
          <w:tcPr>
            <w:tcW w:w="984"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rPr>
            </w:pPr>
          </w:p>
        </w:tc>
        <w:tc>
          <w:tcPr>
            <w:tcW w:w="2852"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rPr>
            </w:pPr>
          </w:p>
        </w:tc>
        <w:tc>
          <w:tcPr>
            <w:tcW w:w="2854"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rPr>
            </w:pPr>
          </w:p>
        </w:tc>
        <w:tc>
          <w:tcPr>
            <w:tcW w:w="130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rPr>
            </w:pPr>
          </w:p>
        </w:tc>
        <w:tc>
          <w:tcPr>
            <w:tcW w:w="1171"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rPr>
            </w:pPr>
          </w:p>
        </w:tc>
      </w:tr>
      <w:tr>
        <w:tblPrEx>
          <w:tblCellMar>
            <w:top w:w="0" w:type="dxa"/>
            <w:left w:w="0" w:type="dxa"/>
            <w:bottom w:w="0" w:type="dxa"/>
            <w:right w:w="0" w:type="dxa"/>
          </w:tblCellMar>
        </w:tblPrEx>
        <w:trPr>
          <w:trHeight w:val="650" w:hRule="exact"/>
        </w:trPr>
        <w:tc>
          <w:tcPr>
            <w:tcW w:w="984"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rPr>
            </w:pPr>
          </w:p>
        </w:tc>
        <w:tc>
          <w:tcPr>
            <w:tcW w:w="2852"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rPr>
            </w:pPr>
          </w:p>
        </w:tc>
        <w:tc>
          <w:tcPr>
            <w:tcW w:w="2854"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rPr>
            </w:pPr>
          </w:p>
        </w:tc>
        <w:tc>
          <w:tcPr>
            <w:tcW w:w="1309"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rPr>
            </w:pPr>
          </w:p>
        </w:tc>
        <w:tc>
          <w:tcPr>
            <w:tcW w:w="1171" w:type="dxa"/>
            <w:tcBorders>
              <w:top w:val="single" w:color="000000" w:sz="4" w:space="0"/>
              <w:left w:val="single" w:color="000000" w:sz="4" w:space="0"/>
              <w:bottom w:val="single" w:color="000000" w:sz="4" w:space="0"/>
              <w:right w:val="single" w:color="000000" w:sz="4" w:space="0"/>
            </w:tcBorders>
          </w:tcPr>
          <w:p>
            <w:pPr>
              <w:spacing w:line="360" w:lineRule="auto"/>
              <w:jc w:val="both"/>
              <w:rPr>
                <w:rFonts w:ascii="仿宋" w:hAnsi="仿宋" w:eastAsia="仿宋"/>
                <w:sz w:val="24"/>
                <w:szCs w:val="24"/>
              </w:rPr>
            </w:pPr>
          </w:p>
        </w:tc>
      </w:tr>
    </w:tbl>
    <w:p>
      <w:pPr>
        <w:spacing w:line="360" w:lineRule="auto"/>
        <w:jc w:val="both"/>
        <w:rPr>
          <w:rFonts w:ascii="仿宋" w:hAnsi="仿宋" w:eastAsia="仿宋" w:cs="仿宋"/>
          <w:b/>
          <w:bCs/>
          <w:sz w:val="24"/>
          <w:szCs w:val="24"/>
        </w:rPr>
      </w:pPr>
    </w:p>
    <w:p>
      <w:pPr>
        <w:spacing w:line="360" w:lineRule="auto"/>
        <w:jc w:val="both"/>
        <w:rPr>
          <w:rFonts w:ascii="仿宋" w:hAnsi="仿宋" w:eastAsia="仿宋" w:cs="仿宋"/>
          <w:b/>
          <w:bCs/>
          <w:sz w:val="24"/>
          <w:szCs w:val="24"/>
        </w:rPr>
      </w:pPr>
    </w:p>
    <w:p>
      <w:pPr>
        <w:spacing w:line="360" w:lineRule="auto"/>
        <w:jc w:val="both"/>
        <w:rPr>
          <w:rFonts w:ascii="仿宋" w:hAnsi="仿宋" w:eastAsia="仿宋" w:cs="仿宋"/>
          <w:b/>
          <w:bCs/>
          <w:sz w:val="24"/>
          <w:szCs w:val="24"/>
        </w:rPr>
      </w:pPr>
    </w:p>
    <w:p>
      <w:pPr>
        <w:spacing w:line="360" w:lineRule="auto"/>
        <w:jc w:val="both"/>
        <w:rPr>
          <w:rFonts w:ascii="仿宋" w:hAnsi="仿宋" w:eastAsia="仿宋" w:cs="仿宋"/>
          <w:b/>
          <w:bCs/>
          <w:sz w:val="24"/>
          <w:szCs w:val="24"/>
        </w:rPr>
      </w:pPr>
    </w:p>
    <w:p>
      <w:pPr>
        <w:spacing w:line="360" w:lineRule="auto"/>
        <w:jc w:val="both"/>
        <w:rPr>
          <w:rFonts w:ascii="仿宋" w:hAnsi="仿宋" w:eastAsia="仿宋" w:cs="仿宋"/>
          <w:b/>
          <w:bCs/>
          <w:sz w:val="24"/>
          <w:szCs w:val="24"/>
        </w:rPr>
      </w:pP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注：1、按照基本技术要求详细填列。</w:t>
      </w:r>
    </w:p>
    <w:p>
      <w:pPr>
        <w:spacing w:line="360" w:lineRule="auto"/>
        <w:jc w:val="both"/>
        <w:rPr>
          <w:rFonts w:ascii="仿宋" w:hAnsi="仿宋" w:eastAsia="仿宋" w:cs="仿宋"/>
          <w:sz w:val="24"/>
          <w:szCs w:val="24"/>
          <w:lang w:eastAsia="zh-CN"/>
        </w:rPr>
      </w:pP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2、行数不够，可自行添加。</w:t>
      </w:r>
    </w:p>
    <w:p>
      <w:pPr>
        <w:spacing w:line="360" w:lineRule="auto"/>
        <w:jc w:val="both"/>
        <w:rPr>
          <w:rFonts w:ascii="仿宋" w:hAnsi="仿宋" w:eastAsia="仿宋" w:cs="仿宋"/>
          <w:sz w:val="24"/>
          <w:szCs w:val="24"/>
          <w:lang w:eastAsia="zh-CN"/>
        </w:rPr>
        <w:sectPr>
          <w:pgSz w:w="11910" w:h="16840"/>
          <w:pgMar w:top="1100" w:right="1360" w:bottom="1080" w:left="1140" w:header="880" w:footer="888" w:gutter="0"/>
          <w:pgBorders>
            <w:top w:val="none" w:sz="0" w:space="0"/>
            <w:left w:val="none" w:sz="0" w:space="0"/>
            <w:bottom w:val="none" w:sz="0" w:space="0"/>
            <w:right w:val="none" w:sz="0" w:space="0"/>
          </w:pgBorders>
          <w:pgNumType w:fmt="decimal"/>
          <w:cols w:space="720" w:num="1"/>
        </w:sectPr>
      </w:pPr>
    </w:p>
    <w:p>
      <w:pPr>
        <w:spacing w:line="360" w:lineRule="auto"/>
        <w:jc w:val="both"/>
        <w:rPr>
          <w:rFonts w:ascii="仿宋" w:hAnsi="仿宋" w:eastAsia="仿宋" w:cs="仿宋"/>
          <w:sz w:val="24"/>
          <w:szCs w:val="24"/>
          <w:lang w:eastAsia="zh-CN"/>
        </w:rPr>
      </w:pPr>
    </w:p>
    <w:p>
      <w:pPr>
        <w:pStyle w:val="6"/>
        <w:numPr>
          <w:ilvl w:val="0"/>
          <w:numId w:val="0"/>
        </w:numPr>
        <w:spacing w:before="360" w:after="360"/>
        <w:ind w:left="864" w:hanging="864"/>
        <w:rPr>
          <w:lang w:eastAsia="zh-CN"/>
        </w:rPr>
      </w:pPr>
      <w:bookmarkStart w:id="124" w:name="五、商务条款响应及偏离表"/>
      <w:bookmarkEnd w:id="124"/>
      <w:r>
        <w:rPr>
          <w:lang w:eastAsia="zh-CN"/>
        </w:rPr>
        <w:t>五、商务条款响应及偏离表</w:t>
      </w:r>
    </w:p>
    <w:p>
      <w:pPr>
        <w:spacing w:line="360" w:lineRule="auto"/>
        <w:jc w:val="both"/>
        <w:rPr>
          <w:rFonts w:ascii="仿宋" w:hAnsi="仿宋" w:eastAsia="仿宋" w:cs="仿宋"/>
          <w:b/>
          <w:bCs/>
          <w:sz w:val="24"/>
          <w:szCs w:val="24"/>
          <w:lang w:eastAsia="zh-CN"/>
        </w:rPr>
      </w:pPr>
    </w:p>
    <w:tbl>
      <w:tblPr>
        <w:tblStyle w:val="49"/>
        <w:tblW w:w="8529" w:type="dxa"/>
        <w:tblInd w:w="112" w:type="dxa"/>
        <w:tblLayout w:type="fixed"/>
        <w:tblCellMar>
          <w:top w:w="0" w:type="dxa"/>
          <w:left w:w="0" w:type="dxa"/>
          <w:bottom w:w="0" w:type="dxa"/>
          <w:right w:w="0" w:type="dxa"/>
        </w:tblCellMar>
      </w:tblPr>
      <w:tblGrid>
        <w:gridCol w:w="1548"/>
        <w:gridCol w:w="2701"/>
        <w:gridCol w:w="1260"/>
        <w:gridCol w:w="3020"/>
      </w:tblGrid>
      <w:tr>
        <w:tblPrEx>
          <w:tblCellMar>
            <w:top w:w="0" w:type="dxa"/>
            <w:left w:w="0" w:type="dxa"/>
            <w:bottom w:w="0" w:type="dxa"/>
            <w:right w:w="0" w:type="dxa"/>
          </w:tblCellMar>
        </w:tblPrEx>
        <w:trPr>
          <w:trHeight w:val="650" w:hRule="exact"/>
        </w:trPr>
        <w:tc>
          <w:tcPr>
            <w:tcW w:w="1548" w:type="dxa"/>
            <w:tcBorders>
              <w:top w:val="single" w:color="000000" w:sz="4" w:space="0"/>
              <w:left w:val="single" w:color="000000" w:sz="4" w:space="0"/>
              <w:bottom w:val="single" w:color="000000" w:sz="4" w:space="0"/>
              <w:right w:val="single" w:color="000000" w:sz="4" w:space="0"/>
            </w:tcBorders>
            <w:vAlign w:val="center"/>
          </w:tcPr>
          <w:p>
            <w:pPr>
              <w:pStyle w:val="51"/>
              <w:spacing w:line="360" w:lineRule="auto"/>
              <w:jc w:val="center"/>
              <w:rPr>
                <w:rFonts w:ascii="仿宋" w:hAnsi="仿宋" w:eastAsia="仿宋" w:cs="仿宋"/>
                <w:sz w:val="24"/>
                <w:szCs w:val="24"/>
              </w:rPr>
            </w:pPr>
            <w:r>
              <w:rPr>
                <w:rFonts w:ascii="仿宋" w:hAnsi="仿宋" w:eastAsia="仿宋" w:cs="仿宋"/>
                <w:sz w:val="24"/>
                <w:szCs w:val="24"/>
              </w:rPr>
              <w:t>项目</w:t>
            </w:r>
          </w:p>
        </w:tc>
        <w:tc>
          <w:tcPr>
            <w:tcW w:w="2701" w:type="dxa"/>
            <w:tcBorders>
              <w:top w:val="single" w:color="000000" w:sz="4" w:space="0"/>
              <w:left w:val="single" w:color="000000" w:sz="4" w:space="0"/>
              <w:bottom w:val="single" w:color="000000" w:sz="4" w:space="0"/>
              <w:right w:val="single" w:color="000000" w:sz="4" w:space="0"/>
            </w:tcBorders>
            <w:vAlign w:val="center"/>
          </w:tcPr>
          <w:p>
            <w:pPr>
              <w:pStyle w:val="51"/>
              <w:spacing w:line="360" w:lineRule="auto"/>
              <w:jc w:val="center"/>
              <w:rPr>
                <w:rFonts w:ascii="仿宋" w:hAnsi="仿宋" w:eastAsia="仿宋" w:cs="仿宋"/>
                <w:sz w:val="24"/>
                <w:szCs w:val="24"/>
              </w:rPr>
            </w:pPr>
            <w:r>
              <w:rPr>
                <w:rFonts w:ascii="仿宋" w:hAnsi="仿宋" w:eastAsia="仿宋" w:cs="仿宋"/>
                <w:sz w:val="24"/>
                <w:szCs w:val="24"/>
              </w:rPr>
              <w:t>招标文件要求</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51"/>
              <w:spacing w:line="360" w:lineRule="auto"/>
              <w:jc w:val="center"/>
              <w:rPr>
                <w:rFonts w:ascii="仿宋" w:hAnsi="仿宋" w:eastAsia="仿宋" w:cs="仿宋"/>
                <w:sz w:val="24"/>
                <w:szCs w:val="24"/>
              </w:rPr>
            </w:pPr>
            <w:r>
              <w:rPr>
                <w:rFonts w:ascii="仿宋" w:hAnsi="仿宋" w:eastAsia="仿宋" w:cs="仿宋"/>
                <w:sz w:val="24"/>
                <w:szCs w:val="24"/>
              </w:rPr>
              <w:t>是否响应</w:t>
            </w:r>
          </w:p>
        </w:tc>
        <w:tc>
          <w:tcPr>
            <w:tcW w:w="3020" w:type="dxa"/>
            <w:tcBorders>
              <w:top w:val="single" w:color="000000" w:sz="4" w:space="0"/>
              <w:left w:val="single" w:color="000000" w:sz="4" w:space="0"/>
              <w:bottom w:val="single" w:color="000000" w:sz="4" w:space="0"/>
              <w:right w:val="single" w:color="000000" w:sz="4" w:space="0"/>
            </w:tcBorders>
            <w:vAlign w:val="center"/>
          </w:tcPr>
          <w:p>
            <w:pPr>
              <w:pStyle w:val="51"/>
              <w:spacing w:line="360" w:lineRule="auto"/>
              <w:jc w:val="center"/>
              <w:rPr>
                <w:rFonts w:ascii="仿宋" w:hAnsi="仿宋" w:eastAsia="仿宋" w:cs="仿宋"/>
                <w:sz w:val="24"/>
                <w:szCs w:val="24"/>
              </w:rPr>
            </w:pPr>
            <w:r>
              <w:rPr>
                <w:rFonts w:ascii="仿宋" w:hAnsi="仿宋" w:eastAsia="仿宋" w:cs="仿宋"/>
                <w:sz w:val="24"/>
                <w:szCs w:val="24"/>
              </w:rPr>
              <w:t>投标人的承诺或说明</w:t>
            </w:r>
          </w:p>
        </w:tc>
      </w:tr>
      <w:tr>
        <w:tblPrEx>
          <w:tblCellMar>
            <w:top w:w="0" w:type="dxa"/>
            <w:left w:w="0" w:type="dxa"/>
            <w:bottom w:w="0" w:type="dxa"/>
            <w:right w:w="0" w:type="dxa"/>
          </w:tblCellMar>
        </w:tblPrEx>
        <w:trPr>
          <w:trHeight w:val="480" w:hRule="exact"/>
        </w:trPr>
        <w:tc>
          <w:tcPr>
            <w:tcW w:w="1548" w:type="dxa"/>
            <w:tcBorders>
              <w:top w:val="single" w:color="000000" w:sz="4" w:space="0"/>
              <w:left w:val="single" w:color="000000" w:sz="4" w:space="0"/>
              <w:bottom w:val="single" w:color="000000" w:sz="4" w:space="0"/>
              <w:right w:val="single" w:color="000000" w:sz="4" w:space="0"/>
            </w:tcBorders>
            <w:vAlign w:val="center"/>
          </w:tcPr>
          <w:p>
            <w:pPr>
              <w:pStyle w:val="51"/>
              <w:spacing w:line="360" w:lineRule="auto"/>
              <w:jc w:val="center"/>
              <w:rPr>
                <w:rFonts w:ascii="仿宋" w:hAnsi="仿宋" w:eastAsia="仿宋" w:cs="仿宋"/>
                <w:sz w:val="24"/>
                <w:szCs w:val="24"/>
              </w:rPr>
            </w:pPr>
            <w:r>
              <w:rPr>
                <w:rFonts w:ascii="仿宋" w:hAnsi="仿宋" w:eastAsia="仿宋" w:cs="仿宋"/>
                <w:sz w:val="24"/>
                <w:szCs w:val="24"/>
              </w:rPr>
              <w:t>维保期</w:t>
            </w:r>
          </w:p>
        </w:tc>
        <w:tc>
          <w:tcPr>
            <w:tcW w:w="270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sz w:val="24"/>
                <w:szCs w:val="24"/>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sz w:val="24"/>
                <w:szCs w:val="24"/>
              </w:rPr>
            </w:pPr>
          </w:p>
        </w:tc>
        <w:tc>
          <w:tcPr>
            <w:tcW w:w="302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sz w:val="24"/>
                <w:szCs w:val="24"/>
              </w:rPr>
            </w:pPr>
          </w:p>
        </w:tc>
      </w:tr>
      <w:tr>
        <w:tblPrEx>
          <w:tblCellMar>
            <w:top w:w="0" w:type="dxa"/>
            <w:left w:w="0" w:type="dxa"/>
            <w:bottom w:w="0" w:type="dxa"/>
            <w:right w:w="0" w:type="dxa"/>
          </w:tblCellMar>
        </w:tblPrEx>
        <w:trPr>
          <w:trHeight w:val="778" w:hRule="exact"/>
        </w:trPr>
        <w:tc>
          <w:tcPr>
            <w:tcW w:w="1548" w:type="dxa"/>
            <w:tcBorders>
              <w:top w:val="single" w:color="000000" w:sz="4" w:space="0"/>
              <w:left w:val="single" w:color="000000" w:sz="4" w:space="0"/>
              <w:bottom w:val="single" w:color="000000" w:sz="4" w:space="0"/>
              <w:right w:val="single" w:color="000000" w:sz="4" w:space="0"/>
            </w:tcBorders>
            <w:vAlign w:val="center"/>
          </w:tcPr>
          <w:p>
            <w:pPr>
              <w:pStyle w:val="51"/>
              <w:spacing w:line="360" w:lineRule="auto"/>
              <w:jc w:val="center"/>
              <w:rPr>
                <w:rFonts w:ascii="仿宋" w:hAnsi="仿宋" w:eastAsia="仿宋" w:cs="仿宋"/>
                <w:sz w:val="24"/>
                <w:szCs w:val="24"/>
              </w:rPr>
            </w:pPr>
            <w:r>
              <w:rPr>
                <w:rFonts w:ascii="仿宋" w:hAnsi="仿宋" w:eastAsia="仿宋" w:cs="仿宋"/>
                <w:spacing w:val="26"/>
                <w:sz w:val="24"/>
                <w:szCs w:val="24"/>
              </w:rPr>
              <w:t>售后技术服</w:t>
            </w:r>
            <w:r>
              <w:rPr>
                <w:rFonts w:ascii="仿宋" w:hAnsi="仿宋" w:eastAsia="仿宋" w:cs="仿宋"/>
                <w:sz w:val="24"/>
                <w:szCs w:val="24"/>
              </w:rPr>
              <w:t>务要求</w:t>
            </w:r>
          </w:p>
        </w:tc>
        <w:tc>
          <w:tcPr>
            <w:tcW w:w="270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sz w:val="24"/>
                <w:szCs w:val="24"/>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sz w:val="24"/>
                <w:szCs w:val="24"/>
              </w:rPr>
            </w:pPr>
          </w:p>
        </w:tc>
        <w:tc>
          <w:tcPr>
            <w:tcW w:w="302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sz w:val="24"/>
                <w:szCs w:val="24"/>
              </w:rPr>
            </w:pPr>
          </w:p>
        </w:tc>
      </w:tr>
      <w:tr>
        <w:tblPrEx>
          <w:tblCellMar>
            <w:top w:w="0" w:type="dxa"/>
            <w:left w:w="0" w:type="dxa"/>
            <w:bottom w:w="0" w:type="dxa"/>
            <w:right w:w="0" w:type="dxa"/>
          </w:tblCellMar>
        </w:tblPrEx>
        <w:trPr>
          <w:trHeight w:val="550" w:hRule="exact"/>
        </w:trPr>
        <w:tc>
          <w:tcPr>
            <w:tcW w:w="1548" w:type="dxa"/>
            <w:tcBorders>
              <w:top w:val="single" w:color="000000" w:sz="4" w:space="0"/>
              <w:left w:val="single" w:color="000000" w:sz="4" w:space="0"/>
              <w:bottom w:val="single" w:color="000000" w:sz="4" w:space="0"/>
              <w:right w:val="single" w:color="000000" w:sz="4" w:space="0"/>
            </w:tcBorders>
            <w:vAlign w:val="center"/>
          </w:tcPr>
          <w:p>
            <w:pPr>
              <w:pStyle w:val="51"/>
              <w:spacing w:line="360" w:lineRule="auto"/>
              <w:jc w:val="center"/>
              <w:rPr>
                <w:rFonts w:ascii="仿宋" w:hAnsi="仿宋" w:eastAsia="仿宋" w:cs="仿宋"/>
                <w:sz w:val="24"/>
                <w:szCs w:val="24"/>
              </w:rPr>
            </w:pPr>
            <w:r>
              <w:rPr>
                <w:rFonts w:ascii="仿宋" w:hAnsi="仿宋" w:eastAsia="仿宋" w:cs="仿宋"/>
                <w:sz w:val="24"/>
                <w:szCs w:val="24"/>
              </w:rPr>
              <w:t>交付时间</w:t>
            </w:r>
          </w:p>
        </w:tc>
        <w:tc>
          <w:tcPr>
            <w:tcW w:w="2701" w:type="dxa"/>
            <w:tcBorders>
              <w:top w:val="single" w:color="000000" w:sz="4" w:space="0"/>
              <w:left w:val="single" w:color="000000" w:sz="4" w:space="0"/>
              <w:bottom w:val="single" w:color="000000" w:sz="4" w:space="0"/>
              <w:right w:val="single" w:color="000000" w:sz="4" w:space="0"/>
            </w:tcBorders>
            <w:vAlign w:val="center"/>
          </w:tcPr>
          <w:p>
            <w:pPr>
              <w:pStyle w:val="51"/>
              <w:tabs>
                <w:tab w:val="left" w:pos="1903"/>
              </w:tabs>
              <w:spacing w:line="360" w:lineRule="auto"/>
              <w:jc w:val="center"/>
              <w:rPr>
                <w:rFonts w:ascii="仿宋" w:hAnsi="仿宋" w:eastAsia="仿宋" w:cs="仿宋"/>
                <w:sz w:val="24"/>
                <w:szCs w:val="24"/>
              </w:rPr>
            </w:pPr>
            <w:r>
              <w:rPr>
                <w:rFonts w:ascii="仿宋" w:hAnsi="仿宋" w:eastAsia="仿宋" w:cs="仿宋"/>
                <w:sz w:val="24"/>
                <w:szCs w:val="24"/>
              </w:rPr>
              <w:t>合同签订后</w:t>
            </w:r>
            <w:r>
              <w:rPr>
                <w:rFonts w:ascii="仿宋" w:hAnsi="仿宋" w:eastAsia="仿宋" w:cs="Times New Roman"/>
                <w:sz w:val="24"/>
                <w:szCs w:val="24"/>
                <w:u w:val="single" w:color="000000"/>
              </w:rPr>
              <w:tab/>
            </w:r>
            <w:r>
              <w:rPr>
                <w:rFonts w:ascii="仿宋" w:hAnsi="仿宋" w:eastAsia="仿宋" w:cs="仿宋"/>
                <w:sz w:val="24"/>
                <w:szCs w:val="24"/>
              </w:rPr>
              <w:t>天内</w:t>
            </w:r>
          </w:p>
        </w:tc>
        <w:tc>
          <w:tcPr>
            <w:tcW w:w="126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sz w:val="24"/>
                <w:szCs w:val="24"/>
              </w:rPr>
            </w:pPr>
          </w:p>
        </w:tc>
        <w:tc>
          <w:tcPr>
            <w:tcW w:w="302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sz w:val="24"/>
                <w:szCs w:val="24"/>
              </w:rPr>
            </w:pPr>
          </w:p>
        </w:tc>
      </w:tr>
      <w:tr>
        <w:tblPrEx>
          <w:tblCellMar>
            <w:top w:w="0" w:type="dxa"/>
            <w:left w:w="0" w:type="dxa"/>
            <w:bottom w:w="0" w:type="dxa"/>
            <w:right w:w="0" w:type="dxa"/>
          </w:tblCellMar>
        </w:tblPrEx>
        <w:trPr>
          <w:trHeight w:val="922" w:hRule="exact"/>
        </w:trPr>
        <w:tc>
          <w:tcPr>
            <w:tcW w:w="1548" w:type="dxa"/>
            <w:tcBorders>
              <w:top w:val="single" w:color="000000" w:sz="4" w:space="0"/>
              <w:left w:val="single" w:color="000000" w:sz="4" w:space="0"/>
              <w:bottom w:val="single" w:color="000000" w:sz="4" w:space="0"/>
              <w:right w:val="single" w:color="000000" w:sz="4" w:space="0"/>
            </w:tcBorders>
            <w:vAlign w:val="center"/>
          </w:tcPr>
          <w:p>
            <w:pPr>
              <w:pStyle w:val="51"/>
              <w:spacing w:line="360" w:lineRule="auto"/>
              <w:jc w:val="center"/>
              <w:rPr>
                <w:rFonts w:ascii="仿宋" w:hAnsi="仿宋" w:eastAsia="仿宋" w:cs="仿宋"/>
                <w:sz w:val="24"/>
                <w:szCs w:val="24"/>
              </w:rPr>
            </w:pPr>
            <w:r>
              <w:rPr>
                <w:rFonts w:ascii="仿宋" w:hAnsi="仿宋" w:eastAsia="仿宋" w:cs="仿宋"/>
                <w:sz w:val="24"/>
                <w:szCs w:val="24"/>
              </w:rPr>
              <w:t>交付方式</w:t>
            </w:r>
          </w:p>
        </w:tc>
        <w:tc>
          <w:tcPr>
            <w:tcW w:w="270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sz w:val="24"/>
                <w:szCs w:val="24"/>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sz w:val="24"/>
                <w:szCs w:val="24"/>
              </w:rPr>
            </w:pPr>
          </w:p>
        </w:tc>
        <w:tc>
          <w:tcPr>
            <w:tcW w:w="302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sz w:val="24"/>
                <w:szCs w:val="24"/>
              </w:rPr>
            </w:pPr>
          </w:p>
        </w:tc>
      </w:tr>
      <w:tr>
        <w:tblPrEx>
          <w:tblCellMar>
            <w:top w:w="0" w:type="dxa"/>
            <w:left w:w="0" w:type="dxa"/>
            <w:bottom w:w="0" w:type="dxa"/>
            <w:right w:w="0" w:type="dxa"/>
          </w:tblCellMar>
        </w:tblPrEx>
        <w:trPr>
          <w:trHeight w:val="924" w:hRule="exact"/>
        </w:trPr>
        <w:tc>
          <w:tcPr>
            <w:tcW w:w="1548" w:type="dxa"/>
            <w:tcBorders>
              <w:top w:val="single" w:color="000000" w:sz="4" w:space="0"/>
              <w:left w:val="single" w:color="000000" w:sz="4" w:space="0"/>
              <w:bottom w:val="single" w:color="000000" w:sz="4" w:space="0"/>
              <w:right w:val="single" w:color="000000" w:sz="4" w:space="0"/>
            </w:tcBorders>
            <w:vAlign w:val="center"/>
          </w:tcPr>
          <w:p>
            <w:pPr>
              <w:pStyle w:val="51"/>
              <w:spacing w:line="360" w:lineRule="auto"/>
              <w:jc w:val="center"/>
              <w:rPr>
                <w:rFonts w:ascii="仿宋" w:hAnsi="仿宋" w:eastAsia="仿宋" w:cs="仿宋"/>
                <w:sz w:val="24"/>
                <w:szCs w:val="24"/>
              </w:rPr>
            </w:pPr>
            <w:r>
              <w:rPr>
                <w:rFonts w:ascii="仿宋" w:hAnsi="仿宋" w:eastAsia="仿宋" w:cs="仿宋"/>
                <w:sz w:val="24"/>
                <w:szCs w:val="24"/>
              </w:rPr>
              <w:t>交付地点</w:t>
            </w:r>
          </w:p>
        </w:tc>
        <w:tc>
          <w:tcPr>
            <w:tcW w:w="270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sz w:val="24"/>
                <w:szCs w:val="24"/>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sz w:val="24"/>
                <w:szCs w:val="24"/>
              </w:rPr>
            </w:pPr>
          </w:p>
        </w:tc>
        <w:tc>
          <w:tcPr>
            <w:tcW w:w="302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sz w:val="24"/>
                <w:szCs w:val="24"/>
              </w:rPr>
            </w:pPr>
          </w:p>
        </w:tc>
      </w:tr>
      <w:tr>
        <w:tblPrEx>
          <w:tblCellMar>
            <w:top w:w="0" w:type="dxa"/>
            <w:left w:w="0" w:type="dxa"/>
            <w:bottom w:w="0" w:type="dxa"/>
            <w:right w:w="0" w:type="dxa"/>
          </w:tblCellMar>
        </w:tblPrEx>
        <w:trPr>
          <w:trHeight w:val="830" w:hRule="exact"/>
        </w:trPr>
        <w:tc>
          <w:tcPr>
            <w:tcW w:w="1548" w:type="dxa"/>
            <w:tcBorders>
              <w:top w:val="single" w:color="000000" w:sz="4" w:space="0"/>
              <w:left w:val="single" w:color="000000" w:sz="4" w:space="0"/>
              <w:bottom w:val="single" w:color="000000" w:sz="4" w:space="0"/>
              <w:right w:val="single" w:color="000000" w:sz="4" w:space="0"/>
            </w:tcBorders>
            <w:vAlign w:val="center"/>
          </w:tcPr>
          <w:p>
            <w:pPr>
              <w:pStyle w:val="51"/>
              <w:spacing w:line="360" w:lineRule="auto"/>
              <w:jc w:val="center"/>
              <w:rPr>
                <w:rFonts w:ascii="仿宋" w:hAnsi="仿宋" w:eastAsia="仿宋" w:cs="仿宋"/>
                <w:sz w:val="24"/>
                <w:szCs w:val="24"/>
              </w:rPr>
            </w:pPr>
            <w:r>
              <w:rPr>
                <w:rFonts w:ascii="仿宋" w:hAnsi="仿宋" w:eastAsia="仿宋" w:cs="仿宋"/>
                <w:sz w:val="24"/>
                <w:szCs w:val="24"/>
              </w:rPr>
              <w:t>付款方式</w:t>
            </w:r>
          </w:p>
        </w:tc>
        <w:tc>
          <w:tcPr>
            <w:tcW w:w="270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sz w:val="24"/>
                <w:szCs w:val="24"/>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sz w:val="24"/>
                <w:szCs w:val="24"/>
              </w:rPr>
            </w:pPr>
          </w:p>
        </w:tc>
        <w:tc>
          <w:tcPr>
            <w:tcW w:w="302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sz w:val="24"/>
                <w:szCs w:val="24"/>
              </w:rPr>
            </w:pPr>
          </w:p>
        </w:tc>
      </w:tr>
      <w:tr>
        <w:tblPrEx>
          <w:tblCellMar>
            <w:top w:w="0" w:type="dxa"/>
            <w:left w:w="0" w:type="dxa"/>
            <w:bottom w:w="0" w:type="dxa"/>
            <w:right w:w="0" w:type="dxa"/>
          </w:tblCellMar>
        </w:tblPrEx>
        <w:trPr>
          <w:trHeight w:val="922" w:hRule="exact"/>
        </w:trPr>
        <w:tc>
          <w:tcPr>
            <w:tcW w:w="1548" w:type="dxa"/>
            <w:tcBorders>
              <w:top w:val="single" w:color="000000" w:sz="4" w:space="0"/>
              <w:left w:val="single" w:color="000000" w:sz="4" w:space="0"/>
              <w:bottom w:val="single" w:color="000000" w:sz="4" w:space="0"/>
              <w:right w:val="single" w:color="000000" w:sz="4" w:space="0"/>
            </w:tcBorders>
            <w:vAlign w:val="center"/>
          </w:tcPr>
          <w:p>
            <w:pPr>
              <w:pStyle w:val="51"/>
              <w:spacing w:line="360" w:lineRule="auto"/>
              <w:jc w:val="center"/>
              <w:rPr>
                <w:rFonts w:ascii="仿宋" w:hAnsi="仿宋" w:eastAsia="仿宋" w:cs="仿宋"/>
                <w:sz w:val="24"/>
                <w:szCs w:val="24"/>
              </w:rPr>
            </w:pPr>
            <w:r>
              <w:rPr>
                <w:rFonts w:ascii="仿宋" w:hAnsi="仿宋" w:eastAsia="仿宋" w:cs="仿宋"/>
                <w:sz w:val="24"/>
                <w:szCs w:val="24"/>
              </w:rPr>
              <w:t>投标货币</w:t>
            </w:r>
          </w:p>
        </w:tc>
        <w:tc>
          <w:tcPr>
            <w:tcW w:w="270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sz w:val="24"/>
                <w:szCs w:val="24"/>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sz w:val="24"/>
                <w:szCs w:val="24"/>
              </w:rPr>
            </w:pPr>
          </w:p>
        </w:tc>
        <w:tc>
          <w:tcPr>
            <w:tcW w:w="302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sz w:val="24"/>
                <w:szCs w:val="24"/>
              </w:rPr>
            </w:pPr>
          </w:p>
        </w:tc>
      </w:tr>
      <w:tr>
        <w:tblPrEx>
          <w:tblCellMar>
            <w:top w:w="0" w:type="dxa"/>
            <w:left w:w="0" w:type="dxa"/>
            <w:bottom w:w="0" w:type="dxa"/>
            <w:right w:w="0" w:type="dxa"/>
          </w:tblCellMar>
        </w:tblPrEx>
        <w:trPr>
          <w:trHeight w:val="778" w:hRule="exact"/>
        </w:trPr>
        <w:tc>
          <w:tcPr>
            <w:tcW w:w="1548" w:type="dxa"/>
            <w:tcBorders>
              <w:top w:val="single" w:color="000000" w:sz="4" w:space="0"/>
              <w:left w:val="single" w:color="000000" w:sz="4" w:space="0"/>
              <w:bottom w:val="single" w:color="000000" w:sz="4" w:space="0"/>
              <w:right w:val="single" w:color="000000" w:sz="4" w:space="0"/>
            </w:tcBorders>
            <w:vAlign w:val="center"/>
          </w:tcPr>
          <w:p>
            <w:pPr>
              <w:pStyle w:val="51"/>
              <w:spacing w:line="360" w:lineRule="auto"/>
              <w:jc w:val="center"/>
              <w:rPr>
                <w:rFonts w:ascii="仿宋" w:hAnsi="仿宋" w:eastAsia="仿宋" w:cs="仿宋"/>
                <w:sz w:val="24"/>
                <w:szCs w:val="24"/>
                <w:lang w:eastAsia="zh-CN"/>
              </w:rPr>
            </w:pPr>
            <w:r>
              <w:rPr>
                <w:rFonts w:ascii="仿宋" w:hAnsi="仿宋" w:eastAsia="仿宋" w:cs="仿宋"/>
                <w:spacing w:val="26"/>
                <w:sz w:val="24"/>
                <w:szCs w:val="24"/>
                <w:lang w:eastAsia="zh-CN"/>
              </w:rPr>
              <w:t>备品备件及</w:t>
            </w:r>
            <w:r>
              <w:rPr>
                <w:rFonts w:ascii="仿宋" w:hAnsi="仿宋" w:eastAsia="仿宋" w:cs="仿宋"/>
                <w:sz w:val="24"/>
                <w:szCs w:val="24"/>
                <w:lang w:eastAsia="zh-CN"/>
              </w:rPr>
              <w:t>耗材等要求</w:t>
            </w:r>
          </w:p>
        </w:tc>
        <w:tc>
          <w:tcPr>
            <w:tcW w:w="270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sz w:val="24"/>
                <w:szCs w:val="24"/>
                <w:lang w:eastAsia="zh-CN"/>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sz w:val="24"/>
                <w:szCs w:val="24"/>
                <w:lang w:eastAsia="zh-CN"/>
              </w:rPr>
            </w:pPr>
          </w:p>
        </w:tc>
        <w:tc>
          <w:tcPr>
            <w:tcW w:w="302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sz w:val="24"/>
                <w:szCs w:val="24"/>
                <w:lang w:eastAsia="zh-CN"/>
              </w:rPr>
            </w:pPr>
          </w:p>
        </w:tc>
      </w:tr>
      <w:tr>
        <w:tblPrEx>
          <w:tblCellMar>
            <w:top w:w="0" w:type="dxa"/>
            <w:left w:w="0" w:type="dxa"/>
            <w:bottom w:w="0" w:type="dxa"/>
            <w:right w:w="0" w:type="dxa"/>
          </w:tblCellMar>
        </w:tblPrEx>
        <w:trPr>
          <w:trHeight w:val="466" w:hRule="exact"/>
        </w:trPr>
        <w:tc>
          <w:tcPr>
            <w:tcW w:w="1548" w:type="dxa"/>
            <w:tcBorders>
              <w:top w:val="single" w:color="000000" w:sz="4" w:space="0"/>
              <w:left w:val="single" w:color="000000" w:sz="4" w:space="0"/>
              <w:bottom w:val="single" w:color="000000" w:sz="4" w:space="0"/>
              <w:right w:val="single" w:color="000000" w:sz="4" w:space="0"/>
            </w:tcBorders>
            <w:vAlign w:val="center"/>
          </w:tcPr>
          <w:p>
            <w:pPr>
              <w:pStyle w:val="51"/>
              <w:spacing w:line="360" w:lineRule="auto"/>
              <w:jc w:val="center"/>
              <w:rPr>
                <w:rFonts w:ascii="仿宋" w:hAnsi="仿宋" w:eastAsia="仿宋" w:cs="仿宋"/>
                <w:sz w:val="24"/>
                <w:szCs w:val="24"/>
              </w:rPr>
            </w:pPr>
            <w:r>
              <w:rPr>
                <w:rFonts w:ascii="仿宋" w:hAnsi="仿宋" w:eastAsia="仿宋" w:cs="仿宋"/>
                <w:sz w:val="24"/>
                <w:szCs w:val="24"/>
              </w:rPr>
              <w:t>其他</w:t>
            </w:r>
          </w:p>
        </w:tc>
        <w:tc>
          <w:tcPr>
            <w:tcW w:w="270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sz w:val="24"/>
                <w:szCs w:val="24"/>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sz w:val="24"/>
                <w:szCs w:val="24"/>
              </w:rPr>
            </w:pPr>
          </w:p>
        </w:tc>
        <w:tc>
          <w:tcPr>
            <w:tcW w:w="302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sz w:val="24"/>
                <w:szCs w:val="24"/>
              </w:rPr>
            </w:pPr>
          </w:p>
        </w:tc>
      </w:tr>
    </w:tbl>
    <w:p>
      <w:pPr>
        <w:spacing w:line="360" w:lineRule="auto"/>
        <w:jc w:val="both"/>
        <w:rPr>
          <w:rFonts w:ascii="仿宋" w:hAnsi="仿宋" w:eastAsia="仿宋"/>
          <w:sz w:val="24"/>
          <w:szCs w:val="24"/>
        </w:rPr>
        <w:sectPr>
          <w:pgSz w:w="11910" w:h="16840"/>
          <w:pgMar w:top="1100" w:right="1440" w:bottom="1080" w:left="1140" w:header="880" w:footer="888" w:gutter="0"/>
          <w:pgBorders>
            <w:top w:val="none" w:sz="0" w:space="0"/>
            <w:left w:val="none" w:sz="0" w:space="0"/>
            <w:bottom w:val="none" w:sz="0" w:space="0"/>
            <w:right w:val="none" w:sz="0" w:space="0"/>
          </w:pgBorders>
          <w:pgNumType w:fmt="decimal"/>
          <w:cols w:space="720" w:num="1"/>
        </w:sectPr>
      </w:pPr>
    </w:p>
    <w:p>
      <w:pPr>
        <w:spacing w:line="360" w:lineRule="auto"/>
        <w:jc w:val="both"/>
        <w:rPr>
          <w:rFonts w:ascii="仿宋" w:hAnsi="仿宋" w:eastAsia="仿宋" w:cs="仿宋"/>
          <w:b/>
          <w:bCs/>
          <w:sz w:val="24"/>
          <w:szCs w:val="24"/>
        </w:rPr>
      </w:pPr>
    </w:p>
    <w:p>
      <w:pPr>
        <w:spacing w:line="360" w:lineRule="auto"/>
        <w:jc w:val="both"/>
        <w:rPr>
          <w:rFonts w:ascii="仿宋" w:hAnsi="仿宋" w:eastAsia="仿宋" w:cs="仿宋"/>
          <w:b/>
          <w:bCs/>
          <w:sz w:val="24"/>
          <w:szCs w:val="24"/>
        </w:rPr>
      </w:pPr>
    </w:p>
    <w:p>
      <w:pPr>
        <w:spacing w:line="360" w:lineRule="auto"/>
        <w:jc w:val="both"/>
        <w:rPr>
          <w:rFonts w:ascii="仿宋" w:hAnsi="仿宋" w:eastAsia="仿宋" w:cs="仿宋"/>
          <w:b/>
          <w:bCs/>
          <w:sz w:val="24"/>
          <w:szCs w:val="24"/>
        </w:rPr>
      </w:pPr>
    </w:p>
    <w:p>
      <w:pPr>
        <w:spacing w:line="360" w:lineRule="auto"/>
        <w:jc w:val="both"/>
        <w:rPr>
          <w:rFonts w:ascii="仿宋" w:hAnsi="仿宋" w:eastAsia="仿宋" w:cs="仿宋"/>
          <w:b/>
          <w:bCs/>
          <w:sz w:val="24"/>
          <w:szCs w:val="24"/>
        </w:rPr>
      </w:pPr>
    </w:p>
    <w:p>
      <w:pPr>
        <w:spacing w:line="360" w:lineRule="auto"/>
        <w:jc w:val="both"/>
        <w:rPr>
          <w:rFonts w:ascii="仿宋" w:hAnsi="仿宋" w:eastAsia="仿宋" w:cs="仿宋"/>
          <w:b/>
          <w:bCs/>
          <w:sz w:val="24"/>
          <w:szCs w:val="24"/>
        </w:rPr>
      </w:pPr>
    </w:p>
    <w:p>
      <w:pPr>
        <w:spacing w:line="360" w:lineRule="auto"/>
        <w:jc w:val="both"/>
        <w:rPr>
          <w:rFonts w:ascii="仿宋" w:hAnsi="仿宋" w:eastAsia="仿宋" w:cs="宋体"/>
          <w:sz w:val="24"/>
          <w:szCs w:val="24"/>
        </w:rPr>
      </w:pPr>
      <w:r>
        <w:rPr>
          <w:rFonts w:ascii="仿宋" w:hAnsi="仿宋" w:eastAsia="仿宋" w:cs="宋体"/>
          <w:b/>
          <w:bCs/>
          <w:sz w:val="24"/>
          <w:szCs w:val="24"/>
        </w:rPr>
        <w:t>开标一览表</w:t>
      </w:r>
    </w:p>
    <w:p>
      <w:pPr>
        <w:spacing w:line="360" w:lineRule="auto"/>
        <w:jc w:val="both"/>
        <w:rPr>
          <w:rFonts w:ascii="仿宋" w:hAnsi="仿宋" w:eastAsia="仿宋" w:cs="宋体"/>
          <w:sz w:val="24"/>
          <w:szCs w:val="24"/>
          <w:lang w:eastAsia="zh-CN"/>
        </w:rPr>
      </w:pPr>
      <w:r>
        <w:rPr>
          <w:rFonts w:ascii="仿宋" w:hAnsi="仿宋" w:eastAsia="仿宋" w:cs="宋体"/>
          <w:sz w:val="24"/>
          <w:szCs w:val="24"/>
          <w:lang w:eastAsia="zh-CN"/>
        </w:rPr>
        <w:t>投标人全称（加盖公章）:</w:t>
      </w:r>
    </w:p>
    <w:p>
      <w:pPr>
        <w:spacing w:line="360" w:lineRule="auto"/>
        <w:jc w:val="both"/>
        <w:rPr>
          <w:rFonts w:ascii="仿宋" w:hAnsi="仿宋" w:eastAsia="仿宋" w:cs="宋体"/>
          <w:sz w:val="24"/>
          <w:szCs w:val="24"/>
          <w:lang w:eastAsia="zh-CN"/>
        </w:rPr>
      </w:pPr>
      <w:r>
        <w:rPr>
          <w:rFonts w:ascii="仿宋" w:hAnsi="仿宋" w:eastAsia="仿宋" w:cs="宋体"/>
          <w:sz w:val="24"/>
          <w:szCs w:val="24"/>
          <w:lang w:eastAsia="zh-CN"/>
        </w:rPr>
        <w:t>项目编号：</w:t>
      </w:r>
    </w:p>
    <w:p>
      <w:pPr>
        <w:spacing w:line="360" w:lineRule="auto"/>
        <w:jc w:val="both"/>
        <w:rPr>
          <w:rFonts w:ascii="仿宋" w:hAnsi="仿宋" w:eastAsia="仿宋" w:cs="宋体"/>
          <w:sz w:val="24"/>
          <w:szCs w:val="24"/>
          <w:lang w:eastAsia="zh-CN"/>
        </w:rPr>
      </w:pPr>
      <w:r>
        <w:rPr>
          <w:rFonts w:ascii="仿宋" w:hAnsi="仿宋" w:eastAsia="仿宋" w:cs="宋体"/>
          <w:sz w:val="24"/>
          <w:szCs w:val="24"/>
          <w:lang w:eastAsia="zh-CN"/>
        </w:rPr>
        <w:t>项目名称：</w:t>
      </w:r>
    </w:p>
    <w:p>
      <w:pPr>
        <w:spacing w:line="360" w:lineRule="auto"/>
        <w:jc w:val="both"/>
        <w:rPr>
          <w:rFonts w:ascii="仿宋" w:hAnsi="仿宋" w:eastAsia="仿宋" w:cs="宋体"/>
          <w:sz w:val="24"/>
          <w:szCs w:val="24"/>
          <w:lang w:eastAsia="zh-CN"/>
        </w:rPr>
      </w:pPr>
      <w:r>
        <w:rPr>
          <w:rFonts w:ascii="仿宋" w:hAnsi="仿宋" w:eastAsia="仿宋" w:cs="宋体"/>
          <w:sz w:val="24"/>
          <w:szCs w:val="24"/>
          <w:lang w:eastAsia="zh-CN"/>
        </w:rPr>
        <w:t>所投包号：（项目只有一个包时填“1”）</w:t>
      </w:r>
    </w:p>
    <w:p>
      <w:pPr>
        <w:spacing w:line="360" w:lineRule="auto"/>
        <w:jc w:val="both"/>
        <w:rPr>
          <w:rFonts w:ascii="仿宋" w:hAnsi="仿宋" w:eastAsia="仿宋" w:cs="宋体"/>
          <w:sz w:val="24"/>
          <w:szCs w:val="24"/>
          <w:lang w:eastAsia="zh-CN"/>
        </w:rPr>
      </w:pPr>
    </w:p>
    <w:p>
      <w:pPr>
        <w:spacing w:line="360" w:lineRule="auto"/>
        <w:jc w:val="both"/>
        <w:rPr>
          <w:rFonts w:ascii="仿宋" w:hAnsi="仿宋" w:eastAsia="仿宋" w:cs="宋体"/>
          <w:sz w:val="24"/>
          <w:szCs w:val="24"/>
          <w:lang w:eastAsia="zh-CN"/>
        </w:rPr>
      </w:pPr>
    </w:p>
    <w:tbl>
      <w:tblPr>
        <w:tblStyle w:val="49"/>
        <w:tblW w:w="8987" w:type="dxa"/>
        <w:tblInd w:w="146" w:type="dxa"/>
        <w:tblLayout w:type="fixed"/>
        <w:tblCellMar>
          <w:top w:w="0" w:type="dxa"/>
          <w:left w:w="0" w:type="dxa"/>
          <w:bottom w:w="0" w:type="dxa"/>
          <w:right w:w="0" w:type="dxa"/>
        </w:tblCellMar>
      </w:tblPr>
      <w:tblGrid>
        <w:gridCol w:w="4493"/>
        <w:gridCol w:w="4494"/>
      </w:tblGrid>
      <w:tr>
        <w:tblPrEx>
          <w:tblCellMar>
            <w:top w:w="0" w:type="dxa"/>
            <w:left w:w="0" w:type="dxa"/>
            <w:bottom w:w="0" w:type="dxa"/>
            <w:right w:w="0" w:type="dxa"/>
          </w:tblCellMar>
        </w:tblPrEx>
        <w:trPr>
          <w:trHeight w:val="917" w:hRule="exact"/>
        </w:trPr>
        <w:tc>
          <w:tcPr>
            <w:tcW w:w="4493" w:type="dxa"/>
            <w:tcBorders>
              <w:top w:val="single" w:color="808080" w:sz="6" w:space="0"/>
              <w:left w:val="single" w:color="808080" w:sz="6" w:space="0"/>
              <w:bottom w:val="single" w:color="808080" w:sz="6" w:space="0"/>
              <w:right w:val="single" w:color="808080" w:sz="6" w:space="0"/>
            </w:tcBorders>
          </w:tcPr>
          <w:p>
            <w:pPr>
              <w:pStyle w:val="51"/>
              <w:spacing w:line="360" w:lineRule="auto"/>
              <w:jc w:val="both"/>
              <w:rPr>
                <w:rFonts w:ascii="仿宋" w:hAnsi="仿宋" w:eastAsia="仿宋" w:cs="宋体"/>
                <w:sz w:val="24"/>
                <w:szCs w:val="24"/>
                <w:lang w:eastAsia="zh-CN"/>
              </w:rPr>
            </w:pPr>
          </w:p>
          <w:p>
            <w:pPr>
              <w:pStyle w:val="51"/>
              <w:spacing w:line="360" w:lineRule="auto"/>
              <w:jc w:val="both"/>
              <w:rPr>
                <w:rFonts w:ascii="仿宋" w:hAnsi="仿宋" w:eastAsia="仿宋" w:cs="宋体"/>
                <w:sz w:val="24"/>
                <w:szCs w:val="24"/>
              </w:rPr>
            </w:pPr>
            <w:r>
              <w:rPr>
                <w:rFonts w:ascii="仿宋" w:hAnsi="仿宋" w:eastAsia="仿宋" w:cs="宋体"/>
                <w:sz w:val="24"/>
                <w:szCs w:val="24"/>
              </w:rPr>
              <w:t>项目名称</w:t>
            </w:r>
          </w:p>
        </w:tc>
        <w:tc>
          <w:tcPr>
            <w:tcW w:w="4494" w:type="dxa"/>
            <w:tcBorders>
              <w:top w:val="single" w:color="808080" w:sz="6" w:space="0"/>
              <w:left w:val="single" w:color="808080" w:sz="6" w:space="0"/>
              <w:bottom w:val="single" w:color="808080" w:sz="6" w:space="0"/>
              <w:right w:val="single" w:color="808080" w:sz="6" w:space="0"/>
            </w:tcBorders>
          </w:tcPr>
          <w:p>
            <w:pPr>
              <w:pStyle w:val="51"/>
              <w:spacing w:line="360" w:lineRule="auto"/>
              <w:jc w:val="both"/>
              <w:rPr>
                <w:rFonts w:ascii="仿宋" w:hAnsi="仿宋" w:eastAsia="仿宋" w:cs="宋体"/>
                <w:sz w:val="24"/>
                <w:szCs w:val="24"/>
              </w:rPr>
            </w:pPr>
          </w:p>
          <w:p>
            <w:pPr>
              <w:pStyle w:val="51"/>
              <w:spacing w:line="360" w:lineRule="auto"/>
              <w:jc w:val="both"/>
              <w:rPr>
                <w:rFonts w:ascii="仿宋" w:hAnsi="仿宋" w:eastAsia="仿宋" w:cs="宋体"/>
                <w:sz w:val="24"/>
                <w:szCs w:val="24"/>
              </w:rPr>
            </w:pPr>
            <w:r>
              <w:rPr>
                <w:rFonts w:ascii="仿宋" w:hAnsi="仿宋" w:eastAsia="仿宋" w:cs="宋体"/>
                <w:sz w:val="24"/>
                <w:szCs w:val="24"/>
              </w:rPr>
              <w:t>投标总报价</w:t>
            </w:r>
          </w:p>
        </w:tc>
      </w:tr>
      <w:tr>
        <w:tblPrEx>
          <w:tblCellMar>
            <w:top w:w="0" w:type="dxa"/>
            <w:left w:w="0" w:type="dxa"/>
            <w:bottom w:w="0" w:type="dxa"/>
            <w:right w:w="0" w:type="dxa"/>
          </w:tblCellMar>
        </w:tblPrEx>
        <w:trPr>
          <w:trHeight w:val="1416" w:hRule="exact"/>
        </w:trPr>
        <w:tc>
          <w:tcPr>
            <w:tcW w:w="4493" w:type="dxa"/>
            <w:tcBorders>
              <w:top w:val="single" w:color="808080" w:sz="6" w:space="0"/>
              <w:left w:val="single" w:color="808080" w:sz="6" w:space="0"/>
              <w:bottom w:val="single" w:color="808080" w:sz="6" w:space="0"/>
              <w:right w:val="single" w:color="808080" w:sz="6" w:space="0"/>
            </w:tcBorders>
          </w:tcPr>
          <w:p>
            <w:pPr>
              <w:pStyle w:val="51"/>
              <w:spacing w:line="360" w:lineRule="auto"/>
              <w:jc w:val="both"/>
              <w:rPr>
                <w:rFonts w:ascii="仿宋" w:hAnsi="仿宋" w:eastAsia="仿宋" w:cs="宋体"/>
                <w:sz w:val="24"/>
                <w:szCs w:val="24"/>
              </w:rPr>
            </w:pPr>
          </w:p>
          <w:p>
            <w:pPr>
              <w:pStyle w:val="51"/>
              <w:spacing w:line="360" w:lineRule="auto"/>
              <w:jc w:val="both"/>
              <w:rPr>
                <w:rFonts w:ascii="仿宋" w:hAnsi="仿宋" w:eastAsia="仿宋" w:cs="宋体"/>
                <w:sz w:val="24"/>
                <w:szCs w:val="24"/>
              </w:rPr>
            </w:pPr>
          </w:p>
        </w:tc>
        <w:tc>
          <w:tcPr>
            <w:tcW w:w="4494" w:type="dxa"/>
            <w:tcBorders>
              <w:top w:val="single" w:color="808080" w:sz="6" w:space="0"/>
              <w:left w:val="single" w:color="808080" w:sz="6" w:space="0"/>
              <w:bottom w:val="single" w:color="808080" w:sz="6" w:space="0"/>
              <w:right w:val="single" w:color="808080" w:sz="6" w:space="0"/>
            </w:tcBorders>
          </w:tcPr>
          <w:p>
            <w:pPr>
              <w:pStyle w:val="51"/>
              <w:spacing w:line="360" w:lineRule="auto"/>
              <w:jc w:val="both"/>
              <w:rPr>
                <w:rFonts w:ascii="仿宋" w:hAnsi="仿宋" w:eastAsia="仿宋" w:cs="宋体"/>
                <w:sz w:val="24"/>
                <w:szCs w:val="24"/>
              </w:rPr>
            </w:pPr>
            <w:r>
              <w:rPr>
                <w:rFonts w:ascii="仿宋" w:hAnsi="仿宋" w:eastAsia="仿宋" w:cs="宋体"/>
                <w:sz w:val="24"/>
                <w:szCs w:val="24"/>
              </w:rPr>
              <w:t>大写：</w:t>
            </w:r>
          </w:p>
          <w:p>
            <w:pPr>
              <w:pStyle w:val="51"/>
              <w:spacing w:line="360" w:lineRule="auto"/>
              <w:jc w:val="both"/>
              <w:rPr>
                <w:rFonts w:ascii="仿宋" w:hAnsi="仿宋" w:eastAsia="仿宋" w:cs="宋体"/>
                <w:sz w:val="24"/>
                <w:szCs w:val="24"/>
              </w:rPr>
            </w:pPr>
          </w:p>
          <w:p>
            <w:pPr>
              <w:pStyle w:val="51"/>
              <w:spacing w:line="360" w:lineRule="auto"/>
              <w:jc w:val="both"/>
              <w:rPr>
                <w:rFonts w:ascii="仿宋" w:hAnsi="仿宋" w:eastAsia="仿宋" w:cs="宋体"/>
                <w:sz w:val="24"/>
                <w:szCs w:val="24"/>
              </w:rPr>
            </w:pPr>
            <w:r>
              <w:rPr>
                <w:rFonts w:ascii="仿宋" w:hAnsi="仿宋" w:eastAsia="仿宋" w:cs="宋体"/>
                <w:sz w:val="24"/>
                <w:szCs w:val="24"/>
              </w:rPr>
              <w:t>小写：元</w:t>
            </w:r>
          </w:p>
        </w:tc>
      </w:tr>
    </w:tbl>
    <w:p>
      <w:pPr>
        <w:spacing w:line="360" w:lineRule="auto"/>
        <w:jc w:val="both"/>
        <w:rPr>
          <w:rFonts w:ascii="仿宋" w:hAnsi="仿宋" w:eastAsia="仿宋" w:cs="宋体"/>
          <w:sz w:val="24"/>
          <w:szCs w:val="24"/>
        </w:rPr>
      </w:pPr>
    </w:p>
    <w:p>
      <w:pPr>
        <w:spacing w:line="360" w:lineRule="auto"/>
        <w:jc w:val="both"/>
        <w:rPr>
          <w:rFonts w:ascii="仿宋" w:hAnsi="仿宋" w:eastAsia="仿宋" w:cs="宋体"/>
          <w:sz w:val="24"/>
          <w:szCs w:val="24"/>
        </w:rPr>
      </w:pPr>
      <w:r>
        <w:rPr>
          <w:rFonts w:ascii="仿宋" w:hAnsi="仿宋" w:eastAsia="仿宋" w:cs="宋体"/>
          <w:sz w:val="24"/>
          <w:szCs w:val="24"/>
        </w:rPr>
        <w:t>质保期限：</w:t>
      </w:r>
    </w:p>
    <w:p>
      <w:pPr>
        <w:spacing w:line="360" w:lineRule="auto"/>
        <w:jc w:val="both"/>
        <w:rPr>
          <w:rFonts w:ascii="仿宋" w:hAnsi="仿宋" w:eastAsia="仿宋" w:cs="宋体"/>
          <w:sz w:val="24"/>
          <w:szCs w:val="24"/>
          <w:lang w:eastAsia="zh-CN"/>
        </w:rPr>
      </w:pPr>
    </w:p>
    <w:p>
      <w:pPr>
        <w:spacing w:line="360" w:lineRule="auto"/>
        <w:jc w:val="both"/>
        <w:rPr>
          <w:rFonts w:ascii="仿宋" w:hAnsi="仿宋" w:eastAsia="仿宋" w:cs="宋体"/>
          <w:sz w:val="24"/>
          <w:szCs w:val="24"/>
          <w:lang w:eastAsia="zh-CN"/>
        </w:rPr>
      </w:pPr>
      <w:r>
        <w:rPr>
          <w:rFonts w:ascii="仿宋" w:hAnsi="仿宋" w:eastAsia="仿宋" w:cs="宋体"/>
          <w:sz w:val="24"/>
          <w:szCs w:val="24"/>
          <w:lang w:eastAsia="zh-CN"/>
        </w:rPr>
        <w:t>完工日期：</w:t>
      </w:r>
    </w:p>
    <w:p>
      <w:pPr>
        <w:spacing w:line="360" w:lineRule="auto"/>
        <w:jc w:val="both"/>
        <w:rPr>
          <w:rFonts w:ascii="仿宋" w:hAnsi="仿宋" w:eastAsia="仿宋" w:cs="宋体"/>
          <w:sz w:val="24"/>
          <w:szCs w:val="24"/>
          <w:lang w:eastAsia="zh-CN"/>
        </w:rPr>
      </w:pPr>
    </w:p>
    <w:p>
      <w:pPr>
        <w:spacing w:line="360" w:lineRule="auto"/>
        <w:jc w:val="both"/>
        <w:rPr>
          <w:rFonts w:ascii="仿宋" w:hAnsi="仿宋" w:eastAsia="仿宋" w:cs="宋体"/>
          <w:sz w:val="24"/>
          <w:szCs w:val="24"/>
          <w:lang w:eastAsia="zh-CN"/>
        </w:rPr>
      </w:pPr>
    </w:p>
    <w:p>
      <w:pPr>
        <w:spacing w:line="360" w:lineRule="auto"/>
        <w:jc w:val="both"/>
        <w:rPr>
          <w:rFonts w:ascii="仿宋" w:hAnsi="仿宋" w:eastAsia="仿宋" w:cs="宋体"/>
          <w:sz w:val="24"/>
          <w:szCs w:val="24"/>
          <w:lang w:eastAsia="zh-CN"/>
        </w:rPr>
      </w:pPr>
      <w:r>
        <w:rPr>
          <w:rFonts w:ascii="仿宋" w:hAnsi="仿宋" w:eastAsia="仿宋" w:cs="宋体"/>
          <w:sz w:val="24"/>
          <w:szCs w:val="24"/>
          <w:lang w:eastAsia="zh-CN"/>
        </w:rPr>
        <w:t>日</w:t>
      </w:r>
      <w:r>
        <w:rPr>
          <w:rFonts w:hint="eastAsia" w:ascii="仿宋" w:hAnsi="仿宋" w:eastAsia="仿宋" w:cs="宋体"/>
          <w:sz w:val="24"/>
          <w:szCs w:val="24"/>
          <w:lang w:eastAsia="zh-CN"/>
        </w:rPr>
        <w:t xml:space="preserve"> </w:t>
      </w:r>
      <w:r>
        <w:rPr>
          <w:rFonts w:ascii="仿宋" w:hAnsi="仿宋" w:eastAsia="仿宋" w:cs="宋体"/>
          <w:sz w:val="24"/>
          <w:szCs w:val="24"/>
          <w:lang w:eastAsia="zh-CN"/>
        </w:rPr>
        <w:t xml:space="preserve">   期：</w:t>
      </w:r>
    </w:p>
    <w:p>
      <w:pPr>
        <w:spacing w:line="360" w:lineRule="auto"/>
        <w:jc w:val="both"/>
        <w:rPr>
          <w:rFonts w:ascii="仿宋" w:hAnsi="仿宋" w:eastAsia="仿宋" w:cs="宋体"/>
          <w:sz w:val="24"/>
          <w:szCs w:val="24"/>
          <w:lang w:eastAsia="zh-CN"/>
        </w:rPr>
      </w:pPr>
    </w:p>
    <w:p>
      <w:pPr>
        <w:spacing w:line="360" w:lineRule="auto"/>
        <w:jc w:val="both"/>
        <w:rPr>
          <w:rFonts w:ascii="仿宋" w:hAnsi="仿宋" w:eastAsia="仿宋" w:cs="宋体"/>
          <w:sz w:val="24"/>
          <w:szCs w:val="24"/>
          <w:lang w:eastAsia="zh-CN"/>
        </w:rPr>
      </w:pPr>
    </w:p>
    <w:p>
      <w:pPr>
        <w:spacing w:line="360" w:lineRule="auto"/>
        <w:jc w:val="both"/>
        <w:rPr>
          <w:rFonts w:ascii="仿宋" w:hAnsi="仿宋" w:eastAsia="仿宋" w:cs="宋体"/>
          <w:sz w:val="24"/>
          <w:szCs w:val="24"/>
          <w:lang w:eastAsia="zh-CN"/>
        </w:rPr>
      </w:pPr>
    </w:p>
    <w:p>
      <w:pPr>
        <w:spacing w:line="360" w:lineRule="auto"/>
        <w:jc w:val="both"/>
        <w:rPr>
          <w:rFonts w:ascii="仿宋" w:hAnsi="仿宋" w:eastAsia="仿宋" w:cs="宋体"/>
          <w:sz w:val="24"/>
          <w:szCs w:val="24"/>
          <w:lang w:eastAsia="zh-CN"/>
        </w:rPr>
        <w:sectPr>
          <w:pgSz w:w="11910" w:h="16840"/>
          <w:pgMar w:top="1100" w:right="1420" w:bottom="1080" w:left="1220" w:header="880" w:footer="888" w:gutter="0"/>
          <w:pgBorders>
            <w:top w:val="none" w:sz="0" w:space="0"/>
            <w:left w:val="none" w:sz="0" w:space="0"/>
            <w:bottom w:val="none" w:sz="0" w:space="0"/>
            <w:right w:val="none" w:sz="0" w:space="0"/>
          </w:pgBorders>
          <w:pgNumType w:fmt="decimal"/>
          <w:cols w:space="720" w:num="1"/>
        </w:sectPr>
      </w:pPr>
    </w:p>
    <w:p>
      <w:pPr>
        <w:spacing w:line="360" w:lineRule="auto"/>
        <w:jc w:val="both"/>
        <w:rPr>
          <w:rFonts w:ascii="仿宋" w:hAnsi="仿宋" w:eastAsia="仿宋" w:cs="宋体"/>
          <w:sz w:val="24"/>
          <w:szCs w:val="24"/>
          <w:lang w:eastAsia="zh-CN"/>
        </w:rPr>
      </w:pPr>
    </w:p>
    <w:p>
      <w:pPr>
        <w:pStyle w:val="6"/>
        <w:numPr>
          <w:ilvl w:val="0"/>
          <w:numId w:val="0"/>
        </w:numPr>
        <w:spacing w:before="360" w:after="360"/>
        <w:ind w:left="864" w:hanging="864"/>
      </w:pPr>
      <w:bookmarkStart w:id="125" w:name="七、技术方案"/>
      <w:bookmarkEnd w:id="125"/>
      <w:r>
        <w:t>七、技术方案</w:t>
      </w:r>
    </w:p>
    <w:p>
      <w:pPr>
        <w:spacing w:line="360" w:lineRule="auto"/>
        <w:jc w:val="both"/>
        <w:rPr>
          <w:rFonts w:ascii="仿宋" w:hAnsi="仿宋" w:eastAsia="仿宋" w:cs="仿宋"/>
          <w:b/>
          <w:bCs/>
          <w:sz w:val="24"/>
          <w:szCs w:val="24"/>
          <w:lang w:eastAsia="zh-CN"/>
        </w:rPr>
      </w:pP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（内容格式自拟）</w:t>
      </w:r>
    </w:p>
    <w:p>
      <w:pPr>
        <w:spacing w:line="360" w:lineRule="auto"/>
        <w:jc w:val="both"/>
        <w:rPr>
          <w:rFonts w:ascii="仿宋" w:hAnsi="仿宋" w:eastAsia="仿宋" w:cs="仿宋"/>
          <w:sz w:val="24"/>
          <w:szCs w:val="24"/>
          <w:lang w:eastAsia="zh-CN"/>
        </w:rPr>
        <w:sectPr>
          <w:pgSz w:w="11910" w:h="16840"/>
          <w:pgMar w:top="1100" w:right="1440" w:bottom="1080" w:left="1220" w:header="880" w:footer="888" w:gutter="0"/>
          <w:pgBorders>
            <w:top w:val="none" w:sz="0" w:space="0"/>
            <w:left w:val="none" w:sz="0" w:space="0"/>
            <w:bottom w:val="none" w:sz="0" w:space="0"/>
            <w:right w:val="none" w:sz="0" w:space="0"/>
          </w:pgBorders>
          <w:pgNumType w:fmt="decimal"/>
          <w:cols w:space="720" w:num="1"/>
        </w:sectPr>
      </w:pPr>
    </w:p>
    <w:p>
      <w:pPr>
        <w:spacing w:line="360" w:lineRule="auto"/>
        <w:jc w:val="both"/>
        <w:rPr>
          <w:rFonts w:ascii="仿宋" w:hAnsi="仿宋" w:eastAsia="仿宋" w:cs="仿宋"/>
          <w:sz w:val="24"/>
          <w:szCs w:val="24"/>
          <w:lang w:eastAsia="zh-CN"/>
        </w:rPr>
      </w:pPr>
    </w:p>
    <w:p>
      <w:pPr>
        <w:pStyle w:val="7"/>
        <w:numPr>
          <w:ilvl w:val="0"/>
          <w:numId w:val="0"/>
        </w:numPr>
        <w:spacing w:before="360" w:after="360"/>
        <w:ind w:left="1008" w:hanging="1008"/>
        <w:rPr>
          <w:b/>
          <w:bCs/>
          <w:lang w:eastAsia="zh-CN"/>
        </w:rPr>
      </w:pPr>
      <w:bookmarkStart w:id="126" w:name="附件："/>
      <w:bookmarkEnd w:id="126"/>
      <w:r>
        <w:rPr>
          <w:lang w:eastAsia="zh-CN"/>
        </w:rPr>
        <w:t>附</w:t>
      </w:r>
      <w:r>
        <w:rPr>
          <w:rFonts w:hint="eastAsia"/>
          <w:lang w:eastAsia="zh-CN"/>
        </w:rPr>
        <w:t xml:space="preserve"> </w:t>
      </w:r>
      <w:r>
        <w:rPr>
          <w:lang w:eastAsia="zh-CN"/>
        </w:rPr>
        <w:t>件：</w:t>
      </w:r>
    </w:p>
    <w:p>
      <w:pPr>
        <w:spacing w:line="360" w:lineRule="auto"/>
        <w:jc w:val="both"/>
        <w:rPr>
          <w:rFonts w:ascii="仿宋" w:hAnsi="仿宋" w:eastAsia="仿宋" w:cs="宋体"/>
          <w:b/>
          <w:bCs/>
          <w:sz w:val="24"/>
          <w:szCs w:val="24"/>
          <w:lang w:eastAsia="zh-CN"/>
        </w:rPr>
      </w:pPr>
    </w:p>
    <w:p>
      <w:pPr>
        <w:spacing w:line="360" w:lineRule="auto"/>
        <w:jc w:val="both"/>
        <w:rPr>
          <w:rFonts w:ascii="仿宋" w:hAnsi="仿宋" w:eastAsia="仿宋" w:cs="仿宋"/>
          <w:sz w:val="24"/>
          <w:szCs w:val="24"/>
          <w:lang w:eastAsia="zh-CN"/>
        </w:rPr>
      </w:pPr>
      <w:r>
        <w:rPr>
          <w:rFonts w:ascii="仿宋" w:hAnsi="仿宋" w:eastAsia="仿宋" w:cs="仿宋"/>
          <w:b/>
          <w:bCs/>
          <w:sz w:val="24"/>
          <w:szCs w:val="24"/>
          <w:lang w:eastAsia="zh-CN"/>
        </w:rPr>
        <w:t>质疑函范本（一式两份）</w:t>
      </w:r>
    </w:p>
    <w:p>
      <w:pPr>
        <w:pStyle w:val="18"/>
        <w:spacing w:before="0" w:line="360" w:lineRule="auto"/>
        <w:ind w:left="0"/>
        <w:jc w:val="both"/>
        <w:rPr>
          <w:rFonts w:cs="宋体"/>
          <w:sz w:val="24"/>
          <w:szCs w:val="24"/>
          <w:lang w:eastAsia="zh-CN"/>
        </w:rPr>
      </w:pPr>
      <w:r>
        <w:rPr>
          <w:rFonts w:cs="宋体"/>
          <w:sz w:val="24"/>
          <w:szCs w:val="24"/>
          <w:lang w:eastAsia="zh-CN"/>
        </w:rPr>
        <w:t>请根据中华人民共和国国务院令第94号提出质疑及证明材料</w:t>
      </w:r>
    </w:p>
    <w:p>
      <w:pPr>
        <w:spacing w:line="360" w:lineRule="auto"/>
        <w:jc w:val="both"/>
        <w:rPr>
          <w:rFonts w:ascii="仿宋" w:hAnsi="仿宋" w:eastAsia="仿宋" w:cs="宋体"/>
          <w:b/>
          <w:bCs/>
          <w:sz w:val="24"/>
          <w:szCs w:val="24"/>
          <w:lang w:eastAsia="zh-CN"/>
        </w:rPr>
      </w:pP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一、质疑供应商基本信息质疑供应商：</w:t>
      </w:r>
    </w:p>
    <w:p>
      <w:pPr>
        <w:tabs>
          <w:tab w:val="left" w:pos="4346"/>
        </w:tabs>
        <w:spacing w:line="360" w:lineRule="auto"/>
        <w:jc w:val="both"/>
        <w:rPr>
          <w:rFonts w:ascii="仿宋" w:hAnsi="仿宋" w:eastAsia="仿宋" w:cs="仿宋"/>
          <w:sz w:val="24"/>
          <w:szCs w:val="24"/>
          <w:lang w:eastAsia="zh-CN"/>
        </w:rPr>
      </w:pPr>
      <w:r>
        <w:rPr>
          <w:rFonts w:ascii="仿宋" w:hAnsi="仿宋" w:eastAsia="仿宋" w:cs="仿宋"/>
          <w:spacing w:val="-1"/>
          <w:sz w:val="24"/>
          <w:szCs w:val="24"/>
          <w:lang w:eastAsia="zh-CN"/>
        </w:rPr>
        <w:t>地址：</w:t>
      </w:r>
      <w:r>
        <w:rPr>
          <w:rFonts w:ascii="仿宋" w:hAnsi="仿宋" w:eastAsia="仿宋" w:cs="Times New Roman"/>
          <w:spacing w:val="-1"/>
          <w:sz w:val="24"/>
          <w:szCs w:val="24"/>
          <w:u w:val="single" w:color="000000"/>
          <w:lang w:eastAsia="zh-CN"/>
        </w:rPr>
        <w:tab/>
      </w:r>
      <w:r>
        <w:rPr>
          <w:rFonts w:ascii="仿宋" w:hAnsi="仿宋" w:eastAsia="仿宋" w:cs="仿宋"/>
          <w:sz w:val="24"/>
          <w:szCs w:val="24"/>
          <w:lang w:eastAsia="zh-CN"/>
        </w:rPr>
        <w:t>邮编：</w:t>
      </w:r>
      <w:r>
        <w:rPr>
          <w:rFonts w:ascii="仿宋" w:hAnsi="仿宋" w:eastAsia="仿宋" w:cs="仿宋"/>
          <w:spacing w:val="-1"/>
          <w:sz w:val="24"/>
          <w:szCs w:val="24"/>
          <w:lang w:eastAsia="zh-CN"/>
        </w:rPr>
        <w:t>联系人：</w:t>
      </w:r>
      <w:r>
        <w:rPr>
          <w:rFonts w:ascii="仿宋" w:hAnsi="仿宋" w:eastAsia="仿宋" w:cs="Times New Roman"/>
          <w:spacing w:val="-1"/>
          <w:sz w:val="24"/>
          <w:szCs w:val="24"/>
          <w:u w:val="single" w:color="000000"/>
          <w:lang w:eastAsia="zh-CN"/>
        </w:rPr>
        <w:tab/>
      </w:r>
      <w:r>
        <w:rPr>
          <w:rFonts w:ascii="仿宋" w:hAnsi="仿宋" w:eastAsia="仿宋" w:cs="仿宋"/>
          <w:sz w:val="24"/>
          <w:szCs w:val="24"/>
          <w:lang w:eastAsia="zh-CN"/>
        </w:rPr>
        <w:t>联系电话：授权代表：</w:t>
      </w: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联系电话：</w:t>
      </w:r>
    </w:p>
    <w:p>
      <w:pPr>
        <w:tabs>
          <w:tab w:val="left" w:pos="4466"/>
        </w:tabs>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地址：</w:t>
      </w:r>
      <w:r>
        <w:rPr>
          <w:rFonts w:ascii="仿宋" w:hAnsi="仿宋" w:eastAsia="仿宋" w:cs="Times New Roman"/>
          <w:sz w:val="24"/>
          <w:szCs w:val="24"/>
          <w:u w:val="single" w:color="000000"/>
          <w:lang w:eastAsia="zh-CN"/>
        </w:rPr>
        <w:tab/>
      </w:r>
      <w:r>
        <w:rPr>
          <w:rFonts w:ascii="仿宋" w:hAnsi="仿宋" w:eastAsia="仿宋" w:cs="仿宋"/>
          <w:sz w:val="24"/>
          <w:szCs w:val="24"/>
          <w:lang w:eastAsia="zh-CN"/>
        </w:rPr>
        <w:t>邮编：二、质疑项目基本情况</w:t>
      </w: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质疑项目的名称：</w:t>
      </w:r>
    </w:p>
    <w:p>
      <w:pPr>
        <w:tabs>
          <w:tab w:val="left" w:pos="5066"/>
        </w:tabs>
        <w:spacing w:line="360" w:lineRule="auto"/>
        <w:jc w:val="both"/>
        <w:rPr>
          <w:rFonts w:ascii="仿宋" w:hAnsi="仿宋" w:eastAsia="仿宋" w:cs="仿宋"/>
          <w:sz w:val="24"/>
          <w:szCs w:val="24"/>
          <w:lang w:eastAsia="zh-CN"/>
        </w:rPr>
      </w:pPr>
      <w:r>
        <w:rPr>
          <w:rFonts w:ascii="仿宋" w:hAnsi="仿宋" w:eastAsia="仿宋" w:cs="仿宋"/>
          <w:spacing w:val="-1"/>
          <w:sz w:val="24"/>
          <w:szCs w:val="24"/>
          <w:lang w:eastAsia="zh-CN"/>
        </w:rPr>
        <w:t>质疑项目的编号：</w:t>
      </w:r>
      <w:r>
        <w:rPr>
          <w:rFonts w:ascii="仿宋" w:hAnsi="仿宋" w:eastAsia="仿宋" w:cs="Times New Roman"/>
          <w:spacing w:val="-1"/>
          <w:sz w:val="24"/>
          <w:szCs w:val="24"/>
          <w:u w:val="single" w:color="000000"/>
          <w:lang w:eastAsia="zh-CN"/>
        </w:rPr>
        <w:tab/>
      </w:r>
      <w:r>
        <w:rPr>
          <w:rFonts w:ascii="仿宋" w:hAnsi="仿宋" w:eastAsia="仿宋" w:cs="仿宋"/>
          <w:sz w:val="24"/>
          <w:szCs w:val="24"/>
          <w:lang w:eastAsia="zh-CN"/>
        </w:rPr>
        <w:t>包号：采购人名称：</w:t>
      </w: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采购文件获取日期：三、质疑事项具体内容质疑事项1：事实依据：</w:t>
      </w: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法律依据：质疑事项2</w:t>
      </w: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……四、与质疑事项相关的质疑请求请求：</w:t>
      </w:r>
    </w:p>
    <w:p>
      <w:pPr>
        <w:tabs>
          <w:tab w:val="left" w:pos="3866"/>
        </w:tabs>
        <w:spacing w:line="360" w:lineRule="auto"/>
        <w:jc w:val="both"/>
        <w:rPr>
          <w:rFonts w:ascii="仿宋" w:hAnsi="仿宋" w:eastAsia="仿宋" w:cs="仿宋"/>
          <w:sz w:val="24"/>
          <w:szCs w:val="24"/>
          <w:lang w:eastAsia="zh-CN"/>
        </w:rPr>
      </w:pPr>
      <w:r>
        <w:rPr>
          <w:rFonts w:ascii="仿宋" w:hAnsi="仿宋" w:eastAsia="仿宋" w:cs="仿宋"/>
          <w:spacing w:val="-1"/>
          <w:sz w:val="24"/>
          <w:szCs w:val="24"/>
          <w:lang w:eastAsia="zh-CN"/>
        </w:rPr>
        <w:t>签字(签章)：</w:t>
      </w:r>
      <w:r>
        <w:rPr>
          <w:rFonts w:ascii="仿宋" w:hAnsi="仿宋" w:eastAsia="仿宋" w:cs="仿宋"/>
          <w:spacing w:val="-1"/>
          <w:sz w:val="24"/>
          <w:szCs w:val="24"/>
          <w:lang w:eastAsia="zh-CN"/>
        </w:rPr>
        <w:tab/>
      </w:r>
      <w:r>
        <w:rPr>
          <w:rFonts w:ascii="仿宋" w:hAnsi="仿宋" w:eastAsia="仿宋" w:cs="仿宋"/>
          <w:sz w:val="24"/>
          <w:szCs w:val="24"/>
          <w:lang w:eastAsia="zh-CN"/>
        </w:rPr>
        <w:t>公章：</w:t>
      </w:r>
    </w:p>
    <w:p>
      <w:pPr>
        <w:spacing w:line="360" w:lineRule="auto"/>
        <w:jc w:val="both"/>
        <w:rPr>
          <w:rFonts w:ascii="仿宋" w:hAnsi="仿宋" w:eastAsia="仿宋" w:cs="仿宋"/>
          <w:sz w:val="24"/>
          <w:szCs w:val="24"/>
          <w:lang w:eastAsia="zh-CN"/>
        </w:rPr>
      </w:pPr>
    </w:p>
    <w:p>
      <w:pPr>
        <w:spacing w:line="360" w:lineRule="auto"/>
        <w:jc w:val="both"/>
        <w:rPr>
          <w:rFonts w:ascii="仿宋" w:hAnsi="仿宋" w:eastAsia="仿宋" w:cs="仿宋"/>
          <w:sz w:val="24"/>
          <w:szCs w:val="24"/>
          <w:lang w:eastAsia="zh-CN"/>
        </w:rPr>
      </w:pPr>
      <w:r>
        <w:rPr>
          <w:rFonts w:ascii="仿宋" w:hAnsi="仿宋" w:eastAsia="仿宋" w:cs="仿宋"/>
          <w:sz w:val="24"/>
          <w:szCs w:val="24"/>
          <w:lang w:eastAsia="zh-CN"/>
        </w:rPr>
        <w:t>日期：</w:t>
      </w:r>
    </w:p>
    <w:p>
      <w:pPr>
        <w:spacing w:line="360" w:lineRule="auto"/>
        <w:jc w:val="both"/>
        <w:rPr>
          <w:rFonts w:ascii="仿宋" w:hAnsi="仿宋" w:eastAsia="仿宋" w:cs="仿宋"/>
          <w:sz w:val="24"/>
          <w:szCs w:val="24"/>
          <w:lang w:eastAsia="zh-CN"/>
        </w:rPr>
      </w:pPr>
    </w:p>
    <w:p>
      <w:pPr>
        <w:jc w:val="both"/>
        <w:rPr>
          <w:rFonts w:ascii="仿宋" w:hAnsi="仿宋" w:eastAsia="仿宋" w:cs="仿宋"/>
          <w:sz w:val="21"/>
          <w:szCs w:val="21"/>
          <w:lang w:eastAsia="zh-CN"/>
        </w:rPr>
      </w:pPr>
      <w:r>
        <w:rPr>
          <w:rFonts w:ascii="仿宋" w:hAnsi="仿宋" w:eastAsia="仿宋" w:cs="仿宋"/>
          <w:b/>
          <w:bCs/>
          <w:sz w:val="21"/>
          <w:szCs w:val="21"/>
          <w:lang w:eastAsia="zh-CN"/>
        </w:rPr>
        <w:t>质疑函制作说明：</w:t>
      </w:r>
    </w:p>
    <w:p>
      <w:pPr>
        <w:jc w:val="both"/>
        <w:rPr>
          <w:rFonts w:ascii="仿宋" w:hAnsi="仿宋" w:eastAsia="仿宋" w:cs="仿宋"/>
          <w:sz w:val="21"/>
          <w:szCs w:val="21"/>
          <w:lang w:eastAsia="zh-CN"/>
        </w:rPr>
      </w:pPr>
      <w:r>
        <w:rPr>
          <w:rFonts w:ascii="仿宋" w:hAnsi="仿宋" w:eastAsia="仿宋" w:cs="仿宋"/>
          <w:sz w:val="21"/>
          <w:szCs w:val="21"/>
          <w:lang w:eastAsia="zh-CN"/>
        </w:rPr>
        <w:t>1.供应商提出质疑时，应提交质疑函和必要的证明材料。</w:t>
      </w:r>
    </w:p>
    <w:p>
      <w:pPr>
        <w:jc w:val="both"/>
        <w:rPr>
          <w:rFonts w:ascii="仿宋" w:hAnsi="仿宋" w:eastAsia="仿宋" w:cs="仿宋"/>
          <w:sz w:val="21"/>
          <w:szCs w:val="21"/>
          <w:lang w:eastAsia="zh-CN"/>
        </w:rPr>
      </w:pPr>
      <w:r>
        <w:rPr>
          <w:rFonts w:ascii="仿宋" w:hAnsi="仿宋" w:eastAsia="仿宋" w:cs="仿宋"/>
          <w:sz w:val="21"/>
          <w:szCs w:val="21"/>
          <w:lang w:eastAsia="zh-CN"/>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jc w:val="both"/>
        <w:rPr>
          <w:rFonts w:ascii="仿宋" w:hAnsi="仿宋" w:eastAsia="仿宋" w:cs="仿宋"/>
          <w:sz w:val="21"/>
          <w:szCs w:val="21"/>
          <w:lang w:eastAsia="zh-CN"/>
        </w:rPr>
      </w:pPr>
      <w:r>
        <w:rPr>
          <w:rFonts w:ascii="仿宋" w:hAnsi="仿宋" w:eastAsia="仿宋" w:cs="仿宋"/>
          <w:sz w:val="21"/>
          <w:szCs w:val="21"/>
          <w:lang w:eastAsia="zh-CN"/>
        </w:rPr>
        <w:t>3.质疑供应商若对项目的某一分包进行质疑，质疑函中应列明具体分包号。</w:t>
      </w:r>
    </w:p>
    <w:p>
      <w:pPr>
        <w:jc w:val="both"/>
        <w:rPr>
          <w:rFonts w:ascii="仿宋" w:hAnsi="仿宋" w:eastAsia="仿宋" w:cs="仿宋"/>
          <w:sz w:val="21"/>
          <w:szCs w:val="21"/>
          <w:lang w:eastAsia="zh-CN"/>
        </w:rPr>
      </w:pPr>
      <w:r>
        <w:rPr>
          <w:rFonts w:ascii="仿宋" w:hAnsi="仿宋" w:eastAsia="仿宋" w:cs="仿宋"/>
          <w:sz w:val="21"/>
          <w:szCs w:val="21"/>
          <w:lang w:eastAsia="zh-CN"/>
        </w:rPr>
        <w:t>4.质疑函的质疑事项应具体、明确，并有必要的事实依据和法律依据。</w:t>
      </w:r>
    </w:p>
    <w:p>
      <w:pPr>
        <w:jc w:val="both"/>
        <w:rPr>
          <w:rFonts w:ascii="仿宋" w:hAnsi="仿宋" w:eastAsia="仿宋" w:cs="仿宋"/>
          <w:sz w:val="21"/>
          <w:szCs w:val="21"/>
          <w:lang w:eastAsia="zh-CN"/>
        </w:rPr>
      </w:pPr>
      <w:r>
        <w:rPr>
          <w:rFonts w:ascii="仿宋" w:hAnsi="仿宋" w:eastAsia="仿宋" w:cs="仿宋"/>
          <w:sz w:val="21"/>
          <w:szCs w:val="21"/>
          <w:lang w:eastAsia="zh-CN"/>
        </w:rPr>
        <w:t>5.质疑函的质疑请求应与质疑事项相关。</w:t>
      </w:r>
    </w:p>
    <w:p>
      <w:pPr>
        <w:jc w:val="both"/>
        <w:rPr>
          <w:rFonts w:ascii="仿宋" w:hAnsi="仿宋" w:eastAsia="仿宋" w:cs="仿宋"/>
          <w:sz w:val="21"/>
          <w:szCs w:val="21"/>
          <w:lang w:eastAsia="zh-CN"/>
        </w:rPr>
      </w:pPr>
      <w:r>
        <w:rPr>
          <w:rFonts w:ascii="仿宋" w:hAnsi="仿宋" w:eastAsia="仿宋" w:cs="仿宋"/>
          <w:sz w:val="21"/>
          <w:szCs w:val="21"/>
          <w:lang w:eastAsia="zh-CN"/>
        </w:rPr>
        <w:t>6.质疑供应商为自然人的，质疑函应由本人签字；质疑供应商为法人或者其他组织的，质疑函应由法定代表人、主要负责人，或者其授权代表签字或者盖章，并加盖公章。</w:t>
      </w:r>
    </w:p>
    <w:p>
      <w:pPr>
        <w:spacing w:line="360" w:lineRule="auto"/>
        <w:jc w:val="both"/>
        <w:rPr>
          <w:rFonts w:ascii="仿宋" w:hAnsi="仿宋" w:eastAsia="仿宋" w:cs="仿宋"/>
          <w:sz w:val="24"/>
          <w:szCs w:val="24"/>
          <w:lang w:eastAsia="zh-CN"/>
        </w:rPr>
        <w:sectPr>
          <w:pgSz w:w="11910" w:h="16840"/>
          <w:pgMar w:top="1100" w:right="1440" w:bottom="1080" w:left="1220" w:header="880" w:footer="888" w:gutter="0"/>
          <w:pgBorders>
            <w:top w:val="none" w:sz="0" w:space="0"/>
            <w:left w:val="none" w:sz="0" w:space="0"/>
            <w:bottom w:val="none" w:sz="0" w:space="0"/>
            <w:right w:val="none" w:sz="0" w:space="0"/>
          </w:pgBorders>
          <w:pgNumType w:fmt="decimal"/>
          <w:cols w:space="720" w:num="1"/>
        </w:sectPr>
      </w:pPr>
    </w:p>
    <w:p>
      <w:pPr>
        <w:spacing w:line="360" w:lineRule="auto"/>
        <w:jc w:val="both"/>
        <w:rPr>
          <w:rFonts w:ascii="仿宋" w:hAnsi="仿宋" w:eastAsia="仿宋" w:cs="仿宋"/>
          <w:sz w:val="24"/>
          <w:szCs w:val="24"/>
          <w:lang w:eastAsia="zh-CN"/>
        </w:rPr>
      </w:pPr>
    </w:p>
    <w:p>
      <w:pPr>
        <w:pStyle w:val="6"/>
        <w:numPr>
          <w:ilvl w:val="0"/>
          <w:numId w:val="0"/>
        </w:numPr>
        <w:spacing w:before="360" w:after="360"/>
        <w:ind w:left="864" w:hanging="864"/>
        <w:rPr>
          <w:lang w:eastAsia="zh-CN"/>
        </w:rPr>
      </w:pPr>
      <w:bookmarkStart w:id="127" w:name="八、企业实力"/>
      <w:bookmarkEnd w:id="127"/>
      <w:r>
        <w:rPr>
          <w:lang w:eastAsia="zh-CN"/>
        </w:rPr>
        <w:t>八、企业实力</w:t>
      </w:r>
    </w:p>
    <w:p>
      <w:pPr>
        <w:spacing w:line="360" w:lineRule="auto"/>
        <w:jc w:val="both"/>
        <w:rPr>
          <w:rFonts w:ascii="仿宋" w:hAnsi="仿宋" w:eastAsia="仿宋"/>
          <w:sz w:val="24"/>
          <w:szCs w:val="24"/>
          <w:lang w:eastAsia="zh-CN"/>
        </w:rPr>
        <w:sectPr>
          <w:pgSz w:w="11910" w:h="16840"/>
          <w:pgMar w:top="1100" w:right="1440" w:bottom="1080" w:left="1220" w:header="880" w:footer="888" w:gutter="0"/>
          <w:pgBorders>
            <w:top w:val="none" w:sz="0" w:space="0"/>
            <w:left w:val="none" w:sz="0" w:space="0"/>
            <w:bottom w:val="none" w:sz="0" w:space="0"/>
            <w:right w:val="none" w:sz="0" w:space="0"/>
          </w:pgBorders>
          <w:pgNumType w:fmt="decimal"/>
          <w:cols w:space="720" w:num="1"/>
        </w:sectPr>
      </w:pPr>
    </w:p>
    <w:p>
      <w:pPr>
        <w:spacing w:line="360" w:lineRule="auto"/>
        <w:jc w:val="both"/>
        <w:rPr>
          <w:rFonts w:ascii="仿宋" w:hAnsi="仿宋" w:eastAsia="仿宋" w:cs="仿宋"/>
          <w:sz w:val="24"/>
          <w:szCs w:val="24"/>
          <w:lang w:eastAsia="zh-CN"/>
        </w:rPr>
      </w:pPr>
    </w:p>
    <w:p>
      <w:pPr>
        <w:pStyle w:val="6"/>
        <w:numPr>
          <w:ilvl w:val="0"/>
          <w:numId w:val="0"/>
        </w:numPr>
        <w:spacing w:before="360" w:after="360"/>
        <w:ind w:left="864" w:hanging="864"/>
        <w:rPr>
          <w:lang w:eastAsia="zh-CN"/>
        </w:rPr>
      </w:pPr>
      <w:bookmarkStart w:id="128" w:name="九、类似业绩"/>
      <w:bookmarkEnd w:id="128"/>
      <w:r>
        <w:rPr>
          <w:lang w:eastAsia="zh-CN"/>
        </w:rPr>
        <w:t>九、类似业绩</w:t>
      </w:r>
    </w:p>
    <w:p>
      <w:pPr>
        <w:spacing w:line="360" w:lineRule="auto"/>
        <w:jc w:val="both"/>
        <w:rPr>
          <w:rFonts w:ascii="仿宋" w:hAnsi="仿宋" w:eastAsia="仿宋"/>
          <w:sz w:val="24"/>
          <w:szCs w:val="24"/>
          <w:lang w:eastAsia="zh-CN"/>
        </w:rPr>
        <w:sectPr>
          <w:footerReference r:id="rId15" w:type="default"/>
          <w:pgSz w:w="11910" w:h="16840"/>
          <w:pgMar w:top="1100" w:right="1440" w:bottom="1080" w:left="1220" w:header="880" w:footer="888" w:gutter="0"/>
          <w:pgBorders>
            <w:top w:val="none" w:sz="0" w:space="0"/>
            <w:left w:val="none" w:sz="0" w:space="0"/>
            <w:bottom w:val="none" w:sz="0" w:space="0"/>
            <w:right w:val="none" w:sz="0" w:space="0"/>
          </w:pgBorders>
          <w:pgNumType w:fmt="decimal"/>
          <w:cols w:space="720" w:num="1"/>
        </w:sectPr>
      </w:pPr>
    </w:p>
    <w:p>
      <w:pPr>
        <w:spacing w:line="360" w:lineRule="auto"/>
        <w:jc w:val="both"/>
        <w:rPr>
          <w:rFonts w:ascii="仿宋" w:hAnsi="仿宋" w:eastAsia="仿宋" w:cs="仿宋"/>
          <w:sz w:val="24"/>
          <w:szCs w:val="24"/>
          <w:lang w:eastAsia="zh-CN"/>
        </w:rPr>
      </w:pPr>
    </w:p>
    <w:p>
      <w:pPr>
        <w:pStyle w:val="6"/>
        <w:numPr>
          <w:ilvl w:val="0"/>
          <w:numId w:val="0"/>
        </w:numPr>
        <w:spacing w:before="360" w:after="360"/>
        <w:ind w:left="864" w:hanging="864"/>
        <w:rPr>
          <w:lang w:eastAsia="zh-CN"/>
        </w:rPr>
      </w:pPr>
      <w:bookmarkStart w:id="129" w:name="十、人员配置"/>
      <w:bookmarkEnd w:id="129"/>
      <w:r>
        <w:rPr>
          <w:lang w:eastAsia="zh-CN"/>
        </w:rPr>
        <w:t>十、人员配置</w:t>
      </w:r>
    </w:p>
    <w:p>
      <w:pPr>
        <w:spacing w:line="360" w:lineRule="auto"/>
        <w:jc w:val="both"/>
        <w:rPr>
          <w:rFonts w:ascii="仿宋" w:hAnsi="仿宋" w:eastAsia="仿宋"/>
          <w:sz w:val="24"/>
          <w:szCs w:val="24"/>
          <w:lang w:eastAsia="zh-CN"/>
        </w:rPr>
        <w:sectPr>
          <w:footerReference r:id="rId16" w:type="default"/>
          <w:pgSz w:w="11910" w:h="16840"/>
          <w:pgMar w:top="1100" w:right="1440" w:bottom="1080" w:left="1220" w:header="880" w:footer="888" w:gutter="0"/>
          <w:pgBorders>
            <w:top w:val="none" w:sz="0" w:space="0"/>
            <w:left w:val="none" w:sz="0" w:space="0"/>
            <w:bottom w:val="none" w:sz="0" w:space="0"/>
            <w:right w:val="none" w:sz="0" w:space="0"/>
          </w:pgBorders>
          <w:pgNumType w:fmt="decimal"/>
          <w:cols w:space="720" w:num="1"/>
        </w:sectPr>
      </w:pPr>
    </w:p>
    <w:p>
      <w:pPr>
        <w:spacing w:line="360" w:lineRule="auto"/>
        <w:jc w:val="both"/>
        <w:rPr>
          <w:rFonts w:ascii="仿宋" w:hAnsi="仿宋" w:eastAsia="仿宋" w:cs="仿宋"/>
          <w:sz w:val="24"/>
          <w:szCs w:val="24"/>
          <w:lang w:eastAsia="zh-CN"/>
        </w:rPr>
      </w:pPr>
    </w:p>
    <w:p>
      <w:pPr>
        <w:pStyle w:val="6"/>
        <w:numPr>
          <w:ilvl w:val="0"/>
          <w:numId w:val="0"/>
        </w:numPr>
        <w:spacing w:before="360" w:after="360"/>
        <w:ind w:left="864" w:hanging="864"/>
        <w:rPr>
          <w:lang w:eastAsia="zh-CN"/>
        </w:rPr>
      </w:pPr>
      <w:bookmarkStart w:id="130" w:name="十一、技术要求"/>
      <w:bookmarkEnd w:id="130"/>
      <w:r>
        <w:rPr>
          <w:lang w:eastAsia="zh-CN"/>
        </w:rPr>
        <w:t>十一、技术要求</w:t>
      </w:r>
    </w:p>
    <w:p>
      <w:pPr>
        <w:spacing w:line="360" w:lineRule="auto"/>
        <w:jc w:val="both"/>
        <w:rPr>
          <w:rFonts w:ascii="仿宋" w:hAnsi="仿宋" w:eastAsia="仿宋" w:cs="仿宋"/>
          <w:sz w:val="24"/>
          <w:szCs w:val="24"/>
          <w:lang w:eastAsia="zh-CN"/>
        </w:rPr>
        <w:sectPr>
          <w:pgSz w:w="11910" w:h="16840"/>
          <w:pgMar w:top="1100" w:right="1440" w:bottom="1080" w:left="1220" w:header="880" w:footer="888" w:gutter="0"/>
          <w:pgBorders>
            <w:top w:val="none" w:sz="0" w:space="0"/>
            <w:left w:val="none" w:sz="0" w:space="0"/>
            <w:bottom w:val="none" w:sz="0" w:space="0"/>
            <w:right w:val="none" w:sz="0" w:space="0"/>
          </w:pgBorders>
          <w:pgNumType w:fmt="decimal"/>
          <w:cols w:space="720" w:num="1"/>
        </w:sectPr>
      </w:pPr>
    </w:p>
    <w:p>
      <w:pPr>
        <w:spacing w:line="360" w:lineRule="auto"/>
        <w:jc w:val="both"/>
        <w:rPr>
          <w:rFonts w:ascii="仿宋" w:hAnsi="仿宋" w:eastAsia="仿宋" w:cs="仿宋"/>
          <w:sz w:val="24"/>
          <w:szCs w:val="24"/>
          <w:lang w:eastAsia="zh-CN"/>
        </w:rPr>
      </w:pPr>
    </w:p>
    <w:p>
      <w:pPr>
        <w:pStyle w:val="6"/>
        <w:numPr>
          <w:ilvl w:val="0"/>
          <w:numId w:val="0"/>
        </w:numPr>
        <w:spacing w:before="360" w:after="360"/>
        <w:ind w:left="864" w:hanging="864"/>
        <w:rPr>
          <w:lang w:eastAsia="zh-CN"/>
        </w:rPr>
      </w:pPr>
      <w:bookmarkStart w:id="131" w:name="十二、大厅设计方案"/>
      <w:bookmarkEnd w:id="131"/>
      <w:r>
        <w:rPr>
          <w:lang w:eastAsia="zh-CN"/>
        </w:rPr>
        <w:t>十二、</w:t>
      </w:r>
      <w:r>
        <w:rPr>
          <w:color w:val="auto"/>
          <w:lang w:eastAsia="zh-CN"/>
        </w:rPr>
        <w:t>大厅</w:t>
      </w:r>
      <w:r>
        <w:rPr>
          <w:lang w:eastAsia="zh-CN"/>
        </w:rPr>
        <w:t>设计方案</w:t>
      </w:r>
    </w:p>
    <w:p>
      <w:pPr>
        <w:spacing w:line="360" w:lineRule="auto"/>
        <w:jc w:val="both"/>
        <w:rPr>
          <w:rFonts w:ascii="仿宋" w:hAnsi="仿宋" w:eastAsia="仿宋" w:cs="仿宋"/>
          <w:sz w:val="24"/>
          <w:szCs w:val="24"/>
          <w:lang w:eastAsia="zh-CN"/>
        </w:rPr>
        <w:sectPr>
          <w:pgSz w:w="11910" w:h="16840"/>
          <w:pgMar w:top="1100" w:right="1440" w:bottom="1080" w:left="1220" w:header="880" w:footer="888" w:gutter="0"/>
          <w:pgBorders>
            <w:top w:val="none" w:sz="0" w:space="0"/>
            <w:left w:val="none" w:sz="0" w:space="0"/>
            <w:bottom w:val="none" w:sz="0" w:space="0"/>
            <w:right w:val="none" w:sz="0" w:space="0"/>
          </w:pgBorders>
          <w:pgNumType w:fmt="decimal"/>
          <w:cols w:space="720" w:num="1"/>
        </w:sectPr>
      </w:pPr>
    </w:p>
    <w:p>
      <w:pPr>
        <w:spacing w:line="360" w:lineRule="auto"/>
        <w:jc w:val="both"/>
        <w:rPr>
          <w:rFonts w:ascii="仿宋" w:hAnsi="仿宋" w:eastAsia="仿宋" w:cs="仿宋"/>
          <w:sz w:val="24"/>
          <w:szCs w:val="24"/>
          <w:lang w:eastAsia="zh-CN"/>
        </w:rPr>
      </w:pPr>
    </w:p>
    <w:p>
      <w:pPr>
        <w:pStyle w:val="6"/>
        <w:numPr>
          <w:ilvl w:val="0"/>
          <w:numId w:val="0"/>
        </w:numPr>
        <w:spacing w:before="360" w:after="360"/>
        <w:ind w:left="864" w:hanging="864"/>
        <w:rPr>
          <w:lang w:eastAsia="zh-CN"/>
        </w:rPr>
      </w:pPr>
      <w:r>
        <w:rPr>
          <w:lang w:eastAsia="zh-CN"/>
        </w:rPr>
        <w:t>十三、投标产品要求</w:t>
      </w:r>
    </w:p>
    <w:p>
      <w:pPr>
        <w:spacing w:line="360" w:lineRule="auto"/>
        <w:jc w:val="both"/>
        <w:rPr>
          <w:rFonts w:ascii="仿宋" w:hAnsi="仿宋" w:eastAsia="仿宋" w:cs="仿宋"/>
          <w:sz w:val="24"/>
          <w:szCs w:val="24"/>
          <w:lang w:eastAsia="zh-CN"/>
        </w:rPr>
        <w:sectPr>
          <w:pgSz w:w="11910" w:h="16840"/>
          <w:pgMar w:top="1100" w:right="1440" w:bottom="1080" w:left="1220" w:header="880" w:footer="888" w:gutter="0"/>
          <w:pgBorders>
            <w:top w:val="none" w:sz="0" w:space="0"/>
            <w:left w:val="none" w:sz="0" w:space="0"/>
            <w:bottom w:val="none" w:sz="0" w:space="0"/>
            <w:right w:val="none" w:sz="0" w:space="0"/>
          </w:pgBorders>
          <w:pgNumType w:fmt="decimal"/>
          <w:cols w:space="720" w:num="1"/>
        </w:sectPr>
      </w:pPr>
    </w:p>
    <w:p>
      <w:pPr>
        <w:spacing w:line="360" w:lineRule="auto"/>
        <w:jc w:val="both"/>
        <w:rPr>
          <w:rFonts w:ascii="仿宋" w:hAnsi="仿宋" w:eastAsia="仿宋" w:cs="仿宋"/>
          <w:sz w:val="24"/>
          <w:szCs w:val="24"/>
          <w:lang w:eastAsia="zh-CN"/>
        </w:rPr>
      </w:pPr>
    </w:p>
    <w:p>
      <w:pPr>
        <w:pStyle w:val="6"/>
        <w:numPr>
          <w:ilvl w:val="0"/>
          <w:numId w:val="0"/>
        </w:numPr>
        <w:spacing w:before="360" w:after="360"/>
        <w:ind w:left="864" w:hanging="864"/>
        <w:rPr>
          <w:lang w:eastAsia="zh-CN"/>
        </w:rPr>
      </w:pPr>
      <w:r>
        <w:rPr>
          <w:lang w:eastAsia="zh-CN"/>
        </w:rPr>
        <w:t>十四、施工方案</w:t>
      </w:r>
    </w:p>
    <w:p>
      <w:pPr>
        <w:spacing w:line="360" w:lineRule="auto"/>
        <w:jc w:val="both"/>
        <w:rPr>
          <w:rFonts w:ascii="仿宋" w:hAnsi="仿宋" w:eastAsia="仿宋" w:cs="仿宋"/>
          <w:sz w:val="24"/>
          <w:szCs w:val="24"/>
          <w:lang w:eastAsia="zh-CN"/>
        </w:rPr>
        <w:sectPr>
          <w:pgSz w:w="11910" w:h="16840"/>
          <w:pgMar w:top="1100" w:right="1440" w:bottom="1080" w:left="1220" w:header="880" w:footer="888" w:gutter="0"/>
          <w:pgBorders>
            <w:top w:val="none" w:sz="0" w:space="0"/>
            <w:left w:val="none" w:sz="0" w:space="0"/>
            <w:bottom w:val="none" w:sz="0" w:space="0"/>
            <w:right w:val="none" w:sz="0" w:space="0"/>
          </w:pgBorders>
          <w:pgNumType w:fmt="decimal"/>
          <w:cols w:space="720" w:num="1"/>
        </w:sectPr>
      </w:pPr>
    </w:p>
    <w:p>
      <w:pPr>
        <w:spacing w:line="360" w:lineRule="auto"/>
        <w:jc w:val="both"/>
        <w:rPr>
          <w:rFonts w:ascii="仿宋" w:hAnsi="仿宋" w:eastAsia="仿宋" w:cs="仿宋"/>
          <w:sz w:val="24"/>
          <w:szCs w:val="24"/>
          <w:lang w:eastAsia="zh-CN"/>
        </w:rPr>
      </w:pPr>
    </w:p>
    <w:p>
      <w:pPr>
        <w:pStyle w:val="6"/>
        <w:numPr>
          <w:ilvl w:val="0"/>
          <w:numId w:val="0"/>
        </w:numPr>
        <w:spacing w:before="360" w:after="360"/>
        <w:ind w:left="864" w:hanging="864"/>
        <w:rPr>
          <w:lang w:eastAsia="zh-CN"/>
        </w:rPr>
      </w:pPr>
      <w:r>
        <w:rPr>
          <w:lang w:eastAsia="zh-CN"/>
        </w:rPr>
        <w:t>十五、应急方案</w:t>
      </w:r>
    </w:p>
    <w:p>
      <w:pPr>
        <w:spacing w:line="360" w:lineRule="auto"/>
        <w:jc w:val="both"/>
        <w:rPr>
          <w:rFonts w:ascii="仿宋" w:hAnsi="仿宋" w:eastAsia="仿宋" w:cs="仿宋"/>
          <w:sz w:val="24"/>
          <w:szCs w:val="24"/>
          <w:lang w:eastAsia="zh-CN"/>
        </w:rPr>
        <w:sectPr>
          <w:pgSz w:w="11910" w:h="16840"/>
          <w:pgMar w:top="1100" w:right="1440" w:bottom="1080" w:left="1220" w:header="880" w:footer="888" w:gutter="0"/>
          <w:pgBorders>
            <w:top w:val="none" w:sz="0" w:space="0"/>
            <w:left w:val="none" w:sz="0" w:space="0"/>
            <w:bottom w:val="none" w:sz="0" w:space="0"/>
            <w:right w:val="none" w:sz="0" w:space="0"/>
          </w:pgBorders>
          <w:pgNumType w:fmt="decimal"/>
          <w:cols w:space="720" w:num="1"/>
        </w:sectPr>
      </w:pPr>
    </w:p>
    <w:p>
      <w:pPr>
        <w:spacing w:line="360" w:lineRule="auto"/>
        <w:jc w:val="both"/>
        <w:rPr>
          <w:rFonts w:ascii="仿宋" w:hAnsi="仿宋" w:eastAsia="仿宋" w:cs="仿宋"/>
          <w:sz w:val="24"/>
          <w:szCs w:val="24"/>
          <w:lang w:eastAsia="zh-CN"/>
        </w:rPr>
      </w:pPr>
    </w:p>
    <w:p>
      <w:pPr>
        <w:pStyle w:val="6"/>
        <w:numPr>
          <w:ilvl w:val="0"/>
          <w:numId w:val="0"/>
        </w:numPr>
        <w:spacing w:before="360" w:after="360"/>
        <w:ind w:left="864" w:hanging="864"/>
      </w:pPr>
      <w:bookmarkStart w:id="132" w:name="十三、投标产品要求"/>
      <w:bookmarkEnd w:id="132"/>
      <w:r>
        <w:t>十六、培训及售后</w:t>
      </w:r>
    </w:p>
    <w:sectPr>
      <w:pgSz w:w="11910" w:h="16840"/>
      <w:pgMar w:top="1100" w:right="1440" w:bottom="1080" w:left="1220" w:header="880" w:footer="888" w:gutter="0"/>
      <w:pgBorders>
        <w:top w:val="none" w:sz="0" w:space="0"/>
        <w:left w:val="none" w:sz="0" w:space="0"/>
        <w:bottom w:val="none" w:sz="0" w:space="0"/>
        <w:right w:val="none" w:sz="0" w:space="0"/>
      </w:pgBorders>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等线">
    <w:altName w:val="微软雅黑"/>
    <w:panose1 w:val="02010600030101010101"/>
    <w:charset w:val="86"/>
    <w:family w:val="auto"/>
    <w:pitch w:val="default"/>
    <w:sig w:usb0="00000000" w:usb1="00000000" w:usb2="00000016" w:usb3="00000000" w:csb0="0004000F" w:csb1="00000000"/>
  </w:font>
  <w:font w:name="minorBidi">
    <w:altName w:val="Times New Roman"/>
    <w:panose1 w:val="00000000000000000000"/>
    <w:charset w:val="00"/>
    <w:family w:val="roman"/>
    <w:pitch w:val="default"/>
    <w:sig w:usb0="00000000" w:usb1="00000000" w:usb2="00000000" w:usb3="00000000" w:csb0="00000000" w:csb1="00000000"/>
  </w:font>
  <w:font w:name="楷体à.ā">
    <w:altName w:val="宋体"/>
    <w:panose1 w:val="00000000000000000000"/>
    <w:charset w:val="86"/>
    <w:family w:val="decorative"/>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MS Gothic">
    <w:panose1 w:val="020B0609070205080204"/>
    <w:charset w:val="80"/>
    <w:family w:val="modern"/>
    <w:pitch w:val="default"/>
    <w:sig w:usb0="E00002FF" w:usb1="6AC7FDFB" w:usb2="00000012" w:usb3="00000000" w:csb0="4002009F" w:csb1="DFD70000"/>
  </w:font>
  <w:font w:name="Batang">
    <w:panose1 w:val="02030600000101010101"/>
    <w:charset w:val="81"/>
    <w:family w:val="roman"/>
    <w:pitch w:val="default"/>
    <w:sig w:usb0="B00002AF" w:usb1="69D77CFB" w:usb2="00000030" w:usb3="00000000" w:csb0="4008009F" w:csb1="DFD7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2"/>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oMpEzAgAAYwQAAA4AAABkcnMvZTJvRG9jLnhtbK1US44TMRDdI3EH&#10;y3vSSUa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oMpEzAgAAYwQAAA4AAAAAAAAAAQAgAAAAHwEAAGRycy9lMm9Eb2MueG1sUEsF&#10;BgAAAAAGAAYAWQEAAMQFA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18</w:t>
                    </w:r>
                    <w:r>
                      <w:fldChar w:fldCharType="end"/>
                    </w:r>
                  </w:p>
                </w:txbxContent>
              </v:textbox>
            </v:shape>
          </w:pict>
        </mc:Fallback>
      </mc:AlternateContent>
    </w:r>
    <w:r>
      <w:rPr>
        <w:sz w:val="22"/>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rPr>
                              <w:rFonts w:hint="default" w:eastAsiaTheme="minorEastAsia"/>
                              <w:lang w:val="en-US" w:eastAsia="zh-CN"/>
                            </w:rPr>
                          </w:pPr>
                          <w:r>
                            <w:rPr>
                              <w:rFonts w:hint="eastAsia"/>
                              <w:lang w:val="en-US" w:eastAsia="zh-CN"/>
                            </w:rPr>
                            <w:t>234</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27"/>
                      <w:rPr>
                        <w:rFonts w:hint="default" w:eastAsiaTheme="minorEastAsia"/>
                        <w:lang w:val="en-US" w:eastAsia="zh-CN"/>
                      </w:rPr>
                    </w:pPr>
                    <w:r>
                      <w:rPr>
                        <w:rFonts w:hint="eastAsia"/>
                        <w:lang w:val="en-US" w:eastAsia="zh-CN"/>
                      </w:rPr>
                      <w:t>234</w:t>
                    </w:r>
                  </w:p>
                </w:txbxContent>
              </v:textbox>
            </v:shap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3610610</wp:posOffset>
              </wp:positionH>
              <wp:positionV relativeFrom="page">
                <wp:posOffset>9988550</wp:posOffset>
              </wp:positionV>
              <wp:extent cx="199390" cy="139700"/>
              <wp:effectExtent l="635" t="0" r="0" b="0"/>
              <wp:wrapNone/>
              <wp:docPr id="469617095"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9390" cy="139700"/>
                      </a:xfrm>
                      <a:prstGeom prst="rect">
                        <a:avLst/>
                      </a:prstGeom>
                      <a:noFill/>
                      <a:ln>
                        <a:noFill/>
                      </a:ln>
                    </wps:spPr>
                    <wps:txbx>
                      <w:txbxContent>
                        <w:p>
                          <w:pPr>
                            <w:spacing w:line="203" w:lineRule="exact"/>
                            <w:rPr>
                              <w:rFonts w:ascii="Calibri" w:hAnsi="Calibri" w:eastAsia="Calibri" w:cs="Calibri"/>
                              <w:sz w:val="18"/>
                              <w:szCs w:val="18"/>
                            </w:rPr>
                          </w:pP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284.3pt;margin-top:786.5pt;height:11pt;width:15.7pt;mso-position-horizontal-relative:page;mso-position-vertical-relative:page;z-index:-251656192;mso-width-relative:page;mso-height-relative:page;" filled="f" stroked="f" coordsize="21600,21600" o:gfxdata="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xGLyN2gAAAA0BAAAPAAAAAAAAAAEAIAAAACIAAABk&#10;cnMvZG93bnJldi54bWxQSwECFAAUAAAACACHTuJAwnGG6wQCAAALBAAADgAAAAAAAAABACAAAAAp&#10;AQAAZHJzL2Uyb0RvYy54bWxQSwUGAAAAAAYABgBZAQAAnwUAAAAA&#10;">
              <v:fill on="f" focussize="0,0"/>
              <v:stroke on="f"/>
              <v:imagedata o:title=""/>
              <o:lock v:ext="edit" aspectratio="f"/>
              <v:textbox inset="0mm,0mm,0mm,0mm">
                <w:txbxContent>
                  <w:p>
                    <w:pPr>
                      <w:spacing w:line="203" w:lineRule="exact"/>
                      <w:rPr>
                        <w:rFonts w:ascii="Calibri" w:hAnsi="Calibri" w:eastAsia="Calibri" w:cs="Calibri"/>
                        <w:sz w:val="18"/>
                        <w:szCs w:val="18"/>
                      </w:rPr>
                    </w:pP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W+3o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WW+3ozAgAAYwQAAA4AAAAAAAAAAQAgAAAAHwEAAGRycy9lMm9Eb2MueG1sUEsF&#10;BgAAAAAGAAYAWQEAAMQFA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19</w:t>
                    </w:r>
                    <w:r>
                      <w:fldChar w:fldCharType="end"/>
                    </w:r>
                  </w:p>
                </w:txbxContent>
              </v:textbox>
            </v:shape>
          </w:pict>
        </mc:Fallback>
      </mc:AlternateContent>
    </w:r>
    <w:r>
      <w:rPr>
        <w:sz w:val="20"/>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rPr>
                              <w:rFonts w:hint="default" w:eastAsiaTheme="minorEastAsia"/>
                              <w:lang w:val="en-US" w:eastAsia="zh-CN"/>
                            </w:rPr>
                          </w:pPr>
                          <w:r>
                            <w:rPr>
                              <w:rFonts w:hint="eastAsia"/>
                              <w:lang w:val="en-US" w:eastAsia="zh-CN"/>
                            </w:rPr>
                            <w:t>241</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27"/>
                      <w:rPr>
                        <w:rFonts w:hint="default" w:eastAsiaTheme="minorEastAsia"/>
                        <w:lang w:val="en-US" w:eastAsia="zh-CN"/>
                      </w:rPr>
                    </w:pPr>
                    <w:r>
                      <w:rPr>
                        <w:rFonts w:hint="eastAsia"/>
                        <w:lang w:val="en-US" w:eastAsia="zh-CN"/>
                      </w:rPr>
                      <w:t>241</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2"/>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61312" behindDoc="1" locked="0" layoutInCell="1" allowOverlap="1">
              <wp:simplePos x="0" y="0"/>
              <wp:positionH relativeFrom="page">
                <wp:posOffset>3655695</wp:posOffset>
              </wp:positionH>
              <wp:positionV relativeFrom="page">
                <wp:posOffset>9988550</wp:posOffset>
              </wp:positionV>
              <wp:extent cx="366395" cy="130175"/>
              <wp:effectExtent l="0" t="0" r="0" b="0"/>
              <wp:wrapNone/>
              <wp:docPr id="1" name="Text Box 23"/>
              <wp:cNvGraphicFramePr/>
              <a:graphic xmlns:a="http://schemas.openxmlformats.org/drawingml/2006/main">
                <a:graphicData uri="http://schemas.microsoft.com/office/word/2010/wordprocessingShape">
                  <wps:wsp>
                    <wps:cNvSpPr txBox="1">
                      <a:spLocks noChangeArrowheads="1"/>
                    </wps:cNvSpPr>
                    <wps:spPr bwMode="auto">
                      <a:xfrm>
                        <a:off x="0" y="0"/>
                        <a:ext cx="366395" cy="130175"/>
                      </a:xfrm>
                      <a:prstGeom prst="rect">
                        <a:avLst/>
                      </a:prstGeom>
                      <a:noFill/>
                      <a:ln>
                        <a:noFill/>
                      </a:ln>
                    </wps:spPr>
                    <wps:txbx>
                      <w:txbxContent>
                        <w:p>
                          <w:pPr>
                            <w:spacing w:line="203" w:lineRule="exact"/>
                            <w:ind w:left="40"/>
                            <w:rPr>
                              <w:rFonts w:hint="eastAsia" w:ascii="Calibri" w:hAnsi="Calibri" w:eastAsia="宋体" w:cs="Calibri"/>
                              <w:sz w:val="18"/>
                              <w:szCs w:val="18"/>
                              <w:lang w:val="en-US" w:eastAsia="zh-CN"/>
                            </w:rPr>
                          </w:pPr>
                        </w:p>
                      </w:txbxContent>
                    </wps:txbx>
                    <wps:bodyPr rot="0" vert="horz" wrap="square" lIns="0" tIns="0" rIns="0" bIns="0" anchor="t" anchorCtr="0" upright="1">
                      <a:noAutofit/>
                    </wps:bodyPr>
                  </wps:wsp>
                </a:graphicData>
              </a:graphic>
            </wp:anchor>
          </w:drawing>
        </mc:Choice>
        <mc:Fallback>
          <w:pict>
            <v:shape id="Text Box 23" o:spid="_x0000_s1026" o:spt="202" type="#_x0000_t202" style="position:absolute;left:0pt;margin-left:287.85pt;margin-top:786.5pt;height:10.25pt;width:28.85pt;mso-position-horizontal-relative:page;mso-position-vertical-relative:page;z-index:-251655168;mso-width-relative:page;mso-height-relative:page;" filled="f" stroked="f" coordsize="21600,21600" o:gfxdata="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Ldz7w2wAAAA0BAAAPAAAAAAAAAAEAIAAAACIAAABkcnMvZG93&#10;bnJldi54bWxQSwECFAAUAAAACACHTuJAUKmxk/0BAAAEBAAADgAAAAAAAAABACAAAAAqAQAAZHJz&#10;L2Uyb0RvYy54bWxQSwUGAAAAAAYABgBZAQAAmQUAAAAA&#10;">
              <v:fill on="f" focussize="0,0"/>
              <v:stroke on="f"/>
              <v:imagedata o:title=""/>
              <o:lock v:ext="edit" aspectratio="f"/>
              <v:textbox inset="0mm,0mm,0mm,0mm">
                <w:txbxContent>
                  <w:p>
                    <w:pPr>
                      <w:spacing w:line="203" w:lineRule="exact"/>
                      <w:ind w:left="40"/>
                      <w:rPr>
                        <w:rFonts w:hint="eastAsia" w:ascii="Calibri" w:hAnsi="Calibri" w:eastAsia="宋体" w:cs="Calibri"/>
                        <w:sz w:val="18"/>
                        <w:szCs w:val="18"/>
                        <w:lang w:val="en-US"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30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hint="default"/>
        <w:sz w:val="20"/>
        <w:szCs w:val="20"/>
        <w:lang w:val="en-US"/>
      </w:rPr>
    </w:pPr>
    <w:r>
      <w:rPr>
        <w:sz w:val="22"/>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216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216</w:t>
                    </w:r>
                    <w:r>
                      <w:fldChar w:fldCharType="end"/>
                    </w:r>
                  </w:p>
                </w:txbxContent>
              </v:textbox>
            </v:shap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3639185</wp:posOffset>
              </wp:positionH>
              <wp:positionV relativeFrom="page">
                <wp:posOffset>9988550</wp:posOffset>
              </wp:positionV>
              <wp:extent cx="141605" cy="139700"/>
              <wp:effectExtent l="635" t="0" r="635" b="0"/>
              <wp:wrapNone/>
              <wp:docPr id="1775244356" name="Text Box 6"/>
              <wp:cNvGraphicFramePr/>
              <a:graphic xmlns:a="http://schemas.openxmlformats.org/drawingml/2006/main">
                <a:graphicData uri="http://schemas.microsoft.com/office/word/2010/wordprocessingShape">
                  <wps:wsp>
                    <wps:cNvSpPr txBox="1">
                      <a:spLocks noChangeArrowheads="1"/>
                    </wps:cNvSpPr>
                    <wps:spPr bwMode="auto">
                      <a:xfrm>
                        <a:off x="0" y="0"/>
                        <a:ext cx="141605" cy="139700"/>
                      </a:xfrm>
                      <a:prstGeom prst="rect">
                        <a:avLst/>
                      </a:prstGeom>
                      <a:noFill/>
                      <a:ln>
                        <a:noFill/>
                      </a:ln>
                    </wps:spPr>
                    <wps:txbx>
                      <w:txbxContent>
                        <w:p>
                          <w:pPr>
                            <w:spacing w:line="203" w:lineRule="exact"/>
                            <w:rPr>
                              <w:rFonts w:hint="default" w:ascii="Calibri" w:hAnsi="Calibri" w:cs="Calibri" w:eastAsiaTheme="minorEastAsia"/>
                              <w:sz w:val="18"/>
                              <w:szCs w:val="18"/>
                              <w:lang w:val="en-US" w:eastAsia="zh-CN"/>
                            </w:rPr>
                          </w:pPr>
                        </w:p>
                      </w:txbxContent>
                    </wps:txbx>
                    <wps:bodyPr rot="0" vert="horz" wrap="square" lIns="0" tIns="0" rIns="0" bIns="0" anchor="t" anchorCtr="0" upright="1">
                      <a:noAutofit/>
                    </wps:bodyPr>
                  </wps:wsp>
                </a:graphicData>
              </a:graphic>
            </wp:anchor>
          </w:drawing>
        </mc:Choice>
        <mc:Fallback>
          <w:pict>
            <v:shape id="Text Box 6" o:spid="_x0000_s1026" o:spt="202" type="#_x0000_t202" style="position:absolute;left:0pt;margin-left:286.55pt;margin-top:786.5pt;height:11pt;width:11.15pt;mso-position-horizontal-relative:page;mso-position-vertical-relative:page;z-index:-251656192;mso-width-relative:page;mso-height-relative:page;" filled="f" stroked="f" coordsize="21600,21600" o:gfxdata="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4TaseNoAAAANAQAADwAAAAAAAAABACAAAAAiAAAA&#10;ZHJzL2Rvd25yZXYueG1sUEsBAhQAFAAAAAgAh07iQKy2U70FAgAADAQAAA4AAAAAAAAAAQAgAAAA&#10;KQEAAGRycy9lMm9Eb2MueG1sUEsFBgAAAAAGAAYAWQEAAKAFAAAAAA==&#10;">
              <v:fill on="f" focussize="0,0"/>
              <v:stroke on="f"/>
              <v:imagedata o:title=""/>
              <o:lock v:ext="edit" aspectratio="f"/>
              <v:textbox inset="0mm,0mm,0mm,0mm">
                <w:txbxContent>
                  <w:p>
                    <w:pPr>
                      <w:spacing w:line="203" w:lineRule="exact"/>
                      <w:rPr>
                        <w:rFonts w:hint="default" w:ascii="Calibri" w:hAnsi="Calibri" w:cs="Calibri" w:eastAsiaTheme="minorEastAsia"/>
                        <w:sz w:val="18"/>
                        <w:szCs w:val="18"/>
                        <w:lang w:val="en-US" w:eastAsia="zh-CN"/>
                      </w:rPr>
                    </w:pPr>
                  </w:p>
                </w:txbxContent>
              </v:textbox>
            </v:shape>
          </w:pict>
        </mc:Fallback>
      </mc:AlternateContent>
    </w:r>
    <w:r>
      <w:rPr>
        <w:rFonts w:hint="eastAsia"/>
        <w:sz w:val="20"/>
        <w:szCs w:val="20"/>
        <w:lang w:val="en-US" w:eastAsia="zh-CN"/>
      </w:rPr>
      <w:t>216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hint="default" w:eastAsiaTheme="minorEastAsia"/>
        <w:sz w:val="20"/>
        <w:szCs w:val="20"/>
        <w:lang w:val="en-US" w:eastAsia="zh-CN"/>
      </w:rPr>
    </w:pPr>
    <w:r>
      <w:rPr>
        <w:sz w:val="20"/>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r>
      <w:rPr>
        <w:sz w:val="20"/>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rPr>
                              <w:rFonts w:hint="default" w:eastAsiaTheme="minorEastAsia"/>
                              <w:lang w:val="en-US" w:eastAsia="zh-CN"/>
                            </w:rPr>
                          </w:pPr>
                          <w:r>
                            <w:rPr>
                              <w:rFonts w:hint="eastAsia"/>
                              <w:lang w:val="en-US" w:eastAsia="zh-CN"/>
                            </w:rPr>
                            <w:t>217</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27"/>
                      <w:rPr>
                        <w:rFonts w:hint="default" w:eastAsiaTheme="minorEastAsia"/>
                        <w:lang w:val="en-US" w:eastAsia="zh-CN"/>
                      </w:rPr>
                    </w:pPr>
                    <w:r>
                      <w:rPr>
                        <w:rFonts w:hint="eastAsia"/>
                        <w:lang w:val="en-US" w:eastAsia="zh-CN"/>
                      </w:rPr>
                      <w:t>217</w:t>
                    </w:r>
                  </w:p>
                </w:txbxContent>
              </v:textbox>
            </v:shape>
          </w:pict>
        </mc:Fallback>
      </mc:AlternateContent>
    </w:r>
    <w:r>
      <w:rPr>
        <w:rFonts w:hint="eastAsia"/>
        <w:sz w:val="20"/>
        <w:szCs w:val="20"/>
        <w:lang w:val="en-US" w:eastAsia="zh-CN"/>
      </w:rPr>
      <w:t>224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hint="default" w:eastAsiaTheme="minorEastAsia"/>
        <w:sz w:val="20"/>
        <w:szCs w:val="20"/>
        <w:lang w:val="en-US" w:eastAsia="zh-CN"/>
      </w:rPr>
    </w:pPr>
    <w:r>
      <w:rPr>
        <w:sz w:val="20"/>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2</w:t>
                    </w:r>
                    <w:r>
                      <w:fldChar w:fldCharType="end"/>
                    </w:r>
                  </w:p>
                </w:txbxContent>
              </v:textbox>
            </v:shape>
          </w:pict>
        </mc:Fallback>
      </mc:AlternateContent>
    </w:r>
    <w:r>
      <w:rPr>
        <w:sz w:val="20"/>
      </w:rPr>
      <mc:AlternateContent>
        <mc:Choice Requires="wps">
          <w:drawing>
            <wp:anchor distT="0" distB="0" distL="114300" distR="114300" simplePos="0" relativeHeight="251667456" behindDoc="0" locked="0" layoutInCell="1" allowOverlap="1">
              <wp:simplePos x="0" y="0"/>
              <wp:positionH relativeFrom="margin">
                <wp:posOffset>3126105</wp:posOffset>
              </wp:positionH>
              <wp:positionV relativeFrom="paragraph">
                <wp:posOffset>38100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rPr>
                              <w:rFonts w:hint="default" w:eastAsiaTheme="minorEastAsia"/>
                              <w:lang w:val="en-US" w:eastAsia="zh-CN"/>
                            </w:rPr>
                          </w:pPr>
                          <w:r>
                            <w:rPr>
                              <w:rFonts w:hint="eastAsia"/>
                              <w:lang w:val="en-US" w:eastAsia="zh-CN"/>
                            </w:rPr>
                            <w:t>224</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46.15pt;margin-top:3pt;height:144pt;width:144pt;mso-position-horizontal-relative:margin;mso-wrap-style:none;z-index:251667456;mso-width-relative:page;mso-height-relative:page;" filled="f" stroked="f" coordsize="21600,21600" o:gfxdata="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eZtg1gAAAAkBAAAPAAAAAAAAAAEAIAAAACIAAABkcnMvZG93bnJldi54bWxQ&#10;SwECFAAUAAAACACHTuJA5lNNmTICAABjBAAADgAAAAAAAAABACAAAAAlAQAAZHJzL2Uyb0RvYy54&#10;bWxQSwUGAAAAAAYABgBZAQAAyQUAAAAA&#10;">
              <v:fill on="f" focussize="0,0"/>
              <v:stroke on="f" weight="0.5pt"/>
              <v:imagedata o:title=""/>
              <o:lock v:ext="edit" aspectratio="f"/>
              <v:textbox inset="0mm,0mm,0mm,0mm" style="mso-fit-shape-to-text:t;">
                <w:txbxContent>
                  <w:p>
                    <w:pPr>
                      <w:pStyle w:val="27"/>
                      <w:rPr>
                        <w:rFonts w:hint="default" w:eastAsiaTheme="minorEastAsia"/>
                        <w:lang w:val="en-US" w:eastAsia="zh-CN"/>
                      </w:rPr>
                    </w:pPr>
                    <w:r>
                      <w:rPr>
                        <w:rFonts w:hint="eastAsia"/>
                        <w:lang w:val="en-US" w:eastAsia="zh-CN"/>
                      </w:rPr>
                      <w:t>224</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2"/>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Edhg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EdhgzAgAAYwQAAA4AAAAAAAAAAQAgAAAAHwEAAGRycy9lMm9Eb2MueG1sUEsF&#10;BgAAAAAGAAYAWQEAAMQFA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9</w:t>
                    </w:r>
                    <w:r>
                      <w:fldChar w:fldCharType="end"/>
                    </w:r>
                  </w:p>
                </w:txbxContent>
              </v:textbox>
            </v:shape>
          </w:pict>
        </mc:Fallback>
      </mc:AlternateContent>
    </w:r>
    <w:r>
      <w:rPr>
        <w:sz w:val="22"/>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rPr>
                              <w:rFonts w:hint="eastAsia" w:eastAsiaTheme="minorEastAsia"/>
                              <w:lang w:eastAsia="zh-CN"/>
                            </w:rPr>
                          </w:pPr>
                          <w:r>
                            <w:rPr>
                              <w:rFonts w:hint="eastAsia"/>
                              <w:lang w:val="en-US" w:eastAsia="zh-CN"/>
                            </w:rPr>
                            <w:t>225</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27"/>
                      <w:rPr>
                        <w:rFonts w:hint="eastAsia" w:eastAsiaTheme="minorEastAsia"/>
                        <w:lang w:eastAsia="zh-CN"/>
                      </w:rPr>
                    </w:pPr>
                    <w:r>
                      <w:rPr>
                        <w:rFonts w:hint="eastAsia"/>
                        <w:lang w:val="en-US" w:eastAsia="zh-CN"/>
                      </w:rPr>
                      <w:t>225</w:t>
                    </w:r>
                  </w:p>
                </w:txbxContent>
              </v:textbox>
            </v:shap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3610610</wp:posOffset>
              </wp:positionH>
              <wp:positionV relativeFrom="page">
                <wp:posOffset>9988550</wp:posOffset>
              </wp:positionV>
              <wp:extent cx="199390" cy="139700"/>
              <wp:effectExtent l="635" t="0" r="0" b="0"/>
              <wp:wrapNone/>
              <wp:docPr id="1359369218" name="Text Box 4"/>
              <wp:cNvGraphicFramePr/>
              <a:graphic xmlns:a="http://schemas.openxmlformats.org/drawingml/2006/main">
                <a:graphicData uri="http://schemas.microsoft.com/office/word/2010/wordprocessingShape">
                  <wps:wsp>
                    <wps:cNvSpPr txBox="1">
                      <a:spLocks noChangeArrowheads="1"/>
                    </wps:cNvSpPr>
                    <wps:spPr bwMode="auto">
                      <a:xfrm>
                        <a:off x="0" y="0"/>
                        <a:ext cx="199390" cy="139700"/>
                      </a:xfrm>
                      <a:prstGeom prst="rect">
                        <a:avLst/>
                      </a:prstGeom>
                      <a:noFill/>
                      <a:ln>
                        <a:noFill/>
                      </a:ln>
                    </wps:spPr>
                    <wps:txbx>
                      <w:txbxContent>
                        <w:p>
                          <w:pPr>
                            <w:spacing w:line="203" w:lineRule="exact"/>
                            <w:rPr>
                              <w:rFonts w:ascii="Calibri" w:hAnsi="Calibri" w:eastAsia="Calibri" w:cs="Calibri"/>
                              <w:sz w:val="18"/>
                              <w:szCs w:val="18"/>
                            </w:rPr>
                          </w:pPr>
                        </w:p>
                      </w:txbxContent>
                    </wps:txbx>
                    <wps:bodyPr rot="0" vert="horz" wrap="square" lIns="0" tIns="0" rIns="0" bIns="0" anchor="t" anchorCtr="0" upright="1">
                      <a:noAutofit/>
                    </wps:bodyPr>
                  </wps:wsp>
                </a:graphicData>
              </a:graphic>
            </wp:anchor>
          </w:drawing>
        </mc:Choice>
        <mc:Fallback>
          <w:pict>
            <v:shape id="Text Box 4" o:spid="_x0000_s1026" o:spt="202" type="#_x0000_t202" style="position:absolute;left:0pt;margin-left:284.3pt;margin-top:786.5pt;height:11pt;width:15.7pt;mso-position-horizontal-relative:page;mso-position-vertical-relative:page;z-index:-251656192;mso-width-relative:page;mso-height-relative:page;" filled="f" stroked="f" coordsize="21600,21600" o:gfxdata="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&#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xGLyN2gAAAA0BAAAPAAAAAAAAAAEAIAAAACIAAABk&#10;cnMvZG93bnJldi54bWxQSwECFAAUAAAACACHTuJAOwoDjAQCAAAMBAAADgAAAAAAAAABACAAAAAp&#10;AQAAZHJzL2Uyb0RvYy54bWxQSwUGAAAAAAYABgBZAQAAnwUAAAAA&#10;">
              <v:fill on="f" focussize="0,0"/>
              <v:stroke on="f"/>
              <v:imagedata o:title=""/>
              <o:lock v:ext="edit" aspectratio="f"/>
              <v:textbox inset="0mm,0mm,0mm,0mm">
                <w:txbxContent>
                  <w:p>
                    <w:pPr>
                      <w:spacing w:line="203" w:lineRule="exact"/>
                      <w:rPr>
                        <w:rFonts w:ascii="Calibri" w:hAnsi="Calibri" w:eastAsia="Calibri" w:cs="Calibri"/>
                        <w:sz w:val="18"/>
                        <w:szCs w:val="18"/>
                      </w:rPr>
                    </w:pP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ApX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MClfjICAABjBAAADgAAAAAAAAABACAAAAAfAQAAZHJzL2Uyb0RvYy54bWxQSwUG&#10;AAAAAAYABgBZAQAAwwU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10</w:t>
                    </w:r>
                    <w:r>
                      <w:fldChar w:fldCharType="end"/>
                    </w:r>
                  </w:p>
                </w:txbxContent>
              </v:textbox>
            </v:shape>
          </w:pict>
        </mc:Fallback>
      </mc:AlternateContent>
    </w: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rPr>
                              <w:rFonts w:hint="default" w:eastAsiaTheme="minorEastAsia"/>
                              <w:lang w:val="en-US" w:eastAsia="zh-CN"/>
                            </w:rPr>
                          </w:pPr>
                          <w:r>
                            <w:rPr>
                              <w:rFonts w:hint="eastAsia"/>
                              <w:lang w:val="en-US" w:eastAsia="zh-CN"/>
                            </w:rPr>
                            <w:t>233</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27"/>
                      <w:rPr>
                        <w:rFonts w:hint="default" w:eastAsiaTheme="minorEastAsia"/>
                        <w:lang w:val="en-US" w:eastAsia="zh-CN"/>
                      </w:rPr>
                    </w:pPr>
                    <w:r>
                      <w:rPr>
                        <w:rFonts w:hint="eastAsia"/>
                        <w:lang w:val="en-US" w:eastAsia="zh-CN"/>
                      </w:rPr>
                      <w:t>233</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EAC6F9"/>
    <w:multiLevelType w:val="singleLevel"/>
    <w:tmpl w:val="89EAC6F9"/>
    <w:lvl w:ilvl="0" w:tentative="0">
      <w:start w:val="5"/>
      <w:numFmt w:val="chineseCounting"/>
      <w:suff w:val="nothing"/>
      <w:lvlText w:val="%1、"/>
      <w:lvlJc w:val="left"/>
      <w:rPr>
        <w:rFonts w:hint="eastAsia"/>
      </w:rPr>
    </w:lvl>
  </w:abstractNum>
  <w:abstractNum w:abstractNumId="1">
    <w:nsid w:val="014905FC"/>
    <w:multiLevelType w:val="multilevel"/>
    <w:tmpl w:val="014905FC"/>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030919A5"/>
    <w:multiLevelType w:val="multilevel"/>
    <w:tmpl w:val="030919A5"/>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03672954"/>
    <w:multiLevelType w:val="multilevel"/>
    <w:tmpl w:val="03672954"/>
    <w:lvl w:ilvl="0" w:tentative="0">
      <w:start w:val="1"/>
      <w:numFmt w:val="bullet"/>
      <w:lvlText w:val=""/>
      <w:lvlJc w:val="left"/>
      <w:pPr>
        <w:ind w:left="900" w:hanging="420"/>
      </w:pPr>
      <w:rPr>
        <w:rFonts w:hint="default" w:ascii="Wingdings" w:hAnsi="Wingding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06FC1A04"/>
    <w:multiLevelType w:val="multilevel"/>
    <w:tmpl w:val="06FC1A04"/>
    <w:lvl w:ilvl="0" w:tentative="0">
      <w:start w:val="1"/>
      <w:numFmt w:val="decimal"/>
      <w:lvlText w:val="%1."/>
      <w:lvlJc w:val="left"/>
      <w:pPr>
        <w:ind w:left="132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07840D3E"/>
    <w:multiLevelType w:val="multilevel"/>
    <w:tmpl w:val="07840D3E"/>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07974A00"/>
    <w:multiLevelType w:val="multilevel"/>
    <w:tmpl w:val="07974A00"/>
    <w:lvl w:ilvl="0" w:tentative="0">
      <w:start w:val="1"/>
      <w:numFmt w:val="decimal"/>
      <w:lvlText w:val="%1)"/>
      <w:lvlJc w:val="left"/>
      <w:pPr>
        <w:ind w:left="1320" w:hanging="420"/>
      </w:pPr>
    </w:lvl>
    <w:lvl w:ilvl="1" w:tentative="0">
      <w:start w:val="1"/>
      <w:numFmt w:val="lowerLetter"/>
      <w:lvlText w:val="%2)"/>
      <w:lvlJc w:val="left"/>
      <w:pPr>
        <w:ind w:left="1740" w:hanging="420"/>
      </w:pPr>
    </w:lvl>
    <w:lvl w:ilvl="2" w:tentative="0">
      <w:start w:val="1"/>
      <w:numFmt w:val="lowerRoman"/>
      <w:lvlText w:val="%3."/>
      <w:lvlJc w:val="right"/>
      <w:pPr>
        <w:ind w:left="2160" w:hanging="420"/>
      </w:pPr>
    </w:lvl>
    <w:lvl w:ilvl="3" w:tentative="0">
      <w:start w:val="1"/>
      <w:numFmt w:val="decimal"/>
      <w:lvlText w:val="%4."/>
      <w:lvlJc w:val="left"/>
      <w:pPr>
        <w:ind w:left="2580" w:hanging="420"/>
      </w:pPr>
    </w:lvl>
    <w:lvl w:ilvl="4" w:tentative="0">
      <w:start w:val="1"/>
      <w:numFmt w:val="lowerLetter"/>
      <w:lvlText w:val="%5)"/>
      <w:lvlJc w:val="left"/>
      <w:pPr>
        <w:ind w:left="3000" w:hanging="420"/>
      </w:pPr>
    </w:lvl>
    <w:lvl w:ilvl="5" w:tentative="0">
      <w:start w:val="1"/>
      <w:numFmt w:val="lowerRoman"/>
      <w:lvlText w:val="%6."/>
      <w:lvlJc w:val="right"/>
      <w:pPr>
        <w:ind w:left="3420" w:hanging="420"/>
      </w:pPr>
    </w:lvl>
    <w:lvl w:ilvl="6" w:tentative="0">
      <w:start w:val="1"/>
      <w:numFmt w:val="decimal"/>
      <w:lvlText w:val="%7."/>
      <w:lvlJc w:val="left"/>
      <w:pPr>
        <w:ind w:left="3840" w:hanging="420"/>
      </w:pPr>
    </w:lvl>
    <w:lvl w:ilvl="7" w:tentative="0">
      <w:start w:val="1"/>
      <w:numFmt w:val="lowerLetter"/>
      <w:lvlText w:val="%8)"/>
      <w:lvlJc w:val="left"/>
      <w:pPr>
        <w:ind w:left="4260" w:hanging="420"/>
      </w:pPr>
    </w:lvl>
    <w:lvl w:ilvl="8" w:tentative="0">
      <w:start w:val="1"/>
      <w:numFmt w:val="lowerRoman"/>
      <w:lvlText w:val="%9."/>
      <w:lvlJc w:val="right"/>
      <w:pPr>
        <w:ind w:left="4680" w:hanging="420"/>
      </w:pPr>
    </w:lvl>
  </w:abstractNum>
  <w:abstractNum w:abstractNumId="7">
    <w:nsid w:val="096352DD"/>
    <w:multiLevelType w:val="multilevel"/>
    <w:tmpl w:val="096352DD"/>
    <w:lvl w:ilvl="0" w:tentative="0">
      <w:start w:val="1"/>
      <w:numFmt w:val="decimal"/>
      <w:lvlText w:val="%1."/>
      <w:lvlJc w:val="left"/>
      <w:pPr>
        <w:ind w:left="132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096A6923"/>
    <w:multiLevelType w:val="multilevel"/>
    <w:tmpl w:val="096A6923"/>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0C5A19BE"/>
    <w:multiLevelType w:val="multilevel"/>
    <w:tmpl w:val="0C5A19BE"/>
    <w:lvl w:ilvl="0" w:tentative="0">
      <w:start w:val="1"/>
      <w:numFmt w:val="decimal"/>
      <w:lvlText w:val="%1)"/>
      <w:lvlJc w:val="left"/>
      <w:pPr>
        <w:ind w:left="900" w:hanging="420"/>
      </w:pPr>
    </w:lvl>
    <w:lvl w:ilvl="1" w:tentative="0">
      <w:start w:val="1"/>
      <w:numFmt w:val="japaneseCounting"/>
      <w:lvlText w:val="（%2）"/>
      <w:lvlJc w:val="left"/>
      <w:pPr>
        <w:ind w:left="1620" w:hanging="72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
    <w:nsid w:val="0CD2181C"/>
    <w:multiLevelType w:val="multilevel"/>
    <w:tmpl w:val="0CD2181C"/>
    <w:lvl w:ilvl="0" w:tentative="0">
      <w:start w:val="1"/>
      <w:numFmt w:val="decimal"/>
      <w:lvlText w:val="%1."/>
      <w:lvlJc w:val="left"/>
      <w:pPr>
        <w:ind w:left="900" w:hanging="420"/>
      </w:pPr>
    </w:lvl>
    <w:lvl w:ilvl="1" w:tentative="0">
      <w:start w:val="1"/>
      <w:numFmt w:val="decimal"/>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1">
    <w:nsid w:val="110648E1"/>
    <w:multiLevelType w:val="multilevel"/>
    <w:tmpl w:val="110648E1"/>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
    <w:nsid w:val="12810321"/>
    <w:multiLevelType w:val="multilevel"/>
    <w:tmpl w:val="12810321"/>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3">
    <w:nsid w:val="129F1CA4"/>
    <w:multiLevelType w:val="multilevel"/>
    <w:tmpl w:val="129F1CA4"/>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4">
    <w:nsid w:val="13234CD9"/>
    <w:multiLevelType w:val="multilevel"/>
    <w:tmpl w:val="13234CD9"/>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5">
    <w:nsid w:val="132639F3"/>
    <w:multiLevelType w:val="multilevel"/>
    <w:tmpl w:val="132639F3"/>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6">
    <w:nsid w:val="14814208"/>
    <w:multiLevelType w:val="multilevel"/>
    <w:tmpl w:val="14814208"/>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7">
    <w:nsid w:val="148B517E"/>
    <w:multiLevelType w:val="multilevel"/>
    <w:tmpl w:val="148B517E"/>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8">
    <w:nsid w:val="1555193B"/>
    <w:multiLevelType w:val="multilevel"/>
    <w:tmpl w:val="1555193B"/>
    <w:lvl w:ilvl="0" w:tentative="0">
      <w:start w:val="1"/>
      <w:numFmt w:val="bullet"/>
      <w:lvlText w:val=""/>
      <w:lvlJc w:val="left"/>
      <w:pPr>
        <w:ind w:left="900" w:hanging="420"/>
      </w:pPr>
      <w:rPr>
        <w:rFonts w:hint="default" w:ascii="Wingdings" w:hAnsi="Wingding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9">
    <w:nsid w:val="160625C6"/>
    <w:multiLevelType w:val="multilevel"/>
    <w:tmpl w:val="160625C6"/>
    <w:lvl w:ilvl="0" w:tentative="0">
      <w:start w:val="1"/>
      <w:numFmt w:val="decimal"/>
      <w:lvlText w:val="%1."/>
      <w:lvlJc w:val="left"/>
      <w:pPr>
        <w:ind w:left="1740" w:hanging="420"/>
      </w:pPr>
    </w:lvl>
    <w:lvl w:ilvl="1" w:tentative="0">
      <w:start w:val="2"/>
      <w:numFmt w:val="decimal"/>
      <w:isLgl/>
      <w:lvlText w:val="%1.%2"/>
      <w:lvlJc w:val="left"/>
      <w:pPr>
        <w:ind w:left="2280" w:hanging="960"/>
      </w:pPr>
      <w:rPr>
        <w:rFonts w:hint="default"/>
      </w:rPr>
    </w:lvl>
    <w:lvl w:ilvl="2" w:tentative="0">
      <w:start w:val="1"/>
      <w:numFmt w:val="decimal"/>
      <w:isLgl/>
      <w:lvlText w:val="%1.%2.%3"/>
      <w:lvlJc w:val="left"/>
      <w:pPr>
        <w:ind w:left="2280" w:hanging="960"/>
      </w:pPr>
      <w:rPr>
        <w:rFonts w:hint="default"/>
      </w:rPr>
    </w:lvl>
    <w:lvl w:ilvl="3" w:tentative="0">
      <w:start w:val="1"/>
      <w:numFmt w:val="decimal"/>
      <w:isLgl/>
      <w:lvlText w:val="%1.%2.%3.%4"/>
      <w:lvlJc w:val="left"/>
      <w:pPr>
        <w:ind w:left="2400" w:hanging="1080"/>
      </w:pPr>
      <w:rPr>
        <w:rFonts w:hint="default"/>
      </w:rPr>
    </w:lvl>
    <w:lvl w:ilvl="4" w:tentative="0">
      <w:start w:val="1"/>
      <w:numFmt w:val="decimal"/>
      <w:isLgl/>
      <w:lvlText w:val="%1.%2.%3.%4.%5"/>
      <w:lvlJc w:val="left"/>
      <w:pPr>
        <w:ind w:left="2400" w:hanging="1080"/>
      </w:pPr>
      <w:rPr>
        <w:rFonts w:hint="default"/>
      </w:rPr>
    </w:lvl>
    <w:lvl w:ilvl="5" w:tentative="0">
      <w:start w:val="1"/>
      <w:numFmt w:val="decimal"/>
      <w:isLgl/>
      <w:lvlText w:val="%1.%2.%3.%4.%5.%6"/>
      <w:lvlJc w:val="left"/>
      <w:pPr>
        <w:ind w:left="2760" w:hanging="1440"/>
      </w:pPr>
      <w:rPr>
        <w:rFonts w:hint="default"/>
      </w:rPr>
    </w:lvl>
    <w:lvl w:ilvl="6" w:tentative="0">
      <w:start w:val="1"/>
      <w:numFmt w:val="decimal"/>
      <w:isLgl/>
      <w:lvlText w:val="%1.%2.%3.%4.%5.%6.%7"/>
      <w:lvlJc w:val="left"/>
      <w:pPr>
        <w:ind w:left="3120" w:hanging="1800"/>
      </w:pPr>
      <w:rPr>
        <w:rFonts w:hint="default"/>
      </w:rPr>
    </w:lvl>
    <w:lvl w:ilvl="7" w:tentative="0">
      <w:start w:val="1"/>
      <w:numFmt w:val="decimal"/>
      <w:isLgl/>
      <w:lvlText w:val="%1.%2.%3.%4.%5.%6.%7.%8"/>
      <w:lvlJc w:val="left"/>
      <w:pPr>
        <w:ind w:left="3120" w:hanging="1800"/>
      </w:pPr>
      <w:rPr>
        <w:rFonts w:hint="default"/>
      </w:rPr>
    </w:lvl>
    <w:lvl w:ilvl="8" w:tentative="0">
      <w:start w:val="1"/>
      <w:numFmt w:val="decimal"/>
      <w:isLgl/>
      <w:lvlText w:val="%1.%2.%3.%4.%5.%6.%7.%8.%9"/>
      <w:lvlJc w:val="left"/>
      <w:pPr>
        <w:ind w:left="3480" w:hanging="2160"/>
      </w:pPr>
      <w:rPr>
        <w:rFonts w:hint="default"/>
      </w:rPr>
    </w:lvl>
  </w:abstractNum>
  <w:abstractNum w:abstractNumId="20">
    <w:nsid w:val="16767443"/>
    <w:multiLevelType w:val="multilevel"/>
    <w:tmpl w:val="16767443"/>
    <w:lvl w:ilvl="0" w:tentative="0">
      <w:start w:val="1"/>
      <w:numFmt w:val="decimal"/>
      <w:lvlText w:val="%1."/>
      <w:lvlJc w:val="left"/>
      <w:pPr>
        <w:ind w:left="132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1">
    <w:nsid w:val="16B253A8"/>
    <w:multiLevelType w:val="multilevel"/>
    <w:tmpl w:val="16B253A8"/>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2">
    <w:nsid w:val="18424FE8"/>
    <w:multiLevelType w:val="multilevel"/>
    <w:tmpl w:val="18424FE8"/>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3">
    <w:nsid w:val="190042D4"/>
    <w:multiLevelType w:val="multilevel"/>
    <w:tmpl w:val="190042D4"/>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4">
    <w:nsid w:val="19771639"/>
    <w:multiLevelType w:val="multilevel"/>
    <w:tmpl w:val="19771639"/>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5">
    <w:nsid w:val="1A5A1A85"/>
    <w:multiLevelType w:val="multilevel"/>
    <w:tmpl w:val="1A5A1A85"/>
    <w:lvl w:ilvl="0" w:tentative="0">
      <w:start w:val="1"/>
      <w:numFmt w:val="bullet"/>
      <w:lvlText w:val=""/>
      <w:lvlJc w:val="left"/>
      <w:pPr>
        <w:ind w:left="900" w:hanging="420"/>
      </w:pPr>
      <w:rPr>
        <w:rFonts w:hint="default" w:ascii="Wingdings" w:hAnsi="Wingding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6">
    <w:nsid w:val="1B1247A0"/>
    <w:multiLevelType w:val="multilevel"/>
    <w:tmpl w:val="1B1247A0"/>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7">
    <w:nsid w:val="1CF93CB5"/>
    <w:multiLevelType w:val="multilevel"/>
    <w:tmpl w:val="1CF93CB5"/>
    <w:lvl w:ilvl="0" w:tentative="0">
      <w:start w:val="1"/>
      <w:numFmt w:val="decimal"/>
      <w:lvlText w:val="%1)"/>
      <w:lvlJc w:val="left"/>
      <w:pPr>
        <w:ind w:left="1320" w:hanging="420"/>
      </w:pPr>
    </w:lvl>
    <w:lvl w:ilvl="1" w:tentative="0">
      <w:start w:val="1"/>
      <w:numFmt w:val="lowerLetter"/>
      <w:lvlText w:val="%2)"/>
      <w:lvlJc w:val="left"/>
      <w:pPr>
        <w:ind w:left="1740" w:hanging="420"/>
      </w:pPr>
    </w:lvl>
    <w:lvl w:ilvl="2" w:tentative="0">
      <w:start w:val="1"/>
      <w:numFmt w:val="lowerRoman"/>
      <w:lvlText w:val="%3."/>
      <w:lvlJc w:val="right"/>
      <w:pPr>
        <w:ind w:left="2160" w:hanging="420"/>
      </w:pPr>
    </w:lvl>
    <w:lvl w:ilvl="3" w:tentative="0">
      <w:start w:val="1"/>
      <w:numFmt w:val="decimal"/>
      <w:lvlText w:val="%4."/>
      <w:lvlJc w:val="left"/>
      <w:pPr>
        <w:ind w:left="2580" w:hanging="420"/>
      </w:pPr>
    </w:lvl>
    <w:lvl w:ilvl="4" w:tentative="0">
      <w:start w:val="1"/>
      <w:numFmt w:val="lowerLetter"/>
      <w:lvlText w:val="%5)"/>
      <w:lvlJc w:val="left"/>
      <w:pPr>
        <w:ind w:left="3000" w:hanging="420"/>
      </w:pPr>
    </w:lvl>
    <w:lvl w:ilvl="5" w:tentative="0">
      <w:start w:val="1"/>
      <w:numFmt w:val="lowerRoman"/>
      <w:lvlText w:val="%6."/>
      <w:lvlJc w:val="right"/>
      <w:pPr>
        <w:ind w:left="3420" w:hanging="420"/>
      </w:pPr>
    </w:lvl>
    <w:lvl w:ilvl="6" w:tentative="0">
      <w:start w:val="1"/>
      <w:numFmt w:val="decimal"/>
      <w:lvlText w:val="%7."/>
      <w:lvlJc w:val="left"/>
      <w:pPr>
        <w:ind w:left="3840" w:hanging="420"/>
      </w:pPr>
    </w:lvl>
    <w:lvl w:ilvl="7" w:tentative="0">
      <w:start w:val="1"/>
      <w:numFmt w:val="lowerLetter"/>
      <w:lvlText w:val="%8)"/>
      <w:lvlJc w:val="left"/>
      <w:pPr>
        <w:ind w:left="4260" w:hanging="420"/>
      </w:pPr>
    </w:lvl>
    <w:lvl w:ilvl="8" w:tentative="0">
      <w:start w:val="1"/>
      <w:numFmt w:val="lowerRoman"/>
      <w:lvlText w:val="%9."/>
      <w:lvlJc w:val="right"/>
      <w:pPr>
        <w:ind w:left="4680" w:hanging="420"/>
      </w:pPr>
    </w:lvl>
  </w:abstractNum>
  <w:abstractNum w:abstractNumId="28">
    <w:nsid w:val="1D8113C4"/>
    <w:multiLevelType w:val="multilevel"/>
    <w:tmpl w:val="1D8113C4"/>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9">
    <w:nsid w:val="1E310456"/>
    <w:multiLevelType w:val="multilevel"/>
    <w:tmpl w:val="1E310456"/>
    <w:lvl w:ilvl="0" w:tentative="0">
      <w:start w:val="1"/>
      <w:numFmt w:val="decimal"/>
      <w:lvlText w:val="%1)"/>
      <w:lvlJc w:val="left"/>
      <w:pPr>
        <w:ind w:left="2580" w:hanging="420"/>
      </w:pPr>
    </w:lvl>
    <w:lvl w:ilvl="1" w:tentative="0">
      <w:start w:val="1"/>
      <w:numFmt w:val="lowerLetter"/>
      <w:lvlText w:val="%2)"/>
      <w:lvlJc w:val="left"/>
      <w:pPr>
        <w:ind w:left="3000" w:hanging="420"/>
      </w:pPr>
    </w:lvl>
    <w:lvl w:ilvl="2" w:tentative="0">
      <w:start w:val="1"/>
      <w:numFmt w:val="lowerRoman"/>
      <w:lvlText w:val="%3."/>
      <w:lvlJc w:val="right"/>
      <w:pPr>
        <w:ind w:left="3420" w:hanging="420"/>
      </w:pPr>
    </w:lvl>
    <w:lvl w:ilvl="3" w:tentative="0">
      <w:start w:val="1"/>
      <w:numFmt w:val="decimal"/>
      <w:lvlText w:val="%4."/>
      <w:lvlJc w:val="left"/>
      <w:pPr>
        <w:ind w:left="3840" w:hanging="420"/>
      </w:pPr>
    </w:lvl>
    <w:lvl w:ilvl="4" w:tentative="0">
      <w:start w:val="1"/>
      <w:numFmt w:val="lowerLetter"/>
      <w:lvlText w:val="%5)"/>
      <w:lvlJc w:val="left"/>
      <w:pPr>
        <w:ind w:left="4260" w:hanging="420"/>
      </w:pPr>
    </w:lvl>
    <w:lvl w:ilvl="5" w:tentative="0">
      <w:start w:val="1"/>
      <w:numFmt w:val="lowerRoman"/>
      <w:lvlText w:val="%6."/>
      <w:lvlJc w:val="right"/>
      <w:pPr>
        <w:ind w:left="4680" w:hanging="420"/>
      </w:pPr>
    </w:lvl>
    <w:lvl w:ilvl="6" w:tentative="0">
      <w:start w:val="1"/>
      <w:numFmt w:val="decimal"/>
      <w:lvlText w:val="%7."/>
      <w:lvlJc w:val="left"/>
      <w:pPr>
        <w:ind w:left="5100" w:hanging="420"/>
      </w:pPr>
    </w:lvl>
    <w:lvl w:ilvl="7" w:tentative="0">
      <w:start w:val="1"/>
      <w:numFmt w:val="lowerLetter"/>
      <w:lvlText w:val="%8)"/>
      <w:lvlJc w:val="left"/>
      <w:pPr>
        <w:ind w:left="5520" w:hanging="420"/>
      </w:pPr>
    </w:lvl>
    <w:lvl w:ilvl="8" w:tentative="0">
      <w:start w:val="1"/>
      <w:numFmt w:val="lowerRoman"/>
      <w:lvlText w:val="%9."/>
      <w:lvlJc w:val="right"/>
      <w:pPr>
        <w:ind w:left="5940" w:hanging="420"/>
      </w:pPr>
    </w:lvl>
  </w:abstractNum>
  <w:abstractNum w:abstractNumId="30">
    <w:nsid w:val="1F4D77A6"/>
    <w:multiLevelType w:val="multilevel"/>
    <w:tmpl w:val="1F4D77A6"/>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1">
    <w:nsid w:val="1F7C142F"/>
    <w:multiLevelType w:val="multilevel"/>
    <w:tmpl w:val="1F7C142F"/>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2">
    <w:nsid w:val="1FA82C8C"/>
    <w:multiLevelType w:val="multilevel"/>
    <w:tmpl w:val="1FA82C8C"/>
    <w:lvl w:ilvl="0" w:tentative="0">
      <w:start w:val="1"/>
      <w:numFmt w:val="decimal"/>
      <w:lvlText w:val="%1."/>
      <w:lvlJc w:val="left"/>
      <w:pPr>
        <w:ind w:left="900" w:hanging="420"/>
      </w:pPr>
    </w:lvl>
    <w:lvl w:ilvl="1" w:tentative="0">
      <w:start w:val="3"/>
      <w:numFmt w:val="decimal"/>
      <w:isLgl/>
      <w:lvlText w:val="%1.%2."/>
      <w:lvlJc w:val="left"/>
      <w:pPr>
        <w:ind w:left="1920" w:hanging="1440"/>
      </w:pPr>
      <w:rPr>
        <w:rFonts w:hint="default"/>
      </w:rPr>
    </w:lvl>
    <w:lvl w:ilvl="2" w:tentative="0">
      <w:start w:val="3"/>
      <w:numFmt w:val="decimal"/>
      <w:isLgl/>
      <w:lvlText w:val="%1.%2.%3."/>
      <w:lvlJc w:val="left"/>
      <w:pPr>
        <w:ind w:left="1920" w:hanging="1440"/>
      </w:pPr>
      <w:rPr>
        <w:rFonts w:hint="default"/>
      </w:rPr>
    </w:lvl>
    <w:lvl w:ilvl="3" w:tentative="0">
      <w:start w:val="1"/>
      <w:numFmt w:val="decimal"/>
      <w:isLgl/>
      <w:lvlText w:val="%1.%2.%3.%4."/>
      <w:lvlJc w:val="left"/>
      <w:pPr>
        <w:ind w:left="1920" w:hanging="1440"/>
      </w:pPr>
      <w:rPr>
        <w:rFonts w:hint="default"/>
      </w:rPr>
    </w:lvl>
    <w:lvl w:ilvl="4" w:tentative="0">
      <w:start w:val="1"/>
      <w:numFmt w:val="decimal"/>
      <w:isLgl/>
      <w:lvlText w:val="%1.%2.%3.%4.%5."/>
      <w:lvlJc w:val="left"/>
      <w:pPr>
        <w:ind w:left="1920" w:hanging="1440"/>
      </w:pPr>
      <w:rPr>
        <w:rFonts w:hint="default"/>
      </w:rPr>
    </w:lvl>
    <w:lvl w:ilvl="5" w:tentative="0">
      <w:start w:val="1"/>
      <w:numFmt w:val="decimal"/>
      <w:isLgl/>
      <w:lvlText w:val="%1.%2.%3.%4.%5.%6."/>
      <w:lvlJc w:val="left"/>
      <w:pPr>
        <w:ind w:left="1920" w:hanging="1440"/>
      </w:pPr>
      <w:rPr>
        <w:rFonts w:hint="default"/>
      </w:rPr>
    </w:lvl>
    <w:lvl w:ilvl="6" w:tentative="0">
      <w:start w:val="1"/>
      <w:numFmt w:val="decimal"/>
      <w:isLgl/>
      <w:lvlText w:val="%1.%2.%3.%4.%5.%6.%7."/>
      <w:lvlJc w:val="left"/>
      <w:pPr>
        <w:ind w:left="2280" w:hanging="1800"/>
      </w:pPr>
      <w:rPr>
        <w:rFonts w:hint="default"/>
      </w:rPr>
    </w:lvl>
    <w:lvl w:ilvl="7" w:tentative="0">
      <w:start w:val="1"/>
      <w:numFmt w:val="decimal"/>
      <w:isLgl/>
      <w:lvlText w:val="%1.%2.%3.%4.%5.%6.%7.%8."/>
      <w:lvlJc w:val="left"/>
      <w:pPr>
        <w:ind w:left="2640" w:hanging="2160"/>
      </w:pPr>
      <w:rPr>
        <w:rFonts w:hint="default"/>
      </w:rPr>
    </w:lvl>
    <w:lvl w:ilvl="8" w:tentative="0">
      <w:start w:val="1"/>
      <w:numFmt w:val="decimal"/>
      <w:isLgl/>
      <w:lvlText w:val="%1.%2.%3.%4.%5.%6.%7.%8.%9."/>
      <w:lvlJc w:val="left"/>
      <w:pPr>
        <w:ind w:left="2640" w:hanging="2160"/>
      </w:pPr>
      <w:rPr>
        <w:rFonts w:hint="default"/>
      </w:rPr>
    </w:lvl>
  </w:abstractNum>
  <w:abstractNum w:abstractNumId="33">
    <w:nsid w:val="1FDF654E"/>
    <w:multiLevelType w:val="multilevel"/>
    <w:tmpl w:val="1FDF654E"/>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4">
    <w:nsid w:val="213A7706"/>
    <w:multiLevelType w:val="multilevel"/>
    <w:tmpl w:val="213A7706"/>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5">
    <w:nsid w:val="2167318A"/>
    <w:multiLevelType w:val="multilevel"/>
    <w:tmpl w:val="2167318A"/>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6">
    <w:nsid w:val="22566BFE"/>
    <w:multiLevelType w:val="multilevel"/>
    <w:tmpl w:val="22566BFE"/>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7">
    <w:nsid w:val="22D906B5"/>
    <w:multiLevelType w:val="multilevel"/>
    <w:tmpl w:val="22D906B5"/>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8">
    <w:nsid w:val="22E96ED4"/>
    <w:multiLevelType w:val="multilevel"/>
    <w:tmpl w:val="22E96ED4"/>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9">
    <w:nsid w:val="23441E70"/>
    <w:multiLevelType w:val="multilevel"/>
    <w:tmpl w:val="23441E70"/>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0">
    <w:nsid w:val="23687A11"/>
    <w:multiLevelType w:val="multilevel"/>
    <w:tmpl w:val="23687A11"/>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1">
    <w:nsid w:val="237A364D"/>
    <w:multiLevelType w:val="multilevel"/>
    <w:tmpl w:val="237A364D"/>
    <w:lvl w:ilvl="0" w:tentative="0">
      <w:start w:val="1"/>
      <w:numFmt w:val="decimal"/>
      <w:lvlText w:val="%1."/>
      <w:lvlJc w:val="left"/>
      <w:pPr>
        <w:ind w:left="900" w:hanging="420"/>
      </w:pPr>
    </w:lvl>
    <w:lvl w:ilvl="1" w:tentative="0">
      <w:start w:val="1"/>
      <w:numFmt w:val="decimal"/>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2">
    <w:nsid w:val="244D50E6"/>
    <w:multiLevelType w:val="multilevel"/>
    <w:tmpl w:val="244D50E6"/>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3">
    <w:nsid w:val="24737F54"/>
    <w:multiLevelType w:val="multilevel"/>
    <w:tmpl w:val="24737F54"/>
    <w:lvl w:ilvl="0" w:tentative="0">
      <w:start w:val="1"/>
      <w:numFmt w:val="decimal"/>
      <w:lvlText w:val="4.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257E1B66"/>
    <w:multiLevelType w:val="multilevel"/>
    <w:tmpl w:val="257E1B66"/>
    <w:lvl w:ilvl="0" w:tentative="0">
      <w:start w:val="1"/>
      <w:numFmt w:val="bullet"/>
      <w:lvlText w:val=""/>
      <w:lvlJc w:val="left"/>
      <w:pPr>
        <w:ind w:left="900" w:hanging="420"/>
      </w:pPr>
      <w:rPr>
        <w:rFonts w:hint="default" w:ascii="Wingdings" w:hAnsi="Wingding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5">
    <w:nsid w:val="25950027"/>
    <w:multiLevelType w:val="multilevel"/>
    <w:tmpl w:val="25950027"/>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6">
    <w:nsid w:val="296840F2"/>
    <w:multiLevelType w:val="multilevel"/>
    <w:tmpl w:val="296840F2"/>
    <w:lvl w:ilvl="0" w:tentative="0">
      <w:start w:val="1"/>
      <w:numFmt w:val="decimal"/>
      <w:lvlText w:val="%1."/>
      <w:lvlJc w:val="left"/>
      <w:pPr>
        <w:ind w:left="900" w:hanging="420"/>
      </w:pPr>
    </w:lvl>
    <w:lvl w:ilvl="1" w:tentative="0">
      <w:start w:val="1"/>
      <w:numFmt w:val="decimal"/>
      <w:isLgl/>
      <w:lvlText w:val="%1.%2"/>
      <w:lvlJc w:val="left"/>
      <w:pPr>
        <w:ind w:left="1200" w:hanging="720"/>
      </w:pPr>
      <w:rPr>
        <w:rFonts w:hint="default"/>
      </w:rPr>
    </w:lvl>
    <w:lvl w:ilvl="2" w:tentative="0">
      <w:start w:val="1"/>
      <w:numFmt w:val="decimal"/>
      <w:isLgl/>
      <w:lvlText w:val="%1.%2.%3"/>
      <w:lvlJc w:val="left"/>
      <w:pPr>
        <w:ind w:left="1200" w:hanging="720"/>
      </w:pPr>
      <w:rPr>
        <w:rFonts w:hint="default"/>
      </w:rPr>
    </w:lvl>
    <w:lvl w:ilvl="3" w:tentative="0">
      <w:start w:val="1"/>
      <w:numFmt w:val="decimal"/>
      <w:isLgl/>
      <w:lvlText w:val="%1.%2.%3.%4"/>
      <w:lvlJc w:val="left"/>
      <w:pPr>
        <w:ind w:left="1560" w:hanging="1080"/>
      </w:pPr>
      <w:rPr>
        <w:rFonts w:hint="default"/>
      </w:rPr>
    </w:lvl>
    <w:lvl w:ilvl="4" w:tentative="0">
      <w:start w:val="1"/>
      <w:numFmt w:val="decimal"/>
      <w:isLgl/>
      <w:lvlText w:val="%1.%2.%3.%4.%5"/>
      <w:lvlJc w:val="left"/>
      <w:pPr>
        <w:ind w:left="1560" w:hanging="1080"/>
      </w:pPr>
      <w:rPr>
        <w:rFonts w:hint="default"/>
      </w:rPr>
    </w:lvl>
    <w:lvl w:ilvl="5" w:tentative="0">
      <w:start w:val="1"/>
      <w:numFmt w:val="decimal"/>
      <w:isLgl/>
      <w:lvlText w:val="%1.%2.%3.%4.%5.%6"/>
      <w:lvlJc w:val="left"/>
      <w:pPr>
        <w:ind w:left="1920" w:hanging="1440"/>
      </w:pPr>
      <w:rPr>
        <w:rFonts w:hint="default"/>
      </w:rPr>
    </w:lvl>
    <w:lvl w:ilvl="6" w:tentative="0">
      <w:start w:val="1"/>
      <w:numFmt w:val="decimal"/>
      <w:isLgl/>
      <w:lvlText w:val="%1.%2.%3.%4.%5.%6.%7"/>
      <w:lvlJc w:val="left"/>
      <w:pPr>
        <w:ind w:left="2280" w:hanging="1800"/>
      </w:pPr>
      <w:rPr>
        <w:rFonts w:hint="default"/>
      </w:rPr>
    </w:lvl>
    <w:lvl w:ilvl="7" w:tentative="0">
      <w:start w:val="1"/>
      <w:numFmt w:val="decimal"/>
      <w:isLgl/>
      <w:lvlText w:val="%1.%2.%3.%4.%5.%6.%7.%8"/>
      <w:lvlJc w:val="left"/>
      <w:pPr>
        <w:ind w:left="2280" w:hanging="1800"/>
      </w:pPr>
      <w:rPr>
        <w:rFonts w:hint="default"/>
      </w:rPr>
    </w:lvl>
    <w:lvl w:ilvl="8" w:tentative="0">
      <w:start w:val="1"/>
      <w:numFmt w:val="decimal"/>
      <w:isLgl/>
      <w:lvlText w:val="%1.%2.%3.%4.%5.%6.%7.%8.%9"/>
      <w:lvlJc w:val="left"/>
      <w:pPr>
        <w:ind w:left="2640" w:hanging="2160"/>
      </w:pPr>
      <w:rPr>
        <w:rFonts w:hint="default"/>
      </w:rPr>
    </w:lvl>
  </w:abstractNum>
  <w:abstractNum w:abstractNumId="47">
    <w:nsid w:val="2A663DF6"/>
    <w:multiLevelType w:val="multilevel"/>
    <w:tmpl w:val="2A663DF6"/>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8">
    <w:nsid w:val="2B6A3924"/>
    <w:multiLevelType w:val="multilevel"/>
    <w:tmpl w:val="2B6A3924"/>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9">
    <w:nsid w:val="2C3521AE"/>
    <w:multiLevelType w:val="multilevel"/>
    <w:tmpl w:val="2C3521AE"/>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0">
    <w:nsid w:val="2D0F4287"/>
    <w:multiLevelType w:val="multilevel"/>
    <w:tmpl w:val="2D0F4287"/>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1">
    <w:nsid w:val="303115E6"/>
    <w:multiLevelType w:val="multilevel"/>
    <w:tmpl w:val="303115E6"/>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decimal"/>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2">
    <w:nsid w:val="320A5EEE"/>
    <w:multiLevelType w:val="multilevel"/>
    <w:tmpl w:val="320A5EEE"/>
    <w:lvl w:ilvl="0" w:tentative="0">
      <w:start w:val="1"/>
      <w:numFmt w:val="decimal"/>
      <w:lvlText w:val="%1."/>
      <w:lvlJc w:val="left"/>
      <w:pPr>
        <w:ind w:left="900" w:hanging="420"/>
      </w:pPr>
    </w:lvl>
    <w:lvl w:ilvl="1" w:tentative="0">
      <w:start w:val="3"/>
      <w:numFmt w:val="decimal"/>
      <w:isLgl/>
      <w:lvlText w:val="%1.%2"/>
      <w:lvlJc w:val="left"/>
      <w:pPr>
        <w:ind w:left="1440" w:hanging="960"/>
      </w:pPr>
      <w:rPr>
        <w:rFonts w:hint="default"/>
      </w:rPr>
    </w:lvl>
    <w:lvl w:ilvl="2" w:tentative="0">
      <w:start w:val="3"/>
      <w:numFmt w:val="decimal"/>
      <w:isLgl/>
      <w:lvlText w:val="%1.%2.%3"/>
      <w:lvlJc w:val="left"/>
      <w:pPr>
        <w:ind w:left="1440" w:hanging="960"/>
      </w:pPr>
      <w:rPr>
        <w:rFonts w:hint="default"/>
      </w:rPr>
    </w:lvl>
    <w:lvl w:ilvl="3" w:tentative="0">
      <w:start w:val="1"/>
      <w:numFmt w:val="decimal"/>
      <w:isLgl/>
      <w:lvlText w:val="%1.%2.%3.%4"/>
      <w:lvlJc w:val="left"/>
      <w:pPr>
        <w:ind w:left="1560" w:hanging="1080"/>
      </w:pPr>
      <w:rPr>
        <w:rFonts w:hint="default"/>
      </w:rPr>
    </w:lvl>
    <w:lvl w:ilvl="4" w:tentative="0">
      <w:start w:val="1"/>
      <w:numFmt w:val="decimal"/>
      <w:isLgl/>
      <w:lvlText w:val="%1.%2.%3.%4.%5"/>
      <w:lvlJc w:val="left"/>
      <w:pPr>
        <w:ind w:left="1560" w:hanging="1080"/>
      </w:pPr>
      <w:rPr>
        <w:rFonts w:hint="default"/>
      </w:rPr>
    </w:lvl>
    <w:lvl w:ilvl="5" w:tentative="0">
      <w:start w:val="1"/>
      <w:numFmt w:val="decimal"/>
      <w:isLgl/>
      <w:lvlText w:val="%1.%2.%3.%4.%5.%6"/>
      <w:lvlJc w:val="left"/>
      <w:pPr>
        <w:ind w:left="1920" w:hanging="1440"/>
      </w:pPr>
      <w:rPr>
        <w:rFonts w:hint="default"/>
      </w:rPr>
    </w:lvl>
    <w:lvl w:ilvl="6" w:tentative="0">
      <w:start w:val="1"/>
      <w:numFmt w:val="decimal"/>
      <w:isLgl/>
      <w:lvlText w:val="%1.%2.%3.%4.%5.%6.%7"/>
      <w:lvlJc w:val="left"/>
      <w:pPr>
        <w:ind w:left="2280" w:hanging="1800"/>
      </w:pPr>
      <w:rPr>
        <w:rFonts w:hint="default"/>
      </w:rPr>
    </w:lvl>
    <w:lvl w:ilvl="7" w:tentative="0">
      <w:start w:val="1"/>
      <w:numFmt w:val="decimal"/>
      <w:isLgl/>
      <w:lvlText w:val="%1.%2.%3.%4.%5.%6.%7.%8"/>
      <w:lvlJc w:val="left"/>
      <w:pPr>
        <w:ind w:left="2280" w:hanging="1800"/>
      </w:pPr>
      <w:rPr>
        <w:rFonts w:hint="default"/>
      </w:rPr>
    </w:lvl>
    <w:lvl w:ilvl="8" w:tentative="0">
      <w:start w:val="1"/>
      <w:numFmt w:val="decimal"/>
      <w:isLgl/>
      <w:lvlText w:val="%1.%2.%3.%4.%5.%6.%7.%8.%9"/>
      <w:lvlJc w:val="left"/>
      <w:pPr>
        <w:ind w:left="2640" w:hanging="2160"/>
      </w:pPr>
      <w:rPr>
        <w:rFonts w:hint="default"/>
      </w:rPr>
    </w:lvl>
  </w:abstractNum>
  <w:abstractNum w:abstractNumId="53">
    <w:nsid w:val="32411CCF"/>
    <w:multiLevelType w:val="multilevel"/>
    <w:tmpl w:val="32411CCF"/>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4">
    <w:nsid w:val="33020729"/>
    <w:multiLevelType w:val="multilevel"/>
    <w:tmpl w:val="33020729"/>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5">
    <w:nsid w:val="33323CBE"/>
    <w:multiLevelType w:val="multilevel"/>
    <w:tmpl w:val="33323CBE"/>
    <w:lvl w:ilvl="0" w:tentative="0">
      <w:start w:val="1"/>
      <w:numFmt w:val="bullet"/>
      <w:lvlText w:val=""/>
      <w:lvlJc w:val="left"/>
      <w:pPr>
        <w:ind w:left="900" w:hanging="420"/>
      </w:pPr>
      <w:rPr>
        <w:rFonts w:hint="default" w:ascii="Wingdings" w:hAnsi="Wingding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6">
    <w:nsid w:val="36396BB2"/>
    <w:multiLevelType w:val="multilevel"/>
    <w:tmpl w:val="36396BB2"/>
    <w:lvl w:ilvl="0" w:tentative="0">
      <w:start w:val="1"/>
      <w:numFmt w:val="decimal"/>
      <w:lvlText w:val="%1"/>
      <w:lvlJc w:val="left"/>
      <w:pPr>
        <w:ind w:left="432" w:hanging="432"/>
      </w:p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57">
    <w:nsid w:val="367C7CC9"/>
    <w:multiLevelType w:val="multilevel"/>
    <w:tmpl w:val="367C7CC9"/>
    <w:lvl w:ilvl="0" w:tentative="0">
      <w:start w:val="1"/>
      <w:numFmt w:val="decimal"/>
      <w:lvlText w:val="%1)"/>
      <w:lvlJc w:val="left"/>
      <w:pPr>
        <w:ind w:left="1320" w:hanging="420"/>
      </w:pPr>
    </w:lvl>
    <w:lvl w:ilvl="1" w:tentative="0">
      <w:start w:val="1"/>
      <w:numFmt w:val="lowerLetter"/>
      <w:lvlText w:val="%2)"/>
      <w:lvlJc w:val="left"/>
      <w:pPr>
        <w:ind w:left="1740" w:hanging="420"/>
      </w:pPr>
    </w:lvl>
    <w:lvl w:ilvl="2" w:tentative="0">
      <w:start w:val="1"/>
      <w:numFmt w:val="lowerRoman"/>
      <w:lvlText w:val="%3."/>
      <w:lvlJc w:val="right"/>
      <w:pPr>
        <w:ind w:left="2160" w:hanging="420"/>
      </w:pPr>
    </w:lvl>
    <w:lvl w:ilvl="3" w:tentative="0">
      <w:start w:val="1"/>
      <w:numFmt w:val="decimal"/>
      <w:lvlText w:val="%4."/>
      <w:lvlJc w:val="left"/>
      <w:pPr>
        <w:ind w:left="2580" w:hanging="420"/>
      </w:pPr>
    </w:lvl>
    <w:lvl w:ilvl="4" w:tentative="0">
      <w:start w:val="1"/>
      <w:numFmt w:val="lowerLetter"/>
      <w:lvlText w:val="%5)"/>
      <w:lvlJc w:val="left"/>
      <w:pPr>
        <w:ind w:left="3000" w:hanging="420"/>
      </w:pPr>
    </w:lvl>
    <w:lvl w:ilvl="5" w:tentative="0">
      <w:start w:val="1"/>
      <w:numFmt w:val="lowerRoman"/>
      <w:lvlText w:val="%6."/>
      <w:lvlJc w:val="right"/>
      <w:pPr>
        <w:ind w:left="3420" w:hanging="420"/>
      </w:pPr>
    </w:lvl>
    <w:lvl w:ilvl="6" w:tentative="0">
      <w:start w:val="1"/>
      <w:numFmt w:val="decimal"/>
      <w:lvlText w:val="%7."/>
      <w:lvlJc w:val="left"/>
      <w:pPr>
        <w:ind w:left="3840" w:hanging="420"/>
      </w:pPr>
    </w:lvl>
    <w:lvl w:ilvl="7" w:tentative="0">
      <w:start w:val="1"/>
      <w:numFmt w:val="lowerLetter"/>
      <w:lvlText w:val="%8)"/>
      <w:lvlJc w:val="left"/>
      <w:pPr>
        <w:ind w:left="4260" w:hanging="420"/>
      </w:pPr>
    </w:lvl>
    <w:lvl w:ilvl="8" w:tentative="0">
      <w:start w:val="1"/>
      <w:numFmt w:val="lowerRoman"/>
      <w:lvlText w:val="%9."/>
      <w:lvlJc w:val="right"/>
      <w:pPr>
        <w:ind w:left="4680" w:hanging="420"/>
      </w:pPr>
    </w:lvl>
  </w:abstractNum>
  <w:abstractNum w:abstractNumId="58">
    <w:nsid w:val="372F4AB0"/>
    <w:multiLevelType w:val="multilevel"/>
    <w:tmpl w:val="372F4AB0"/>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9">
    <w:nsid w:val="39FD5C21"/>
    <w:multiLevelType w:val="multilevel"/>
    <w:tmpl w:val="39FD5C21"/>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0">
    <w:nsid w:val="3A767C26"/>
    <w:multiLevelType w:val="multilevel"/>
    <w:tmpl w:val="3A767C26"/>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1">
    <w:nsid w:val="3B36475A"/>
    <w:multiLevelType w:val="multilevel"/>
    <w:tmpl w:val="3B36475A"/>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2">
    <w:nsid w:val="3C24697D"/>
    <w:multiLevelType w:val="multilevel"/>
    <w:tmpl w:val="3C24697D"/>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decimal"/>
      <w:lvlText w:val="%3."/>
      <w:lvlJc w:val="lef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3">
    <w:nsid w:val="3C971F28"/>
    <w:multiLevelType w:val="multilevel"/>
    <w:tmpl w:val="3C971F28"/>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4">
    <w:nsid w:val="3C9C7607"/>
    <w:multiLevelType w:val="multilevel"/>
    <w:tmpl w:val="3C9C7607"/>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5">
    <w:nsid w:val="3D331292"/>
    <w:multiLevelType w:val="multilevel"/>
    <w:tmpl w:val="3D331292"/>
    <w:lvl w:ilvl="0" w:tentative="0">
      <w:start w:val="1"/>
      <w:numFmt w:val="decimal"/>
      <w:pStyle w:val="201"/>
      <w:lvlText w:val="%1"/>
      <w:lvlJc w:val="left"/>
      <w:pPr>
        <w:ind w:left="432" w:hanging="432"/>
      </w:pPr>
    </w:lvl>
    <w:lvl w:ilvl="1" w:tentative="0">
      <w:start w:val="1"/>
      <w:numFmt w:val="decimal"/>
      <w:lvlText w:val="%1.%2"/>
      <w:lvlJc w:val="left"/>
      <w:pPr>
        <w:ind w:left="576" w:hanging="576"/>
      </w:pPr>
    </w:lvl>
    <w:lvl w:ilvl="2" w:tentative="0">
      <w:start w:val="1"/>
      <w:numFmt w:val="decimal"/>
      <w:pStyle w:val="202"/>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pStyle w:val="200"/>
      <w:lvlText w:val="%1.%2.%3.%4.%5.%6.%7.%8"/>
      <w:lvlJc w:val="left"/>
      <w:pPr>
        <w:ind w:left="1440" w:hanging="1440"/>
      </w:pPr>
    </w:lvl>
    <w:lvl w:ilvl="8" w:tentative="0">
      <w:start w:val="1"/>
      <w:numFmt w:val="decimal"/>
      <w:lvlText w:val="%1.%2.%3.%4.%5.%6.%7.%8.%9"/>
      <w:lvlJc w:val="left"/>
      <w:pPr>
        <w:ind w:left="1584" w:hanging="1584"/>
      </w:pPr>
    </w:lvl>
  </w:abstractNum>
  <w:abstractNum w:abstractNumId="66">
    <w:nsid w:val="3FDB6896"/>
    <w:multiLevelType w:val="multilevel"/>
    <w:tmpl w:val="3FDB6896"/>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7">
    <w:nsid w:val="41F04EB3"/>
    <w:multiLevelType w:val="multilevel"/>
    <w:tmpl w:val="41F04EB3"/>
    <w:lvl w:ilvl="0" w:tentative="0">
      <w:start w:val="1"/>
      <w:numFmt w:val="japaneseCounting"/>
      <w:pStyle w:val="214"/>
      <w:lvlText w:val="%1、"/>
      <w:lvlJc w:val="left"/>
      <w:pPr>
        <w:ind w:left="1138" w:hanging="510"/>
      </w:pPr>
      <w:rPr>
        <w:rFonts w:hint="default"/>
        <w:b/>
        <w:color w:val="auto"/>
      </w:rPr>
    </w:lvl>
    <w:lvl w:ilvl="1" w:tentative="0">
      <w:start w:val="1"/>
      <w:numFmt w:val="lowerLetter"/>
      <w:lvlText w:val="%2)"/>
      <w:lvlJc w:val="left"/>
      <w:pPr>
        <w:ind w:left="1468" w:hanging="420"/>
      </w:pPr>
    </w:lvl>
    <w:lvl w:ilvl="2" w:tentative="0">
      <w:start w:val="1"/>
      <w:numFmt w:val="lowerRoman"/>
      <w:lvlText w:val="%3."/>
      <w:lvlJc w:val="right"/>
      <w:pPr>
        <w:ind w:left="1888" w:hanging="420"/>
      </w:pPr>
    </w:lvl>
    <w:lvl w:ilvl="3" w:tentative="0">
      <w:start w:val="1"/>
      <w:numFmt w:val="decimal"/>
      <w:lvlText w:val="%4."/>
      <w:lvlJc w:val="left"/>
      <w:pPr>
        <w:ind w:left="2308" w:hanging="420"/>
      </w:pPr>
    </w:lvl>
    <w:lvl w:ilvl="4" w:tentative="0">
      <w:start w:val="1"/>
      <w:numFmt w:val="lowerLetter"/>
      <w:lvlText w:val="%5)"/>
      <w:lvlJc w:val="left"/>
      <w:pPr>
        <w:ind w:left="2728" w:hanging="420"/>
      </w:pPr>
    </w:lvl>
    <w:lvl w:ilvl="5" w:tentative="0">
      <w:start w:val="1"/>
      <w:numFmt w:val="lowerRoman"/>
      <w:lvlText w:val="%6."/>
      <w:lvlJc w:val="right"/>
      <w:pPr>
        <w:ind w:left="3148" w:hanging="420"/>
      </w:pPr>
    </w:lvl>
    <w:lvl w:ilvl="6" w:tentative="0">
      <w:start w:val="1"/>
      <w:numFmt w:val="decimal"/>
      <w:lvlText w:val="%7."/>
      <w:lvlJc w:val="left"/>
      <w:pPr>
        <w:ind w:left="3568" w:hanging="420"/>
      </w:pPr>
    </w:lvl>
    <w:lvl w:ilvl="7" w:tentative="0">
      <w:start w:val="1"/>
      <w:numFmt w:val="lowerLetter"/>
      <w:lvlText w:val="%8)"/>
      <w:lvlJc w:val="left"/>
      <w:pPr>
        <w:ind w:left="3988" w:hanging="420"/>
      </w:pPr>
    </w:lvl>
    <w:lvl w:ilvl="8" w:tentative="0">
      <w:start w:val="1"/>
      <w:numFmt w:val="lowerRoman"/>
      <w:lvlText w:val="%9."/>
      <w:lvlJc w:val="right"/>
      <w:pPr>
        <w:ind w:left="4408" w:hanging="420"/>
      </w:pPr>
    </w:lvl>
  </w:abstractNum>
  <w:abstractNum w:abstractNumId="68">
    <w:nsid w:val="42EA46CE"/>
    <w:multiLevelType w:val="multilevel"/>
    <w:tmpl w:val="42EA46CE"/>
    <w:lvl w:ilvl="0" w:tentative="0">
      <w:start w:val="1"/>
      <w:numFmt w:val="decimal"/>
      <w:lvlText w:val="%1)"/>
      <w:lvlJc w:val="left"/>
      <w:pPr>
        <w:ind w:left="1320" w:hanging="420"/>
      </w:pPr>
    </w:lvl>
    <w:lvl w:ilvl="1" w:tentative="0">
      <w:start w:val="1"/>
      <w:numFmt w:val="lowerLetter"/>
      <w:lvlText w:val="%2)"/>
      <w:lvlJc w:val="left"/>
      <w:pPr>
        <w:ind w:left="1740" w:hanging="420"/>
      </w:pPr>
    </w:lvl>
    <w:lvl w:ilvl="2" w:tentative="0">
      <w:start w:val="1"/>
      <w:numFmt w:val="lowerRoman"/>
      <w:lvlText w:val="%3."/>
      <w:lvlJc w:val="right"/>
      <w:pPr>
        <w:ind w:left="2160" w:hanging="420"/>
      </w:pPr>
    </w:lvl>
    <w:lvl w:ilvl="3" w:tentative="0">
      <w:start w:val="1"/>
      <w:numFmt w:val="decimal"/>
      <w:lvlText w:val="%4."/>
      <w:lvlJc w:val="left"/>
      <w:pPr>
        <w:ind w:left="2580" w:hanging="420"/>
      </w:pPr>
    </w:lvl>
    <w:lvl w:ilvl="4" w:tentative="0">
      <w:start w:val="1"/>
      <w:numFmt w:val="lowerLetter"/>
      <w:lvlText w:val="%5)"/>
      <w:lvlJc w:val="left"/>
      <w:pPr>
        <w:ind w:left="3000" w:hanging="420"/>
      </w:pPr>
    </w:lvl>
    <w:lvl w:ilvl="5" w:tentative="0">
      <w:start w:val="1"/>
      <w:numFmt w:val="lowerRoman"/>
      <w:lvlText w:val="%6."/>
      <w:lvlJc w:val="right"/>
      <w:pPr>
        <w:ind w:left="3420" w:hanging="420"/>
      </w:pPr>
    </w:lvl>
    <w:lvl w:ilvl="6" w:tentative="0">
      <w:start w:val="1"/>
      <w:numFmt w:val="decimal"/>
      <w:lvlText w:val="%7."/>
      <w:lvlJc w:val="left"/>
      <w:pPr>
        <w:ind w:left="3840" w:hanging="420"/>
      </w:pPr>
    </w:lvl>
    <w:lvl w:ilvl="7" w:tentative="0">
      <w:start w:val="1"/>
      <w:numFmt w:val="lowerLetter"/>
      <w:lvlText w:val="%8)"/>
      <w:lvlJc w:val="left"/>
      <w:pPr>
        <w:ind w:left="4260" w:hanging="420"/>
      </w:pPr>
    </w:lvl>
    <w:lvl w:ilvl="8" w:tentative="0">
      <w:start w:val="1"/>
      <w:numFmt w:val="lowerRoman"/>
      <w:lvlText w:val="%9."/>
      <w:lvlJc w:val="right"/>
      <w:pPr>
        <w:ind w:left="4680" w:hanging="420"/>
      </w:pPr>
    </w:lvl>
  </w:abstractNum>
  <w:abstractNum w:abstractNumId="69">
    <w:nsid w:val="43195DCE"/>
    <w:multiLevelType w:val="multilevel"/>
    <w:tmpl w:val="43195DCE"/>
    <w:lvl w:ilvl="0" w:tentative="0">
      <w:start w:val="1"/>
      <w:numFmt w:val="decimal"/>
      <w:pStyle w:val="3"/>
      <w:lvlText w:val="%1"/>
      <w:lvlJc w:val="left"/>
      <w:pPr>
        <w:ind w:left="432" w:hanging="432"/>
      </w:pPr>
    </w:lvl>
    <w:lvl w:ilvl="1" w:tentative="0">
      <w:start w:val="1"/>
      <w:numFmt w:val="decimal"/>
      <w:pStyle w:val="4"/>
      <w:lvlText w:val="%1.%2"/>
      <w:lvlJc w:val="left"/>
      <w:pPr>
        <w:ind w:left="796" w:hanging="576"/>
      </w:pPr>
    </w:lvl>
    <w:lvl w:ilvl="2" w:tentative="0">
      <w:start w:val="1"/>
      <w:numFmt w:val="decimal"/>
      <w:pStyle w:val="5"/>
      <w:lvlText w:val="%1.%2.%3"/>
      <w:lvlJc w:val="left"/>
      <w:pPr>
        <w:ind w:left="720" w:hanging="720"/>
      </w:pPr>
    </w:lvl>
    <w:lvl w:ilvl="3" w:tentative="0">
      <w:start w:val="1"/>
      <w:numFmt w:val="decimal"/>
      <w:pStyle w:val="6"/>
      <w:lvlText w:val="%1.%2.%3.%4"/>
      <w:lvlJc w:val="left"/>
      <w:pPr>
        <w:ind w:left="864" w:hanging="864"/>
      </w:pPr>
    </w:lvl>
    <w:lvl w:ilvl="4" w:tentative="0">
      <w:start w:val="1"/>
      <w:numFmt w:val="decimal"/>
      <w:pStyle w:val="7"/>
      <w:lvlText w:val="%1.%2.%3.%4.%5"/>
      <w:lvlJc w:val="left"/>
      <w:pPr>
        <w:ind w:left="1008" w:hanging="1008"/>
      </w:pPr>
    </w:lvl>
    <w:lvl w:ilvl="5" w:tentative="0">
      <w:start w:val="1"/>
      <w:numFmt w:val="decimal"/>
      <w:pStyle w:val="8"/>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70">
    <w:nsid w:val="4360051B"/>
    <w:multiLevelType w:val="multilevel"/>
    <w:tmpl w:val="4360051B"/>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decimal"/>
      <w:lvlText w:val="%3."/>
      <w:lvlJc w:val="lef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1">
    <w:nsid w:val="449D00E7"/>
    <w:multiLevelType w:val="multilevel"/>
    <w:tmpl w:val="449D00E7"/>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2">
    <w:nsid w:val="455E631A"/>
    <w:multiLevelType w:val="multilevel"/>
    <w:tmpl w:val="455E631A"/>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3">
    <w:nsid w:val="456C108A"/>
    <w:multiLevelType w:val="multilevel"/>
    <w:tmpl w:val="456C108A"/>
    <w:lvl w:ilvl="0" w:tentative="0">
      <w:start w:val="1"/>
      <w:numFmt w:val="decimal"/>
      <w:lvlText w:val="%1)"/>
      <w:lvlJc w:val="left"/>
      <w:pPr>
        <w:ind w:left="1320" w:hanging="420"/>
      </w:pPr>
    </w:lvl>
    <w:lvl w:ilvl="1" w:tentative="0">
      <w:start w:val="1"/>
      <w:numFmt w:val="lowerLetter"/>
      <w:lvlText w:val="%2)"/>
      <w:lvlJc w:val="left"/>
      <w:pPr>
        <w:ind w:left="1740" w:hanging="420"/>
      </w:pPr>
    </w:lvl>
    <w:lvl w:ilvl="2" w:tentative="0">
      <w:start w:val="1"/>
      <w:numFmt w:val="lowerRoman"/>
      <w:lvlText w:val="%3."/>
      <w:lvlJc w:val="right"/>
      <w:pPr>
        <w:ind w:left="2160" w:hanging="420"/>
      </w:pPr>
    </w:lvl>
    <w:lvl w:ilvl="3" w:tentative="0">
      <w:start w:val="1"/>
      <w:numFmt w:val="decimal"/>
      <w:lvlText w:val="%4."/>
      <w:lvlJc w:val="left"/>
      <w:pPr>
        <w:ind w:left="2580" w:hanging="420"/>
      </w:pPr>
    </w:lvl>
    <w:lvl w:ilvl="4" w:tentative="0">
      <w:start w:val="1"/>
      <w:numFmt w:val="lowerLetter"/>
      <w:lvlText w:val="%5)"/>
      <w:lvlJc w:val="left"/>
      <w:pPr>
        <w:ind w:left="3000" w:hanging="420"/>
      </w:pPr>
    </w:lvl>
    <w:lvl w:ilvl="5" w:tentative="0">
      <w:start w:val="1"/>
      <w:numFmt w:val="lowerRoman"/>
      <w:lvlText w:val="%6."/>
      <w:lvlJc w:val="right"/>
      <w:pPr>
        <w:ind w:left="3420" w:hanging="420"/>
      </w:pPr>
    </w:lvl>
    <w:lvl w:ilvl="6" w:tentative="0">
      <w:start w:val="1"/>
      <w:numFmt w:val="decimal"/>
      <w:lvlText w:val="%7."/>
      <w:lvlJc w:val="left"/>
      <w:pPr>
        <w:ind w:left="3840" w:hanging="420"/>
      </w:pPr>
    </w:lvl>
    <w:lvl w:ilvl="7" w:tentative="0">
      <w:start w:val="1"/>
      <w:numFmt w:val="lowerLetter"/>
      <w:lvlText w:val="%8)"/>
      <w:lvlJc w:val="left"/>
      <w:pPr>
        <w:ind w:left="4260" w:hanging="420"/>
      </w:pPr>
    </w:lvl>
    <w:lvl w:ilvl="8" w:tentative="0">
      <w:start w:val="1"/>
      <w:numFmt w:val="lowerRoman"/>
      <w:lvlText w:val="%9."/>
      <w:lvlJc w:val="right"/>
      <w:pPr>
        <w:ind w:left="4680" w:hanging="420"/>
      </w:pPr>
    </w:lvl>
  </w:abstractNum>
  <w:abstractNum w:abstractNumId="74">
    <w:nsid w:val="46E21D2E"/>
    <w:multiLevelType w:val="multilevel"/>
    <w:tmpl w:val="46E21D2E"/>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5">
    <w:nsid w:val="474E4E51"/>
    <w:multiLevelType w:val="multilevel"/>
    <w:tmpl w:val="474E4E51"/>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6">
    <w:nsid w:val="47536C82"/>
    <w:multiLevelType w:val="multilevel"/>
    <w:tmpl w:val="47536C82"/>
    <w:lvl w:ilvl="0" w:tentative="0">
      <w:start w:val="1"/>
      <w:numFmt w:val="decimal"/>
      <w:lvlText w:val="%1)"/>
      <w:lvlJc w:val="left"/>
      <w:pPr>
        <w:ind w:left="1320" w:hanging="420"/>
      </w:pPr>
    </w:lvl>
    <w:lvl w:ilvl="1" w:tentative="0">
      <w:start w:val="1"/>
      <w:numFmt w:val="lowerLetter"/>
      <w:lvlText w:val="%2)"/>
      <w:lvlJc w:val="left"/>
      <w:pPr>
        <w:ind w:left="1740" w:hanging="420"/>
      </w:pPr>
    </w:lvl>
    <w:lvl w:ilvl="2" w:tentative="0">
      <w:start w:val="1"/>
      <w:numFmt w:val="lowerRoman"/>
      <w:lvlText w:val="%3."/>
      <w:lvlJc w:val="right"/>
      <w:pPr>
        <w:ind w:left="2160" w:hanging="420"/>
      </w:pPr>
    </w:lvl>
    <w:lvl w:ilvl="3" w:tentative="0">
      <w:start w:val="1"/>
      <w:numFmt w:val="decimal"/>
      <w:lvlText w:val="%4."/>
      <w:lvlJc w:val="left"/>
      <w:pPr>
        <w:ind w:left="2580" w:hanging="420"/>
      </w:pPr>
    </w:lvl>
    <w:lvl w:ilvl="4" w:tentative="0">
      <w:start w:val="1"/>
      <w:numFmt w:val="lowerLetter"/>
      <w:lvlText w:val="%5)"/>
      <w:lvlJc w:val="left"/>
      <w:pPr>
        <w:ind w:left="3000" w:hanging="420"/>
      </w:pPr>
    </w:lvl>
    <w:lvl w:ilvl="5" w:tentative="0">
      <w:start w:val="1"/>
      <w:numFmt w:val="lowerRoman"/>
      <w:lvlText w:val="%6."/>
      <w:lvlJc w:val="right"/>
      <w:pPr>
        <w:ind w:left="3420" w:hanging="420"/>
      </w:pPr>
    </w:lvl>
    <w:lvl w:ilvl="6" w:tentative="0">
      <w:start w:val="1"/>
      <w:numFmt w:val="decimal"/>
      <w:lvlText w:val="%7."/>
      <w:lvlJc w:val="left"/>
      <w:pPr>
        <w:ind w:left="3840" w:hanging="420"/>
      </w:pPr>
    </w:lvl>
    <w:lvl w:ilvl="7" w:tentative="0">
      <w:start w:val="1"/>
      <w:numFmt w:val="lowerLetter"/>
      <w:lvlText w:val="%8)"/>
      <w:lvlJc w:val="left"/>
      <w:pPr>
        <w:ind w:left="4260" w:hanging="420"/>
      </w:pPr>
    </w:lvl>
    <w:lvl w:ilvl="8" w:tentative="0">
      <w:start w:val="1"/>
      <w:numFmt w:val="lowerRoman"/>
      <w:lvlText w:val="%9."/>
      <w:lvlJc w:val="right"/>
      <w:pPr>
        <w:ind w:left="4680" w:hanging="420"/>
      </w:pPr>
    </w:lvl>
  </w:abstractNum>
  <w:abstractNum w:abstractNumId="77">
    <w:nsid w:val="49057B84"/>
    <w:multiLevelType w:val="multilevel"/>
    <w:tmpl w:val="49057B84"/>
    <w:lvl w:ilvl="0" w:tentative="0">
      <w:start w:val="1"/>
      <w:numFmt w:val="decimal"/>
      <w:lvlText w:val="%1."/>
      <w:lvlJc w:val="left"/>
      <w:pPr>
        <w:tabs>
          <w:tab w:val="left" w:pos="0"/>
        </w:tabs>
        <w:ind w:left="630" w:hanging="420"/>
      </w:pPr>
    </w:lvl>
    <w:lvl w:ilvl="1" w:tentative="0">
      <w:start w:val="1"/>
      <w:numFmt w:val="lowerLetter"/>
      <w:lvlText w:val="%2)"/>
      <w:lvlJc w:val="left"/>
      <w:pPr>
        <w:tabs>
          <w:tab w:val="left" w:pos="0"/>
        </w:tabs>
        <w:ind w:left="1050" w:hanging="420"/>
      </w:pPr>
    </w:lvl>
    <w:lvl w:ilvl="2" w:tentative="0">
      <w:start w:val="1"/>
      <w:numFmt w:val="lowerRoman"/>
      <w:lvlText w:val="%3."/>
      <w:lvlJc w:val="right"/>
      <w:pPr>
        <w:tabs>
          <w:tab w:val="left" w:pos="0"/>
        </w:tabs>
        <w:ind w:left="1470" w:hanging="420"/>
      </w:pPr>
    </w:lvl>
    <w:lvl w:ilvl="3" w:tentative="0">
      <w:start w:val="1"/>
      <w:numFmt w:val="decimal"/>
      <w:lvlText w:val="%4."/>
      <w:lvlJc w:val="left"/>
      <w:pPr>
        <w:tabs>
          <w:tab w:val="left" w:pos="0"/>
        </w:tabs>
        <w:ind w:left="1890" w:hanging="420"/>
      </w:pPr>
    </w:lvl>
    <w:lvl w:ilvl="4" w:tentative="0">
      <w:start w:val="1"/>
      <w:numFmt w:val="lowerLetter"/>
      <w:lvlText w:val="%5)"/>
      <w:lvlJc w:val="left"/>
      <w:pPr>
        <w:tabs>
          <w:tab w:val="left" w:pos="0"/>
        </w:tabs>
        <w:ind w:left="2310" w:hanging="420"/>
      </w:pPr>
    </w:lvl>
    <w:lvl w:ilvl="5" w:tentative="0">
      <w:start w:val="1"/>
      <w:numFmt w:val="lowerRoman"/>
      <w:lvlText w:val="%6."/>
      <w:lvlJc w:val="right"/>
      <w:pPr>
        <w:tabs>
          <w:tab w:val="left" w:pos="0"/>
        </w:tabs>
        <w:ind w:left="2730" w:hanging="420"/>
      </w:pPr>
    </w:lvl>
    <w:lvl w:ilvl="6" w:tentative="0">
      <w:start w:val="1"/>
      <w:numFmt w:val="decimal"/>
      <w:lvlText w:val="%7."/>
      <w:lvlJc w:val="left"/>
      <w:pPr>
        <w:tabs>
          <w:tab w:val="left" w:pos="0"/>
        </w:tabs>
        <w:ind w:left="3150" w:hanging="420"/>
      </w:pPr>
    </w:lvl>
    <w:lvl w:ilvl="7" w:tentative="0">
      <w:start w:val="1"/>
      <w:numFmt w:val="lowerLetter"/>
      <w:lvlText w:val="%8)"/>
      <w:lvlJc w:val="left"/>
      <w:pPr>
        <w:tabs>
          <w:tab w:val="left" w:pos="0"/>
        </w:tabs>
        <w:ind w:left="3570" w:hanging="420"/>
      </w:pPr>
    </w:lvl>
    <w:lvl w:ilvl="8" w:tentative="0">
      <w:start w:val="1"/>
      <w:numFmt w:val="lowerRoman"/>
      <w:lvlText w:val="%9."/>
      <w:lvlJc w:val="right"/>
      <w:pPr>
        <w:tabs>
          <w:tab w:val="left" w:pos="0"/>
        </w:tabs>
        <w:ind w:left="3990" w:hanging="420"/>
      </w:pPr>
    </w:lvl>
  </w:abstractNum>
  <w:abstractNum w:abstractNumId="78">
    <w:nsid w:val="4D78326B"/>
    <w:multiLevelType w:val="multilevel"/>
    <w:tmpl w:val="4D78326B"/>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79">
    <w:nsid w:val="4FC87885"/>
    <w:multiLevelType w:val="multilevel"/>
    <w:tmpl w:val="4FC87885"/>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80">
    <w:nsid w:val="5096530A"/>
    <w:multiLevelType w:val="multilevel"/>
    <w:tmpl w:val="5096530A"/>
    <w:lvl w:ilvl="0" w:tentative="0">
      <w:start w:val="1"/>
      <w:numFmt w:val="decimal"/>
      <w:lvlText w:val="4.2.2.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1">
    <w:nsid w:val="51282A8D"/>
    <w:multiLevelType w:val="multilevel"/>
    <w:tmpl w:val="51282A8D"/>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2">
    <w:nsid w:val="51864CCE"/>
    <w:multiLevelType w:val="multilevel"/>
    <w:tmpl w:val="51864CCE"/>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3">
    <w:nsid w:val="52927838"/>
    <w:multiLevelType w:val="multilevel"/>
    <w:tmpl w:val="52927838"/>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4">
    <w:nsid w:val="53CF6ECA"/>
    <w:multiLevelType w:val="multilevel"/>
    <w:tmpl w:val="53CF6ECA"/>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85">
    <w:nsid w:val="552E13DF"/>
    <w:multiLevelType w:val="multilevel"/>
    <w:tmpl w:val="552E13DF"/>
    <w:lvl w:ilvl="0" w:tentative="0">
      <w:start w:val="1"/>
      <w:numFmt w:val="bullet"/>
      <w:lvlText w:val=""/>
      <w:lvlJc w:val="left"/>
      <w:pPr>
        <w:ind w:left="900" w:hanging="420"/>
      </w:pPr>
      <w:rPr>
        <w:rFonts w:hint="default" w:ascii="Wingdings" w:hAnsi="Wingding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6">
    <w:nsid w:val="55450062"/>
    <w:multiLevelType w:val="multilevel"/>
    <w:tmpl w:val="55450062"/>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7">
    <w:nsid w:val="56AB1574"/>
    <w:multiLevelType w:val="multilevel"/>
    <w:tmpl w:val="56AB1574"/>
    <w:lvl w:ilvl="0" w:tentative="0">
      <w:start w:val="1"/>
      <w:numFmt w:val="decimal"/>
      <w:lvlText w:val="%1)"/>
      <w:lvlJc w:val="left"/>
      <w:pPr>
        <w:ind w:left="1320" w:hanging="420"/>
      </w:pPr>
    </w:lvl>
    <w:lvl w:ilvl="1" w:tentative="0">
      <w:start w:val="1"/>
      <w:numFmt w:val="lowerLetter"/>
      <w:lvlText w:val="%2)"/>
      <w:lvlJc w:val="left"/>
      <w:pPr>
        <w:ind w:left="1740" w:hanging="420"/>
      </w:pPr>
    </w:lvl>
    <w:lvl w:ilvl="2" w:tentative="0">
      <w:start w:val="1"/>
      <w:numFmt w:val="lowerRoman"/>
      <w:lvlText w:val="%3."/>
      <w:lvlJc w:val="right"/>
      <w:pPr>
        <w:ind w:left="2160" w:hanging="420"/>
      </w:pPr>
    </w:lvl>
    <w:lvl w:ilvl="3" w:tentative="0">
      <w:start w:val="1"/>
      <w:numFmt w:val="decimal"/>
      <w:lvlText w:val="%4."/>
      <w:lvlJc w:val="left"/>
      <w:pPr>
        <w:ind w:left="2580" w:hanging="420"/>
      </w:pPr>
    </w:lvl>
    <w:lvl w:ilvl="4" w:tentative="0">
      <w:start w:val="1"/>
      <w:numFmt w:val="lowerLetter"/>
      <w:lvlText w:val="%5)"/>
      <w:lvlJc w:val="left"/>
      <w:pPr>
        <w:ind w:left="3000" w:hanging="420"/>
      </w:pPr>
    </w:lvl>
    <w:lvl w:ilvl="5" w:tentative="0">
      <w:start w:val="1"/>
      <w:numFmt w:val="lowerRoman"/>
      <w:lvlText w:val="%6."/>
      <w:lvlJc w:val="right"/>
      <w:pPr>
        <w:ind w:left="3420" w:hanging="420"/>
      </w:pPr>
    </w:lvl>
    <w:lvl w:ilvl="6" w:tentative="0">
      <w:start w:val="1"/>
      <w:numFmt w:val="decimal"/>
      <w:lvlText w:val="%7."/>
      <w:lvlJc w:val="left"/>
      <w:pPr>
        <w:ind w:left="3840" w:hanging="420"/>
      </w:pPr>
    </w:lvl>
    <w:lvl w:ilvl="7" w:tentative="0">
      <w:start w:val="1"/>
      <w:numFmt w:val="lowerLetter"/>
      <w:lvlText w:val="%8)"/>
      <w:lvlJc w:val="left"/>
      <w:pPr>
        <w:ind w:left="4260" w:hanging="420"/>
      </w:pPr>
    </w:lvl>
    <w:lvl w:ilvl="8" w:tentative="0">
      <w:start w:val="1"/>
      <w:numFmt w:val="lowerRoman"/>
      <w:lvlText w:val="%9."/>
      <w:lvlJc w:val="right"/>
      <w:pPr>
        <w:ind w:left="4680" w:hanging="420"/>
      </w:pPr>
    </w:lvl>
  </w:abstractNum>
  <w:abstractNum w:abstractNumId="88">
    <w:nsid w:val="572D1947"/>
    <w:multiLevelType w:val="multilevel"/>
    <w:tmpl w:val="572D1947"/>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89">
    <w:nsid w:val="5933348E"/>
    <w:multiLevelType w:val="multilevel"/>
    <w:tmpl w:val="5933348E"/>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0">
    <w:nsid w:val="59FD75A4"/>
    <w:multiLevelType w:val="multilevel"/>
    <w:tmpl w:val="59FD75A4"/>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1">
    <w:nsid w:val="5A106C59"/>
    <w:multiLevelType w:val="multilevel"/>
    <w:tmpl w:val="5A106C59"/>
    <w:lvl w:ilvl="0" w:tentative="0">
      <w:start w:val="1"/>
      <w:numFmt w:val="decimal"/>
      <w:lvlText w:val="%1)"/>
      <w:lvlJc w:val="left"/>
      <w:pPr>
        <w:ind w:left="2160" w:hanging="420"/>
      </w:pPr>
    </w:lvl>
    <w:lvl w:ilvl="1" w:tentative="0">
      <w:start w:val="1"/>
      <w:numFmt w:val="lowerLetter"/>
      <w:lvlText w:val="%2)"/>
      <w:lvlJc w:val="left"/>
      <w:pPr>
        <w:ind w:left="2580" w:hanging="420"/>
      </w:pPr>
    </w:lvl>
    <w:lvl w:ilvl="2" w:tentative="0">
      <w:start w:val="1"/>
      <w:numFmt w:val="lowerRoman"/>
      <w:lvlText w:val="%3."/>
      <w:lvlJc w:val="right"/>
      <w:pPr>
        <w:ind w:left="3000" w:hanging="420"/>
      </w:pPr>
    </w:lvl>
    <w:lvl w:ilvl="3" w:tentative="0">
      <w:start w:val="1"/>
      <w:numFmt w:val="decimal"/>
      <w:lvlText w:val="%4."/>
      <w:lvlJc w:val="left"/>
      <w:pPr>
        <w:ind w:left="3420" w:hanging="420"/>
      </w:pPr>
    </w:lvl>
    <w:lvl w:ilvl="4" w:tentative="0">
      <w:start w:val="1"/>
      <w:numFmt w:val="lowerLetter"/>
      <w:lvlText w:val="%5)"/>
      <w:lvlJc w:val="left"/>
      <w:pPr>
        <w:ind w:left="3840" w:hanging="420"/>
      </w:pPr>
    </w:lvl>
    <w:lvl w:ilvl="5" w:tentative="0">
      <w:start w:val="1"/>
      <w:numFmt w:val="lowerRoman"/>
      <w:lvlText w:val="%6."/>
      <w:lvlJc w:val="right"/>
      <w:pPr>
        <w:ind w:left="4260" w:hanging="420"/>
      </w:pPr>
    </w:lvl>
    <w:lvl w:ilvl="6" w:tentative="0">
      <w:start w:val="1"/>
      <w:numFmt w:val="decimal"/>
      <w:lvlText w:val="%7."/>
      <w:lvlJc w:val="left"/>
      <w:pPr>
        <w:ind w:left="4680" w:hanging="420"/>
      </w:pPr>
    </w:lvl>
    <w:lvl w:ilvl="7" w:tentative="0">
      <w:start w:val="1"/>
      <w:numFmt w:val="lowerLetter"/>
      <w:lvlText w:val="%8)"/>
      <w:lvlJc w:val="left"/>
      <w:pPr>
        <w:ind w:left="5100" w:hanging="420"/>
      </w:pPr>
    </w:lvl>
    <w:lvl w:ilvl="8" w:tentative="0">
      <w:start w:val="1"/>
      <w:numFmt w:val="lowerRoman"/>
      <w:lvlText w:val="%9."/>
      <w:lvlJc w:val="right"/>
      <w:pPr>
        <w:ind w:left="5520" w:hanging="420"/>
      </w:pPr>
    </w:lvl>
  </w:abstractNum>
  <w:abstractNum w:abstractNumId="92">
    <w:nsid w:val="5B3F5BD2"/>
    <w:multiLevelType w:val="multilevel"/>
    <w:tmpl w:val="5B3F5BD2"/>
    <w:lvl w:ilvl="0" w:tentative="0">
      <w:start w:val="1"/>
      <w:numFmt w:val="decimal"/>
      <w:lvlText w:val="4.2.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3">
    <w:nsid w:val="5C270BFD"/>
    <w:multiLevelType w:val="multilevel"/>
    <w:tmpl w:val="5C270BFD"/>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4">
    <w:nsid w:val="5C486D4C"/>
    <w:multiLevelType w:val="multilevel"/>
    <w:tmpl w:val="5C486D4C"/>
    <w:lvl w:ilvl="0" w:tentative="0">
      <w:start w:val="1"/>
      <w:numFmt w:val="decimal"/>
      <w:lvlText w:val="%1."/>
      <w:lvlJc w:val="left"/>
      <w:pPr>
        <w:ind w:left="132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5">
    <w:nsid w:val="5CB66E9D"/>
    <w:multiLevelType w:val="multilevel"/>
    <w:tmpl w:val="5CB66E9D"/>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6">
    <w:nsid w:val="5CF44129"/>
    <w:multiLevelType w:val="multilevel"/>
    <w:tmpl w:val="5CF44129"/>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7">
    <w:nsid w:val="5ED72B43"/>
    <w:multiLevelType w:val="multilevel"/>
    <w:tmpl w:val="5ED72B43"/>
    <w:lvl w:ilvl="0" w:tentative="0">
      <w:start w:val="1"/>
      <w:numFmt w:val="decimal"/>
      <w:lvlText w:val="%1)"/>
      <w:lvlJc w:val="left"/>
      <w:pPr>
        <w:ind w:left="1320" w:hanging="420"/>
      </w:pPr>
    </w:lvl>
    <w:lvl w:ilvl="1" w:tentative="0">
      <w:start w:val="1"/>
      <w:numFmt w:val="lowerLetter"/>
      <w:lvlText w:val="%2)"/>
      <w:lvlJc w:val="left"/>
      <w:pPr>
        <w:ind w:left="1740" w:hanging="420"/>
      </w:pPr>
    </w:lvl>
    <w:lvl w:ilvl="2" w:tentative="0">
      <w:start w:val="1"/>
      <w:numFmt w:val="lowerRoman"/>
      <w:lvlText w:val="%3."/>
      <w:lvlJc w:val="right"/>
      <w:pPr>
        <w:ind w:left="2160" w:hanging="420"/>
      </w:pPr>
    </w:lvl>
    <w:lvl w:ilvl="3" w:tentative="0">
      <w:start w:val="1"/>
      <w:numFmt w:val="decimal"/>
      <w:lvlText w:val="%4."/>
      <w:lvlJc w:val="left"/>
      <w:pPr>
        <w:ind w:left="2580" w:hanging="420"/>
      </w:pPr>
    </w:lvl>
    <w:lvl w:ilvl="4" w:tentative="0">
      <w:start w:val="1"/>
      <w:numFmt w:val="lowerLetter"/>
      <w:lvlText w:val="%5)"/>
      <w:lvlJc w:val="left"/>
      <w:pPr>
        <w:ind w:left="3000" w:hanging="420"/>
      </w:pPr>
    </w:lvl>
    <w:lvl w:ilvl="5" w:tentative="0">
      <w:start w:val="1"/>
      <w:numFmt w:val="lowerRoman"/>
      <w:lvlText w:val="%6."/>
      <w:lvlJc w:val="right"/>
      <w:pPr>
        <w:ind w:left="3420" w:hanging="420"/>
      </w:pPr>
    </w:lvl>
    <w:lvl w:ilvl="6" w:tentative="0">
      <w:start w:val="1"/>
      <w:numFmt w:val="decimal"/>
      <w:lvlText w:val="%7."/>
      <w:lvlJc w:val="left"/>
      <w:pPr>
        <w:ind w:left="3840" w:hanging="420"/>
      </w:pPr>
    </w:lvl>
    <w:lvl w:ilvl="7" w:tentative="0">
      <w:start w:val="1"/>
      <w:numFmt w:val="lowerLetter"/>
      <w:lvlText w:val="%8)"/>
      <w:lvlJc w:val="left"/>
      <w:pPr>
        <w:ind w:left="4260" w:hanging="420"/>
      </w:pPr>
    </w:lvl>
    <w:lvl w:ilvl="8" w:tentative="0">
      <w:start w:val="1"/>
      <w:numFmt w:val="lowerRoman"/>
      <w:lvlText w:val="%9."/>
      <w:lvlJc w:val="right"/>
      <w:pPr>
        <w:ind w:left="4680" w:hanging="420"/>
      </w:pPr>
    </w:lvl>
  </w:abstractNum>
  <w:abstractNum w:abstractNumId="98">
    <w:nsid w:val="5F45210E"/>
    <w:multiLevelType w:val="multilevel"/>
    <w:tmpl w:val="5F45210E"/>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9">
    <w:nsid w:val="5FA047CE"/>
    <w:multiLevelType w:val="multilevel"/>
    <w:tmpl w:val="5FA047CE"/>
    <w:lvl w:ilvl="0" w:tentative="0">
      <w:start w:val="1"/>
      <w:numFmt w:val="decimal"/>
      <w:lvlText w:val="%1."/>
      <w:lvlJc w:val="left"/>
      <w:pPr>
        <w:ind w:left="1740" w:hanging="420"/>
      </w:pPr>
    </w:lvl>
    <w:lvl w:ilvl="1" w:tentative="0">
      <w:start w:val="2"/>
      <w:numFmt w:val="decimal"/>
      <w:isLgl/>
      <w:lvlText w:val="%1.%2"/>
      <w:lvlJc w:val="left"/>
      <w:pPr>
        <w:ind w:left="2280" w:hanging="960"/>
      </w:pPr>
      <w:rPr>
        <w:rFonts w:hint="default"/>
      </w:rPr>
    </w:lvl>
    <w:lvl w:ilvl="2" w:tentative="0">
      <w:start w:val="1"/>
      <w:numFmt w:val="decimal"/>
      <w:isLgl/>
      <w:lvlText w:val="%1.%2.%3"/>
      <w:lvlJc w:val="left"/>
      <w:pPr>
        <w:ind w:left="2280" w:hanging="960"/>
      </w:pPr>
      <w:rPr>
        <w:rFonts w:hint="default"/>
      </w:rPr>
    </w:lvl>
    <w:lvl w:ilvl="3" w:tentative="0">
      <w:start w:val="1"/>
      <w:numFmt w:val="decimal"/>
      <w:isLgl/>
      <w:lvlText w:val="%1.%2.%3.%4"/>
      <w:lvlJc w:val="left"/>
      <w:pPr>
        <w:ind w:left="2400" w:hanging="1080"/>
      </w:pPr>
      <w:rPr>
        <w:rFonts w:hint="default"/>
      </w:rPr>
    </w:lvl>
    <w:lvl w:ilvl="4" w:tentative="0">
      <w:start w:val="1"/>
      <w:numFmt w:val="decimal"/>
      <w:isLgl/>
      <w:lvlText w:val="%1.%2.%3.%4.%5"/>
      <w:lvlJc w:val="left"/>
      <w:pPr>
        <w:ind w:left="2400" w:hanging="1080"/>
      </w:pPr>
      <w:rPr>
        <w:rFonts w:hint="default"/>
      </w:rPr>
    </w:lvl>
    <w:lvl w:ilvl="5" w:tentative="0">
      <w:start w:val="1"/>
      <w:numFmt w:val="decimal"/>
      <w:isLgl/>
      <w:lvlText w:val="%1.%2.%3.%4.%5.%6"/>
      <w:lvlJc w:val="left"/>
      <w:pPr>
        <w:ind w:left="2760" w:hanging="1440"/>
      </w:pPr>
      <w:rPr>
        <w:rFonts w:hint="default"/>
      </w:rPr>
    </w:lvl>
    <w:lvl w:ilvl="6" w:tentative="0">
      <w:start w:val="1"/>
      <w:numFmt w:val="decimal"/>
      <w:isLgl/>
      <w:lvlText w:val="%1.%2.%3.%4.%5.%6.%7"/>
      <w:lvlJc w:val="left"/>
      <w:pPr>
        <w:ind w:left="3120" w:hanging="1800"/>
      </w:pPr>
      <w:rPr>
        <w:rFonts w:hint="default"/>
      </w:rPr>
    </w:lvl>
    <w:lvl w:ilvl="7" w:tentative="0">
      <w:start w:val="1"/>
      <w:numFmt w:val="decimal"/>
      <w:isLgl/>
      <w:lvlText w:val="%1.%2.%3.%4.%5.%6.%7.%8"/>
      <w:lvlJc w:val="left"/>
      <w:pPr>
        <w:ind w:left="3120" w:hanging="1800"/>
      </w:pPr>
      <w:rPr>
        <w:rFonts w:hint="default"/>
      </w:rPr>
    </w:lvl>
    <w:lvl w:ilvl="8" w:tentative="0">
      <w:start w:val="1"/>
      <w:numFmt w:val="decimal"/>
      <w:isLgl/>
      <w:lvlText w:val="%1.%2.%3.%4.%5.%6.%7.%8.%9"/>
      <w:lvlJc w:val="left"/>
      <w:pPr>
        <w:ind w:left="3480" w:hanging="2160"/>
      </w:pPr>
      <w:rPr>
        <w:rFonts w:hint="default"/>
      </w:rPr>
    </w:lvl>
  </w:abstractNum>
  <w:abstractNum w:abstractNumId="100">
    <w:nsid w:val="5FD82290"/>
    <w:multiLevelType w:val="multilevel"/>
    <w:tmpl w:val="5FD82290"/>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1">
    <w:nsid w:val="5FE345AD"/>
    <w:multiLevelType w:val="multilevel"/>
    <w:tmpl w:val="5FE345AD"/>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2">
    <w:nsid w:val="5FEF1597"/>
    <w:multiLevelType w:val="multilevel"/>
    <w:tmpl w:val="5FEF1597"/>
    <w:lvl w:ilvl="0" w:tentative="0">
      <w:start w:val="1"/>
      <w:numFmt w:val="decimal"/>
      <w:lvlText w:val="%1)"/>
      <w:lvlJc w:val="left"/>
      <w:pPr>
        <w:ind w:left="1320" w:hanging="420"/>
      </w:pPr>
    </w:lvl>
    <w:lvl w:ilvl="1" w:tentative="0">
      <w:start w:val="1"/>
      <w:numFmt w:val="lowerLetter"/>
      <w:lvlText w:val="%2)"/>
      <w:lvlJc w:val="left"/>
      <w:pPr>
        <w:ind w:left="1740" w:hanging="420"/>
      </w:pPr>
    </w:lvl>
    <w:lvl w:ilvl="2" w:tentative="0">
      <w:start w:val="1"/>
      <w:numFmt w:val="lowerRoman"/>
      <w:lvlText w:val="%3."/>
      <w:lvlJc w:val="right"/>
      <w:pPr>
        <w:ind w:left="2160" w:hanging="420"/>
      </w:pPr>
    </w:lvl>
    <w:lvl w:ilvl="3" w:tentative="0">
      <w:start w:val="1"/>
      <w:numFmt w:val="decimal"/>
      <w:lvlText w:val="%4."/>
      <w:lvlJc w:val="left"/>
      <w:pPr>
        <w:ind w:left="2580" w:hanging="420"/>
      </w:pPr>
    </w:lvl>
    <w:lvl w:ilvl="4" w:tentative="0">
      <w:start w:val="1"/>
      <w:numFmt w:val="lowerLetter"/>
      <w:lvlText w:val="%5)"/>
      <w:lvlJc w:val="left"/>
      <w:pPr>
        <w:ind w:left="3000" w:hanging="420"/>
      </w:pPr>
    </w:lvl>
    <w:lvl w:ilvl="5" w:tentative="0">
      <w:start w:val="1"/>
      <w:numFmt w:val="lowerRoman"/>
      <w:lvlText w:val="%6."/>
      <w:lvlJc w:val="right"/>
      <w:pPr>
        <w:ind w:left="3420" w:hanging="420"/>
      </w:pPr>
    </w:lvl>
    <w:lvl w:ilvl="6" w:tentative="0">
      <w:start w:val="1"/>
      <w:numFmt w:val="decimal"/>
      <w:lvlText w:val="%7."/>
      <w:lvlJc w:val="left"/>
      <w:pPr>
        <w:ind w:left="3840" w:hanging="420"/>
      </w:pPr>
    </w:lvl>
    <w:lvl w:ilvl="7" w:tentative="0">
      <w:start w:val="1"/>
      <w:numFmt w:val="lowerLetter"/>
      <w:lvlText w:val="%8)"/>
      <w:lvlJc w:val="left"/>
      <w:pPr>
        <w:ind w:left="4260" w:hanging="420"/>
      </w:pPr>
    </w:lvl>
    <w:lvl w:ilvl="8" w:tentative="0">
      <w:start w:val="1"/>
      <w:numFmt w:val="lowerRoman"/>
      <w:lvlText w:val="%9."/>
      <w:lvlJc w:val="right"/>
      <w:pPr>
        <w:ind w:left="4680" w:hanging="420"/>
      </w:pPr>
    </w:lvl>
  </w:abstractNum>
  <w:abstractNum w:abstractNumId="103">
    <w:nsid w:val="62757202"/>
    <w:multiLevelType w:val="multilevel"/>
    <w:tmpl w:val="62757202"/>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4">
    <w:nsid w:val="642B1A21"/>
    <w:multiLevelType w:val="multilevel"/>
    <w:tmpl w:val="642B1A21"/>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5">
    <w:nsid w:val="64D102A0"/>
    <w:multiLevelType w:val="multilevel"/>
    <w:tmpl w:val="64D102A0"/>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6">
    <w:nsid w:val="653E4580"/>
    <w:multiLevelType w:val="multilevel"/>
    <w:tmpl w:val="653E4580"/>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7">
    <w:nsid w:val="68096F4E"/>
    <w:multiLevelType w:val="multilevel"/>
    <w:tmpl w:val="68096F4E"/>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8">
    <w:nsid w:val="69164682"/>
    <w:multiLevelType w:val="multilevel"/>
    <w:tmpl w:val="69164682"/>
    <w:lvl w:ilvl="0" w:tentative="0">
      <w:start w:val="1"/>
      <w:numFmt w:val="decimal"/>
      <w:lvlText w:val="%1)"/>
      <w:lvlJc w:val="left"/>
      <w:pPr>
        <w:ind w:left="900" w:hanging="420"/>
      </w:pPr>
    </w:lvl>
    <w:lvl w:ilvl="1" w:tentative="0">
      <w:start w:val="1"/>
      <w:numFmt w:val="decimal"/>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9">
    <w:nsid w:val="693550F1"/>
    <w:multiLevelType w:val="multilevel"/>
    <w:tmpl w:val="693550F1"/>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10">
    <w:nsid w:val="6956667A"/>
    <w:multiLevelType w:val="multilevel"/>
    <w:tmpl w:val="6956667A"/>
    <w:lvl w:ilvl="0" w:tentative="0">
      <w:start w:val="1"/>
      <w:numFmt w:val="decimal"/>
      <w:lvlText w:val="%1."/>
      <w:lvlJc w:val="left"/>
      <w:pPr>
        <w:ind w:left="900" w:hanging="420"/>
      </w:pPr>
    </w:lvl>
    <w:lvl w:ilvl="1" w:tentative="0">
      <w:start w:val="3"/>
      <w:numFmt w:val="decimal"/>
      <w:isLgl/>
      <w:lvlText w:val="%1.%2."/>
      <w:lvlJc w:val="left"/>
      <w:pPr>
        <w:ind w:left="1920" w:hanging="1440"/>
      </w:pPr>
      <w:rPr>
        <w:rFonts w:hint="default"/>
      </w:rPr>
    </w:lvl>
    <w:lvl w:ilvl="2" w:tentative="0">
      <w:start w:val="3"/>
      <w:numFmt w:val="decimal"/>
      <w:isLgl/>
      <w:lvlText w:val="%1.%2.%3."/>
      <w:lvlJc w:val="left"/>
      <w:pPr>
        <w:ind w:left="1920" w:hanging="1440"/>
      </w:pPr>
      <w:rPr>
        <w:rFonts w:hint="default"/>
      </w:rPr>
    </w:lvl>
    <w:lvl w:ilvl="3" w:tentative="0">
      <w:start w:val="1"/>
      <w:numFmt w:val="decimal"/>
      <w:isLgl/>
      <w:lvlText w:val="%1.%2.%3.%4."/>
      <w:lvlJc w:val="left"/>
      <w:pPr>
        <w:ind w:left="1920" w:hanging="1440"/>
      </w:pPr>
      <w:rPr>
        <w:rFonts w:hint="default"/>
      </w:rPr>
    </w:lvl>
    <w:lvl w:ilvl="4" w:tentative="0">
      <w:start w:val="4"/>
      <w:numFmt w:val="decimal"/>
      <w:isLgl/>
      <w:lvlText w:val="%1.%2.%3.%4.%5."/>
      <w:lvlJc w:val="left"/>
      <w:pPr>
        <w:ind w:left="1920" w:hanging="1440"/>
      </w:pPr>
      <w:rPr>
        <w:rFonts w:hint="default"/>
      </w:rPr>
    </w:lvl>
    <w:lvl w:ilvl="5" w:tentative="0">
      <w:start w:val="1"/>
      <w:numFmt w:val="decimal"/>
      <w:isLgl/>
      <w:lvlText w:val="%1.%2.%3.%4.%5.%6."/>
      <w:lvlJc w:val="left"/>
      <w:pPr>
        <w:ind w:left="1920" w:hanging="1440"/>
      </w:pPr>
      <w:rPr>
        <w:rFonts w:hint="default"/>
      </w:rPr>
    </w:lvl>
    <w:lvl w:ilvl="6" w:tentative="0">
      <w:start w:val="1"/>
      <w:numFmt w:val="decimal"/>
      <w:isLgl/>
      <w:lvlText w:val="%1.%2.%3.%4.%5.%6.%7."/>
      <w:lvlJc w:val="left"/>
      <w:pPr>
        <w:ind w:left="2280" w:hanging="1800"/>
      </w:pPr>
      <w:rPr>
        <w:rFonts w:hint="default"/>
      </w:rPr>
    </w:lvl>
    <w:lvl w:ilvl="7" w:tentative="0">
      <w:start w:val="1"/>
      <w:numFmt w:val="decimal"/>
      <w:isLgl/>
      <w:lvlText w:val="%1.%2.%3.%4.%5.%6.%7.%8."/>
      <w:lvlJc w:val="left"/>
      <w:pPr>
        <w:ind w:left="2640" w:hanging="2160"/>
      </w:pPr>
      <w:rPr>
        <w:rFonts w:hint="default"/>
      </w:rPr>
    </w:lvl>
    <w:lvl w:ilvl="8" w:tentative="0">
      <w:start w:val="1"/>
      <w:numFmt w:val="decimal"/>
      <w:isLgl/>
      <w:lvlText w:val="%1.%2.%3.%4.%5.%6.%7.%8.%9."/>
      <w:lvlJc w:val="left"/>
      <w:pPr>
        <w:ind w:left="2640" w:hanging="2160"/>
      </w:pPr>
      <w:rPr>
        <w:rFonts w:hint="default"/>
      </w:rPr>
    </w:lvl>
  </w:abstractNum>
  <w:abstractNum w:abstractNumId="111">
    <w:nsid w:val="6A2C67AF"/>
    <w:multiLevelType w:val="multilevel"/>
    <w:tmpl w:val="6A2C67AF"/>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12">
    <w:nsid w:val="6CFA0C72"/>
    <w:multiLevelType w:val="multilevel"/>
    <w:tmpl w:val="6CFA0C72"/>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13">
    <w:nsid w:val="6DA92E5A"/>
    <w:multiLevelType w:val="multilevel"/>
    <w:tmpl w:val="6DA92E5A"/>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14">
    <w:nsid w:val="6DB746EA"/>
    <w:multiLevelType w:val="multilevel"/>
    <w:tmpl w:val="6DB746EA"/>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15">
    <w:nsid w:val="6DC90DC6"/>
    <w:multiLevelType w:val="multilevel"/>
    <w:tmpl w:val="6DC90DC6"/>
    <w:lvl w:ilvl="0" w:tentative="0">
      <w:start w:val="1"/>
      <w:numFmt w:val="decimal"/>
      <w:lvlText w:val="%1."/>
      <w:lvlJc w:val="left"/>
      <w:pPr>
        <w:ind w:left="900" w:hanging="420"/>
      </w:pPr>
    </w:lvl>
    <w:lvl w:ilvl="1" w:tentative="0">
      <w:start w:val="2"/>
      <w:numFmt w:val="decimal"/>
      <w:isLgl/>
      <w:lvlText w:val="%1.%2"/>
      <w:lvlJc w:val="left"/>
      <w:pPr>
        <w:ind w:left="1320" w:hanging="840"/>
      </w:pPr>
      <w:rPr>
        <w:rFonts w:hint="default"/>
      </w:rPr>
    </w:lvl>
    <w:lvl w:ilvl="2" w:tentative="0">
      <w:start w:val="30"/>
      <w:numFmt w:val="decimal"/>
      <w:isLgl/>
      <w:lvlText w:val="%1.%2.%3"/>
      <w:lvlJc w:val="left"/>
      <w:pPr>
        <w:ind w:left="1320" w:hanging="840"/>
      </w:pPr>
      <w:rPr>
        <w:rFonts w:hint="default"/>
      </w:rPr>
    </w:lvl>
    <w:lvl w:ilvl="3" w:tentative="0">
      <w:start w:val="1"/>
      <w:numFmt w:val="decimal"/>
      <w:isLgl/>
      <w:lvlText w:val="%1.%2.%3.%4"/>
      <w:lvlJc w:val="left"/>
      <w:pPr>
        <w:ind w:left="1560" w:hanging="1080"/>
      </w:pPr>
      <w:rPr>
        <w:rFonts w:hint="default"/>
      </w:rPr>
    </w:lvl>
    <w:lvl w:ilvl="4" w:tentative="0">
      <w:start w:val="1"/>
      <w:numFmt w:val="decimal"/>
      <w:isLgl/>
      <w:lvlText w:val="%1.%2.%3.%4.%5"/>
      <w:lvlJc w:val="left"/>
      <w:pPr>
        <w:ind w:left="1560" w:hanging="1080"/>
      </w:pPr>
      <w:rPr>
        <w:rFonts w:hint="default"/>
      </w:rPr>
    </w:lvl>
    <w:lvl w:ilvl="5" w:tentative="0">
      <w:start w:val="1"/>
      <w:numFmt w:val="decimal"/>
      <w:isLgl/>
      <w:lvlText w:val="%1.%2.%3.%4.%5.%6"/>
      <w:lvlJc w:val="left"/>
      <w:pPr>
        <w:ind w:left="1920" w:hanging="1440"/>
      </w:pPr>
      <w:rPr>
        <w:rFonts w:hint="default"/>
      </w:rPr>
    </w:lvl>
    <w:lvl w:ilvl="6" w:tentative="0">
      <w:start w:val="1"/>
      <w:numFmt w:val="decimal"/>
      <w:isLgl/>
      <w:lvlText w:val="%1.%2.%3.%4.%5.%6.%7"/>
      <w:lvlJc w:val="left"/>
      <w:pPr>
        <w:ind w:left="2280" w:hanging="1800"/>
      </w:pPr>
      <w:rPr>
        <w:rFonts w:hint="default"/>
      </w:rPr>
    </w:lvl>
    <w:lvl w:ilvl="7" w:tentative="0">
      <w:start w:val="1"/>
      <w:numFmt w:val="decimal"/>
      <w:isLgl/>
      <w:lvlText w:val="%1.%2.%3.%4.%5.%6.%7.%8"/>
      <w:lvlJc w:val="left"/>
      <w:pPr>
        <w:ind w:left="2280" w:hanging="1800"/>
      </w:pPr>
      <w:rPr>
        <w:rFonts w:hint="default"/>
      </w:rPr>
    </w:lvl>
    <w:lvl w:ilvl="8" w:tentative="0">
      <w:start w:val="1"/>
      <w:numFmt w:val="decimal"/>
      <w:isLgl/>
      <w:lvlText w:val="%1.%2.%3.%4.%5.%6.%7.%8.%9"/>
      <w:lvlJc w:val="left"/>
      <w:pPr>
        <w:ind w:left="2640" w:hanging="2160"/>
      </w:pPr>
      <w:rPr>
        <w:rFonts w:hint="default"/>
      </w:rPr>
    </w:lvl>
  </w:abstractNum>
  <w:abstractNum w:abstractNumId="116">
    <w:nsid w:val="6E033A60"/>
    <w:multiLevelType w:val="multilevel"/>
    <w:tmpl w:val="6E033A60"/>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17">
    <w:nsid w:val="6E10CB45"/>
    <w:multiLevelType w:val="singleLevel"/>
    <w:tmpl w:val="6E10CB45"/>
    <w:lvl w:ilvl="0" w:tentative="0">
      <w:start w:val="2"/>
      <w:numFmt w:val="chineseCounting"/>
      <w:suff w:val="space"/>
      <w:lvlText w:val="第%1章"/>
      <w:lvlJc w:val="left"/>
      <w:rPr>
        <w:rFonts w:hint="eastAsia"/>
      </w:rPr>
    </w:lvl>
  </w:abstractNum>
  <w:abstractNum w:abstractNumId="118">
    <w:nsid w:val="6F1B3D13"/>
    <w:multiLevelType w:val="multilevel"/>
    <w:tmpl w:val="6F1B3D13"/>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19">
    <w:nsid w:val="735B436A"/>
    <w:multiLevelType w:val="multilevel"/>
    <w:tmpl w:val="735B436A"/>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0">
    <w:nsid w:val="7453551E"/>
    <w:multiLevelType w:val="multilevel"/>
    <w:tmpl w:val="7453551E"/>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1">
    <w:nsid w:val="757B35C5"/>
    <w:multiLevelType w:val="multilevel"/>
    <w:tmpl w:val="757B35C5"/>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2">
    <w:nsid w:val="75CA05EC"/>
    <w:multiLevelType w:val="multilevel"/>
    <w:tmpl w:val="75CA05EC"/>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3">
    <w:nsid w:val="77885F4F"/>
    <w:multiLevelType w:val="multilevel"/>
    <w:tmpl w:val="77885F4F"/>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4">
    <w:nsid w:val="78E825EF"/>
    <w:multiLevelType w:val="multilevel"/>
    <w:tmpl w:val="78E825EF"/>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5">
    <w:nsid w:val="79BB467D"/>
    <w:multiLevelType w:val="multilevel"/>
    <w:tmpl w:val="79BB467D"/>
    <w:lvl w:ilvl="0" w:tentative="0">
      <w:start w:val="1"/>
      <w:numFmt w:val="decimal"/>
      <w:lvlText w:val="%1)"/>
      <w:lvlJc w:val="left"/>
      <w:pPr>
        <w:ind w:left="620" w:hanging="420"/>
      </w:p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126">
    <w:nsid w:val="7A4A36AE"/>
    <w:multiLevelType w:val="multilevel"/>
    <w:tmpl w:val="7A4A36AE"/>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7">
    <w:nsid w:val="7CD968DF"/>
    <w:multiLevelType w:val="multilevel"/>
    <w:tmpl w:val="7CD968DF"/>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8">
    <w:nsid w:val="7D1D19D4"/>
    <w:multiLevelType w:val="multilevel"/>
    <w:tmpl w:val="7D1D19D4"/>
    <w:lvl w:ilvl="0" w:tentative="0">
      <w:start w:val="1"/>
      <w:numFmt w:val="bullet"/>
      <w:lvlText w:val=""/>
      <w:lvlJc w:val="left"/>
      <w:pPr>
        <w:tabs>
          <w:tab w:val="left" w:pos="1322"/>
        </w:tabs>
        <w:ind w:left="1322" w:hanging="420"/>
      </w:pPr>
      <w:rPr>
        <w:rFonts w:hint="default" w:ascii="仿宋" w:hAnsi="仿宋"/>
      </w:rPr>
    </w:lvl>
    <w:lvl w:ilvl="1" w:tentative="0">
      <w:start w:val="1"/>
      <w:numFmt w:val="bullet"/>
      <w:pStyle w:val="159"/>
      <w:lvlText w:val=""/>
      <w:lvlJc w:val="left"/>
      <w:pPr>
        <w:tabs>
          <w:tab w:val="left" w:pos="1682"/>
        </w:tabs>
        <w:ind w:left="1657" w:hanging="335"/>
      </w:pPr>
      <w:rPr>
        <w:rFonts w:hint="default" w:ascii="仿宋" w:hAnsi="仿宋"/>
      </w:rPr>
    </w:lvl>
    <w:lvl w:ilvl="2" w:tentative="0">
      <w:start w:val="1"/>
      <w:numFmt w:val="bullet"/>
      <w:lvlText w:val=""/>
      <w:lvlJc w:val="left"/>
      <w:pPr>
        <w:tabs>
          <w:tab w:val="left" w:pos="2162"/>
        </w:tabs>
        <w:ind w:left="2162" w:hanging="420"/>
      </w:pPr>
      <w:rPr>
        <w:rFonts w:hint="default" w:ascii="仿宋" w:hAnsi="仿宋"/>
      </w:rPr>
    </w:lvl>
    <w:lvl w:ilvl="3" w:tentative="0">
      <w:start w:val="1"/>
      <w:numFmt w:val="bullet"/>
      <w:lvlText w:val=""/>
      <w:lvlJc w:val="left"/>
      <w:pPr>
        <w:tabs>
          <w:tab w:val="left" w:pos="2582"/>
        </w:tabs>
        <w:ind w:left="2582" w:hanging="420"/>
      </w:pPr>
      <w:rPr>
        <w:rFonts w:hint="default" w:ascii="仿宋" w:hAnsi="仿宋"/>
      </w:rPr>
    </w:lvl>
    <w:lvl w:ilvl="4" w:tentative="0">
      <w:start w:val="1"/>
      <w:numFmt w:val="bullet"/>
      <w:lvlText w:val=""/>
      <w:lvlJc w:val="left"/>
      <w:pPr>
        <w:tabs>
          <w:tab w:val="left" w:pos="3002"/>
        </w:tabs>
        <w:ind w:left="3002" w:hanging="420"/>
      </w:pPr>
      <w:rPr>
        <w:rFonts w:hint="default" w:ascii="仿宋" w:hAnsi="仿宋"/>
      </w:rPr>
    </w:lvl>
    <w:lvl w:ilvl="5" w:tentative="0">
      <w:start w:val="1"/>
      <w:numFmt w:val="bullet"/>
      <w:lvlText w:val=""/>
      <w:lvlJc w:val="left"/>
      <w:pPr>
        <w:tabs>
          <w:tab w:val="left" w:pos="3422"/>
        </w:tabs>
        <w:ind w:left="3422" w:hanging="420"/>
      </w:pPr>
      <w:rPr>
        <w:rFonts w:hint="default" w:ascii="仿宋" w:hAnsi="仿宋"/>
      </w:rPr>
    </w:lvl>
    <w:lvl w:ilvl="6" w:tentative="0">
      <w:start w:val="1"/>
      <w:numFmt w:val="bullet"/>
      <w:lvlText w:val=""/>
      <w:lvlJc w:val="left"/>
      <w:pPr>
        <w:tabs>
          <w:tab w:val="left" w:pos="3842"/>
        </w:tabs>
        <w:ind w:left="3842" w:hanging="420"/>
      </w:pPr>
      <w:rPr>
        <w:rFonts w:hint="default" w:ascii="仿宋" w:hAnsi="仿宋"/>
      </w:rPr>
    </w:lvl>
    <w:lvl w:ilvl="7" w:tentative="0">
      <w:start w:val="1"/>
      <w:numFmt w:val="bullet"/>
      <w:lvlText w:val=""/>
      <w:lvlJc w:val="left"/>
      <w:pPr>
        <w:tabs>
          <w:tab w:val="left" w:pos="4262"/>
        </w:tabs>
        <w:ind w:left="4262" w:hanging="420"/>
      </w:pPr>
      <w:rPr>
        <w:rFonts w:hint="default" w:ascii="仿宋" w:hAnsi="仿宋"/>
      </w:rPr>
    </w:lvl>
    <w:lvl w:ilvl="8" w:tentative="0">
      <w:start w:val="1"/>
      <w:numFmt w:val="bullet"/>
      <w:lvlText w:val=""/>
      <w:lvlJc w:val="left"/>
      <w:pPr>
        <w:tabs>
          <w:tab w:val="left" w:pos="4682"/>
        </w:tabs>
        <w:ind w:left="4682" w:hanging="420"/>
      </w:pPr>
      <w:rPr>
        <w:rFonts w:hint="default" w:ascii="仿宋" w:hAnsi="仿宋"/>
      </w:rPr>
    </w:lvl>
  </w:abstractNum>
  <w:abstractNum w:abstractNumId="129">
    <w:nsid w:val="7F3C7BBA"/>
    <w:multiLevelType w:val="multilevel"/>
    <w:tmpl w:val="7F3C7BBA"/>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69"/>
  </w:num>
  <w:num w:numId="2">
    <w:abstractNumId w:val="128"/>
  </w:num>
  <w:num w:numId="3">
    <w:abstractNumId w:val="65"/>
  </w:num>
  <w:num w:numId="4">
    <w:abstractNumId w:val="67"/>
  </w:num>
  <w:num w:numId="5">
    <w:abstractNumId w:val="0"/>
  </w:num>
  <w:num w:numId="6">
    <w:abstractNumId w:val="117"/>
  </w:num>
  <w:num w:numId="7">
    <w:abstractNumId w:val="77"/>
  </w:num>
  <w:num w:numId="8">
    <w:abstractNumId w:val="43"/>
  </w:num>
  <w:num w:numId="9">
    <w:abstractNumId w:val="92"/>
  </w:num>
  <w:num w:numId="10">
    <w:abstractNumId w:val="80"/>
  </w:num>
  <w:num w:numId="11">
    <w:abstractNumId w:val="56"/>
  </w:num>
  <w:num w:numId="12">
    <w:abstractNumId w:val="54"/>
  </w:num>
  <w:num w:numId="13">
    <w:abstractNumId w:val="106"/>
  </w:num>
  <w:num w:numId="14">
    <w:abstractNumId w:val="31"/>
  </w:num>
  <w:num w:numId="15">
    <w:abstractNumId w:val="127"/>
  </w:num>
  <w:num w:numId="16">
    <w:abstractNumId w:val="83"/>
  </w:num>
  <w:num w:numId="17">
    <w:abstractNumId w:val="125"/>
  </w:num>
  <w:num w:numId="18">
    <w:abstractNumId w:val="36"/>
  </w:num>
  <w:num w:numId="19">
    <w:abstractNumId w:val="21"/>
  </w:num>
  <w:num w:numId="20">
    <w:abstractNumId w:val="45"/>
  </w:num>
  <w:num w:numId="21">
    <w:abstractNumId w:val="26"/>
  </w:num>
  <w:num w:numId="22">
    <w:abstractNumId w:val="22"/>
  </w:num>
  <w:num w:numId="23">
    <w:abstractNumId w:val="48"/>
  </w:num>
  <w:num w:numId="24">
    <w:abstractNumId w:val="90"/>
  </w:num>
  <w:num w:numId="25">
    <w:abstractNumId w:val="89"/>
  </w:num>
  <w:num w:numId="26">
    <w:abstractNumId w:val="95"/>
  </w:num>
  <w:num w:numId="27">
    <w:abstractNumId w:val="64"/>
  </w:num>
  <w:num w:numId="28">
    <w:abstractNumId w:val="126"/>
  </w:num>
  <w:num w:numId="29">
    <w:abstractNumId w:val="82"/>
  </w:num>
  <w:num w:numId="30">
    <w:abstractNumId w:val="39"/>
  </w:num>
  <w:num w:numId="31">
    <w:abstractNumId w:val="42"/>
  </w:num>
  <w:num w:numId="32">
    <w:abstractNumId w:val="119"/>
  </w:num>
  <w:num w:numId="33">
    <w:abstractNumId w:val="120"/>
  </w:num>
  <w:num w:numId="34">
    <w:abstractNumId w:val="101"/>
  </w:num>
  <w:num w:numId="35">
    <w:abstractNumId w:val="50"/>
  </w:num>
  <w:num w:numId="36">
    <w:abstractNumId w:val="63"/>
  </w:num>
  <w:num w:numId="37">
    <w:abstractNumId w:val="93"/>
  </w:num>
  <w:num w:numId="38">
    <w:abstractNumId w:val="33"/>
  </w:num>
  <w:num w:numId="39">
    <w:abstractNumId w:val="13"/>
  </w:num>
  <w:num w:numId="40">
    <w:abstractNumId w:val="1"/>
  </w:num>
  <w:num w:numId="41">
    <w:abstractNumId w:val="12"/>
  </w:num>
  <w:num w:numId="42">
    <w:abstractNumId w:val="25"/>
  </w:num>
  <w:num w:numId="43">
    <w:abstractNumId w:val="3"/>
  </w:num>
  <w:num w:numId="44">
    <w:abstractNumId w:val="85"/>
  </w:num>
  <w:num w:numId="45">
    <w:abstractNumId w:val="16"/>
  </w:num>
  <w:num w:numId="46">
    <w:abstractNumId w:val="111"/>
  </w:num>
  <w:num w:numId="47">
    <w:abstractNumId w:val="129"/>
  </w:num>
  <w:num w:numId="48">
    <w:abstractNumId w:val="112"/>
  </w:num>
  <w:num w:numId="49">
    <w:abstractNumId w:val="17"/>
  </w:num>
  <w:num w:numId="50">
    <w:abstractNumId w:val="2"/>
  </w:num>
  <w:num w:numId="51">
    <w:abstractNumId w:val="28"/>
  </w:num>
  <w:num w:numId="52">
    <w:abstractNumId w:val="11"/>
  </w:num>
  <w:num w:numId="53">
    <w:abstractNumId w:val="105"/>
  </w:num>
  <w:num w:numId="54">
    <w:abstractNumId w:val="66"/>
  </w:num>
  <w:num w:numId="55">
    <w:abstractNumId w:val="40"/>
  </w:num>
  <w:num w:numId="56">
    <w:abstractNumId w:val="46"/>
  </w:num>
  <w:num w:numId="57">
    <w:abstractNumId w:val="114"/>
  </w:num>
  <w:num w:numId="58">
    <w:abstractNumId w:val="47"/>
  </w:num>
  <w:num w:numId="59">
    <w:abstractNumId w:val="115"/>
  </w:num>
  <w:num w:numId="60">
    <w:abstractNumId w:val="122"/>
  </w:num>
  <w:num w:numId="61">
    <w:abstractNumId w:val="110"/>
  </w:num>
  <w:num w:numId="62">
    <w:abstractNumId w:val="108"/>
  </w:num>
  <w:num w:numId="63">
    <w:abstractNumId w:val="87"/>
  </w:num>
  <w:num w:numId="64">
    <w:abstractNumId w:val="76"/>
  </w:num>
  <w:num w:numId="65">
    <w:abstractNumId w:val="73"/>
  </w:num>
  <w:num w:numId="66">
    <w:abstractNumId w:val="58"/>
  </w:num>
  <w:num w:numId="67">
    <w:abstractNumId w:val="98"/>
  </w:num>
  <w:num w:numId="68">
    <w:abstractNumId w:val="71"/>
  </w:num>
  <w:num w:numId="69">
    <w:abstractNumId w:val="75"/>
  </w:num>
  <w:num w:numId="70">
    <w:abstractNumId w:val="10"/>
  </w:num>
  <w:num w:numId="71">
    <w:abstractNumId w:val="74"/>
  </w:num>
  <w:num w:numId="72">
    <w:abstractNumId w:val="61"/>
  </w:num>
  <w:num w:numId="73">
    <w:abstractNumId w:val="14"/>
  </w:num>
  <w:num w:numId="74">
    <w:abstractNumId w:val="53"/>
  </w:num>
  <w:num w:numId="75">
    <w:abstractNumId w:val="72"/>
  </w:num>
  <w:num w:numId="76">
    <w:abstractNumId w:val="32"/>
  </w:num>
  <w:num w:numId="77">
    <w:abstractNumId w:val="34"/>
  </w:num>
  <w:num w:numId="78">
    <w:abstractNumId w:val="100"/>
  </w:num>
  <w:num w:numId="79">
    <w:abstractNumId w:val="30"/>
  </w:num>
  <w:num w:numId="80">
    <w:abstractNumId w:val="104"/>
  </w:num>
  <w:num w:numId="81">
    <w:abstractNumId w:val="96"/>
  </w:num>
  <w:num w:numId="82">
    <w:abstractNumId w:val="124"/>
  </w:num>
  <w:num w:numId="83">
    <w:abstractNumId w:val="107"/>
  </w:num>
  <w:num w:numId="84">
    <w:abstractNumId w:val="113"/>
  </w:num>
  <w:num w:numId="85">
    <w:abstractNumId w:val="59"/>
  </w:num>
  <w:num w:numId="86">
    <w:abstractNumId w:val="41"/>
  </w:num>
  <w:num w:numId="87">
    <w:abstractNumId w:val="94"/>
  </w:num>
  <w:num w:numId="88">
    <w:abstractNumId w:val="20"/>
  </w:num>
  <w:num w:numId="89">
    <w:abstractNumId w:val="27"/>
  </w:num>
  <w:num w:numId="90">
    <w:abstractNumId w:val="97"/>
  </w:num>
  <w:num w:numId="91">
    <w:abstractNumId w:val="57"/>
  </w:num>
  <w:num w:numId="92">
    <w:abstractNumId w:val="6"/>
  </w:num>
  <w:num w:numId="93">
    <w:abstractNumId w:val="102"/>
  </w:num>
  <w:num w:numId="94">
    <w:abstractNumId w:val="68"/>
  </w:num>
  <w:num w:numId="95">
    <w:abstractNumId w:val="4"/>
  </w:num>
  <w:num w:numId="96">
    <w:abstractNumId w:val="7"/>
  </w:num>
  <w:num w:numId="97">
    <w:abstractNumId w:val="37"/>
  </w:num>
  <w:num w:numId="98">
    <w:abstractNumId w:val="49"/>
  </w:num>
  <w:num w:numId="99">
    <w:abstractNumId w:val="79"/>
  </w:num>
  <w:num w:numId="100">
    <w:abstractNumId w:val="55"/>
  </w:num>
  <w:num w:numId="101">
    <w:abstractNumId w:val="18"/>
  </w:num>
  <w:num w:numId="102">
    <w:abstractNumId w:val="9"/>
  </w:num>
  <w:num w:numId="103">
    <w:abstractNumId w:val="44"/>
  </w:num>
  <w:num w:numId="104">
    <w:abstractNumId w:val="109"/>
  </w:num>
  <w:num w:numId="105">
    <w:abstractNumId w:val="52"/>
  </w:num>
  <w:num w:numId="106">
    <w:abstractNumId w:val="23"/>
  </w:num>
  <w:num w:numId="107">
    <w:abstractNumId w:val="35"/>
  </w:num>
  <w:num w:numId="108">
    <w:abstractNumId w:val="51"/>
  </w:num>
  <w:num w:numId="109">
    <w:abstractNumId w:val="78"/>
  </w:num>
  <w:num w:numId="110">
    <w:abstractNumId w:val="29"/>
  </w:num>
  <w:num w:numId="111">
    <w:abstractNumId w:val="70"/>
  </w:num>
  <w:num w:numId="112">
    <w:abstractNumId w:val="19"/>
  </w:num>
  <w:num w:numId="113">
    <w:abstractNumId w:val="123"/>
  </w:num>
  <w:num w:numId="114">
    <w:abstractNumId w:val="91"/>
  </w:num>
  <w:num w:numId="115">
    <w:abstractNumId w:val="99"/>
  </w:num>
  <w:num w:numId="116">
    <w:abstractNumId w:val="60"/>
  </w:num>
  <w:num w:numId="117">
    <w:abstractNumId w:val="8"/>
  </w:num>
  <w:num w:numId="118">
    <w:abstractNumId w:val="24"/>
  </w:num>
  <w:num w:numId="119">
    <w:abstractNumId w:val="118"/>
  </w:num>
  <w:num w:numId="120">
    <w:abstractNumId w:val="81"/>
  </w:num>
  <w:num w:numId="121">
    <w:abstractNumId w:val="38"/>
  </w:num>
  <w:num w:numId="122">
    <w:abstractNumId w:val="88"/>
  </w:num>
  <w:num w:numId="123">
    <w:abstractNumId w:val="103"/>
  </w:num>
  <w:num w:numId="124">
    <w:abstractNumId w:val="84"/>
  </w:num>
  <w:num w:numId="125">
    <w:abstractNumId w:val="62"/>
  </w:num>
  <w:num w:numId="126">
    <w:abstractNumId w:val="15"/>
  </w:num>
  <w:num w:numId="127">
    <w:abstractNumId w:val="116"/>
  </w:num>
  <w:num w:numId="128">
    <w:abstractNumId w:val="5"/>
  </w:num>
  <w:num w:numId="129">
    <w:abstractNumId w:val="86"/>
  </w:num>
  <w:num w:numId="130">
    <w:abstractNumId w:val="1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M3N2YxM2Q1NzA2YjdmYzUwZjJkMTk0ZjVmZTA3ZjcifQ=="/>
  </w:docVars>
  <w:rsids>
    <w:rsidRoot w:val="005675D8"/>
    <w:rsid w:val="000351A9"/>
    <w:rsid w:val="00050F32"/>
    <w:rsid w:val="000517D1"/>
    <w:rsid w:val="00072C33"/>
    <w:rsid w:val="0008024B"/>
    <w:rsid w:val="00082E17"/>
    <w:rsid w:val="0008555E"/>
    <w:rsid w:val="0009328E"/>
    <w:rsid w:val="000A6F04"/>
    <w:rsid w:val="000B142C"/>
    <w:rsid w:val="000C194A"/>
    <w:rsid w:val="000F6FE2"/>
    <w:rsid w:val="00130714"/>
    <w:rsid w:val="001440E7"/>
    <w:rsid w:val="0015104F"/>
    <w:rsid w:val="00154BFF"/>
    <w:rsid w:val="00174DFD"/>
    <w:rsid w:val="00194452"/>
    <w:rsid w:val="001A77B7"/>
    <w:rsid w:val="001D6F1F"/>
    <w:rsid w:val="002145B2"/>
    <w:rsid w:val="00215590"/>
    <w:rsid w:val="002242C7"/>
    <w:rsid w:val="00224CD4"/>
    <w:rsid w:val="00225661"/>
    <w:rsid w:val="002636F7"/>
    <w:rsid w:val="002700E8"/>
    <w:rsid w:val="00297F90"/>
    <w:rsid w:val="002A1531"/>
    <w:rsid w:val="002B0773"/>
    <w:rsid w:val="002B5440"/>
    <w:rsid w:val="002D7652"/>
    <w:rsid w:val="002F51B6"/>
    <w:rsid w:val="00303EF3"/>
    <w:rsid w:val="00323F21"/>
    <w:rsid w:val="00335780"/>
    <w:rsid w:val="00341FC9"/>
    <w:rsid w:val="00342043"/>
    <w:rsid w:val="003577B7"/>
    <w:rsid w:val="00384D2B"/>
    <w:rsid w:val="00397867"/>
    <w:rsid w:val="00397DB6"/>
    <w:rsid w:val="003B58FA"/>
    <w:rsid w:val="003B6811"/>
    <w:rsid w:val="003E1DD5"/>
    <w:rsid w:val="003E35A1"/>
    <w:rsid w:val="00401EF4"/>
    <w:rsid w:val="0041115C"/>
    <w:rsid w:val="00422503"/>
    <w:rsid w:val="00436EA9"/>
    <w:rsid w:val="00462069"/>
    <w:rsid w:val="00471789"/>
    <w:rsid w:val="00480653"/>
    <w:rsid w:val="00486248"/>
    <w:rsid w:val="0049749E"/>
    <w:rsid w:val="004B6CDE"/>
    <w:rsid w:val="004B6E41"/>
    <w:rsid w:val="004C210C"/>
    <w:rsid w:val="004E33CF"/>
    <w:rsid w:val="004E7E7D"/>
    <w:rsid w:val="004F70C7"/>
    <w:rsid w:val="004F74BC"/>
    <w:rsid w:val="00501464"/>
    <w:rsid w:val="00501A97"/>
    <w:rsid w:val="00507F47"/>
    <w:rsid w:val="00512ED8"/>
    <w:rsid w:val="00526ABD"/>
    <w:rsid w:val="00530DF5"/>
    <w:rsid w:val="00537847"/>
    <w:rsid w:val="0055055B"/>
    <w:rsid w:val="00551302"/>
    <w:rsid w:val="00553101"/>
    <w:rsid w:val="005675D8"/>
    <w:rsid w:val="005827EC"/>
    <w:rsid w:val="005A2086"/>
    <w:rsid w:val="005B7E0A"/>
    <w:rsid w:val="005C0B1D"/>
    <w:rsid w:val="005D08B7"/>
    <w:rsid w:val="005E50BA"/>
    <w:rsid w:val="00603887"/>
    <w:rsid w:val="0060434D"/>
    <w:rsid w:val="0060482D"/>
    <w:rsid w:val="0061375D"/>
    <w:rsid w:val="006141A1"/>
    <w:rsid w:val="00620465"/>
    <w:rsid w:val="00637BA3"/>
    <w:rsid w:val="0067123B"/>
    <w:rsid w:val="00675F17"/>
    <w:rsid w:val="00680E0C"/>
    <w:rsid w:val="00681007"/>
    <w:rsid w:val="006A7494"/>
    <w:rsid w:val="006B2B06"/>
    <w:rsid w:val="006B41A8"/>
    <w:rsid w:val="006B6A08"/>
    <w:rsid w:val="006E6666"/>
    <w:rsid w:val="006F5D7F"/>
    <w:rsid w:val="00703BF2"/>
    <w:rsid w:val="00715195"/>
    <w:rsid w:val="0074646E"/>
    <w:rsid w:val="00752E58"/>
    <w:rsid w:val="007718A1"/>
    <w:rsid w:val="00773D0E"/>
    <w:rsid w:val="007814F9"/>
    <w:rsid w:val="007C1F8B"/>
    <w:rsid w:val="007F5CE8"/>
    <w:rsid w:val="00806DAD"/>
    <w:rsid w:val="00810748"/>
    <w:rsid w:val="00844041"/>
    <w:rsid w:val="00850B23"/>
    <w:rsid w:val="008511B1"/>
    <w:rsid w:val="008809C0"/>
    <w:rsid w:val="008810EC"/>
    <w:rsid w:val="00881FA8"/>
    <w:rsid w:val="00887599"/>
    <w:rsid w:val="008B3503"/>
    <w:rsid w:val="008B3B32"/>
    <w:rsid w:val="008B4F79"/>
    <w:rsid w:val="008C3138"/>
    <w:rsid w:val="008C3BEB"/>
    <w:rsid w:val="008C538C"/>
    <w:rsid w:val="008D7999"/>
    <w:rsid w:val="008E0704"/>
    <w:rsid w:val="008E12EE"/>
    <w:rsid w:val="008E4E0E"/>
    <w:rsid w:val="008F60F0"/>
    <w:rsid w:val="009154A9"/>
    <w:rsid w:val="009163C4"/>
    <w:rsid w:val="009309CD"/>
    <w:rsid w:val="00934EEF"/>
    <w:rsid w:val="009624F4"/>
    <w:rsid w:val="00962566"/>
    <w:rsid w:val="009773E4"/>
    <w:rsid w:val="009774DA"/>
    <w:rsid w:val="0098036A"/>
    <w:rsid w:val="009A6DA2"/>
    <w:rsid w:val="009C368F"/>
    <w:rsid w:val="009C5585"/>
    <w:rsid w:val="009E7B94"/>
    <w:rsid w:val="00A122EF"/>
    <w:rsid w:val="00A26659"/>
    <w:rsid w:val="00A32C7B"/>
    <w:rsid w:val="00A518BB"/>
    <w:rsid w:val="00A71270"/>
    <w:rsid w:val="00A951DF"/>
    <w:rsid w:val="00A95A7E"/>
    <w:rsid w:val="00AC4DB5"/>
    <w:rsid w:val="00AF64A5"/>
    <w:rsid w:val="00B0155A"/>
    <w:rsid w:val="00B236AF"/>
    <w:rsid w:val="00B24DDF"/>
    <w:rsid w:val="00B40C7D"/>
    <w:rsid w:val="00B55BA7"/>
    <w:rsid w:val="00B56AB8"/>
    <w:rsid w:val="00B60180"/>
    <w:rsid w:val="00B67A2C"/>
    <w:rsid w:val="00BB1F1A"/>
    <w:rsid w:val="00BB20A2"/>
    <w:rsid w:val="00BC2175"/>
    <w:rsid w:val="00BC78F7"/>
    <w:rsid w:val="00BD7E1C"/>
    <w:rsid w:val="00BF1230"/>
    <w:rsid w:val="00BF51B8"/>
    <w:rsid w:val="00BF561E"/>
    <w:rsid w:val="00BF65EE"/>
    <w:rsid w:val="00C00B9D"/>
    <w:rsid w:val="00C01596"/>
    <w:rsid w:val="00C222DF"/>
    <w:rsid w:val="00C2310D"/>
    <w:rsid w:val="00C4724E"/>
    <w:rsid w:val="00C667D6"/>
    <w:rsid w:val="00CA29EE"/>
    <w:rsid w:val="00CB293C"/>
    <w:rsid w:val="00CC31BE"/>
    <w:rsid w:val="00CC3810"/>
    <w:rsid w:val="00CC41C2"/>
    <w:rsid w:val="00CE10E7"/>
    <w:rsid w:val="00D01374"/>
    <w:rsid w:val="00D114DD"/>
    <w:rsid w:val="00D14BC7"/>
    <w:rsid w:val="00D14D0D"/>
    <w:rsid w:val="00D21E3B"/>
    <w:rsid w:val="00D34836"/>
    <w:rsid w:val="00D34EA4"/>
    <w:rsid w:val="00D41563"/>
    <w:rsid w:val="00D62E62"/>
    <w:rsid w:val="00D7188C"/>
    <w:rsid w:val="00D977F1"/>
    <w:rsid w:val="00DC1787"/>
    <w:rsid w:val="00DC3FAE"/>
    <w:rsid w:val="00DD5C52"/>
    <w:rsid w:val="00DE6C28"/>
    <w:rsid w:val="00DF18F9"/>
    <w:rsid w:val="00E032CE"/>
    <w:rsid w:val="00E11BE5"/>
    <w:rsid w:val="00E21747"/>
    <w:rsid w:val="00E31C9E"/>
    <w:rsid w:val="00E57B91"/>
    <w:rsid w:val="00E76CF3"/>
    <w:rsid w:val="00EA43BA"/>
    <w:rsid w:val="00EA61C4"/>
    <w:rsid w:val="00EC424E"/>
    <w:rsid w:val="00EC577E"/>
    <w:rsid w:val="00ED48FA"/>
    <w:rsid w:val="00ED5158"/>
    <w:rsid w:val="00ED5D2F"/>
    <w:rsid w:val="00EF7201"/>
    <w:rsid w:val="00F02A2F"/>
    <w:rsid w:val="00F06C00"/>
    <w:rsid w:val="00F1225E"/>
    <w:rsid w:val="00F358A4"/>
    <w:rsid w:val="00F36895"/>
    <w:rsid w:val="00F5525A"/>
    <w:rsid w:val="00F70E38"/>
    <w:rsid w:val="00F83E3E"/>
    <w:rsid w:val="00F94151"/>
    <w:rsid w:val="00FA4D6E"/>
    <w:rsid w:val="00FA6AA4"/>
    <w:rsid w:val="00FD004A"/>
    <w:rsid w:val="00FE6903"/>
    <w:rsid w:val="00FF542B"/>
    <w:rsid w:val="02C840B4"/>
    <w:rsid w:val="03576C6B"/>
    <w:rsid w:val="039F07D2"/>
    <w:rsid w:val="043D4E77"/>
    <w:rsid w:val="053B1A9E"/>
    <w:rsid w:val="061C6F21"/>
    <w:rsid w:val="071E607E"/>
    <w:rsid w:val="0732071C"/>
    <w:rsid w:val="079A3992"/>
    <w:rsid w:val="07C77396"/>
    <w:rsid w:val="0A892C88"/>
    <w:rsid w:val="0ADF27E4"/>
    <w:rsid w:val="0C387119"/>
    <w:rsid w:val="0C48085D"/>
    <w:rsid w:val="0F227143"/>
    <w:rsid w:val="0F4C46FB"/>
    <w:rsid w:val="10301A7D"/>
    <w:rsid w:val="12861226"/>
    <w:rsid w:val="132714E8"/>
    <w:rsid w:val="152B4878"/>
    <w:rsid w:val="16BA25CC"/>
    <w:rsid w:val="16F32254"/>
    <w:rsid w:val="1A1F3BD5"/>
    <w:rsid w:val="1A240A2E"/>
    <w:rsid w:val="1A472988"/>
    <w:rsid w:val="1B317922"/>
    <w:rsid w:val="1FE37C65"/>
    <w:rsid w:val="210463EE"/>
    <w:rsid w:val="220163C9"/>
    <w:rsid w:val="22280ABD"/>
    <w:rsid w:val="223C1E72"/>
    <w:rsid w:val="22B50ABD"/>
    <w:rsid w:val="23875D45"/>
    <w:rsid w:val="251B0465"/>
    <w:rsid w:val="25341526"/>
    <w:rsid w:val="26AA5F44"/>
    <w:rsid w:val="271B474C"/>
    <w:rsid w:val="27A23EDE"/>
    <w:rsid w:val="29514455"/>
    <w:rsid w:val="29D43C52"/>
    <w:rsid w:val="2A053E1C"/>
    <w:rsid w:val="2C3B0DF6"/>
    <w:rsid w:val="2CC23A4E"/>
    <w:rsid w:val="2DE23586"/>
    <w:rsid w:val="3055638D"/>
    <w:rsid w:val="32A61AD2"/>
    <w:rsid w:val="33955886"/>
    <w:rsid w:val="351C277D"/>
    <w:rsid w:val="374A3850"/>
    <w:rsid w:val="374A5BA3"/>
    <w:rsid w:val="379C5A24"/>
    <w:rsid w:val="38786198"/>
    <w:rsid w:val="3A9C2A9B"/>
    <w:rsid w:val="3C7E15AD"/>
    <w:rsid w:val="3E1D4DD2"/>
    <w:rsid w:val="3F647172"/>
    <w:rsid w:val="3FAB7DF3"/>
    <w:rsid w:val="40253310"/>
    <w:rsid w:val="4086582C"/>
    <w:rsid w:val="411A0E16"/>
    <w:rsid w:val="44A54BF3"/>
    <w:rsid w:val="45405B24"/>
    <w:rsid w:val="4594599D"/>
    <w:rsid w:val="45F014BB"/>
    <w:rsid w:val="4902640F"/>
    <w:rsid w:val="4C512B62"/>
    <w:rsid w:val="4CB57E26"/>
    <w:rsid w:val="4D734D28"/>
    <w:rsid w:val="4D9E7167"/>
    <w:rsid w:val="4F3C2485"/>
    <w:rsid w:val="50D00796"/>
    <w:rsid w:val="545033D7"/>
    <w:rsid w:val="545C0D20"/>
    <w:rsid w:val="563F54B2"/>
    <w:rsid w:val="56AF6008"/>
    <w:rsid w:val="5BFE196B"/>
    <w:rsid w:val="5FD359F3"/>
    <w:rsid w:val="5FEC6165"/>
    <w:rsid w:val="614E087A"/>
    <w:rsid w:val="61663BDA"/>
    <w:rsid w:val="61A935C5"/>
    <w:rsid w:val="61FE0F09"/>
    <w:rsid w:val="630722A1"/>
    <w:rsid w:val="63351931"/>
    <w:rsid w:val="64275E8E"/>
    <w:rsid w:val="68EA0112"/>
    <w:rsid w:val="6A224DAB"/>
    <w:rsid w:val="6B3A5569"/>
    <w:rsid w:val="6BE67005"/>
    <w:rsid w:val="6BF763D3"/>
    <w:rsid w:val="6D7F3FFA"/>
    <w:rsid w:val="6E88404E"/>
    <w:rsid w:val="6FC626C6"/>
    <w:rsid w:val="6FC752E0"/>
    <w:rsid w:val="71132E62"/>
    <w:rsid w:val="71CB24BA"/>
    <w:rsid w:val="720C76FC"/>
    <w:rsid w:val="72573E8B"/>
    <w:rsid w:val="72EC7661"/>
    <w:rsid w:val="74D177C5"/>
    <w:rsid w:val="771E26AC"/>
    <w:rsid w:val="790E7239"/>
    <w:rsid w:val="7A5B4419"/>
    <w:rsid w:val="7D2059D2"/>
    <w:rsid w:val="7DBD2FDC"/>
    <w:rsid w:val="7E46135B"/>
    <w:rsid w:val="7E755AFB"/>
    <w:rsid w:val="7F5142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nhideWhenUsed="0" w:uiPriority="0" w:semiHidden="0" w:name="heading 7"/>
    <w:lsdException w:qFormat="1" w:unhideWhenUsed="0" w:uiPriority="0" w:semiHidden="0"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iPriority="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uiPriority="99" w:name="Body Text Indent 2"/>
    <w:lsdException w:qFormat="1" w:uiPriority="0"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heme="minorHAnsi" w:hAnsiTheme="minorHAnsi" w:eastAsiaTheme="minorEastAsia" w:cstheme="minorBidi"/>
      <w:sz w:val="22"/>
      <w:szCs w:val="22"/>
      <w:lang w:val="en-US" w:eastAsia="en-US" w:bidi="ar-SA"/>
    </w:rPr>
  </w:style>
  <w:style w:type="paragraph" w:styleId="3">
    <w:name w:val="heading 1"/>
    <w:basedOn w:val="1"/>
    <w:next w:val="1"/>
    <w:link w:val="143"/>
    <w:qFormat/>
    <w:uiPriority w:val="0"/>
    <w:pPr>
      <w:numPr>
        <w:ilvl w:val="0"/>
        <w:numId w:val="1"/>
      </w:numPr>
      <w:outlineLvl w:val="0"/>
    </w:pPr>
    <w:rPr>
      <w:rFonts w:ascii="宋体" w:hAnsi="宋体" w:eastAsia="宋体"/>
      <w:sz w:val="90"/>
      <w:szCs w:val="90"/>
    </w:rPr>
  </w:style>
  <w:style w:type="paragraph" w:styleId="4">
    <w:name w:val="heading 2"/>
    <w:basedOn w:val="1"/>
    <w:next w:val="1"/>
    <w:link w:val="144"/>
    <w:unhideWhenUsed/>
    <w:qFormat/>
    <w:uiPriority w:val="0"/>
    <w:pPr>
      <w:numPr>
        <w:ilvl w:val="1"/>
        <w:numId w:val="1"/>
      </w:numPr>
      <w:spacing w:before="150" w:beforeLines="150" w:after="150" w:afterLines="150"/>
      <w:outlineLvl w:val="1"/>
    </w:pPr>
    <w:rPr>
      <w:rFonts w:ascii="宋体" w:hAnsi="宋体" w:eastAsia="宋体"/>
      <w:b/>
      <w:bCs/>
      <w:sz w:val="44"/>
      <w:szCs w:val="44"/>
    </w:rPr>
  </w:style>
  <w:style w:type="paragraph" w:styleId="5">
    <w:name w:val="heading 3"/>
    <w:basedOn w:val="1"/>
    <w:next w:val="1"/>
    <w:link w:val="56"/>
    <w:unhideWhenUsed/>
    <w:qFormat/>
    <w:uiPriority w:val="0"/>
    <w:pPr>
      <w:numPr>
        <w:ilvl w:val="2"/>
        <w:numId w:val="1"/>
      </w:numPr>
      <w:spacing w:before="150" w:beforeLines="150" w:after="150" w:afterLines="150"/>
      <w:outlineLvl w:val="2"/>
    </w:pPr>
    <w:rPr>
      <w:rFonts w:ascii="仿宋" w:hAnsi="仿宋" w:eastAsia="仿宋"/>
      <w:b/>
      <w:bCs/>
      <w:sz w:val="36"/>
      <w:szCs w:val="36"/>
    </w:rPr>
  </w:style>
  <w:style w:type="paragraph" w:styleId="6">
    <w:name w:val="heading 4"/>
    <w:basedOn w:val="1"/>
    <w:next w:val="1"/>
    <w:link w:val="142"/>
    <w:unhideWhenUsed/>
    <w:qFormat/>
    <w:uiPriority w:val="0"/>
    <w:pPr>
      <w:numPr>
        <w:ilvl w:val="3"/>
        <w:numId w:val="1"/>
      </w:numPr>
      <w:spacing w:before="150" w:beforeLines="150" w:after="150" w:afterLines="150" w:line="0" w:lineRule="atLeast"/>
      <w:outlineLvl w:val="3"/>
    </w:pPr>
    <w:rPr>
      <w:rFonts w:ascii="仿宋" w:hAnsi="仿宋" w:eastAsia="仿宋"/>
      <w:b/>
      <w:bCs/>
      <w:sz w:val="32"/>
      <w:szCs w:val="32"/>
    </w:rPr>
  </w:style>
  <w:style w:type="paragraph" w:styleId="7">
    <w:name w:val="heading 5"/>
    <w:basedOn w:val="1"/>
    <w:next w:val="1"/>
    <w:link w:val="147"/>
    <w:unhideWhenUsed/>
    <w:qFormat/>
    <w:uiPriority w:val="0"/>
    <w:pPr>
      <w:numPr>
        <w:ilvl w:val="4"/>
        <w:numId w:val="1"/>
      </w:numPr>
      <w:spacing w:before="150" w:beforeLines="150" w:after="150" w:afterLines="150"/>
      <w:outlineLvl w:val="4"/>
    </w:pPr>
    <w:rPr>
      <w:rFonts w:ascii="仿宋" w:hAnsi="仿宋" w:eastAsia="仿宋"/>
      <w:sz w:val="32"/>
      <w:szCs w:val="32"/>
    </w:rPr>
  </w:style>
  <w:style w:type="paragraph" w:styleId="8">
    <w:name w:val="heading 6"/>
    <w:basedOn w:val="1"/>
    <w:next w:val="1"/>
    <w:link w:val="148"/>
    <w:unhideWhenUsed/>
    <w:qFormat/>
    <w:uiPriority w:val="0"/>
    <w:pPr>
      <w:numPr>
        <w:ilvl w:val="5"/>
        <w:numId w:val="1"/>
      </w:numPr>
      <w:spacing w:before="7"/>
      <w:outlineLvl w:val="5"/>
    </w:pPr>
    <w:rPr>
      <w:rFonts w:ascii="仿宋" w:hAnsi="仿宋" w:eastAsia="仿宋"/>
      <w:b/>
      <w:bCs/>
      <w:sz w:val="30"/>
      <w:szCs w:val="30"/>
    </w:rPr>
  </w:style>
  <w:style w:type="paragraph" w:styleId="9">
    <w:name w:val="heading 7"/>
    <w:basedOn w:val="1"/>
    <w:next w:val="1"/>
    <w:link w:val="53"/>
    <w:qFormat/>
    <w:uiPriority w:val="0"/>
    <w:pPr>
      <w:numPr>
        <w:ilvl w:val="6"/>
        <w:numId w:val="1"/>
      </w:numPr>
      <w:outlineLvl w:val="6"/>
    </w:pPr>
    <w:rPr>
      <w:rFonts w:ascii="仿宋" w:hAnsi="仿宋" w:eastAsia="仿宋"/>
      <w:sz w:val="30"/>
      <w:szCs w:val="30"/>
    </w:rPr>
  </w:style>
  <w:style w:type="paragraph" w:styleId="10">
    <w:name w:val="heading 8"/>
    <w:basedOn w:val="1"/>
    <w:next w:val="1"/>
    <w:link w:val="150"/>
    <w:qFormat/>
    <w:uiPriority w:val="0"/>
    <w:pPr>
      <w:numPr>
        <w:ilvl w:val="7"/>
        <w:numId w:val="1"/>
      </w:numPr>
      <w:spacing w:before="44"/>
      <w:outlineLvl w:val="7"/>
    </w:pPr>
    <w:rPr>
      <w:rFonts w:ascii="仿宋" w:hAnsi="仿宋" w:eastAsia="仿宋"/>
      <w:b/>
      <w:bCs/>
      <w:sz w:val="28"/>
      <w:szCs w:val="28"/>
    </w:rPr>
  </w:style>
  <w:style w:type="paragraph" w:styleId="11">
    <w:name w:val="heading 9"/>
    <w:basedOn w:val="1"/>
    <w:next w:val="1"/>
    <w:link w:val="141"/>
    <w:unhideWhenUsed/>
    <w:qFormat/>
    <w:uiPriority w:val="0"/>
    <w:pPr>
      <w:keepNext/>
      <w:keepLines/>
      <w:numPr>
        <w:ilvl w:val="8"/>
        <w:numId w:val="1"/>
      </w:numPr>
      <w:spacing w:before="240" w:after="64" w:line="320" w:lineRule="auto"/>
      <w:outlineLvl w:val="8"/>
    </w:pPr>
    <w:rPr>
      <w:rFonts w:asciiTheme="majorHAnsi" w:hAnsiTheme="majorHAnsi" w:eastAsiaTheme="majorEastAsia" w:cstheme="majorBidi"/>
      <w:sz w:val="21"/>
      <w:szCs w:val="21"/>
    </w:rPr>
  </w:style>
  <w:style w:type="character" w:default="1" w:styleId="43">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2">
    <w:name w:val="index 6"/>
    <w:basedOn w:val="1"/>
    <w:next w:val="1"/>
    <w:qFormat/>
    <w:uiPriority w:val="0"/>
    <w:pPr>
      <w:ind w:left="1000" w:leftChars="1000"/>
    </w:pPr>
    <w:rPr>
      <w:rFonts w:ascii="Times New Roman" w:hAnsi="Times New Roman" w:eastAsia="宋体" w:cs="Times New Roman"/>
      <w:szCs w:val="24"/>
    </w:rPr>
  </w:style>
  <w:style w:type="paragraph" w:styleId="12">
    <w:name w:val="toc 7"/>
    <w:basedOn w:val="1"/>
    <w:next w:val="1"/>
    <w:unhideWhenUsed/>
    <w:qFormat/>
    <w:uiPriority w:val="39"/>
    <w:pPr>
      <w:spacing w:line="360" w:lineRule="auto"/>
      <w:ind w:left="1440" w:firstLine="200" w:firstLineChars="200"/>
    </w:pPr>
    <w:rPr>
      <w:rFonts w:ascii="Arial Unicode MS" w:hAnsi="Calibri" w:eastAsia="Arial Unicode MS" w:cs="等线 Light"/>
      <w:kern w:val="2"/>
      <w:sz w:val="18"/>
      <w:szCs w:val="18"/>
      <w:lang w:eastAsia="zh-CN"/>
    </w:rPr>
  </w:style>
  <w:style w:type="paragraph" w:styleId="13">
    <w:name w:val="Normal Indent"/>
    <w:basedOn w:val="1"/>
    <w:next w:val="1"/>
    <w:qFormat/>
    <w:uiPriority w:val="0"/>
    <w:pPr>
      <w:spacing w:line="300" w:lineRule="auto"/>
      <w:ind w:firstLine="200" w:firstLineChars="200"/>
    </w:pPr>
    <w:rPr>
      <w:szCs w:val="24"/>
    </w:rPr>
  </w:style>
  <w:style w:type="paragraph" w:styleId="14">
    <w:name w:val="caption"/>
    <w:basedOn w:val="1"/>
    <w:next w:val="1"/>
    <w:link w:val="154"/>
    <w:unhideWhenUsed/>
    <w:qFormat/>
    <w:uiPriority w:val="35"/>
    <w:pPr>
      <w:widowControl/>
      <w:spacing w:line="360" w:lineRule="auto"/>
      <w:ind w:firstLine="425"/>
      <w:jc w:val="center"/>
    </w:pPr>
    <w:rPr>
      <w:rFonts w:ascii="Calibri" w:hAnsi="Calibri"/>
      <w:lang w:val="zh-CN" w:eastAsia="zh-CN"/>
    </w:rPr>
  </w:style>
  <w:style w:type="paragraph" w:styleId="15">
    <w:name w:val="Document Map"/>
    <w:basedOn w:val="1"/>
    <w:link w:val="211"/>
    <w:semiHidden/>
    <w:unhideWhenUsed/>
    <w:qFormat/>
    <w:uiPriority w:val="99"/>
    <w:pPr>
      <w:spacing w:line="360" w:lineRule="auto"/>
      <w:ind w:firstLine="200" w:firstLineChars="200"/>
      <w:jc w:val="both"/>
    </w:pPr>
    <w:rPr>
      <w:rFonts w:ascii="Calibri" w:hAnsi="Calibri" w:eastAsia="等线" w:cs="等线 Light"/>
      <w:kern w:val="2"/>
      <w:sz w:val="18"/>
      <w:szCs w:val="18"/>
      <w:lang w:eastAsia="zh-CN"/>
    </w:rPr>
  </w:style>
  <w:style w:type="paragraph" w:styleId="16">
    <w:name w:val="annotation text"/>
    <w:basedOn w:val="1"/>
    <w:link w:val="234"/>
    <w:semiHidden/>
    <w:unhideWhenUsed/>
    <w:qFormat/>
    <w:uiPriority w:val="99"/>
    <w:pPr>
      <w:spacing w:line="360" w:lineRule="auto"/>
      <w:ind w:firstLine="200" w:firstLineChars="200"/>
    </w:pPr>
    <w:rPr>
      <w:rFonts w:ascii="Calibri" w:hAnsi="Calibri" w:eastAsia="等线" w:cs="等线 Light"/>
      <w:kern w:val="2"/>
      <w:sz w:val="24"/>
      <w:lang w:eastAsia="zh-CN"/>
    </w:rPr>
  </w:style>
  <w:style w:type="paragraph" w:styleId="17">
    <w:name w:val="Body Text 3"/>
    <w:basedOn w:val="1"/>
    <w:next w:val="1"/>
    <w:qFormat/>
    <w:uiPriority w:val="0"/>
    <w:pPr>
      <w:spacing w:line="440" w:lineRule="exact"/>
    </w:pPr>
    <w:rPr>
      <w:color w:val="000000"/>
      <w:kern w:val="2"/>
      <w:sz w:val="21"/>
    </w:rPr>
  </w:style>
  <w:style w:type="paragraph" w:styleId="18">
    <w:name w:val="Body Text"/>
    <w:basedOn w:val="1"/>
    <w:next w:val="1"/>
    <w:link w:val="191"/>
    <w:qFormat/>
    <w:uiPriority w:val="0"/>
    <w:pPr>
      <w:spacing w:before="44"/>
      <w:ind w:left="146"/>
    </w:pPr>
    <w:rPr>
      <w:rFonts w:ascii="仿宋" w:hAnsi="仿宋" w:eastAsia="仿宋"/>
      <w:sz w:val="28"/>
      <w:szCs w:val="28"/>
    </w:rPr>
  </w:style>
  <w:style w:type="paragraph" w:styleId="19">
    <w:name w:val="Body Text Indent"/>
    <w:basedOn w:val="1"/>
    <w:next w:val="20"/>
    <w:qFormat/>
    <w:uiPriority w:val="0"/>
    <w:pPr>
      <w:widowControl w:val="0"/>
      <w:spacing w:after="120" w:afterLines="0"/>
      <w:ind w:left="420" w:leftChars="200"/>
      <w:jc w:val="both"/>
    </w:pPr>
    <w:rPr>
      <w:rFonts w:ascii="Times New Roman" w:hAnsi="Times New Roman" w:eastAsia="宋体" w:cs="Times New Roman"/>
      <w:kern w:val="2"/>
      <w:sz w:val="21"/>
      <w:szCs w:val="24"/>
      <w:lang w:val="en-US" w:eastAsia="zh-CN" w:bidi="ar-SA"/>
    </w:rPr>
  </w:style>
  <w:style w:type="paragraph" w:styleId="20">
    <w:name w:val="Body Text First Indent"/>
    <w:basedOn w:val="18"/>
    <w:next w:val="1"/>
    <w:qFormat/>
    <w:uiPriority w:val="0"/>
    <w:pPr>
      <w:autoSpaceDE w:val="0"/>
      <w:autoSpaceDN w:val="0"/>
      <w:adjustRightInd w:val="0"/>
      <w:spacing w:after="120" w:line="312" w:lineRule="atLeast"/>
      <w:ind w:firstLine="420"/>
    </w:pPr>
    <w:rPr>
      <w:rFonts w:ascii="宋体"/>
      <w:kern w:val="0"/>
    </w:rPr>
  </w:style>
  <w:style w:type="paragraph" w:styleId="21">
    <w:name w:val="toc 5"/>
    <w:basedOn w:val="1"/>
    <w:next w:val="1"/>
    <w:unhideWhenUsed/>
    <w:qFormat/>
    <w:uiPriority w:val="39"/>
    <w:pPr>
      <w:spacing w:line="360" w:lineRule="auto"/>
      <w:ind w:left="960" w:firstLine="200" w:firstLineChars="200"/>
    </w:pPr>
    <w:rPr>
      <w:rFonts w:ascii="Arial Unicode MS" w:hAnsi="Calibri" w:eastAsia="Arial Unicode MS" w:cs="等线 Light"/>
      <w:kern w:val="2"/>
      <w:sz w:val="18"/>
      <w:szCs w:val="18"/>
      <w:lang w:eastAsia="zh-CN"/>
    </w:rPr>
  </w:style>
  <w:style w:type="paragraph" w:styleId="22">
    <w:name w:val="toc 3"/>
    <w:basedOn w:val="1"/>
    <w:next w:val="1"/>
    <w:unhideWhenUsed/>
    <w:qFormat/>
    <w:uiPriority w:val="39"/>
    <w:pPr>
      <w:tabs>
        <w:tab w:val="left" w:pos="1920"/>
        <w:tab w:val="right" w:leader="dot" w:pos="8296"/>
      </w:tabs>
      <w:adjustRightInd w:val="0"/>
      <w:snapToGrid w:val="0"/>
      <w:spacing w:line="360" w:lineRule="auto"/>
      <w:ind w:left="482" w:firstLine="480" w:firstLineChars="200"/>
    </w:pPr>
    <w:rPr>
      <w:rFonts w:ascii="宋体" w:hAnsi="宋体" w:eastAsia="宋体" w:cs="等线 Light"/>
      <w:iCs/>
      <w:kern w:val="2"/>
      <w:sz w:val="24"/>
      <w:szCs w:val="24"/>
      <w:lang w:eastAsia="zh-CN"/>
    </w:rPr>
  </w:style>
  <w:style w:type="paragraph" w:styleId="23">
    <w:name w:val="Plain Text"/>
    <w:basedOn w:val="1"/>
    <w:qFormat/>
    <w:uiPriority w:val="0"/>
    <w:rPr>
      <w:rFonts w:ascii="宋体" w:hAnsi="Courier New" w:cs="Courier New"/>
      <w:szCs w:val="21"/>
    </w:rPr>
  </w:style>
  <w:style w:type="paragraph" w:styleId="24">
    <w:name w:val="toc 8"/>
    <w:basedOn w:val="1"/>
    <w:next w:val="1"/>
    <w:unhideWhenUsed/>
    <w:qFormat/>
    <w:uiPriority w:val="39"/>
    <w:pPr>
      <w:spacing w:line="360" w:lineRule="auto"/>
      <w:ind w:left="1680" w:firstLine="200" w:firstLineChars="200"/>
    </w:pPr>
    <w:rPr>
      <w:rFonts w:ascii="Arial Unicode MS" w:hAnsi="Calibri" w:eastAsia="Arial Unicode MS" w:cs="等线 Light"/>
      <w:kern w:val="2"/>
      <w:sz w:val="18"/>
      <w:szCs w:val="18"/>
      <w:lang w:eastAsia="zh-CN"/>
    </w:rPr>
  </w:style>
  <w:style w:type="paragraph" w:styleId="25">
    <w:name w:val="Date"/>
    <w:basedOn w:val="1"/>
    <w:next w:val="1"/>
    <w:link w:val="236"/>
    <w:semiHidden/>
    <w:unhideWhenUsed/>
    <w:qFormat/>
    <w:uiPriority w:val="0"/>
    <w:pPr>
      <w:spacing w:line="360" w:lineRule="auto"/>
      <w:ind w:left="100" w:leftChars="2500" w:firstLine="200" w:firstLineChars="200"/>
      <w:jc w:val="both"/>
    </w:pPr>
    <w:rPr>
      <w:rFonts w:ascii="Calibri" w:hAnsi="Calibri" w:eastAsia="等线" w:cs="等线 Light"/>
      <w:kern w:val="2"/>
      <w:sz w:val="24"/>
      <w:lang w:eastAsia="zh-CN"/>
    </w:rPr>
  </w:style>
  <w:style w:type="paragraph" w:styleId="26">
    <w:name w:val="Balloon Text"/>
    <w:basedOn w:val="1"/>
    <w:link w:val="212"/>
    <w:semiHidden/>
    <w:unhideWhenUsed/>
    <w:qFormat/>
    <w:uiPriority w:val="99"/>
    <w:pPr>
      <w:ind w:firstLine="200" w:firstLineChars="200"/>
      <w:jc w:val="both"/>
    </w:pPr>
    <w:rPr>
      <w:rFonts w:ascii="Calibri" w:hAnsi="Calibri" w:eastAsia="等线" w:cs="等线 Light"/>
      <w:kern w:val="2"/>
      <w:sz w:val="18"/>
      <w:szCs w:val="18"/>
      <w:lang w:eastAsia="zh-CN"/>
    </w:rPr>
  </w:style>
  <w:style w:type="paragraph" w:styleId="27">
    <w:name w:val="footer"/>
    <w:basedOn w:val="1"/>
    <w:link w:val="91"/>
    <w:unhideWhenUsed/>
    <w:qFormat/>
    <w:uiPriority w:val="99"/>
    <w:pPr>
      <w:tabs>
        <w:tab w:val="center" w:pos="4153"/>
        <w:tab w:val="right" w:pos="8306"/>
      </w:tabs>
      <w:snapToGrid w:val="0"/>
    </w:pPr>
    <w:rPr>
      <w:kern w:val="2"/>
      <w:sz w:val="18"/>
      <w:szCs w:val="18"/>
      <w:lang w:eastAsia="zh-CN"/>
    </w:rPr>
  </w:style>
  <w:style w:type="paragraph" w:styleId="28">
    <w:name w:val="header"/>
    <w:basedOn w:val="1"/>
    <w:link w:val="90"/>
    <w:unhideWhenUsed/>
    <w:qFormat/>
    <w:uiPriority w:val="99"/>
    <w:pPr>
      <w:pBdr>
        <w:bottom w:val="single" w:color="auto" w:sz="6" w:space="1"/>
      </w:pBdr>
      <w:tabs>
        <w:tab w:val="center" w:pos="4153"/>
        <w:tab w:val="right" w:pos="8306"/>
      </w:tabs>
      <w:snapToGrid w:val="0"/>
      <w:jc w:val="center"/>
    </w:pPr>
    <w:rPr>
      <w:kern w:val="2"/>
      <w:sz w:val="18"/>
      <w:szCs w:val="18"/>
      <w:lang w:eastAsia="zh-CN"/>
    </w:rPr>
  </w:style>
  <w:style w:type="paragraph" w:styleId="29">
    <w:name w:val="toc 1"/>
    <w:basedOn w:val="1"/>
    <w:next w:val="1"/>
    <w:qFormat/>
    <w:uiPriority w:val="39"/>
    <w:rPr>
      <w:rFonts w:ascii="仿宋" w:hAnsi="仿宋" w:eastAsia="仿宋"/>
      <w:sz w:val="21"/>
      <w:szCs w:val="21"/>
    </w:rPr>
  </w:style>
  <w:style w:type="paragraph" w:styleId="30">
    <w:name w:val="toc 4"/>
    <w:basedOn w:val="1"/>
    <w:next w:val="1"/>
    <w:unhideWhenUsed/>
    <w:qFormat/>
    <w:uiPriority w:val="39"/>
    <w:pPr>
      <w:adjustRightInd w:val="0"/>
      <w:snapToGrid w:val="0"/>
      <w:ind w:left="720" w:firstLine="200" w:firstLineChars="200"/>
    </w:pPr>
    <w:rPr>
      <w:rFonts w:ascii="Arial Unicode MS" w:hAnsi="Calibri" w:eastAsia="等线" w:cs="等线 Light"/>
      <w:kern w:val="2"/>
      <w:sz w:val="24"/>
      <w:szCs w:val="18"/>
      <w:lang w:eastAsia="zh-CN"/>
    </w:rPr>
  </w:style>
  <w:style w:type="paragraph" w:styleId="31">
    <w:name w:val="Subtitle"/>
    <w:basedOn w:val="1"/>
    <w:next w:val="1"/>
    <w:link w:val="213"/>
    <w:qFormat/>
    <w:uiPriority w:val="99"/>
    <w:pPr>
      <w:spacing w:before="240" w:after="60" w:line="312" w:lineRule="auto"/>
      <w:jc w:val="center"/>
      <w:outlineLvl w:val="1"/>
    </w:pPr>
    <w:rPr>
      <w:rFonts w:ascii="minorBidi" w:hAnsi="minorBidi" w:eastAsia="等线" w:cs="minorBidi"/>
      <w:b/>
      <w:bCs/>
      <w:kern w:val="28"/>
      <w:sz w:val="32"/>
      <w:szCs w:val="32"/>
      <w:lang w:eastAsia="zh-CN"/>
    </w:rPr>
  </w:style>
  <w:style w:type="paragraph" w:styleId="32">
    <w:name w:val="toc 6"/>
    <w:basedOn w:val="1"/>
    <w:next w:val="1"/>
    <w:unhideWhenUsed/>
    <w:qFormat/>
    <w:uiPriority w:val="39"/>
    <w:pPr>
      <w:spacing w:line="360" w:lineRule="auto"/>
      <w:ind w:left="1200" w:firstLine="200" w:firstLineChars="200"/>
    </w:pPr>
    <w:rPr>
      <w:rFonts w:ascii="Arial Unicode MS" w:hAnsi="Calibri" w:eastAsia="Arial Unicode MS" w:cs="等线 Light"/>
      <w:kern w:val="2"/>
      <w:sz w:val="18"/>
      <w:szCs w:val="18"/>
      <w:lang w:eastAsia="zh-CN"/>
    </w:rPr>
  </w:style>
  <w:style w:type="paragraph" w:styleId="33">
    <w:name w:val="Body Text Indent 3"/>
    <w:basedOn w:val="1"/>
    <w:link w:val="221"/>
    <w:semiHidden/>
    <w:unhideWhenUsed/>
    <w:qFormat/>
    <w:uiPriority w:val="0"/>
    <w:pPr>
      <w:spacing w:after="120" w:line="360" w:lineRule="auto"/>
      <w:ind w:left="420" w:leftChars="200" w:firstLine="200" w:firstLineChars="200"/>
      <w:jc w:val="both"/>
    </w:pPr>
    <w:rPr>
      <w:rFonts w:ascii="Calibri" w:hAnsi="Calibri" w:eastAsia="等线" w:cs="等线 Light"/>
      <w:kern w:val="2"/>
      <w:sz w:val="16"/>
      <w:szCs w:val="16"/>
      <w:lang w:eastAsia="zh-CN"/>
    </w:rPr>
  </w:style>
  <w:style w:type="paragraph" w:styleId="34">
    <w:name w:val="toc 2"/>
    <w:basedOn w:val="1"/>
    <w:next w:val="1"/>
    <w:qFormat/>
    <w:uiPriority w:val="39"/>
    <w:pPr>
      <w:ind w:left="357"/>
    </w:pPr>
    <w:rPr>
      <w:rFonts w:ascii="仿宋" w:hAnsi="仿宋" w:eastAsia="仿宋"/>
      <w:sz w:val="21"/>
      <w:szCs w:val="21"/>
    </w:rPr>
  </w:style>
  <w:style w:type="paragraph" w:styleId="35">
    <w:name w:val="toc 9"/>
    <w:basedOn w:val="1"/>
    <w:next w:val="1"/>
    <w:unhideWhenUsed/>
    <w:qFormat/>
    <w:uiPriority w:val="39"/>
    <w:pPr>
      <w:spacing w:line="360" w:lineRule="auto"/>
      <w:ind w:left="1920" w:firstLine="200" w:firstLineChars="200"/>
    </w:pPr>
    <w:rPr>
      <w:rFonts w:ascii="Arial Unicode MS" w:hAnsi="Calibri" w:eastAsia="Arial Unicode MS" w:cs="等线 Light"/>
      <w:kern w:val="2"/>
      <w:sz w:val="18"/>
      <w:szCs w:val="18"/>
      <w:lang w:eastAsia="zh-CN"/>
    </w:rPr>
  </w:style>
  <w:style w:type="paragraph" w:styleId="36">
    <w:name w:val="HTML Preformatted"/>
    <w:basedOn w:val="1"/>
    <w:qFormat/>
    <w:uiPriority w:val="0"/>
    <w:rPr>
      <w:rFonts w:ascii="Courier New" w:hAnsi="Courier New"/>
      <w:sz w:val="20"/>
    </w:rPr>
  </w:style>
  <w:style w:type="paragraph" w:styleId="37">
    <w:name w:val="Normal (Web)"/>
    <w:basedOn w:val="1"/>
    <w:semiHidden/>
    <w:unhideWhenUsed/>
    <w:qFormat/>
    <w:uiPriority w:val="99"/>
    <w:pPr>
      <w:spacing w:line="360" w:lineRule="auto"/>
      <w:ind w:firstLine="200" w:firstLineChars="200"/>
      <w:jc w:val="both"/>
    </w:pPr>
    <w:rPr>
      <w:rFonts w:ascii="等线 Light" w:hAnsi="等线 Light" w:eastAsia="等线" w:cs="等线 Light"/>
      <w:kern w:val="2"/>
      <w:sz w:val="24"/>
      <w:szCs w:val="24"/>
      <w:lang w:eastAsia="zh-CN"/>
    </w:rPr>
  </w:style>
  <w:style w:type="paragraph" w:styleId="38">
    <w:name w:val="Title"/>
    <w:basedOn w:val="1"/>
    <w:next w:val="1"/>
    <w:link w:val="52"/>
    <w:qFormat/>
    <w:uiPriority w:val="99"/>
    <w:pPr>
      <w:spacing w:before="240" w:after="60"/>
      <w:jc w:val="center"/>
      <w:outlineLvl w:val="0"/>
    </w:pPr>
    <w:rPr>
      <w:rFonts w:asciiTheme="majorHAnsi" w:hAnsiTheme="majorHAnsi" w:eastAsiaTheme="majorEastAsia" w:cstheme="majorBidi"/>
      <w:b/>
      <w:bCs/>
      <w:sz w:val="32"/>
      <w:szCs w:val="32"/>
    </w:rPr>
  </w:style>
  <w:style w:type="paragraph" w:styleId="39">
    <w:name w:val="annotation subject"/>
    <w:basedOn w:val="16"/>
    <w:next w:val="16"/>
    <w:link w:val="235"/>
    <w:semiHidden/>
    <w:unhideWhenUsed/>
    <w:qFormat/>
    <w:uiPriority w:val="99"/>
    <w:rPr>
      <w:b/>
      <w:bCs/>
    </w:rPr>
  </w:style>
  <w:style w:type="paragraph" w:styleId="40">
    <w:name w:val="Body Text First Indent 2"/>
    <w:basedOn w:val="19"/>
    <w:next w:val="1"/>
    <w:qFormat/>
    <w:uiPriority w:val="0"/>
    <w:pPr>
      <w:widowControl w:val="0"/>
      <w:spacing w:after="120" w:afterLines="0"/>
      <w:ind w:left="420" w:leftChars="200" w:firstLine="420" w:firstLineChars="200"/>
      <w:jc w:val="both"/>
    </w:pPr>
    <w:rPr>
      <w:rFonts w:ascii="Times New Roman" w:hAnsi="Times New Roman" w:eastAsia="宋体" w:cs="Times New Roman"/>
      <w:kern w:val="2"/>
      <w:sz w:val="21"/>
      <w:szCs w:val="24"/>
      <w:lang w:val="en-US" w:eastAsia="zh-CN" w:bidi="ar-SA"/>
    </w:rPr>
  </w:style>
  <w:style w:type="table" w:styleId="42">
    <w:name w:val="Table Grid"/>
    <w:basedOn w:val="41"/>
    <w:qFormat/>
    <w:uiPriority w:val="59"/>
    <w:pPr>
      <w:spacing w:before="50" w:beforeLines="50" w:after="50" w:afterLines="50" w:line="560" w:lineRule="exact"/>
      <w:ind w:firstLine="200" w:firstLineChars="200"/>
      <w:jc w:val="both"/>
    </w:pPr>
    <w:rPr>
      <w:rFonts w:ascii="等线 Light" w:hAnsi="等线 Light" w:eastAsia="等线" w:cs="等线 Light"/>
      <w:sz w:val="20"/>
      <w:szCs w:val="20"/>
      <w:lang w:eastAsia="zh-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4">
    <w:name w:val="Strong"/>
    <w:qFormat/>
    <w:uiPriority w:val="22"/>
    <w:rPr>
      <w:b/>
      <w:bCs/>
    </w:rPr>
  </w:style>
  <w:style w:type="character" w:styleId="45">
    <w:name w:val="FollowedHyperlink"/>
    <w:basedOn w:val="43"/>
    <w:semiHidden/>
    <w:unhideWhenUsed/>
    <w:qFormat/>
    <w:uiPriority w:val="99"/>
    <w:rPr>
      <w:color w:val="954F72"/>
      <w:u w:val="single"/>
    </w:rPr>
  </w:style>
  <w:style w:type="character" w:styleId="46">
    <w:name w:val="Hyperlink"/>
    <w:basedOn w:val="43"/>
    <w:unhideWhenUsed/>
    <w:qFormat/>
    <w:uiPriority w:val="99"/>
    <w:rPr>
      <w:color w:val="0563C1"/>
      <w:u w:val="single"/>
    </w:rPr>
  </w:style>
  <w:style w:type="character" w:styleId="47">
    <w:name w:val="annotation reference"/>
    <w:unhideWhenUsed/>
    <w:qFormat/>
    <w:uiPriority w:val="0"/>
    <w:rPr>
      <w:sz w:val="21"/>
      <w:szCs w:val="21"/>
    </w:rPr>
  </w:style>
  <w:style w:type="paragraph" w:customStyle="1" w:styleId="48">
    <w:name w:val="正文1"/>
    <w:basedOn w:val="1"/>
    <w:qFormat/>
    <w:uiPriority w:val="0"/>
    <w:pPr>
      <w:widowControl w:val="0"/>
      <w:spacing w:line="318" w:lineRule="atLeast"/>
      <w:ind w:left="369" w:firstLine="369"/>
    </w:pPr>
    <w:rPr>
      <w:rFonts w:ascii="宋体"/>
      <w:kern w:val="0"/>
      <w:szCs w:val="24"/>
    </w:rPr>
  </w:style>
  <w:style w:type="table" w:customStyle="1" w:styleId="49">
    <w:name w:val="Table Normal"/>
    <w:semiHidden/>
    <w:unhideWhenUsed/>
    <w:qFormat/>
    <w:uiPriority w:val="2"/>
    <w:tblPr>
      <w:tblCellMar>
        <w:top w:w="0" w:type="dxa"/>
        <w:left w:w="0" w:type="dxa"/>
        <w:bottom w:w="0" w:type="dxa"/>
        <w:right w:w="0" w:type="dxa"/>
      </w:tblCellMar>
    </w:tblPr>
  </w:style>
  <w:style w:type="paragraph" w:styleId="50">
    <w:name w:val="List Paragraph"/>
    <w:basedOn w:val="1"/>
    <w:link w:val="153"/>
    <w:qFormat/>
    <w:uiPriority w:val="34"/>
  </w:style>
  <w:style w:type="paragraph" w:customStyle="1" w:styleId="51">
    <w:name w:val="Table Paragraph"/>
    <w:basedOn w:val="1"/>
    <w:qFormat/>
    <w:uiPriority w:val="1"/>
  </w:style>
  <w:style w:type="character" w:customStyle="1" w:styleId="52">
    <w:name w:val="标题 字符"/>
    <w:basedOn w:val="43"/>
    <w:link w:val="38"/>
    <w:qFormat/>
    <w:uiPriority w:val="99"/>
    <w:rPr>
      <w:rFonts w:asciiTheme="majorHAnsi" w:hAnsiTheme="majorHAnsi" w:eastAsiaTheme="majorEastAsia" w:cstheme="majorBidi"/>
      <w:b/>
      <w:bCs/>
      <w:sz w:val="32"/>
      <w:szCs w:val="32"/>
    </w:rPr>
  </w:style>
  <w:style w:type="character" w:customStyle="1" w:styleId="53">
    <w:name w:val="标题 7 字符"/>
    <w:link w:val="9"/>
    <w:qFormat/>
    <w:uiPriority w:val="0"/>
    <w:rPr>
      <w:rFonts w:ascii="仿宋" w:hAnsi="仿宋" w:eastAsia="仿宋"/>
      <w:sz w:val="30"/>
      <w:szCs w:val="30"/>
    </w:rPr>
  </w:style>
  <w:style w:type="paragraph" w:customStyle="1" w:styleId="54">
    <w:name w:val="样式1"/>
    <w:basedOn w:val="5"/>
    <w:link w:val="55"/>
    <w:qFormat/>
    <w:uiPriority w:val="0"/>
    <w:pPr>
      <w:keepNext/>
      <w:keepLines/>
      <w:numPr>
        <w:ilvl w:val="1"/>
        <w:numId w:val="0"/>
      </w:numPr>
      <w:adjustRightInd w:val="0"/>
      <w:snapToGrid w:val="0"/>
      <w:spacing w:before="0" w:beforeLines="0" w:after="0" w:afterLines="0" w:line="360" w:lineRule="auto"/>
    </w:pPr>
    <w:rPr>
      <w:rFonts w:eastAsia="黑体" w:asciiTheme="minorHAnsi" w:hAnsiTheme="minorHAnsi"/>
      <w:kern w:val="2"/>
      <w:sz w:val="24"/>
      <w:szCs w:val="32"/>
      <w:lang w:eastAsia="zh-CN"/>
    </w:rPr>
  </w:style>
  <w:style w:type="character" w:customStyle="1" w:styleId="55">
    <w:name w:val="样式1 字符"/>
    <w:basedOn w:val="43"/>
    <w:link w:val="54"/>
    <w:qFormat/>
    <w:uiPriority w:val="0"/>
    <w:rPr>
      <w:rFonts w:eastAsia="黑体"/>
      <w:b/>
      <w:bCs/>
      <w:kern w:val="2"/>
      <w:sz w:val="24"/>
      <w:szCs w:val="32"/>
      <w:lang w:eastAsia="zh-CN"/>
    </w:rPr>
  </w:style>
  <w:style w:type="character" w:customStyle="1" w:styleId="56">
    <w:name w:val="标题 3 字符"/>
    <w:basedOn w:val="43"/>
    <w:link w:val="5"/>
    <w:qFormat/>
    <w:uiPriority w:val="0"/>
    <w:rPr>
      <w:rFonts w:ascii="仿宋" w:hAnsi="仿宋" w:eastAsia="仿宋"/>
      <w:b/>
      <w:bCs/>
      <w:sz w:val="36"/>
      <w:szCs w:val="36"/>
    </w:rPr>
  </w:style>
  <w:style w:type="paragraph" w:customStyle="1" w:styleId="57">
    <w:name w:val="msonormal"/>
    <w:basedOn w:val="1"/>
    <w:qFormat/>
    <w:uiPriority w:val="0"/>
    <w:pPr>
      <w:widowControl/>
      <w:spacing w:before="100" w:beforeAutospacing="1" w:after="100" w:afterAutospacing="1"/>
    </w:pPr>
    <w:rPr>
      <w:rFonts w:ascii="宋体" w:hAnsi="宋体" w:eastAsia="宋体" w:cs="宋体"/>
      <w:sz w:val="24"/>
      <w:szCs w:val="24"/>
      <w:lang w:eastAsia="zh-CN"/>
    </w:rPr>
  </w:style>
  <w:style w:type="paragraph" w:customStyle="1" w:styleId="58">
    <w:name w:val="font5"/>
    <w:basedOn w:val="1"/>
    <w:qFormat/>
    <w:uiPriority w:val="0"/>
    <w:pPr>
      <w:widowControl/>
      <w:spacing w:before="100" w:beforeAutospacing="1" w:after="100" w:afterAutospacing="1"/>
    </w:pPr>
    <w:rPr>
      <w:rFonts w:ascii="等线" w:hAnsi="等线" w:eastAsia="等线" w:cs="宋体"/>
      <w:sz w:val="18"/>
      <w:szCs w:val="18"/>
      <w:lang w:eastAsia="zh-CN"/>
    </w:rPr>
  </w:style>
  <w:style w:type="paragraph" w:customStyle="1" w:styleId="59">
    <w:name w:val="font6"/>
    <w:basedOn w:val="1"/>
    <w:qFormat/>
    <w:uiPriority w:val="0"/>
    <w:pPr>
      <w:widowControl/>
      <w:spacing w:before="100" w:beforeAutospacing="1" w:after="100" w:afterAutospacing="1"/>
    </w:pPr>
    <w:rPr>
      <w:rFonts w:ascii="宋体" w:hAnsi="宋体" w:eastAsia="宋体" w:cs="宋体"/>
      <w:sz w:val="18"/>
      <w:szCs w:val="18"/>
      <w:lang w:eastAsia="zh-CN"/>
    </w:rPr>
  </w:style>
  <w:style w:type="paragraph" w:customStyle="1" w:styleId="60">
    <w:name w:val="font7"/>
    <w:basedOn w:val="1"/>
    <w:qFormat/>
    <w:uiPriority w:val="0"/>
    <w:pPr>
      <w:widowControl/>
      <w:spacing w:before="100" w:beforeAutospacing="1" w:after="100" w:afterAutospacing="1"/>
    </w:pPr>
    <w:rPr>
      <w:rFonts w:ascii="等线" w:hAnsi="等线" w:eastAsia="等线" w:cs="宋体"/>
      <w:color w:val="000000"/>
      <w:sz w:val="20"/>
      <w:szCs w:val="20"/>
      <w:lang w:eastAsia="zh-CN"/>
    </w:rPr>
  </w:style>
  <w:style w:type="paragraph" w:customStyle="1" w:styleId="61">
    <w:name w:val="font8"/>
    <w:basedOn w:val="1"/>
    <w:qFormat/>
    <w:uiPriority w:val="0"/>
    <w:pPr>
      <w:widowControl/>
      <w:spacing w:before="100" w:beforeAutospacing="1" w:after="100" w:afterAutospacing="1"/>
    </w:pPr>
    <w:rPr>
      <w:rFonts w:ascii="等线" w:hAnsi="等线" w:eastAsia="等线" w:cs="宋体"/>
      <w:color w:val="000000"/>
      <w:sz w:val="20"/>
      <w:szCs w:val="20"/>
      <w:lang w:eastAsia="zh-CN"/>
    </w:rPr>
  </w:style>
  <w:style w:type="paragraph" w:customStyle="1" w:styleId="62">
    <w:name w:val="xl70"/>
    <w:basedOn w:val="1"/>
    <w:qFormat/>
    <w:uiPriority w:val="0"/>
    <w:pPr>
      <w:widowControl/>
      <w:spacing w:before="100" w:beforeAutospacing="1" w:after="100" w:afterAutospacing="1"/>
    </w:pPr>
    <w:rPr>
      <w:rFonts w:ascii="宋体" w:hAnsi="宋体" w:eastAsia="宋体" w:cs="宋体"/>
      <w:sz w:val="20"/>
      <w:szCs w:val="20"/>
      <w:lang w:eastAsia="zh-CN"/>
    </w:rPr>
  </w:style>
  <w:style w:type="paragraph" w:customStyle="1" w:styleId="63">
    <w:name w:val="xl71"/>
    <w:basedOn w:val="1"/>
    <w:qFormat/>
    <w:uiPriority w:val="0"/>
    <w:pPr>
      <w:widowControl/>
      <w:spacing w:before="100" w:beforeAutospacing="1" w:after="100" w:afterAutospacing="1"/>
    </w:pPr>
    <w:rPr>
      <w:rFonts w:ascii="宋体" w:hAnsi="宋体" w:eastAsia="宋体" w:cs="宋体"/>
      <w:sz w:val="20"/>
      <w:szCs w:val="20"/>
      <w:lang w:eastAsia="zh-CN"/>
    </w:rPr>
  </w:style>
  <w:style w:type="paragraph" w:customStyle="1" w:styleId="64">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808080"/>
      <w:spacing w:before="100" w:beforeAutospacing="1" w:after="100" w:afterAutospacing="1"/>
      <w:jc w:val="center"/>
      <w:textAlignment w:val="center"/>
    </w:pPr>
    <w:rPr>
      <w:rFonts w:ascii="宋体" w:hAnsi="宋体" w:eastAsia="宋体" w:cs="宋体"/>
      <w:b/>
      <w:bCs/>
      <w:color w:val="000000"/>
      <w:sz w:val="20"/>
      <w:szCs w:val="20"/>
      <w:lang w:eastAsia="zh-CN"/>
    </w:rPr>
  </w:style>
  <w:style w:type="paragraph" w:customStyle="1" w:styleId="65">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808080"/>
      <w:spacing w:before="100" w:beforeAutospacing="1" w:after="100" w:afterAutospacing="1"/>
      <w:jc w:val="center"/>
      <w:textAlignment w:val="center"/>
    </w:pPr>
    <w:rPr>
      <w:rFonts w:ascii="宋体" w:hAnsi="宋体" w:eastAsia="宋体" w:cs="宋体"/>
      <w:b/>
      <w:bCs/>
      <w:color w:val="000000"/>
      <w:sz w:val="20"/>
      <w:szCs w:val="20"/>
      <w:lang w:eastAsia="zh-CN"/>
    </w:rPr>
  </w:style>
  <w:style w:type="paragraph" w:customStyle="1" w:styleId="66">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sz w:val="20"/>
      <w:szCs w:val="20"/>
      <w:lang w:eastAsia="zh-CN"/>
    </w:rPr>
  </w:style>
  <w:style w:type="paragraph" w:customStyle="1" w:styleId="67">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eastAsia="宋体" w:cs="宋体"/>
      <w:color w:val="000000"/>
      <w:sz w:val="20"/>
      <w:szCs w:val="20"/>
      <w:lang w:eastAsia="zh-CN"/>
    </w:rPr>
  </w:style>
  <w:style w:type="paragraph" w:customStyle="1" w:styleId="68">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eastAsia="宋体" w:cs="宋体"/>
      <w:color w:val="000000"/>
      <w:sz w:val="20"/>
      <w:szCs w:val="20"/>
      <w:lang w:eastAsia="zh-CN"/>
    </w:rPr>
  </w:style>
  <w:style w:type="paragraph" w:customStyle="1" w:styleId="69">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sz w:val="20"/>
      <w:szCs w:val="20"/>
      <w:lang w:eastAsia="zh-CN"/>
    </w:rPr>
  </w:style>
  <w:style w:type="paragraph" w:customStyle="1" w:styleId="70">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sz w:val="20"/>
      <w:szCs w:val="20"/>
      <w:lang w:eastAsia="zh-CN"/>
    </w:rPr>
  </w:style>
  <w:style w:type="paragraph" w:customStyle="1" w:styleId="71">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sz w:val="20"/>
      <w:szCs w:val="20"/>
      <w:lang w:eastAsia="zh-CN"/>
    </w:rPr>
  </w:style>
  <w:style w:type="paragraph" w:customStyle="1" w:styleId="72">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both"/>
      <w:textAlignment w:val="center"/>
    </w:pPr>
    <w:rPr>
      <w:rFonts w:ascii="宋体" w:hAnsi="宋体" w:eastAsia="宋体" w:cs="宋体"/>
      <w:color w:val="000000"/>
      <w:sz w:val="20"/>
      <w:szCs w:val="20"/>
      <w:lang w:eastAsia="zh-CN"/>
    </w:rPr>
  </w:style>
  <w:style w:type="paragraph" w:customStyle="1" w:styleId="73">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eastAsia="宋体" w:cs="宋体"/>
      <w:sz w:val="20"/>
      <w:szCs w:val="20"/>
      <w:lang w:eastAsia="zh-CN"/>
    </w:rPr>
  </w:style>
  <w:style w:type="paragraph" w:customStyle="1" w:styleId="74">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eastAsia="宋体" w:cs="宋体"/>
      <w:sz w:val="20"/>
      <w:szCs w:val="20"/>
      <w:lang w:eastAsia="zh-CN"/>
    </w:rPr>
  </w:style>
  <w:style w:type="paragraph" w:customStyle="1" w:styleId="7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textAlignment w:val="top"/>
    </w:pPr>
    <w:rPr>
      <w:rFonts w:ascii="宋体" w:hAnsi="宋体" w:eastAsia="宋体" w:cs="宋体"/>
      <w:sz w:val="20"/>
      <w:szCs w:val="20"/>
      <w:lang w:eastAsia="zh-CN"/>
    </w:rPr>
  </w:style>
  <w:style w:type="paragraph" w:customStyle="1" w:styleId="7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center"/>
      <w:textAlignment w:val="center"/>
    </w:pPr>
    <w:rPr>
      <w:rFonts w:ascii="宋体" w:hAnsi="宋体" w:eastAsia="宋体" w:cs="宋体"/>
      <w:sz w:val="20"/>
      <w:szCs w:val="20"/>
      <w:lang w:eastAsia="zh-CN"/>
    </w:rPr>
  </w:style>
  <w:style w:type="paragraph" w:customStyle="1" w:styleId="7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center"/>
      <w:textAlignment w:val="center"/>
    </w:pPr>
    <w:rPr>
      <w:rFonts w:ascii="宋体" w:hAnsi="宋体" w:eastAsia="宋体" w:cs="宋体"/>
      <w:sz w:val="20"/>
      <w:szCs w:val="20"/>
      <w:lang w:eastAsia="zh-CN"/>
    </w:rPr>
  </w:style>
  <w:style w:type="paragraph" w:customStyle="1" w:styleId="78">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textAlignment w:val="center"/>
    </w:pPr>
    <w:rPr>
      <w:rFonts w:ascii="宋体" w:hAnsi="宋体" w:eastAsia="宋体" w:cs="宋体"/>
      <w:b/>
      <w:bCs/>
      <w:color w:val="000000"/>
      <w:sz w:val="20"/>
      <w:szCs w:val="20"/>
      <w:lang w:eastAsia="zh-CN"/>
    </w:rPr>
  </w:style>
  <w:style w:type="paragraph" w:customStyle="1" w:styleId="79">
    <w:name w:val="xl87"/>
    <w:basedOn w:val="1"/>
    <w:qFormat/>
    <w:uiPriority w:val="0"/>
    <w:pPr>
      <w:widowControl/>
      <w:pBdr>
        <w:top w:val="single" w:color="auto" w:sz="4" w:space="0"/>
        <w:left w:val="single" w:color="auto" w:sz="4" w:space="0"/>
        <w:bottom w:val="single" w:color="auto" w:sz="4" w:space="0"/>
      </w:pBdr>
      <w:shd w:val="clear" w:color="000000" w:fill="00B050"/>
      <w:spacing w:before="100" w:beforeAutospacing="1" w:after="100" w:afterAutospacing="1"/>
      <w:jc w:val="center"/>
      <w:textAlignment w:val="center"/>
    </w:pPr>
    <w:rPr>
      <w:rFonts w:ascii="宋体" w:hAnsi="宋体" w:eastAsia="宋体" w:cs="宋体"/>
      <w:sz w:val="20"/>
      <w:szCs w:val="20"/>
      <w:lang w:eastAsia="zh-CN"/>
    </w:rPr>
  </w:style>
  <w:style w:type="paragraph" w:customStyle="1" w:styleId="80">
    <w:name w:val="xl88"/>
    <w:basedOn w:val="1"/>
    <w:qFormat/>
    <w:uiPriority w:val="0"/>
    <w:pPr>
      <w:widowControl/>
      <w:pBdr>
        <w:top w:val="single" w:color="auto" w:sz="4" w:space="0"/>
        <w:bottom w:val="single" w:color="auto" w:sz="4" w:space="0"/>
      </w:pBdr>
      <w:shd w:val="clear" w:color="000000" w:fill="00B050"/>
      <w:spacing w:before="100" w:beforeAutospacing="1" w:after="100" w:afterAutospacing="1"/>
      <w:jc w:val="center"/>
      <w:textAlignment w:val="center"/>
    </w:pPr>
    <w:rPr>
      <w:rFonts w:ascii="宋体" w:hAnsi="宋体" w:eastAsia="宋体" w:cs="宋体"/>
      <w:sz w:val="20"/>
      <w:szCs w:val="20"/>
      <w:lang w:eastAsia="zh-CN"/>
    </w:rPr>
  </w:style>
  <w:style w:type="paragraph" w:customStyle="1" w:styleId="81">
    <w:name w:val="xl89"/>
    <w:basedOn w:val="1"/>
    <w:qFormat/>
    <w:uiPriority w:val="0"/>
    <w:pPr>
      <w:widowControl/>
      <w:pBdr>
        <w:top w:val="single" w:color="auto" w:sz="4" w:space="0"/>
        <w:bottom w:val="single" w:color="auto" w:sz="4" w:space="0"/>
        <w:right w:val="single" w:color="auto" w:sz="4" w:space="0"/>
      </w:pBdr>
      <w:shd w:val="clear" w:color="000000" w:fill="00B050"/>
      <w:spacing w:before="100" w:beforeAutospacing="1" w:after="100" w:afterAutospacing="1"/>
      <w:jc w:val="center"/>
      <w:textAlignment w:val="center"/>
    </w:pPr>
    <w:rPr>
      <w:rFonts w:ascii="宋体" w:hAnsi="宋体" w:eastAsia="宋体" w:cs="宋体"/>
      <w:sz w:val="20"/>
      <w:szCs w:val="20"/>
      <w:lang w:eastAsia="zh-CN"/>
    </w:rPr>
  </w:style>
  <w:style w:type="paragraph" w:customStyle="1" w:styleId="82">
    <w:name w:val="xl9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sz w:val="20"/>
      <w:szCs w:val="20"/>
      <w:lang w:eastAsia="zh-CN"/>
    </w:rPr>
  </w:style>
  <w:style w:type="paragraph" w:customStyle="1" w:styleId="83">
    <w:name w:val="xl9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sz w:val="20"/>
      <w:szCs w:val="20"/>
      <w:lang w:eastAsia="zh-CN"/>
    </w:rPr>
  </w:style>
  <w:style w:type="paragraph" w:customStyle="1" w:styleId="84">
    <w:name w:val="xl9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sz w:val="20"/>
      <w:szCs w:val="20"/>
      <w:lang w:eastAsia="zh-CN"/>
    </w:rPr>
  </w:style>
  <w:style w:type="paragraph" w:customStyle="1" w:styleId="85">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sz w:val="20"/>
      <w:szCs w:val="20"/>
      <w:lang w:eastAsia="zh-CN"/>
    </w:rPr>
  </w:style>
  <w:style w:type="paragraph" w:customStyle="1" w:styleId="86">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color w:val="000000"/>
      <w:sz w:val="20"/>
      <w:szCs w:val="20"/>
      <w:lang w:eastAsia="zh-CN"/>
    </w:rPr>
  </w:style>
  <w:style w:type="paragraph" w:customStyle="1" w:styleId="87">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color w:val="000000"/>
      <w:sz w:val="20"/>
      <w:szCs w:val="20"/>
      <w:lang w:eastAsia="zh-CN"/>
    </w:rPr>
  </w:style>
  <w:style w:type="paragraph" w:customStyle="1" w:styleId="88">
    <w:name w:val="xl96"/>
    <w:basedOn w:val="1"/>
    <w:qFormat/>
    <w:uiPriority w:val="0"/>
    <w:pPr>
      <w:widowControl/>
      <w:pBdr>
        <w:top w:val="single" w:color="auto" w:sz="4" w:space="0"/>
        <w:left w:val="single" w:color="auto" w:sz="4" w:space="0"/>
        <w:bottom w:val="single" w:color="auto" w:sz="4" w:space="0"/>
      </w:pBdr>
      <w:shd w:val="clear" w:color="000000" w:fill="808080"/>
      <w:spacing w:before="100" w:beforeAutospacing="1" w:after="100" w:afterAutospacing="1"/>
      <w:jc w:val="center"/>
      <w:textAlignment w:val="center"/>
    </w:pPr>
    <w:rPr>
      <w:rFonts w:ascii="宋体" w:hAnsi="宋体" w:eastAsia="宋体" w:cs="宋体"/>
      <w:b/>
      <w:bCs/>
      <w:color w:val="000000"/>
      <w:sz w:val="20"/>
      <w:szCs w:val="20"/>
      <w:lang w:eastAsia="zh-CN"/>
    </w:rPr>
  </w:style>
  <w:style w:type="paragraph" w:customStyle="1" w:styleId="89">
    <w:name w:val="xl97"/>
    <w:basedOn w:val="1"/>
    <w:qFormat/>
    <w:uiPriority w:val="0"/>
    <w:pPr>
      <w:widowControl/>
      <w:pBdr>
        <w:top w:val="single" w:color="auto" w:sz="4" w:space="0"/>
        <w:bottom w:val="single" w:color="auto" w:sz="4" w:space="0"/>
        <w:right w:val="single" w:color="auto" w:sz="4" w:space="0"/>
      </w:pBdr>
      <w:shd w:val="clear" w:color="000000" w:fill="808080"/>
      <w:spacing w:before="100" w:beforeAutospacing="1" w:after="100" w:afterAutospacing="1"/>
      <w:jc w:val="center"/>
      <w:textAlignment w:val="center"/>
    </w:pPr>
    <w:rPr>
      <w:rFonts w:ascii="宋体" w:hAnsi="宋体" w:eastAsia="宋体" w:cs="宋体"/>
      <w:b/>
      <w:bCs/>
      <w:color w:val="000000"/>
      <w:sz w:val="20"/>
      <w:szCs w:val="20"/>
      <w:lang w:eastAsia="zh-CN"/>
    </w:rPr>
  </w:style>
  <w:style w:type="character" w:customStyle="1" w:styleId="90">
    <w:name w:val="页眉 字符"/>
    <w:basedOn w:val="43"/>
    <w:link w:val="28"/>
    <w:qFormat/>
    <w:uiPriority w:val="99"/>
    <w:rPr>
      <w:kern w:val="2"/>
      <w:sz w:val="18"/>
      <w:szCs w:val="18"/>
      <w:lang w:eastAsia="zh-CN"/>
    </w:rPr>
  </w:style>
  <w:style w:type="character" w:customStyle="1" w:styleId="91">
    <w:name w:val="页脚 字符"/>
    <w:basedOn w:val="43"/>
    <w:link w:val="27"/>
    <w:qFormat/>
    <w:uiPriority w:val="99"/>
    <w:rPr>
      <w:kern w:val="2"/>
      <w:sz w:val="18"/>
      <w:szCs w:val="18"/>
      <w:lang w:eastAsia="zh-CN"/>
    </w:rPr>
  </w:style>
  <w:style w:type="paragraph" w:customStyle="1" w:styleId="92">
    <w:name w:val="font9"/>
    <w:basedOn w:val="1"/>
    <w:qFormat/>
    <w:uiPriority w:val="0"/>
    <w:pPr>
      <w:widowControl/>
      <w:spacing w:before="100" w:beforeAutospacing="1" w:after="100" w:afterAutospacing="1"/>
    </w:pPr>
    <w:rPr>
      <w:rFonts w:ascii="等线" w:hAnsi="等线" w:eastAsia="等线" w:cs="宋体"/>
      <w:color w:val="000000"/>
      <w:sz w:val="20"/>
      <w:szCs w:val="20"/>
      <w:lang w:eastAsia="zh-CN"/>
    </w:rPr>
  </w:style>
  <w:style w:type="paragraph" w:customStyle="1" w:styleId="93">
    <w:name w:val="xl98"/>
    <w:basedOn w:val="1"/>
    <w:qFormat/>
    <w:uiPriority w:val="0"/>
    <w:pPr>
      <w:widowControl/>
      <w:pBdr>
        <w:top w:val="single" w:color="auto" w:sz="4" w:space="0"/>
        <w:left w:val="single" w:color="auto" w:sz="4" w:space="0"/>
        <w:right w:val="single" w:color="auto" w:sz="4" w:space="0"/>
      </w:pBdr>
      <w:shd w:val="clear" w:color="000000" w:fill="FFFF00"/>
      <w:spacing w:before="100" w:beforeAutospacing="1" w:after="100" w:afterAutospacing="1"/>
      <w:jc w:val="center"/>
      <w:textAlignment w:val="center"/>
    </w:pPr>
    <w:rPr>
      <w:rFonts w:ascii="宋体" w:hAnsi="宋体" w:eastAsia="宋体" w:cs="宋体"/>
      <w:sz w:val="20"/>
      <w:szCs w:val="20"/>
      <w:lang w:eastAsia="zh-CN"/>
    </w:rPr>
  </w:style>
  <w:style w:type="paragraph" w:customStyle="1" w:styleId="94">
    <w:name w:val="xl99"/>
    <w:basedOn w:val="1"/>
    <w:qFormat/>
    <w:uiPriority w:val="0"/>
    <w:pPr>
      <w:widowControl/>
      <w:pBdr>
        <w:top w:val="single" w:color="auto" w:sz="4" w:space="0"/>
        <w:left w:val="single" w:color="auto" w:sz="4" w:space="0"/>
        <w:right w:val="single" w:color="auto" w:sz="4" w:space="0"/>
      </w:pBdr>
      <w:shd w:val="clear" w:color="000000" w:fill="FFFF00"/>
      <w:spacing w:before="100" w:beforeAutospacing="1" w:after="100" w:afterAutospacing="1"/>
      <w:jc w:val="center"/>
      <w:textAlignment w:val="center"/>
    </w:pPr>
    <w:rPr>
      <w:rFonts w:ascii="宋体" w:hAnsi="宋体" w:eastAsia="宋体" w:cs="宋体"/>
      <w:sz w:val="20"/>
      <w:szCs w:val="20"/>
      <w:lang w:eastAsia="zh-CN"/>
    </w:rPr>
  </w:style>
  <w:style w:type="paragraph" w:customStyle="1" w:styleId="95">
    <w:name w:val="xl10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sz w:val="20"/>
      <w:szCs w:val="20"/>
      <w:lang w:eastAsia="zh-CN"/>
    </w:rPr>
  </w:style>
  <w:style w:type="paragraph" w:customStyle="1" w:styleId="96">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sz w:val="20"/>
      <w:szCs w:val="20"/>
      <w:lang w:eastAsia="zh-CN"/>
    </w:rPr>
  </w:style>
  <w:style w:type="paragraph" w:customStyle="1" w:styleId="9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sz w:val="20"/>
      <w:szCs w:val="20"/>
      <w:lang w:eastAsia="zh-CN"/>
    </w:rPr>
  </w:style>
  <w:style w:type="paragraph" w:customStyle="1" w:styleId="98">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sz w:val="20"/>
      <w:szCs w:val="20"/>
      <w:lang w:eastAsia="zh-CN"/>
    </w:rPr>
  </w:style>
  <w:style w:type="paragraph" w:customStyle="1" w:styleId="9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sz w:val="20"/>
      <w:szCs w:val="20"/>
      <w:lang w:eastAsia="zh-CN"/>
    </w:rPr>
  </w:style>
  <w:style w:type="paragraph" w:customStyle="1" w:styleId="100">
    <w:name w:val="xl105"/>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eastAsia="宋体" w:cs="宋体"/>
      <w:sz w:val="20"/>
      <w:szCs w:val="20"/>
      <w:lang w:eastAsia="zh-CN"/>
    </w:rPr>
  </w:style>
  <w:style w:type="paragraph" w:customStyle="1" w:styleId="101">
    <w:name w:val="xl10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textAlignment w:val="center"/>
    </w:pPr>
    <w:rPr>
      <w:rFonts w:ascii="宋体" w:hAnsi="宋体" w:eastAsia="宋体" w:cs="宋体"/>
      <w:sz w:val="20"/>
      <w:szCs w:val="20"/>
      <w:lang w:eastAsia="zh-CN"/>
    </w:rPr>
  </w:style>
  <w:style w:type="paragraph" w:customStyle="1" w:styleId="102">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center"/>
      <w:textAlignment w:val="center"/>
    </w:pPr>
    <w:rPr>
      <w:rFonts w:ascii="宋体" w:hAnsi="宋体" w:eastAsia="宋体" w:cs="宋体"/>
      <w:sz w:val="20"/>
      <w:szCs w:val="20"/>
      <w:lang w:eastAsia="zh-CN"/>
    </w:rPr>
  </w:style>
  <w:style w:type="paragraph" w:customStyle="1" w:styleId="103">
    <w:name w:val="xl108"/>
    <w:basedOn w:val="1"/>
    <w:qFormat/>
    <w:uiPriority w:val="0"/>
    <w:pPr>
      <w:widowControl/>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center"/>
      <w:textAlignment w:val="center"/>
    </w:pPr>
    <w:rPr>
      <w:rFonts w:ascii="宋体" w:hAnsi="宋体" w:eastAsia="宋体" w:cs="宋体"/>
      <w:sz w:val="20"/>
      <w:szCs w:val="20"/>
      <w:lang w:eastAsia="zh-CN"/>
    </w:rPr>
  </w:style>
  <w:style w:type="paragraph" w:customStyle="1" w:styleId="104">
    <w:name w:val="xl10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sz w:val="20"/>
      <w:szCs w:val="20"/>
      <w:lang w:eastAsia="zh-CN"/>
    </w:rPr>
  </w:style>
  <w:style w:type="paragraph" w:customStyle="1" w:styleId="105">
    <w:name w:val="xl110"/>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sz w:val="20"/>
      <w:szCs w:val="20"/>
      <w:lang w:eastAsia="zh-CN"/>
    </w:rPr>
  </w:style>
  <w:style w:type="paragraph" w:customStyle="1" w:styleId="106">
    <w:name w:val="xl11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sz w:val="20"/>
      <w:szCs w:val="20"/>
      <w:lang w:eastAsia="zh-CN"/>
    </w:rPr>
  </w:style>
  <w:style w:type="paragraph" w:customStyle="1" w:styleId="107">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sz w:val="20"/>
      <w:szCs w:val="20"/>
      <w:lang w:eastAsia="zh-CN"/>
    </w:rPr>
  </w:style>
  <w:style w:type="paragraph" w:customStyle="1" w:styleId="108">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sz w:val="20"/>
      <w:szCs w:val="20"/>
      <w:lang w:eastAsia="zh-CN"/>
    </w:rPr>
  </w:style>
  <w:style w:type="paragraph" w:customStyle="1" w:styleId="109">
    <w:name w:val="xl11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sz w:val="20"/>
      <w:szCs w:val="20"/>
      <w:lang w:eastAsia="zh-CN"/>
    </w:rPr>
  </w:style>
  <w:style w:type="paragraph" w:customStyle="1" w:styleId="110">
    <w:name w:val="xl11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sz w:val="24"/>
      <w:szCs w:val="24"/>
      <w:lang w:eastAsia="zh-CN"/>
    </w:rPr>
  </w:style>
  <w:style w:type="paragraph" w:customStyle="1" w:styleId="111">
    <w:name w:val="xl116"/>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sz w:val="24"/>
      <w:szCs w:val="24"/>
      <w:lang w:eastAsia="zh-CN"/>
    </w:rPr>
  </w:style>
  <w:style w:type="paragraph" w:customStyle="1" w:styleId="112">
    <w:name w:val="xl11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sz w:val="24"/>
      <w:szCs w:val="24"/>
      <w:lang w:eastAsia="zh-CN"/>
    </w:rPr>
  </w:style>
  <w:style w:type="paragraph" w:customStyle="1" w:styleId="113">
    <w:name w:val="xl118"/>
    <w:basedOn w:val="1"/>
    <w:qFormat/>
    <w:uiPriority w:val="0"/>
    <w:pPr>
      <w:widowControl/>
      <w:pBdr>
        <w:top w:val="single" w:color="auto" w:sz="4" w:space="0"/>
        <w:left w:val="single" w:color="auto" w:sz="4" w:space="0"/>
        <w:bottom w:val="single" w:color="auto" w:sz="4" w:space="0"/>
      </w:pBdr>
      <w:shd w:val="clear" w:color="000000" w:fill="00B050"/>
      <w:spacing w:before="100" w:beforeAutospacing="1" w:after="100" w:afterAutospacing="1"/>
      <w:jc w:val="center"/>
      <w:textAlignment w:val="center"/>
    </w:pPr>
    <w:rPr>
      <w:rFonts w:ascii="宋体" w:hAnsi="宋体" w:eastAsia="宋体" w:cs="宋体"/>
      <w:sz w:val="20"/>
      <w:szCs w:val="20"/>
      <w:lang w:eastAsia="zh-CN"/>
    </w:rPr>
  </w:style>
  <w:style w:type="paragraph" w:customStyle="1" w:styleId="114">
    <w:name w:val="xl119"/>
    <w:basedOn w:val="1"/>
    <w:qFormat/>
    <w:uiPriority w:val="0"/>
    <w:pPr>
      <w:widowControl/>
      <w:pBdr>
        <w:top w:val="single" w:color="auto" w:sz="4" w:space="0"/>
        <w:bottom w:val="single" w:color="auto" w:sz="4" w:space="0"/>
      </w:pBdr>
      <w:shd w:val="clear" w:color="000000" w:fill="00B050"/>
      <w:spacing w:before="100" w:beforeAutospacing="1" w:after="100" w:afterAutospacing="1"/>
      <w:jc w:val="center"/>
      <w:textAlignment w:val="center"/>
    </w:pPr>
    <w:rPr>
      <w:rFonts w:ascii="宋体" w:hAnsi="宋体" w:eastAsia="宋体" w:cs="宋体"/>
      <w:sz w:val="20"/>
      <w:szCs w:val="20"/>
      <w:lang w:eastAsia="zh-CN"/>
    </w:rPr>
  </w:style>
  <w:style w:type="paragraph" w:customStyle="1" w:styleId="115">
    <w:name w:val="xl120"/>
    <w:basedOn w:val="1"/>
    <w:qFormat/>
    <w:uiPriority w:val="0"/>
    <w:pPr>
      <w:widowControl/>
      <w:pBdr>
        <w:top w:val="single" w:color="auto" w:sz="4" w:space="0"/>
        <w:bottom w:val="single" w:color="auto" w:sz="4" w:space="0"/>
        <w:right w:val="single" w:color="auto" w:sz="4" w:space="0"/>
      </w:pBdr>
      <w:shd w:val="clear" w:color="000000" w:fill="00B050"/>
      <w:spacing w:before="100" w:beforeAutospacing="1" w:after="100" w:afterAutospacing="1"/>
      <w:jc w:val="center"/>
      <w:textAlignment w:val="center"/>
    </w:pPr>
    <w:rPr>
      <w:rFonts w:ascii="宋体" w:hAnsi="宋体" w:eastAsia="宋体" w:cs="宋体"/>
      <w:sz w:val="20"/>
      <w:szCs w:val="20"/>
      <w:lang w:eastAsia="zh-CN"/>
    </w:rPr>
  </w:style>
  <w:style w:type="paragraph" w:customStyle="1" w:styleId="116">
    <w:name w:val="xl121"/>
    <w:basedOn w:val="1"/>
    <w:qFormat/>
    <w:uiPriority w:val="0"/>
    <w:pPr>
      <w:widowControl/>
      <w:pBdr>
        <w:top w:val="single" w:color="auto" w:sz="4" w:space="0"/>
        <w:bottom w:val="single" w:color="auto" w:sz="4" w:space="0"/>
      </w:pBdr>
      <w:shd w:val="clear" w:color="000000" w:fill="FFC000"/>
      <w:spacing w:before="100" w:beforeAutospacing="1" w:after="100" w:afterAutospacing="1"/>
      <w:jc w:val="center"/>
      <w:textAlignment w:val="center"/>
    </w:pPr>
    <w:rPr>
      <w:rFonts w:ascii="宋体" w:hAnsi="宋体" w:eastAsia="宋体" w:cs="宋体"/>
      <w:b/>
      <w:bCs/>
      <w:color w:val="000000"/>
      <w:sz w:val="20"/>
      <w:szCs w:val="20"/>
      <w:lang w:eastAsia="zh-CN"/>
    </w:rPr>
  </w:style>
  <w:style w:type="paragraph" w:customStyle="1" w:styleId="117">
    <w:name w:val="xl122"/>
    <w:basedOn w:val="1"/>
    <w:qFormat/>
    <w:uiPriority w:val="0"/>
    <w:pPr>
      <w:widowControl/>
      <w:pBdr>
        <w:top w:val="single" w:color="auto" w:sz="4" w:space="0"/>
        <w:bottom w:val="single" w:color="auto" w:sz="4" w:space="0"/>
        <w:right w:val="single" w:color="auto" w:sz="4" w:space="0"/>
      </w:pBdr>
      <w:shd w:val="clear" w:color="000000" w:fill="FFC000"/>
      <w:spacing w:before="100" w:beforeAutospacing="1" w:after="100" w:afterAutospacing="1"/>
      <w:jc w:val="center"/>
      <w:textAlignment w:val="center"/>
    </w:pPr>
    <w:rPr>
      <w:rFonts w:ascii="宋体" w:hAnsi="宋体" w:eastAsia="宋体" w:cs="宋体"/>
      <w:b/>
      <w:bCs/>
      <w:color w:val="000000"/>
      <w:sz w:val="20"/>
      <w:szCs w:val="20"/>
      <w:lang w:eastAsia="zh-CN"/>
    </w:rPr>
  </w:style>
  <w:style w:type="paragraph" w:customStyle="1" w:styleId="118">
    <w:name w:val="xl12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eastAsia="宋体" w:cs="宋体"/>
      <w:sz w:val="20"/>
      <w:szCs w:val="20"/>
      <w:lang w:eastAsia="zh-CN"/>
    </w:rPr>
  </w:style>
  <w:style w:type="paragraph" w:customStyle="1" w:styleId="119">
    <w:name w:val="xl12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sz w:val="20"/>
      <w:szCs w:val="20"/>
      <w:lang w:eastAsia="zh-CN"/>
    </w:rPr>
  </w:style>
  <w:style w:type="paragraph" w:customStyle="1" w:styleId="120">
    <w:name w:val="xl125"/>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宋体" w:hAnsi="宋体" w:eastAsia="宋体" w:cs="宋体"/>
      <w:color w:val="000000"/>
      <w:sz w:val="20"/>
      <w:szCs w:val="20"/>
      <w:lang w:eastAsia="zh-CN"/>
    </w:rPr>
  </w:style>
  <w:style w:type="paragraph" w:customStyle="1" w:styleId="121">
    <w:name w:val="xl126"/>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color w:val="000000"/>
      <w:sz w:val="20"/>
      <w:szCs w:val="20"/>
      <w:lang w:eastAsia="zh-CN"/>
    </w:rPr>
  </w:style>
  <w:style w:type="paragraph" w:customStyle="1" w:styleId="122">
    <w:name w:val="xl127"/>
    <w:basedOn w:val="1"/>
    <w:qFormat/>
    <w:uiPriority w:val="0"/>
    <w:pPr>
      <w:widowControl/>
      <w:pBdr>
        <w:top w:val="single" w:color="auto" w:sz="4" w:space="0"/>
      </w:pBdr>
      <w:shd w:val="clear" w:color="000000" w:fill="FFFF00"/>
      <w:spacing w:before="100" w:beforeAutospacing="1" w:after="100" w:afterAutospacing="1"/>
      <w:jc w:val="center"/>
      <w:textAlignment w:val="center"/>
    </w:pPr>
    <w:rPr>
      <w:rFonts w:ascii="宋体" w:hAnsi="宋体" w:eastAsia="宋体" w:cs="宋体"/>
      <w:sz w:val="20"/>
      <w:szCs w:val="20"/>
      <w:lang w:eastAsia="zh-CN"/>
    </w:rPr>
  </w:style>
  <w:style w:type="paragraph" w:customStyle="1" w:styleId="123">
    <w:name w:val="xl128"/>
    <w:basedOn w:val="1"/>
    <w:qFormat/>
    <w:uiPriority w:val="0"/>
    <w:pPr>
      <w:widowControl/>
      <w:pBdr>
        <w:top w:val="single" w:color="auto" w:sz="4" w:space="0"/>
        <w:right w:val="single" w:color="auto" w:sz="4" w:space="0"/>
      </w:pBdr>
      <w:shd w:val="clear" w:color="000000" w:fill="FFFF00"/>
      <w:spacing w:before="100" w:beforeAutospacing="1" w:after="100" w:afterAutospacing="1"/>
      <w:jc w:val="center"/>
      <w:textAlignment w:val="center"/>
    </w:pPr>
    <w:rPr>
      <w:rFonts w:ascii="宋体" w:hAnsi="宋体" w:eastAsia="宋体" w:cs="宋体"/>
      <w:sz w:val="20"/>
      <w:szCs w:val="20"/>
      <w:lang w:eastAsia="zh-CN"/>
    </w:rPr>
  </w:style>
  <w:style w:type="paragraph" w:customStyle="1" w:styleId="124">
    <w:name w:val="xl129"/>
    <w:basedOn w:val="1"/>
    <w:qFormat/>
    <w:uiPriority w:val="0"/>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textAlignment w:val="center"/>
    </w:pPr>
    <w:rPr>
      <w:rFonts w:ascii="宋体" w:hAnsi="宋体" w:eastAsia="宋体" w:cs="宋体"/>
      <w:b/>
      <w:bCs/>
      <w:color w:val="000000"/>
      <w:sz w:val="20"/>
      <w:szCs w:val="20"/>
      <w:lang w:eastAsia="zh-CN"/>
    </w:rPr>
  </w:style>
  <w:style w:type="paragraph" w:customStyle="1" w:styleId="125">
    <w:name w:val="xl130"/>
    <w:basedOn w:val="1"/>
    <w:qFormat/>
    <w:uiPriority w:val="0"/>
    <w:pPr>
      <w:widowControl/>
      <w:pBdr>
        <w:top w:val="single" w:color="auto" w:sz="4" w:space="0"/>
        <w:bottom w:val="single" w:color="auto" w:sz="4" w:space="0"/>
      </w:pBdr>
      <w:shd w:val="clear" w:color="000000" w:fill="FFFF00"/>
      <w:spacing w:before="100" w:beforeAutospacing="1" w:after="100" w:afterAutospacing="1"/>
      <w:jc w:val="center"/>
      <w:textAlignment w:val="center"/>
    </w:pPr>
    <w:rPr>
      <w:rFonts w:ascii="宋体" w:hAnsi="宋体" w:eastAsia="宋体" w:cs="宋体"/>
      <w:sz w:val="20"/>
      <w:szCs w:val="20"/>
      <w:lang w:eastAsia="zh-CN"/>
    </w:rPr>
  </w:style>
  <w:style w:type="paragraph" w:customStyle="1" w:styleId="126">
    <w:name w:val="xl131"/>
    <w:basedOn w:val="1"/>
    <w:qFormat/>
    <w:uiPriority w:val="0"/>
    <w:pPr>
      <w:widowControl/>
      <w:pBdr>
        <w:top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eastAsia="宋体" w:cs="宋体"/>
      <w:sz w:val="20"/>
      <w:szCs w:val="20"/>
      <w:lang w:eastAsia="zh-CN"/>
    </w:rPr>
  </w:style>
  <w:style w:type="paragraph" w:customStyle="1" w:styleId="127">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sz w:val="20"/>
      <w:szCs w:val="20"/>
      <w:lang w:eastAsia="zh-CN"/>
    </w:rPr>
  </w:style>
  <w:style w:type="paragraph" w:customStyle="1" w:styleId="128">
    <w:name w:val="xl133"/>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sz w:val="20"/>
      <w:szCs w:val="20"/>
      <w:lang w:eastAsia="zh-CN"/>
    </w:rPr>
  </w:style>
  <w:style w:type="paragraph" w:customStyle="1" w:styleId="129">
    <w:name w:val="xl134"/>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sz w:val="20"/>
      <w:szCs w:val="20"/>
      <w:lang w:eastAsia="zh-CN"/>
    </w:rPr>
  </w:style>
  <w:style w:type="paragraph" w:customStyle="1" w:styleId="130">
    <w:name w:val="xl135"/>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sz w:val="20"/>
      <w:szCs w:val="20"/>
      <w:lang w:eastAsia="zh-CN"/>
    </w:rPr>
  </w:style>
  <w:style w:type="paragraph" w:customStyle="1" w:styleId="131">
    <w:name w:val="xl136"/>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sz w:val="20"/>
      <w:szCs w:val="20"/>
      <w:lang w:eastAsia="zh-CN"/>
    </w:rPr>
  </w:style>
  <w:style w:type="paragraph" w:customStyle="1" w:styleId="132">
    <w:name w:val="xl137"/>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sz w:val="20"/>
      <w:szCs w:val="20"/>
      <w:lang w:eastAsia="zh-CN"/>
    </w:rPr>
  </w:style>
  <w:style w:type="paragraph" w:customStyle="1" w:styleId="133">
    <w:name w:val="xl13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sz w:val="20"/>
      <w:szCs w:val="20"/>
      <w:lang w:eastAsia="zh-CN"/>
    </w:rPr>
  </w:style>
  <w:style w:type="paragraph" w:customStyle="1" w:styleId="134">
    <w:name w:val="xl139"/>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sz w:val="20"/>
      <w:szCs w:val="20"/>
      <w:lang w:eastAsia="zh-CN"/>
    </w:rPr>
  </w:style>
  <w:style w:type="paragraph" w:customStyle="1" w:styleId="135">
    <w:name w:val="xl14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color w:val="000000"/>
      <w:sz w:val="20"/>
      <w:szCs w:val="20"/>
      <w:lang w:eastAsia="zh-CN"/>
    </w:rPr>
  </w:style>
  <w:style w:type="paragraph" w:customStyle="1" w:styleId="136">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sz w:val="20"/>
      <w:szCs w:val="20"/>
      <w:lang w:eastAsia="zh-CN"/>
    </w:rPr>
  </w:style>
  <w:style w:type="paragraph" w:customStyle="1" w:styleId="137">
    <w:name w:val="xl142"/>
    <w:basedOn w:val="1"/>
    <w:qFormat/>
    <w:uiPriority w:val="0"/>
    <w:pPr>
      <w:widowControl/>
      <w:pBdr>
        <w:top w:val="single" w:color="auto" w:sz="4" w:space="0"/>
        <w:left w:val="single" w:color="auto" w:sz="4" w:space="0"/>
        <w:bottom w:val="single" w:color="auto" w:sz="4" w:space="0"/>
      </w:pBdr>
      <w:shd w:val="clear" w:color="000000" w:fill="808080"/>
      <w:spacing w:before="100" w:beforeAutospacing="1" w:after="100" w:afterAutospacing="1"/>
      <w:jc w:val="center"/>
      <w:textAlignment w:val="center"/>
    </w:pPr>
    <w:rPr>
      <w:rFonts w:ascii="宋体" w:hAnsi="宋体" w:eastAsia="宋体" w:cs="宋体"/>
      <w:b/>
      <w:bCs/>
      <w:color w:val="000000"/>
      <w:sz w:val="20"/>
      <w:szCs w:val="20"/>
      <w:lang w:eastAsia="zh-CN"/>
    </w:rPr>
  </w:style>
  <w:style w:type="paragraph" w:customStyle="1" w:styleId="138">
    <w:name w:val="xl143"/>
    <w:basedOn w:val="1"/>
    <w:qFormat/>
    <w:uiPriority w:val="0"/>
    <w:pPr>
      <w:widowControl/>
      <w:pBdr>
        <w:top w:val="single" w:color="auto" w:sz="4" w:space="0"/>
        <w:bottom w:val="single" w:color="auto" w:sz="4" w:space="0"/>
        <w:right w:val="single" w:color="auto" w:sz="4" w:space="0"/>
      </w:pBdr>
      <w:shd w:val="clear" w:color="000000" w:fill="808080"/>
      <w:spacing w:before="100" w:beforeAutospacing="1" w:after="100" w:afterAutospacing="1"/>
      <w:jc w:val="center"/>
      <w:textAlignment w:val="center"/>
    </w:pPr>
    <w:rPr>
      <w:rFonts w:ascii="宋体" w:hAnsi="宋体" w:eastAsia="宋体" w:cs="宋体"/>
      <w:b/>
      <w:bCs/>
      <w:color w:val="000000"/>
      <w:sz w:val="20"/>
      <w:szCs w:val="20"/>
      <w:lang w:eastAsia="zh-CN"/>
    </w:rPr>
  </w:style>
  <w:style w:type="paragraph" w:customStyle="1" w:styleId="139">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color w:val="000000"/>
      <w:sz w:val="20"/>
      <w:szCs w:val="20"/>
      <w:lang w:eastAsia="zh-CN"/>
    </w:rPr>
  </w:style>
  <w:style w:type="paragraph" w:customStyle="1" w:styleId="140">
    <w:name w:val="Default"/>
    <w:next w:val="1"/>
    <w:qFormat/>
    <w:uiPriority w:val="0"/>
    <w:pPr>
      <w:widowControl w:val="0"/>
      <w:autoSpaceDE w:val="0"/>
      <w:autoSpaceDN w:val="0"/>
      <w:adjustRightInd w:val="0"/>
    </w:pPr>
    <w:rPr>
      <w:rFonts w:ascii="楷体à.ā" w:hAnsi="Calibri" w:eastAsia="楷体à.ā" w:cs="黑体"/>
      <w:color w:val="000000"/>
      <w:sz w:val="24"/>
      <w:szCs w:val="22"/>
      <w:lang w:val="en-US" w:eastAsia="zh-CN" w:bidi="ar-SA"/>
    </w:rPr>
  </w:style>
  <w:style w:type="character" w:customStyle="1" w:styleId="141">
    <w:name w:val="标题 9 字符"/>
    <w:basedOn w:val="43"/>
    <w:link w:val="11"/>
    <w:qFormat/>
    <w:uiPriority w:val="0"/>
    <w:rPr>
      <w:rFonts w:asciiTheme="majorHAnsi" w:hAnsiTheme="majorHAnsi" w:eastAsiaTheme="majorEastAsia" w:cstheme="majorBidi"/>
      <w:sz w:val="21"/>
      <w:szCs w:val="21"/>
    </w:rPr>
  </w:style>
  <w:style w:type="character" w:customStyle="1" w:styleId="142">
    <w:name w:val="标题 4 字符"/>
    <w:basedOn w:val="43"/>
    <w:link w:val="6"/>
    <w:qFormat/>
    <w:uiPriority w:val="0"/>
    <w:rPr>
      <w:rFonts w:ascii="仿宋" w:hAnsi="仿宋" w:eastAsia="仿宋"/>
      <w:b/>
      <w:bCs/>
      <w:sz w:val="32"/>
      <w:szCs w:val="32"/>
    </w:rPr>
  </w:style>
  <w:style w:type="character" w:customStyle="1" w:styleId="143">
    <w:name w:val="标题 1 字符1"/>
    <w:link w:val="3"/>
    <w:qFormat/>
    <w:uiPriority w:val="0"/>
    <w:rPr>
      <w:rFonts w:ascii="宋体" w:hAnsi="宋体" w:eastAsia="宋体"/>
      <w:sz w:val="90"/>
      <w:szCs w:val="90"/>
    </w:rPr>
  </w:style>
  <w:style w:type="character" w:customStyle="1" w:styleId="144">
    <w:name w:val="标题 2 字符1"/>
    <w:link w:val="4"/>
    <w:qFormat/>
    <w:uiPriority w:val="0"/>
    <w:rPr>
      <w:rFonts w:ascii="宋体" w:hAnsi="宋体" w:eastAsia="宋体"/>
      <w:b/>
      <w:bCs/>
      <w:sz w:val="44"/>
      <w:szCs w:val="44"/>
    </w:rPr>
  </w:style>
  <w:style w:type="character" w:customStyle="1" w:styleId="145">
    <w:name w:val="标题 3 Char"/>
    <w:qFormat/>
    <w:uiPriority w:val="0"/>
    <w:rPr>
      <w:rFonts w:ascii="宋体" w:hAnsi="宋体" w:eastAsia="宋体"/>
      <w:b/>
      <w:kern w:val="2"/>
      <w:sz w:val="24"/>
      <w:szCs w:val="28"/>
      <w:lang w:val="zh-CN" w:eastAsia="zh-CN"/>
    </w:rPr>
  </w:style>
  <w:style w:type="character" w:customStyle="1" w:styleId="146">
    <w:name w:val="标题 4 字符1"/>
    <w:qFormat/>
    <w:uiPriority w:val="0"/>
    <w:rPr>
      <w:rFonts w:ascii="宋体" w:hAnsi="宋体" w:eastAsia="宋体"/>
      <w:b/>
      <w:bCs/>
      <w:color w:val="000000"/>
      <w:kern w:val="2"/>
      <w:sz w:val="24"/>
      <w:szCs w:val="28"/>
      <w:lang w:val="zh-CN"/>
    </w:rPr>
  </w:style>
  <w:style w:type="character" w:customStyle="1" w:styleId="147">
    <w:name w:val="标题 5 字符1"/>
    <w:link w:val="7"/>
    <w:qFormat/>
    <w:uiPriority w:val="0"/>
    <w:rPr>
      <w:rFonts w:ascii="仿宋" w:hAnsi="仿宋" w:eastAsia="仿宋"/>
      <w:sz w:val="32"/>
      <w:szCs w:val="32"/>
    </w:rPr>
  </w:style>
  <w:style w:type="character" w:customStyle="1" w:styleId="148">
    <w:name w:val="标题 6 字符1"/>
    <w:link w:val="8"/>
    <w:qFormat/>
    <w:uiPriority w:val="0"/>
    <w:rPr>
      <w:rFonts w:ascii="仿宋" w:hAnsi="仿宋" w:eastAsia="仿宋"/>
      <w:b/>
      <w:bCs/>
      <w:sz w:val="30"/>
      <w:szCs w:val="30"/>
    </w:rPr>
  </w:style>
  <w:style w:type="character" w:customStyle="1" w:styleId="149">
    <w:name w:val="标题 7 Char"/>
    <w:qFormat/>
    <w:uiPriority w:val="0"/>
    <w:rPr>
      <w:rFonts w:ascii="Calibri" w:hAnsi="Calibri"/>
      <w:b/>
      <w:bCs/>
      <w:kern w:val="2"/>
      <w:sz w:val="24"/>
      <w:szCs w:val="24"/>
      <w:lang w:val="zh-CN" w:eastAsia="zh-CN"/>
    </w:rPr>
  </w:style>
  <w:style w:type="character" w:customStyle="1" w:styleId="150">
    <w:name w:val="标题 8 字符1"/>
    <w:link w:val="10"/>
    <w:qFormat/>
    <w:uiPriority w:val="0"/>
    <w:rPr>
      <w:rFonts w:ascii="仿宋" w:hAnsi="仿宋" w:eastAsia="仿宋"/>
      <w:b/>
      <w:bCs/>
      <w:sz w:val="28"/>
      <w:szCs w:val="28"/>
    </w:rPr>
  </w:style>
  <w:style w:type="character" w:customStyle="1" w:styleId="151">
    <w:name w:val="标题 9 Char"/>
    <w:qFormat/>
    <w:uiPriority w:val="0"/>
    <w:rPr>
      <w:rFonts w:ascii="仿宋_GB2312" w:hAnsi="仿宋_GB2312"/>
      <w:kern w:val="2"/>
      <w:sz w:val="24"/>
      <w:szCs w:val="21"/>
      <w:lang w:val="zh-CN" w:eastAsia="zh-CN"/>
    </w:rPr>
  </w:style>
  <w:style w:type="character" w:customStyle="1" w:styleId="152">
    <w:name w:val="页脚 Char"/>
    <w:qFormat/>
    <w:uiPriority w:val="99"/>
    <w:rPr>
      <w:kern w:val="2"/>
      <w:sz w:val="18"/>
      <w:szCs w:val="18"/>
      <w:lang w:val="zh-CN" w:eastAsia="zh-CN"/>
    </w:rPr>
  </w:style>
  <w:style w:type="character" w:customStyle="1" w:styleId="153">
    <w:name w:val="列表段落 字符2"/>
    <w:link w:val="50"/>
    <w:qFormat/>
    <w:uiPriority w:val="34"/>
  </w:style>
  <w:style w:type="character" w:customStyle="1" w:styleId="154">
    <w:name w:val="题注 字符2"/>
    <w:link w:val="14"/>
    <w:qFormat/>
    <w:locked/>
    <w:uiPriority w:val="35"/>
    <w:rPr>
      <w:rFonts w:ascii="Calibri" w:hAnsi="Calibri"/>
      <w:lang w:val="zh-CN" w:eastAsia="zh-CN"/>
    </w:rPr>
  </w:style>
  <w:style w:type="paragraph" w:customStyle="1" w:styleId="155">
    <w:name w:val="Revision"/>
    <w:hidden/>
    <w:qFormat/>
    <w:uiPriority w:val="0"/>
    <w:pPr>
      <w:widowControl/>
    </w:pPr>
    <w:rPr>
      <w:rFonts w:ascii="等线 Light" w:hAnsi="等线 Light" w:eastAsia="等线" w:cs="等线 Light"/>
      <w:kern w:val="2"/>
      <w:sz w:val="21"/>
      <w:szCs w:val="24"/>
      <w:lang w:val="en-US" w:eastAsia="zh-CN" w:bidi="ar-SA"/>
    </w:rPr>
  </w:style>
  <w:style w:type="paragraph" w:customStyle="1" w:styleId="156">
    <w:name w:val="HTML Top of Form"/>
    <w:basedOn w:val="1"/>
    <w:next w:val="1"/>
    <w:link w:val="158"/>
    <w:qFormat/>
    <w:uiPriority w:val="0"/>
    <w:pPr>
      <w:widowControl/>
      <w:pBdr>
        <w:bottom w:val="single" w:color="auto" w:sz="6" w:space="1"/>
      </w:pBdr>
      <w:jc w:val="center"/>
    </w:pPr>
    <w:rPr>
      <w:rFonts w:ascii="Cambria" w:hAnsi="Cambria" w:eastAsia="等线" w:cs="等线 Light"/>
      <w:vanish/>
      <w:sz w:val="16"/>
      <w:szCs w:val="16"/>
      <w:lang w:val="zh-CN" w:eastAsia="zh-CN"/>
    </w:rPr>
  </w:style>
  <w:style w:type="character" w:customStyle="1" w:styleId="157">
    <w:name w:val="z-窗体顶端 字符"/>
    <w:basedOn w:val="43"/>
    <w:qFormat/>
    <w:uiPriority w:val="0"/>
    <w:rPr>
      <w:rFonts w:ascii="Arial" w:hAnsi="Arial" w:cs="Arial"/>
      <w:vanish/>
      <w:sz w:val="16"/>
      <w:szCs w:val="16"/>
    </w:rPr>
  </w:style>
  <w:style w:type="character" w:customStyle="1" w:styleId="158">
    <w:name w:val="z-窗体顶端 字符1"/>
    <w:link w:val="156"/>
    <w:qFormat/>
    <w:uiPriority w:val="0"/>
    <w:rPr>
      <w:rFonts w:ascii="Cambria" w:hAnsi="Cambria" w:eastAsia="等线" w:cs="等线 Light"/>
      <w:vanish/>
      <w:sz w:val="16"/>
      <w:szCs w:val="16"/>
      <w:lang w:val="zh-CN" w:eastAsia="zh-CN"/>
    </w:rPr>
  </w:style>
  <w:style w:type="paragraph" w:customStyle="1" w:styleId="159">
    <w:name w:val="HTML Bottom of Form"/>
    <w:basedOn w:val="1"/>
    <w:next w:val="1"/>
    <w:link w:val="161"/>
    <w:qFormat/>
    <w:uiPriority w:val="0"/>
    <w:pPr>
      <w:widowControl/>
      <w:numPr>
        <w:ilvl w:val="1"/>
        <w:numId w:val="2"/>
      </w:numPr>
      <w:pBdr>
        <w:top w:val="single" w:color="auto" w:sz="6" w:space="1"/>
      </w:pBdr>
      <w:tabs>
        <w:tab w:val="clear" w:pos="1682"/>
      </w:tabs>
      <w:ind w:left="0" w:firstLine="0"/>
      <w:jc w:val="center"/>
    </w:pPr>
    <w:rPr>
      <w:rFonts w:ascii="Cambria" w:hAnsi="Cambria" w:eastAsia="等线" w:cs="等线 Light"/>
      <w:vanish/>
      <w:sz w:val="16"/>
      <w:szCs w:val="16"/>
      <w:lang w:val="zh-CN" w:eastAsia="zh-CN"/>
    </w:rPr>
  </w:style>
  <w:style w:type="character" w:customStyle="1" w:styleId="160">
    <w:name w:val="z-窗体底端 字符"/>
    <w:basedOn w:val="43"/>
    <w:qFormat/>
    <w:uiPriority w:val="0"/>
    <w:rPr>
      <w:rFonts w:ascii="Arial" w:hAnsi="Arial" w:cs="Arial"/>
      <w:vanish/>
      <w:sz w:val="16"/>
      <w:szCs w:val="16"/>
    </w:rPr>
  </w:style>
  <w:style w:type="character" w:customStyle="1" w:styleId="161">
    <w:name w:val="z-窗体底端 字符1"/>
    <w:link w:val="159"/>
    <w:qFormat/>
    <w:uiPriority w:val="0"/>
    <w:rPr>
      <w:rFonts w:ascii="Cambria" w:hAnsi="Cambria" w:eastAsia="等线" w:cs="等线 Light"/>
      <w:vanish/>
      <w:sz w:val="16"/>
      <w:szCs w:val="16"/>
      <w:lang w:val="zh-CN" w:eastAsia="zh-CN"/>
    </w:rPr>
  </w:style>
  <w:style w:type="character" w:customStyle="1" w:styleId="162">
    <w:name w:val="正文缩进 字符"/>
    <w:qFormat/>
    <w:uiPriority w:val="0"/>
    <w:rPr>
      <w:rFonts w:ascii="等线 Light" w:hAnsi="等线 Light"/>
      <w:sz w:val="24"/>
    </w:rPr>
  </w:style>
  <w:style w:type="paragraph" w:customStyle="1" w:styleId="163">
    <w:name w:val="修订2"/>
    <w:hidden/>
    <w:qFormat/>
    <w:uiPriority w:val="99"/>
    <w:pPr>
      <w:widowControl/>
    </w:pPr>
    <w:rPr>
      <w:rFonts w:ascii="等线 Light" w:hAnsi="等线 Light" w:eastAsia="等线" w:cs="等线 Light"/>
      <w:kern w:val="2"/>
      <w:sz w:val="24"/>
      <w:szCs w:val="20"/>
      <w:lang w:val="en-US" w:eastAsia="zh-CN" w:bidi="ar-SA"/>
    </w:rPr>
  </w:style>
  <w:style w:type="paragraph" w:customStyle="1" w:styleId="164">
    <w:name w:val="中等深浅列表 2 - 着色 21"/>
    <w:hidden/>
    <w:semiHidden/>
    <w:qFormat/>
    <w:uiPriority w:val="99"/>
    <w:pPr>
      <w:widowControl/>
    </w:pPr>
    <w:rPr>
      <w:rFonts w:ascii="等线 Light" w:hAnsi="等线 Light" w:eastAsia="等线" w:cs="等线 Light"/>
      <w:kern w:val="2"/>
      <w:sz w:val="24"/>
      <w:szCs w:val="20"/>
      <w:lang w:val="en-US" w:eastAsia="zh-CN" w:bidi="ar-SA"/>
    </w:rPr>
  </w:style>
  <w:style w:type="paragraph" w:customStyle="1" w:styleId="165">
    <w:name w:val="彩色底纹 - 着色 11"/>
    <w:hidden/>
    <w:unhideWhenUsed/>
    <w:qFormat/>
    <w:uiPriority w:val="71"/>
    <w:pPr>
      <w:widowControl/>
    </w:pPr>
    <w:rPr>
      <w:rFonts w:ascii="等线 Light" w:hAnsi="等线 Light" w:eastAsia="等线" w:cs="等线 Light"/>
      <w:kern w:val="2"/>
      <w:sz w:val="24"/>
      <w:szCs w:val="20"/>
      <w:lang w:val="en-US" w:eastAsia="zh-CN" w:bidi="ar-SA"/>
    </w:rPr>
  </w:style>
  <w:style w:type="paragraph" w:customStyle="1" w:styleId="166">
    <w:name w:val="彩色底纹 - 着色 12"/>
    <w:hidden/>
    <w:unhideWhenUsed/>
    <w:qFormat/>
    <w:uiPriority w:val="62"/>
    <w:pPr>
      <w:widowControl/>
    </w:pPr>
    <w:rPr>
      <w:rFonts w:ascii="等线 Light" w:hAnsi="等线 Light" w:eastAsia="等线" w:cs="等线 Light"/>
      <w:kern w:val="2"/>
      <w:sz w:val="24"/>
      <w:szCs w:val="20"/>
      <w:lang w:val="en-US" w:eastAsia="zh-CN" w:bidi="ar-SA"/>
    </w:rPr>
  </w:style>
  <w:style w:type="paragraph" w:customStyle="1" w:styleId="167">
    <w:name w:val="样式3"/>
    <w:basedOn w:val="37"/>
    <w:link w:val="168"/>
    <w:qFormat/>
    <w:uiPriority w:val="0"/>
  </w:style>
  <w:style w:type="character" w:customStyle="1" w:styleId="168">
    <w:name w:val="样式3 字符"/>
    <w:link w:val="167"/>
    <w:qFormat/>
    <w:uiPriority w:val="0"/>
    <w:rPr>
      <w:rFonts w:ascii="等线 Light" w:hAnsi="等线 Light" w:eastAsia="等线" w:cs="等线 Light"/>
      <w:kern w:val="2"/>
      <w:sz w:val="24"/>
      <w:szCs w:val="24"/>
      <w:lang w:eastAsia="zh-CN"/>
    </w:rPr>
  </w:style>
  <w:style w:type="paragraph" w:customStyle="1" w:styleId="169">
    <w:name w:val="标题1"/>
    <w:basedOn w:val="3"/>
    <w:link w:val="171"/>
    <w:qFormat/>
    <w:uiPriority w:val="0"/>
    <w:pPr>
      <w:keepNext/>
      <w:keepLines/>
      <w:pageBreakBefore/>
      <w:spacing w:before="340" w:after="330" w:line="360" w:lineRule="auto"/>
      <w:ind w:left="425" w:hanging="425"/>
      <w:jc w:val="center"/>
    </w:pPr>
    <w:rPr>
      <w:rFonts w:ascii="Arial Unicode MS" w:hAnsi="Arial Unicode MS" w:eastAsia="等线" w:cs="等线 Light"/>
      <w:b/>
      <w:bCs/>
      <w:kern w:val="44"/>
      <w:sz w:val="32"/>
      <w:szCs w:val="44"/>
      <w:lang w:eastAsia="zh-CN"/>
    </w:rPr>
  </w:style>
  <w:style w:type="paragraph" w:customStyle="1" w:styleId="170">
    <w:name w:val="标题2"/>
    <w:basedOn w:val="4"/>
    <w:link w:val="172"/>
    <w:qFormat/>
    <w:uiPriority w:val="0"/>
    <w:pPr>
      <w:keepNext/>
      <w:keepLines/>
      <w:spacing w:before="260" w:beforeLines="0" w:after="260" w:afterLines="0" w:line="360" w:lineRule="auto"/>
      <w:ind w:left="567" w:hanging="420"/>
      <w:jc w:val="both"/>
    </w:pPr>
    <w:rPr>
      <w:rFonts w:ascii="Calibri" w:hAnsi="Calibri" w:cs="等线 Light"/>
      <w:kern w:val="2"/>
      <w:sz w:val="28"/>
      <w:szCs w:val="32"/>
      <w:lang w:eastAsia="zh-CN"/>
    </w:rPr>
  </w:style>
  <w:style w:type="character" w:customStyle="1" w:styleId="171">
    <w:name w:val="标题1 字符"/>
    <w:link w:val="169"/>
    <w:qFormat/>
    <w:uiPriority w:val="0"/>
    <w:rPr>
      <w:rFonts w:ascii="Arial Unicode MS" w:hAnsi="Arial Unicode MS" w:eastAsia="等线" w:cs="等线 Light"/>
      <w:b/>
      <w:bCs/>
      <w:kern w:val="44"/>
      <w:sz w:val="32"/>
      <w:szCs w:val="44"/>
      <w:lang w:eastAsia="zh-CN"/>
    </w:rPr>
  </w:style>
  <w:style w:type="character" w:customStyle="1" w:styleId="172">
    <w:name w:val="标题2 字符"/>
    <w:link w:val="170"/>
    <w:qFormat/>
    <w:uiPriority w:val="0"/>
    <w:rPr>
      <w:rFonts w:ascii="Calibri" w:hAnsi="Calibri" w:eastAsia="宋体" w:cs="等线 Light"/>
      <w:b/>
      <w:bCs/>
      <w:kern w:val="2"/>
      <w:sz w:val="28"/>
      <w:szCs w:val="32"/>
      <w:lang w:eastAsia="zh-CN"/>
    </w:rPr>
  </w:style>
  <w:style w:type="character" w:customStyle="1" w:styleId="173">
    <w:name w:val="B正文 Char"/>
    <w:link w:val="174"/>
    <w:qFormat/>
    <w:locked/>
    <w:uiPriority w:val="0"/>
    <w:rPr>
      <w:rFonts w:ascii="Calibri" w:hAnsi="Calibri"/>
      <w:sz w:val="24"/>
    </w:rPr>
  </w:style>
  <w:style w:type="paragraph" w:customStyle="1" w:styleId="174">
    <w:name w:val="B正文"/>
    <w:basedOn w:val="1"/>
    <w:link w:val="173"/>
    <w:qFormat/>
    <w:uiPriority w:val="0"/>
    <w:pPr>
      <w:widowControl/>
      <w:spacing w:line="360" w:lineRule="auto"/>
      <w:ind w:firstLine="200" w:firstLineChars="200"/>
      <w:jc w:val="both"/>
    </w:pPr>
    <w:rPr>
      <w:rFonts w:ascii="Calibri" w:hAnsi="Calibri"/>
      <w:sz w:val="24"/>
    </w:rPr>
  </w:style>
  <w:style w:type="paragraph" w:customStyle="1" w:styleId="175">
    <w:name w:val="TOC Heading"/>
    <w:basedOn w:val="3"/>
    <w:next w:val="1"/>
    <w:unhideWhenUsed/>
    <w:qFormat/>
    <w:uiPriority w:val="39"/>
    <w:pPr>
      <w:keepNext/>
      <w:keepLines/>
      <w:pageBreakBefore/>
      <w:widowControl/>
      <w:spacing w:before="240" w:line="259" w:lineRule="auto"/>
      <w:ind w:left="0"/>
      <w:outlineLvl w:val="9"/>
    </w:pPr>
    <w:rPr>
      <w:rFonts w:ascii="等线" w:hAnsi="等线" w:eastAsia="等线" w:cs="等线 Light"/>
      <w:color w:val="2E74B5"/>
      <w:sz w:val="32"/>
      <w:szCs w:val="32"/>
      <w:lang w:eastAsia="zh-CN"/>
    </w:rPr>
  </w:style>
  <w:style w:type="character" w:customStyle="1" w:styleId="176">
    <w:name w:val="Unresolved Mention"/>
    <w:semiHidden/>
    <w:unhideWhenUsed/>
    <w:qFormat/>
    <w:uiPriority w:val="99"/>
    <w:rPr>
      <w:color w:val="605E5C"/>
      <w:shd w:val="clear" w:color="auto" w:fill="E1DFDD"/>
    </w:rPr>
  </w:style>
  <w:style w:type="paragraph" w:customStyle="1" w:styleId="177">
    <w:name w:val="标题3"/>
    <w:basedOn w:val="5"/>
    <w:qFormat/>
    <w:uiPriority w:val="0"/>
    <w:pPr>
      <w:keepNext/>
      <w:widowControl/>
      <w:tabs>
        <w:tab w:val="left" w:pos="1247"/>
      </w:tabs>
      <w:adjustRightInd w:val="0"/>
      <w:snapToGrid w:val="0"/>
      <w:spacing w:before="240" w:beforeLines="0" w:after="120" w:afterLines="0"/>
      <w:ind w:left="1247" w:right="240" w:rightChars="100" w:hanging="1247"/>
    </w:pPr>
    <w:rPr>
      <w:rFonts w:ascii="Cambria" w:hAnsi="Cambria" w:eastAsia="宋体" w:cs="等线 Light"/>
      <w:sz w:val="24"/>
      <w:szCs w:val="24"/>
      <w:lang w:val="pt-BR" w:eastAsia="zh-CN"/>
    </w:rPr>
  </w:style>
  <w:style w:type="paragraph" w:customStyle="1" w:styleId="178">
    <w:name w:val="ZTE标题4"/>
    <w:basedOn w:val="1"/>
    <w:qFormat/>
    <w:uiPriority w:val="0"/>
    <w:pPr>
      <w:keepNext/>
      <w:widowControl/>
      <w:tabs>
        <w:tab w:val="left" w:pos="1276"/>
      </w:tabs>
      <w:spacing w:before="200" w:after="120"/>
      <w:ind w:left="1276"/>
      <w:outlineLvl w:val="3"/>
    </w:pPr>
    <w:rPr>
      <w:rFonts w:ascii="Cambria" w:hAnsi="Cambria" w:eastAsia="等线" w:cs="等线 Light"/>
      <w:b/>
      <w:sz w:val="21"/>
      <w:szCs w:val="21"/>
      <w:lang w:val="pt-BR"/>
    </w:rPr>
  </w:style>
  <w:style w:type="paragraph" w:customStyle="1" w:styleId="179">
    <w:name w:val="ZTE标题5"/>
    <w:basedOn w:val="1"/>
    <w:qFormat/>
    <w:uiPriority w:val="0"/>
    <w:pPr>
      <w:widowControl/>
      <w:tabs>
        <w:tab w:val="left" w:pos="1276"/>
      </w:tabs>
      <w:spacing w:before="160" w:after="120"/>
      <w:ind w:left="1276"/>
    </w:pPr>
    <w:rPr>
      <w:rFonts w:ascii="等线 Light" w:hAnsi="等线 Light" w:eastAsia="等线" w:cs="等线 Light"/>
      <w:b/>
      <w:sz w:val="21"/>
      <w:szCs w:val="21"/>
      <w:lang w:eastAsia="zh-CN"/>
    </w:rPr>
  </w:style>
  <w:style w:type="paragraph" w:customStyle="1" w:styleId="180">
    <w:name w:val="ZTE标题6"/>
    <w:basedOn w:val="179"/>
    <w:qFormat/>
    <w:uiPriority w:val="0"/>
    <w:pPr>
      <w:spacing w:before="120"/>
      <w:ind w:hanging="1276"/>
    </w:pPr>
  </w:style>
  <w:style w:type="paragraph" w:customStyle="1" w:styleId="181">
    <w:name w:val="）10以前"/>
    <w:basedOn w:val="1"/>
    <w:link w:val="182"/>
    <w:qFormat/>
    <w:uiPriority w:val="0"/>
    <w:pPr>
      <w:widowControl/>
      <w:spacing w:line="360" w:lineRule="auto"/>
    </w:pPr>
    <w:rPr>
      <w:rFonts w:ascii="MS Gothic" w:hAnsi="MS Gothic" w:eastAsia="等线" w:cs="等线 Light"/>
      <w:sz w:val="24"/>
      <w:lang w:eastAsia="zh-CN"/>
    </w:rPr>
  </w:style>
  <w:style w:type="character" w:customStyle="1" w:styleId="182">
    <w:name w:val="）10以前 Char"/>
    <w:link w:val="181"/>
    <w:qFormat/>
    <w:uiPriority w:val="0"/>
    <w:rPr>
      <w:rFonts w:ascii="MS Gothic" w:hAnsi="MS Gothic" w:eastAsia="等线" w:cs="等线 Light"/>
      <w:sz w:val="24"/>
      <w:lang w:eastAsia="zh-CN"/>
    </w:rPr>
  </w:style>
  <w:style w:type="paragraph" w:customStyle="1" w:styleId="183">
    <w:name w:val="my正文"/>
    <w:basedOn w:val="1"/>
    <w:link w:val="184"/>
    <w:qFormat/>
    <w:uiPriority w:val="99"/>
    <w:pPr>
      <w:spacing w:line="360" w:lineRule="auto"/>
      <w:ind w:firstLine="480" w:firstLineChars="200"/>
      <w:jc w:val="both"/>
    </w:pPr>
    <w:rPr>
      <w:rFonts w:ascii="等线 Light" w:hAnsi="等线 Light" w:eastAsia="等线" w:cs="等线 Light"/>
      <w:kern w:val="2"/>
      <w:sz w:val="24"/>
      <w:szCs w:val="24"/>
      <w:lang w:eastAsia="zh-CN"/>
    </w:rPr>
  </w:style>
  <w:style w:type="character" w:customStyle="1" w:styleId="184">
    <w:name w:val="my正文 Char"/>
    <w:link w:val="183"/>
    <w:qFormat/>
    <w:locked/>
    <w:uiPriority w:val="99"/>
    <w:rPr>
      <w:rFonts w:ascii="等线 Light" w:hAnsi="等线 Light" w:eastAsia="等线" w:cs="等线 Light"/>
      <w:kern w:val="2"/>
      <w:sz w:val="24"/>
      <w:szCs w:val="24"/>
      <w:lang w:eastAsia="zh-CN"/>
    </w:rPr>
  </w:style>
  <w:style w:type="paragraph" w:customStyle="1" w:styleId="185">
    <w:name w:val="GP正文(首行缩进)"/>
    <w:basedOn w:val="1"/>
    <w:qFormat/>
    <w:uiPriority w:val="0"/>
    <w:pPr>
      <w:spacing w:line="360" w:lineRule="auto"/>
      <w:ind w:firstLine="480" w:firstLineChars="200"/>
    </w:pPr>
    <w:rPr>
      <w:rFonts w:ascii="Calibri" w:hAnsi="Calibri" w:eastAsia="等线" w:cs="等线 Light"/>
      <w:kern w:val="2"/>
      <w:sz w:val="24"/>
      <w:szCs w:val="21"/>
      <w:lang w:eastAsia="zh-CN"/>
    </w:rPr>
  </w:style>
  <w:style w:type="character" w:customStyle="1" w:styleId="186">
    <w:name w:val="列表段落 字符"/>
    <w:qFormat/>
    <w:uiPriority w:val="34"/>
    <w:rPr>
      <w:rFonts w:ascii="Calibri" w:hAnsi="Calibri" w:eastAsia="Calibri" w:cs="等线 Light"/>
      <w:sz w:val="24"/>
      <w:szCs w:val="24"/>
    </w:rPr>
  </w:style>
  <w:style w:type="character" w:customStyle="1" w:styleId="187">
    <w:name w:val="方案正文 Char"/>
    <w:link w:val="188"/>
    <w:qFormat/>
    <w:locked/>
    <w:uiPriority w:val="0"/>
    <w:rPr>
      <w:rFonts w:ascii="Cambria" w:hAnsi="Cambria" w:cs="Cambria"/>
      <w:sz w:val="24"/>
      <w:szCs w:val="21"/>
    </w:rPr>
  </w:style>
  <w:style w:type="paragraph" w:customStyle="1" w:styleId="188">
    <w:name w:val="方案正文"/>
    <w:basedOn w:val="1"/>
    <w:link w:val="187"/>
    <w:qFormat/>
    <w:uiPriority w:val="0"/>
    <w:pPr>
      <w:spacing w:line="360" w:lineRule="auto"/>
      <w:ind w:firstLine="420"/>
      <w:jc w:val="both"/>
    </w:pPr>
    <w:rPr>
      <w:rFonts w:ascii="Cambria" w:hAnsi="Cambria" w:cs="Cambria"/>
      <w:sz w:val="24"/>
      <w:szCs w:val="21"/>
    </w:rPr>
  </w:style>
  <w:style w:type="character" w:customStyle="1" w:styleId="189">
    <w:name w:val="GM正文2 Char"/>
    <w:link w:val="190"/>
    <w:qFormat/>
    <w:uiPriority w:val="0"/>
    <w:rPr>
      <w:kern w:val="21"/>
      <w:sz w:val="24"/>
    </w:rPr>
  </w:style>
  <w:style w:type="paragraph" w:customStyle="1" w:styleId="190">
    <w:name w:val="GM正文2"/>
    <w:basedOn w:val="1"/>
    <w:link w:val="189"/>
    <w:qFormat/>
    <w:uiPriority w:val="0"/>
    <w:pPr>
      <w:widowControl/>
      <w:spacing w:line="360" w:lineRule="auto"/>
      <w:ind w:firstLine="200" w:firstLineChars="200"/>
    </w:pPr>
    <w:rPr>
      <w:kern w:val="21"/>
      <w:sz w:val="24"/>
    </w:rPr>
  </w:style>
  <w:style w:type="character" w:customStyle="1" w:styleId="191">
    <w:name w:val="正文文本 字符"/>
    <w:link w:val="18"/>
    <w:qFormat/>
    <w:uiPriority w:val="0"/>
    <w:rPr>
      <w:rFonts w:ascii="仿宋" w:hAnsi="仿宋" w:eastAsia="仿宋"/>
      <w:sz w:val="28"/>
      <w:szCs w:val="28"/>
    </w:rPr>
  </w:style>
  <w:style w:type="character" w:customStyle="1" w:styleId="192">
    <w:name w:val="NormalCharacter"/>
    <w:qFormat/>
    <w:uiPriority w:val="0"/>
  </w:style>
  <w:style w:type="character" w:customStyle="1" w:styleId="193">
    <w:name w:val="UserStyle_84"/>
    <w:link w:val="194"/>
    <w:qFormat/>
    <w:uiPriority w:val="0"/>
    <w:rPr>
      <w:rFonts w:ascii="等线 Light" w:hAnsi="等线 Light"/>
      <w:kern w:val="21"/>
      <w:sz w:val="24"/>
    </w:rPr>
  </w:style>
  <w:style w:type="paragraph" w:customStyle="1" w:styleId="194">
    <w:name w:val="UserStyle_83"/>
    <w:basedOn w:val="1"/>
    <w:link w:val="193"/>
    <w:qFormat/>
    <w:uiPriority w:val="0"/>
    <w:pPr>
      <w:widowControl/>
      <w:spacing w:line="360" w:lineRule="auto"/>
      <w:ind w:firstLine="200" w:firstLineChars="200"/>
      <w:textAlignment w:val="baseline"/>
    </w:pPr>
    <w:rPr>
      <w:rFonts w:ascii="等线 Light" w:hAnsi="等线 Light"/>
      <w:kern w:val="21"/>
      <w:sz w:val="24"/>
    </w:rPr>
  </w:style>
  <w:style w:type="character" w:customStyle="1" w:styleId="195">
    <w:name w:val="题注 字符"/>
    <w:qFormat/>
    <w:uiPriority w:val="0"/>
    <w:rPr>
      <w:rFonts w:ascii="等线" w:hAnsi="等线" w:eastAsia="Wingdings"/>
      <w:kern w:val="2"/>
      <w:sz w:val="24"/>
      <w:szCs w:val="24"/>
    </w:rPr>
  </w:style>
  <w:style w:type="character" w:customStyle="1" w:styleId="196">
    <w:name w:val="！正文 Char"/>
    <w:link w:val="197"/>
    <w:qFormat/>
    <w:locked/>
    <w:uiPriority w:val="0"/>
    <w:rPr>
      <w:rFonts w:ascii="Wingdings" w:hAnsi="Wingdings"/>
      <w:sz w:val="24"/>
    </w:rPr>
  </w:style>
  <w:style w:type="paragraph" w:customStyle="1" w:styleId="197">
    <w:name w:val="！正文"/>
    <w:basedOn w:val="1"/>
    <w:link w:val="196"/>
    <w:qFormat/>
    <w:uiPriority w:val="0"/>
    <w:pPr>
      <w:widowControl/>
      <w:spacing w:line="360" w:lineRule="auto"/>
      <w:ind w:firstLine="420" w:firstLineChars="200"/>
      <w:jc w:val="both"/>
    </w:pPr>
    <w:rPr>
      <w:rFonts w:ascii="Wingdings" w:hAnsi="Wingdings"/>
      <w:sz w:val="24"/>
    </w:rPr>
  </w:style>
  <w:style w:type="character" w:customStyle="1" w:styleId="198">
    <w:name w:val="表格(五号) Char"/>
    <w:link w:val="199"/>
    <w:qFormat/>
    <w:locked/>
    <w:uiPriority w:val="0"/>
    <w:rPr>
      <w:rFonts w:ascii="Calibri" w:hAnsi="Calibri"/>
      <w:color w:val="000000"/>
    </w:rPr>
  </w:style>
  <w:style w:type="paragraph" w:customStyle="1" w:styleId="199">
    <w:name w:val="表格(五号)"/>
    <w:basedOn w:val="1"/>
    <w:link w:val="198"/>
    <w:qFormat/>
    <w:uiPriority w:val="0"/>
    <w:pPr>
      <w:adjustRightInd w:val="0"/>
      <w:snapToGrid w:val="0"/>
      <w:spacing w:before="60" w:after="60"/>
      <w:ind w:left="11"/>
      <w:jc w:val="center"/>
    </w:pPr>
    <w:rPr>
      <w:rFonts w:ascii="Calibri" w:hAnsi="Calibri"/>
      <w:color w:val="000000"/>
    </w:rPr>
  </w:style>
  <w:style w:type="paragraph" w:customStyle="1" w:styleId="200">
    <w:name w:val="默认段落字体 Para Char Char Char Char Char Char Char Char Char Char Char Char Char Char"/>
    <w:next w:val="1"/>
    <w:qFormat/>
    <w:uiPriority w:val="0"/>
    <w:pPr>
      <w:keepNext/>
      <w:keepLines/>
      <w:widowControl w:val="0"/>
      <w:numPr>
        <w:ilvl w:val="7"/>
        <w:numId w:val="3"/>
      </w:numPr>
      <w:adjustRightInd w:val="0"/>
      <w:spacing w:before="240" w:after="240" w:line="360" w:lineRule="atLeast"/>
      <w:jc w:val="both"/>
      <w:textAlignment w:val="baseline"/>
      <w:outlineLvl w:val="7"/>
    </w:pPr>
    <w:rPr>
      <w:rFonts w:ascii="Cambria" w:hAnsi="Cambria" w:eastAsia="Wingdings" w:cs="Cambria"/>
      <w:snapToGrid w:val="0"/>
      <w:sz w:val="21"/>
      <w:szCs w:val="21"/>
      <w:lang w:val="en-US" w:eastAsia="zh-CN" w:bidi="ar-SA"/>
    </w:rPr>
  </w:style>
  <w:style w:type="paragraph" w:customStyle="1" w:styleId="201">
    <w:name w:val="图"/>
    <w:basedOn w:val="1"/>
    <w:next w:val="1"/>
    <w:qFormat/>
    <w:uiPriority w:val="0"/>
    <w:pPr>
      <w:widowControl/>
      <w:numPr>
        <w:ilvl w:val="0"/>
        <w:numId w:val="3"/>
      </w:numPr>
      <w:tabs>
        <w:tab w:val="left" w:pos="209"/>
      </w:tabs>
      <w:adjustRightInd w:val="0"/>
      <w:spacing w:before="60" w:after="60" w:line="360" w:lineRule="atLeast"/>
      <w:ind w:firstLine="200" w:firstLineChars="200"/>
      <w:jc w:val="center"/>
      <w:textAlignment w:val="baseline"/>
    </w:pPr>
    <w:rPr>
      <w:rFonts w:ascii="等线 Light" w:hAnsi="等线 Light" w:eastAsia="Cambria" w:cs="等线 Light"/>
      <w:b/>
      <w:sz w:val="24"/>
      <w:szCs w:val="20"/>
      <w:lang w:eastAsia="zh-CN"/>
    </w:rPr>
  </w:style>
  <w:style w:type="paragraph" w:customStyle="1" w:styleId="202">
    <w:name w:val="样式 标题 3 + 四号 段前: 7.8 磅 段后: 0 磅 行距: 单倍行距"/>
    <w:basedOn w:val="5"/>
    <w:qFormat/>
    <w:uiPriority w:val="0"/>
    <w:pPr>
      <w:keepNext/>
      <w:widowControl/>
      <w:numPr>
        <w:numId w:val="3"/>
      </w:numPr>
      <w:tabs>
        <w:tab w:val="left" w:pos="673"/>
      </w:tabs>
      <w:adjustRightInd w:val="0"/>
      <w:snapToGrid w:val="0"/>
      <w:spacing w:before="156" w:beforeLines="0" w:after="0" w:afterLines="0"/>
    </w:pPr>
    <w:rPr>
      <w:rFonts w:ascii="宋体" w:hAnsi="宋体" w:eastAsia="宋体" w:cs="等线 Light"/>
      <w:b w:val="0"/>
      <w:bCs w:val="0"/>
      <w:kern w:val="2"/>
      <w:sz w:val="28"/>
      <w:szCs w:val="20"/>
      <w:lang w:val="zh-CN" w:eastAsia="zh-CN"/>
    </w:rPr>
  </w:style>
  <w:style w:type="character" w:customStyle="1" w:styleId="203">
    <w:name w:val="标题 1 字符"/>
    <w:qFormat/>
    <w:uiPriority w:val="99"/>
    <w:rPr>
      <w:rFonts w:ascii="仿宋_GB2312" w:hAnsi="仿宋_GB2312"/>
      <w:b/>
      <w:sz w:val="32"/>
      <w:szCs w:val="44"/>
    </w:rPr>
  </w:style>
  <w:style w:type="character" w:customStyle="1" w:styleId="204">
    <w:name w:val="标题 2 字符"/>
    <w:qFormat/>
    <w:uiPriority w:val="99"/>
    <w:rPr>
      <w:rFonts w:ascii="仿宋_GB2312" w:hAnsi="仿宋_GB2312"/>
      <w:b/>
      <w:kern w:val="2"/>
      <w:sz w:val="28"/>
      <w:szCs w:val="30"/>
    </w:rPr>
  </w:style>
  <w:style w:type="character" w:customStyle="1" w:styleId="205">
    <w:name w:val="标题 5 字符"/>
    <w:qFormat/>
    <w:uiPriority w:val="99"/>
    <w:rPr>
      <w:rFonts w:ascii="Calibri" w:hAnsi="Calibri"/>
      <w:b/>
      <w:kern w:val="2"/>
      <w:sz w:val="24"/>
      <w:szCs w:val="24"/>
    </w:rPr>
  </w:style>
  <w:style w:type="character" w:customStyle="1" w:styleId="206">
    <w:name w:val="标题 6 字符"/>
    <w:qFormat/>
    <w:uiPriority w:val="9"/>
    <w:rPr>
      <w:rFonts w:ascii="仿宋_GB2312" w:hAnsi="仿宋_GB2312"/>
      <w:kern w:val="2"/>
      <w:sz w:val="24"/>
      <w:szCs w:val="24"/>
    </w:rPr>
  </w:style>
  <w:style w:type="character" w:customStyle="1" w:styleId="207">
    <w:name w:val="标题 8 字符"/>
    <w:qFormat/>
    <w:uiPriority w:val="9"/>
    <w:rPr>
      <w:rFonts w:ascii="仿宋_GB2312" w:hAnsi="仿宋_GB2312"/>
      <w:kern w:val="2"/>
      <w:sz w:val="24"/>
      <w:szCs w:val="24"/>
    </w:rPr>
  </w:style>
  <w:style w:type="character" w:customStyle="1" w:styleId="208">
    <w:name w:val="页脚 字符1"/>
    <w:qFormat/>
    <w:uiPriority w:val="99"/>
    <w:rPr>
      <w:kern w:val="2"/>
      <w:sz w:val="18"/>
      <w:szCs w:val="18"/>
    </w:rPr>
  </w:style>
  <w:style w:type="character" w:customStyle="1" w:styleId="209">
    <w:name w:val="题注 字符1"/>
    <w:qFormat/>
    <w:locked/>
    <w:uiPriority w:val="0"/>
    <w:rPr>
      <w:rFonts w:ascii="Cambria" w:hAnsi="Cambria" w:eastAsia="Wingdings" w:cs="Cambria"/>
    </w:rPr>
  </w:style>
  <w:style w:type="character" w:customStyle="1" w:styleId="210">
    <w:name w:val="未处理的提及1"/>
    <w:semiHidden/>
    <w:unhideWhenUsed/>
    <w:qFormat/>
    <w:uiPriority w:val="99"/>
    <w:rPr>
      <w:color w:val="605E5C"/>
      <w:shd w:val="clear" w:color="auto" w:fill="E1DFDD"/>
    </w:rPr>
  </w:style>
  <w:style w:type="character" w:customStyle="1" w:styleId="211">
    <w:name w:val="文档结构图 字符"/>
    <w:basedOn w:val="43"/>
    <w:link w:val="15"/>
    <w:semiHidden/>
    <w:qFormat/>
    <w:uiPriority w:val="99"/>
    <w:rPr>
      <w:rFonts w:ascii="Calibri" w:hAnsi="Calibri" w:eastAsia="等线" w:cs="等线 Light"/>
      <w:kern w:val="2"/>
      <w:sz w:val="18"/>
      <w:szCs w:val="18"/>
      <w:lang w:eastAsia="zh-CN"/>
    </w:rPr>
  </w:style>
  <w:style w:type="character" w:customStyle="1" w:styleId="212">
    <w:name w:val="批注框文本 字符"/>
    <w:basedOn w:val="43"/>
    <w:link w:val="26"/>
    <w:semiHidden/>
    <w:qFormat/>
    <w:uiPriority w:val="99"/>
    <w:rPr>
      <w:rFonts w:ascii="Calibri" w:hAnsi="Calibri" w:eastAsia="等线" w:cs="等线 Light"/>
      <w:kern w:val="2"/>
      <w:sz w:val="18"/>
      <w:szCs w:val="18"/>
      <w:lang w:eastAsia="zh-CN"/>
    </w:rPr>
  </w:style>
  <w:style w:type="character" w:customStyle="1" w:styleId="213">
    <w:name w:val="副标题 字符"/>
    <w:basedOn w:val="43"/>
    <w:link w:val="31"/>
    <w:qFormat/>
    <w:uiPriority w:val="99"/>
    <w:rPr>
      <w:rFonts w:ascii="minorBidi" w:hAnsi="minorBidi" w:eastAsia="等线" w:cs="minorBidi"/>
      <w:b/>
      <w:bCs/>
      <w:kern w:val="28"/>
      <w:sz w:val="32"/>
      <w:szCs w:val="32"/>
      <w:lang w:eastAsia="zh-CN"/>
    </w:rPr>
  </w:style>
  <w:style w:type="paragraph" w:customStyle="1" w:styleId="214">
    <w:name w:val="TOC Heading1"/>
    <w:basedOn w:val="3"/>
    <w:next w:val="1"/>
    <w:qFormat/>
    <w:uiPriority w:val="99"/>
    <w:pPr>
      <w:keepNext/>
      <w:keepLines/>
      <w:pageBreakBefore/>
      <w:widowControl/>
      <w:numPr>
        <w:numId w:val="4"/>
      </w:numPr>
      <w:tabs>
        <w:tab w:val="left" w:pos="720"/>
      </w:tabs>
      <w:spacing w:before="480" w:line="276" w:lineRule="auto"/>
      <w:ind w:left="0" w:firstLine="198"/>
      <w:outlineLvl w:val="9"/>
    </w:pPr>
    <w:rPr>
      <w:rFonts w:ascii="minorBidi" w:hAnsi="minorBidi" w:eastAsia="等线" w:cs="minorBidi"/>
      <w:b/>
      <w:bCs/>
      <w:color w:val="365F91"/>
      <w:sz w:val="28"/>
      <w:szCs w:val="28"/>
      <w:lang w:eastAsia="zh-CN"/>
    </w:rPr>
  </w:style>
  <w:style w:type="character" w:customStyle="1" w:styleId="215">
    <w:name w:val="t1"/>
    <w:qFormat/>
    <w:uiPriority w:val="99"/>
    <w:rPr>
      <w:color w:val="auto"/>
    </w:rPr>
  </w:style>
  <w:style w:type="paragraph" w:customStyle="1" w:styleId="216">
    <w:name w:val="正文（1）"/>
    <w:basedOn w:val="1"/>
    <w:link w:val="217"/>
    <w:qFormat/>
    <w:uiPriority w:val="0"/>
    <w:pPr>
      <w:spacing w:line="360" w:lineRule="auto"/>
      <w:ind w:left="420"/>
      <w:jc w:val="both"/>
    </w:pPr>
    <w:rPr>
      <w:rFonts w:ascii="等线 Light" w:hAnsi="等线 Light" w:eastAsia="等线" w:cs="等线 Light"/>
      <w:kern w:val="2"/>
      <w:sz w:val="24"/>
      <w:szCs w:val="24"/>
      <w:lang w:eastAsia="zh-CN"/>
    </w:rPr>
  </w:style>
  <w:style w:type="character" w:customStyle="1" w:styleId="217">
    <w:name w:val="正文（1） Char"/>
    <w:link w:val="216"/>
    <w:qFormat/>
    <w:uiPriority w:val="0"/>
    <w:rPr>
      <w:rFonts w:ascii="等线 Light" w:hAnsi="等线 Light" w:eastAsia="等线" w:cs="等线 Light"/>
      <w:kern w:val="2"/>
      <w:sz w:val="24"/>
      <w:szCs w:val="24"/>
      <w:lang w:eastAsia="zh-CN"/>
    </w:rPr>
  </w:style>
  <w:style w:type="paragraph" w:customStyle="1" w:styleId="218">
    <w:name w:val="[Normal]"/>
    <w:qFormat/>
    <w:uiPriority w:val="0"/>
    <w:pPr>
      <w:widowControl/>
    </w:pPr>
    <w:rPr>
      <w:rFonts w:ascii="Calibri" w:hAnsi="Calibri" w:eastAsia="等线" w:cs="等线 Light"/>
      <w:sz w:val="24"/>
      <w:szCs w:val="22"/>
      <w:lang w:val="zh-CN" w:eastAsia="zh-CN" w:bidi="ar-SA"/>
    </w:rPr>
  </w:style>
  <w:style w:type="paragraph" w:customStyle="1" w:styleId="219">
    <w:name w:val="*正文"/>
    <w:basedOn w:val="1"/>
    <w:link w:val="220"/>
    <w:qFormat/>
    <w:uiPriority w:val="0"/>
    <w:pPr>
      <w:widowControl/>
      <w:spacing w:line="360" w:lineRule="auto"/>
      <w:ind w:firstLine="482"/>
    </w:pPr>
    <w:rPr>
      <w:rFonts w:ascii="Calibri" w:hAnsi="Calibri" w:eastAsia="等线" w:cs="等线 Light"/>
      <w:sz w:val="24"/>
      <w:szCs w:val="20"/>
      <w:lang w:val="zh-CN" w:eastAsia="zh-CN"/>
    </w:rPr>
  </w:style>
  <w:style w:type="character" w:customStyle="1" w:styleId="220">
    <w:name w:val="*正文 Char"/>
    <w:link w:val="219"/>
    <w:qFormat/>
    <w:uiPriority w:val="0"/>
    <w:rPr>
      <w:rFonts w:ascii="Calibri" w:hAnsi="Calibri" w:eastAsia="等线" w:cs="等线 Light"/>
      <w:sz w:val="24"/>
      <w:szCs w:val="20"/>
      <w:lang w:val="zh-CN" w:eastAsia="zh-CN"/>
    </w:rPr>
  </w:style>
  <w:style w:type="character" w:customStyle="1" w:styleId="221">
    <w:name w:val="正文文本缩进 3 字符"/>
    <w:basedOn w:val="43"/>
    <w:link w:val="33"/>
    <w:semiHidden/>
    <w:qFormat/>
    <w:uiPriority w:val="0"/>
    <w:rPr>
      <w:rFonts w:ascii="Calibri" w:hAnsi="Calibri" w:eastAsia="等线" w:cs="等线 Light"/>
      <w:kern w:val="2"/>
      <w:sz w:val="16"/>
      <w:szCs w:val="16"/>
      <w:lang w:eastAsia="zh-CN"/>
    </w:rPr>
  </w:style>
  <w:style w:type="character" w:customStyle="1" w:styleId="222">
    <w:name w:val="普通 (Web) Char"/>
    <w:link w:val="223"/>
    <w:qFormat/>
    <w:uiPriority w:val="99"/>
    <w:rPr>
      <w:rFonts w:ascii="Calibri" w:hAnsi="Calibri"/>
      <w:sz w:val="24"/>
      <w:szCs w:val="24"/>
    </w:rPr>
  </w:style>
  <w:style w:type="paragraph" w:customStyle="1" w:styleId="223">
    <w:name w:val="普通 (Web)"/>
    <w:basedOn w:val="1"/>
    <w:link w:val="222"/>
    <w:qFormat/>
    <w:uiPriority w:val="99"/>
    <w:pPr>
      <w:widowControl/>
      <w:spacing w:before="100" w:beforeAutospacing="1" w:after="100" w:afterAutospacing="1"/>
    </w:pPr>
    <w:rPr>
      <w:rFonts w:ascii="Calibri" w:hAnsi="Calibri"/>
      <w:sz w:val="24"/>
      <w:szCs w:val="24"/>
    </w:rPr>
  </w:style>
  <w:style w:type="paragraph" w:customStyle="1" w:styleId="224">
    <w:name w:val="列表段落1"/>
    <w:basedOn w:val="1"/>
    <w:link w:val="225"/>
    <w:qFormat/>
    <w:uiPriority w:val="0"/>
    <w:pPr>
      <w:spacing w:line="360" w:lineRule="auto"/>
      <w:ind w:firstLine="420" w:firstLineChars="200"/>
      <w:jc w:val="both"/>
    </w:pPr>
    <w:rPr>
      <w:rFonts w:ascii="Calibri" w:hAnsi="Calibri" w:eastAsia="等线" w:cs="等线 Light"/>
      <w:kern w:val="2"/>
      <w:sz w:val="24"/>
      <w:lang w:eastAsia="zh-CN"/>
    </w:rPr>
  </w:style>
  <w:style w:type="character" w:customStyle="1" w:styleId="225">
    <w:name w:val="列表段落 字符1"/>
    <w:link w:val="224"/>
    <w:qFormat/>
    <w:uiPriority w:val="0"/>
    <w:rPr>
      <w:rFonts w:ascii="Calibri" w:hAnsi="Calibri" w:eastAsia="等线" w:cs="等线 Light"/>
      <w:kern w:val="2"/>
      <w:sz w:val="24"/>
      <w:lang w:eastAsia="zh-CN"/>
    </w:rPr>
  </w:style>
  <w:style w:type="paragraph" w:customStyle="1" w:styleId="226">
    <w:name w:val="**正文"/>
    <w:basedOn w:val="1"/>
    <w:link w:val="227"/>
    <w:qFormat/>
    <w:uiPriority w:val="0"/>
    <w:pPr>
      <w:spacing w:line="360" w:lineRule="auto"/>
      <w:ind w:firstLine="482"/>
      <w:jc w:val="both"/>
    </w:pPr>
    <w:rPr>
      <w:rFonts w:ascii="Calibri" w:hAnsi="Calibri" w:eastAsia="等线" w:cs="等线 Light"/>
      <w:kern w:val="2"/>
      <w:sz w:val="24"/>
      <w:szCs w:val="24"/>
      <w:lang w:eastAsia="zh-CN"/>
    </w:rPr>
  </w:style>
  <w:style w:type="character" w:customStyle="1" w:styleId="227">
    <w:name w:val="**正文 Char"/>
    <w:link w:val="226"/>
    <w:qFormat/>
    <w:uiPriority w:val="0"/>
    <w:rPr>
      <w:rFonts w:ascii="Calibri" w:hAnsi="Calibri" w:eastAsia="等线" w:cs="等线 Light"/>
      <w:kern w:val="2"/>
      <w:sz w:val="24"/>
      <w:szCs w:val="24"/>
      <w:lang w:eastAsia="zh-CN"/>
    </w:rPr>
  </w:style>
  <w:style w:type="character" w:customStyle="1" w:styleId="228">
    <w:name w:val="段 Char"/>
    <w:link w:val="229"/>
    <w:qFormat/>
    <w:uiPriority w:val="0"/>
    <w:rPr>
      <w:rFonts w:ascii="Calibri"/>
      <w:sz w:val="21"/>
    </w:rPr>
  </w:style>
  <w:style w:type="paragraph" w:customStyle="1" w:styleId="229">
    <w:name w:val="段"/>
    <w:link w:val="228"/>
    <w:qFormat/>
    <w:uiPriority w:val="0"/>
    <w:pPr>
      <w:widowControl/>
      <w:autoSpaceDE w:val="0"/>
      <w:autoSpaceDN w:val="0"/>
      <w:ind w:firstLine="200" w:firstLineChars="200"/>
      <w:jc w:val="both"/>
    </w:pPr>
    <w:rPr>
      <w:rFonts w:ascii="Calibri" w:hAnsiTheme="minorHAnsi" w:eastAsiaTheme="minorEastAsia" w:cstheme="minorBidi"/>
      <w:sz w:val="21"/>
      <w:szCs w:val="22"/>
      <w:lang w:val="en-US" w:eastAsia="en-US" w:bidi="ar-SA"/>
    </w:rPr>
  </w:style>
  <w:style w:type="character" w:customStyle="1" w:styleId="230">
    <w:name w:val="*正文 Char Char"/>
    <w:qFormat/>
    <w:uiPriority w:val="0"/>
    <w:rPr>
      <w:rFonts w:ascii="Calibri" w:hAnsi="Calibri" w:eastAsia="Calibri"/>
      <w:sz w:val="24"/>
      <w:szCs w:val="24"/>
      <w:lang w:eastAsia="en-US" w:bidi="en-US"/>
    </w:rPr>
  </w:style>
  <w:style w:type="paragraph" w:customStyle="1" w:styleId="231">
    <w:name w:val="正文（缩进）"/>
    <w:basedOn w:val="1"/>
    <w:link w:val="232"/>
    <w:qFormat/>
    <w:uiPriority w:val="0"/>
    <w:pPr>
      <w:spacing w:beforeLines="50" w:afterLines="50" w:line="360" w:lineRule="auto"/>
      <w:ind w:firstLine="480" w:firstLineChars="200"/>
      <w:jc w:val="both"/>
    </w:pPr>
    <w:rPr>
      <w:rFonts w:ascii="等线 Light" w:hAnsi="等线 Light" w:eastAsia="等线" w:cs="等线 Light"/>
      <w:kern w:val="2"/>
      <w:sz w:val="24"/>
      <w:szCs w:val="24"/>
      <w:lang w:val="zh-CN" w:eastAsia="zh-CN"/>
    </w:rPr>
  </w:style>
  <w:style w:type="character" w:customStyle="1" w:styleId="232">
    <w:name w:val="正文（缩进） Char"/>
    <w:link w:val="231"/>
    <w:qFormat/>
    <w:uiPriority w:val="0"/>
    <w:rPr>
      <w:rFonts w:ascii="等线 Light" w:hAnsi="等线 Light" w:eastAsia="等线" w:cs="等线 Light"/>
      <w:kern w:val="2"/>
      <w:sz w:val="24"/>
      <w:szCs w:val="24"/>
      <w:lang w:val="zh-CN" w:eastAsia="zh-CN"/>
    </w:rPr>
  </w:style>
  <w:style w:type="paragraph" w:customStyle="1" w:styleId="233">
    <w:name w:val="样式 首行缩进:  0.85 厘米 段前: 2.5 磅 段后: 6 磅 行距: 1.5 倍行距"/>
    <w:basedOn w:val="1"/>
    <w:qFormat/>
    <w:uiPriority w:val="0"/>
    <w:pPr>
      <w:spacing w:before="50" w:after="120" w:line="360" w:lineRule="auto"/>
      <w:ind w:firstLine="480"/>
      <w:jc w:val="both"/>
    </w:pPr>
    <w:rPr>
      <w:rFonts w:ascii="等线 Light" w:hAnsi="等线 Light" w:eastAsia="等线" w:cs="Calibri"/>
      <w:kern w:val="2"/>
      <w:sz w:val="24"/>
      <w:szCs w:val="20"/>
      <w:lang w:eastAsia="zh-CN"/>
    </w:rPr>
  </w:style>
  <w:style w:type="character" w:customStyle="1" w:styleId="234">
    <w:name w:val="批注文字 字符"/>
    <w:basedOn w:val="43"/>
    <w:link w:val="16"/>
    <w:semiHidden/>
    <w:qFormat/>
    <w:uiPriority w:val="99"/>
    <w:rPr>
      <w:rFonts w:ascii="Calibri" w:hAnsi="Calibri" w:eastAsia="等线" w:cs="等线 Light"/>
      <w:kern w:val="2"/>
      <w:sz w:val="24"/>
      <w:lang w:eastAsia="zh-CN"/>
    </w:rPr>
  </w:style>
  <w:style w:type="character" w:customStyle="1" w:styleId="235">
    <w:name w:val="批注主题 字符"/>
    <w:basedOn w:val="234"/>
    <w:link w:val="39"/>
    <w:semiHidden/>
    <w:qFormat/>
    <w:uiPriority w:val="99"/>
    <w:rPr>
      <w:rFonts w:ascii="Calibri" w:hAnsi="Calibri" w:eastAsia="等线" w:cs="等线 Light"/>
      <w:b/>
      <w:bCs/>
      <w:kern w:val="2"/>
      <w:sz w:val="24"/>
      <w:lang w:eastAsia="zh-CN"/>
    </w:rPr>
  </w:style>
  <w:style w:type="character" w:customStyle="1" w:styleId="236">
    <w:name w:val="日期 字符"/>
    <w:basedOn w:val="43"/>
    <w:link w:val="25"/>
    <w:semiHidden/>
    <w:qFormat/>
    <w:uiPriority w:val="0"/>
    <w:rPr>
      <w:rFonts w:ascii="Calibri" w:hAnsi="Calibri" w:eastAsia="等线" w:cs="等线 Light"/>
      <w:kern w:val="2"/>
      <w:sz w:val="24"/>
      <w:lang w:eastAsia="zh-CN"/>
    </w:rPr>
  </w:style>
  <w:style w:type="paragraph" w:customStyle="1" w:styleId="237">
    <w:name w:val="样式"/>
    <w:qFormat/>
    <w:uiPriority w:val="0"/>
    <w:pPr>
      <w:widowControl w:val="0"/>
      <w:autoSpaceDE w:val="0"/>
      <w:autoSpaceDN w:val="0"/>
      <w:adjustRightInd w:val="0"/>
    </w:pPr>
    <w:rPr>
      <w:rFonts w:ascii="宋体" w:hAnsi="Times New Roman"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8FC722-8B10-4F33-8720-9F35BCB096C8}">
  <ds:schemaRefs/>
</ds:datastoreItem>
</file>

<file path=docProps/app.xml><?xml version="1.0" encoding="utf-8"?>
<Properties xmlns="http://schemas.openxmlformats.org/officeDocument/2006/extended-properties" xmlns:vt="http://schemas.openxmlformats.org/officeDocument/2006/docPropsVTypes">
  <Template>Normal</Template>
  <Pages>242</Pages>
  <Words>171882</Words>
  <Characters>180889</Characters>
  <Lines>1301</Lines>
  <Paragraphs>366</Paragraphs>
  <TotalTime>4</TotalTime>
  <ScaleCrop>false</ScaleCrop>
  <LinksUpToDate>false</LinksUpToDate>
  <CharactersWithSpaces>182089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2023-09-25T03:14:00Z</dcterms:created>
  <dc:creator>yinjian</dc:creator>
  <cp:lastModifiedBy>Administrator</cp:lastModifiedBy>
  <cp:lastPrinted>2023-10-10T03:18:00Z</cp:lastPrinted>
  <dcterms:modified xsi:type="dcterms:W3CDTF">2023-10-12T12:42:06Z</dcterms:modified>
  <dc:title>招　标　文　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2022-08-02T00:00:00Z</vt:filetime>
  </property>
  <property fmtid="{D5CDD505-2E9C-101B-9397-08002B2CF9AE}" pid="3" name="Creator">
    <vt:lpwstr>Microsoft® Word 2016</vt:lpwstr>
  </property>
  <property fmtid="{D5CDD505-2E9C-101B-9397-08002B2CF9AE}" pid="4" name="LastSaved">
    <vt:filetime>2023-09-24T00:00:00Z</vt:filetime>
  </property>
  <property fmtid="{D5CDD505-2E9C-101B-9397-08002B2CF9AE}" pid="5" name="KSOProductBuildVer">
    <vt:lpwstr>2052-12.1.0.15712</vt:lpwstr>
  </property>
  <property fmtid="{D5CDD505-2E9C-101B-9397-08002B2CF9AE}" pid="6" name="ICV">
    <vt:lpwstr>FB96724B4D7D4BF8BC2DDCF48A4D8CCF_13</vt:lpwstr>
  </property>
</Properties>
</file>